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E93D0" w14:textId="77777777" w:rsidR="006E7C9F" w:rsidRDefault="006E7C9F" w:rsidP="00662B27">
      <w:pPr>
        <w:pStyle w:val="Title"/>
        <w:jc w:val="left"/>
        <w:rPr>
          <w:rFonts w:ascii="Times New Roman" w:eastAsia="Times New Roman" w:hAnsi="Times New Roman"/>
        </w:rPr>
      </w:pPr>
    </w:p>
    <w:p w14:paraId="3E597F35" w14:textId="77777777" w:rsidR="006E7C9F" w:rsidRDefault="00350372" w:rsidP="00662B27">
      <w:pPr>
        <w:pStyle w:val="Title"/>
        <w:jc w:val="left"/>
        <w:rPr>
          <w:rFonts w:ascii="Times New Roman" w:eastAsia="Times New Roman" w:hAnsi="Times New Roman"/>
        </w:rPr>
      </w:pPr>
      <w:r>
        <w:rPr>
          <w:rFonts w:ascii="Times New Roman" w:eastAsia="Times New Roman" w:hAnsi="Times New Roman"/>
          <w:noProof/>
        </w:rPr>
        <w:drawing>
          <wp:inline distT="0" distB="0" distL="0" distR="0" wp14:anchorId="1061B5F9" wp14:editId="4B2A44FF">
            <wp:extent cx="4939075" cy="2062052"/>
            <wp:effectExtent l="0" t="0" r="0" b="0"/>
            <wp:docPr id="12487710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66944" cy="2073687"/>
                    </a:xfrm>
                    <a:prstGeom prst="rect">
                      <a:avLst/>
                    </a:prstGeom>
                    <a:noFill/>
                  </pic:spPr>
                </pic:pic>
              </a:graphicData>
            </a:graphic>
          </wp:inline>
        </w:drawing>
      </w:r>
    </w:p>
    <w:p w14:paraId="0A71FCA2" w14:textId="77777777" w:rsidR="00F3236C" w:rsidRDefault="00F3236C" w:rsidP="00662B27">
      <w:pPr>
        <w:pStyle w:val="Title"/>
        <w:jc w:val="left"/>
        <w:rPr>
          <w:rFonts w:ascii="Times New Roman" w:eastAsia="Times New Roman" w:hAnsi="Times New Roman"/>
        </w:rPr>
      </w:pPr>
      <w:r w:rsidRPr="005C3F27">
        <w:rPr>
          <w:noProof/>
        </w:rPr>
        <w:drawing>
          <wp:inline distT="0" distB="0" distL="0" distR="0" wp14:anchorId="0E3BAAB9" wp14:editId="221125FE">
            <wp:extent cx="4965700" cy="5537608"/>
            <wp:effectExtent l="0" t="0" r="0" b="0"/>
            <wp:docPr id="12342306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72871" cy="5545605"/>
                    </a:xfrm>
                    <a:prstGeom prst="rect">
                      <a:avLst/>
                    </a:prstGeom>
                    <a:noFill/>
                    <a:ln>
                      <a:noFill/>
                    </a:ln>
                  </pic:spPr>
                </pic:pic>
              </a:graphicData>
            </a:graphic>
          </wp:inline>
        </w:drawing>
      </w:r>
      <w:r w:rsidR="00312C91">
        <w:rPr>
          <w:rFonts w:ascii="Times New Roman" w:eastAsia="Times New Roman" w:hAnsi="Times New Roman"/>
        </w:rPr>
        <w:t xml:space="preserve">     </w:t>
      </w:r>
      <w:r w:rsidR="00BD4FCD">
        <w:rPr>
          <w:rFonts w:ascii="Times New Roman" w:eastAsia="Times New Roman" w:hAnsi="Times New Roman"/>
        </w:rPr>
        <w:t xml:space="preserve">                   </w:t>
      </w:r>
    </w:p>
    <w:p w14:paraId="51F5874D" w14:textId="77777777" w:rsidR="0089184D" w:rsidRDefault="0089184D" w:rsidP="00662B27">
      <w:pPr>
        <w:pStyle w:val="Title"/>
        <w:jc w:val="left"/>
        <w:rPr>
          <w:rFonts w:ascii="Times New Roman" w:eastAsia="Times New Roman" w:hAnsi="Times New Roman"/>
        </w:rPr>
      </w:pPr>
    </w:p>
    <w:p w14:paraId="5A98668D" w14:textId="30989D95" w:rsidR="003D4E84" w:rsidRPr="00915C0F" w:rsidRDefault="00E85B4C" w:rsidP="00915C0F">
      <w:pPr>
        <w:pStyle w:val="Title"/>
        <w:jc w:val="left"/>
        <w:rPr>
          <w:rFonts w:ascii="Times New Roman" w:eastAsia="Times New Roman" w:hAnsi="Times New Roman"/>
          <w:color w:val="auto"/>
        </w:rPr>
      </w:pPr>
      <w:r w:rsidRPr="00915C0F">
        <w:rPr>
          <w:color w:val="auto"/>
        </w:rPr>
        <w:lastRenderedPageBreak/>
        <w:t>Reflective Essay on My Career Journey and Future Professional Development</w:t>
      </w:r>
    </w:p>
    <w:p w14:paraId="2CFD3484" w14:textId="77777777" w:rsidR="003D4E84" w:rsidRPr="002E4D2A" w:rsidRDefault="00E85B4C" w:rsidP="0097460E">
      <w:pPr>
        <w:rPr>
          <w:b/>
          <w:bCs/>
          <w:sz w:val="28"/>
          <w:szCs w:val="28"/>
        </w:rPr>
      </w:pPr>
      <w:r w:rsidRPr="002E4D2A">
        <w:rPr>
          <w:b/>
          <w:bCs/>
          <w:sz w:val="28"/>
          <w:szCs w:val="28"/>
        </w:rPr>
        <w:t>Introduction</w:t>
      </w:r>
    </w:p>
    <w:p w14:paraId="08D47E14" w14:textId="77777777" w:rsidR="003D4E84" w:rsidRPr="00F3236C" w:rsidRDefault="00E85B4C">
      <w:pPr>
        <w:jc w:val="both"/>
        <w:rPr>
          <w:rFonts w:ascii="Arial" w:hAnsi="Arial" w:cs="Arial"/>
        </w:rPr>
      </w:pPr>
      <w:r>
        <w:t>This reflective essay explores my career journey so far and what I have learned about my future professional development. I will use Gibbs' Reflective Cycle because it gives a clear structure for moving from description to feelings, evaluation, analysis, conclusion and action planning (Gibbs, 1988). This is useful because my career ideas are still developing and because career development involves making sense of experience, identity and future direction (Robertson, Hooley and McCash, 2021).</w:t>
      </w:r>
    </w:p>
    <w:p w14:paraId="5AF57BBD" w14:textId="77777777" w:rsidR="003D4E84" w:rsidRPr="00F3236C" w:rsidRDefault="00E85B4C">
      <w:pPr>
        <w:jc w:val="both"/>
        <w:rPr>
          <w:rFonts w:ascii="Arial" w:hAnsi="Arial" w:cs="Arial"/>
        </w:rPr>
      </w:pPr>
      <w:r>
        <w:t>The essay will also apply three models from the module: SWOT analysis, Myers-Briggs personality theory and Holland's Career Theory. Reflection helps turn experience into future improvement (Schön, 1983), while career planning can be strengthened when individuals connect their strengths and interests to realistic goals (Rook, 2025).</w:t>
      </w:r>
    </w:p>
    <w:p w14:paraId="1698DD86" w14:textId="77777777" w:rsidR="0097460E" w:rsidRDefault="0097460E" w:rsidP="0097460E"/>
    <w:p w14:paraId="01772BAF" w14:textId="77777777" w:rsidR="003D4E84" w:rsidRPr="002E4D2A" w:rsidRDefault="00E85B4C" w:rsidP="0097460E">
      <w:pPr>
        <w:rPr>
          <w:b/>
          <w:bCs/>
          <w:sz w:val="28"/>
          <w:szCs w:val="28"/>
        </w:rPr>
      </w:pPr>
      <w:r w:rsidRPr="002E4D2A">
        <w:rPr>
          <w:b/>
          <w:bCs/>
          <w:sz w:val="28"/>
          <w:szCs w:val="28"/>
        </w:rPr>
        <w:t>1. Description: What happened?</w:t>
      </w:r>
    </w:p>
    <w:p w14:paraId="53D38F6C" w14:textId="77777777" w:rsidR="00B960B4" w:rsidRPr="004F16A3" w:rsidRDefault="00B960B4" w:rsidP="005262A8">
      <w:pPr>
        <w:rPr>
          <w:rFonts w:ascii="Arial" w:hAnsi="Arial" w:cs="Arial"/>
          <w:lang w:val="en-GB"/>
        </w:rPr>
      </w:pPr>
      <w:r>
        <w:t xml:space="preserve">My career journey so far has included different kinds of responsibility, both in work and in my personal life. Before starting this module, I had already developed experience through customer-focused roles, including work in casino environments where I dealt with customers, </w:t>
      </w:r>
      <w:proofErr w:type="gramStart"/>
      <w:r>
        <w:t>handled</w:t>
      </w:r>
      <w:proofErr w:type="gramEnd"/>
      <w:r>
        <w:t xml:space="preserve"> cards, cash, online payments and POS systems, and took responsibility for both small funds and larger sums of money. I have also worked in a factory setting where I had to monitor quantities of products and support the </w:t>
      </w:r>
      <w:proofErr w:type="spellStart"/>
      <w:r>
        <w:t>organisation</w:t>
      </w:r>
      <w:proofErr w:type="spellEnd"/>
      <w:r>
        <w:t xml:space="preserve"> of work more accurately. Earlier in my life, while studying at university in Romania, I also had experience helping to </w:t>
      </w:r>
      <w:proofErr w:type="spellStart"/>
      <w:r>
        <w:t>organise</w:t>
      </w:r>
      <w:proofErr w:type="spellEnd"/>
      <w:r>
        <w:t xml:space="preserve"> group presentations and guiding other students during team tasks. These experiences show that my development has come from practical work, responsibility and real situations (Jackson and </w:t>
      </w:r>
      <w:proofErr w:type="spellStart"/>
      <w:r>
        <w:t>Bridgstock</w:t>
      </w:r>
      <w:proofErr w:type="spellEnd"/>
      <w:r>
        <w:t>, 2021).</w:t>
      </w:r>
    </w:p>
    <w:p w14:paraId="7631FA93" w14:textId="77777777" w:rsidR="003D4E84" w:rsidRDefault="003D4E84">
      <w:pPr>
        <w:jc w:val="both"/>
      </w:pPr>
    </w:p>
    <w:p w14:paraId="7666C49F" w14:textId="77777777" w:rsidR="00B505BA" w:rsidRPr="00BA7694" w:rsidRDefault="00B505BA" w:rsidP="00B505BA">
      <w:pPr>
        <w:rPr>
          <w:rFonts w:ascii="Arial" w:hAnsi="Arial" w:cs="Arial"/>
          <w:lang w:val="en-GB"/>
        </w:rPr>
      </w:pPr>
      <w:r>
        <w:t xml:space="preserve">Some important turning points in my journey were becoming a mother of four, deciding to return to university, and passing my driving theory test. Being a mother has required me to manage daily routines, plan ahead, think about household budgeting and make practical decisions for my </w:t>
      </w:r>
      <w:r>
        <w:lastRenderedPageBreak/>
        <w:t>family. Returning to study was another major step because it made me feel that I was investing in a better future and opening new opportunities for myself. Passing my driving theory test also gave me a sense of progress and motivation, because it showed me that I could still achieve personal goals even while managing family responsibilities and study. These turning points showed me that my career development has been shaped by care responsibilities and personal determination (Hayman et al., 2024). Returning to learning can also help students reframe earlier experience and see new possibilities for the future (Briscoe, 2025).</w:t>
      </w:r>
    </w:p>
    <w:p w14:paraId="5F920544" w14:textId="77777777" w:rsidR="0097460E" w:rsidRDefault="0097460E" w:rsidP="0097460E"/>
    <w:p w14:paraId="7FE0E521" w14:textId="77777777" w:rsidR="003D4E84" w:rsidRPr="002E4D2A" w:rsidRDefault="00E85B4C" w:rsidP="0097460E">
      <w:pPr>
        <w:rPr>
          <w:b/>
          <w:bCs/>
          <w:sz w:val="28"/>
          <w:szCs w:val="28"/>
        </w:rPr>
      </w:pPr>
      <w:r w:rsidRPr="002E4D2A">
        <w:rPr>
          <w:b/>
          <w:bCs/>
          <w:sz w:val="28"/>
          <w:szCs w:val="28"/>
        </w:rPr>
        <w:t>2. Feelings: What was I thinking and feeling?</w:t>
      </w:r>
    </w:p>
    <w:p w14:paraId="71C3249D" w14:textId="77777777" w:rsidR="00550F9B" w:rsidRPr="0017277B" w:rsidRDefault="00550F9B" w:rsidP="00550F9B">
      <w:pPr>
        <w:rPr>
          <w:rFonts w:ascii="Arial" w:hAnsi="Arial" w:cs="Arial"/>
        </w:rPr>
      </w:pPr>
      <w:r>
        <w:t xml:space="preserve">When I looked back at my journey, I felt a mixture of pride, pressure and uncertainty. I felt proud that I had already managed different responsibilities in real life, including customer service, handling money, supporting teams and </w:t>
      </w:r>
      <w:proofErr w:type="spellStart"/>
      <w:r>
        <w:t>organising</w:t>
      </w:r>
      <w:proofErr w:type="spellEnd"/>
      <w:r>
        <w:t xml:space="preserve"> family life as a mother of four. At the same time, I also felt pressure because returning to university made me question whether I could balance study, family life and future career goals in a consistent way. I was especially aware that time management and procrastination could affect my progress if I did not deal with them properly. These mixed feelings reflected a normal transition experience, where confidence and self-doubt often exist together (Smith, Hodgkin and Young, 2022).</w:t>
      </w:r>
    </w:p>
    <w:p w14:paraId="66607E03" w14:textId="77777777" w:rsidR="00D61DF4" w:rsidRPr="00D61DF4" w:rsidRDefault="00D61DF4" w:rsidP="00D61DF4">
      <w:pPr>
        <w:rPr>
          <w:rFonts w:ascii="Arial" w:hAnsi="Arial" w:cs="Arial"/>
          <w:lang w:val="en-GB"/>
        </w:rPr>
      </w:pPr>
      <w:r>
        <w:t>I also felt encouraged when some of the results matched the way I already see myself. I have always felt more comfortable in active, people-focused situations than in isolated or repetitive work, so it made sense to me that I was drawn to roles involving communication, quick thinking and variety. This made me feel more positive about my future. However, I also felt slightly uncomfortable because the results reminded me that enjoying action and variety is not enough on its own. I still need to develop better planning and self-discipline if I want to progress professionally. This made the reflection feel honest (Gallagher, 2022), and it also highlighted the importance of finding a role that fits my strengths and values (Flanagan, 2025).</w:t>
      </w:r>
    </w:p>
    <w:p w14:paraId="1ECF3759" w14:textId="77777777" w:rsidR="0097460E" w:rsidRDefault="0097460E" w:rsidP="0097460E"/>
    <w:p w14:paraId="0E8B0749" w14:textId="77777777" w:rsidR="003D4E84" w:rsidRDefault="00E85B4C" w:rsidP="0097460E">
      <w:r>
        <w:rPr>
          <w:b/>
          <w:sz w:val="28"/>
        </w:rPr>
        <w:t>3. Evaluation: What was good and bad?</w:t>
      </w:r>
    </w:p>
    <w:p w14:paraId="06A3269B" w14:textId="3BFED513" w:rsidR="0032577B" w:rsidRPr="0032577B" w:rsidRDefault="0032577B" w:rsidP="0032577B">
      <w:pPr>
        <w:jc w:val="both"/>
        <w:rPr>
          <w:rFonts w:ascii="Arial" w:hAnsi="Arial" w:cs="Arial"/>
          <w:lang w:val="en-GB"/>
        </w:rPr>
      </w:pPr>
      <w:r>
        <w:t xml:space="preserve">Looking at my career development up to now, I can see several things that have gone well. One of my main strengths is that I work well with people and can stay calm in situations that require </w:t>
      </w:r>
      <w:r>
        <w:lastRenderedPageBreak/>
        <w:t>patience, communication and trust. This was important in customer-</w:t>
      </w:r>
      <w:r w:rsidR="00D336AA">
        <w:t>dealing</w:t>
      </w:r>
      <w:r>
        <w:t xml:space="preserve"> work, especially in roles where I had to </w:t>
      </w:r>
      <w:r w:rsidR="001D3892">
        <w:t>handle</w:t>
      </w:r>
      <w:r>
        <w:t xml:space="preserve"> money, cards, payments and day-to-day interaction with different people. It was also visible in my experience of helping to </w:t>
      </w:r>
      <w:proofErr w:type="spellStart"/>
      <w:r>
        <w:t>organise</w:t>
      </w:r>
      <w:proofErr w:type="spellEnd"/>
      <w:r>
        <w:t xml:space="preserve"> group work during university in Romania and in taking responsibility in work settings where accuracy mattered. In my personal life, being a mother has also strengthened my ability to stay practical, solve problems and keep things moving even when there is pressure. These strengths are not only theoretical results from class activities, but qualities I have already used in real situations (</w:t>
      </w:r>
      <w:proofErr w:type="spellStart"/>
      <w:r>
        <w:t>Römgens</w:t>
      </w:r>
      <w:proofErr w:type="spellEnd"/>
      <w:r>
        <w:t xml:space="preserve">, </w:t>
      </w:r>
      <w:proofErr w:type="spellStart"/>
      <w:r>
        <w:t>Scoupe</w:t>
      </w:r>
      <w:proofErr w:type="spellEnd"/>
      <w:r>
        <w:t xml:space="preserve"> and </w:t>
      </w:r>
      <w:proofErr w:type="spellStart"/>
      <w:r>
        <w:t>Beausaert</w:t>
      </w:r>
      <w:proofErr w:type="spellEnd"/>
      <w:r>
        <w:t>, 2020).</w:t>
      </w:r>
    </w:p>
    <w:p w14:paraId="3C0CCCCB" w14:textId="77777777" w:rsidR="00FD6BC3" w:rsidRDefault="008E4BB5" w:rsidP="00FD6BC3">
      <w:pPr>
        <w:jc w:val="both"/>
        <w:rPr>
          <w:rFonts w:ascii="Arial" w:hAnsi="Arial" w:cs="Arial"/>
          <w:lang w:val="en-GB"/>
        </w:rPr>
      </w:pPr>
      <w:r>
        <w:t xml:space="preserve">At the same time, there have also been clear challenges in my development. The biggest difficulty has been consistency. I know that I can work hard and deal with responsibility, but I also know that time management and procrastination can hold me back. This becomes more noticeable when I </w:t>
      </w:r>
      <w:proofErr w:type="gramStart"/>
      <w:r>
        <w:t>have to</w:t>
      </w:r>
      <w:proofErr w:type="gramEnd"/>
      <w:r>
        <w:t xml:space="preserve"> balance many things at the same time, such as study, home responsibilities and </w:t>
      </w:r>
      <w:proofErr w:type="gramStart"/>
      <w:r>
        <w:t>planning ahead</w:t>
      </w:r>
      <w:proofErr w:type="gramEnd"/>
      <w:r>
        <w:t xml:space="preserve">. I also </w:t>
      </w:r>
      <w:proofErr w:type="spellStart"/>
      <w:r>
        <w:t>recognise</w:t>
      </w:r>
      <w:proofErr w:type="spellEnd"/>
      <w:r>
        <w:t xml:space="preserve"> that I sometimes prefer action over long preparation, which can make me delay tasks until they feel more urgent. Reliability is a professional skill, not just a personal habit. If I want to move forward, I need to turn my energy and people skills into more structured </w:t>
      </w:r>
      <w:proofErr w:type="spellStart"/>
      <w:r>
        <w:t>behaviour</w:t>
      </w:r>
      <w:proofErr w:type="spellEnd"/>
      <w:r>
        <w:t xml:space="preserve"> so that I can meet deadlines and manage pressure better (Cottrell, 2021).</w:t>
      </w:r>
    </w:p>
    <w:p w14:paraId="52196255" w14:textId="77777777" w:rsidR="00FD6BC3" w:rsidRDefault="00FD6BC3" w:rsidP="00FD6BC3">
      <w:pPr>
        <w:jc w:val="both"/>
        <w:rPr>
          <w:rFonts w:ascii="Arial" w:hAnsi="Arial" w:cs="Arial"/>
          <w:lang w:val="en-GB"/>
        </w:rPr>
      </w:pPr>
      <w:r>
        <w:t>Another positive point is that university now gives me a real opportunity to build on the experience I already have. It is helping me connect my past work, my family responsibilities and my future goals in a clearer way. Now I can see that university may help me turn practical strengths into stronger career options. Support before and during transition can strengthen students’ confidence and preparedness for higher education (Sokolović-Perović and Freeman, 2025). This opportunity will only matter if I use it properly. I need to stay engaged, improve my assignments, ask for support when needed and continue building confidence through action. University is helping me understand and use my earlier experience more effectively, and this links with evidence that belonging and employability can be developed together in higher education (Cooke et al., 2024).</w:t>
      </w:r>
    </w:p>
    <w:p w14:paraId="32DE47DF" w14:textId="77777777" w:rsidR="003D4E84" w:rsidRPr="002E4D2A" w:rsidRDefault="00E85B4C" w:rsidP="00FD6BC3">
      <w:pPr>
        <w:jc w:val="both"/>
        <w:rPr>
          <w:b/>
          <w:bCs/>
          <w:sz w:val="28"/>
          <w:szCs w:val="28"/>
        </w:rPr>
      </w:pPr>
      <w:r w:rsidRPr="002E4D2A">
        <w:rPr>
          <w:b/>
          <w:bCs/>
          <w:sz w:val="28"/>
          <w:szCs w:val="28"/>
        </w:rPr>
        <w:t>4. Analysis: What does it mean?</w:t>
      </w:r>
    </w:p>
    <w:p w14:paraId="14780C8F" w14:textId="77777777" w:rsidR="003D4E84" w:rsidRPr="0048204F" w:rsidRDefault="00E85B4C">
      <w:pPr>
        <w:jc w:val="both"/>
        <w:rPr>
          <w:rFonts w:ascii="Arial" w:hAnsi="Arial" w:cs="Arial"/>
        </w:rPr>
      </w:pPr>
      <w:r>
        <w:t xml:space="preserve">Using SWOT analysis, I can see that my strengths and weaknesses are connected. My strength as a peacekeeper means I may be good in roles where emotional awareness, teamwork and communication are needed. I may help others feel comfortable, especially in group or support-based environments. However, my weakness in time management could limit this strength if I am </w:t>
      </w:r>
      <w:r>
        <w:lastRenderedPageBreak/>
        <w:t xml:space="preserve">not </w:t>
      </w:r>
      <w:proofErr w:type="spellStart"/>
      <w:r>
        <w:t>organised</w:t>
      </w:r>
      <w:proofErr w:type="spellEnd"/>
      <w:r>
        <w:t xml:space="preserve"> enough to meet deadlines or manage responsibilities. My future development should focus on becoming more consistent. Graduate employability depends on different forms of capital, including human capital, social capital, cultural capital and psychological capital (Tomlinson, 2017).</w:t>
      </w:r>
    </w:p>
    <w:p w14:paraId="5C86758E" w14:textId="77777777" w:rsidR="003D4E84" w:rsidRPr="0048204F" w:rsidRDefault="00E85B4C">
      <w:pPr>
        <w:jc w:val="both"/>
        <w:rPr>
          <w:rFonts w:ascii="Arial" w:hAnsi="Arial" w:cs="Arial"/>
        </w:rPr>
      </w:pPr>
      <w:r>
        <w:t xml:space="preserve">My Myers-Briggs profile also helps explain why I prefer active, people-focused work. As an ESFP-A, I appear to be more </w:t>
      </w:r>
      <w:proofErr w:type="spellStart"/>
      <w:r>
        <w:t>energised</w:t>
      </w:r>
      <w:proofErr w:type="spellEnd"/>
      <w:r>
        <w:t xml:space="preserve"> by interaction, practical experiences and variety. This explains why I may feel more motivated in dynamic environments than in solitary or repetitive work. However, I need to be careful not to use the profile as an excuse for weak planning. A personality profile can explain preferences, but professional development requires me to build skills that may not come naturally. Reflective practice should lead to changed action, not only better self-description (Schön, 1983).</w:t>
      </w:r>
    </w:p>
    <w:p w14:paraId="2D58BDDA" w14:textId="77777777" w:rsidR="003D4E84" w:rsidRPr="0048204F" w:rsidRDefault="00E85B4C">
      <w:pPr>
        <w:jc w:val="both"/>
        <w:rPr>
          <w:rFonts w:ascii="Arial" w:hAnsi="Arial" w:cs="Arial"/>
        </w:rPr>
      </w:pPr>
      <w:r>
        <w:t>My highest career-interest areas were Creating, Persuading and Thinking. This suggests I may suit roles involving creativity, communication, problem-solving and working with people. Holland's theory argues that people are more likely to feel satisfied when their personality and interests fit the work environment (Holland, 1997). For me, careers in teaching, support work, communication, community work, wellbeing or youth work may fit better than repetitive administrative roles.</w:t>
      </w:r>
    </w:p>
    <w:p w14:paraId="407811F0" w14:textId="77777777" w:rsidR="003D4E84" w:rsidRPr="0048204F" w:rsidRDefault="00E85B4C">
      <w:pPr>
        <w:jc w:val="both"/>
        <w:rPr>
          <w:rFonts w:ascii="Arial" w:hAnsi="Arial" w:cs="Arial"/>
        </w:rPr>
      </w:pPr>
      <w:r>
        <w:t xml:space="preserve">Holland's model also helps me understand possible dissatisfaction. If I choose a career that requires high </w:t>
      </w:r>
      <w:proofErr w:type="spellStart"/>
      <w:r>
        <w:t>organisation</w:t>
      </w:r>
      <w:proofErr w:type="spellEnd"/>
      <w:r>
        <w:t xml:space="preserve">, long periods of isolated work and limited contact with people, I may struggle to stay motivated. This does not mean I should avoid structure completely, because all careers require responsibility. Instead, I need a balanced career where I can use my strengths in communication and creativity while still developing </w:t>
      </w:r>
      <w:proofErr w:type="spellStart"/>
      <w:r>
        <w:t>organisation</w:t>
      </w:r>
      <w:proofErr w:type="spellEnd"/>
      <w:r>
        <w:t xml:space="preserve"> as a professional skill.</w:t>
      </w:r>
    </w:p>
    <w:p w14:paraId="5954F170" w14:textId="77777777" w:rsidR="003D4E84" w:rsidRPr="0048204F" w:rsidRDefault="00E85B4C">
      <w:pPr>
        <w:jc w:val="both"/>
        <w:rPr>
          <w:rFonts w:ascii="Arial" w:hAnsi="Arial" w:cs="Arial"/>
        </w:rPr>
      </w:pPr>
      <w:r>
        <w:t>Overall, the models show that I am developing a clearer professional identity. I am not only asking 'What job can I do?' but 'What kind of environment helps me do my best work?' Career development is also about understanding values, strengths and identity. I am likely to develop well in roles where I can interact with people, respond to real situations and use creativity. This idea of fit is also important in students’ own views of employability (Flanagan, 2025). My action plan must directly address time management and procrastination, because these are the barriers most likely to affect my progress.</w:t>
      </w:r>
    </w:p>
    <w:p w14:paraId="2ABF39F1" w14:textId="77777777" w:rsidR="003D4E84" w:rsidRPr="002E4D2A" w:rsidRDefault="00E85B4C" w:rsidP="002E4D2A">
      <w:pPr>
        <w:rPr>
          <w:sz w:val="28"/>
          <w:szCs w:val="28"/>
        </w:rPr>
      </w:pPr>
      <w:r w:rsidRPr="002E4D2A">
        <w:rPr>
          <w:sz w:val="28"/>
          <w:szCs w:val="28"/>
        </w:rPr>
        <w:t>5. Conclusion: What have I learned?</w:t>
      </w:r>
    </w:p>
    <w:p w14:paraId="051EADBE" w14:textId="77777777" w:rsidR="003D4E84" w:rsidRPr="0048204F" w:rsidRDefault="00E85B4C">
      <w:pPr>
        <w:jc w:val="both"/>
        <w:rPr>
          <w:rFonts w:ascii="Arial" w:hAnsi="Arial" w:cs="Arial"/>
        </w:rPr>
      </w:pPr>
      <w:r>
        <w:lastRenderedPageBreak/>
        <w:t xml:space="preserve">This reflection has helped me understand that my </w:t>
      </w:r>
      <w:proofErr w:type="gramStart"/>
      <w:r>
        <w:t>career journey</w:t>
      </w:r>
      <w:proofErr w:type="gramEnd"/>
      <w:r>
        <w:t xml:space="preserve"> is still developing, but it is becoming clearer. I have learned that I am people-focused, creative, adaptable and able </w:t>
      </w:r>
      <w:proofErr w:type="gramStart"/>
      <w:r>
        <w:t>to bring</w:t>
      </w:r>
      <w:proofErr w:type="gramEnd"/>
      <w:r>
        <w:t xml:space="preserve"> </w:t>
      </w:r>
      <w:proofErr w:type="gramStart"/>
      <w:r>
        <w:t>calm</w:t>
      </w:r>
      <w:proofErr w:type="gramEnd"/>
      <w:r>
        <w:t xml:space="preserve"> into group situations. I have also learned that my weaknesses are not only small personal habits; time management and procrastination could become professional barriers if I do not address them. Gibbs' Reflective Cycle helped me understand what my results mean for my development (Gibbs, 1988).</w:t>
      </w:r>
    </w:p>
    <w:p w14:paraId="04FC07AD" w14:textId="77777777" w:rsidR="003D4E84" w:rsidRPr="0048204F" w:rsidRDefault="00E85B4C">
      <w:pPr>
        <w:jc w:val="both"/>
        <w:rPr>
          <w:rFonts w:ascii="Arial" w:hAnsi="Arial" w:cs="Arial"/>
        </w:rPr>
      </w:pPr>
      <w:r>
        <w:t xml:space="preserve">The most important insight is that I need a career direction that fits my strengths while building better structure. My strongest career possibilities appear to be roles involving communication, support, creativity, teaching, wellbeing or working with people. However, I must improve planning and consistency so that my enthusiasm becomes reliable professional </w:t>
      </w:r>
      <w:proofErr w:type="spellStart"/>
      <w:r>
        <w:t>behaviour</w:t>
      </w:r>
      <w:proofErr w:type="spellEnd"/>
      <w:r>
        <w:t>. Career development is also about becoming ready for the right role.</w:t>
      </w:r>
    </w:p>
    <w:p w14:paraId="53BF2D6C" w14:textId="77777777" w:rsidR="003D4E84" w:rsidRDefault="00E85B4C">
      <w:r>
        <w:br w:type="page"/>
      </w:r>
    </w:p>
    <w:p w14:paraId="683E5D33" w14:textId="77777777" w:rsidR="003D4E84" w:rsidRPr="002E4D2A" w:rsidRDefault="00E85B4C" w:rsidP="002E4D2A">
      <w:pPr>
        <w:rPr>
          <w:b/>
          <w:bCs/>
        </w:rPr>
      </w:pPr>
      <w:r w:rsidRPr="002E4D2A">
        <w:rPr>
          <w:b/>
          <w:bCs/>
        </w:rPr>
        <w:lastRenderedPageBreak/>
        <w:t>6. SMART Action Plan</w:t>
      </w:r>
    </w:p>
    <w:tbl>
      <w:tblPr>
        <w:tblStyle w:val="TableGrid"/>
        <w:tblW w:w="0" w:type="auto"/>
        <w:jc w:val="center"/>
        <w:tblLook w:val="04A0" w:firstRow="1" w:lastRow="0" w:firstColumn="1" w:lastColumn="0" w:noHBand="0" w:noVBand="1"/>
      </w:tblPr>
      <w:tblGrid>
        <w:gridCol w:w="1559"/>
        <w:gridCol w:w="1559"/>
        <w:gridCol w:w="1559"/>
        <w:gridCol w:w="1558"/>
        <w:gridCol w:w="1557"/>
        <w:gridCol w:w="1558"/>
      </w:tblGrid>
      <w:tr w:rsidR="003D4E84" w14:paraId="2CD72DF7" w14:textId="77777777">
        <w:trPr>
          <w:cantSplit/>
          <w:tblHeader/>
          <w:jc w:val="center"/>
        </w:trPr>
        <w:tc>
          <w:tcPr>
            <w:tcW w:w="1560" w:type="dxa"/>
            <w:shd w:val="clear" w:color="auto" w:fill="D9EAF7"/>
            <w:vAlign w:val="center"/>
          </w:tcPr>
          <w:p w14:paraId="3B8A6CFB" w14:textId="77777777" w:rsidR="003D4E84" w:rsidRDefault="00E85B4C">
            <w:pPr>
              <w:spacing w:after="0" w:line="240" w:lineRule="auto"/>
            </w:pPr>
            <w:r>
              <w:rPr>
                <w:b/>
                <w:sz w:val="22"/>
              </w:rPr>
              <w:t>Goal</w:t>
            </w:r>
          </w:p>
        </w:tc>
        <w:tc>
          <w:tcPr>
            <w:tcW w:w="1560" w:type="dxa"/>
            <w:shd w:val="clear" w:color="auto" w:fill="D9EAF7"/>
            <w:vAlign w:val="center"/>
          </w:tcPr>
          <w:p w14:paraId="4883B1E6" w14:textId="77777777" w:rsidR="003D4E84" w:rsidRDefault="00E85B4C">
            <w:pPr>
              <w:spacing w:after="0" w:line="240" w:lineRule="auto"/>
            </w:pPr>
            <w:r>
              <w:rPr>
                <w:b/>
                <w:sz w:val="22"/>
              </w:rPr>
              <w:t>Specific Action</w:t>
            </w:r>
          </w:p>
        </w:tc>
        <w:tc>
          <w:tcPr>
            <w:tcW w:w="1560" w:type="dxa"/>
            <w:shd w:val="clear" w:color="auto" w:fill="D9EAF7"/>
            <w:vAlign w:val="center"/>
          </w:tcPr>
          <w:p w14:paraId="7F4CA0CA" w14:textId="77777777" w:rsidR="003D4E84" w:rsidRDefault="00E85B4C">
            <w:pPr>
              <w:spacing w:after="0" w:line="240" w:lineRule="auto"/>
            </w:pPr>
            <w:r>
              <w:rPr>
                <w:b/>
                <w:sz w:val="22"/>
              </w:rPr>
              <w:t>Measurable</w:t>
            </w:r>
          </w:p>
        </w:tc>
        <w:tc>
          <w:tcPr>
            <w:tcW w:w="1560" w:type="dxa"/>
            <w:shd w:val="clear" w:color="auto" w:fill="D9EAF7"/>
            <w:vAlign w:val="center"/>
          </w:tcPr>
          <w:p w14:paraId="39C1563A" w14:textId="77777777" w:rsidR="003D4E84" w:rsidRDefault="00E85B4C">
            <w:pPr>
              <w:spacing w:after="0" w:line="240" w:lineRule="auto"/>
            </w:pPr>
            <w:r>
              <w:rPr>
                <w:b/>
                <w:sz w:val="22"/>
              </w:rPr>
              <w:t>Achievable</w:t>
            </w:r>
          </w:p>
        </w:tc>
        <w:tc>
          <w:tcPr>
            <w:tcW w:w="1560" w:type="dxa"/>
            <w:shd w:val="clear" w:color="auto" w:fill="D9EAF7"/>
            <w:vAlign w:val="center"/>
          </w:tcPr>
          <w:p w14:paraId="4915B7AD" w14:textId="77777777" w:rsidR="003D4E84" w:rsidRDefault="00E85B4C">
            <w:pPr>
              <w:spacing w:after="0" w:line="240" w:lineRule="auto"/>
            </w:pPr>
            <w:r>
              <w:rPr>
                <w:b/>
                <w:sz w:val="22"/>
              </w:rPr>
              <w:t>Relevant</w:t>
            </w:r>
          </w:p>
        </w:tc>
        <w:tc>
          <w:tcPr>
            <w:tcW w:w="1560" w:type="dxa"/>
            <w:shd w:val="clear" w:color="auto" w:fill="D9EAF7"/>
            <w:vAlign w:val="center"/>
          </w:tcPr>
          <w:p w14:paraId="6134420F" w14:textId="77777777" w:rsidR="003D4E84" w:rsidRDefault="00E85B4C">
            <w:pPr>
              <w:spacing w:after="0" w:line="240" w:lineRule="auto"/>
            </w:pPr>
            <w:r>
              <w:rPr>
                <w:b/>
                <w:sz w:val="22"/>
              </w:rPr>
              <w:t>Time-Bound</w:t>
            </w:r>
          </w:p>
        </w:tc>
      </w:tr>
      <w:tr w:rsidR="003D4E84" w14:paraId="4755111A" w14:textId="77777777">
        <w:trPr>
          <w:cantSplit/>
          <w:jc w:val="center"/>
        </w:trPr>
        <w:tc>
          <w:tcPr>
            <w:tcW w:w="1560" w:type="dxa"/>
            <w:vAlign w:val="center"/>
          </w:tcPr>
          <w:p w14:paraId="560B2183" w14:textId="77777777" w:rsidR="003D4E84" w:rsidRDefault="00E85B4C">
            <w:pPr>
              <w:spacing w:after="0" w:line="240" w:lineRule="auto"/>
            </w:pPr>
            <w:r>
              <w:rPr>
                <w:sz w:val="22"/>
              </w:rPr>
              <w:t>Improve time management</w:t>
            </w:r>
          </w:p>
        </w:tc>
        <w:tc>
          <w:tcPr>
            <w:tcW w:w="1560" w:type="dxa"/>
            <w:vAlign w:val="center"/>
          </w:tcPr>
          <w:p w14:paraId="0411950E" w14:textId="77777777" w:rsidR="003D4E84" w:rsidRDefault="00E85B4C">
            <w:pPr>
              <w:spacing w:after="0" w:line="240" w:lineRule="auto"/>
            </w:pPr>
            <w:r>
              <w:rPr>
                <w:sz w:val="22"/>
              </w:rPr>
              <w:t>Create a weekly study and work planner every Sunday evening</w:t>
            </w:r>
          </w:p>
        </w:tc>
        <w:tc>
          <w:tcPr>
            <w:tcW w:w="1560" w:type="dxa"/>
            <w:vAlign w:val="center"/>
          </w:tcPr>
          <w:p w14:paraId="318FF43B" w14:textId="77777777" w:rsidR="003D4E84" w:rsidRDefault="00E85B4C">
            <w:pPr>
              <w:spacing w:after="0" w:line="240" w:lineRule="auto"/>
            </w:pPr>
            <w:r>
              <w:rPr>
                <w:sz w:val="22"/>
              </w:rPr>
              <w:t>Planner completed once per week</w:t>
            </w:r>
          </w:p>
        </w:tc>
        <w:tc>
          <w:tcPr>
            <w:tcW w:w="1560" w:type="dxa"/>
            <w:vAlign w:val="center"/>
          </w:tcPr>
          <w:p w14:paraId="7A995379" w14:textId="77777777" w:rsidR="003D4E84" w:rsidRDefault="00E85B4C">
            <w:pPr>
              <w:spacing w:after="0" w:line="240" w:lineRule="auto"/>
            </w:pPr>
            <w:r>
              <w:rPr>
                <w:sz w:val="22"/>
              </w:rPr>
              <w:t>Yes, using phone reminders and a notebook</w:t>
            </w:r>
          </w:p>
        </w:tc>
        <w:tc>
          <w:tcPr>
            <w:tcW w:w="1560" w:type="dxa"/>
            <w:vAlign w:val="center"/>
          </w:tcPr>
          <w:p w14:paraId="67243334" w14:textId="77777777" w:rsidR="003D4E84" w:rsidRDefault="00E85B4C">
            <w:pPr>
              <w:spacing w:after="0" w:line="240" w:lineRule="auto"/>
            </w:pPr>
            <w:r>
              <w:rPr>
                <w:sz w:val="22"/>
              </w:rPr>
              <w:t>Supports university progress and reduces stress</w:t>
            </w:r>
          </w:p>
        </w:tc>
        <w:tc>
          <w:tcPr>
            <w:tcW w:w="1560" w:type="dxa"/>
            <w:vAlign w:val="center"/>
          </w:tcPr>
          <w:p w14:paraId="72CD4175" w14:textId="77777777" w:rsidR="003D4E84" w:rsidRDefault="00E85B4C">
            <w:pPr>
              <w:spacing w:after="0" w:line="240" w:lineRule="auto"/>
            </w:pPr>
            <w:r>
              <w:rPr>
                <w:sz w:val="22"/>
              </w:rPr>
              <w:t>Start immediately and review after 6 weeks</w:t>
            </w:r>
          </w:p>
        </w:tc>
      </w:tr>
      <w:tr w:rsidR="003D4E84" w14:paraId="30385E67" w14:textId="77777777">
        <w:trPr>
          <w:cantSplit/>
          <w:jc w:val="center"/>
        </w:trPr>
        <w:tc>
          <w:tcPr>
            <w:tcW w:w="1560" w:type="dxa"/>
            <w:vAlign w:val="center"/>
          </w:tcPr>
          <w:p w14:paraId="257DE5FE" w14:textId="77777777" w:rsidR="003D4E84" w:rsidRDefault="00E85B4C">
            <w:pPr>
              <w:spacing w:after="0" w:line="240" w:lineRule="auto"/>
            </w:pPr>
            <w:r>
              <w:rPr>
                <w:sz w:val="22"/>
              </w:rPr>
              <w:t>Reduce procrastination</w:t>
            </w:r>
          </w:p>
        </w:tc>
        <w:tc>
          <w:tcPr>
            <w:tcW w:w="1560" w:type="dxa"/>
            <w:vAlign w:val="center"/>
          </w:tcPr>
          <w:p w14:paraId="69ED090D" w14:textId="77777777" w:rsidR="003D4E84" w:rsidRDefault="00E85B4C">
            <w:pPr>
              <w:spacing w:after="0" w:line="240" w:lineRule="auto"/>
            </w:pPr>
            <w:r>
              <w:rPr>
                <w:sz w:val="22"/>
              </w:rPr>
              <w:t xml:space="preserve">Break assignments into small tasks with </w:t>
            </w:r>
            <w:proofErr w:type="gramStart"/>
            <w:r>
              <w:rPr>
                <w:sz w:val="22"/>
              </w:rPr>
              <w:t>mini-deadlines</w:t>
            </w:r>
            <w:proofErr w:type="gramEnd"/>
          </w:p>
        </w:tc>
        <w:tc>
          <w:tcPr>
            <w:tcW w:w="1560" w:type="dxa"/>
            <w:vAlign w:val="center"/>
          </w:tcPr>
          <w:p w14:paraId="45813860" w14:textId="77777777" w:rsidR="003D4E84" w:rsidRDefault="00E85B4C">
            <w:pPr>
              <w:spacing w:after="0" w:line="240" w:lineRule="auto"/>
            </w:pPr>
            <w:r>
              <w:rPr>
                <w:sz w:val="22"/>
              </w:rPr>
              <w:t>Complete at least 3 small tasks per week</w:t>
            </w:r>
          </w:p>
        </w:tc>
        <w:tc>
          <w:tcPr>
            <w:tcW w:w="1560" w:type="dxa"/>
            <w:vAlign w:val="center"/>
          </w:tcPr>
          <w:p w14:paraId="095C8FFF" w14:textId="77777777" w:rsidR="003D4E84" w:rsidRDefault="00E85B4C">
            <w:pPr>
              <w:spacing w:after="0" w:line="240" w:lineRule="auto"/>
            </w:pPr>
            <w:r>
              <w:rPr>
                <w:sz w:val="22"/>
              </w:rPr>
              <w:t>Yes, because tasks will be shorter and clearer</w:t>
            </w:r>
          </w:p>
        </w:tc>
        <w:tc>
          <w:tcPr>
            <w:tcW w:w="1560" w:type="dxa"/>
            <w:vAlign w:val="center"/>
          </w:tcPr>
          <w:p w14:paraId="3F0CEA4D" w14:textId="77777777" w:rsidR="003D4E84" w:rsidRDefault="00E85B4C">
            <w:pPr>
              <w:spacing w:after="0" w:line="240" w:lineRule="auto"/>
            </w:pPr>
            <w:proofErr w:type="gramStart"/>
            <w:r>
              <w:rPr>
                <w:sz w:val="22"/>
              </w:rPr>
              <w:t>Helps</w:t>
            </w:r>
            <w:proofErr w:type="gramEnd"/>
            <w:r>
              <w:rPr>
                <w:sz w:val="22"/>
              </w:rPr>
              <w:t xml:space="preserve"> me submit work on time</w:t>
            </w:r>
          </w:p>
        </w:tc>
        <w:tc>
          <w:tcPr>
            <w:tcW w:w="1560" w:type="dxa"/>
            <w:vAlign w:val="center"/>
          </w:tcPr>
          <w:p w14:paraId="6D855C71" w14:textId="77777777" w:rsidR="003D4E84" w:rsidRDefault="00E85B4C">
            <w:pPr>
              <w:spacing w:after="0" w:line="240" w:lineRule="auto"/>
            </w:pPr>
            <w:r>
              <w:rPr>
                <w:sz w:val="22"/>
              </w:rPr>
              <w:t>Use for every assignment this term</w:t>
            </w:r>
          </w:p>
        </w:tc>
      </w:tr>
      <w:tr w:rsidR="003D4E84" w14:paraId="07DFD7AB" w14:textId="77777777">
        <w:trPr>
          <w:cantSplit/>
          <w:jc w:val="center"/>
        </w:trPr>
        <w:tc>
          <w:tcPr>
            <w:tcW w:w="1560" w:type="dxa"/>
            <w:vAlign w:val="center"/>
          </w:tcPr>
          <w:p w14:paraId="7D8A58ED" w14:textId="77777777" w:rsidR="003D4E84" w:rsidRDefault="00E85B4C">
            <w:pPr>
              <w:spacing w:after="0" w:line="240" w:lineRule="auto"/>
            </w:pPr>
            <w:r>
              <w:rPr>
                <w:sz w:val="22"/>
              </w:rPr>
              <w:t>Build career confidence</w:t>
            </w:r>
          </w:p>
        </w:tc>
        <w:tc>
          <w:tcPr>
            <w:tcW w:w="1560" w:type="dxa"/>
            <w:vAlign w:val="center"/>
          </w:tcPr>
          <w:p w14:paraId="3F826F30" w14:textId="77777777" w:rsidR="003D4E84" w:rsidRDefault="00E85B4C">
            <w:pPr>
              <w:spacing w:after="0" w:line="240" w:lineRule="auto"/>
            </w:pPr>
            <w:r>
              <w:rPr>
                <w:sz w:val="22"/>
              </w:rPr>
              <w:t>Attend university career-support sessions or speak with a tutor about suitable roles</w:t>
            </w:r>
          </w:p>
        </w:tc>
        <w:tc>
          <w:tcPr>
            <w:tcW w:w="1560" w:type="dxa"/>
            <w:vAlign w:val="center"/>
          </w:tcPr>
          <w:p w14:paraId="09F05E48" w14:textId="77777777" w:rsidR="003D4E84" w:rsidRDefault="00E85B4C">
            <w:pPr>
              <w:spacing w:after="0" w:line="240" w:lineRule="auto"/>
            </w:pPr>
            <w:r>
              <w:rPr>
                <w:sz w:val="22"/>
              </w:rPr>
              <w:t>Attend at least 2 career-related meetings</w:t>
            </w:r>
          </w:p>
        </w:tc>
        <w:tc>
          <w:tcPr>
            <w:tcW w:w="1560" w:type="dxa"/>
            <w:vAlign w:val="center"/>
          </w:tcPr>
          <w:p w14:paraId="655D9B76" w14:textId="77777777" w:rsidR="003D4E84" w:rsidRDefault="00E85B4C">
            <w:pPr>
              <w:spacing w:after="0" w:line="240" w:lineRule="auto"/>
            </w:pPr>
            <w:r>
              <w:rPr>
                <w:sz w:val="22"/>
              </w:rPr>
              <w:t>Yes, support is available through university</w:t>
            </w:r>
          </w:p>
        </w:tc>
        <w:tc>
          <w:tcPr>
            <w:tcW w:w="1560" w:type="dxa"/>
            <w:vAlign w:val="center"/>
          </w:tcPr>
          <w:p w14:paraId="5321FD9E" w14:textId="77777777" w:rsidR="003D4E84" w:rsidRDefault="00E85B4C">
            <w:pPr>
              <w:spacing w:after="0" w:line="240" w:lineRule="auto"/>
            </w:pPr>
            <w:r>
              <w:rPr>
                <w:sz w:val="22"/>
              </w:rPr>
              <w:t>Helps me connect strengths to real career options</w:t>
            </w:r>
          </w:p>
        </w:tc>
        <w:tc>
          <w:tcPr>
            <w:tcW w:w="1560" w:type="dxa"/>
            <w:vAlign w:val="center"/>
          </w:tcPr>
          <w:p w14:paraId="5A0B8AFC" w14:textId="77777777" w:rsidR="003D4E84" w:rsidRDefault="00E85B4C">
            <w:pPr>
              <w:spacing w:after="0" w:line="240" w:lineRule="auto"/>
            </w:pPr>
            <w:r>
              <w:rPr>
                <w:sz w:val="22"/>
              </w:rPr>
              <w:t>Complete within 3 months</w:t>
            </w:r>
          </w:p>
        </w:tc>
      </w:tr>
      <w:tr w:rsidR="003D4E84" w14:paraId="17B1489D" w14:textId="77777777">
        <w:trPr>
          <w:cantSplit/>
          <w:jc w:val="center"/>
        </w:trPr>
        <w:tc>
          <w:tcPr>
            <w:tcW w:w="1560" w:type="dxa"/>
            <w:vAlign w:val="center"/>
          </w:tcPr>
          <w:p w14:paraId="316160BC" w14:textId="77777777" w:rsidR="003D4E84" w:rsidRDefault="00E85B4C">
            <w:pPr>
              <w:spacing w:after="0" w:line="240" w:lineRule="auto"/>
            </w:pPr>
            <w:r>
              <w:rPr>
                <w:sz w:val="22"/>
              </w:rPr>
              <w:t>Develop employability experience</w:t>
            </w:r>
          </w:p>
        </w:tc>
        <w:tc>
          <w:tcPr>
            <w:tcW w:w="1560" w:type="dxa"/>
            <w:vAlign w:val="center"/>
          </w:tcPr>
          <w:p w14:paraId="7FC8ED2D" w14:textId="77777777" w:rsidR="003D4E84" w:rsidRDefault="00E85B4C">
            <w:pPr>
              <w:spacing w:after="0" w:line="240" w:lineRule="auto"/>
            </w:pPr>
            <w:r>
              <w:rPr>
                <w:sz w:val="22"/>
              </w:rPr>
              <w:t>Look for volunteering, placement or part-time experience in a people-focused setting</w:t>
            </w:r>
          </w:p>
        </w:tc>
        <w:tc>
          <w:tcPr>
            <w:tcW w:w="1560" w:type="dxa"/>
            <w:vAlign w:val="center"/>
          </w:tcPr>
          <w:p w14:paraId="5A3FD23B" w14:textId="77777777" w:rsidR="003D4E84" w:rsidRDefault="00E85B4C">
            <w:pPr>
              <w:spacing w:after="0" w:line="240" w:lineRule="auto"/>
            </w:pPr>
            <w:r>
              <w:rPr>
                <w:sz w:val="22"/>
              </w:rPr>
              <w:t>Apply for at least 3 opportunities</w:t>
            </w:r>
          </w:p>
        </w:tc>
        <w:tc>
          <w:tcPr>
            <w:tcW w:w="1560" w:type="dxa"/>
            <w:vAlign w:val="center"/>
          </w:tcPr>
          <w:p w14:paraId="5D70F713" w14:textId="77777777" w:rsidR="003D4E84" w:rsidRDefault="00E85B4C">
            <w:pPr>
              <w:spacing w:after="0" w:line="240" w:lineRule="auto"/>
            </w:pPr>
            <w:r>
              <w:rPr>
                <w:sz w:val="22"/>
              </w:rPr>
              <w:t>Yes, with support from university and online searches</w:t>
            </w:r>
          </w:p>
        </w:tc>
        <w:tc>
          <w:tcPr>
            <w:tcW w:w="1560" w:type="dxa"/>
            <w:vAlign w:val="center"/>
          </w:tcPr>
          <w:p w14:paraId="51C38558" w14:textId="77777777" w:rsidR="003D4E84" w:rsidRDefault="00E85B4C">
            <w:pPr>
              <w:spacing w:after="0" w:line="240" w:lineRule="auto"/>
            </w:pPr>
            <w:proofErr w:type="gramStart"/>
            <w:r>
              <w:rPr>
                <w:sz w:val="22"/>
              </w:rPr>
              <w:t>Builds</w:t>
            </w:r>
            <w:proofErr w:type="gramEnd"/>
            <w:r>
              <w:rPr>
                <w:sz w:val="22"/>
              </w:rPr>
              <w:t xml:space="preserve"> confidence, skills and career evidence</w:t>
            </w:r>
          </w:p>
        </w:tc>
        <w:tc>
          <w:tcPr>
            <w:tcW w:w="1560" w:type="dxa"/>
            <w:vAlign w:val="center"/>
          </w:tcPr>
          <w:p w14:paraId="54DF5AF5" w14:textId="77777777" w:rsidR="003D4E84" w:rsidRDefault="00E85B4C">
            <w:pPr>
              <w:spacing w:after="0" w:line="240" w:lineRule="auto"/>
            </w:pPr>
            <w:r>
              <w:rPr>
                <w:sz w:val="22"/>
              </w:rPr>
              <w:t>Complete applications within 12 weeks</w:t>
            </w:r>
          </w:p>
        </w:tc>
      </w:tr>
      <w:tr w:rsidR="003D4E84" w14:paraId="16D25435" w14:textId="77777777">
        <w:trPr>
          <w:cantSplit/>
          <w:jc w:val="center"/>
        </w:trPr>
        <w:tc>
          <w:tcPr>
            <w:tcW w:w="1560" w:type="dxa"/>
            <w:vAlign w:val="center"/>
          </w:tcPr>
          <w:p w14:paraId="073B8030" w14:textId="77777777" w:rsidR="003D4E84" w:rsidRDefault="00E85B4C">
            <w:pPr>
              <w:spacing w:after="0" w:line="240" w:lineRule="auto"/>
            </w:pPr>
            <w:r>
              <w:rPr>
                <w:sz w:val="22"/>
              </w:rPr>
              <w:t xml:space="preserve">Improve </w:t>
            </w:r>
            <w:proofErr w:type="spellStart"/>
            <w:r>
              <w:rPr>
                <w:sz w:val="22"/>
              </w:rPr>
              <w:t>organisation</w:t>
            </w:r>
            <w:proofErr w:type="spellEnd"/>
          </w:p>
        </w:tc>
        <w:tc>
          <w:tcPr>
            <w:tcW w:w="1560" w:type="dxa"/>
            <w:vAlign w:val="center"/>
          </w:tcPr>
          <w:p w14:paraId="10B15A0D" w14:textId="77777777" w:rsidR="003D4E84" w:rsidRDefault="00E85B4C">
            <w:pPr>
              <w:spacing w:after="0" w:line="240" w:lineRule="auto"/>
            </w:pPr>
            <w:r>
              <w:rPr>
                <w:sz w:val="22"/>
              </w:rPr>
              <w:t>Use a checklist for deadlines, reading, references and assignment submission</w:t>
            </w:r>
          </w:p>
        </w:tc>
        <w:tc>
          <w:tcPr>
            <w:tcW w:w="1560" w:type="dxa"/>
            <w:vAlign w:val="center"/>
          </w:tcPr>
          <w:p w14:paraId="7ED8696E" w14:textId="77777777" w:rsidR="003D4E84" w:rsidRDefault="00E85B4C">
            <w:pPr>
              <w:spacing w:after="0" w:line="240" w:lineRule="auto"/>
            </w:pPr>
            <w:r>
              <w:rPr>
                <w:sz w:val="22"/>
              </w:rPr>
              <w:t>Checklist used for every assignment</w:t>
            </w:r>
          </w:p>
        </w:tc>
        <w:tc>
          <w:tcPr>
            <w:tcW w:w="1560" w:type="dxa"/>
            <w:vAlign w:val="center"/>
          </w:tcPr>
          <w:p w14:paraId="4F519074" w14:textId="77777777" w:rsidR="003D4E84" w:rsidRDefault="00E85B4C">
            <w:pPr>
              <w:spacing w:after="0" w:line="240" w:lineRule="auto"/>
            </w:pPr>
            <w:r>
              <w:rPr>
                <w:sz w:val="22"/>
              </w:rPr>
              <w:t>Yes, simple and realistic</w:t>
            </w:r>
          </w:p>
        </w:tc>
        <w:tc>
          <w:tcPr>
            <w:tcW w:w="1560" w:type="dxa"/>
            <w:vAlign w:val="center"/>
          </w:tcPr>
          <w:p w14:paraId="071F96C6" w14:textId="77777777" w:rsidR="003D4E84" w:rsidRDefault="00E85B4C">
            <w:pPr>
              <w:spacing w:after="0" w:line="240" w:lineRule="auto"/>
            </w:pPr>
            <w:r>
              <w:rPr>
                <w:sz w:val="22"/>
              </w:rPr>
              <w:t xml:space="preserve">Directly addresses my low </w:t>
            </w:r>
            <w:proofErr w:type="spellStart"/>
            <w:r>
              <w:rPr>
                <w:sz w:val="22"/>
              </w:rPr>
              <w:t>organising</w:t>
            </w:r>
            <w:proofErr w:type="spellEnd"/>
            <w:r>
              <w:rPr>
                <w:sz w:val="22"/>
              </w:rPr>
              <w:t xml:space="preserve"> score</w:t>
            </w:r>
          </w:p>
        </w:tc>
        <w:tc>
          <w:tcPr>
            <w:tcW w:w="1560" w:type="dxa"/>
            <w:vAlign w:val="center"/>
          </w:tcPr>
          <w:p w14:paraId="61E7DB3B" w14:textId="77777777" w:rsidR="003D4E84" w:rsidRDefault="00E85B4C">
            <w:pPr>
              <w:spacing w:after="0" w:line="240" w:lineRule="auto"/>
            </w:pPr>
            <w:r>
              <w:rPr>
                <w:sz w:val="22"/>
              </w:rPr>
              <w:t>Start with the next assignment</w:t>
            </w:r>
          </w:p>
        </w:tc>
      </w:tr>
    </w:tbl>
    <w:p w14:paraId="1DF52CB4" w14:textId="77777777" w:rsidR="003D4E84" w:rsidRDefault="00E85B4C">
      <w:r>
        <w:br w:type="page"/>
      </w:r>
    </w:p>
    <w:p w14:paraId="61C0B8C0" w14:textId="77777777" w:rsidR="003D4E84" w:rsidRPr="002E4D2A" w:rsidRDefault="00E85B4C" w:rsidP="002E4D2A">
      <w:pPr>
        <w:rPr>
          <w:b/>
          <w:bCs/>
          <w:sz w:val="28"/>
          <w:szCs w:val="28"/>
        </w:rPr>
      </w:pPr>
      <w:r w:rsidRPr="002E4D2A">
        <w:rPr>
          <w:b/>
          <w:bCs/>
          <w:sz w:val="28"/>
          <w:szCs w:val="28"/>
        </w:rPr>
        <w:lastRenderedPageBreak/>
        <w:t>Reference List</w:t>
      </w:r>
    </w:p>
    <w:p w14:paraId="397C82E7" w14:textId="7740E3C5" w:rsidR="00373F2D" w:rsidRDefault="00E46595">
      <w:r>
        <w:t xml:space="preserve">1. Cottrell, S. (2021) </w:t>
      </w:r>
      <w:r w:rsidRPr="00546AC3">
        <w:rPr>
          <w:i/>
          <w:iCs/>
        </w:rPr>
        <w:t>Skills for Success: Personal Development and Employability</w:t>
      </w:r>
      <w:r>
        <w:t>. 4</w:t>
      </w:r>
      <w:r w:rsidR="00FF1886" w:rsidRPr="00FF1886">
        <w:rPr>
          <w:vertAlign w:val="superscript"/>
        </w:rPr>
        <w:t>th</w:t>
      </w:r>
      <w:r w:rsidR="00FF1886">
        <w:t xml:space="preserve"> </w:t>
      </w:r>
      <w:proofErr w:type="spellStart"/>
      <w:r>
        <w:t>edn</w:t>
      </w:r>
      <w:proofErr w:type="spellEnd"/>
      <w:r>
        <w:t xml:space="preserve">. London: Red Globe Press. </w:t>
      </w:r>
    </w:p>
    <w:p w14:paraId="78B6B9FF" w14:textId="012D4FA5" w:rsidR="00373F2D" w:rsidRDefault="00E46595">
      <w:r>
        <w:t xml:space="preserve">2. Gallagher, K. (2022) </w:t>
      </w:r>
      <w:r w:rsidRPr="00AC2B48">
        <w:rPr>
          <w:i/>
          <w:iCs/>
        </w:rPr>
        <w:t>Essential Study and Employment Skills for Business and Management Students</w:t>
      </w:r>
      <w:r>
        <w:t>. 4</w:t>
      </w:r>
      <w:proofErr w:type="gramStart"/>
      <w:r w:rsidR="00B06165" w:rsidRPr="00B06165">
        <w:rPr>
          <w:vertAlign w:val="superscript"/>
        </w:rPr>
        <w:t>th</w:t>
      </w:r>
      <w:r w:rsidR="00B06165">
        <w:t xml:space="preserve"> </w:t>
      </w:r>
      <w:r>
        <w:t xml:space="preserve"> </w:t>
      </w:r>
      <w:proofErr w:type="spellStart"/>
      <w:r>
        <w:t>edn</w:t>
      </w:r>
      <w:proofErr w:type="spellEnd"/>
      <w:proofErr w:type="gramEnd"/>
      <w:r>
        <w:t xml:space="preserve">. Oxford: Oxford University Press. </w:t>
      </w:r>
    </w:p>
    <w:p w14:paraId="150A62ED" w14:textId="77777777" w:rsidR="00373F2D" w:rsidRDefault="00E46595">
      <w:r>
        <w:t xml:space="preserve">3. Gibbs, G. (1988) </w:t>
      </w:r>
      <w:r w:rsidRPr="00430C0F">
        <w:rPr>
          <w:i/>
          <w:iCs/>
        </w:rPr>
        <w:t>Learning by Doing: A Guide to Teaching and Learning Methods.</w:t>
      </w:r>
      <w:r>
        <w:t xml:space="preserve"> Oxford: Further Education Unit.</w:t>
      </w:r>
    </w:p>
    <w:p w14:paraId="4A81D82B" w14:textId="4AE233E2" w:rsidR="00373F2D" w:rsidRDefault="00E46595">
      <w:r>
        <w:t xml:space="preserve">4. Hayman, R., Wharton, K., Bell, L. and Bird, L. (2024) ‘Navigating the first year at an English university: exploring the experiences of mature students through the lens of transition theory’, </w:t>
      </w:r>
      <w:r w:rsidRPr="00430C0F">
        <w:rPr>
          <w:i/>
          <w:iCs/>
        </w:rPr>
        <w:t>International Journal of Lifelong Education</w:t>
      </w:r>
      <w:r>
        <w:t xml:space="preserve">, 43(1), pp. 39–51. Available at: https://doi.org/10.1080/02601370.2023.2297671 (Accessed: </w:t>
      </w:r>
      <w:r w:rsidR="00430C0F">
        <w:t>2</w:t>
      </w:r>
      <w:r>
        <w:t xml:space="preserve"> June 2026).</w:t>
      </w:r>
    </w:p>
    <w:p w14:paraId="724EBAB1" w14:textId="77777777" w:rsidR="00373F2D" w:rsidRDefault="00E46595">
      <w:r>
        <w:t xml:space="preserve">5. Holland, J.L. (1997) Making Vocational Choices: A Theory of Vocational Personalities and Work Environments. 3rd </w:t>
      </w:r>
      <w:proofErr w:type="spellStart"/>
      <w:r>
        <w:t>edn</w:t>
      </w:r>
      <w:proofErr w:type="spellEnd"/>
      <w:r>
        <w:t>. Odessa, FL: Psychological Assessment Resources.</w:t>
      </w:r>
    </w:p>
    <w:p w14:paraId="515D06AB" w14:textId="77777777" w:rsidR="00373F2D" w:rsidRDefault="00E46595">
      <w:r>
        <w:t xml:space="preserve">6. Jackson, D. and </w:t>
      </w:r>
      <w:proofErr w:type="spellStart"/>
      <w:r>
        <w:t>Bridgstock</w:t>
      </w:r>
      <w:proofErr w:type="spellEnd"/>
      <w:r>
        <w:t>, R. (</w:t>
      </w:r>
      <w:proofErr w:type="gramStart"/>
      <w:r>
        <w:t>2021) ‘</w:t>
      </w:r>
      <w:proofErr w:type="gramEnd"/>
      <w:r>
        <w:t xml:space="preserve">What </w:t>
      </w:r>
      <w:proofErr w:type="gramStart"/>
      <w:r>
        <w:t>actually works</w:t>
      </w:r>
      <w:proofErr w:type="gramEnd"/>
      <w:r>
        <w:t xml:space="preserve"> to enhance graduate employability? The relative value of curricular, co-curricular, and extra-curricular learning and paid work’, Higher Education, 81, pp. 723–739. Available at: https://doi.org/10.1007/s10734-020-00570-x (Accessed: 9 June 2026).</w:t>
      </w:r>
    </w:p>
    <w:p w14:paraId="78D5BD63" w14:textId="77777777" w:rsidR="00373F2D" w:rsidRDefault="00E46595">
      <w:r>
        <w:t xml:space="preserve">7. </w:t>
      </w:r>
      <w:proofErr w:type="spellStart"/>
      <w:r>
        <w:t>Römgens</w:t>
      </w:r>
      <w:proofErr w:type="spellEnd"/>
      <w:r>
        <w:t xml:space="preserve">, I., </w:t>
      </w:r>
      <w:proofErr w:type="spellStart"/>
      <w:r>
        <w:t>Scoupe</w:t>
      </w:r>
      <w:proofErr w:type="spellEnd"/>
      <w:r>
        <w:t xml:space="preserve">, R. and </w:t>
      </w:r>
      <w:proofErr w:type="spellStart"/>
      <w:r>
        <w:t>Beausaert</w:t>
      </w:r>
      <w:proofErr w:type="spellEnd"/>
      <w:r>
        <w:t>, S. (2020) ‘Unraveling the concept of employability, bringing together research on employability in higher education and the workplace’, Studies in Higher Education, 45(12), pp. 2588–2603. Available at: https://doi.org/10.1080/03075079.2019.1623770 (Accessed: 9 June 2026).</w:t>
      </w:r>
    </w:p>
    <w:p w14:paraId="3ACF750D" w14:textId="77777777" w:rsidR="00373F2D" w:rsidRDefault="00E46595">
      <w:r>
        <w:t>8. Schön, D.A. (1983) The Reflective Practitioner: How Professionals Think in Action. New York: Basic Books.</w:t>
      </w:r>
    </w:p>
    <w:p w14:paraId="43CA57C1" w14:textId="77777777" w:rsidR="00373F2D" w:rsidRDefault="00E46595">
      <w:r>
        <w:t>9. Smith, E.R., Hodgkin, K. and Young, N. (2022) ‘Student transitions to university in Wales: a mixed-method study of the enablers and barriers of first-year engagement’, International Journal of Educational Research Open, 3, 100216. Available at: https://doi.org/10.1016/j.ijedro.2022.100216 (Accessed: 9 June 2026).</w:t>
      </w:r>
    </w:p>
    <w:p w14:paraId="44954D65" w14:textId="77777777" w:rsidR="00373F2D" w:rsidRDefault="00E46595">
      <w:r>
        <w:lastRenderedPageBreak/>
        <w:t>10. Tomlinson, M. (</w:t>
      </w:r>
      <w:proofErr w:type="gramStart"/>
      <w:r>
        <w:t>2017) ‘</w:t>
      </w:r>
      <w:proofErr w:type="gramEnd"/>
      <w:r>
        <w:t>Forms of graduate capital and their relationship to graduate employability’, Education and Training, 59(4), pp. 338-352. Available at: https://doi.org/10.1108/ET-05-2016-0090 (Accessed: 15 May 2026).</w:t>
      </w:r>
    </w:p>
    <w:p w14:paraId="4BC08D5C" w14:textId="77777777" w:rsidR="00167239" w:rsidRDefault="00000000">
      <w:r>
        <w:t>11. Briscoe, H. (2025) ‘Returning to learning: the importance of creating compassionate and collaborative spaces for students re-entering education’, Journal of Learning Development in Higher Education, (35). Available at: https://doi.org/10.47408/jldhe.vi35.1315 (Accessed: 12 June 2026).</w:t>
      </w:r>
    </w:p>
    <w:p w14:paraId="34FBD2F9" w14:textId="77777777" w:rsidR="00167239" w:rsidRDefault="00000000">
      <w:r>
        <w:t>12. Cooke, B., Kaiseler, M., Robertson, B., Smith, H., Swann, S., Vergilio, T. and Smith, S.V. (2024) ‘Pedagogical interventions to support student belonging and employability in large cohorts: four case studies’, Journal of Learning Development in Higher Education, (30). Available at: https://doi.org/10.47408/jldhe.vi30.1040 (Accessed: 12 June 2026).</w:t>
      </w:r>
    </w:p>
    <w:p w14:paraId="3BD9580C" w14:textId="77777777" w:rsidR="00167239" w:rsidRDefault="00000000">
      <w:r>
        <w:t>13. Flanagan, S. (2025) ‘It’s mainly about fit: employability perspectives from undergraduate learners on a vocational course in England’, Industry and Higher Education, 39(2), pp. 223–233. Available at: https://doi.org/10.1177/09504222241277620 (Accessed: 12 June 2026).</w:t>
      </w:r>
    </w:p>
    <w:p w14:paraId="1C13AA0A" w14:textId="73CB78E5" w:rsidR="00167239" w:rsidRDefault="00000000">
      <w:r>
        <w:t>14. Robertson, P.J., Hooley, T. and McCash, P.</w:t>
      </w:r>
      <w:r w:rsidR="003C1B2C">
        <w:t xml:space="preserve"> </w:t>
      </w:r>
      <w:r>
        <w:t xml:space="preserve">(2021) </w:t>
      </w:r>
      <w:r w:rsidRPr="003C1B2C">
        <w:rPr>
          <w:i/>
          <w:iCs/>
        </w:rPr>
        <w:t>The Oxford Handbook of Career Development</w:t>
      </w:r>
      <w:r>
        <w:t xml:space="preserve">. Oxford: Oxford University Press. </w:t>
      </w:r>
    </w:p>
    <w:p w14:paraId="396F07C4" w14:textId="048B038C" w:rsidR="00167239" w:rsidRDefault="00000000">
      <w:r>
        <w:t xml:space="preserve">15. Rook, S. (2025) The Graduate Career Guidebook: How </w:t>
      </w:r>
      <w:proofErr w:type="gramStart"/>
      <w:r>
        <w:t>To</w:t>
      </w:r>
      <w:proofErr w:type="gramEnd"/>
      <w:r>
        <w:t xml:space="preserve"> Work Out What You Want </w:t>
      </w:r>
      <w:proofErr w:type="gramStart"/>
      <w:r>
        <w:t>To</w:t>
      </w:r>
      <w:proofErr w:type="gramEnd"/>
      <w:r>
        <w:t xml:space="preserve"> Do – And Achieve Your Goals. 3</w:t>
      </w:r>
      <w:proofErr w:type="gramStart"/>
      <w:r w:rsidR="00757FA3" w:rsidRPr="00757FA3">
        <w:rPr>
          <w:vertAlign w:val="superscript"/>
        </w:rPr>
        <w:t>rd</w:t>
      </w:r>
      <w:r w:rsidR="00757FA3">
        <w:t xml:space="preserve"> </w:t>
      </w:r>
      <w:r>
        <w:t xml:space="preserve"> edn</w:t>
      </w:r>
      <w:proofErr w:type="gramEnd"/>
      <w:r>
        <w:t>. London: Bloomsbury Academic.</w:t>
      </w:r>
    </w:p>
    <w:p w14:paraId="7389C4A4" w14:textId="77777777" w:rsidR="00167239" w:rsidRDefault="00000000">
      <w:r>
        <w:t>16. Sokolović-Perović, M. and Freeman, J. (2025) ‘Developing pre-arrival resources to support student transition into higher education’, Journal of Learning Development in Higher Education, (37). Available at: https://doi.org/10.47408/jldhe.vi37.1743 (Accessed: 12 June 2026).</w:t>
      </w:r>
    </w:p>
    <w:sectPr w:rsidR="0016723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7061E" w14:textId="77777777" w:rsidR="002C449A" w:rsidRDefault="002C449A">
      <w:pPr>
        <w:spacing w:after="0" w:line="240" w:lineRule="auto"/>
      </w:pPr>
      <w:r>
        <w:separator/>
      </w:r>
    </w:p>
  </w:endnote>
  <w:endnote w:type="continuationSeparator" w:id="0">
    <w:p w14:paraId="01E55A0A" w14:textId="77777777" w:rsidR="002C449A" w:rsidRDefault="002C4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DCDB7" w14:textId="77777777" w:rsidR="003D4E84" w:rsidRDefault="00E85B4C">
    <w:pPr>
      <w:pStyle w:val="Footer"/>
      <w:jc w:val="center"/>
    </w:pPr>
    <w:r>
      <w:rPr>
        <w:sz w:val="20"/>
      </w:rPr>
      <w:t xml:space="preserve">Page </w:t>
    </w:r>
    <w:r>
      <w:rPr>
        <w:sz w:val="20"/>
      </w:rPr>
      <w:fldChar w:fldCharType="begin"/>
    </w:r>
    <w:r>
      <w:rPr>
        <w:sz w:val="20"/>
      </w:rPr>
      <w:instrText>PAGE</w:instrText>
    </w:r>
    <w:r>
      <w:rPr>
        <w:sz w:val="20"/>
      </w:rPr>
      <w:fldChar w:fldCharType="separate"/>
    </w:r>
    <w:r w:rsidR="0097460E">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12C21" w14:textId="77777777" w:rsidR="002C449A" w:rsidRDefault="002C449A">
      <w:pPr>
        <w:spacing w:after="0" w:line="240" w:lineRule="auto"/>
      </w:pPr>
      <w:r>
        <w:separator/>
      </w:r>
    </w:p>
  </w:footnote>
  <w:footnote w:type="continuationSeparator" w:id="0">
    <w:p w14:paraId="3DB0781A" w14:textId="77777777" w:rsidR="002C449A" w:rsidRDefault="002C44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9D611A6"/>
    <w:multiLevelType w:val="hybridMultilevel"/>
    <w:tmpl w:val="8EA857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3E57DB"/>
    <w:multiLevelType w:val="hybridMultilevel"/>
    <w:tmpl w:val="5BE62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404765">
    <w:abstractNumId w:val="8"/>
  </w:num>
  <w:num w:numId="2" w16cid:durableId="647707897">
    <w:abstractNumId w:val="6"/>
  </w:num>
  <w:num w:numId="3" w16cid:durableId="1699353999">
    <w:abstractNumId w:val="5"/>
  </w:num>
  <w:num w:numId="4" w16cid:durableId="766467421">
    <w:abstractNumId w:val="4"/>
  </w:num>
  <w:num w:numId="5" w16cid:durableId="741216096">
    <w:abstractNumId w:val="7"/>
  </w:num>
  <w:num w:numId="6" w16cid:durableId="662127253">
    <w:abstractNumId w:val="3"/>
  </w:num>
  <w:num w:numId="7" w16cid:durableId="851837747">
    <w:abstractNumId w:val="2"/>
  </w:num>
  <w:num w:numId="8" w16cid:durableId="66608965">
    <w:abstractNumId w:val="1"/>
  </w:num>
  <w:num w:numId="9" w16cid:durableId="131676090">
    <w:abstractNumId w:val="0"/>
  </w:num>
  <w:num w:numId="10" w16cid:durableId="868760268">
    <w:abstractNumId w:val="10"/>
  </w:num>
  <w:num w:numId="11" w16cid:durableId="10128064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0570"/>
    <w:rsid w:val="00034616"/>
    <w:rsid w:val="0006063C"/>
    <w:rsid w:val="000929ED"/>
    <w:rsid w:val="000A4C26"/>
    <w:rsid w:val="00147DB1"/>
    <w:rsid w:val="0015074B"/>
    <w:rsid w:val="0015537C"/>
    <w:rsid w:val="00167239"/>
    <w:rsid w:val="001D3892"/>
    <w:rsid w:val="001E093B"/>
    <w:rsid w:val="002066EA"/>
    <w:rsid w:val="002666F4"/>
    <w:rsid w:val="00270249"/>
    <w:rsid w:val="0029639D"/>
    <w:rsid w:val="002C2ABE"/>
    <w:rsid w:val="002C449A"/>
    <w:rsid w:val="002E4D2A"/>
    <w:rsid w:val="00306AA0"/>
    <w:rsid w:val="00307285"/>
    <w:rsid w:val="00312C91"/>
    <w:rsid w:val="00322377"/>
    <w:rsid w:val="0032577B"/>
    <w:rsid w:val="00326F90"/>
    <w:rsid w:val="003476A8"/>
    <w:rsid w:val="00350372"/>
    <w:rsid w:val="00361835"/>
    <w:rsid w:val="00373F2D"/>
    <w:rsid w:val="003C1B2C"/>
    <w:rsid w:val="003D4E84"/>
    <w:rsid w:val="003F29DA"/>
    <w:rsid w:val="00430C0F"/>
    <w:rsid w:val="00434489"/>
    <w:rsid w:val="00451CF1"/>
    <w:rsid w:val="0048204F"/>
    <w:rsid w:val="00484229"/>
    <w:rsid w:val="00484BE8"/>
    <w:rsid w:val="004A3B29"/>
    <w:rsid w:val="004A7593"/>
    <w:rsid w:val="004F16A3"/>
    <w:rsid w:val="005262A8"/>
    <w:rsid w:val="0053473F"/>
    <w:rsid w:val="00546AC3"/>
    <w:rsid w:val="00550F9B"/>
    <w:rsid w:val="005614B6"/>
    <w:rsid w:val="005A4771"/>
    <w:rsid w:val="005C3F27"/>
    <w:rsid w:val="005E7EE4"/>
    <w:rsid w:val="00622714"/>
    <w:rsid w:val="006602C1"/>
    <w:rsid w:val="00662B27"/>
    <w:rsid w:val="006939AF"/>
    <w:rsid w:val="006E7C9F"/>
    <w:rsid w:val="006F25C9"/>
    <w:rsid w:val="00757FA3"/>
    <w:rsid w:val="00777CBD"/>
    <w:rsid w:val="008470EF"/>
    <w:rsid w:val="00865546"/>
    <w:rsid w:val="00867421"/>
    <w:rsid w:val="0089184D"/>
    <w:rsid w:val="008960D3"/>
    <w:rsid w:val="008A4B65"/>
    <w:rsid w:val="008E4BB5"/>
    <w:rsid w:val="00915C0F"/>
    <w:rsid w:val="00931F51"/>
    <w:rsid w:val="009614BC"/>
    <w:rsid w:val="0097460E"/>
    <w:rsid w:val="00982C92"/>
    <w:rsid w:val="009C5168"/>
    <w:rsid w:val="009C6E0D"/>
    <w:rsid w:val="009E6BAF"/>
    <w:rsid w:val="009F5DD6"/>
    <w:rsid w:val="00A065DF"/>
    <w:rsid w:val="00A253CA"/>
    <w:rsid w:val="00A4225E"/>
    <w:rsid w:val="00A573CB"/>
    <w:rsid w:val="00A72FE6"/>
    <w:rsid w:val="00A83115"/>
    <w:rsid w:val="00AA1D8D"/>
    <w:rsid w:val="00AC2128"/>
    <w:rsid w:val="00AC2B48"/>
    <w:rsid w:val="00B06165"/>
    <w:rsid w:val="00B47730"/>
    <w:rsid w:val="00B505BA"/>
    <w:rsid w:val="00B960B4"/>
    <w:rsid w:val="00BA7694"/>
    <w:rsid w:val="00BD4FCD"/>
    <w:rsid w:val="00C61CB4"/>
    <w:rsid w:val="00C73F1A"/>
    <w:rsid w:val="00CB0664"/>
    <w:rsid w:val="00CC3C82"/>
    <w:rsid w:val="00CE65BE"/>
    <w:rsid w:val="00D336AA"/>
    <w:rsid w:val="00D369BA"/>
    <w:rsid w:val="00D61DF4"/>
    <w:rsid w:val="00D93D84"/>
    <w:rsid w:val="00DD5AFC"/>
    <w:rsid w:val="00E00D7E"/>
    <w:rsid w:val="00E15428"/>
    <w:rsid w:val="00E46595"/>
    <w:rsid w:val="00E544DF"/>
    <w:rsid w:val="00E85B4C"/>
    <w:rsid w:val="00EE4005"/>
    <w:rsid w:val="00EF0012"/>
    <w:rsid w:val="00F31BCA"/>
    <w:rsid w:val="00F3236C"/>
    <w:rsid w:val="00FC693F"/>
    <w:rsid w:val="00FD6BC3"/>
    <w:rsid w:val="00FF18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7B9170"/>
  <w14:defaultImageDpi w14:val="300"/>
  <w15:docId w15:val="{590CD427-A525-4364-9543-386F102CE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jc w:val="center"/>
    </w:pPr>
    <w:rPr>
      <w:rFonts w:asciiTheme="majorHAnsi" w:eastAsiaTheme="majorEastAsia" w:hAnsiTheme="majorHAnsi" w:cstheme="majorBidi"/>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CC3C82"/>
    <w:rPr>
      <w:color w:val="0000FF" w:themeColor="hyperlink"/>
      <w:u w:val="single"/>
    </w:rPr>
  </w:style>
  <w:style w:type="character" w:styleId="UnresolvedMention">
    <w:name w:val="Unresolved Mention"/>
    <w:basedOn w:val="DefaultParagraphFont"/>
    <w:uiPriority w:val="99"/>
    <w:semiHidden/>
    <w:unhideWhenUsed/>
    <w:rsid w:val="00CC3C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Pages>
  <Words>2336</Words>
  <Characters>13321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Reflective Essay: Professional Career Development</vt:lpstr>
    </vt:vector>
  </TitlesOfParts>
  <Manager/>
  <Company/>
  <LinksUpToDate>false</LinksUpToDate>
  <CharactersWithSpaces>15626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Essay: Professional Career Development</dc:title>
  <dc:subject>Professional Career Development</dc:subject>
  <dc:creator>Alexandra-Marina Mandoiu (2524588)</dc:creator>
  <cp:keywords/>
  <dc:description/>
  <cp:lastModifiedBy>Alexandra-Marina Mandoiu (2524588)</cp:lastModifiedBy>
  <cp:revision>17</cp:revision>
  <dcterms:created xsi:type="dcterms:W3CDTF">2026-06-11T22:15:00Z</dcterms:created>
  <dcterms:modified xsi:type="dcterms:W3CDTF">2026-06-12T12:45:00Z</dcterms:modified>
  <cp:category/>
</cp:coreProperties>
</file>