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AF1DBB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027120">
              <w:rPr>
                <w:rFonts w:ascii="Times New Roman" w:hAnsi="Times New Roman" w:cs="Times New Roman"/>
                <w:b/>
                <w:color w:val="auto"/>
                <w:sz w:val="48"/>
              </w:rPr>
              <w:t xml:space="preserve"> Abigail Palumbo </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F85B07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27120">
              <w:rPr>
                <w:rFonts w:ascii="Times New Roman" w:hAnsi="Times New Roman" w:cs="Times New Roman"/>
                <w:b/>
                <w:color w:val="auto"/>
                <w:sz w:val="48"/>
              </w:rPr>
              <w:t xml:space="preserve"> abi-d1@hotmail.co.uk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927E614" w14:textId="77777777" w:rsidR="00330438" w:rsidRDefault="0085230E" w:rsidP="0033043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30438">
              <w:rPr>
                <w:rFonts w:ascii="Times New Roman" w:hAnsi="Times New Roman" w:cs="Times New Roman"/>
                <w:b/>
                <w:color w:val="auto"/>
                <w:sz w:val="48"/>
              </w:rPr>
              <w:t xml:space="preserve"> </w:t>
            </w:r>
          </w:p>
          <w:p w14:paraId="3C8EF727" w14:textId="0DE72FF8" w:rsidR="00330438" w:rsidRPr="005D3F07" w:rsidRDefault="00330438" w:rsidP="00330438">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2223709</w:t>
            </w:r>
          </w:p>
          <w:p w14:paraId="622FD17A" w14:textId="0A5DA159"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981F5D3" w14:textId="77777777" w:rsidR="00725736" w:rsidRDefault="00725736" w:rsidP="00C91686">
            <w:pPr>
              <w:spacing w:line="480" w:lineRule="auto"/>
              <w:jc w:val="both"/>
              <w:rPr>
                <w:sz w:val="24"/>
                <w:szCs w:val="24"/>
              </w:rPr>
            </w:pPr>
          </w:p>
          <w:p w14:paraId="7E2CB9E6" w14:textId="710D6253" w:rsidR="00C91686" w:rsidRDefault="00C91686" w:rsidP="00C91686">
            <w:pPr>
              <w:spacing w:line="480" w:lineRule="auto"/>
              <w:jc w:val="both"/>
              <w:rPr>
                <w:sz w:val="24"/>
                <w:szCs w:val="24"/>
              </w:rPr>
            </w:pPr>
            <w:r>
              <w:rPr>
                <w:sz w:val="24"/>
                <w:szCs w:val="24"/>
              </w:rPr>
              <w:t xml:space="preserve">For this assignment I will discuss how an education staff member and I safeguarded a learner in the context of the self-harm pathway duty role I undertook within a children and adolescent mental health service. I will refer to the learner as 1 throughout. </w:t>
            </w:r>
          </w:p>
          <w:p w14:paraId="14E4ACAF" w14:textId="7CCA13FC" w:rsidR="00C91686" w:rsidRDefault="00725736" w:rsidP="00725736">
            <w:pPr>
              <w:spacing w:line="480" w:lineRule="auto"/>
              <w:jc w:val="right"/>
              <w:rPr>
                <w:sz w:val="24"/>
                <w:szCs w:val="24"/>
              </w:rPr>
            </w:pPr>
            <w:r>
              <w:rPr>
                <w:sz w:val="24"/>
                <w:szCs w:val="24"/>
              </w:rPr>
              <w:t>(44)</w:t>
            </w:r>
          </w:p>
          <w:p w14:paraId="23C1806E" w14:textId="24E3F128" w:rsidR="00C91686" w:rsidRDefault="00C91686" w:rsidP="00C91686">
            <w:pPr>
              <w:spacing w:line="480" w:lineRule="auto"/>
              <w:jc w:val="both"/>
              <w:rPr>
                <w:sz w:val="24"/>
                <w:szCs w:val="24"/>
              </w:rPr>
            </w:pPr>
            <w:r>
              <w:rPr>
                <w:sz w:val="24"/>
                <w:szCs w:val="24"/>
              </w:rPr>
              <w:t>The National Institute for Health Care Excellence (NICE),</w:t>
            </w:r>
            <w:r w:rsidRPr="00290BB5">
              <w:rPr>
                <w:i/>
                <w:sz w:val="24"/>
                <w:szCs w:val="24"/>
              </w:rPr>
              <w:t xml:space="preserve"> </w:t>
            </w:r>
            <w:r>
              <w:rPr>
                <w:sz w:val="24"/>
                <w:szCs w:val="24"/>
              </w:rPr>
              <w:t xml:space="preserve">(2022) state that every educational setting should have a designated lead who follows the policies and procedures of self-harm and suicidal ideation. The education staff member and I worked collaboratively by following the Local Authority and Health Board joint agency pathway of how to manage self-harm and suicidal ideation expressed within an education setting whereby the self-harm link officer liaises with a mental health practitioner to collaboratively contribute to a safety plan. </w:t>
            </w:r>
          </w:p>
          <w:p w14:paraId="5168C10B" w14:textId="77777777" w:rsidR="00C91686" w:rsidRDefault="00C91686" w:rsidP="00C91686">
            <w:pPr>
              <w:jc w:val="both"/>
              <w:rPr>
                <w:sz w:val="24"/>
                <w:szCs w:val="24"/>
              </w:rPr>
            </w:pPr>
          </w:p>
          <w:p w14:paraId="3AC2AEF8" w14:textId="55C4A49F" w:rsidR="00C91686" w:rsidRPr="00000FEC" w:rsidRDefault="00C91686" w:rsidP="00C91686">
            <w:pPr>
              <w:spacing w:line="480" w:lineRule="auto"/>
              <w:jc w:val="both"/>
              <w:rPr>
                <w:sz w:val="24"/>
                <w:szCs w:val="24"/>
              </w:rPr>
            </w:pPr>
            <w:r>
              <w:rPr>
                <w:sz w:val="24"/>
                <w:szCs w:val="24"/>
              </w:rPr>
              <w:t xml:space="preserve">I had received a self-harm pathway referral from a School’s self-harm link officer who had followed procedure by completing a safety plan which was developed collaboratively with the learner and their parent prior to sending the referral through the self-harm pathway. I followed the policies and procedures agreed upon within the joint agency pathway which highlights a response is required within one hour of receiving a referral. </w:t>
            </w:r>
            <w:proofErr w:type="gramStart"/>
            <w:r w:rsidRPr="0006796B">
              <w:rPr>
                <w:sz w:val="24"/>
                <w:szCs w:val="24"/>
              </w:rPr>
              <w:t>Milner.,</w:t>
            </w:r>
            <w:proofErr w:type="gramEnd"/>
            <w:r>
              <w:rPr>
                <w:sz w:val="24"/>
                <w:szCs w:val="24"/>
              </w:rPr>
              <w:t xml:space="preserve"> et al (2020) highlights that within the realms of risk in social work practice there are added complexities of the assessment and management of risk which include organisational systems that intertwine with the practitioners task that include time pressured responses. Ylvisaker and </w:t>
            </w:r>
            <w:proofErr w:type="spellStart"/>
            <w:r>
              <w:rPr>
                <w:sz w:val="24"/>
                <w:szCs w:val="24"/>
              </w:rPr>
              <w:t>Rugkasa</w:t>
            </w:r>
            <w:proofErr w:type="spellEnd"/>
            <w:r>
              <w:rPr>
                <w:sz w:val="24"/>
                <w:szCs w:val="24"/>
              </w:rPr>
              <w:t xml:space="preserve"> (2022) state that social workers who have worked within organisations and or developed themselves towards risk adverse practice have the potential to respond too hastily without being fully conversant of the referral which could be due to their emotional responses of perhaps worry and uncertainty being activated </w:t>
            </w:r>
            <w:proofErr w:type="spellStart"/>
            <w:r w:rsidRPr="008D60EF">
              <w:rPr>
                <w:color w:val="auto"/>
                <w:sz w:val="24"/>
              </w:rPr>
              <w:t>Gigerenzer</w:t>
            </w:r>
            <w:proofErr w:type="spellEnd"/>
            <w:r w:rsidRPr="008D60EF">
              <w:rPr>
                <w:color w:val="auto"/>
                <w:sz w:val="24"/>
              </w:rPr>
              <w:t xml:space="preserve"> (2014). </w:t>
            </w:r>
            <w:r>
              <w:rPr>
                <w:sz w:val="24"/>
                <w:szCs w:val="24"/>
              </w:rPr>
              <w:t>Further to this, responding to emotional responses where risk to self is present, has the potential for a social worker to begin with a set hypothesis; how the risk should be managed to reduce one’s own worry. This may potentially exclude collaboration and impede positive outcomes for all (</w:t>
            </w:r>
            <w:proofErr w:type="spellStart"/>
            <w:r>
              <w:rPr>
                <w:sz w:val="24"/>
                <w:szCs w:val="24"/>
              </w:rPr>
              <w:t>Grootegoed</w:t>
            </w:r>
            <w:proofErr w:type="spellEnd"/>
            <w:r>
              <w:rPr>
                <w:sz w:val="24"/>
                <w:szCs w:val="24"/>
              </w:rPr>
              <w:t xml:space="preserve"> &amp; Smith, 2018) rather alternatively viewing the service user as an expert in their own lives (</w:t>
            </w:r>
            <w:proofErr w:type="spellStart"/>
            <w:r>
              <w:rPr>
                <w:sz w:val="23"/>
                <w:szCs w:val="23"/>
              </w:rPr>
              <w:t>Fredman</w:t>
            </w:r>
            <w:proofErr w:type="spellEnd"/>
            <w:proofErr w:type="gramStart"/>
            <w:r w:rsidRPr="000A03BB">
              <w:rPr>
                <w:sz w:val="23"/>
                <w:szCs w:val="23"/>
              </w:rPr>
              <w:t>,.</w:t>
            </w:r>
            <w:proofErr w:type="gramEnd"/>
            <w:r>
              <w:rPr>
                <w:sz w:val="23"/>
                <w:szCs w:val="23"/>
              </w:rPr>
              <w:t xml:space="preserve"> et al, 2017</w:t>
            </w:r>
            <w:r>
              <w:rPr>
                <w:sz w:val="24"/>
                <w:szCs w:val="24"/>
              </w:rPr>
              <w:t xml:space="preserve">) and respecting the knowledge and relationship between the learner and education staff member. Taking this in to consideration I drew upon my previous experience of working in urgent mental health care services when I was required to work within breach times and with clients presenting with high levels of risk. I reflected on the positive experiences I have had when dealing with risk and felt comfortable with the time pressures and liaising with others collaboratively.  I drew upon utilising the skills I further </w:t>
            </w:r>
            <w:r>
              <w:rPr>
                <w:sz w:val="24"/>
                <w:szCs w:val="24"/>
              </w:rPr>
              <w:lastRenderedPageBreak/>
              <w:t xml:space="preserve">developed of remaining calm and composed when risk is present as it is imperative for social workers to be emotionally resilient in response to the adversities of the people they work with (Grant &amp; </w:t>
            </w:r>
            <w:proofErr w:type="spellStart"/>
            <w:r>
              <w:rPr>
                <w:sz w:val="24"/>
                <w:szCs w:val="24"/>
              </w:rPr>
              <w:t>Kinman</w:t>
            </w:r>
            <w:proofErr w:type="spellEnd"/>
            <w:r>
              <w:rPr>
                <w:sz w:val="24"/>
                <w:szCs w:val="24"/>
              </w:rPr>
              <w:t xml:space="preserve">, 2018) </w:t>
            </w:r>
            <w:r w:rsidRPr="00F75E55">
              <w:rPr>
                <w:sz w:val="24"/>
                <w:szCs w:val="24"/>
              </w:rPr>
              <w:t>a</w:t>
            </w:r>
            <w:r w:rsidRPr="00F75E55">
              <w:rPr>
                <w:color w:val="222222"/>
                <w:sz w:val="24"/>
                <w:szCs w:val="24"/>
                <w:shd w:val="clear" w:color="auto" w:fill="FFFFFF"/>
              </w:rPr>
              <w:t xml:space="preserve">lthough building and maintaining resilience is a continuing balancing act of self-discovery and perseverance (Rose &amp; </w:t>
            </w:r>
            <w:proofErr w:type="spellStart"/>
            <w:r w:rsidRPr="00F75E55">
              <w:rPr>
                <w:color w:val="222222"/>
                <w:sz w:val="24"/>
                <w:szCs w:val="24"/>
                <w:shd w:val="clear" w:color="auto" w:fill="FFFFFF"/>
              </w:rPr>
              <w:t>Palattiyil</w:t>
            </w:r>
            <w:proofErr w:type="spellEnd"/>
            <w:r w:rsidRPr="00F75E55">
              <w:rPr>
                <w:color w:val="222222"/>
                <w:sz w:val="24"/>
                <w:szCs w:val="24"/>
                <w:shd w:val="clear" w:color="auto" w:fill="FFFFFF"/>
              </w:rPr>
              <w:t>, 2020) which I understand I need to continue to build upon as it has the potential to impact my equilibrium in my professional work and personal life.</w:t>
            </w:r>
            <w:r>
              <w:rPr>
                <w:rFonts w:ascii="Helvetica" w:hAnsi="Helvetica" w:cs="Helvetica"/>
                <w:color w:val="222222"/>
                <w:sz w:val="23"/>
                <w:szCs w:val="23"/>
                <w:shd w:val="clear" w:color="auto" w:fill="FFFFFF"/>
              </w:rPr>
              <w:t xml:space="preserve"> </w:t>
            </w:r>
          </w:p>
          <w:p w14:paraId="59BF301E" w14:textId="052BDD7B" w:rsidR="00C91686" w:rsidRDefault="00725736" w:rsidP="00725736">
            <w:pPr>
              <w:spacing w:line="480" w:lineRule="auto"/>
              <w:jc w:val="right"/>
              <w:rPr>
                <w:sz w:val="24"/>
                <w:szCs w:val="24"/>
              </w:rPr>
            </w:pPr>
            <w:r>
              <w:rPr>
                <w:sz w:val="24"/>
                <w:szCs w:val="24"/>
              </w:rPr>
              <w:t>(472)</w:t>
            </w:r>
          </w:p>
          <w:p w14:paraId="16A5C871" w14:textId="36B227A6" w:rsidR="00C91686" w:rsidRPr="004A1CA0" w:rsidRDefault="00C91686" w:rsidP="00C91686">
            <w:pPr>
              <w:spacing w:line="480" w:lineRule="auto"/>
              <w:jc w:val="both"/>
              <w:rPr>
                <w:sz w:val="24"/>
                <w:szCs w:val="24"/>
              </w:rPr>
            </w:pPr>
            <w:r>
              <w:rPr>
                <w:sz w:val="24"/>
                <w:szCs w:val="24"/>
              </w:rPr>
              <w:t>My social work identity is heavily bound upon responding to practice in a considered and reflexive manner, asking myself what did and didn’t go well before and how I might prepare myself. To encompass a positive balance of emotional resilience I find preparing for a task supports this. To prepare I took note of the key information of the referral and  personal information with a non-exhaustive list being; is the learner previously or currently known to services, age, gender, preferred pronouns, race, ethnicity, and language. It is good practice to be prepared beforehand as it can inform how you conduct your assessment (</w:t>
            </w:r>
            <w:proofErr w:type="spellStart"/>
            <w:r>
              <w:rPr>
                <w:sz w:val="24"/>
                <w:szCs w:val="24"/>
              </w:rPr>
              <w:t>Golightley</w:t>
            </w:r>
            <w:proofErr w:type="spellEnd"/>
            <w:r>
              <w:rPr>
                <w:sz w:val="24"/>
                <w:szCs w:val="24"/>
              </w:rPr>
              <w:t xml:space="preserve"> &amp; Holloway, 2018) whilst it also communicates to a client that you have read the referral  which can potentially provide validation of their current circumstances (Trevithick, 2010). An important factor is that I ensure I have checked the preferred language status recorded on the referral for 1, as although I won’t be talking to 1 directly I need to be mindful of 1’s language need and or preference when signposting to onward services, as their voice is central to the assessment (</w:t>
            </w:r>
            <w:proofErr w:type="spellStart"/>
            <w:r>
              <w:rPr>
                <w:rFonts w:ascii="Helvetica" w:hAnsi="Helvetica" w:cs="Helvetica"/>
                <w:color w:val="2A2A2A"/>
                <w:sz w:val="23"/>
                <w:szCs w:val="23"/>
                <w:shd w:val="clear" w:color="auto" w:fill="FFFFFF"/>
              </w:rPr>
              <w:t>Golightley</w:t>
            </w:r>
            <w:proofErr w:type="spellEnd"/>
            <w:r>
              <w:rPr>
                <w:rFonts w:ascii="Helvetica" w:hAnsi="Helvetica" w:cs="Helvetica"/>
                <w:color w:val="2A2A2A"/>
                <w:sz w:val="23"/>
                <w:szCs w:val="23"/>
                <w:shd w:val="clear" w:color="auto" w:fill="FFFFFF"/>
              </w:rPr>
              <w:t xml:space="preserve"> &amp; </w:t>
            </w:r>
            <w:r w:rsidRPr="00A8358B">
              <w:rPr>
                <w:rFonts w:ascii="Helvetica" w:hAnsi="Helvetica" w:cs="Helvetica"/>
                <w:color w:val="2A2A2A"/>
                <w:sz w:val="23"/>
                <w:szCs w:val="23"/>
                <w:shd w:val="clear" w:color="auto" w:fill="FFFFFF"/>
              </w:rPr>
              <w:t>Holloway</w:t>
            </w:r>
            <w:r>
              <w:rPr>
                <w:rFonts w:ascii="Helvetica" w:hAnsi="Helvetica" w:cs="Helvetica"/>
                <w:color w:val="2A2A2A"/>
                <w:sz w:val="23"/>
                <w:szCs w:val="23"/>
                <w:shd w:val="clear" w:color="auto" w:fill="FFFFFF"/>
              </w:rPr>
              <w:t>, 2018</w:t>
            </w:r>
            <w:r>
              <w:rPr>
                <w:sz w:val="24"/>
                <w:szCs w:val="24"/>
              </w:rPr>
              <w:t xml:space="preserve">). I also need to know the education staff members language need and/or preference as practising in Wales I adhere to the Welsh Language Strategy 2017-2022 (2017) which outlines the More Than Just Words (Welsh Government, 2012) framework of providing the Active Offer policy to all who access services. Thus, Welsh </w:t>
            </w:r>
            <w:r>
              <w:rPr>
                <w:sz w:val="24"/>
                <w:szCs w:val="24"/>
              </w:rPr>
              <w:lastRenderedPageBreak/>
              <w:t xml:space="preserve">speaking clients are empowered that their needs will be met with dignity and respect of their chosen language. This was driven by The </w:t>
            </w:r>
            <w:r w:rsidRPr="00BD6E79">
              <w:rPr>
                <w:rFonts w:eastAsia="MS Mincho"/>
                <w:sz w:val="24"/>
                <w:szCs w:val="24"/>
              </w:rPr>
              <w:t xml:space="preserve">Welsh Language Act </w:t>
            </w:r>
            <w:r>
              <w:rPr>
                <w:rFonts w:eastAsia="MS Mincho"/>
                <w:sz w:val="24"/>
                <w:szCs w:val="24"/>
              </w:rPr>
              <w:t>(</w:t>
            </w:r>
            <w:r w:rsidRPr="00BD6E79">
              <w:rPr>
                <w:rFonts w:eastAsia="MS Mincho"/>
                <w:sz w:val="24"/>
                <w:szCs w:val="24"/>
              </w:rPr>
              <w:t>1993</w:t>
            </w:r>
            <w:r>
              <w:rPr>
                <w:rFonts w:eastAsia="MS Mincho"/>
                <w:sz w:val="24"/>
                <w:szCs w:val="24"/>
              </w:rPr>
              <w:t xml:space="preserve">) whereby the legislation upholds the public sector to have a duty to promote the use of Welsh and English languages equally in public life. This jointly supports </w:t>
            </w:r>
            <w:r w:rsidRPr="00BD6E79">
              <w:rPr>
                <w:rFonts w:eastAsia="MS Mincho"/>
                <w:sz w:val="24"/>
                <w:szCs w:val="24"/>
              </w:rPr>
              <w:t xml:space="preserve">The Wellbeing of Future Generations Act </w:t>
            </w:r>
            <w:r>
              <w:rPr>
                <w:rFonts w:eastAsia="MS Mincho"/>
                <w:sz w:val="24"/>
                <w:szCs w:val="24"/>
              </w:rPr>
              <w:t>(</w:t>
            </w:r>
            <w:r w:rsidRPr="00BD6E79">
              <w:rPr>
                <w:rFonts w:eastAsia="MS Mincho"/>
                <w:sz w:val="24"/>
                <w:szCs w:val="24"/>
              </w:rPr>
              <w:t>2015</w:t>
            </w:r>
            <w:r>
              <w:rPr>
                <w:rFonts w:eastAsia="MS Mincho"/>
                <w:sz w:val="24"/>
                <w:szCs w:val="24"/>
              </w:rPr>
              <w:t xml:space="preserve">) whereby the public sector has the responsibility to consider the long term impact of their decisions upon the population of Wales and outlines seven goals one being </w:t>
            </w:r>
            <w:r w:rsidRPr="00BD6E79">
              <w:rPr>
                <w:rFonts w:eastAsia="MS Mincho"/>
                <w:sz w:val="24"/>
                <w:szCs w:val="24"/>
              </w:rPr>
              <w:t xml:space="preserve">‘A Wales of vibrant culture and thriving Welsh language’. </w:t>
            </w:r>
          </w:p>
          <w:p w14:paraId="71074CD9" w14:textId="6C7D70AD" w:rsidR="00C91686" w:rsidRDefault="00C91686" w:rsidP="00C91686">
            <w:pPr>
              <w:spacing w:line="480" w:lineRule="auto"/>
              <w:jc w:val="both"/>
              <w:rPr>
                <w:sz w:val="24"/>
                <w:szCs w:val="24"/>
              </w:rPr>
            </w:pPr>
            <w:r>
              <w:rPr>
                <w:sz w:val="24"/>
                <w:szCs w:val="24"/>
              </w:rPr>
              <w:t xml:space="preserve">I noted that the education staff member had ticked their preferred language as English, however to further imbed the Active Offer policy within the More Than Just Words (Welsh Government, 2012) framework in to my practice I greeted the Education staff member bilingually and asked for them to confirm their preferred language, for which they confirmed they are non-Welsh speaking. I felt a little conscious of my pronunciation or perhaps confidence in speaking Welsh, albeit a short couple of words, as I am not a Welsh speaker. However, I drew on previous experience whereby I have learnt greetings in other languages from clients and colleagues I have worked with, where I have found taking an interest in a person’s language builds rapport and clients and colleagues have provided feedback that they have appreciated my desire to become culturally competent in the area of learning greetings which respects their identity and culture. </w:t>
            </w:r>
          </w:p>
          <w:p w14:paraId="401C0AB5" w14:textId="190C96F3" w:rsidR="00C91686" w:rsidRDefault="00725736" w:rsidP="00725736">
            <w:pPr>
              <w:shd w:val="clear" w:color="auto" w:fill="FFFFFF"/>
              <w:overflowPunct/>
              <w:autoSpaceDE/>
              <w:autoSpaceDN/>
              <w:adjustRightInd/>
              <w:spacing w:line="480" w:lineRule="auto"/>
              <w:jc w:val="right"/>
              <w:textAlignment w:val="auto"/>
              <w:rPr>
                <w:sz w:val="24"/>
                <w:szCs w:val="22"/>
              </w:rPr>
            </w:pPr>
            <w:r>
              <w:rPr>
                <w:sz w:val="24"/>
                <w:szCs w:val="22"/>
              </w:rPr>
              <w:t>(486)</w:t>
            </w:r>
          </w:p>
          <w:p w14:paraId="0ED38E8F" w14:textId="77777777" w:rsidR="00C91686" w:rsidRDefault="00C91686" w:rsidP="00C91686">
            <w:pPr>
              <w:spacing w:line="480" w:lineRule="auto"/>
              <w:jc w:val="both"/>
              <w:rPr>
                <w:color w:val="auto"/>
                <w:shd w:val="clear" w:color="auto" w:fill="FFFFFF"/>
              </w:rPr>
            </w:pPr>
          </w:p>
          <w:p w14:paraId="6510BE64" w14:textId="77777777" w:rsidR="00C91686" w:rsidRDefault="00C91686" w:rsidP="00C91686">
            <w:pPr>
              <w:spacing w:line="480" w:lineRule="auto"/>
              <w:jc w:val="both"/>
              <w:rPr>
                <w:color w:val="auto"/>
                <w:sz w:val="24"/>
                <w:szCs w:val="24"/>
              </w:rPr>
            </w:pPr>
            <w:r>
              <w:rPr>
                <w:color w:val="auto"/>
                <w:sz w:val="24"/>
                <w:szCs w:val="24"/>
              </w:rPr>
              <w:t xml:space="preserve">The indirect work for the self-harm pathway is over the telephone and I was conscious that I found the change from assessing risk within direct work to now working indirectly, challenging. So much of my previous social work role was observational, being skilled at picking up small </w:t>
            </w:r>
            <w:r>
              <w:rPr>
                <w:color w:val="auto"/>
                <w:sz w:val="24"/>
                <w:szCs w:val="24"/>
              </w:rPr>
              <w:lastRenderedPageBreak/>
              <w:t>nuances, non-verbal communication and body language of a client which all contribute to a meaningful and holistic assessment (</w:t>
            </w:r>
            <w:proofErr w:type="spellStart"/>
            <w:r>
              <w:rPr>
                <w:color w:val="auto"/>
                <w:sz w:val="24"/>
                <w:szCs w:val="24"/>
              </w:rPr>
              <w:t>Hargie</w:t>
            </w:r>
            <w:proofErr w:type="spellEnd"/>
            <w:r>
              <w:rPr>
                <w:color w:val="auto"/>
                <w:sz w:val="24"/>
                <w:szCs w:val="24"/>
              </w:rPr>
              <w:t>, 2017). Yet, in this case, I am eliciting third party information which I found to include another dynamic to the assessment. Core communication skills include non-verbal communication of good eye contact, nodding, and open body language for example (</w:t>
            </w:r>
            <w:hyperlink r:id="rId11" w:anchor="con1" w:history="1">
              <w:r w:rsidRPr="00C54ECC">
                <w:rPr>
                  <w:color w:val="auto"/>
                  <w:sz w:val="24"/>
                  <w:szCs w:val="24"/>
                </w:rPr>
                <w:t>Reith-Hall</w:t>
              </w:r>
            </w:hyperlink>
            <w:r>
              <w:rPr>
                <w:color w:val="auto"/>
                <w:sz w:val="24"/>
                <w:szCs w:val="24"/>
              </w:rPr>
              <w:t> &amp;</w:t>
            </w:r>
            <w:r w:rsidRPr="00C54ECC">
              <w:rPr>
                <w:color w:val="auto"/>
                <w:sz w:val="24"/>
                <w:szCs w:val="24"/>
              </w:rPr>
              <w:t> </w:t>
            </w:r>
            <w:hyperlink r:id="rId12" w:anchor="con2" w:history="1">
              <w:r w:rsidRPr="00C54ECC">
                <w:rPr>
                  <w:color w:val="auto"/>
                  <w:sz w:val="24"/>
                  <w:szCs w:val="24"/>
                </w:rPr>
                <w:t>Montgomery</w:t>
              </w:r>
            </w:hyperlink>
            <w:r>
              <w:rPr>
                <w:color w:val="auto"/>
                <w:sz w:val="24"/>
                <w:szCs w:val="24"/>
              </w:rPr>
              <w:t xml:space="preserve">, 2022). The telephone is a barrier to being able to directly communicate this so I drew heavily upon my micro skills of verbal techniques of actively listening, paraphrasing, clarifying, asking open questions and summarising whilst providing empathy in the language I use. To display empathy in my language I drew from my knowledge of Trauma Informed Schools UK, by implementing WINE statements of ‘I wonder…’, ‘I imagine…’, ‘I noticed…’ and by applying empathy, I am maintaining compassion for 1’s feelings and emotions. </w:t>
            </w:r>
          </w:p>
          <w:p w14:paraId="4E64F63E" w14:textId="77777777" w:rsidR="00C91686" w:rsidRDefault="00C91686" w:rsidP="00C91686">
            <w:pPr>
              <w:spacing w:line="480" w:lineRule="auto"/>
              <w:jc w:val="both"/>
              <w:rPr>
                <w:sz w:val="24"/>
              </w:rPr>
            </w:pPr>
            <w:r>
              <w:rPr>
                <w:color w:val="auto"/>
                <w:sz w:val="24"/>
                <w:szCs w:val="24"/>
              </w:rPr>
              <w:t>The education staff member had stated they were new to the self-harm pathway officer role and had previously made a couple of referrals, however they remained concerned whether they were taking the ‘right steps and giving the right support’. As I had listened to them describe what they had done to collaboratively complete a safety plan with 1, I noticed that they had described so easily many skills and attributes without recognition, thus their competencies became invisible and they were not immediately aware of what they had done (</w:t>
            </w:r>
            <w:proofErr w:type="spellStart"/>
            <w:r>
              <w:rPr>
                <w:color w:val="auto"/>
                <w:sz w:val="24"/>
                <w:szCs w:val="24"/>
              </w:rPr>
              <w:t>Fredman</w:t>
            </w:r>
            <w:proofErr w:type="spellEnd"/>
            <w:r>
              <w:rPr>
                <w:color w:val="auto"/>
                <w:sz w:val="24"/>
                <w:szCs w:val="24"/>
              </w:rPr>
              <w:t>., et al, 2017). I captured, named and gave back to them the skills and attributes I heard, such as, they had responded to 1 in a calm, considerate and empathetic way and drawn on 1’s wider support systems, of having a close and supportive family, friendships and hobbies, thus considering 1’s protective factors. By capturing, naming and giving this back it allows for the education staff member to become reflexive in their own practice (</w:t>
            </w:r>
            <w:proofErr w:type="spellStart"/>
            <w:proofErr w:type="gramStart"/>
            <w:r>
              <w:rPr>
                <w:color w:val="auto"/>
                <w:sz w:val="24"/>
                <w:szCs w:val="24"/>
              </w:rPr>
              <w:t>Fredman</w:t>
            </w:r>
            <w:proofErr w:type="spellEnd"/>
            <w:r>
              <w:rPr>
                <w:color w:val="auto"/>
                <w:sz w:val="24"/>
                <w:szCs w:val="24"/>
              </w:rPr>
              <w:t>.,</w:t>
            </w:r>
            <w:proofErr w:type="gramEnd"/>
            <w:r>
              <w:rPr>
                <w:color w:val="auto"/>
                <w:sz w:val="24"/>
                <w:szCs w:val="24"/>
              </w:rPr>
              <w:t xml:space="preserve"> et al, 2017). I felt this situation was not too dissimilar to working with family and or carers whereby </w:t>
            </w:r>
            <w:r>
              <w:rPr>
                <w:color w:val="auto"/>
                <w:sz w:val="24"/>
                <w:szCs w:val="24"/>
              </w:rPr>
              <w:lastRenderedPageBreak/>
              <w:t>social work deems them to be valuable assets within assessment (Professional Capabilities Framework, 2018) and practice should include providing support and collaboration throughout the process which entails but is not limited to providing information, support strategies and listening to their thoughts, feelings and concerns which increases the likelihood of positive outcomes for clients (</w:t>
            </w:r>
            <w:proofErr w:type="spellStart"/>
            <w:r>
              <w:rPr>
                <w:color w:val="auto"/>
                <w:sz w:val="24"/>
                <w:szCs w:val="24"/>
              </w:rPr>
              <w:t>Golightley</w:t>
            </w:r>
            <w:proofErr w:type="spellEnd"/>
            <w:r>
              <w:rPr>
                <w:color w:val="auto"/>
                <w:sz w:val="24"/>
                <w:szCs w:val="24"/>
              </w:rPr>
              <w:t xml:space="preserve"> &amp; </w:t>
            </w:r>
            <w:proofErr w:type="spellStart"/>
            <w:r>
              <w:rPr>
                <w:color w:val="auto"/>
                <w:sz w:val="24"/>
                <w:szCs w:val="24"/>
              </w:rPr>
              <w:t>Goemans</w:t>
            </w:r>
            <w:proofErr w:type="spellEnd"/>
            <w:r>
              <w:rPr>
                <w:color w:val="auto"/>
                <w:sz w:val="24"/>
                <w:szCs w:val="24"/>
              </w:rPr>
              <w:t xml:space="preserve">, 2020). I empathised by placing myself in to their lived experience of being an education staff member by recognising that in March 2021 the Welsh Government introduced a statutory guidance for all education settings to embed a new framework referred to as embedding a Whole-school Approach to Emotional and Mental Wellbeing (Welsh Government, 2021). This guidance is issued under the Education Act (2002) which places the duty on local authorities to ensure </w:t>
            </w:r>
            <w:r w:rsidRPr="00326A28">
              <w:rPr>
                <w:sz w:val="24"/>
              </w:rPr>
              <w:t>their functions are exercised with a view to safeguarding and promoting the welfare of children in education settings (Education Act,</w:t>
            </w:r>
            <w:r>
              <w:rPr>
                <w:sz w:val="24"/>
              </w:rPr>
              <w:t xml:space="preserve"> 2002) this is further strengthened by reiterations in the </w:t>
            </w:r>
            <w:r w:rsidRPr="00390239">
              <w:rPr>
                <w:sz w:val="24"/>
              </w:rPr>
              <w:t xml:space="preserve">Children Act </w:t>
            </w:r>
            <w:r>
              <w:rPr>
                <w:sz w:val="24"/>
              </w:rPr>
              <w:t>(</w:t>
            </w:r>
            <w:r w:rsidRPr="00390239">
              <w:rPr>
                <w:sz w:val="24"/>
              </w:rPr>
              <w:t>2004</w:t>
            </w:r>
            <w:r>
              <w:rPr>
                <w:sz w:val="24"/>
              </w:rPr>
              <w:t>)</w:t>
            </w:r>
            <w:r w:rsidRPr="00390239">
              <w:rPr>
                <w:sz w:val="24"/>
              </w:rPr>
              <w:t>, which includes legislation regarding physical and mental h</w:t>
            </w:r>
            <w:r>
              <w:rPr>
                <w:sz w:val="24"/>
              </w:rPr>
              <w:t xml:space="preserve">ealth and emotional well-being. The Department of Education (2021) state that good mental health and wellbeing is imperative for education staff to be able to function and feel good within themselves which ultimately impacts the education settings culture and importantly their learner’s global development. However, The Annual Teacher Wellbeing Index (2023) which provides national information on the wellbeing of education staff member’s reports that overall wellbeing is poor with it continuing to decline and senior leads are at higher risk. Education staff are leaving the occupation in their droves with 81% reporting to have experienced stress within their work and 39% having experienced a mental health concern in the last year (Annual Teacher Wellbeing Index, 2023). In the recent wake of Ruth Perry’s death along with the data reported it is significantly clear that education staff are struggling to manage within the sector which prides itself on providing </w:t>
            </w:r>
            <w:r>
              <w:rPr>
                <w:sz w:val="24"/>
              </w:rPr>
              <w:lastRenderedPageBreak/>
              <w:t xml:space="preserve">world class education. I wondered whether the education staff member felt overworked, overwhelmed and perhaps under trained in the self-harm pathway yet education settings are bound by legislation to support the learners they strive to support and teach. I utilised a compassionate leadership approach by actively attending, understanding, empathising and helping the education staff member which supports people to feel valued, respected and cared for (West, 2021). By doing so I am holding the education staff members emotions and feelings to be better placed to work collaboratively with me to support and safeguard 1 in the moment. </w:t>
            </w:r>
          </w:p>
          <w:p w14:paraId="1247824A" w14:textId="77777777" w:rsidR="00C91686" w:rsidRDefault="00C91686" w:rsidP="00C91686">
            <w:pPr>
              <w:spacing w:line="480" w:lineRule="auto"/>
              <w:jc w:val="both"/>
              <w:rPr>
                <w:sz w:val="24"/>
              </w:rPr>
            </w:pPr>
            <w:r>
              <w:rPr>
                <w:sz w:val="24"/>
              </w:rPr>
              <w:t xml:space="preserve">To follow up, I telephoned the education staff member a little later and sensitively provided information and services they could access for further support regarding supervision or for their own mental health and wellbeing if they wished to do so. Providing this I am passionately promoting the wellbeing of the education staff member’s mental health and wellbeing which is significantly important to them being able to support and respond to the emerging mental health and wellbeing needs of 1 and other learners. </w:t>
            </w:r>
          </w:p>
          <w:p w14:paraId="5C5E1B96" w14:textId="33B817AC" w:rsidR="00C91686" w:rsidRDefault="00725736" w:rsidP="00725736">
            <w:pPr>
              <w:spacing w:line="480" w:lineRule="auto"/>
              <w:jc w:val="right"/>
              <w:rPr>
                <w:sz w:val="24"/>
              </w:rPr>
            </w:pPr>
            <w:r>
              <w:rPr>
                <w:sz w:val="24"/>
              </w:rPr>
              <w:t>(866)</w:t>
            </w:r>
          </w:p>
          <w:p w14:paraId="21552701" w14:textId="77777777" w:rsidR="00C91686" w:rsidRDefault="00C91686" w:rsidP="00C91686">
            <w:pPr>
              <w:spacing w:line="480" w:lineRule="auto"/>
              <w:jc w:val="both"/>
              <w:rPr>
                <w:sz w:val="24"/>
              </w:rPr>
            </w:pPr>
            <w:r>
              <w:rPr>
                <w:sz w:val="24"/>
              </w:rPr>
              <w:t xml:space="preserve">As previously mentioned I found it challenging moving from direct to indirect work, and upon reflection I concluded that I didn’t find the eliciting of information challenging rather I questioned the authenticity of the information which didn’t sit well when comparing it to my previous experience. I felt I lost the meaning and the true essence of the narrative as it was not said in the words of 1 rather the narrative is based on the education staff member’s interpretation. However, I continually reminded myself that in the context of the self-harm pathway, the approach </w:t>
            </w:r>
            <w:proofErr w:type="gramStart"/>
            <w:r>
              <w:rPr>
                <w:sz w:val="24"/>
              </w:rPr>
              <w:t>is  collaborative</w:t>
            </w:r>
            <w:proofErr w:type="gramEnd"/>
            <w:r>
              <w:rPr>
                <w:sz w:val="24"/>
              </w:rPr>
              <w:t xml:space="preserve"> with more than two of us working towards improving the situation and reducing 1’s risk to self. </w:t>
            </w:r>
          </w:p>
          <w:p w14:paraId="5AC61F36" w14:textId="2DCA6AE9" w:rsidR="00C91686" w:rsidRDefault="00725736" w:rsidP="00725736">
            <w:pPr>
              <w:spacing w:line="480" w:lineRule="auto"/>
              <w:jc w:val="right"/>
              <w:rPr>
                <w:color w:val="auto"/>
                <w:sz w:val="24"/>
                <w:szCs w:val="24"/>
              </w:rPr>
            </w:pPr>
            <w:r>
              <w:rPr>
                <w:color w:val="auto"/>
                <w:sz w:val="24"/>
                <w:szCs w:val="24"/>
              </w:rPr>
              <w:t>(114)</w:t>
            </w:r>
          </w:p>
          <w:p w14:paraId="7DA85040" w14:textId="77777777" w:rsidR="00C91686" w:rsidRDefault="00C91686" w:rsidP="00C91686">
            <w:pPr>
              <w:spacing w:line="480" w:lineRule="auto"/>
              <w:jc w:val="both"/>
              <w:rPr>
                <w:color w:val="auto"/>
                <w:sz w:val="24"/>
                <w:szCs w:val="24"/>
              </w:rPr>
            </w:pPr>
            <w:r>
              <w:rPr>
                <w:color w:val="auto"/>
                <w:sz w:val="24"/>
                <w:szCs w:val="24"/>
              </w:rPr>
              <w:lastRenderedPageBreak/>
              <w:t xml:space="preserve">We discussed health and safety regarding self-harm, as I was conscious if the self-harm required medical attention my recommendations would be for 1 to attend their nearest A&amp;E for medical treatment and could be assessed by the Unscheduled Care Team in line with The Mental Health (Wales) Measure (2010). </w:t>
            </w:r>
            <w:r>
              <w:rPr>
                <w:sz w:val="24"/>
                <w:szCs w:val="24"/>
              </w:rPr>
              <w:t xml:space="preserve">It was confirmed that 1 did not require any first aid and or to see the School Nurse, however if first aid was required education settings should refer to </w:t>
            </w:r>
            <w:r>
              <w:rPr>
                <w:color w:val="auto"/>
                <w:sz w:val="24"/>
                <w:szCs w:val="24"/>
              </w:rPr>
              <w:t xml:space="preserve">The </w:t>
            </w:r>
            <w:r w:rsidRPr="004640A3">
              <w:rPr>
                <w:sz w:val="24"/>
                <w:szCs w:val="24"/>
              </w:rPr>
              <w:t>Health and Safety (First Ai</w:t>
            </w:r>
            <w:r>
              <w:rPr>
                <w:sz w:val="24"/>
                <w:szCs w:val="24"/>
              </w:rPr>
              <w:t xml:space="preserve">d) Regulations (1981) which sets out </w:t>
            </w:r>
            <w:r w:rsidRPr="004640A3">
              <w:rPr>
                <w:sz w:val="24"/>
                <w:szCs w:val="24"/>
              </w:rPr>
              <w:t>requirements relating to employees</w:t>
            </w:r>
            <w:r>
              <w:rPr>
                <w:sz w:val="24"/>
                <w:szCs w:val="24"/>
              </w:rPr>
              <w:t xml:space="preserve"> and recommends for the purpose of first aid, in that schools treat learners as though they are employees and provide first aid and appropriate risk assessment.  </w:t>
            </w:r>
          </w:p>
          <w:p w14:paraId="3D1BAE32" w14:textId="24622C6E" w:rsidR="00C91686" w:rsidRDefault="00725736" w:rsidP="00725736">
            <w:pPr>
              <w:spacing w:line="480" w:lineRule="auto"/>
              <w:jc w:val="right"/>
              <w:rPr>
                <w:sz w:val="24"/>
              </w:rPr>
            </w:pPr>
            <w:r>
              <w:rPr>
                <w:sz w:val="24"/>
              </w:rPr>
              <w:t>(119)</w:t>
            </w:r>
          </w:p>
          <w:p w14:paraId="69F6933F" w14:textId="77777777" w:rsidR="00C91686" w:rsidRDefault="00C91686" w:rsidP="00C91686">
            <w:pPr>
              <w:spacing w:line="480" w:lineRule="auto"/>
              <w:jc w:val="both"/>
              <w:rPr>
                <w:sz w:val="24"/>
              </w:rPr>
            </w:pPr>
            <w:r>
              <w:rPr>
                <w:sz w:val="24"/>
              </w:rPr>
              <w:t>Within the assessment I implemented the 5Ps of risk formulation, the factors are; presenting, predisposing, precipitating, perpetuating and protective (</w:t>
            </w:r>
            <w:r w:rsidRPr="00624B1F">
              <w:rPr>
                <w:sz w:val="24"/>
              </w:rPr>
              <w:t xml:space="preserve">Johnstone &amp; </w:t>
            </w:r>
            <w:proofErr w:type="spellStart"/>
            <w:r w:rsidRPr="00624B1F">
              <w:rPr>
                <w:sz w:val="24"/>
              </w:rPr>
              <w:t>Dallos</w:t>
            </w:r>
            <w:proofErr w:type="spellEnd"/>
            <w:r w:rsidRPr="00624B1F">
              <w:rPr>
                <w:sz w:val="24"/>
              </w:rPr>
              <w:t>, 2014</w:t>
            </w:r>
            <w:r>
              <w:rPr>
                <w:sz w:val="24"/>
              </w:rPr>
              <w:t>).</w:t>
            </w:r>
          </w:p>
          <w:p w14:paraId="2E40BD02" w14:textId="3FFD1298" w:rsidR="00C91686" w:rsidRPr="00EA176F" w:rsidRDefault="00C91686" w:rsidP="00C91686">
            <w:pPr>
              <w:spacing w:line="480" w:lineRule="auto"/>
              <w:jc w:val="both"/>
              <w:rPr>
                <w:sz w:val="24"/>
              </w:rPr>
            </w:pPr>
            <w:r>
              <w:rPr>
                <w:sz w:val="24"/>
              </w:rPr>
              <w:t>1 is female and aged 14 and the presenting concern appeared to be that 1 had reported that they had self-harmed the evening prior to alleviate difficult feelings and manage their emotions. They stated they had felt better after doing so. 1</w:t>
            </w:r>
            <w:r>
              <w:rPr>
                <w:color w:val="auto"/>
                <w:sz w:val="24"/>
                <w:szCs w:val="24"/>
              </w:rPr>
              <w:t xml:space="preserve"> arrived at school in the morning whereby they disclosed the incident to their peers who subsequently supported 1 to disclose this to the education staff member.</w:t>
            </w:r>
            <w:r>
              <w:rPr>
                <w:sz w:val="24"/>
              </w:rPr>
              <w:t xml:space="preserve"> They also reported that they had self-harmed previously on a couple of occasions although they had not disclosed this to anyone. I drew upon my knowledge whereby </w:t>
            </w:r>
            <w:r>
              <w:rPr>
                <w:color w:val="auto"/>
                <w:sz w:val="24"/>
                <w:szCs w:val="24"/>
              </w:rPr>
              <w:t xml:space="preserve">Welsh Government (2020) statistics show that 50 percent of all mental health concerns are established by the age of 14, rising to 75 percent by the age of 24 with 1 in 10 deemed to be diagnosable. </w:t>
            </w:r>
            <w:r>
              <w:rPr>
                <w:sz w:val="24"/>
              </w:rPr>
              <w:t xml:space="preserve"> Poor mental health for children and young people is also described within the European Union as it is reported nine million adolescents between the ages of 10 and 19 have a diagnosable mental health illness with half of those cases reported as anxiety and depression (UNICEF, 2021). UNICEF work in line with the European Union </w:t>
            </w:r>
            <w:r>
              <w:rPr>
                <w:sz w:val="24"/>
              </w:rPr>
              <w:lastRenderedPageBreak/>
              <w:t>and have provided five key priorities for European institutions and national governments to work towards which include, improving regional infrastructure to support adolescents accessing mental health services and for  schools to provide programs to build awareness and emotional coping skills. In Europe studies have found that self-harm is more prevalent for females, with many adolescents not seeking hospital treatment and or disclosing to anyone, it also reported many adolescents have self-harmed more than once in their lifetime (</w:t>
            </w:r>
            <w:proofErr w:type="spellStart"/>
            <w:proofErr w:type="gramStart"/>
            <w:r>
              <w:rPr>
                <w:sz w:val="24"/>
              </w:rPr>
              <w:t>Farbstein</w:t>
            </w:r>
            <w:proofErr w:type="spellEnd"/>
            <w:r>
              <w:rPr>
                <w:sz w:val="24"/>
              </w:rPr>
              <w:t>.,</w:t>
            </w:r>
            <w:proofErr w:type="gramEnd"/>
            <w:r>
              <w:rPr>
                <w:sz w:val="24"/>
              </w:rPr>
              <w:t xml:space="preserve"> et al 2020; Madge, 2011; </w:t>
            </w:r>
            <w:proofErr w:type="spellStart"/>
            <w:r>
              <w:rPr>
                <w:sz w:val="24"/>
              </w:rPr>
              <w:t>Scoliers</w:t>
            </w:r>
            <w:proofErr w:type="spellEnd"/>
            <w:r>
              <w:rPr>
                <w:sz w:val="24"/>
              </w:rPr>
              <w:t xml:space="preserve">., et al 2009). In Wales </w:t>
            </w:r>
            <w:r>
              <w:rPr>
                <w:color w:val="auto"/>
                <w:sz w:val="24"/>
                <w:szCs w:val="24"/>
              </w:rPr>
              <w:t xml:space="preserve">it is difficult to ascertain specific statistics regarding self-harm due to the prevalence in non-disclosure, however it’s thought that around 13% of young people self-harm, however this figure could be much higher (Welsh Government, 2022). Girls are thought to be more likely to self-harm than their male counterparts, however this could be due to higher rates of disclosing (NSPCC, 2024).  </w:t>
            </w:r>
          </w:p>
          <w:p w14:paraId="049FB7D1" w14:textId="684991BE" w:rsidR="00C91686" w:rsidRDefault="00725736" w:rsidP="00725736">
            <w:pPr>
              <w:spacing w:line="480" w:lineRule="auto"/>
              <w:jc w:val="right"/>
              <w:rPr>
                <w:color w:val="auto"/>
                <w:sz w:val="24"/>
                <w:szCs w:val="24"/>
              </w:rPr>
            </w:pPr>
            <w:r>
              <w:rPr>
                <w:color w:val="auto"/>
                <w:sz w:val="24"/>
                <w:szCs w:val="24"/>
              </w:rPr>
              <w:t>(359)</w:t>
            </w:r>
          </w:p>
          <w:p w14:paraId="7E5B8857" w14:textId="5C3AFA07" w:rsidR="00C91686" w:rsidRDefault="00C91686" w:rsidP="00C91686">
            <w:pPr>
              <w:spacing w:line="480" w:lineRule="auto"/>
              <w:jc w:val="both"/>
              <w:rPr>
                <w:sz w:val="24"/>
              </w:rPr>
            </w:pPr>
            <w:r>
              <w:rPr>
                <w:sz w:val="24"/>
              </w:rPr>
              <w:t>We discussed predisposing factors regarding Adverse Childhood Experiences (ACE’s) as 1 in 3 mental health difficulties is directly connected to ACE’s (Young Minds, 2024). With this in mind the Trauma Informed approach underpins my practice, 1’s parents had recently separated along with what was described as ‘usual friendship group fallouts’. I wondered whether 1 currently had an overactive rage, fear, panic/ grief system, whereby a child may present as stressed, angry, anxious, depressed thus when these systems are over activated their care, seeking and play systems are blocked whereby they may find it more difficult to play with ideas, explore environments or enjoy relating to others (</w:t>
            </w:r>
            <w:proofErr w:type="spellStart"/>
            <w:r>
              <w:rPr>
                <w:sz w:val="24"/>
              </w:rPr>
              <w:t>Panksepp</w:t>
            </w:r>
            <w:proofErr w:type="spellEnd"/>
            <w:r>
              <w:rPr>
                <w:sz w:val="24"/>
              </w:rPr>
              <w:t xml:space="preserve">, 2012). As discussed earlier I highlighted the skills and attributes the education staff member had presented to 1 with, thus to further strengthen her approach I suggested implementing the PACE (Play, Acceptance, Curiosity, Empathy) method of intervention with the aim to engage </w:t>
            </w:r>
            <w:r>
              <w:rPr>
                <w:sz w:val="24"/>
              </w:rPr>
              <w:lastRenderedPageBreak/>
              <w:t xml:space="preserve">1 to become safe and engaged with the education staff member which may result in 1 letting them in and trusting them with their pain (Hughes &amp; Golding, 2012). This would further strengthen 1’s existing protective factors of a supportive family, friendships and hobbies. The precipitating factors were that 1 had not yet received any support for their emotional wellbeing and or support for familial changes with perpetuating factors possibly being they may not have processed the life changes </w:t>
            </w:r>
            <w:r w:rsidR="006F6635">
              <w:rPr>
                <w:sz w:val="24"/>
              </w:rPr>
              <w:t xml:space="preserve">and loss </w:t>
            </w:r>
            <w:r>
              <w:rPr>
                <w:sz w:val="24"/>
              </w:rPr>
              <w:t xml:space="preserve">with a trusted adult and had self-harmed on a few occasions to manage emotions.  </w:t>
            </w:r>
          </w:p>
          <w:p w14:paraId="12794129" w14:textId="192B6226" w:rsidR="00C91686" w:rsidRDefault="00C91686" w:rsidP="00C91686">
            <w:pPr>
              <w:spacing w:line="480" w:lineRule="auto"/>
              <w:jc w:val="both"/>
              <w:rPr>
                <w:sz w:val="24"/>
              </w:rPr>
            </w:pPr>
            <w:r>
              <w:rPr>
                <w:sz w:val="24"/>
              </w:rPr>
              <w:t>Within the 5P’s risk formulation I asked direct questions around the current seriousness of risk? How immediate is the risk? What are the signs of increasing risk</w:t>
            </w:r>
            <w:proofErr w:type="gramStart"/>
            <w:r>
              <w:rPr>
                <w:sz w:val="24"/>
              </w:rPr>
              <w:t>?.</w:t>
            </w:r>
            <w:proofErr w:type="gramEnd"/>
            <w:r>
              <w:rPr>
                <w:sz w:val="24"/>
              </w:rPr>
              <w:t xml:space="preserve"> 1 had reportedly denied experiencing suicidal thoughts and denied having a plan to end their life. 1 disclosed that they continued to find managing their emotions difficult and felt they would self-harm in the future. </w:t>
            </w:r>
          </w:p>
          <w:p w14:paraId="50C56B1B" w14:textId="0AB1053A" w:rsidR="00C91686" w:rsidRDefault="00725736" w:rsidP="00725736">
            <w:pPr>
              <w:spacing w:line="480" w:lineRule="auto"/>
              <w:jc w:val="right"/>
              <w:rPr>
                <w:sz w:val="24"/>
              </w:rPr>
            </w:pPr>
            <w:r>
              <w:rPr>
                <w:sz w:val="24"/>
              </w:rPr>
              <w:t>(306)</w:t>
            </w:r>
          </w:p>
          <w:p w14:paraId="40AAC0E7" w14:textId="316CB5B6" w:rsidR="00C91686" w:rsidRDefault="00C91686" w:rsidP="00C91686">
            <w:pPr>
              <w:pStyle w:val="legclearfix"/>
              <w:spacing w:after="120" w:line="480" w:lineRule="auto"/>
              <w:rPr>
                <w:rFonts w:ascii="Arial" w:hAnsi="Arial" w:cs="Arial"/>
                <w:color w:val="333333"/>
                <w:shd w:val="clear" w:color="auto" w:fill="FFFFFF"/>
              </w:rPr>
            </w:pPr>
            <w:r w:rsidRPr="00493933">
              <w:rPr>
                <w:rFonts w:ascii="Arial" w:hAnsi="Arial" w:cs="Arial"/>
              </w:rPr>
              <w:t>W</w:t>
            </w:r>
            <w:r>
              <w:rPr>
                <w:rFonts w:ascii="Arial" w:hAnsi="Arial" w:cs="Arial"/>
              </w:rPr>
              <w:t>ithin the risk assessment I</w:t>
            </w:r>
            <w:r w:rsidRPr="00493933">
              <w:rPr>
                <w:rFonts w:ascii="Arial" w:hAnsi="Arial" w:cs="Arial"/>
              </w:rPr>
              <w:t xml:space="preserve"> ask</w:t>
            </w:r>
            <w:r>
              <w:rPr>
                <w:rFonts w:ascii="Arial" w:hAnsi="Arial" w:cs="Arial"/>
              </w:rPr>
              <w:t xml:space="preserve">ed </w:t>
            </w:r>
            <w:r w:rsidRPr="00493933">
              <w:rPr>
                <w:rFonts w:ascii="Arial" w:hAnsi="Arial" w:cs="Arial"/>
              </w:rPr>
              <w:t>question</w:t>
            </w:r>
            <w:r>
              <w:rPr>
                <w:rFonts w:ascii="Arial" w:hAnsi="Arial" w:cs="Arial"/>
              </w:rPr>
              <w:t>s</w:t>
            </w:r>
            <w:r w:rsidRPr="00493933">
              <w:rPr>
                <w:rFonts w:ascii="Arial" w:hAnsi="Arial" w:cs="Arial"/>
              </w:rPr>
              <w:t xml:space="preserve"> regarding risk from others. The education staff member responded that 1 had denied any risk from others</w:t>
            </w:r>
            <w:r>
              <w:rPr>
                <w:rFonts w:ascii="Arial" w:hAnsi="Arial" w:cs="Arial"/>
              </w:rPr>
              <w:t xml:space="preserve"> and through the assessment we both did not suspect nor have reasonable grounds to suspect risk from others regarding abuse, neglect or other kinds of harm</w:t>
            </w:r>
            <w:r w:rsidRPr="00493933">
              <w:rPr>
                <w:rFonts w:ascii="Arial" w:hAnsi="Arial" w:cs="Arial"/>
              </w:rPr>
              <w:t xml:space="preserve">. </w:t>
            </w:r>
            <w:r>
              <w:rPr>
                <w:rFonts w:ascii="Arial" w:hAnsi="Arial" w:cs="Arial"/>
              </w:rPr>
              <w:t>However, i</w:t>
            </w:r>
            <w:r w:rsidRPr="00493933">
              <w:rPr>
                <w:rFonts w:ascii="Arial" w:hAnsi="Arial" w:cs="Arial"/>
              </w:rPr>
              <w:t>f 1 had r</w:t>
            </w:r>
            <w:r>
              <w:rPr>
                <w:rFonts w:ascii="Arial" w:hAnsi="Arial" w:cs="Arial"/>
              </w:rPr>
              <w:t xml:space="preserve">eported risk from others or there was reasonable grounds to suspect risk from others </w:t>
            </w:r>
            <w:r>
              <w:rPr>
                <w:rStyle w:val="legds"/>
                <w:rFonts w:ascii="Arial" w:hAnsi="Arial" w:cs="Arial"/>
                <w:color w:val="000000"/>
              </w:rPr>
              <w:t xml:space="preserve">as a social worker and education staff member we have a statutory duty to report under Section 162(2) and 130(5)(b) of the Social Services and Wellbeing (Wales) Act (SSWBA) (2014) which defines us as ‘relevant partners’. Section 130(4) of the (SSWBA, 2014) defines risk as a ‘child who is experiencing or is at risk of experiencing abuse, neglect or other kinds of harm’, and has care and support needs and outlines that if there is a reasonable cause for concern a discussion with family should be </w:t>
            </w:r>
            <w:r>
              <w:rPr>
                <w:rStyle w:val="legds"/>
                <w:rFonts w:ascii="Arial" w:hAnsi="Arial" w:cs="Arial"/>
                <w:color w:val="000000"/>
              </w:rPr>
              <w:lastRenderedPageBreak/>
              <w:t>sought and consent obtained, although, this should only be done if it does not place the child at further risk or harm. Upon receiving a report the Local Authority must record their next steps within one day of receiving the report. Following initial consideration if there is reasonable grounds to suspect a child is suffering or likely to suffer abuse, harm or neglect the Local Authority has the duty to commence enquiries under Section 47, a strategy meeting must take place which considers if emergency action is required (Children Act, 1989, SSWBA, 2014). Nationally there are differences between Local Authorities assessments of statutory duty in England and Wales. In Wales if safeguarding concerns are not substantiated it may be deemed that a child or family have care and support needs and in accordance to Part 3 of the SSWBA (2014) the care and support needs will be assessed a care and support plan may be required. Whereas in England if safeguarding concerns are not substantiated and it may be deemed a child or family have care and support needs Local Authoritie</w:t>
            </w:r>
            <w:r w:rsidR="006F6635">
              <w:rPr>
                <w:rStyle w:val="legds"/>
                <w:rFonts w:ascii="Arial" w:hAnsi="Arial" w:cs="Arial"/>
                <w:color w:val="000000"/>
              </w:rPr>
              <w:t>s exercise this function under S</w:t>
            </w:r>
            <w:r>
              <w:rPr>
                <w:rStyle w:val="legds"/>
                <w:rFonts w:ascii="Arial" w:hAnsi="Arial" w:cs="Arial"/>
                <w:color w:val="000000"/>
              </w:rPr>
              <w:t xml:space="preserve">ection 17 of the Childrens Act (1989). By way of virtue Wales exercise their functions of section 17 of the Childrens Act 1989 in accordance with the SSWBA (2014). The Childrens Act </w:t>
            </w:r>
            <w:r w:rsidR="006F6635">
              <w:rPr>
                <w:rStyle w:val="legds"/>
                <w:rFonts w:ascii="Arial" w:hAnsi="Arial" w:cs="Arial"/>
                <w:color w:val="000000"/>
              </w:rPr>
              <w:t>(</w:t>
            </w:r>
            <w:r>
              <w:rPr>
                <w:rStyle w:val="legds"/>
                <w:rFonts w:ascii="Arial" w:hAnsi="Arial" w:cs="Arial"/>
                <w:color w:val="000000"/>
              </w:rPr>
              <w:t>1989</w:t>
            </w:r>
            <w:r w:rsidR="006F6635">
              <w:rPr>
                <w:rStyle w:val="legds"/>
                <w:rFonts w:ascii="Arial" w:hAnsi="Arial" w:cs="Arial"/>
                <w:color w:val="000000"/>
              </w:rPr>
              <w:t>)</w:t>
            </w:r>
            <w:r>
              <w:rPr>
                <w:rStyle w:val="legds"/>
                <w:rFonts w:ascii="Arial" w:hAnsi="Arial" w:cs="Arial"/>
                <w:color w:val="000000"/>
              </w:rPr>
              <w:t xml:space="preserve"> does not apply to Northern Ireland who implement </w:t>
            </w:r>
            <w:r>
              <w:rPr>
                <w:rFonts w:ascii="Arial" w:hAnsi="Arial" w:cs="Arial"/>
                <w:color w:val="333333"/>
                <w:shd w:val="clear" w:color="auto" w:fill="FFFFFF"/>
              </w:rPr>
              <w:t>Children (Northern Ireland) Order 2005</w:t>
            </w:r>
            <w:r>
              <w:rPr>
                <w:rStyle w:val="legds"/>
                <w:rFonts w:ascii="Arial" w:hAnsi="Arial" w:cs="Arial"/>
                <w:color w:val="000000"/>
              </w:rPr>
              <w:t xml:space="preserve"> nor Scotland who implement the </w:t>
            </w:r>
            <w:r>
              <w:rPr>
                <w:rFonts w:ascii="Arial" w:hAnsi="Arial" w:cs="Arial"/>
                <w:color w:val="333333"/>
                <w:shd w:val="clear" w:color="auto" w:fill="FFFFFF"/>
              </w:rPr>
              <w:t xml:space="preserve">Children (Scotland) Act 2005. </w:t>
            </w:r>
          </w:p>
          <w:p w14:paraId="71B72C71" w14:textId="525A388C" w:rsidR="00C91686" w:rsidRDefault="00C91686" w:rsidP="00C91686">
            <w:pPr>
              <w:pStyle w:val="legclearfix"/>
              <w:spacing w:after="120" w:line="480" w:lineRule="auto"/>
              <w:rPr>
                <w:rFonts w:ascii="Arial" w:hAnsi="Arial" w:cs="Arial"/>
                <w:color w:val="1E1E1E"/>
              </w:rPr>
            </w:pPr>
            <w:r w:rsidRPr="00AD1EFA">
              <w:rPr>
                <w:rFonts w:ascii="Arial" w:hAnsi="Arial" w:cs="Arial"/>
                <w:color w:val="333333"/>
                <w:shd w:val="clear" w:color="auto" w:fill="FFFFFF"/>
              </w:rPr>
              <w:t>If the Local Authority exercise functions under Part 6 (1)(a), (b) or (c) of the SSWBA (2014</w:t>
            </w:r>
            <w:r>
              <w:rPr>
                <w:rFonts w:ascii="Arial" w:hAnsi="Arial" w:cs="Arial"/>
                <w:color w:val="333333"/>
                <w:shd w:val="clear" w:color="auto" w:fill="FFFFFF"/>
              </w:rPr>
              <w:t>)</w:t>
            </w:r>
            <w:r w:rsidRPr="00AD1EFA">
              <w:rPr>
                <w:rFonts w:ascii="Arial" w:hAnsi="Arial" w:cs="Arial"/>
                <w:color w:val="333333"/>
                <w:shd w:val="clear" w:color="auto" w:fill="FFFFFF"/>
              </w:rPr>
              <w:t xml:space="preserve"> then they must have regard for the United Nations Convention on the Rights of the Child</w:t>
            </w:r>
            <w:r w:rsidR="003359DE">
              <w:rPr>
                <w:rFonts w:ascii="Arial" w:hAnsi="Arial" w:cs="Arial"/>
                <w:color w:val="333333"/>
                <w:shd w:val="clear" w:color="auto" w:fill="FFFFFF"/>
              </w:rPr>
              <w:t xml:space="preserve"> (1989)</w:t>
            </w:r>
            <w:r w:rsidRPr="00AD1EFA">
              <w:rPr>
                <w:rFonts w:ascii="Arial" w:hAnsi="Arial" w:cs="Arial"/>
                <w:color w:val="333333"/>
                <w:shd w:val="clear" w:color="auto" w:fill="FFFFFF"/>
              </w:rPr>
              <w:t xml:space="preserve"> </w:t>
            </w:r>
            <w:r>
              <w:rPr>
                <w:rFonts w:ascii="Arial" w:hAnsi="Arial" w:cs="Arial"/>
                <w:color w:val="333333"/>
                <w:shd w:val="clear" w:color="auto" w:fill="FFFFFF"/>
              </w:rPr>
              <w:t xml:space="preserve"> which is </w:t>
            </w:r>
            <w:r w:rsidRPr="00AD1EFA">
              <w:rPr>
                <w:rFonts w:ascii="Arial" w:hAnsi="Arial" w:cs="Arial"/>
                <w:color w:val="333333"/>
                <w:shd w:val="clear" w:color="auto" w:fill="FFFFFF"/>
              </w:rPr>
              <w:t xml:space="preserve">underpinned within the </w:t>
            </w:r>
            <w:r w:rsidRPr="00AD1EFA">
              <w:rPr>
                <w:rFonts w:ascii="Arial" w:hAnsi="Arial" w:cs="Arial"/>
                <w:color w:val="1E1E1E"/>
              </w:rPr>
              <w:t>Rights of Children and You</w:t>
            </w:r>
            <w:r>
              <w:rPr>
                <w:rFonts w:ascii="Arial" w:hAnsi="Arial" w:cs="Arial"/>
                <w:color w:val="1E1E1E"/>
              </w:rPr>
              <w:t xml:space="preserve">ng Persons (Wales) Measure (2011). </w:t>
            </w:r>
          </w:p>
          <w:p w14:paraId="69F8DB08" w14:textId="5D194A57" w:rsidR="00725736" w:rsidRPr="0023425C" w:rsidRDefault="003359DE" w:rsidP="00725736">
            <w:pPr>
              <w:pStyle w:val="legclearfix"/>
              <w:spacing w:after="120" w:line="480" w:lineRule="auto"/>
              <w:jc w:val="right"/>
              <w:rPr>
                <w:rFonts w:ascii="Arial" w:hAnsi="Arial" w:cs="Arial"/>
                <w:color w:val="333333"/>
                <w:shd w:val="clear" w:color="auto" w:fill="FFFFFF"/>
              </w:rPr>
            </w:pPr>
            <w:r>
              <w:rPr>
                <w:rFonts w:ascii="Arial" w:hAnsi="Arial" w:cs="Arial"/>
                <w:color w:val="1E1E1E"/>
              </w:rPr>
              <w:t>(442</w:t>
            </w:r>
            <w:r w:rsidR="00725736">
              <w:rPr>
                <w:rFonts w:ascii="Arial" w:hAnsi="Arial" w:cs="Arial"/>
                <w:color w:val="1E1E1E"/>
              </w:rPr>
              <w:t>)</w:t>
            </w:r>
          </w:p>
          <w:p w14:paraId="1B30D2AE" w14:textId="77777777" w:rsidR="00C91686" w:rsidRDefault="00C91686" w:rsidP="00C91686">
            <w:pPr>
              <w:pStyle w:val="legclearfix"/>
              <w:spacing w:after="120" w:line="480" w:lineRule="auto"/>
              <w:rPr>
                <w:rFonts w:ascii="Arial" w:hAnsi="Arial" w:cs="Arial"/>
                <w:color w:val="333333"/>
                <w:shd w:val="clear" w:color="auto" w:fill="FFFFFF"/>
              </w:rPr>
            </w:pPr>
            <w:r>
              <w:rPr>
                <w:rFonts w:ascii="Arial" w:hAnsi="Arial" w:cs="Arial"/>
                <w:color w:val="333333"/>
                <w:shd w:val="clear" w:color="auto" w:fill="FFFFFF"/>
              </w:rPr>
              <w:lastRenderedPageBreak/>
              <w:t xml:space="preserve">We discussed other forms of risk from others such as friendship groups and social media and how these both intertwine. As the NSPCC (2024) report whilst social media can be a great sense of support and connection it can also have concerning pro self-harm content, promoting graphic and unpleasant content. 1 could potentially be more vulnerable to inappropriate content thus I advised the education staff member discuss this further with 1 and their parents to perhaps consider parental restrictions on social media apps if needed. </w:t>
            </w:r>
          </w:p>
          <w:p w14:paraId="3B0F18C8" w14:textId="1431584D" w:rsidR="00C91686" w:rsidRDefault="00C91686" w:rsidP="00C91686">
            <w:pPr>
              <w:pStyle w:val="legclearfix"/>
              <w:spacing w:after="120" w:line="480" w:lineRule="auto"/>
              <w:rPr>
                <w:rFonts w:ascii="Arial" w:hAnsi="Arial" w:cs="Arial"/>
                <w:color w:val="333333"/>
                <w:shd w:val="clear" w:color="auto" w:fill="FFFFFF"/>
              </w:rPr>
            </w:pPr>
            <w:r>
              <w:rPr>
                <w:rFonts w:ascii="Arial" w:hAnsi="Arial" w:cs="Arial"/>
                <w:color w:val="333333"/>
                <w:shd w:val="clear" w:color="auto" w:fill="FFFFFF"/>
              </w:rPr>
              <w:t xml:space="preserve">We also discussed 1s risk to others and established there could be potential risk to their friends’ as they had disclosed their self-harm to them. It is important to safeguard the wider network of learners and the impact this can have on their emotional wellbeing (Welsh Government, 2019). The education staff member stated she would provide support to 1’s friendship group. </w:t>
            </w:r>
          </w:p>
          <w:p w14:paraId="44154DF3" w14:textId="7A1E36EA" w:rsidR="00725736" w:rsidRDefault="00725736" w:rsidP="00725736">
            <w:pPr>
              <w:pStyle w:val="legclearfix"/>
              <w:spacing w:after="120" w:line="480" w:lineRule="auto"/>
              <w:jc w:val="right"/>
              <w:rPr>
                <w:rFonts w:ascii="Arial" w:hAnsi="Arial" w:cs="Arial"/>
                <w:color w:val="333333"/>
                <w:shd w:val="clear" w:color="auto" w:fill="FFFFFF"/>
              </w:rPr>
            </w:pPr>
            <w:r>
              <w:rPr>
                <w:rFonts w:ascii="Arial" w:hAnsi="Arial" w:cs="Arial"/>
                <w:color w:val="333333"/>
                <w:shd w:val="clear" w:color="auto" w:fill="FFFFFF"/>
              </w:rPr>
              <w:t>(146)</w:t>
            </w:r>
          </w:p>
          <w:p w14:paraId="4D3673A4" w14:textId="77777777" w:rsidR="00C91686" w:rsidRDefault="00C91686" w:rsidP="00C91686">
            <w:pPr>
              <w:pStyle w:val="legclearfix"/>
              <w:spacing w:after="120" w:line="480" w:lineRule="auto"/>
              <w:rPr>
                <w:rFonts w:ascii="Arial" w:hAnsi="Arial" w:cs="Arial"/>
                <w:color w:val="333333"/>
                <w:shd w:val="clear" w:color="auto" w:fill="FFFFFF"/>
              </w:rPr>
            </w:pPr>
            <w:r>
              <w:rPr>
                <w:rFonts w:ascii="Arial" w:hAnsi="Arial" w:cs="Arial"/>
                <w:color w:val="333333"/>
                <w:shd w:val="clear" w:color="auto" w:fill="FFFFFF"/>
              </w:rPr>
              <w:t xml:space="preserve"> </w:t>
            </w:r>
          </w:p>
          <w:p w14:paraId="3CFF4341" w14:textId="77777777" w:rsidR="00C91686" w:rsidRDefault="00C91686" w:rsidP="00C91686">
            <w:pPr>
              <w:spacing w:line="480" w:lineRule="auto"/>
              <w:jc w:val="both"/>
              <w:rPr>
                <w:sz w:val="24"/>
              </w:rPr>
            </w:pPr>
            <w:r>
              <w:rPr>
                <w:sz w:val="24"/>
              </w:rPr>
              <w:t xml:space="preserve">By completing the risk formulation which included consideration for historical factors and experiences, recent difficulties and existing strengths and resources this informed the support plan (NICE, 2022) whereby we collaboratively decided that to provide 1 with further emotional and compassionate support which could potentially strengthen their protective factors an onward referral appeared beneficial. However, </w:t>
            </w:r>
            <w:r w:rsidRPr="002A4014">
              <w:rPr>
                <w:sz w:val="24"/>
              </w:rPr>
              <w:t xml:space="preserve">I was conscious of my positionality of power </w:t>
            </w:r>
            <w:r w:rsidRPr="00FA2066">
              <w:rPr>
                <w:sz w:val="24"/>
              </w:rPr>
              <w:t xml:space="preserve">whereby I exercise influence in an ethical manner by being responsible, accountable and respectful (BASW, 2021) </w:t>
            </w:r>
            <w:r w:rsidRPr="002A4014">
              <w:rPr>
                <w:sz w:val="24"/>
              </w:rPr>
              <w:t>by advocating on 1</w:t>
            </w:r>
            <w:r>
              <w:rPr>
                <w:sz w:val="24"/>
              </w:rPr>
              <w:t>’</w:t>
            </w:r>
            <w:r w:rsidRPr="002A4014">
              <w:rPr>
                <w:sz w:val="24"/>
              </w:rPr>
              <w:t xml:space="preserve">s behalf to influence services accepting referrals on the basis of my clinical judgement. I advised that I could make an onward referral </w:t>
            </w:r>
            <w:r>
              <w:rPr>
                <w:sz w:val="24"/>
              </w:rPr>
              <w:t xml:space="preserve">to a local </w:t>
            </w:r>
            <w:r>
              <w:rPr>
                <w:sz w:val="24"/>
              </w:rPr>
              <w:lastRenderedPageBreak/>
              <w:t xml:space="preserve">young person’s support service </w:t>
            </w:r>
            <w:r w:rsidRPr="002A4014">
              <w:rPr>
                <w:sz w:val="24"/>
              </w:rPr>
              <w:t xml:space="preserve">immediately so 1 could access ongoing support on the same day which aims to prevent or reduce deterioration in a young person’s emotional, behavioural or wellbeing state which may otherwise result in Section 136 of the Mental Health Act </w:t>
            </w:r>
            <w:r>
              <w:rPr>
                <w:sz w:val="24"/>
              </w:rPr>
              <w:t>(</w:t>
            </w:r>
            <w:r w:rsidRPr="002A4014">
              <w:rPr>
                <w:sz w:val="24"/>
              </w:rPr>
              <w:t>2007</w:t>
            </w:r>
            <w:r>
              <w:rPr>
                <w:sz w:val="24"/>
              </w:rPr>
              <w:t>)</w:t>
            </w:r>
            <w:r w:rsidRPr="002A4014">
              <w:rPr>
                <w:sz w:val="24"/>
              </w:rPr>
              <w:t xml:space="preserve"> being actioned, calls to emergency services</w:t>
            </w:r>
            <w:r>
              <w:t xml:space="preserve"> </w:t>
            </w:r>
            <w:r w:rsidRPr="00FA2066">
              <w:rPr>
                <w:sz w:val="24"/>
              </w:rPr>
              <w:t xml:space="preserve">or A&amp;E presentations. Further to this 1 would need to consent and be </w:t>
            </w:r>
            <w:proofErr w:type="spellStart"/>
            <w:r w:rsidRPr="00FA2066">
              <w:rPr>
                <w:sz w:val="24"/>
              </w:rPr>
              <w:t>Gillick</w:t>
            </w:r>
            <w:proofErr w:type="spellEnd"/>
            <w:r w:rsidRPr="00FA2066">
              <w:rPr>
                <w:sz w:val="24"/>
              </w:rPr>
              <w:t xml:space="preserve"> competent as they are under the age of 16</w:t>
            </w:r>
            <w:r>
              <w:rPr>
                <w:sz w:val="24"/>
              </w:rPr>
              <w:t xml:space="preserve">. The education staff member and I discussed whether 1 was </w:t>
            </w:r>
            <w:proofErr w:type="spellStart"/>
            <w:r>
              <w:rPr>
                <w:sz w:val="24"/>
              </w:rPr>
              <w:t>Gillick</w:t>
            </w:r>
            <w:proofErr w:type="spellEnd"/>
            <w:r>
              <w:rPr>
                <w:sz w:val="24"/>
              </w:rPr>
              <w:t xml:space="preserve"> competent as they presented with maturity to make decisions and able to understand the implications and benefits to receiving such support (Fenton, 2020). 1 advised that </w:t>
            </w:r>
            <w:r w:rsidRPr="002A03C2">
              <w:rPr>
                <w:sz w:val="24"/>
              </w:rPr>
              <w:t>support would be helpful and beneficial</w:t>
            </w:r>
            <w:r>
              <w:rPr>
                <w:sz w:val="24"/>
              </w:rPr>
              <w:t xml:space="preserve"> for them and wanted to speak with somebody further about how they were feeling. However I was conscious that 1 would need to leave school premises, thus I contacted their parents to gain consent for the referral also. </w:t>
            </w:r>
          </w:p>
          <w:p w14:paraId="27C3E4F0" w14:textId="77777777" w:rsidR="00C91686" w:rsidRPr="00904A05" w:rsidRDefault="00C91686" w:rsidP="00C91686">
            <w:pPr>
              <w:spacing w:line="480" w:lineRule="auto"/>
              <w:jc w:val="both"/>
              <w:rPr>
                <w:sz w:val="24"/>
                <w:szCs w:val="24"/>
              </w:rPr>
            </w:pPr>
            <w:r>
              <w:rPr>
                <w:sz w:val="24"/>
              </w:rPr>
              <w:t>1 was happy for their parents to be involved in their care and treatment, thus I followed NICE Guidelines (2022).  Under Part 6 of the SSWBA (2014) a carer who falls within Part 6,</w:t>
            </w:r>
            <w:r w:rsidRPr="008F5F48">
              <w:rPr>
                <w:sz w:val="24"/>
                <w:szCs w:val="24"/>
              </w:rPr>
              <w:t xml:space="preserve"> </w:t>
            </w:r>
            <w:r>
              <w:rPr>
                <w:sz w:val="24"/>
                <w:szCs w:val="24"/>
              </w:rPr>
              <w:t xml:space="preserve">services </w:t>
            </w:r>
            <w:r w:rsidRPr="008F5F48">
              <w:rPr>
                <w:sz w:val="24"/>
                <w:szCs w:val="24"/>
              </w:rPr>
              <w:t>must ascertain and have regard to the views, wishes and feelings of the persons with parenta</w:t>
            </w:r>
            <w:r>
              <w:rPr>
                <w:sz w:val="24"/>
                <w:szCs w:val="24"/>
              </w:rPr>
              <w:t>l responsibility for the</w:t>
            </w:r>
            <w:r w:rsidRPr="008F5F48">
              <w:rPr>
                <w:sz w:val="24"/>
                <w:szCs w:val="24"/>
              </w:rPr>
              <w:t xml:space="preserve"> child </w:t>
            </w:r>
            <w:r>
              <w:rPr>
                <w:sz w:val="24"/>
                <w:szCs w:val="24"/>
              </w:rPr>
              <w:t xml:space="preserve">who is under the age of 16 </w:t>
            </w:r>
            <w:r w:rsidRPr="008F5F48">
              <w:rPr>
                <w:sz w:val="24"/>
                <w:szCs w:val="24"/>
              </w:rPr>
              <w:t>which is consistent to promoting the wellbeing of the child</w:t>
            </w:r>
            <w:r>
              <w:t xml:space="preserve">. </w:t>
            </w:r>
          </w:p>
          <w:p w14:paraId="21329A3D" w14:textId="77777777" w:rsidR="00C91686" w:rsidRDefault="00C91686" w:rsidP="00C91686">
            <w:pPr>
              <w:spacing w:line="480" w:lineRule="auto"/>
              <w:jc w:val="both"/>
              <w:rPr>
                <w:sz w:val="24"/>
              </w:rPr>
            </w:pPr>
            <w:r w:rsidRPr="002A03C2">
              <w:rPr>
                <w:sz w:val="24"/>
              </w:rPr>
              <w:t xml:space="preserve">I deemed </w:t>
            </w:r>
            <w:r>
              <w:rPr>
                <w:sz w:val="24"/>
              </w:rPr>
              <w:t xml:space="preserve">it </w:t>
            </w:r>
            <w:r w:rsidRPr="002A03C2">
              <w:rPr>
                <w:sz w:val="24"/>
              </w:rPr>
              <w:t xml:space="preserve">encouraging </w:t>
            </w:r>
            <w:r>
              <w:rPr>
                <w:sz w:val="24"/>
              </w:rPr>
              <w:t xml:space="preserve">that 1 was accepting of support and parents supported 1 to access this also as support from family and accessing wider services are protective factors and improve positive outcomes for clients </w:t>
            </w:r>
            <w:r w:rsidRPr="002A03C2">
              <w:rPr>
                <w:sz w:val="24"/>
              </w:rPr>
              <w:t>(</w:t>
            </w:r>
            <w:proofErr w:type="gramStart"/>
            <w:r w:rsidRPr="002A03C2">
              <w:rPr>
                <w:sz w:val="24"/>
              </w:rPr>
              <w:t>Dray.,</w:t>
            </w:r>
            <w:proofErr w:type="gramEnd"/>
            <w:r w:rsidRPr="002A03C2">
              <w:rPr>
                <w:sz w:val="24"/>
              </w:rPr>
              <w:t xml:space="preserve"> et al, 2017). </w:t>
            </w:r>
          </w:p>
          <w:p w14:paraId="2D53E1D7" w14:textId="77777777" w:rsidR="00C91686" w:rsidRPr="00A22284" w:rsidRDefault="00C91686" w:rsidP="00C91686">
            <w:pPr>
              <w:pStyle w:val="legclearfix"/>
              <w:spacing w:after="120" w:line="480" w:lineRule="auto"/>
              <w:rPr>
                <w:rFonts w:ascii="Arial" w:hAnsi="Arial" w:cs="Arial"/>
                <w:color w:val="333333"/>
                <w:shd w:val="clear" w:color="auto" w:fill="FFFFFF"/>
              </w:rPr>
            </w:pPr>
            <w:r>
              <w:rPr>
                <w:rFonts w:ascii="Arial" w:hAnsi="Arial" w:cs="Arial"/>
              </w:rPr>
              <w:t>1’s parents consented to this which further increases protective factors of familial support (</w:t>
            </w:r>
            <w:proofErr w:type="gramStart"/>
            <w:r>
              <w:rPr>
                <w:rFonts w:ascii="Arial" w:hAnsi="Arial" w:cs="Arial"/>
              </w:rPr>
              <w:t>Dray.,</w:t>
            </w:r>
            <w:proofErr w:type="gramEnd"/>
            <w:r>
              <w:rPr>
                <w:rFonts w:ascii="Arial" w:hAnsi="Arial" w:cs="Arial"/>
              </w:rPr>
              <w:t xml:space="preserve"> et al, 2017).  </w:t>
            </w:r>
          </w:p>
          <w:p w14:paraId="060BBA1E" w14:textId="77777777" w:rsidR="00C91686" w:rsidRDefault="00C91686" w:rsidP="00C91686">
            <w:pPr>
              <w:spacing w:line="480" w:lineRule="auto"/>
              <w:jc w:val="both"/>
              <w:rPr>
                <w:sz w:val="24"/>
              </w:rPr>
            </w:pPr>
            <w:r>
              <w:rPr>
                <w:sz w:val="24"/>
              </w:rPr>
              <w:t xml:space="preserve">In my clinical judgement, 1 accessing an onward same day service support was the least restrictive option as in a mental health crisis. 1 needs timely access to compassionate support </w:t>
            </w:r>
            <w:r>
              <w:rPr>
                <w:sz w:val="24"/>
              </w:rPr>
              <w:lastRenderedPageBreak/>
              <w:t>that met their needs with the right care, right place, first time which is in line with the Six Goals for Urgent and Emergency Care implementing the 2</w:t>
            </w:r>
            <w:r w:rsidRPr="005E3509">
              <w:rPr>
                <w:sz w:val="24"/>
                <w:vertAlign w:val="superscript"/>
              </w:rPr>
              <w:t>nd</w:t>
            </w:r>
            <w:r>
              <w:rPr>
                <w:sz w:val="24"/>
              </w:rPr>
              <w:t xml:space="preserve"> goal of signposting (Welsh Government, 2022). England have a similar framework, The National Partnership Agreement: Right Care Right Person Agreement (2023) for if 1 was to present to A&amp;E in England, for example. </w:t>
            </w:r>
          </w:p>
          <w:p w14:paraId="0AEFCF8B" w14:textId="77777777" w:rsidR="00C91686" w:rsidRDefault="00C91686" w:rsidP="00C91686">
            <w:pPr>
              <w:spacing w:line="480" w:lineRule="auto"/>
              <w:jc w:val="both"/>
              <w:rPr>
                <w:sz w:val="24"/>
              </w:rPr>
            </w:pPr>
            <w:r>
              <w:rPr>
                <w:sz w:val="24"/>
              </w:rPr>
              <w:t xml:space="preserve">The service I referred 1 to was not without its limitations, as the service operated on three weekdays between the hours of 9am-5pm. The Mental Health (Wales) Measure (2010) focuses on primary mental health services and outlines legislation that Local Authorities and Health boards must work together to expand appropriate services in accordance to their area. Yet the available service was not within 1’s Local Authority area, whereby there is no services available for crisis support of this type, the service however, did accept referrals from 1s Local Authority area. Thankfully, 1s parent had access to a car and transported 1 to and from the service, yet if a child did not have access to a car and with poor transportation links in the area, plus the time it would take to arrive, the option of this service wouldn’t be accessible for all, not due to need but due to poor opening times and poor transportation links within the area. It is also not accessible for all due to the three day operating week as if 1 had presented 1 day after, this service would not have been an option. </w:t>
            </w:r>
          </w:p>
          <w:p w14:paraId="2CF9B547" w14:textId="2B87C322" w:rsidR="00C91686" w:rsidRDefault="00725736" w:rsidP="00725736">
            <w:pPr>
              <w:spacing w:line="480" w:lineRule="auto"/>
              <w:jc w:val="right"/>
              <w:rPr>
                <w:sz w:val="24"/>
              </w:rPr>
            </w:pPr>
            <w:r>
              <w:rPr>
                <w:sz w:val="24"/>
              </w:rPr>
              <w:t>(670)</w:t>
            </w:r>
          </w:p>
          <w:p w14:paraId="6B333BDC" w14:textId="77777777" w:rsidR="00725736" w:rsidRDefault="00C91686" w:rsidP="00725736">
            <w:pPr>
              <w:pStyle w:val="Heading1"/>
              <w:shd w:val="clear" w:color="auto" w:fill="FFFFFF"/>
              <w:spacing w:after="240" w:line="480" w:lineRule="auto"/>
              <w:rPr>
                <w:b w:val="0"/>
                <w:bCs/>
                <w:kern w:val="36"/>
                <w:sz w:val="24"/>
                <w:szCs w:val="36"/>
              </w:rPr>
            </w:pPr>
            <w:r w:rsidRPr="00B90085">
              <w:rPr>
                <w:b w:val="0"/>
                <w:sz w:val="24"/>
              </w:rPr>
              <w:t>Considering the Mental Health (Wales) Measure (2010) Part 1 which duty is to provide assessment, I advised the education staff member to send a referral to their local Children and Adolescent Mental Health service. Which is underpinned by the United Nations Convention on the Rights of the Child (</w:t>
            </w:r>
            <w:r>
              <w:rPr>
                <w:b w:val="0"/>
                <w:sz w:val="24"/>
              </w:rPr>
              <w:t>1989</w:t>
            </w:r>
            <w:r w:rsidRPr="00B90085">
              <w:rPr>
                <w:b w:val="0"/>
                <w:sz w:val="24"/>
              </w:rPr>
              <w:t>) such</w:t>
            </w:r>
            <w:bookmarkStart w:id="0" w:name="_GoBack"/>
            <w:bookmarkEnd w:id="0"/>
            <w:r w:rsidRPr="00B90085">
              <w:rPr>
                <w:b w:val="0"/>
                <w:sz w:val="24"/>
              </w:rPr>
              <w:t xml:space="preserve"> as Article 3,</w:t>
            </w:r>
            <w:r w:rsidRPr="00B90085">
              <w:rPr>
                <w:b w:val="0"/>
              </w:rPr>
              <w:t xml:space="preserve"> </w:t>
            </w:r>
            <w:r w:rsidRPr="00B90085">
              <w:rPr>
                <w:b w:val="0"/>
                <w:sz w:val="24"/>
              </w:rPr>
              <w:t>that everyone who works with children should always do the</w:t>
            </w:r>
            <w:r>
              <w:rPr>
                <w:b w:val="0"/>
                <w:sz w:val="24"/>
              </w:rPr>
              <w:t>ir</w:t>
            </w:r>
            <w:r w:rsidRPr="00B90085">
              <w:rPr>
                <w:b w:val="0"/>
                <w:sz w:val="24"/>
              </w:rPr>
              <w:t xml:space="preserve"> best for each child and Article 6, a child has the right to life and to grow up healthy. This </w:t>
            </w:r>
            <w:r>
              <w:rPr>
                <w:b w:val="0"/>
                <w:sz w:val="24"/>
              </w:rPr>
              <w:t xml:space="preserve">is </w:t>
            </w:r>
            <w:r w:rsidRPr="00B90085">
              <w:rPr>
                <w:b w:val="0"/>
                <w:sz w:val="24"/>
              </w:rPr>
              <w:t xml:space="preserve">further strengthened by the </w:t>
            </w:r>
            <w:r w:rsidRPr="00B90085">
              <w:rPr>
                <w:b w:val="0"/>
                <w:bCs/>
                <w:kern w:val="36"/>
                <w:sz w:val="24"/>
                <w:szCs w:val="36"/>
              </w:rPr>
              <w:t xml:space="preserve">Rights of Children and Young </w:t>
            </w:r>
            <w:r w:rsidRPr="00B90085">
              <w:rPr>
                <w:b w:val="0"/>
                <w:bCs/>
                <w:kern w:val="36"/>
                <w:sz w:val="24"/>
                <w:szCs w:val="36"/>
              </w:rPr>
              <w:lastRenderedPageBreak/>
              <w:t>Persons (Wales) Measure 2011</w:t>
            </w:r>
            <w:r>
              <w:rPr>
                <w:b w:val="0"/>
                <w:bCs/>
                <w:kern w:val="36"/>
                <w:sz w:val="24"/>
                <w:szCs w:val="36"/>
              </w:rPr>
              <w:t xml:space="preserve"> whereby it outlines Wales’ commitment to children’s rights, whilst placing duty on Ministers to ensure people in wales know, understand and respect the rights of children and young people.  We also discussed longer term safeguarding supports for 1, regarding whether 1 may wish to seek support through school based counselling as the School Standards and Organisation (Wales) Act (2013) under Section 92 the Local Authority has the duty to make reasonable provision for adolescents aged 11 – 18 and learners in year 6 to receive independent counselling services, however drawing from experience of school based counselling service policies they do not accept referrals if a child has self-harmed.   </w:t>
            </w:r>
          </w:p>
          <w:p w14:paraId="4C2F0100" w14:textId="6E025993" w:rsidR="00725736" w:rsidRPr="00725736" w:rsidRDefault="00725736" w:rsidP="00725736">
            <w:pPr>
              <w:pStyle w:val="Heading1"/>
              <w:shd w:val="clear" w:color="auto" w:fill="FFFFFF"/>
              <w:spacing w:after="240" w:line="480" w:lineRule="auto"/>
              <w:jc w:val="right"/>
              <w:rPr>
                <w:b w:val="0"/>
                <w:bCs/>
                <w:kern w:val="36"/>
                <w:sz w:val="24"/>
                <w:szCs w:val="36"/>
              </w:rPr>
            </w:pPr>
            <w:r w:rsidRPr="00725736">
              <w:rPr>
                <w:b w:val="0"/>
                <w:sz w:val="24"/>
              </w:rPr>
              <w:t>(204)</w:t>
            </w:r>
          </w:p>
          <w:p w14:paraId="24D1BFB0" w14:textId="77777777" w:rsidR="00C91686" w:rsidRDefault="00C91686" w:rsidP="00C91686">
            <w:pPr>
              <w:spacing w:line="480" w:lineRule="auto"/>
              <w:jc w:val="both"/>
              <w:rPr>
                <w:sz w:val="24"/>
              </w:rPr>
            </w:pPr>
          </w:p>
          <w:p w14:paraId="1DB39B0F" w14:textId="39FA2409" w:rsidR="00C91686" w:rsidRDefault="00C91686" w:rsidP="00C91686">
            <w:pPr>
              <w:spacing w:line="480" w:lineRule="auto"/>
              <w:jc w:val="both"/>
              <w:rPr>
                <w:sz w:val="24"/>
              </w:rPr>
            </w:pPr>
            <w:r>
              <w:rPr>
                <w:sz w:val="24"/>
              </w:rPr>
              <w:t xml:space="preserve">To conclude, within the case study I believe I considered my knowledge and skills and positionality with assessments and how this can impact upon positive outcomes. I worked collaboratively with the education staff member to complete risk formulation to ensure 1 was safeguarded with a least restrictive approach which respected 1s current crisis presentation and consent to an onward referral to receive appropriate crisis intervention. I was humbled to gain feedback from the onward services to say 1 had engaged well with strategies of support which reduced negative emotions and risk to self which I believe was a positive outcome for 1.  </w:t>
            </w:r>
          </w:p>
          <w:p w14:paraId="4C454383" w14:textId="7D4600C3" w:rsidR="00725736" w:rsidRDefault="00725736" w:rsidP="00725736">
            <w:pPr>
              <w:spacing w:line="480" w:lineRule="auto"/>
              <w:jc w:val="right"/>
              <w:rPr>
                <w:sz w:val="24"/>
              </w:rPr>
            </w:pPr>
            <w:r>
              <w:rPr>
                <w:sz w:val="24"/>
              </w:rPr>
              <w:t>(102)</w:t>
            </w:r>
          </w:p>
          <w:p w14:paraId="61A60456" w14:textId="6DF497DC" w:rsidR="00D40D3E" w:rsidRDefault="00725736" w:rsidP="00725736">
            <w:pPr>
              <w:spacing w:line="480" w:lineRule="auto"/>
              <w:jc w:val="right"/>
              <w:rPr>
                <w:sz w:val="24"/>
                <w:szCs w:val="24"/>
              </w:rPr>
            </w:pPr>
            <w:r>
              <w:rPr>
                <w:sz w:val="24"/>
                <w:szCs w:val="24"/>
              </w:rPr>
              <w:t>(4329 words)</w:t>
            </w:r>
          </w:p>
          <w:p w14:paraId="6743B19C" w14:textId="1E0223D9" w:rsidR="004B5BA8" w:rsidRDefault="004B5BA8" w:rsidP="003C5D7D">
            <w:pPr>
              <w:spacing w:line="480" w:lineRule="auto"/>
              <w:jc w:val="both"/>
              <w:rPr>
                <w:sz w:val="24"/>
              </w:rPr>
            </w:pPr>
          </w:p>
          <w:p w14:paraId="5325F108" w14:textId="1EA56C59" w:rsidR="004B5BA8" w:rsidRDefault="004B5BA8" w:rsidP="003C5D7D">
            <w:pPr>
              <w:spacing w:line="480" w:lineRule="auto"/>
              <w:jc w:val="both"/>
              <w:rPr>
                <w:sz w:val="24"/>
              </w:rPr>
            </w:pPr>
          </w:p>
          <w:p w14:paraId="4B3A57A4" w14:textId="20CF26C8" w:rsidR="004B5BA8" w:rsidRDefault="004B5BA8" w:rsidP="003C5D7D">
            <w:pPr>
              <w:spacing w:line="480" w:lineRule="auto"/>
              <w:jc w:val="both"/>
              <w:rPr>
                <w:sz w:val="24"/>
              </w:rPr>
            </w:pPr>
          </w:p>
          <w:p w14:paraId="58913809" w14:textId="76FC1C27" w:rsidR="004B5BA8" w:rsidRDefault="004B5BA8" w:rsidP="003C5D7D">
            <w:pPr>
              <w:spacing w:line="480" w:lineRule="auto"/>
              <w:jc w:val="both"/>
              <w:rPr>
                <w:sz w:val="24"/>
              </w:rPr>
            </w:pPr>
          </w:p>
          <w:p w14:paraId="40D0F203" w14:textId="6FC64A62" w:rsidR="004B5BA8" w:rsidRDefault="004B5BA8" w:rsidP="003C5D7D">
            <w:pPr>
              <w:spacing w:line="480" w:lineRule="auto"/>
              <w:jc w:val="both"/>
              <w:rPr>
                <w:sz w:val="24"/>
              </w:rPr>
            </w:pPr>
          </w:p>
          <w:p w14:paraId="2520849E" w14:textId="2C79E456" w:rsidR="004B5BA8" w:rsidRDefault="004B5BA8" w:rsidP="003C5D7D">
            <w:pPr>
              <w:spacing w:line="480" w:lineRule="auto"/>
              <w:jc w:val="both"/>
              <w:rPr>
                <w:sz w:val="24"/>
              </w:rPr>
            </w:pPr>
          </w:p>
          <w:p w14:paraId="5B397BF3" w14:textId="4E07F6EA" w:rsidR="004B5BA8" w:rsidRDefault="004B5BA8" w:rsidP="003C5D7D">
            <w:pPr>
              <w:spacing w:line="480" w:lineRule="auto"/>
              <w:jc w:val="both"/>
              <w:rPr>
                <w:sz w:val="24"/>
              </w:rPr>
            </w:pPr>
          </w:p>
          <w:p w14:paraId="22985D61" w14:textId="77777777" w:rsidR="004B5BA8" w:rsidRDefault="004B5BA8" w:rsidP="003C5D7D">
            <w:pPr>
              <w:spacing w:line="480" w:lineRule="auto"/>
              <w:jc w:val="both"/>
              <w:rPr>
                <w:sz w:val="24"/>
              </w:rPr>
            </w:pPr>
          </w:p>
          <w:p w14:paraId="1D975EDA" w14:textId="77777777" w:rsidR="003C5D7D" w:rsidRDefault="003C5D7D" w:rsidP="003C5D7D">
            <w:pPr>
              <w:spacing w:line="480" w:lineRule="auto"/>
              <w:jc w:val="both"/>
              <w:rPr>
                <w:sz w:val="24"/>
              </w:rPr>
            </w:pPr>
          </w:p>
          <w:p w14:paraId="531E88DE" w14:textId="53D97C8E" w:rsidR="003C5D7D" w:rsidRDefault="003C5D7D" w:rsidP="003C5D7D">
            <w:pPr>
              <w:spacing w:line="480" w:lineRule="auto"/>
              <w:jc w:val="both"/>
              <w:rPr>
                <w:sz w:val="24"/>
              </w:rPr>
            </w:pPr>
            <w:r>
              <w:rPr>
                <w:sz w:val="24"/>
              </w:rPr>
              <w:t xml:space="preserve"> </w:t>
            </w:r>
          </w:p>
          <w:p w14:paraId="557584EA" w14:textId="77777777" w:rsidR="003C5D7D" w:rsidRDefault="003C5D7D" w:rsidP="003C5D7D">
            <w:pPr>
              <w:spacing w:line="480" w:lineRule="auto"/>
              <w:jc w:val="both"/>
              <w:rPr>
                <w:sz w:val="24"/>
              </w:rPr>
            </w:pPr>
          </w:p>
          <w:p w14:paraId="424EEFC9" w14:textId="77777777" w:rsidR="003C5D7D" w:rsidRDefault="003C5D7D" w:rsidP="003C5D7D">
            <w:pPr>
              <w:spacing w:line="480" w:lineRule="auto"/>
              <w:jc w:val="both"/>
              <w:rPr>
                <w:sz w:val="24"/>
              </w:rPr>
            </w:pPr>
          </w:p>
          <w:p w14:paraId="7F82A58F" w14:textId="77777777" w:rsidR="003C5D7D" w:rsidRDefault="003C5D7D" w:rsidP="003C5D7D">
            <w:pPr>
              <w:spacing w:line="480" w:lineRule="auto"/>
              <w:jc w:val="both"/>
              <w:rPr>
                <w:sz w:val="24"/>
              </w:rPr>
            </w:pPr>
          </w:p>
          <w:p w14:paraId="41E7AE86" w14:textId="77777777" w:rsidR="003C5D7D" w:rsidRDefault="003C5D7D" w:rsidP="003C5D7D">
            <w:pPr>
              <w:spacing w:line="480" w:lineRule="auto"/>
              <w:jc w:val="both"/>
              <w:rPr>
                <w:color w:val="auto"/>
                <w:sz w:val="24"/>
                <w:szCs w:val="24"/>
              </w:rPr>
            </w:pPr>
          </w:p>
          <w:p w14:paraId="701F1E86" w14:textId="77777777" w:rsidR="003C5D7D" w:rsidRDefault="003C5D7D" w:rsidP="003C5D7D">
            <w:pPr>
              <w:spacing w:line="480" w:lineRule="auto"/>
              <w:jc w:val="both"/>
              <w:rPr>
                <w:color w:val="auto"/>
                <w:sz w:val="24"/>
                <w:szCs w:val="24"/>
              </w:rPr>
            </w:pPr>
          </w:p>
          <w:p w14:paraId="74E2DE55" w14:textId="77777777" w:rsidR="003C5D7D" w:rsidRDefault="003C5D7D" w:rsidP="003C5D7D">
            <w:pPr>
              <w:spacing w:line="480" w:lineRule="auto"/>
              <w:jc w:val="both"/>
              <w:rPr>
                <w:color w:val="auto"/>
                <w:sz w:val="24"/>
                <w:szCs w:val="24"/>
              </w:rPr>
            </w:pPr>
          </w:p>
          <w:p w14:paraId="0261B8FE" w14:textId="06B2101C"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bCs/>
                <w:color w:val="1C1D1E"/>
                <w:kern w:val="36"/>
                <w:sz w:val="24"/>
                <w:szCs w:val="24"/>
              </w:rPr>
            </w:pPr>
          </w:p>
          <w:p w14:paraId="52CD1306" w14:textId="77777777"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bCs/>
                <w:color w:val="1C1D1E"/>
                <w:kern w:val="36"/>
                <w:sz w:val="24"/>
                <w:szCs w:val="24"/>
              </w:rPr>
            </w:pPr>
          </w:p>
          <w:p w14:paraId="205FB94E" w14:textId="77777777"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bCs/>
                <w:color w:val="1C1D1E"/>
                <w:kern w:val="36"/>
                <w:sz w:val="24"/>
                <w:szCs w:val="24"/>
              </w:rPr>
            </w:pPr>
          </w:p>
          <w:p w14:paraId="13549CF0" w14:textId="77777777"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bCs/>
                <w:color w:val="1C1D1E"/>
                <w:kern w:val="36"/>
                <w:sz w:val="24"/>
                <w:szCs w:val="24"/>
              </w:rPr>
            </w:pPr>
          </w:p>
          <w:p w14:paraId="30154E1F" w14:textId="77777777"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bCs/>
                <w:color w:val="1C1D1E"/>
                <w:kern w:val="36"/>
                <w:sz w:val="24"/>
                <w:szCs w:val="24"/>
              </w:rPr>
            </w:pPr>
          </w:p>
          <w:p w14:paraId="3C62D82C" w14:textId="77777777" w:rsidR="003C5D7D" w:rsidRDefault="003C5D7D" w:rsidP="003C5D7D">
            <w:pPr>
              <w:shd w:val="clear" w:color="auto" w:fill="FFFFFF"/>
              <w:overflowPunct/>
              <w:autoSpaceDE/>
              <w:autoSpaceDN/>
              <w:adjustRightInd/>
              <w:spacing w:before="100" w:beforeAutospacing="1" w:after="100" w:afterAutospacing="1" w:line="480" w:lineRule="auto"/>
              <w:textAlignment w:val="auto"/>
              <w:outlineLvl w:val="0"/>
              <w:rPr>
                <w:sz w:val="24"/>
                <w:szCs w:val="24"/>
              </w:rPr>
            </w:pPr>
          </w:p>
          <w:p w14:paraId="606F05CE" w14:textId="77777777" w:rsidR="003C5D7D" w:rsidRDefault="003C5D7D" w:rsidP="003C5D7D">
            <w:pPr>
              <w:spacing w:line="480" w:lineRule="auto"/>
              <w:jc w:val="both"/>
              <w:rPr>
                <w:sz w:val="24"/>
                <w:szCs w:val="24"/>
              </w:rPr>
            </w:pPr>
          </w:p>
          <w:p w14:paraId="1E3E8D6C" w14:textId="77777777" w:rsidR="003C5D7D" w:rsidRDefault="003C5D7D" w:rsidP="003C5D7D">
            <w:pPr>
              <w:spacing w:line="480" w:lineRule="auto"/>
              <w:jc w:val="both"/>
              <w:rPr>
                <w:sz w:val="24"/>
                <w:szCs w:val="24"/>
              </w:rPr>
            </w:pPr>
          </w:p>
          <w:p w14:paraId="47F21B6A" w14:textId="55D40AAD" w:rsidR="007A628F" w:rsidRPr="00EC29F0" w:rsidRDefault="007A628F" w:rsidP="0023425C">
            <w:pPr>
              <w:spacing w:line="480" w:lineRule="auto"/>
              <w:jc w:val="both"/>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93C99E" w14:textId="77777777" w:rsidR="004602B1" w:rsidRDefault="004602B1">
      <w:r>
        <w:separator/>
      </w:r>
    </w:p>
  </w:endnote>
  <w:endnote w:type="continuationSeparator" w:id="0">
    <w:p w14:paraId="2D6364EB" w14:textId="77777777" w:rsidR="004602B1" w:rsidRDefault="00460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7213A246" w:rsidR="00A5656A" w:rsidRDefault="00A5656A">
    <w:pPr>
      <w:pStyle w:val="Footer"/>
      <w:jc w:val="right"/>
    </w:pPr>
    <w:r>
      <w:fldChar w:fldCharType="begin"/>
    </w:r>
    <w:r>
      <w:instrText xml:space="preserve"> PAGE   \* MERGEFORMAT </w:instrText>
    </w:r>
    <w:r>
      <w:fldChar w:fldCharType="separate"/>
    </w:r>
    <w:r w:rsidR="00E57E64">
      <w:rPr>
        <w:noProof/>
      </w:rPr>
      <w:t>18</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87BCC" w14:textId="77777777" w:rsidR="004602B1" w:rsidRDefault="004602B1">
      <w:r>
        <w:separator/>
      </w:r>
    </w:p>
  </w:footnote>
  <w:footnote w:type="continuationSeparator" w:id="0">
    <w:p w14:paraId="485A3EF5" w14:textId="77777777" w:rsidR="004602B1" w:rsidRDefault="004602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4E2CE7"/>
    <w:multiLevelType w:val="hybridMultilevel"/>
    <w:tmpl w:val="0A5E2792"/>
    <w:lvl w:ilvl="0" w:tplc="D632D6E8">
      <w:start w:val="4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4"/>
  </w:num>
  <w:num w:numId="30">
    <w:abstractNumId w:val="31"/>
  </w:num>
  <w:num w:numId="31">
    <w:abstractNumId w:val="12"/>
  </w:num>
  <w:num w:numId="32">
    <w:abstractNumId w:val="45"/>
  </w:num>
  <w:num w:numId="33">
    <w:abstractNumId w:val="39"/>
  </w:num>
  <w:num w:numId="34">
    <w:abstractNumId w:val="5"/>
  </w:num>
  <w:num w:numId="35">
    <w:abstractNumId w:val="47"/>
  </w:num>
  <w:num w:numId="36">
    <w:abstractNumId w:val="43"/>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0D6"/>
    <w:rsid w:val="00002C7A"/>
    <w:rsid w:val="00003D4F"/>
    <w:rsid w:val="000045B8"/>
    <w:rsid w:val="00012B16"/>
    <w:rsid w:val="00020EEC"/>
    <w:rsid w:val="00021FD4"/>
    <w:rsid w:val="0002440E"/>
    <w:rsid w:val="00027120"/>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7E8"/>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2AD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AD8"/>
    <w:rsid w:val="00112391"/>
    <w:rsid w:val="00114F52"/>
    <w:rsid w:val="001238AC"/>
    <w:rsid w:val="00130119"/>
    <w:rsid w:val="00132812"/>
    <w:rsid w:val="001347F8"/>
    <w:rsid w:val="001359EE"/>
    <w:rsid w:val="00137BB5"/>
    <w:rsid w:val="00137E05"/>
    <w:rsid w:val="0014118C"/>
    <w:rsid w:val="001447F6"/>
    <w:rsid w:val="00147DE3"/>
    <w:rsid w:val="00150794"/>
    <w:rsid w:val="00151DA6"/>
    <w:rsid w:val="001608C4"/>
    <w:rsid w:val="00164832"/>
    <w:rsid w:val="00171418"/>
    <w:rsid w:val="001772BF"/>
    <w:rsid w:val="001772DE"/>
    <w:rsid w:val="001779FC"/>
    <w:rsid w:val="0018103E"/>
    <w:rsid w:val="0019496C"/>
    <w:rsid w:val="001961CF"/>
    <w:rsid w:val="001A59BB"/>
    <w:rsid w:val="001A607E"/>
    <w:rsid w:val="001A6A51"/>
    <w:rsid w:val="001A79C4"/>
    <w:rsid w:val="001B331A"/>
    <w:rsid w:val="001C0237"/>
    <w:rsid w:val="001C0E74"/>
    <w:rsid w:val="001C4DB8"/>
    <w:rsid w:val="001C50B8"/>
    <w:rsid w:val="001D229F"/>
    <w:rsid w:val="001D275D"/>
    <w:rsid w:val="001E2EB6"/>
    <w:rsid w:val="001F4552"/>
    <w:rsid w:val="002019EB"/>
    <w:rsid w:val="00201CAD"/>
    <w:rsid w:val="00204B58"/>
    <w:rsid w:val="00205051"/>
    <w:rsid w:val="00211F65"/>
    <w:rsid w:val="002127B9"/>
    <w:rsid w:val="00214047"/>
    <w:rsid w:val="00216563"/>
    <w:rsid w:val="0021792F"/>
    <w:rsid w:val="00220D06"/>
    <w:rsid w:val="002246A0"/>
    <w:rsid w:val="0022534B"/>
    <w:rsid w:val="00225767"/>
    <w:rsid w:val="00230439"/>
    <w:rsid w:val="00232A09"/>
    <w:rsid w:val="0023425C"/>
    <w:rsid w:val="00235176"/>
    <w:rsid w:val="00236061"/>
    <w:rsid w:val="0024100E"/>
    <w:rsid w:val="00241C1B"/>
    <w:rsid w:val="0024288B"/>
    <w:rsid w:val="00243DB0"/>
    <w:rsid w:val="00247265"/>
    <w:rsid w:val="002577E1"/>
    <w:rsid w:val="00260663"/>
    <w:rsid w:val="002657E9"/>
    <w:rsid w:val="00265CA3"/>
    <w:rsid w:val="0026665E"/>
    <w:rsid w:val="0027147E"/>
    <w:rsid w:val="002761F4"/>
    <w:rsid w:val="002775E1"/>
    <w:rsid w:val="00277979"/>
    <w:rsid w:val="00291ADD"/>
    <w:rsid w:val="002920DF"/>
    <w:rsid w:val="002929B5"/>
    <w:rsid w:val="00292F3D"/>
    <w:rsid w:val="00295CA1"/>
    <w:rsid w:val="002A03C2"/>
    <w:rsid w:val="002A0E51"/>
    <w:rsid w:val="002A1A44"/>
    <w:rsid w:val="002A291A"/>
    <w:rsid w:val="002A2C54"/>
    <w:rsid w:val="002A401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3A5"/>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438"/>
    <w:rsid w:val="00330881"/>
    <w:rsid w:val="00331CD2"/>
    <w:rsid w:val="00332426"/>
    <w:rsid w:val="003359DE"/>
    <w:rsid w:val="00335C41"/>
    <w:rsid w:val="00335FC5"/>
    <w:rsid w:val="0033771E"/>
    <w:rsid w:val="00337FEF"/>
    <w:rsid w:val="00354B6D"/>
    <w:rsid w:val="00355210"/>
    <w:rsid w:val="00355CFD"/>
    <w:rsid w:val="00362741"/>
    <w:rsid w:val="00365DF9"/>
    <w:rsid w:val="0037066E"/>
    <w:rsid w:val="00372DB4"/>
    <w:rsid w:val="00373A36"/>
    <w:rsid w:val="0037419E"/>
    <w:rsid w:val="00375AF5"/>
    <w:rsid w:val="00376171"/>
    <w:rsid w:val="003761BD"/>
    <w:rsid w:val="00377448"/>
    <w:rsid w:val="00377884"/>
    <w:rsid w:val="003826BD"/>
    <w:rsid w:val="00385414"/>
    <w:rsid w:val="00387938"/>
    <w:rsid w:val="00390074"/>
    <w:rsid w:val="00392F73"/>
    <w:rsid w:val="00393600"/>
    <w:rsid w:val="003954F1"/>
    <w:rsid w:val="0039762B"/>
    <w:rsid w:val="003A0C37"/>
    <w:rsid w:val="003A1B6B"/>
    <w:rsid w:val="003A46C0"/>
    <w:rsid w:val="003A600E"/>
    <w:rsid w:val="003A6513"/>
    <w:rsid w:val="003B16C7"/>
    <w:rsid w:val="003B29BC"/>
    <w:rsid w:val="003B3115"/>
    <w:rsid w:val="003B37F4"/>
    <w:rsid w:val="003C19F1"/>
    <w:rsid w:val="003C3C67"/>
    <w:rsid w:val="003C4186"/>
    <w:rsid w:val="003C5D7D"/>
    <w:rsid w:val="003C6185"/>
    <w:rsid w:val="003C7C06"/>
    <w:rsid w:val="003D0D2D"/>
    <w:rsid w:val="003D1885"/>
    <w:rsid w:val="003D1BC0"/>
    <w:rsid w:val="003D20F1"/>
    <w:rsid w:val="003D4710"/>
    <w:rsid w:val="003E16D7"/>
    <w:rsid w:val="003E197E"/>
    <w:rsid w:val="003E4B70"/>
    <w:rsid w:val="003E4CEA"/>
    <w:rsid w:val="003E54CF"/>
    <w:rsid w:val="003E5FBA"/>
    <w:rsid w:val="003E786B"/>
    <w:rsid w:val="003F1233"/>
    <w:rsid w:val="003F67A4"/>
    <w:rsid w:val="00400786"/>
    <w:rsid w:val="00401FDA"/>
    <w:rsid w:val="004046F0"/>
    <w:rsid w:val="0040668F"/>
    <w:rsid w:val="00411EF7"/>
    <w:rsid w:val="00412677"/>
    <w:rsid w:val="00421806"/>
    <w:rsid w:val="00425160"/>
    <w:rsid w:val="00430DE3"/>
    <w:rsid w:val="004348AE"/>
    <w:rsid w:val="004376C0"/>
    <w:rsid w:val="0044223A"/>
    <w:rsid w:val="00450B67"/>
    <w:rsid w:val="00451851"/>
    <w:rsid w:val="0045189A"/>
    <w:rsid w:val="00453343"/>
    <w:rsid w:val="004538C3"/>
    <w:rsid w:val="00457DF6"/>
    <w:rsid w:val="004602B1"/>
    <w:rsid w:val="004608B9"/>
    <w:rsid w:val="00463B55"/>
    <w:rsid w:val="004640A3"/>
    <w:rsid w:val="00465947"/>
    <w:rsid w:val="004667B1"/>
    <w:rsid w:val="00466A1A"/>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1CA0"/>
    <w:rsid w:val="004A2A49"/>
    <w:rsid w:val="004A5A64"/>
    <w:rsid w:val="004A75D4"/>
    <w:rsid w:val="004B27F2"/>
    <w:rsid w:val="004B5553"/>
    <w:rsid w:val="004B5BA8"/>
    <w:rsid w:val="004B600B"/>
    <w:rsid w:val="004B6822"/>
    <w:rsid w:val="004B69F6"/>
    <w:rsid w:val="004C2D3A"/>
    <w:rsid w:val="004C2FB3"/>
    <w:rsid w:val="004D03C4"/>
    <w:rsid w:val="004D0BF1"/>
    <w:rsid w:val="004D0F4E"/>
    <w:rsid w:val="004D20D1"/>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978"/>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D80"/>
    <w:rsid w:val="0057780F"/>
    <w:rsid w:val="00581E0A"/>
    <w:rsid w:val="0058211D"/>
    <w:rsid w:val="00584586"/>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7A78"/>
    <w:rsid w:val="005E13EA"/>
    <w:rsid w:val="005E17F1"/>
    <w:rsid w:val="005E1B14"/>
    <w:rsid w:val="005F64AA"/>
    <w:rsid w:val="005F7851"/>
    <w:rsid w:val="00603A46"/>
    <w:rsid w:val="00606E27"/>
    <w:rsid w:val="006108C9"/>
    <w:rsid w:val="00614DF7"/>
    <w:rsid w:val="006179BB"/>
    <w:rsid w:val="00620D76"/>
    <w:rsid w:val="0062158D"/>
    <w:rsid w:val="006223FD"/>
    <w:rsid w:val="00624B1F"/>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0173"/>
    <w:rsid w:val="006D18A3"/>
    <w:rsid w:val="006D5970"/>
    <w:rsid w:val="006E481E"/>
    <w:rsid w:val="006E795F"/>
    <w:rsid w:val="006F0862"/>
    <w:rsid w:val="006F1438"/>
    <w:rsid w:val="006F2A9E"/>
    <w:rsid w:val="006F5ED3"/>
    <w:rsid w:val="006F6635"/>
    <w:rsid w:val="00700249"/>
    <w:rsid w:val="007069CD"/>
    <w:rsid w:val="00706BB5"/>
    <w:rsid w:val="0071231A"/>
    <w:rsid w:val="00712E90"/>
    <w:rsid w:val="00713B7E"/>
    <w:rsid w:val="007232E0"/>
    <w:rsid w:val="00725736"/>
    <w:rsid w:val="0072678F"/>
    <w:rsid w:val="007276E5"/>
    <w:rsid w:val="00727C4C"/>
    <w:rsid w:val="00733984"/>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25E1"/>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C6AF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211"/>
    <w:rsid w:val="008308AE"/>
    <w:rsid w:val="00830DD1"/>
    <w:rsid w:val="0083166E"/>
    <w:rsid w:val="00831DC3"/>
    <w:rsid w:val="008322C7"/>
    <w:rsid w:val="008340BA"/>
    <w:rsid w:val="00834F1D"/>
    <w:rsid w:val="00836FEC"/>
    <w:rsid w:val="00841F9D"/>
    <w:rsid w:val="008420E1"/>
    <w:rsid w:val="008432AF"/>
    <w:rsid w:val="00844D98"/>
    <w:rsid w:val="00846D84"/>
    <w:rsid w:val="00850233"/>
    <w:rsid w:val="0085230E"/>
    <w:rsid w:val="008550A1"/>
    <w:rsid w:val="00861038"/>
    <w:rsid w:val="0086587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2350"/>
    <w:rsid w:val="008E3195"/>
    <w:rsid w:val="008E4C81"/>
    <w:rsid w:val="008E5A35"/>
    <w:rsid w:val="008F127E"/>
    <w:rsid w:val="008F32D9"/>
    <w:rsid w:val="008F5F48"/>
    <w:rsid w:val="00902A65"/>
    <w:rsid w:val="00903932"/>
    <w:rsid w:val="00904510"/>
    <w:rsid w:val="00904A05"/>
    <w:rsid w:val="009079BD"/>
    <w:rsid w:val="00910EBB"/>
    <w:rsid w:val="00912BD9"/>
    <w:rsid w:val="00916FB2"/>
    <w:rsid w:val="00920E5B"/>
    <w:rsid w:val="00926436"/>
    <w:rsid w:val="00926C53"/>
    <w:rsid w:val="0093018C"/>
    <w:rsid w:val="009416C1"/>
    <w:rsid w:val="0094495F"/>
    <w:rsid w:val="009544C0"/>
    <w:rsid w:val="00954FA4"/>
    <w:rsid w:val="00956AE9"/>
    <w:rsid w:val="0095743C"/>
    <w:rsid w:val="00964CC6"/>
    <w:rsid w:val="00967BFA"/>
    <w:rsid w:val="0098262C"/>
    <w:rsid w:val="0098427C"/>
    <w:rsid w:val="00986B43"/>
    <w:rsid w:val="00986C0B"/>
    <w:rsid w:val="00986D46"/>
    <w:rsid w:val="00991FDA"/>
    <w:rsid w:val="00992ACA"/>
    <w:rsid w:val="009972A1"/>
    <w:rsid w:val="009A5F3B"/>
    <w:rsid w:val="009A5F79"/>
    <w:rsid w:val="009A6F87"/>
    <w:rsid w:val="009B0B61"/>
    <w:rsid w:val="009B28C0"/>
    <w:rsid w:val="009B2C81"/>
    <w:rsid w:val="009B3178"/>
    <w:rsid w:val="009B3E46"/>
    <w:rsid w:val="009B7136"/>
    <w:rsid w:val="009C337F"/>
    <w:rsid w:val="009C53E7"/>
    <w:rsid w:val="009C6092"/>
    <w:rsid w:val="009C6DB9"/>
    <w:rsid w:val="009C7342"/>
    <w:rsid w:val="009D4365"/>
    <w:rsid w:val="009D477B"/>
    <w:rsid w:val="009D4E3B"/>
    <w:rsid w:val="009D59C2"/>
    <w:rsid w:val="009D7BC9"/>
    <w:rsid w:val="009E122F"/>
    <w:rsid w:val="009E1724"/>
    <w:rsid w:val="009E1982"/>
    <w:rsid w:val="009E4D2C"/>
    <w:rsid w:val="009F0978"/>
    <w:rsid w:val="009F3AEC"/>
    <w:rsid w:val="009F6801"/>
    <w:rsid w:val="00A00081"/>
    <w:rsid w:val="00A06422"/>
    <w:rsid w:val="00A10D56"/>
    <w:rsid w:val="00A12AAE"/>
    <w:rsid w:val="00A12F22"/>
    <w:rsid w:val="00A16DD1"/>
    <w:rsid w:val="00A22284"/>
    <w:rsid w:val="00A22441"/>
    <w:rsid w:val="00A23F3B"/>
    <w:rsid w:val="00A24406"/>
    <w:rsid w:val="00A25F64"/>
    <w:rsid w:val="00A275F6"/>
    <w:rsid w:val="00A303B9"/>
    <w:rsid w:val="00A315E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20B"/>
    <w:rsid w:val="00A85039"/>
    <w:rsid w:val="00A906AA"/>
    <w:rsid w:val="00A94C5E"/>
    <w:rsid w:val="00AA252C"/>
    <w:rsid w:val="00AA666E"/>
    <w:rsid w:val="00AA7960"/>
    <w:rsid w:val="00AB5518"/>
    <w:rsid w:val="00AC3A0E"/>
    <w:rsid w:val="00AC4A04"/>
    <w:rsid w:val="00AC5679"/>
    <w:rsid w:val="00AD1EFA"/>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2BC"/>
    <w:rsid w:val="00B558EB"/>
    <w:rsid w:val="00B561DE"/>
    <w:rsid w:val="00B577D3"/>
    <w:rsid w:val="00B60466"/>
    <w:rsid w:val="00B6548F"/>
    <w:rsid w:val="00B71A32"/>
    <w:rsid w:val="00B7502A"/>
    <w:rsid w:val="00B77305"/>
    <w:rsid w:val="00B774BD"/>
    <w:rsid w:val="00B82CC2"/>
    <w:rsid w:val="00B84A89"/>
    <w:rsid w:val="00B90085"/>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1A5A"/>
    <w:rsid w:val="00BF0D6C"/>
    <w:rsid w:val="00BF51A2"/>
    <w:rsid w:val="00C01D14"/>
    <w:rsid w:val="00C01D97"/>
    <w:rsid w:val="00C025B4"/>
    <w:rsid w:val="00C029EC"/>
    <w:rsid w:val="00C1503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3C5"/>
    <w:rsid w:val="00C87A74"/>
    <w:rsid w:val="00C91686"/>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B34"/>
    <w:rsid w:val="00CE4BC4"/>
    <w:rsid w:val="00CE7DA2"/>
    <w:rsid w:val="00CF2F8A"/>
    <w:rsid w:val="00CF3DB3"/>
    <w:rsid w:val="00D0274B"/>
    <w:rsid w:val="00D0503D"/>
    <w:rsid w:val="00D051C1"/>
    <w:rsid w:val="00D052BC"/>
    <w:rsid w:val="00D07026"/>
    <w:rsid w:val="00D146AE"/>
    <w:rsid w:val="00D22C8F"/>
    <w:rsid w:val="00D3203C"/>
    <w:rsid w:val="00D33491"/>
    <w:rsid w:val="00D3442D"/>
    <w:rsid w:val="00D36F00"/>
    <w:rsid w:val="00D40D3E"/>
    <w:rsid w:val="00D44B67"/>
    <w:rsid w:val="00D44F8E"/>
    <w:rsid w:val="00D51FD5"/>
    <w:rsid w:val="00D55DE0"/>
    <w:rsid w:val="00D607EF"/>
    <w:rsid w:val="00D60F88"/>
    <w:rsid w:val="00D646BD"/>
    <w:rsid w:val="00D65558"/>
    <w:rsid w:val="00D71201"/>
    <w:rsid w:val="00D71408"/>
    <w:rsid w:val="00D720C7"/>
    <w:rsid w:val="00D84841"/>
    <w:rsid w:val="00D876E6"/>
    <w:rsid w:val="00D905F3"/>
    <w:rsid w:val="00D90958"/>
    <w:rsid w:val="00DA0CD8"/>
    <w:rsid w:val="00DA1025"/>
    <w:rsid w:val="00DA22EC"/>
    <w:rsid w:val="00DA5682"/>
    <w:rsid w:val="00DA5860"/>
    <w:rsid w:val="00DA5C0C"/>
    <w:rsid w:val="00DB2767"/>
    <w:rsid w:val="00DB4DBD"/>
    <w:rsid w:val="00DC1B10"/>
    <w:rsid w:val="00DC2924"/>
    <w:rsid w:val="00DC4729"/>
    <w:rsid w:val="00DD31C5"/>
    <w:rsid w:val="00DD5020"/>
    <w:rsid w:val="00DD63BE"/>
    <w:rsid w:val="00DE4296"/>
    <w:rsid w:val="00DF2469"/>
    <w:rsid w:val="00DF50BD"/>
    <w:rsid w:val="00DF7899"/>
    <w:rsid w:val="00E0524C"/>
    <w:rsid w:val="00E15751"/>
    <w:rsid w:val="00E17160"/>
    <w:rsid w:val="00E17D41"/>
    <w:rsid w:val="00E231D1"/>
    <w:rsid w:val="00E3288D"/>
    <w:rsid w:val="00E35112"/>
    <w:rsid w:val="00E35BEC"/>
    <w:rsid w:val="00E41A6A"/>
    <w:rsid w:val="00E44ABE"/>
    <w:rsid w:val="00E461D0"/>
    <w:rsid w:val="00E50821"/>
    <w:rsid w:val="00E51F91"/>
    <w:rsid w:val="00E5498A"/>
    <w:rsid w:val="00E559CE"/>
    <w:rsid w:val="00E5762B"/>
    <w:rsid w:val="00E57E64"/>
    <w:rsid w:val="00E60F42"/>
    <w:rsid w:val="00E6746C"/>
    <w:rsid w:val="00E7086E"/>
    <w:rsid w:val="00E71248"/>
    <w:rsid w:val="00E73C41"/>
    <w:rsid w:val="00E75911"/>
    <w:rsid w:val="00E7598F"/>
    <w:rsid w:val="00E76F60"/>
    <w:rsid w:val="00E80037"/>
    <w:rsid w:val="00E812B5"/>
    <w:rsid w:val="00E83D90"/>
    <w:rsid w:val="00E83F91"/>
    <w:rsid w:val="00E86299"/>
    <w:rsid w:val="00E9107A"/>
    <w:rsid w:val="00E91BD4"/>
    <w:rsid w:val="00E91F62"/>
    <w:rsid w:val="00E929FD"/>
    <w:rsid w:val="00E93240"/>
    <w:rsid w:val="00E9479B"/>
    <w:rsid w:val="00E94E22"/>
    <w:rsid w:val="00E95F08"/>
    <w:rsid w:val="00E97171"/>
    <w:rsid w:val="00EA176F"/>
    <w:rsid w:val="00EA3DF2"/>
    <w:rsid w:val="00EA4D48"/>
    <w:rsid w:val="00EA7ADF"/>
    <w:rsid w:val="00EB2173"/>
    <w:rsid w:val="00EB62E6"/>
    <w:rsid w:val="00EB695F"/>
    <w:rsid w:val="00EC29F0"/>
    <w:rsid w:val="00EC3A85"/>
    <w:rsid w:val="00EC4B89"/>
    <w:rsid w:val="00EC59A5"/>
    <w:rsid w:val="00EC6E15"/>
    <w:rsid w:val="00ED1B30"/>
    <w:rsid w:val="00ED5D03"/>
    <w:rsid w:val="00EE01ED"/>
    <w:rsid w:val="00EE1AC1"/>
    <w:rsid w:val="00EE39D6"/>
    <w:rsid w:val="00EE52AD"/>
    <w:rsid w:val="00EE5BC3"/>
    <w:rsid w:val="00EE638C"/>
    <w:rsid w:val="00EE6FAB"/>
    <w:rsid w:val="00EF328C"/>
    <w:rsid w:val="00EF68BB"/>
    <w:rsid w:val="00F01F92"/>
    <w:rsid w:val="00F030D4"/>
    <w:rsid w:val="00F04053"/>
    <w:rsid w:val="00F06573"/>
    <w:rsid w:val="00F10A08"/>
    <w:rsid w:val="00F15354"/>
    <w:rsid w:val="00F22AC5"/>
    <w:rsid w:val="00F246A3"/>
    <w:rsid w:val="00F254D1"/>
    <w:rsid w:val="00F32B82"/>
    <w:rsid w:val="00F34C86"/>
    <w:rsid w:val="00F4043E"/>
    <w:rsid w:val="00F41795"/>
    <w:rsid w:val="00F41B06"/>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066"/>
    <w:rsid w:val="00FA23BD"/>
    <w:rsid w:val="00FA3764"/>
    <w:rsid w:val="00FA41C7"/>
    <w:rsid w:val="00FA4A79"/>
    <w:rsid w:val="00FA56ED"/>
    <w:rsid w:val="00FB05DD"/>
    <w:rsid w:val="00FB0F7C"/>
    <w:rsid w:val="00FB24EA"/>
    <w:rsid w:val="00FB5FA6"/>
    <w:rsid w:val="00FC0334"/>
    <w:rsid w:val="00FC068D"/>
    <w:rsid w:val="00FC1310"/>
    <w:rsid w:val="00FC2FF3"/>
    <w:rsid w:val="00FC3263"/>
    <w:rsid w:val="00FC51F9"/>
    <w:rsid w:val="00FC5B40"/>
    <w:rsid w:val="00FC5FF8"/>
    <w:rsid w:val="00FD0A3C"/>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3C5D7D"/>
    <w:pPr>
      <w:ind w:left="720"/>
      <w:contextualSpacing/>
    </w:pPr>
  </w:style>
  <w:style w:type="paragraph" w:customStyle="1" w:styleId="legclearfix">
    <w:name w:val="legclearfix"/>
    <w:basedOn w:val="Normal"/>
    <w:rsid w:val="003C5D7D"/>
    <w:pPr>
      <w:overflowPunct/>
      <w:autoSpaceDE/>
      <w:autoSpaceDN/>
      <w:adjustRightInd/>
      <w:spacing w:before="100" w:beforeAutospacing="1" w:after="100" w:afterAutospacing="1" w:line="360" w:lineRule="auto"/>
      <w:jc w:val="both"/>
      <w:textAlignment w:val="auto"/>
    </w:pPr>
    <w:rPr>
      <w:rFonts w:ascii="Times New Roman" w:hAnsi="Times New Roman" w:cs="Times New Roman"/>
      <w:color w:val="auto"/>
      <w:sz w:val="24"/>
      <w:szCs w:val="24"/>
    </w:rPr>
  </w:style>
  <w:style w:type="character" w:customStyle="1" w:styleId="legds">
    <w:name w:val="legds"/>
    <w:basedOn w:val="DefaultParagraphFont"/>
    <w:rsid w:val="003C5D7D"/>
  </w:style>
  <w:style w:type="paragraph" w:styleId="NormalWeb">
    <w:name w:val="Normal (Web)"/>
    <w:basedOn w:val="Normal"/>
    <w:uiPriority w:val="99"/>
    <w:unhideWhenUsed/>
    <w:rsid w:val="00A8220B"/>
    <w:pPr>
      <w:overflowPunct/>
      <w:autoSpaceDE/>
      <w:autoSpaceDN/>
      <w:adjustRightInd/>
      <w:textAlignment w:val="auto"/>
    </w:pPr>
    <w:rPr>
      <w:rFonts w:ascii="Times New Roman" w:eastAsiaTheme="minorHAnsi"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6351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176713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journals.sagepub.com/doi/full/10.1177/1049731522108828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full/10.1177/10497315221088285"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D3D016-0F78-4152-9959-B7101071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4292</Words>
  <Characters>24469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Abigail Palumbo (BCUHB - CAMHS EIPT)</cp:lastModifiedBy>
  <cp:revision>3</cp:revision>
  <cp:lastPrinted>2020-02-11T19:20:00Z</cp:lastPrinted>
  <dcterms:created xsi:type="dcterms:W3CDTF">2024-02-14T23:08:00Z</dcterms:created>
  <dcterms:modified xsi:type="dcterms:W3CDTF">2024-02-15T00:25:00Z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