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0900B" w14:textId="77777777" w:rsidR="002B6B7F" w:rsidRDefault="00B87359" w:rsidP="00B87359">
      <w:pPr>
        <w:jc w:val="center"/>
        <w:rPr>
          <w:b/>
        </w:rPr>
      </w:pPr>
      <w:r w:rsidRPr="00B87359">
        <w:rPr>
          <w:b/>
        </w:rPr>
        <w:t>‘</w:t>
      </w:r>
      <w:r w:rsidR="002B6B7F" w:rsidRPr="00B87359">
        <w:rPr>
          <w:b/>
        </w:rPr>
        <w:t xml:space="preserve">Supporting pupil progress: a detailed analysis of one child’s holistic </w:t>
      </w:r>
      <w:r w:rsidRPr="00B87359">
        <w:rPr>
          <w:b/>
        </w:rPr>
        <w:t>development, with justification for the next steps in learning’</w:t>
      </w:r>
    </w:p>
    <w:p w14:paraId="2D92C259" w14:textId="77777777" w:rsidR="00B87359" w:rsidRDefault="00B87359" w:rsidP="00B87359">
      <w:pPr>
        <w:jc w:val="center"/>
        <w:rPr>
          <w:b/>
        </w:rPr>
      </w:pPr>
    </w:p>
    <w:p w14:paraId="7236ADB1" w14:textId="615DA75E" w:rsidR="00B87359" w:rsidRDefault="00B87359" w:rsidP="00B87359">
      <w:pPr>
        <w:rPr>
          <w:b/>
          <w:u w:val="single"/>
        </w:rPr>
      </w:pPr>
      <w:r w:rsidRPr="00B87359">
        <w:rPr>
          <w:b/>
          <w:u w:val="single"/>
        </w:rPr>
        <w:t>Introduction</w:t>
      </w:r>
      <w:r w:rsidR="00624BA3">
        <w:rPr>
          <w:b/>
          <w:u w:val="single"/>
        </w:rPr>
        <w:t xml:space="preserve"> </w:t>
      </w:r>
    </w:p>
    <w:p w14:paraId="5D577CC7" w14:textId="2D2C9DAE" w:rsidR="000E7E94" w:rsidRPr="00586CE9" w:rsidRDefault="000E7E94" w:rsidP="000E7E94">
      <w:r w:rsidRPr="00586CE9">
        <w:t xml:space="preserve">In this research study I will be analysing a pupil’s holistic development with justification for </w:t>
      </w:r>
      <w:r w:rsidR="00320B72" w:rsidRPr="00586CE9">
        <w:t>further</w:t>
      </w:r>
      <w:r w:rsidRPr="00586CE9">
        <w:t xml:space="preserve"> steps need</w:t>
      </w:r>
      <w:r w:rsidR="00320B72" w:rsidRPr="00586CE9">
        <w:t>ed in order to</w:t>
      </w:r>
      <w:r w:rsidRPr="00586CE9">
        <w:t xml:space="preserve"> improve one’s learning. </w:t>
      </w:r>
    </w:p>
    <w:p w14:paraId="36B24594" w14:textId="70026134" w:rsidR="00704938" w:rsidRPr="00586CE9" w:rsidRDefault="000E7E94" w:rsidP="00B87359">
      <w:r w:rsidRPr="00586CE9">
        <w:t>T</w:t>
      </w:r>
      <w:r w:rsidR="00B87359" w:rsidRPr="00586CE9">
        <w:t xml:space="preserve">he research will be conducted in </w:t>
      </w:r>
      <w:r w:rsidR="001F7C64" w:rsidRPr="00586CE9">
        <w:t xml:space="preserve">a school </w:t>
      </w:r>
      <w:r w:rsidR="00320B72" w:rsidRPr="00586CE9">
        <w:t>that</w:t>
      </w:r>
      <w:r w:rsidR="00B87359" w:rsidRPr="00586CE9">
        <w:t xml:space="preserve"> is in partnership with University Wales Trinity </w:t>
      </w:r>
      <w:r w:rsidR="00320B72" w:rsidRPr="00586CE9">
        <w:t xml:space="preserve">          </w:t>
      </w:r>
      <w:r w:rsidR="00B87359" w:rsidRPr="00586CE9">
        <w:t>St. David. To ensure I follow the guidelines of British Educational Research Association (BERA) and uphold anonymity,</w:t>
      </w:r>
      <w:r w:rsidR="00344F47" w:rsidRPr="00586CE9">
        <w:t xml:space="preserve"> I</w:t>
      </w:r>
      <w:r w:rsidR="00B87359" w:rsidRPr="00586CE9">
        <w:t xml:space="preserve"> will use pseudonyms for the name of the school (School X)</w:t>
      </w:r>
      <w:r w:rsidRPr="00586CE9">
        <w:t xml:space="preserve"> and for the participant (Pupil A).  </w:t>
      </w:r>
      <w:r w:rsidR="00DC4E07" w:rsidRPr="00586CE9">
        <w:t>A</w:t>
      </w:r>
      <w:r w:rsidRPr="00586CE9">
        <w:t>s a result</w:t>
      </w:r>
      <w:r w:rsidR="00DC4E07" w:rsidRPr="00586CE9">
        <w:t>,</w:t>
      </w:r>
      <w:r w:rsidRPr="00586CE9">
        <w:t xml:space="preserve"> the school or participant cannot be identified</w:t>
      </w:r>
      <w:r w:rsidR="00320B72" w:rsidRPr="00586CE9">
        <w:t xml:space="preserve"> personally</w:t>
      </w:r>
      <w:r w:rsidRPr="00586CE9">
        <w:t xml:space="preserve"> in any way. </w:t>
      </w:r>
      <w:r w:rsidR="00FA5319" w:rsidRPr="00586CE9">
        <w:t xml:space="preserve">To ensure the participant has the right to privacy, I will manage the data with confidentiality and </w:t>
      </w:r>
      <w:r w:rsidRPr="00586CE9">
        <w:t>anonymity.</w:t>
      </w:r>
      <w:r w:rsidR="00711C27" w:rsidRPr="00586CE9">
        <w:t xml:space="preserve"> To ensure anonymity, the dat</w:t>
      </w:r>
      <w:r w:rsidR="00320B72" w:rsidRPr="00586CE9">
        <w:t>a</w:t>
      </w:r>
      <w:r w:rsidR="00711C27" w:rsidRPr="00586CE9">
        <w:t xml:space="preserve"> collected will not include </w:t>
      </w:r>
      <w:r w:rsidR="00320B72" w:rsidRPr="00586CE9">
        <w:t xml:space="preserve">details </w:t>
      </w:r>
      <w:r w:rsidR="00711C27" w:rsidRPr="00586CE9">
        <w:t>such as address or background information regarding the pupil.</w:t>
      </w:r>
      <w:r w:rsidR="00344F47" w:rsidRPr="00586CE9">
        <w:t xml:space="preserve"> </w:t>
      </w:r>
      <w:r w:rsidRPr="00586CE9">
        <w:t xml:space="preserve">Before </w:t>
      </w:r>
      <w:r w:rsidR="00320B72" w:rsidRPr="00586CE9">
        <w:t>my</w:t>
      </w:r>
      <w:r w:rsidRPr="00586CE9">
        <w:t xml:space="preserve"> research takes place, I will gain the school</w:t>
      </w:r>
      <w:r w:rsidR="005516AD" w:rsidRPr="00586CE9">
        <w:t>’</w:t>
      </w:r>
      <w:r w:rsidRPr="00586CE9">
        <w:t>s informed consent in order to carry out the exercise</w:t>
      </w:r>
      <w:r w:rsidR="005516AD" w:rsidRPr="00586CE9">
        <w:t xml:space="preserve"> u</w:t>
      </w:r>
      <w:r w:rsidRPr="00586CE9">
        <w:t>s</w:t>
      </w:r>
      <w:r w:rsidR="005516AD" w:rsidRPr="00586CE9">
        <w:t>ing</w:t>
      </w:r>
      <w:r w:rsidRPr="00586CE9">
        <w:t xml:space="preserve"> audio recording</w:t>
      </w:r>
      <w:r w:rsidR="005516AD" w:rsidRPr="00586CE9">
        <w:t>s</w:t>
      </w:r>
      <w:r w:rsidRPr="00586CE9">
        <w:t xml:space="preserve"> and photographs to further aid me in my research. The participant will be informed that they can withdraw at any time of the research study if they so wish. </w:t>
      </w:r>
    </w:p>
    <w:p w14:paraId="4DB6682A" w14:textId="4619E933" w:rsidR="002A6ADF" w:rsidRPr="00586CE9" w:rsidRDefault="001216A0" w:rsidP="002A6ADF">
      <w:r w:rsidRPr="00586CE9">
        <w:t xml:space="preserve">School X is a primary school located on the north-western outskirts of Cardiff and caters for 206 pupils aged between 3 and 11 years old. Approximately 45% of the school’s pupils are eligible for free school meals and 28% of the pupils have additional learning needs. </w:t>
      </w:r>
      <w:r w:rsidR="002A6ADF" w:rsidRPr="00586CE9">
        <w:t>A few pupils have English as an additional language and a very few pupils speak Welsh as a first language.</w:t>
      </w:r>
      <w:r w:rsidRPr="00586CE9">
        <w:t xml:space="preserve"> </w:t>
      </w:r>
      <w:r w:rsidR="002A6ADF" w:rsidRPr="00586CE9">
        <w:t>T</w:t>
      </w:r>
      <w:r w:rsidR="005516AD" w:rsidRPr="00586CE9">
        <w:t>his</w:t>
      </w:r>
      <w:r w:rsidR="002A6ADF" w:rsidRPr="00586CE9">
        <w:t xml:space="preserve"> school</w:t>
      </w:r>
      <w:r w:rsidR="005516AD" w:rsidRPr="00586CE9">
        <w:t>’s individual</w:t>
      </w:r>
      <w:r w:rsidR="002A6ADF" w:rsidRPr="00586CE9">
        <w:t xml:space="preserve"> budget</w:t>
      </w:r>
      <w:r w:rsidR="005516AD" w:rsidRPr="00586CE9">
        <w:t xml:space="preserve"> </w:t>
      </w:r>
      <w:r w:rsidR="002A6ADF" w:rsidRPr="00586CE9">
        <w:t xml:space="preserve">is £5,169 per pupil.  </w:t>
      </w:r>
    </w:p>
    <w:p w14:paraId="337A87DC" w14:textId="79E1A417" w:rsidR="00FA5319" w:rsidRDefault="00DB3358" w:rsidP="00B87359">
      <w:pPr>
        <w:rPr>
          <w:b/>
          <w:u w:val="single"/>
        </w:rPr>
      </w:pPr>
      <w:r w:rsidRPr="00DB3358">
        <w:rPr>
          <w:b/>
          <w:u w:val="single"/>
        </w:rPr>
        <w:t>Data Collection</w:t>
      </w:r>
      <w:r w:rsidR="009122B9">
        <w:rPr>
          <w:b/>
          <w:u w:val="single"/>
        </w:rPr>
        <w:t xml:space="preserve"> </w:t>
      </w:r>
    </w:p>
    <w:p w14:paraId="1C59D549" w14:textId="6C4E3DA5" w:rsidR="009C124E" w:rsidRPr="00586CE9" w:rsidRDefault="00344F47" w:rsidP="00B87359">
      <w:r w:rsidRPr="00586CE9">
        <w:t>Th</w:t>
      </w:r>
      <w:r w:rsidR="004760B1" w:rsidRPr="00586CE9">
        <w:t>e</w:t>
      </w:r>
      <w:r w:rsidRPr="00586CE9">
        <w:t xml:space="preserve"> data collection method I will be using </w:t>
      </w:r>
      <w:r w:rsidR="000E7E94" w:rsidRPr="00586CE9">
        <w:t>during</w:t>
      </w:r>
      <w:r w:rsidRPr="00586CE9">
        <w:t xml:space="preserve"> this research study is the Mosaic Approach. </w:t>
      </w:r>
      <w:r w:rsidR="000E7E94" w:rsidRPr="00586CE9">
        <w:t xml:space="preserve">The approach was first developed </w:t>
      </w:r>
      <w:r w:rsidR="004760B1" w:rsidRPr="00586CE9">
        <w:t>during</w:t>
      </w:r>
      <w:r w:rsidR="000E7E94" w:rsidRPr="00586CE9">
        <w:t xml:space="preserve"> stud</w:t>
      </w:r>
      <w:r w:rsidR="004760B1" w:rsidRPr="00586CE9">
        <w:t>ies</w:t>
      </w:r>
      <w:r w:rsidR="000E7E94" w:rsidRPr="00586CE9">
        <w:t xml:space="preserve"> in a London pre – school by Alison Clark</w:t>
      </w:r>
      <w:r w:rsidR="004760B1" w:rsidRPr="00586CE9">
        <w:t xml:space="preserve"> in 1999</w:t>
      </w:r>
      <w:r w:rsidR="000E7E94" w:rsidRPr="00586CE9">
        <w:t xml:space="preserve"> and Peter</w:t>
      </w:r>
      <w:r w:rsidR="00143638" w:rsidRPr="00586CE9">
        <w:t xml:space="preserve"> </w:t>
      </w:r>
      <w:r w:rsidR="000E7E94" w:rsidRPr="00586CE9">
        <w:t>Moss in 2001</w:t>
      </w:r>
      <w:r w:rsidR="009565BD" w:rsidRPr="00586CE9">
        <w:t xml:space="preserve"> (</w:t>
      </w:r>
      <w:r w:rsidR="009565BD" w:rsidRPr="005D4C02">
        <w:t xml:space="preserve">Clark, 2007, p. </w:t>
      </w:r>
      <w:r w:rsidR="00143638" w:rsidRPr="005D4C02">
        <w:t>76</w:t>
      </w:r>
      <w:r w:rsidR="00143638" w:rsidRPr="00586CE9">
        <w:t xml:space="preserve">). The Mosaic Approach involves </w:t>
      </w:r>
      <w:r w:rsidR="004760B1" w:rsidRPr="00586CE9">
        <w:t xml:space="preserve">using </w:t>
      </w:r>
      <w:r w:rsidR="00143638" w:rsidRPr="00586CE9">
        <w:t xml:space="preserve">a range of </w:t>
      </w:r>
      <w:r w:rsidR="004760B1" w:rsidRPr="00586CE9">
        <w:t>techniques</w:t>
      </w:r>
      <w:r w:rsidR="00143638" w:rsidRPr="00586CE9">
        <w:t xml:space="preserve"> to research a child’s perspective and viewpoint. </w:t>
      </w:r>
      <w:r w:rsidR="00170126" w:rsidRPr="00586CE9">
        <w:t>In order f</w:t>
      </w:r>
      <w:r w:rsidR="00143638" w:rsidRPr="00586CE9">
        <w:t>or th</w:t>
      </w:r>
      <w:r w:rsidR="008B460E" w:rsidRPr="00586CE9">
        <w:t>is</w:t>
      </w:r>
      <w:r w:rsidR="00143638" w:rsidRPr="00586CE9">
        <w:t xml:space="preserve"> approach to reach its full potential, children </w:t>
      </w:r>
      <w:r w:rsidR="004760B1" w:rsidRPr="00586CE9">
        <w:t>must</w:t>
      </w:r>
      <w:r w:rsidR="00143638" w:rsidRPr="00586CE9">
        <w:t xml:space="preserve"> be given the opportunity to </w:t>
      </w:r>
      <w:r w:rsidR="008B460E" w:rsidRPr="00586CE9">
        <w:t>express themselves and their learning</w:t>
      </w:r>
      <w:r w:rsidR="00170126" w:rsidRPr="00586CE9">
        <w:t xml:space="preserve"> needs</w:t>
      </w:r>
      <w:r w:rsidR="008B460E" w:rsidRPr="00586CE9">
        <w:t xml:space="preserve"> in different</w:t>
      </w:r>
      <w:r w:rsidR="00170126" w:rsidRPr="00586CE9">
        <w:t xml:space="preserve"> </w:t>
      </w:r>
      <w:r w:rsidR="008B460E" w:rsidRPr="00586CE9">
        <w:t xml:space="preserve">ways. </w:t>
      </w:r>
    </w:p>
    <w:p w14:paraId="2FB47649" w14:textId="74143D34" w:rsidR="00C34F8D" w:rsidRPr="00586CE9" w:rsidRDefault="008B460E" w:rsidP="00B87359">
      <w:r w:rsidRPr="00586CE9">
        <w:t xml:space="preserve">The Mosaic Approach is a </w:t>
      </w:r>
      <w:r w:rsidR="00170126" w:rsidRPr="00586CE9">
        <w:t>form</w:t>
      </w:r>
      <w:r w:rsidRPr="00586CE9">
        <w:t xml:space="preserve"> of resear</w:t>
      </w:r>
      <w:r w:rsidR="00170126" w:rsidRPr="00586CE9">
        <w:t>ch</w:t>
      </w:r>
      <w:r w:rsidRPr="00586CE9">
        <w:t xml:space="preserve"> that </w:t>
      </w:r>
      <w:r w:rsidR="00170126" w:rsidRPr="00586CE9">
        <w:t>is</w:t>
      </w:r>
      <w:r w:rsidRPr="00586CE9">
        <w:t xml:space="preserve"> participatory, reflexive</w:t>
      </w:r>
      <w:r w:rsidR="00E034DD" w:rsidRPr="00586CE9">
        <w:t xml:space="preserve"> and </w:t>
      </w:r>
      <w:r w:rsidRPr="00586CE9">
        <w:t>adaptable</w:t>
      </w:r>
      <w:r w:rsidR="00E034DD" w:rsidRPr="00586CE9">
        <w:t>,</w:t>
      </w:r>
      <w:r w:rsidRPr="00586CE9">
        <w:t xml:space="preserve"> focus</w:t>
      </w:r>
      <w:r w:rsidR="00E034DD" w:rsidRPr="00586CE9">
        <w:t>ing</w:t>
      </w:r>
      <w:r w:rsidRPr="00586CE9">
        <w:t xml:space="preserve"> on children’s lived experience. It occurs in the setting where the children are, embedded in practice, and provides a valid framework for listening to children </w:t>
      </w:r>
      <w:r w:rsidRPr="00B92FDF">
        <w:t>(Greenfield, 2007a, 2007b).</w:t>
      </w:r>
      <w:r w:rsidRPr="00586CE9">
        <w:t xml:space="preserve"> </w:t>
      </w:r>
      <w:r w:rsidR="00E034DD" w:rsidRPr="00586CE9">
        <w:t>Furthermore, this approach</w:t>
      </w:r>
      <w:r w:rsidRPr="00586CE9">
        <w:t xml:space="preserve"> is made up of three core</w:t>
      </w:r>
      <w:r w:rsidR="009C124E" w:rsidRPr="00586CE9">
        <w:t xml:space="preserve"> stages;</w:t>
      </w:r>
      <w:r w:rsidRPr="00586CE9">
        <w:t xml:space="preserve"> </w:t>
      </w:r>
      <w:r w:rsidR="00076BA1" w:rsidRPr="00586CE9">
        <w:t xml:space="preserve">stage one involves both children and adults </w:t>
      </w:r>
      <w:r w:rsidR="00E034DD" w:rsidRPr="00586CE9">
        <w:t>gathering</w:t>
      </w:r>
      <w:r w:rsidR="00076BA1" w:rsidRPr="00586CE9">
        <w:t xml:space="preserve"> information </w:t>
      </w:r>
      <w:r w:rsidR="00E034DD" w:rsidRPr="00586CE9">
        <w:t>via</w:t>
      </w:r>
      <w:r w:rsidR="00076BA1" w:rsidRPr="00586CE9">
        <w:t xml:space="preserve"> multiple data collection tools</w:t>
      </w:r>
      <w:r w:rsidR="009C124E" w:rsidRPr="00586CE9">
        <w:t>.</w:t>
      </w:r>
      <w:r w:rsidR="00076BA1" w:rsidRPr="00586CE9">
        <w:t xml:space="preserve"> </w:t>
      </w:r>
      <w:r w:rsidR="009C124E" w:rsidRPr="00586CE9">
        <w:t>Th</w:t>
      </w:r>
      <w:r w:rsidR="00E034DD" w:rsidRPr="00586CE9">
        <w:t xml:space="preserve">is information </w:t>
      </w:r>
      <w:r w:rsidR="009C124E" w:rsidRPr="00586CE9">
        <w:t>is</w:t>
      </w:r>
      <w:r w:rsidR="0052764C" w:rsidRPr="00586CE9">
        <w:t xml:space="preserve"> </w:t>
      </w:r>
      <w:r w:rsidR="009C124E" w:rsidRPr="00586CE9">
        <w:t>interpreted and analysed</w:t>
      </w:r>
      <w:r w:rsidR="00C34F8D" w:rsidRPr="00586CE9">
        <w:t xml:space="preserve"> </w:t>
      </w:r>
      <w:r w:rsidR="0052764C" w:rsidRPr="00586CE9">
        <w:t>in preparation</w:t>
      </w:r>
      <w:r w:rsidR="009C124E" w:rsidRPr="00586CE9">
        <w:t xml:space="preserve"> for </w:t>
      </w:r>
      <w:r w:rsidR="0052764C" w:rsidRPr="00586CE9">
        <w:t xml:space="preserve">the </w:t>
      </w:r>
      <w:r w:rsidR="009C124E" w:rsidRPr="00586CE9">
        <w:t>discussion</w:t>
      </w:r>
      <w:r w:rsidR="005D1042" w:rsidRPr="00586CE9">
        <w:t xml:space="preserve"> </w:t>
      </w:r>
      <w:r w:rsidR="009C124E" w:rsidRPr="00586CE9">
        <w:t xml:space="preserve">process </w:t>
      </w:r>
      <w:r w:rsidR="005D1042" w:rsidRPr="00586CE9">
        <w:t xml:space="preserve">which </w:t>
      </w:r>
      <w:r w:rsidR="009C124E" w:rsidRPr="00586CE9">
        <w:t xml:space="preserve">occurs in stage </w:t>
      </w:r>
      <w:r w:rsidR="00E034DD" w:rsidRPr="00586CE9">
        <w:t>two</w:t>
      </w:r>
      <w:r w:rsidR="009C124E" w:rsidRPr="00586CE9">
        <w:t xml:space="preserve">. Finally, </w:t>
      </w:r>
      <w:r w:rsidR="00C34F8D" w:rsidRPr="00586CE9">
        <w:t>the third stage involves using the</w:t>
      </w:r>
      <w:r w:rsidR="009C124E" w:rsidRPr="00586CE9">
        <w:t xml:space="preserve"> </w:t>
      </w:r>
      <w:r w:rsidR="00C34F8D" w:rsidRPr="00586CE9">
        <w:t>manipulated data</w:t>
      </w:r>
      <w:r w:rsidR="009C124E" w:rsidRPr="00586CE9">
        <w:t xml:space="preserve"> to form </w:t>
      </w:r>
      <w:r w:rsidR="005D1042" w:rsidRPr="00586CE9">
        <w:t xml:space="preserve">an </w:t>
      </w:r>
      <w:r w:rsidR="009C124E" w:rsidRPr="00586CE9">
        <w:t xml:space="preserve">action plan for future learning. </w:t>
      </w:r>
      <w:r w:rsidR="00BF7140" w:rsidRPr="00586CE9">
        <w:t xml:space="preserve"> </w:t>
      </w:r>
    </w:p>
    <w:p w14:paraId="60610907" w14:textId="3F209EE1" w:rsidR="00624BA3" w:rsidRPr="00586CE9" w:rsidRDefault="00BF7140" w:rsidP="00B87359">
      <w:r w:rsidRPr="00586CE9">
        <w:t xml:space="preserve">To help myself justify the next steps needed to improve </w:t>
      </w:r>
      <w:r w:rsidR="00C34F8D" w:rsidRPr="00586CE9">
        <w:t>P</w:t>
      </w:r>
      <w:r w:rsidRPr="00586CE9">
        <w:t>upil A’s learning</w:t>
      </w:r>
      <w:r w:rsidR="00C34F8D" w:rsidRPr="00586CE9">
        <w:t>,</w:t>
      </w:r>
      <w:r w:rsidRPr="00586CE9">
        <w:t xml:space="preserve"> I will be using the ASK </w:t>
      </w:r>
      <w:r w:rsidR="00DB364C" w:rsidRPr="00586CE9">
        <w:t>(</w:t>
      </w:r>
      <w:r w:rsidR="0052764C" w:rsidRPr="00586CE9">
        <w:t>a</w:t>
      </w:r>
      <w:r w:rsidR="00DB364C" w:rsidRPr="00586CE9">
        <w:t xml:space="preserve">ttitudes, skills and knowledge) </w:t>
      </w:r>
      <w:r w:rsidRPr="00586CE9">
        <w:t xml:space="preserve">model created by James Nottingham in 2013. </w:t>
      </w:r>
      <w:r w:rsidR="001C5279" w:rsidRPr="00586CE9">
        <w:t>U</w:t>
      </w:r>
      <w:r w:rsidR="00DB364C" w:rsidRPr="00586CE9">
        <w:t>sing the ASK model</w:t>
      </w:r>
      <w:r w:rsidR="001C5279" w:rsidRPr="00586CE9">
        <w:t xml:space="preserve"> </w:t>
      </w:r>
      <w:r w:rsidR="00DB364C" w:rsidRPr="00586CE9">
        <w:t>will allow m</w:t>
      </w:r>
      <w:r w:rsidR="00C34F8D" w:rsidRPr="00586CE9">
        <w:t>e</w:t>
      </w:r>
      <w:r w:rsidR="00DB364C" w:rsidRPr="00586CE9">
        <w:t xml:space="preserve"> to review </w:t>
      </w:r>
      <w:r w:rsidR="00C34F8D" w:rsidRPr="00586CE9">
        <w:t>P</w:t>
      </w:r>
      <w:r w:rsidR="00DB364C" w:rsidRPr="00586CE9">
        <w:t>upil A</w:t>
      </w:r>
      <w:r w:rsidR="00C34F8D" w:rsidRPr="00586CE9">
        <w:t xml:space="preserve">’s </w:t>
      </w:r>
      <w:r w:rsidR="00DB364C" w:rsidRPr="00586CE9">
        <w:t>learning from three different perspectives</w:t>
      </w:r>
      <w:r w:rsidR="003D08E1">
        <w:t xml:space="preserve"> (Nottingham, 2013). </w:t>
      </w:r>
      <w:r w:rsidR="00741A3B" w:rsidRPr="00586CE9">
        <w:t>These go</w:t>
      </w:r>
      <w:r w:rsidR="00DB364C" w:rsidRPr="00586CE9">
        <w:t xml:space="preserve"> hand in hand </w:t>
      </w:r>
      <w:r w:rsidR="00741A3B" w:rsidRPr="00586CE9">
        <w:t>to create a holistic view of Pupil A’s learning</w:t>
      </w:r>
      <w:r w:rsidR="00277B7D">
        <w:t>,</w:t>
      </w:r>
    </w:p>
    <w:p w14:paraId="2070A1F0" w14:textId="77777777" w:rsidR="00741A3B" w:rsidRPr="00586CE9" w:rsidRDefault="00741A3B" w:rsidP="00B87359"/>
    <w:p w14:paraId="76131721" w14:textId="77777777" w:rsidR="00741A3B" w:rsidRPr="00586CE9" w:rsidRDefault="00741A3B" w:rsidP="00B87359"/>
    <w:p w14:paraId="198507ED" w14:textId="77777777" w:rsidR="00B97D04" w:rsidRPr="00586CE9" w:rsidRDefault="009C124E" w:rsidP="00B87359">
      <w:r w:rsidRPr="00586CE9">
        <w:lastRenderedPageBreak/>
        <w:t>During my research study</w:t>
      </w:r>
      <w:r w:rsidR="00741A3B" w:rsidRPr="00586CE9">
        <w:t>,</w:t>
      </w:r>
      <w:r w:rsidRPr="00586CE9">
        <w:t xml:space="preserve"> I will ad</w:t>
      </w:r>
      <w:r w:rsidR="00773358" w:rsidRPr="00586CE9">
        <w:t>opt</w:t>
      </w:r>
      <w:r w:rsidRPr="00586CE9">
        <w:t xml:space="preserve"> the Mosaic Approach</w:t>
      </w:r>
      <w:r w:rsidR="00773358" w:rsidRPr="00586CE9">
        <w:t xml:space="preserve"> </w:t>
      </w:r>
      <w:r w:rsidRPr="00586CE9">
        <w:t xml:space="preserve">focusing in on </w:t>
      </w:r>
      <w:r w:rsidR="00773358" w:rsidRPr="00586CE9">
        <w:t xml:space="preserve">the </w:t>
      </w:r>
      <w:r w:rsidRPr="00586CE9">
        <w:t>four key tiles</w:t>
      </w:r>
      <w:r w:rsidR="00741A3B" w:rsidRPr="00586CE9">
        <w:t>.</w:t>
      </w:r>
      <w:r w:rsidR="00773358" w:rsidRPr="00586CE9">
        <w:t xml:space="preserve"> </w:t>
      </w:r>
      <w:r w:rsidR="00741A3B" w:rsidRPr="00586CE9">
        <w:t>T</w:t>
      </w:r>
      <w:r w:rsidR="00773358" w:rsidRPr="00586CE9">
        <w:t>hese consist of child conferencing, photographs,</w:t>
      </w:r>
      <w:r w:rsidR="00BF7140" w:rsidRPr="00586CE9">
        <w:t xml:space="preserve"> learning walks</w:t>
      </w:r>
      <w:r w:rsidR="00773358" w:rsidRPr="00586CE9">
        <w:t xml:space="preserve"> and observation</w:t>
      </w:r>
      <w:r w:rsidR="00BC492B" w:rsidRPr="00586CE9">
        <w:t>s</w:t>
      </w:r>
      <w:r w:rsidR="00773358" w:rsidRPr="00586CE9">
        <w:t>. The reason</w:t>
      </w:r>
      <w:r w:rsidR="00741A3B" w:rsidRPr="00586CE9">
        <w:t xml:space="preserve"> I </w:t>
      </w:r>
      <w:r w:rsidR="00773358" w:rsidRPr="00586CE9">
        <w:t>select</w:t>
      </w:r>
      <w:r w:rsidR="00741A3B" w:rsidRPr="00586CE9">
        <w:t xml:space="preserve">ed </w:t>
      </w:r>
      <w:r w:rsidR="00773358" w:rsidRPr="00586CE9">
        <w:t xml:space="preserve">the Mosaic Approach </w:t>
      </w:r>
      <w:r w:rsidR="00D11A3B" w:rsidRPr="00586CE9">
        <w:t xml:space="preserve">as a whole </w:t>
      </w:r>
      <w:r w:rsidR="00773358" w:rsidRPr="00586CE9">
        <w:t>is</w:t>
      </w:r>
      <w:r w:rsidR="00D11A3B" w:rsidRPr="00586CE9">
        <w:t xml:space="preserve"> </w:t>
      </w:r>
      <w:r w:rsidR="00741A3B" w:rsidRPr="00586CE9">
        <w:t>because</w:t>
      </w:r>
      <w:r w:rsidR="00773358" w:rsidRPr="00586CE9">
        <w:t xml:space="preserve"> I feel that it encourages me as a teacher to listen to </w:t>
      </w:r>
      <w:r w:rsidR="00A01E16" w:rsidRPr="00586CE9">
        <w:t xml:space="preserve">the </w:t>
      </w:r>
      <w:r w:rsidR="00773358" w:rsidRPr="00586CE9">
        <w:t>pupils’</w:t>
      </w:r>
      <w:r w:rsidR="00741A3B" w:rsidRPr="00586CE9">
        <w:t xml:space="preserve"> </w:t>
      </w:r>
      <w:r w:rsidR="00773358" w:rsidRPr="00586CE9">
        <w:t>perspectives o</w:t>
      </w:r>
      <w:r w:rsidR="00FD4709" w:rsidRPr="00586CE9">
        <w:t xml:space="preserve">f </w:t>
      </w:r>
      <w:r w:rsidR="00773358" w:rsidRPr="00586CE9">
        <w:t>themselves as learners. It is</w:t>
      </w:r>
      <w:r w:rsidR="00D11A3B" w:rsidRPr="00586CE9">
        <w:t xml:space="preserve"> also</w:t>
      </w:r>
      <w:r w:rsidR="00773358" w:rsidRPr="00586CE9">
        <w:t xml:space="preserve"> pivtiol that</w:t>
      </w:r>
      <w:r w:rsidR="00D11A3B" w:rsidRPr="00586CE9">
        <w:t xml:space="preserve"> children have the right to express themselves on matters that affect them </w:t>
      </w:r>
      <w:r w:rsidR="00D11A3B" w:rsidRPr="008E18D7">
        <w:t>(Article 12 of United Nations 1990).</w:t>
      </w:r>
      <w:r w:rsidR="00D11A3B" w:rsidRPr="00586CE9">
        <w:t xml:space="preserve"> </w:t>
      </w:r>
      <w:r w:rsidR="00A01E16" w:rsidRPr="00586CE9">
        <w:t>I will be using the Mosaic Approach in the following areas of learning</w:t>
      </w:r>
      <w:r w:rsidR="00FD4709" w:rsidRPr="00586CE9">
        <w:t>:</w:t>
      </w:r>
      <w:r w:rsidR="00D17C8E" w:rsidRPr="00586CE9">
        <w:t xml:space="preserve"> </w:t>
      </w:r>
      <w:r w:rsidR="00FD4709" w:rsidRPr="00586CE9">
        <w:t>l</w:t>
      </w:r>
      <w:r w:rsidR="00D17C8E" w:rsidRPr="00586CE9">
        <w:t>anguage</w:t>
      </w:r>
      <w:r w:rsidR="00FD4709" w:rsidRPr="00586CE9">
        <w:t>;</w:t>
      </w:r>
      <w:r w:rsidR="00D17C8E" w:rsidRPr="00586CE9">
        <w:t xml:space="preserve"> </w:t>
      </w:r>
      <w:r w:rsidR="00FD4709" w:rsidRPr="00586CE9">
        <w:t>l</w:t>
      </w:r>
      <w:r w:rsidR="00D17C8E" w:rsidRPr="00586CE9">
        <w:t>iteracy and communication</w:t>
      </w:r>
      <w:r w:rsidR="00FD4709" w:rsidRPr="00586CE9">
        <w:t>;</w:t>
      </w:r>
      <w:r w:rsidR="00D17C8E" w:rsidRPr="00586CE9">
        <w:t xml:space="preserve"> </w:t>
      </w:r>
      <w:r w:rsidR="00FD4709" w:rsidRPr="00586CE9">
        <w:t>m</w:t>
      </w:r>
      <w:r w:rsidR="00D17C8E" w:rsidRPr="00586CE9">
        <w:t>athematical development</w:t>
      </w:r>
      <w:r w:rsidR="00FD4709" w:rsidRPr="00586CE9">
        <w:t>;</w:t>
      </w:r>
      <w:r w:rsidR="00D17C8E" w:rsidRPr="00586CE9">
        <w:t xml:space="preserve"> </w:t>
      </w:r>
      <w:r w:rsidR="00FD4709" w:rsidRPr="00586CE9">
        <w:t>p</w:t>
      </w:r>
      <w:r w:rsidR="00D17C8E" w:rsidRPr="00586CE9">
        <w:t xml:space="preserve">hysical development and </w:t>
      </w:r>
      <w:r w:rsidR="00FD4709" w:rsidRPr="00586CE9">
        <w:t>p</w:t>
      </w:r>
      <w:r w:rsidR="00D17C8E" w:rsidRPr="00586CE9">
        <w:t xml:space="preserve">ersonal and </w:t>
      </w:r>
      <w:r w:rsidR="00FD4709" w:rsidRPr="00586CE9">
        <w:t>s</w:t>
      </w:r>
      <w:r w:rsidR="00D17C8E" w:rsidRPr="00586CE9">
        <w:t xml:space="preserve">ocial </w:t>
      </w:r>
      <w:r w:rsidR="00FD4709" w:rsidRPr="00586CE9">
        <w:t>d</w:t>
      </w:r>
      <w:r w:rsidR="00D17C8E" w:rsidRPr="00586CE9">
        <w:t>evelopment</w:t>
      </w:r>
      <w:r w:rsidR="00FD4709" w:rsidRPr="00586CE9">
        <w:t>;</w:t>
      </w:r>
      <w:r w:rsidR="00D17C8E" w:rsidRPr="00586CE9">
        <w:t xml:space="preserve"> </w:t>
      </w:r>
      <w:r w:rsidR="00FD4709" w:rsidRPr="00586CE9">
        <w:t>w</w:t>
      </w:r>
      <w:r w:rsidR="00D17C8E" w:rsidRPr="00586CE9">
        <w:t xml:space="preserve">ell-being and </w:t>
      </w:r>
      <w:r w:rsidR="00FD4709" w:rsidRPr="00586CE9">
        <w:t>c</w:t>
      </w:r>
      <w:r w:rsidR="00D17C8E" w:rsidRPr="00586CE9">
        <w:t xml:space="preserve">ultural </w:t>
      </w:r>
      <w:r w:rsidR="00FD4709" w:rsidRPr="00586CE9">
        <w:t>d</w:t>
      </w:r>
      <w:r w:rsidR="00D17C8E" w:rsidRPr="00586CE9">
        <w:t xml:space="preserve">iversity. </w:t>
      </w:r>
      <w:r w:rsidR="00B97D04" w:rsidRPr="00586CE9">
        <w:t>T</w:t>
      </w:r>
      <w:r w:rsidR="00D17C8E" w:rsidRPr="00586CE9">
        <w:t>hese areas of learning will</w:t>
      </w:r>
      <w:r w:rsidR="00FD4709" w:rsidRPr="00586CE9">
        <w:t xml:space="preserve"> </w:t>
      </w:r>
      <w:r w:rsidR="00D17C8E" w:rsidRPr="00586CE9">
        <w:t>use</w:t>
      </w:r>
      <w:r w:rsidR="00FD4709" w:rsidRPr="00586CE9">
        <w:t xml:space="preserve"> </w:t>
      </w:r>
      <w:r w:rsidR="00B97D04" w:rsidRPr="00586CE9">
        <w:t>the Mosaic</w:t>
      </w:r>
      <w:r w:rsidR="00FD4709" w:rsidRPr="00586CE9">
        <w:t xml:space="preserve"> </w:t>
      </w:r>
      <w:r w:rsidR="00B97D04" w:rsidRPr="00586CE9">
        <w:t>A</w:t>
      </w:r>
      <w:r w:rsidR="00FD4709" w:rsidRPr="00586CE9">
        <w:t>pproach</w:t>
      </w:r>
      <w:r w:rsidR="00D17C8E" w:rsidRPr="00586CE9">
        <w:t xml:space="preserve"> in the exactly the same away in relation to Pupil A.</w:t>
      </w:r>
    </w:p>
    <w:p w14:paraId="598D1491" w14:textId="0628FD69" w:rsidR="007303E5" w:rsidRPr="00586CE9" w:rsidRDefault="00B97D04" w:rsidP="00B87359">
      <w:r w:rsidRPr="00586CE9">
        <w:t>A</w:t>
      </w:r>
      <w:r w:rsidR="00A01E16" w:rsidRPr="00586CE9">
        <w:t xml:space="preserve">s previously mentioned, during this research study I will be using the tool of observation. </w:t>
      </w:r>
      <w:r w:rsidR="007E6B3C" w:rsidRPr="00586CE9">
        <w:t>I believe that observation</w:t>
      </w:r>
      <w:r w:rsidRPr="00586CE9">
        <w:t xml:space="preserve"> is</w:t>
      </w:r>
      <w:r w:rsidR="007E6B3C" w:rsidRPr="00586CE9">
        <w:t xml:space="preserve"> </w:t>
      </w:r>
      <w:r w:rsidRPr="00586CE9">
        <w:t>appropriate</w:t>
      </w:r>
      <w:r w:rsidR="007E6B3C" w:rsidRPr="00586CE9">
        <w:t xml:space="preserve"> as it allows m</w:t>
      </w:r>
      <w:r w:rsidRPr="00586CE9">
        <w:t>e, as</w:t>
      </w:r>
      <w:r w:rsidR="007E6B3C" w:rsidRPr="00586CE9">
        <w:t xml:space="preserve"> the researcher to not participate in the activity but simply observe. This is reinforced by the </w:t>
      </w:r>
      <w:r w:rsidR="007E6B3C" w:rsidRPr="008E18D7">
        <w:t xml:space="preserve">Welsh Assembly Government who state that “Data and information gathered when observing children is an important tool in developing a complete picture of the children” (2008). </w:t>
      </w:r>
      <w:r w:rsidR="007303E5" w:rsidRPr="008E18D7">
        <w:t xml:space="preserve">Other academics such as Schensul &amp; LeCompte, 1999, also discuss the validity of using </w:t>
      </w:r>
      <w:r w:rsidRPr="008E18D7">
        <w:t xml:space="preserve">the </w:t>
      </w:r>
      <w:r w:rsidR="007303E5" w:rsidRPr="008E18D7">
        <w:t>observation tool, stating that observation allows teachers to form relationships with their pupils, investigate how the pupils are responding to their way of teaching and to track their pupils progress. Observing children is equally informative whether the observation takes place indoors or outdoors (Department for Children, Education, Lifelong Learning and skills, 2008).</w:t>
      </w:r>
      <w:r w:rsidR="00E810CB" w:rsidRPr="00586CE9">
        <w:t xml:space="preserve"> </w:t>
      </w:r>
    </w:p>
    <w:p w14:paraId="4D6FF596" w14:textId="16BB6004" w:rsidR="00C02D9E" w:rsidRPr="00586CE9" w:rsidRDefault="00E810CB" w:rsidP="00A01E16">
      <w:r w:rsidRPr="00586CE9">
        <w:t xml:space="preserve">Observation research can be very advantageous to the researcher </w:t>
      </w:r>
      <w:r w:rsidR="00B97D04" w:rsidRPr="00586CE9">
        <w:t>by</w:t>
      </w:r>
      <w:r w:rsidRPr="00586CE9">
        <w:t xml:space="preserve"> gi</w:t>
      </w:r>
      <w:r w:rsidR="00B97D04" w:rsidRPr="00586CE9">
        <w:t>ving</w:t>
      </w:r>
      <w:r w:rsidRPr="00586CE9">
        <w:t xml:space="preserve"> them direct access to social interactions and the opportunity to make more detailed and specific notes as opposed to relying on data collected from </w:t>
      </w:r>
      <w:r w:rsidRPr="00197804">
        <w:t>secondary sources</w:t>
      </w:r>
      <w:r w:rsidR="00B97D04" w:rsidRPr="00197804">
        <w:t xml:space="preserve"> </w:t>
      </w:r>
      <w:r w:rsidRPr="00197804">
        <w:t xml:space="preserve">(Simpson and </w:t>
      </w:r>
      <w:proofErr w:type="spellStart"/>
      <w:r w:rsidRPr="00197804">
        <w:t>Tuson</w:t>
      </w:r>
      <w:proofErr w:type="spellEnd"/>
      <w:r w:rsidRPr="00197804">
        <w:t>, 2003).</w:t>
      </w:r>
      <w:r w:rsidRPr="00586CE9">
        <w:t xml:space="preserve"> However, there are crucial limitations of using observational research. One </w:t>
      </w:r>
      <w:r w:rsidR="00B97D04" w:rsidRPr="00586CE9">
        <w:t xml:space="preserve">such </w:t>
      </w:r>
      <w:r w:rsidRPr="00586CE9">
        <w:t>limitation being it</w:t>
      </w:r>
      <w:r w:rsidR="001D1432" w:rsidRPr="00586CE9">
        <w:t>’s time consuming nature</w:t>
      </w:r>
      <w:r w:rsidRPr="00586CE9">
        <w:t xml:space="preserve"> and </w:t>
      </w:r>
      <w:r w:rsidR="001D1432" w:rsidRPr="00586CE9">
        <w:t xml:space="preserve">further </w:t>
      </w:r>
      <w:r w:rsidRPr="00586CE9">
        <w:t>pos</w:t>
      </w:r>
      <w:r w:rsidR="001D1432" w:rsidRPr="00586CE9">
        <w:t>ing</w:t>
      </w:r>
      <w:r w:rsidRPr="00586CE9">
        <w:t xml:space="preserve"> a risk of missing vital information due to writing notes. </w:t>
      </w:r>
    </w:p>
    <w:p w14:paraId="02C2457A" w14:textId="1557DD17" w:rsidR="00E1263C" w:rsidRPr="00586CE9" w:rsidRDefault="00E810CB" w:rsidP="00A01E16">
      <w:r w:rsidRPr="00586CE9">
        <w:t>Another tile of the Mosaic Approach I will be adopting wi</w:t>
      </w:r>
      <w:r w:rsidR="001D1432" w:rsidRPr="00586CE9">
        <w:t>ll</w:t>
      </w:r>
      <w:r w:rsidRPr="00586CE9">
        <w:t xml:space="preserve"> be child conferencing</w:t>
      </w:r>
      <w:r w:rsidR="0035332E" w:rsidRPr="00586CE9">
        <w:t xml:space="preserve">. </w:t>
      </w:r>
      <w:r w:rsidR="00600AFC" w:rsidRPr="00586CE9">
        <w:t>Child</w:t>
      </w:r>
      <w:r w:rsidR="0035332E" w:rsidRPr="00586CE9">
        <w:t xml:space="preserve"> </w:t>
      </w:r>
      <w:r w:rsidR="00600AFC" w:rsidRPr="00586CE9">
        <w:t>con</w:t>
      </w:r>
      <w:r w:rsidR="0035332E" w:rsidRPr="00586CE9">
        <w:t xml:space="preserve">ferencing involves the teacher having informal conversations with children about their everyday experience in school and some of the work they have produced </w:t>
      </w:r>
      <w:r w:rsidR="0035332E" w:rsidRPr="00B92FDF">
        <w:t>(Clarke, 2004</w:t>
      </w:r>
      <w:r w:rsidR="0035332E" w:rsidRPr="00586CE9">
        <w:t xml:space="preserve">). By undertaking informal </w:t>
      </w:r>
      <w:r w:rsidR="005D1042" w:rsidRPr="00586CE9">
        <w:t>conversations,</w:t>
      </w:r>
      <w:r w:rsidR="0035332E" w:rsidRPr="00586CE9">
        <w:t xml:space="preserve"> it allows teachers to form a better relationship with the children and</w:t>
      </w:r>
      <w:r w:rsidR="005D1042" w:rsidRPr="00586CE9">
        <w:t xml:space="preserve"> also allows adults to attempt to hear and understand their children better </w:t>
      </w:r>
      <w:r w:rsidR="005D1042" w:rsidRPr="00197804">
        <w:t>(Peters and Kelly, 2015).</w:t>
      </w:r>
      <w:r w:rsidR="00C02D9E" w:rsidRPr="00586CE9">
        <w:t xml:space="preserve"> Child conferencing gives children the opportunity to discuss their perspectives about their experience in school and allows the children to give the teaching staff a greater insight </w:t>
      </w:r>
      <w:r w:rsidR="001D1432" w:rsidRPr="00586CE9">
        <w:t>into</w:t>
      </w:r>
      <w:r w:rsidR="00C02D9E" w:rsidRPr="00586CE9">
        <w:t xml:space="preserve"> what changes need be made to improve the children’s learning</w:t>
      </w:r>
      <w:r w:rsidR="001D1432" w:rsidRPr="00586CE9">
        <w:t xml:space="preserve"> </w:t>
      </w:r>
      <w:r w:rsidR="00C02D9E" w:rsidRPr="00197804">
        <w:t>(Clarke and Moss, 2011</w:t>
      </w:r>
      <w:r w:rsidR="00C02D9E" w:rsidRPr="00586CE9">
        <w:t>). Chi</w:t>
      </w:r>
      <w:r w:rsidR="001D1432" w:rsidRPr="00586CE9">
        <w:t>ld</w:t>
      </w:r>
      <w:r w:rsidR="00C02D9E" w:rsidRPr="00586CE9">
        <w:t xml:space="preserve"> conferencing opens doors to new and exciting insights of children’s views, their capabilities, and how they make sense of the world.  A</w:t>
      </w:r>
      <w:r w:rsidR="001D1432" w:rsidRPr="00586CE9">
        <w:t xml:space="preserve"> further</w:t>
      </w:r>
      <w:r w:rsidR="00C02D9E" w:rsidRPr="00586CE9">
        <w:t xml:space="preserve"> advantage </w:t>
      </w:r>
      <w:r w:rsidR="001D1432" w:rsidRPr="00586CE9">
        <w:t>of</w:t>
      </w:r>
      <w:r w:rsidR="00C02D9E" w:rsidRPr="00586CE9">
        <w:t xml:space="preserve"> using child conferencing is</w:t>
      </w:r>
      <w:r w:rsidR="001D1432" w:rsidRPr="00586CE9">
        <w:t xml:space="preserve"> that</w:t>
      </w:r>
      <w:r w:rsidR="00C02D9E" w:rsidRPr="00586CE9">
        <w:t xml:space="preserve"> the teacher gets to learn more about the </w:t>
      </w:r>
      <w:r w:rsidR="00F83270" w:rsidRPr="00586CE9">
        <w:t xml:space="preserve">children’s </w:t>
      </w:r>
      <w:r w:rsidR="00C02D9E" w:rsidRPr="00586CE9">
        <w:t>character</w:t>
      </w:r>
      <w:r w:rsidR="001D1432" w:rsidRPr="00586CE9">
        <w:t>istic</w:t>
      </w:r>
      <w:r w:rsidR="005445A8">
        <w:t>s</w:t>
      </w:r>
      <w:r w:rsidR="00C02D9E" w:rsidRPr="00586CE9">
        <w:t>,</w:t>
      </w:r>
      <w:r w:rsidR="00F83270" w:rsidRPr="00586CE9">
        <w:t xml:space="preserve"> helping them plan for future lessons and activities </w:t>
      </w:r>
      <w:r w:rsidR="00F83270" w:rsidRPr="00B92FDF">
        <w:t>(Carr, 2000).</w:t>
      </w:r>
      <w:r w:rsidR="00F83270" w:rsidRPr="00586CE9">
        <w:t xml:space="preserve"> Nonetheless</w:t>
      </w:r>
      <w:r w:rsidR="001D1432" w:rsidRPr="00586CE9">
        <w:t>,</w:t>
      </w:r>
      <w:r w:rsidR="00F83270" w:rsidRPr="00586CE9">
        <w:t xml:space="preserve"> child conferencing can be a sensitive subject</w:t>
      </w:r>
      <w:r w:rsidR="001D1432" w:rsidRPr="00586CE9">
        <w:t>.</w:t>
      </w:r>
      <w:r w:rsidR="00F83270" w:rsidRPr="00586CE9">
        <w:t xml:space="preserve"> </w:t>
      </w:r>
      <w:r w:rsidR="001D1432" w:rsidRPr="00586CE9">
        <w:t>I</w:t>
      </w:r>
      <w:r w:rsidR="00F83270" w:rsidRPr="00586CE9">
        <w:t xml:space="preserve">t is pivtiol to remember not all children may be comfortable in sharing this type of information with others. </w:t>
      </w:r>
    </w:p>
    <w:p w14:paraId="4EB10B4D" w14:textId="01213EF3" w:rsidR="00F83270" w:rsidRPr="00586CE9" w:rsidRDefault="00F83270" w:rsidP="00A01E16">
      <w:r w:rsidRPr="00586CE9">
        <w:t>The third tile of the Mosaic Approach I will be exploring is photographs. Taking photographs is an excit</w:t>
      </w:r>
      <w:r w:rsidR="001D1432" w:rsidRPr="00586CE9">
        <w:t>ing</w:t>
      </w:r>
      <w:r w:rsidRPr="00586CE9">
        <w:t xml:space="preserve"> way for the children to communicate. The use of photographs allows children to </w:t>
      </w:r>
      <w:r w:rsidR="001D1432" w:rsidRPr="00586CE9">
        <w:t>take pictures of</w:t>
      </w:r>
      <w:r w:rsidRPr="00586CE9">
        <w:t xml:space="preserve"> their ‘favourite’ things in the classroom, enabling them to provide a more in-depth view of their experience in school (Clarke and Moss, 2011). </w:t>
      </w:r>
      <w:r w:rsidR="00664C19" w:rsidRPr="00586CE9">
        <w:t>By taking photographs, it lets children see their life through a new lens, they can capture things that are important to them and allow the photographs to do the talking. An advantage of using photographs is that it gives children the freedom to portray their life without the anxiety of answering questions (Clarke, 2004). However</w:t>
      </w:r>
      <w:r w:rsidR="00B5387F" w:rsidRPr="00586CE9">
        <w:t xml:space="preserve">, </w:t>
      </w:r>
      <w:r w:rsidR="00664C19" w:rsidRPr="00586CE9">
        <w:t>there ha</w:t>
      </w:r>
      <w:r w:rsidR="00B5387F" w:rsidRPr="00586CE9">
        <w:t xml:space="preserve">ve </w:t>
      </w:r>
      <w:r w:rsidR="00664C19" w:rsidRPr="00586CE9">
        <w:t xml:space="preserve">been drawbacks of using photographs </w:t>
      </w:r>
      <w:r w:rsidR="00B5387F" w:rsidRPr="00586CE9">
        <w:t xml:space="preserve">with </w:t>
      </w:r>
      <w:r w:rsidR="00664C19" w:rsidRPr="00586CE9">
        <w:t>one aspect being</w:t>
      </w:r>
      <w:r w:rsidR="00B5387F" w:rsidRPr="00586CE9">
        <w:t xml:space="preserve"> that </w:t>
      </w:r>
      <w:r w:rsidR="00664C19" w:rsidRPr="00586CE9">
        <w:t xml:space="preserve">some children are not familiar with using cameras and find it difficult to portray their thoughts and feelings with one. </w:t>
      </w:r>
    </w:p>
    <w:p w14:paraId="240C88A6" w14:textId="52BA1C1F" w:rsidR="00F83270" w:rsidRDefault="00664C19" w:rsidP="00F94B1F">
      <w:r w:rsidRPr="00586CE9">
        <w:lastRenderedPageBreak/>
        <w:t>The final tile of the Mosaic Approach I will be using is</w:t>
      </w:r>
      <w:r w:rsidR="00BF7140" w:rsidRPr="00586CE9">
        <w:t xml:space="preserve"> a learning walk</w:t>
      </w:r>
      <w:r w:rsidR="00B5387F" w:rsidRPr="00586CE9">
        <w:t>.</w:t>
      </w:r>
      <w:r w:rsidRPr="00586CE9">
        <w:t xml:space="preserve"> </w:t>
      </w:r>
      <w:r w:rsidR="00B5387F" w:rsidRPr="00586CE9">
        <w:t>T</w:t>
      </w:r>
      <w:r w:rsidR="00365FD1" w:rsidRPr="00586CE9">
        <w:t xml:space="preserve">his a tour or walk conducted by the children, it is an exploration of a child’s school experience (Clark and Moss, 2011, p.28). </w:t>
      </w:r>
      <w:r w:rsidR="00BF7140" w:rsidRPr="00586CE9">
        <w:t xml:space="preserve">This method provides a valuable insight for others into the children’s everyday environments because it is based on features, they consider important </w:t>
      </w:r>
      <w:r w:rsidR="00BF7140" w:rsidRPr="003D08E1">
        <w:t>(Hart, 1997:165</w:t>
      </w:r>
      <w:r w:rsidR="00197804" w:rsidRPr="003D08E1">
        <w:t xml:space="preserve"> cited in Lewis</w:t>
      </w:r>
      <w:r w:rsidR="003D08E1">
        <w:t>,</w:t>
      </w:r>
      <w:r w:rsidR="003D08E1" w:rsidRPr="003D08E1">
        <w:t>2004</w:t>
      </w:r>
      <w:r w:rsidR="00BF7140" w:rsidRPr="003D08E1">
        <w:t>).</w:t>
      </w:r>
      <w:r w:rsidR="00BF7140" w:rsidRPr="00586CE9">
        <w:t xml:space="preserve"> By using a learning walk it allows children to </w:t>
      </w:r>
      <w:r w:rsidR="00B5387F" w:rsidRPr="00586CE9">
        <w:t>show</w:t>
      </w:r>
      <w:r w:rsidR="00BF7140" w:rsidRPr="00586CE9">
        <w:t xml:space="preserve"> their favourite </w:t>
      </w:r>
      <w:r w:rsidR="00B5387F" w:rsidRPr="00586CE9">
        <w:t>and most important locations</w:t>
      </w:r>
      <w:r w:rsidR="00BF7140" w:rsidRPr="00586CE9">
        <w:t xml:space="preserve"> that they may find difficult to put into words. </w:t>
      </w:r>
      <w:r w:rsidR="00D03F87" w:rsidRPr="00586CE9">
        <w:t>However,</w:t>
      </w:r>
      <w:r w:rsidR="00BF7140" w:rsidRPr="00586CE9">
        <w:t xml:space="preserve"> this method may not be accepted by all children, as they may not have special or happy places they want to share with others. </w:t>
      </w:r>
    </w:p>
    <w:p w14:paraId="038D4C36" w14:textId="77777777" w:rsidR="00F94B1F" w:rsidRDefault="00F94B1F" w:rsidP="00F94B1F">
      <w:r>
        <w:t xml:space="preserve">Pupil A is in reception class, she is a happy, friendly child who has a wide circle of friends. She is also a very confident child, who adopts a leadership role within the classroom. Pupil A is located in the foxes group for literacy which the most able group and is also in the most able group for mathematics which is known as the rectangles group. Pupil A is the only child in this reception class where she is more able and talented in both Literacy and mathematics. </w:t>
      </w:r>
    </w:p>
    <w:p w14:paraId="5EB16A8A" w14:textId="77777777" w:rsidR="00F94B1F" w:rsidRDefault="00F94B1F" w:rsidP="00F94B1F">
      <w:r>
        <w:t xml:space="preserve">During the introduction on the carpet pupil A listens well and shows her understanding of the lesson by asking questions. She is confident to voice her opinion and provided answers to questions asked even if she may be wrong. She is always one of the first pupils to have their hand up on the carpet to come up to the board to write answer or participate in a task. Pupil A tries really hard with her work and always puts in 100% effort. However, if pupil A is stuck during a task, she has the confidence to ask for help and support. </w:t>
      </w:r>
    </w:p>
    <w:p w14:paraId="57510F71" w14:textId="52614B7B" w:rsidR="00F94B1F" w:rsidRDefault="00F94B1F" w:rsidP="00F94B1F">
      <w:r>
        <w:t xml:space="preserve">Pupil A is achieving outcome 3 in all areas of Language, Literacy and Communication. In the strand of oracy she has currently achieved 4 targets, these consist of: they have demonstrated they have listened to others and understand three – step instructions and basic concepts, they speak clearly and audibly with growing confidence and clarity with most sounds and words pronounced correctly (Appendix A). Pupil A can speak clearly in front of an audience with volume and expression. In the </w:t>
      </w:r>
      <w:r w:rsidR="00B92FDF">
        <w:t>asc2</w:t>
      </w:r>
      <w:r>
        <w:t xml:space="preserve">past she has managed a large amount of lines, knowing when it was her turn to speak during the Christmas concert. This is currently evident, as pupil A practises for the class assembly. For pupil A to be able to achieve outcome 4 in oracy she needs to be to, use an appropriate and increasing range of vocabulary in complete sentences and exchange ideas and interact with other and to play with sounds in words including initial sounds (Appendix A). She is currently working towards these targets; however, she is finding the process of completing of these targets rather difficult. According </w:t>
      </w:r>
      <w:r w:rsidRPr="009A60DE">
        <w:t>to Allpress,</w:t>
      </w:r>
      <w:r>
        <w:t xml:space="preserve"> children find it easier for their oracy skills to improve through story related activities, as these activities support the children’s explicit vocabulary, implicit vocabulary and confidence levels. It is also been portrayed in some cases that the adults follows the child’s lead in story’s that interests the children (2018). </w:t>
      </w:r>
    </w:p>
    <w:p w14:paraId="5BCA3DB0" w14:textId="2214BD48" w:rsidR="00F94B1F" w:rsidRDefault="00F94B1F" w:rsidP="00F94B1F">
      <w:r>
        <w:t xml:space="preserve">The other strand of Literacy, Language and Communication I have observed is Writing. Pupil A is currently on the border between outcome 3 and 4.  She has achieved 4 out of the 5 targets in outcome 3, pupil A is able to orally compose and dictate a sentence describing events, experiences and pictures to communicate meaning and can reconise the alphabetic nature of writing and can form some letters and on occasion simple words and phrases, writing from left to right (Appendix </w:t>
      </w:r>
      <w:r w:rsidR="00AB1E0E">
        <w:t>B</w:t>
      </w:r>
      <w:r>
        <w:t xml:space="preserve">). Pupil A can independently compose her own sentences and is frequently displaying her emergent writing skills. From my observations it is evident that pupil A’s learning is at its optimum when she is giving a model or instructions to follow. This is reinforced </w:t>
      </w:r>
      <w:r w:rsidRPr="001529B5">
        <w:t>by Whitehead</w:t>
      </w:r>
      <w:r>
        <w:t xml:space="preserve"> who states, “Children’s learning needs to be skilfully supported and extended, or ‘scaffolded’, so that their own very effective structures that enable them to experiment, predict and test” (p.88). For pupil A to move into outcome 4, </w:t>
      </w:r>
      <w:bookmarkStart w:id="0" w:name="_Hlk9967592"/>
      <w:r>
        <w:t xml:space="preserve">she needs to display that she can distinguish between upper-and lower-case letters and show an awareness of full stops </w:t>
      </w:r>
      <w:bookmarkEnd w:id="0"/>
      <w:r>
        <w:t xml:space="preserve">(Appendix </w:t>
      </w:r>
      <w:r w:rsidR="00AB1E0E">
        <w:t>B</w:t>
      </w:r>
      <w:r>
        <w:t xml:space="preserve">). Pupil A is started to use finger spaces more frequently in her writing but needs to be reminded about using capital letter and full stops all of the </w:t>
      </w:r>
      <w:r>
        <w:lastRenderedPageBreak/>
        <w:t xml:space="preserve">time in her writing. Pupil A and I have also had conversations about using questions mark in her writing. </w:t>
      </w:r>
    </w:p>
    <w:p w14:paraId="78AD6865" w14:textId="6873603F" w:rsidR="00F94B1F" w:rsidRDefault="00F94B1F" w:rsidP="00F94B1F">
      <w:r>
        <w:t xml:space="preserve">I have conducted a child conferencing session with pupil A to discuss her work and her opinions and experiences regarding her Language, Literacy and Communication lesson. Pupil A stated that she generally enjoys her English lessons, she enjoys reading a variety of different books especially those with animals in them. Her favourite lesson she participated in, was the lesson where she had the opportunity to write an imaginary story. She emphasised that she would like to do more creative writing, drawing pictures to go with what she has written. During the conferencing session, pupil A showed me her favourite piece of work she had done this year (Appendix </w:t>
      </w:r>
      <w:r w:rsidR="00AB1E0E">
        <w:t>C</w:t>
      </w:r>
      <w:r>
        <w:t xml:space="preserve">). This piece of work was a letter to Father Christmas, asking him for toys for Christmas. The reasoning behind this being pupil A’s favourite piece of work, was that she could write about whatever she liked, she wasn’t told what to write about. Her favourite time of the day is listening to a story at the end of the day, as it makes her feel happy. She finally stated that she doesn’t like doing work on sounds on the carpet, and she finds this difficult. In relation to pupil A’s learning walk (Appendix </w:t>
      </w:r>
      <w:r w:rsidR="00AB1E0E">
        <w:t>D</w:t>
      </w:r>
      <w:r>
        <w:t xml:space="preserve">), her favourite place to do writing work is upstairs in the family room, as this is where she is most happy. </w:t>
      </w:r>
    </w:p>
    <w:p w14:paraId="2F8AD444" w14:textId="77777777" w:rsidR="00F94B1F" w:rsidRDefault="00F94B1F" w:rsidP="00F94B1F">
      <w:r>
        <w:t xml:space="preserve">In mathematics lessons, pupil A lacks confidence throughout the whole session, but especially during the introduction. Even through pupil A shows very little confidence, if asked to come to complete a sum on the board, she is more than willing to participate, however she does not volunteer herself. Pupil A always demonstrates her understanding of the lesson by asking questions and works hard at every task given to her. Due to her lack of confidence in mathematics, it is evident she is a lot chattier on the carpet than normal. It is clear that she enjoys mathematics, just finds certain areas tricky. </w:t>
      </w:r>
    </w:p>
    <w:p w14:paraId="7BFE0BFE" w14:textId="417BF03B" w:rsidR="00F94B1F" w:rsidRDefault="00F94B1F" w:rsidP="00F94B1F">
      <w:r>
        <w:t xml:space="preserve">Pupil A has achieved most of the targets included in outcome 3 and has moved into outcome 4 criteria. In relation to the outcome 3 criteria, Pupil A is able to use the concept of time in terms of daily events and demonstrate a sense of how long things take, reconise simple 2D and 3D shapes, describe them in simple language and use them in play and record collections using marks, numbers or pictures (Appendix </w:t>
      </w:r>
      <w:r w:rsidR="00AB1E0E">
        <w:t>E</w:t>
      </w:r>
      <w:r>
        <w:t xml:space="preserve">). Pupil A has demonstrated that she can use different types of coins to pay for items during work-based activities, as well as in the role play area. Pupil A’s mathematical skills are continually developing, and since being on placement I have seen a greater improvement in her number works. As previously mentioned, pupil A is now achieving elements of outcome 4, she is able to count up to 20 objects sometimes using smaller groups, compare and order numbers up to 20 and read and write numbers up to 20.  For her learning to process in outcome 4, the following elements need to be meet, they recall halves and doubles up to 10 and recognise and understand odd and even number up to 20 and children recites numbers in simple sequences to 100 including different starting points (Appendix </w:t>
      </w:r>
      <w:r w:rsidR="00AB1E0E">
        <w:t>E).</w:t>
      </w:r>
      <w:r>
        <w:t xml:space="preserve">To assist early years children’s mathematics progression </w:t>
      </w:r>
      <w:r w:rsidRPr="001529B5">
        <w:t>Hughes 1986a; and Worthington and Carruthers 2003</w:t>
      </w:r>
      <w:r w:rsidR="001529B5">
        <w:t xml:space="preserve"> cited in Pound, 2001</w:t>
      </w:r>
      <w:r>
        <w:t xml:space="preserve"> believe the key is symbolic representation, as they suggest that children can represent mathematical ideas in ways, they can remember in meaningful situations using basic symbols. Nevertheless, this could be an option Pupil A could adopt, alongside her positive attitude and a hard-working ethos, to comfortably achieving a solid outcome 4. </w:t>
      </w:r>
    </w:p>
    <w:p w14:paraId="5C1F0090" w14:textId="7E7EB728" w:rsidR="00F94B1F" w:rsidRDefault="00F94B1F" w:rsidP="00F94B1F">
      <w:r>
        <w:t>During the child conferencing session, pupil A also discussed her work and feelings towards the area of mathematical development. Pupil A stated that she enjoys mathematics but finds it really difficult. Her favourite lesson she participated in, was the lesson where she had to create a book, giving her friends clues to guess the shape she has selected. She highlighted that she would like to do some work on fractions using pizzas. Pupil A’s favourite piece of mathematical work was sequencing her familiar routine</w:t>
      </w:r>
      <w:r w:rsidR="00A45ACC">
        <w:t xml:space="preserve"> (Appendix J), </w:t>
      </w:r>
      <w:r>
        <w:t xml:space="preserve">she liked this particular work as she liked telling people what she does </w:t>
      </w:r>
      <w:r>
        <w:lastRenderedPageBreak/>
        <w:t xml:space="preserve">on a daily basis. Pupil A told me that her favourite thing to learn about in mathematics is shape, especially looking at 3D shapes </w:t>
      </w:r>
      <w:r w:rsidR="00075967">
        <w:t xml:space="preserve">(Appendix K) </w:t>
      </w:r>
      <w:r>
        <w:t xml:space="preserve">as these lessons are normally practical and you can learn about shapes through play. Findings published </w:t>
      </w:r>
      <w:r w:rsidRPr="001529B5">
        <w:t>by Pound stated</w:t>
      </w:r>
      <w:r>
        <w:t xml:space="preserve"> that play provision for children aged 3 to 5, offers opportunities for exploring and learning aspects of mathematics that are seen as more valuable than worksheet activities (2008). She also expressed how she doesn’t like doing number work on the carpet as she finds this boring </w:t>
      </w:r>
    </w:p>
    <w:p w14:paraId="2C6586BB" w14:textId="3D0D13AE" w:rsidR="00F94B1F" w:rsidRDefault="00F94B1F" w:rsidP="00F94B1F">
      <w:r>
        <w:t xml:space="preserve">In personal and social development lessons, pupil A Is caring and compassion towards her fellow peers and teachers. Her answers she provides are very thoughtful, and shows she understands this area of learning in great depth. The work she produces in this lesson, are produced with a lot of thought and effort. Throughout this lesson pupil A is full of confidence and tries her best at every task given to her. She is always on hand to help other children who may be struggling with their work. Her listen and attention in this lesson is fantastic and she always has a smile </w:t>
      </w:r>
      <w:r w:rsidR="005445A8">
        <w:t>upon</w:t>
      </w:r>
      <w:r>
        <w:t xml:space="preserve"> her face. </w:t>
      </w:r>
      <w:r w:rsidRPr="008B2C04">
        <w:t>McGuire</w:t>
      </w:r>
      <w:r>
        <w:t xml:space="preserve"> proposes that to ensure children get the most out of personal and social developments, the teachers need to be knowledgeable about up to date social studies and personal situations and need to have the confidence to discuss these social studies in their own teachers (2007). </w:t>
      </w:r>
    </w:p>
    <w:p w14:paraId="4DEE756C" w14:textId="4B6B92B7" w:rsidR="00F94B1F" w:rsidRDefault="00F94B1F" w:rsidP="00F94B1F">
      <w:r>
        <w:t xml:space="preserve">In this area of learning, pupil A is achieving outcome 4. In relation to the outcome 4 criteria, she is able to recognise cultural differences and diversity, support, comfort and help other children when they are sad or upset and they are able to concentrate on a task and have definite likes and dislikes (Appendix </w:t>
      </w:r>
      <w:r w:rsidR="00AB1E0E">
        <w:t>F).</w:t>
      </w:r>
      <w:r>
        <w:t xml:space="preserve"> Pupil A has displayed that she is able to cater for her own personal needs, by participating in activities during visits from the doctors and dentists. To ensure her learning progress she needs to meet the remaining criteria’s in outcome 4. These consist of </w:t>
      </w:r>
      <w:r w:rsidR="00E568DE">
        <w:t>to</w:t>
      </w:r>
      <w:r>
        <w:t xml:space="preserve"> enjoy caring for the environment such as plants and pets and they are aware of healthy eating habits and can distinguish between foods that are healthy and those that are not (Appendix </w:t>
      </w:r>
      <w:r w:rsidR="00AB1E0E">
        <w:t>F</w:t>
      </w:r>
      <w:r>
        <w:t>).  I believe from the progression already made by pupil A; she is more than able to achieve the outstanding aspects</w:t>
      </w:r>
      <w:r w:rsidRPr="008B2C04">
        <w:t>. Kemple states</w:t>
      </w:r>
      <w:r>
        <w:t xml:space="preserve"> that ‘to ensure individuals meet their expected outcomes, learning needs to be more concrete resource based, as learning is better understood if a child can hold a tangible token to represent their ideas and feelings (2017).</w:t>
      </w:r>
      <w:r w:rsidR="00E568DE">
        <w:t xml:space="preserve"> </w:t>
      </w:r>
    </w:p>
    <w:p w14:paraId="501B80A2" w14:textId="0A3EFEB1" w:rsidR="00F94B1F" w:rsidRDefault="00F94B1F" w:rsidP="00F94B1F">
      <w:r>
        <w:t>In our child conferencing session, pupil A and I discussed her attitude and opinion towards personal and social development. Pupil A conversed that this was her favourite lesson in school. Her favourite lesson she ha</w:t>
      </w:r>
      <w:r w:rsidR="009E2530">
        <w:t xml:space="preserve">d completed </w:t>
      </w:r>
      <w:r>
        <w:t xml:space="preserve">in this area of learning was, </w:t>
      </w:r>
      <w:r w:rsidR="009E2530">
        <w:t xml:space="preserve">the creation of </w:t>
      </w:r>
      <w:r>
        <w:t xml:space="preserve">a message </w:t>
      </w:r>
      <w:r w:rsidR="009E2530">
        <w:t>for M</w:t>
      </w:r>
      <w:r>
        <w:t xml:space="preserve">other’s day. This was her favourite lesson because she likes telling her mum how much she loves her. Pupil As favourite piece of work was creating a fairy wand (Appendix </w:t>
      </w:r>
      <w:r w:rsidR="00AB1E0E">
        <w:t>G</w:t>
      </w:r>
      <w:r>
        <w:t xml:space="preserve">), she enjoyed this as she likes doing arts and crafts, and she can use this wand to make wishes. One wish she has made is for everyone in the class to be kind to each other. Pupil A likes learning about other </w:t>
      </w:r>
      <w:r w:rsidR="00AB1E0E">
        <w:t>people’s</w:t>
      </w:r>
      <w:r>
        <w:t xml:space="preserve"> cultures, especially the Chinese new year, and participating in group work activities. She dislikes doing work about herself as she already knows a lot about herself and would prefer not to work with her talking partner as she wants to find out about other people in the class. </w:t>
      </w:r>
    </w:p>
    <w:p w14:paraId="4A229CDE" w14:textId="77777777" w:rsidR="00F94B1F" w:rsidRDefault="00F94B1F" w:rsidP="00F94B1F">
      <w:r>
        <w:t xml:space="preserve">I also observed pupil A, in one other area of learning; physical development, in this area she is achieving an outcome 4. Pupil A works hard in this area, and always shows a positive attitude. Findings from our conferencing session, revealed that she does not like participating in physical development, due to the lessons being too difficult. This then results in pupil A becoming embarrassed as everyone else can do the skills. From observing pupil, A in physical development situations, it is evident that she is lacking confidence. However, it is evident from observing pupil A in the outdoor learning area, that she does in enjoy participating in physical activities. </w:t>
      </w:r>
    </w:p>
    <w:p w14:paraId="2CE8DE92" w14:textId="77777777" w:rsidR="00F94B1F" w:rsidRDefault="00F94B1F" w:rsidP="00F94B1F"/>
    <w:p w14:paraId="49D5CE75" w14:textId="2F41E03B" w:rsidR="00F94B1F" w:rsidRDefault="00F94B1F" w:rsidP="00F94B1F">
      <w:r>
        <w:lastRenderedPageBreak/>
        <w:t>As previously mentioned in the area of Literacy, Language and Communication, for pupil A’s learning to progress she needs to improve her use of appropriate and increasing range of vocabulary in complete sentences (target A). To support pupil A in reaching target A, I am going to implement an intervention into her weekly routine which help improve both her written and oral vocabulary</w:t>
      </w:r>
      <w:r w:rsidR="00C33A4F">
        <w:t xml:space="preserve"> using the ASK model.</w:t>
      </w:r>
      <w:r>
        <w:t xml:space="preserve"> The intervention prioritises the development of communication and language, focusing on improving young children’s oral and written vocabulary. </w:t>
      </w:r>
      <w:r w:rsidR="003C5733">
        <w:t xml:space="preserve">The attitude of pupil will be analysed in the first lesson, observing that she has a positive attitude towards completing the target set, and also exploring does is persistent when learning for this target if she is initial struggling. </w:t>
      </w:r>
      <w:r>
        <w:t xml:space="preserve">For children’s vocabulary to improve, children need to be given carefully selected high frequency words for explicit teaching (Appendix </w:t>
      </w:r>
      <w:r w:rsidR="00AB1E0E">
        <w:t>H</w:t>
      </w:r>
      <w:r>
        <w:t>). In relation to pupil A’s academic level, she will be fast tracked, and start at tier 2. The tier 2 statement can be achieved by introducing high frequency words across all curriculum areas, not just prominent use in Literacy lessons</w:t>
      </w:r>
      <w:r w:rsidR="00C33A4F">
        <w:t xml:space="preserve"> </w:t>
      </w:r>
      <w:r w:rsidR="00117554" w:rsidRPr="00C33A4F">
        <w:t>(Education Endowment Foundation, 2018).</w:t>
      </w:r>
      <w:r w:rsidR="00117554">
        <w:t xml:space="preserve"> </w:t>
      </w:r>
      <w:r>
        <w:t xml:space="preserve">This can be achieved by reading different types of books, or listening to different types of audio (podcasts, the radio or the news). </w:t>
      </w:r>
      <w:r w:rsidR="003C5733">
        <w:t xml:space="preserve">Throughout this learning process her skills will be observed to ensure she is understanding what the task is asking of her and she is performing to the best of her abilities. </w:t>
      </w:r>
    </w:p>
    <w:p w14:paraId="2124A1AB" w14:textId="6D3D42FF" w:rsidR="00F94B1F" w:rsidRDefault="00F94B1F" w:rsidP="00F94B1F">
      <w:r>
        <w:t>These opportunities</w:t>
      </w:r>
      <w:r w:rsidR="003C5733">
        <w:t xml:space="preserve"> </w:t>
      </w:r>
      <w:r>
        <w:t xml:space="preserve">to hear and use new vocabulary should be incorporated into day to day sessions. Alongside this intervention, I will use the following activities. I will use a word of the day, which will be selected from a class book we are reading. </w:t>
      </w:r>
      <w:r w:rsidR="00940A2F">
        <w:t>Pupil A</w:t>
      </w:r>
      <w:r>
        <w:t xml:space="preserve"> will then do one to one work on the ‘word of the day’ with the teaching assistant, for example; saying the word, spelling the word, looking up its m</w:t>
      </w:r>
      <w:r w:rsidR="00B81999">
        <w:t>eaning</w:t>
      </w:r>
      <w:r>
        <w:t xml:space="preserve">, using it in sentences and writing a definition for it. These tasks will allow pupil A to become more familiar with the </w:t>
      </w:r>
      <w:r w:rsidR="00B81999">
        <w:t>word</w:t>
      </w:r>
      <w:r w:rsidR="00117554">
        <w:t xml:space="preserve"> (</w:t>
      </w:r>
      <w:r w:rsidR="00117554" w:rsidRPr="00C33A4F">
        <w:t>The School Run, 2019).</w:t>
      </w:r>
      <w:r w:rsidR="00117554">
        <w:t xml:space="preserve"> </w:t>
      </w:r>
      <w:r w:rsidR="003C5733">
        <w:t xml:space="preserve">At the end of each of her sessions with teachings, her performance will be evaluated to ensure she has gained the correct knowledge to complete the target independently and ensuring she is familiar with the new information. </w:t>
      </w:r>
      <w:r w:rsidR="00B81999">
        <w:t>The</w:t>
      </w:r>
      <w:r>
        <w:t xml:space="preserve"> resources I will need for the intervention and activity will be, are sources of media, a range of books, whiteboard and pens,</w:t>
      </w:r>
      <w:r w:rsidR="00B81999">
        <w:t xml:space="preserve"> word of the day and a dictionary.  </w:t>
      </w:r>
      <w:r w:rsidR="00940A2F">
        <w:t xml:space="preserve">I believe this intervention to be appropriate as it boost learners vocabulary skills by 3 months, it is feasible it costs around £10 per child per year and it can be easily changed to make the skill harder or easier. </w:t>
      </w:r>
    </w:p>
    <w:p w14:paraId="50C45AB3" w14:textId="77777777" w:rsidR="003C5733" w:rsidRDefault="00301EC8" w:rsidP="00B87359">
      <w:r>
        <w:t>Another target pupil A is working towards</w:t>
      </w:r>
      <w:r w:rsidR="00A5525B">
        <w:t xml:space="preserve"> in Literacy, Language and </w:t>
      </w:r>
      <w:r w:rsidR="005445A8">
        <w:t>Communication is</w:t>
      </w:r>
      <w:r>
        <w:t xml:space="preserve"> too be able to display that she can distinguish between </w:t>
      </w:r>
      <w:r w:rsidRPr="00301EC8">
        <w:t>upper-and lower-case letters and show an awareness of full stops</w:t>
      </w:r>
      <w:r>
        <w:t xml:space="preserve">. By developing this skill, pupil A’s writing in general will become more concise and fluent. </w:t>
      </w:r>
      <w:r w:rsidR="008259C9">
        <w:t xml:space="preserve">To support pupil A with this target, I have decided to adopt the Enhanced Alphabet Knowledge (EAK) approach. The Enhanced Alphabet Knowledge approach is a 3-step </w:t>
      </w:r>
      <w:r w:rsidR="008259C9" w:rsidRPr="00C33A4F">
        <w:t>process</w:t>
      </w:r>
      <w:r w:rsidR="00C57EB4" w:rsidRPr="00C33A4F">
        <w:t xml:space="preserve"> (</w:t>
      </w:r>
      <w:r w:rsidR="00C33A4F">
        <w:t xml:space="preserve">Jones, Clark &amp; Reutzel,2012). </w:t>
      </w:r>
      <w:r w:rsidR="00196E19">
        <w:t>The first step involves identifying the letter name and sound,</w:t>
      </w:r>
      <w:r w:rsidR="009877B8">
        <w:t xml:space="preserve"> the second step encompasses focusing on the letter formation and the third step 3 includes recognising the letter in a text format. For an example of how </w:t>
      </w:r>
      <w:r w:rsidR="00940A2F">
        <w:t xml:space="preserve">I will use the </w:t>
      </w:r>
      <w:r w:rsidR="009877B8">
        <w:t xml:space="preserve">Enhanced Alphabet Knowledge approach </w:t>
      </w:r>
      <w:r w:rsidR="00940A2F">
        <w:t xml:space="preserve">to help distinguish between upper- and lower-case letters see (appendix </w:t>
      </w:r>
      <w:r w:rsidR="00AB1E0E">
        <w:t>I</w:t>
      </w:r>
      <w:r w:rsidR="00940A2F">
        <w:t xml:space="preserve">). </w:t>
      </w:r>
    </w:p>
    <w:p w14:paraId="6E0E6511" w14:textId="6EDB3049" w:rsidR="009122B9" w:rsidRDefault="00940A2F" w:rsidP="00B87359">
      <w:r>
        <w:t>After pupil A has completed the approach learning the basic foundation block of distinguishing upper case and lower-case letters, an activity pupil A can participate in is, The Book Hunt. The Book Hunt involves the Pupil A searching through books, magazines, newspaper and other</w:t>
      </w:r>
      <w:r w:rsidR="00C57EB4">
        <w:t xml:space="preserve"> literacy format to see if they can identify a letter in both its two different formats. This approach has proven to increase children’s awareness of the two different letter formats and increases their phonological awareness. The resources I will need to ensure this approach to be successful are, different types of literacy, sound cards, lowercase letters, uppercase letters and </w:t>
      </w:r>
      <w:r w:rsidR="003C5733">
        <w:t>an</w:t>
      </w:r>
      <w:r w:rsidR="00C57EB4">
        <w:t xml:space="preserve"> interactive device. </w:t>
      </w:r>
    </w:p>
    <w:p w14:paraId="3EAB075F" w14:textId="2F7DAA0F" w:rsidR="00AE06F1" w:rsidRDefault="003C5733" w:rsidP="0089700C">
      <w:r>
        <w:t xml:space="preserve">One of pupil A’s target for mathematic is, </w:t>
      </w:r>
      <w:r w:rsidR="004F51CB">
        <w:t>recognise and understand odd and even number up to 20</w:t>
      </w:r>
      <w:r w:rsidR="00AE06F1">
        <w:t xml:space="preserve">. To help pupil A reach this target, I am going to enrol her into a 10-week intervention, called 1stclass </w:t>
      </w:r>
      <w:r w:rsidR="00AE06F1">
        <w:lastRenderedPageBreak/>
        <w:t xml:space="preserve">@ number. This programme is delivered by teaching assistants </w:t>
      </w:r>
      <w:r w:rsidR="00AE06F1" w:rsidRPr="00AE06F1">
        <w:t xml:space="preserve">which provides intensive support for pupils struggling with </w:t>
      </w:r>
      <w:r w:rsidR="00AE06F1">
        <w:t xml:space="preserve">areas of </w:t>
      </w:r>
      <w:r w:rsidR="00AE06F1" w:rsidRPr="00AE06F1">
        <w:t>maths.</w:t>
      </w:r>
      <w:r w:rsidR="00AE06F1">
        <w:t xml:space="preserve"> The programme also allows teaching assistants to focusing in on specific areas of maths that need to be addressed. The programme supplies the teaching assistant with full training, and a started pack provided with a range of activities to help progress pupil A’s learning. The programme is proven to </w:t>
      </w:r>
      <w:r w:rsidR="0089700C">
        <w:t>provide</w:t>
      </w:r>
      <w:r w:rsidR="00AE06F1">
        <w:t xml:space="preserve"> the pupils with +2 months learning progress and is very cost effective, costing only £79.00 per child</w:t>
      </w:r>
      <w:r w:rsidR="0089700C">
        <w:t xml:space="preserve"> (Education Endowment Foundation, 2017). An activity I will be using alongside the programme is called Odd and Even Concretes. During this activity pupil A, will have to use the set of cards with both odd and even numbers</w:t>
      </w:r>
      <w:r w:rsidR="00ED59BF">
        <w:t xml:space="preserve"> up to 2, and has to match the cards to the correct number of multi-link. Once pupil A has completed this part of the activity, they then investigate why the certain number is odd or even, by breaking the multilink apart. An even number shows there is an equal amount of multilink on either side, whereas an odd number shows there is not an equal number of multi-link on either side (nrich, 2019). The resources needed for this programme are, number flash cards, multi-link, pads and pens. </w:t>
      </w:r>
    </w:p>
    <w:p w14:paraId="106C237F" w14:textId="20CF8109" w:rsidR="009877B8" w:rsidRDefault="00ED59BF" w:rsidP="00964A5D">
      <w:r>
        <w:t xml:space="preserve">The final approach I will be using </w:t>
      </w:r>
      <w:r w:rsidR="00E568DE">
        <w:t>is to</w:t>
      </w:r>
      <w:r>
        <w:t xml:space="preserve"> improve pupil A’s learning</w:t>
      </w:r>
      <w:r w:rsidR="00E568DE">
        <w:t xml:space="preserve"> in the area of personal and social development.  The main target pupil A needs to work towards is that she is </w:t>
      </w:r>
      <w:r w:rsidR="00E568DE" w:rsidRPr="00E568DE">
        <w:t>are aware of healthy eating habits and can distinguish between foods that are healthy and those that are not</w:t>
      </w:r>
      <w:r w:rsidR="00E568DE">
        <w:t>. Currently the topic of healthy eating, has not yet been covered by pupil A’s teacher as this topic is set to be taught in the summer term. However</w:t>
      </w:r>
      <w:r w:rsidR="00AE110F">
        <w:t>, an activity that</w:t>
      </w:r>
      <w:r w:rsidR="00E568DE">
        <w:t xml:space="preserve"> can be adopted alongside the topic is,</w:t>
      </w:r>
      <w:r w:rsidR="00AE110F">
        <w:t xml:space="preserve"> called </w:t>
      </w:r>
      <w:r w:rsidR="00964A5D">
        <w:t>Food</w:t>
      </w:r>
      <w:r w:rsidR="00AE110F">
        <w:t xml:space="preserve"> </w:t>
      </w:r>
      <w:r w:rsidR="00964A5D">
        <w:t>O</w:t>
      </w:r>
      <w:r w:rsidR="00AE110F">
        <w:t xml:space="preserve">f </w:t>
      </w:r>
      <w:r w:rsidR="00964A5D">
        <w:t>T</w:t>
      </w:r>
      <w:r w:rsidR="00AE110F">
        <w:t xml:space="preserve">he </w:t>
      </w:r>
      <w:r w:rsidR="00964A5D">
        <w:t>D</w:t>
      </w:r>
      <w:r w:rsidR="00AE110F">
        <w:t>ay. Each day</w:t>
      </w:r>
      <w:r w:rsidR="00964A5D">
        <w:t xml:space="preserve"> the class will either discuss a healthy or unhealthy item of food, each group will then carry out different tasks related to the item of food, for example, food tasting, research the food and exploring its label. The different groups will then share their findings with the rest of the class (Healthy Eating Advisory Service, n.d). </w:t>
      </w:r>
      <w:r w:rsidR="000A78F3">
        <w:t>I believe with the support provided from teaching assistants and intervention; I am confident that pupil will reach her expected outcome in all areas of learning.</w:t>
      </w:r>
    </w:p>
    <w:p w14:paraId="37EF4F17" w14:textId="72B9ECC2" w:rsidR="000A78F3" w:rsidRDefault="000A78F3" w:rsidP="00964A5D"/>
    <w:p w14:paraId="61BCD2A6" w14:textId="5395F762" w:rsidR="000A78F3" w:rsidRDefault="000A78F3" w:rsidP="00964A5D">
      <w:r>
        <w:t xml:space="preserve">To conclude, </w:t>
      </w:r>
    </w:p>
    <w:p w14:paraId="3B403E86" w14:textId="2AAB5EF1" w:rsidR="000A78F3" w:rsidRDefault="000A78F3" w:rsidP="00964A5D"/>
    <w:p w14:paraId="0B66093D" w14:textId="77777777" w:rsidR="000A78F3" w:rsidRDefault="000A78F3" w:rsidP="00964A5D"/>
    <w:p w14:paraId="16AFF78F" w14:textId="77B8E843" w:rsidR="000A78F3" w:rsidRDefault="000A78F3" w:rsidP="00964A5D"/>
    <w:p w14:paraId="0BB33ED7" w14:textId="77777777" w:rsidR="000A78F3" w:rsidRPr="009877B8" w:rsidRDefault="000A78F3" w:rsidP="00964A5D"/>
    <w:p w14:paraId="4B7A3914" w14:textId="77777777" w:rsidR="00ED59BF" w:rsidRDefault="00ED59BF" w:rsidP="00B87359">
      <w:pPr>
        <w:rPr>
          <w:b/>
          <w:color w:val="FF0000"/>
        </w:rPr>
      </w:pPr>
    </w:p>
    <w:p w14:paraId="4DD86D37" w14:textId="77777777" w:rsidR="00ED59BF" w:rsidRDefault="00ED59BF" w:rsidP="00B87359">
      <w:pPr>
        <w:rPr>
          <w:b/>
          <w:color w:val="FF0000"/>
        </w:rPr>
      </w:pPr>
    </w:p>
    <w:p w14:paraId="4FBFC1C7" w14:textId="77777777" w:rsidR="00ED59BF" w:rsidRDefault="00ED59BF" w:rsidP="00B87359">
      <w:pPr>
        <w:rPr>
          <w:b/>
          <w:color w:val="FF0000"/>
        </w:rPr>
      </w:pPr>
    </w:p>
    <w:p w14:paraId="7C936C9E" w14:textId="77777777" w:rsidR="00ED59BF" w:rsidRDefault="00ED59BF" w:rsidP="00B87359">
      <w:pPr>
        <w:rPr>
          <w:b/>
          <w:color w:val="FF0000"/>
        </w:rPr>
      </w:pPr>
    </w:p>
    <w:p w14:paraId="24F3BB6F" w14:textId="77777777" w:rsidR="00ED59BF" w:rsidRDefault="00ED59BF" w:rsidP="00B87359">
      <w:pPr>
        <w:rPr>
          <w:b/>
          <w:color w:val="FF0000"/>
        </w:rPr>
      </w:pPr>
    </w:p>
    <w:p w14:paraId="4BB57D6D" w14:textId="77777777" w:rsidR="00ED59BF" w:rsidRDefault="00ED59BF" w:rsidP="00B87359">
      <w:pPr>
        <w:rPr>
          <w:b/>
          <w:color w:val="FF0000"/>
        </w:rPr>
      </w:pPr>
    </w:p>
    <w:p w14:paraId="7A62FEE7" w14:textId="77777777" w:rsidR="00ED59BF" w:rsidRDefault="00ED59BF" w:rsidP="00B87359">
      <w:pPr>
        <w:rPr>
          <w:b/>
          <w:color w:val="FF0000"/>
        </w:rPr>
      </w:pPr>
    </w:p>
    <w:p w14:paraId="38AA521F" w14:textId="77777777" w:rsidR="00ED59BF" w:rsidRDefault="00ED59BF" w:rsidP="00B87359">
      <w:pPr>
        <w:rPr>
          <w:b/>
          <w:color w:val="FF0000"/>
        </w:rPr>
      </w:pPr>
    </w:p>
    <w:p w14:paraId="70E0FAC4" w14:textId="77777777" w:rsidR="00ED59BF" w:rsidRDefault="00ED59BF" w:rsidP="00B87359">
      <w:pPr>
        <w:rPr>
          <w:b/>
          <w:color w:val="FF0000"/>
        </w:rPr>
      </w:pPr>
    </w:p>
    <w:p w14:paraId="68D3DDA6" w14:textId="77777777"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lastRenderedPageBreak/>
        <w:t xml:space="preserve">Allpress, E. (2019). </w:t>
      </w:r>
      <w:r w:rsidRPr="005D4C02">
        <w:rPr>
          <w:rFonts w:ascii="&amp;quot" w:eastAsia="Times New Roman" w:hAnsi="&amp;quot" w:cs="Times New Roman"/>
          <w:i/>
          <w:iCs/>
          <w:color w:val="000000"/>
          <w:sz w:val="24"/>
          <w:szCs w:val="24"/>
          <w:lang w:eastAsia="en-GB"/>
        </w:rPr>
        <w:t>Improving communication, language and literacy in the early years</w:t>
      </w:r>
      <w:r w:rsidRPr="005D4C02">
        <w:rPr>
          <w:rFonts w:ascii="&amp;quot" w:eastAsia="Times New Roman" w:hAnsi="&amp;quot" w:cs="Times New Roman"/>
          <w:color w:val="000000"/>
          <w:sz w:val="24"/>
          <w:szCs w:val="24"/>
          <w:lang w:eastAsia="en-GB"/>
        </w:rPr>
        <w:t>. [online] Research Schools Network. Available at: https://researchschool.org.uk/blog/improving-communication-language-and-literacy-in-the-early-years [Accessed 12 May 2019].</w:t>
      </w:r>
    </w:p>
    <w:p w14:paraId="6D1BF08E" w14:textId="2396BCC0"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Carr, M. 2000. Seeking children's perspectives about their learning. In Children</w:t>
      </w:r>
      <w:proofErr w:type="gramStart"/>
      <w:r w:rsidRPr="005D4C02">
        <w:rPr>
          <w:rFonts w:ascii="&amp;quot" w:eastAsia="Times New Roman" w:hAnsi="&amp;quot" w:cs="Times New Roman"/>
          <w:color w:val="000000"/>
          <w:sz w:val="24"/>
          <w:szCs w:val="24"/>
          <w:lang w:eastAsia="en-GB"/>
        </w:rPr>
        <w:t>'.^</w:t>
      </w:r>
      <w:proofErr w:type="gramEnd"/>
      <w:r w:rsidRPr="005D4C02">
        <w:rPr>
          <w:rFonts w:ascii="&amp;quot" w:eastAsia="Times New Roman" w:hAnsi="&amp;quot" w:cs="Times New Roman"/>
          <w:color w:val="000000"/>
          <w:sz w:val="24"/>
          <w:szCs w:val="24"/>
          <w:lang w:eastAsia="en-GB"/>
        </w:rPr>
        <w:t xml:space="preserve"> voice.'</w:t>
      </w:r>
      <w:proofErr w:type="spellStart"/>
      <w:r w:rsidRPr="005D4C02">
        <w:rPr>
          <w:rFonts w:ascii="&amp;quot" w:eastAsia="Times New Roman" w:hAnsi="&amp;quot" w:cs="Times New Roman"/>
          <w:color w:val="000000"/>
          <w:sz w:val="24"/>
          <w:szCs w:val="24"/>
          <w:lang w:eastAsia="en-GB"/>
        </w:rPr>
        <w:t>i</w:t>
      </w:r>
      <w:proofErr w:type="spellEnd"/>
      <w:r w:rsidRPr="005D4C02">
        <w:rPr>
          <w:rFonts w:ascii="&amp;quot" w:eastAsia="Times New Roman" w:hAnsi="&amp;quot" w:cs="Times New Roman"/>
          <w:color w:val="000000"/>
          <w:sz w:val="24"/>
          <w:szCs w:val="24"/>
          <w:lang w:eastAsia="en-GB"/>
        </w:rPr>
        <w:t xml:space="preserve">: research, </w:t>
      </w:r>
      <w:proofErr w:type="spellStart"/>
      <w:r w:rsidRPr="005D4C02">
        <w:rPr>
          <w:rFonts w:ascii="&amp;quot" w:eastAsia="Times New Roman" w:hAnsi="&amp;quot" w:cs="Times New Roman"/>
          <w:color w:val="000000"/>
          <w:sz w:val="24"/>
          <w:szCs w:val="24"/>
          <w:lang w:eastAsia="en-GB"/>
        </w:rPr>
        <w:t>poiicy</w:t>
      </w:r>
      <w:proofErr w:type="spellEnd"/>
      <w:r w:rsidRPr="005D4C02">
        <w:rPr>
          <w:rFonts w:ascii="&amp;quot" w:eastAsia="Times New Roman" w:hAnsi="&amp;quot" w:cs="Times New Roman"/>
          <w:color w:val="000000"/>
          <w:sz w:val="24"/>
          <w:szCs w:val="24"/>
          <w:lang w:eastAsia="en-GB"/>
        </w:rPr>
        <w:t xml:space="preserve"> and practice, eds. A. Smith, NJ. Taylor, &amp; M. </w:t>
      </w:r>
      <w:proofErr w:type="spellStart"/>
      <w:r w:rsidRPr="005D4C02">
        <w:rPr>
          <w:rFonts w:ascii="&amp;quot" w:eastAsia="Times New Roman" w:hAnsi="&amp;quot" w:cs="Times New Roman"/>
          <w:color w:val="000000"/>
          <w:sz w:val="24"/>
          <w:szCs w:val="24"/>
          <w:lang w:eastAsia="en-GB"/>
        </w:rPr>
        <w:t>Gollop</w:t>
      </w:r>
      <w:proofErr w:type="spellEnd"/>
      <w:r w:rsidRPr="005D4C02">
        <w:rPr>
          <w:rFonts w:ascii="&amp;quot" w:eastAsia="Times New Roman" w:hAnsi="&amp;quot" w:cs="Times New Roman"/>
          <w:color w:val="000000"/>
          <w:sz w:val="24"/>
          <w:szCs w:val="24"/>
          <w:lang w:eastAsia="en-GB"/>
        </w:rPr>
        <w:t>. 37-55. Auckland: Pearson Education</w:t>
      </w:r>
    </w:p>
    <w:p w14:paraId="368B547F" w14:textId="77777777"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Clarke, A. (2007). A Hundred Ways of Listening: Gathering Children's Perspectives of Their Early Childhood Environment. </w:t>
      </w:r>
      <w:r w:rsidRPr="005D4C02">
        <w:rPr>
          <w:rFonts w:ascii="&amp;quot" w:eastAsia="Times New Roman" w:hAnsi="&amp;quot" w:cs="Times New Roman"/>
          <w:i/>
          <w:iCs/>
          <w:color w:val="000000"/>
          <w:sz w:val="24"/>
          <w:szCs w:val="24"/>
          <w:lang w:eastAsia="en-GB"/>
        </w:rPr>
        <w:t>YC Young Children</w:t>
      </w:r>
      <w:r w:rsidRPr="005D4C02">
        <w:rPr>
          <w:rFonts w:ascii="&amp;quot" w:eastAsia="Times New Roman" w:hAnsi="&amp;quot" w:cs="Times New Roman"/>
          <w:color w:val="000000"/>
          <w:sz w:val="24"/>
          <w:szCs w:val="24"/>
          <w:lang w:eastAsia="en-GB"/>
        </w:rPr>
        <w:t>, 62(3).</w:t>
      </w:r>
    </w:p>
    <w:p w14:paraId="340DE2D8" w14:textId="229B2FF3"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Clark, A. 2004. The Mosaic approach and research with you</w:t>
      </w:r>
      <w:r>
        <w:rPr>
          <w:rFonts w:ascii="&amp;quot" w:eastAsia="Times New Roman" w:hAnsi="&amp;quot" w:cs="Times New Roman"/>
          <w:color w:val="000000"/>
          <w:sz w:val="24"/>
          <w:szCs w:val="24"/>
          <w:lang w:eastAsia="en-GB"/>
        </w:rPr>
        <w:t>ng</w:t>
      </w:r>
      <w:r w:rsidRPr="005D4C02">
        <w:rPr>
          <w:rFonts w:ascii="&amp;quot" w:eastAsia="Times New Roman" w:hAnsi="&amp;quot" w:cs="Times New Roman"/>
          <w:color w:val="000000"/>
          <w:sz w:val="24"/>
          <w:szCs w:val="24"/>
          <w:lang w:eastAsia="en-GB"/>
        </w:rPr>
        <w:t xml:space="preserve"> children. In The reality of research with children and youn</w:t>
      </w:r>
      <w:r>
        <w:rPr>
          <w:rFonts w:ascii="&amp;quot" w:eastAsia="Times New Roman" w:hAnsi="&amp;quot" w:cs="Times New Roman"/>
          <w:color w:val="000000"/>
          <w:sz w:val="24"/>
          <w:szCs w:val="24"/>
          <w:lang w:eastAsia="en-GB"/>
        </w:rPr>
        <w:t>g</w:t>
      </w:r>
      <w:r w:rsidRPr="005D4C02">
        <w:rPr>
          <w:rFonts w:ascii="&amp;quot" w:eastAsia="Times New Roman" w:hAnsi="&amp;quot" w:cs="Times New Roman"/>
          <w:color w:val="000000"/>
          <w:sz w:val="24"/>
          <w:szCs w:val="24"/>
          <w:lang w:eastAsia="en-GB"/>
        </w:rPr>
        <w:t xml:space="preserve"> people. eds, V. Lewis, M. Kellett. C. Robinson, S. Fraser. &amp; S. Ding. London; Sage</w:t>
      </w:r>
    </w:p>
    <w:p w14:paraId="05406818" w14:textId="67E55733"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Clark, A., &amp; P. Moss. 2011. </w:t>
      </w:r>
      <w:r>
        <w:rPr>
          <w:rFonts w:ascii="&amp;quot" w:eastAsia="Times New Roman" w:hAnsi="&amp;quot" w:cs="Times New Roman"/>
          <w:color w:val="000000"/>
          <w:sz w:val="24"/>
          <w:szCs w:val="24"/>
          <w:lang w:eastAsia="en-GB"/>
        </w:rPr>
        <w:t>Li</w:t>
      </w:r>
      <w:r w:rsidRPr="005D4C02">
        <w:rPr>
          <w:rFonts w:ascii="&amp;quot" w:eastAsia="Times New Roman" w:hAnsi="&amp;quot" w:cs="Times New Roman"/>
          <w:color w:val="000000"/>
          <w:sz w:val="24"/>
          <w:szCs w:val="24"/>
          <w:lang w:eastAsia="en-GB"/>
        </w:rPr>
        <w:t>stening to young children: The Mosaic approach. London: National Children's Bureau</w:t>
      </w:r>
    </w:p>
    <w:p w14:paraId="64BE8CA6" w14:textId="4A227618"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Department for Children, Education, Lifelong Learning and skills (2008). </w:t>
      </w:r>
      <w:r w:rsidRPr="005D4C02">
        <w:rPr>
          <w:rFonts w:ascii="&amp;quot" w:eastAsia="Times New Roman" w:hAnsi="&amp;quot" w:cs="Times New Roman"/>
          <w:i/>
          <w:iCs/>
          <w:color w:val="000000"/>
          <w:sz w:val="24"/>
          <w:szCs w:val="24"/>
          <w:lang w:eastAsia="en-GB"/>
        </w:rPr>
        <w:t>Observing Children</w:t>
      </w:r>
      <w:r w:rsidRPr="005D4C02">
        <w:rPr>
          <w:rFonts w:ascii="&amp;quot" w:eastAsia="Times New Roman" w:hAnsi="&amp;quot" w:cs="Times New Roman"/>
          <w:color w:val="000000"/>
          <w:sz w:val="24"/>
          <w:szCs w:val="24"/>
          <w:lang w:eastAsia="en-GB"/>
        </w:rPr>
        <w:t>. Cardiff: Crown copyright.</w:t>
      </w:r>
    </w:p>
    <w:p w14:paraId="27195FFF" w14:textId="4E69E095"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Education Endowment Foundation (2018) Preparing for Literacy: Improving Communication, Language and Literacy in the Early Years’, London: Education Endowment Foundation.</w:t>
      </w:r>
    </w:p>
    <w:p w14:paraId="7D26A9EC"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Education Endowment Foundation (2019). </w:t>
      </w:r>
      <w:r w:rsidRPr="005D4C02">
        <w:rPr>
          <w:rFonts w:ascii="&amp;quot" w:eastAsia="Times New Roman" w:hAnsi="&amp;quot" w:cs="Times New Roman"/>
          <w:i/>
          <w:iCs/>
          <w:color w:val="000000"/>
          <w:sz w:val="24"/>
          <w:szCs w:val="24"/>
          <w:lang w:eastAsia="en-GB"/>
        </w:rPr>
        <w:t>1stClass@Number | Projects</w:t>
      </w:r>
      <w:r w:rsidRPr="005D4C02">
        <w:rPr>
          <w:rFonts w:ascii="&amp;quot" w:eastAsia="Times New Roman" w:hAnsi="&amp;quot" w:cs="Times New Roman"/>
          <w:color w:val="000000"/>
          <w:sz w:val="24"/>
          <w:szCs w:val="24"/>
          <w:lang w:eastAsia="en-GB"/>
        </w:rPr>
        <w:t xml:space="preserve">. [online] </w:t>
      </w:r>
      <w:proofErr w:type="spellStart"/>
      <w:r w:rsidRPr="005D4C02">
        <w:rPr>
          <w:rFonts w:ascii="&amp;quot" w:eastAsia="Times New Roman" w:hAnsi="&amp;quot" w:cs="Times New Roman"/>
          <w:color w:val="000000"/>
          <w:sz w:val="24"/>
          <w:szCs w:val="24"/>
          <w:lang w:eastAsia="en-GB"/>
        </w:rPr>
        <w:t>EducationEndowmentFoundation</w:t>
      </w:r>
      <w:proofErr w:type="spellEnd"/>
      <w:r w:rsidRPr="005D4C02">
        <w:rPr>
          <w:rFonts w:ascii="&amp;quot" w:eastAsia="Times New Roman" w:hAnsi="&amp;quot" w:cs="Times New Roman"/>
          <w:color w:val="000000"/>
          <w:sz w:val="24"/>
          <w:szCs w:val="24"/>
          <w:lang w:eastAsia="en-GB"/>
        </w:rPr>
        <w:t>. Available at: https://educationendowmentfoundation.org.uk/projects-and-evaluation/projects/1stclassnumber/ [Accessed 20 May 2019].</w:t>
      </w:r>
    </w:p>
    <w:p w14:paraId="4F51B8F8"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Greenfield, C. (2007). Personal Reflection on Research Process and Tools: Effectiveness, Highlights and Challenges in using the Mosaic Approach. </w:t>
      </w:r>
      <w:r w:rsidRPr="005D4C02">
        <w:rPr>
          <w:rFonts w:ascii="&amp;quot" w:eastAsia="Times New Roman" w:hAnsi="&amp;quot" w:cs="Times New Roman"/>
          <w:i/>
          <w:iCs/>
          <w:color w:val="000000"/>
          <w:sz w:val="24"/>
          <w:szCs w:val="24"/>
          <w:lang w:eastAsia="en-GB"/>
        </w:rPr>
        <w:t>Australasian Journal of Early Childhood</w:t>
      </w:r>
      <w:r w:rsidRPr="005D4C02">
        <w:rPr>
          <w:rFonts w:ascii="&amp;quot" w:eastAsia="Times New Roman" w:hAnsi="&amp;quot" w:cs="Times New Roman"/>
          <w:color w:val="000000"/>
          <w:sz w:val="24"/>
          <w:szCs w:val="24"/>
          <w:lang w:eastAsia="en-GB"/>
        </w:rPr>
        <w:t>, 36(3).</w:t>
      </w:r>
    </w:p>
    <w:p w14:paraId="0D31F437"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Healthy Eating Advisor (2019). </w:t>
      </w:r>
      <w:r w:rsidRPr="005D4C02">
        <w:rPr>
          <w:rFonts w:ascii="&amp;quot" w:eastAsia="Times New Roman" w:hAnsi="&amp;quot" w:cs="Times New Roman"/>
          <w:i/>
          <w:iCs/>
          <w:color w:val="000000"/>
          <w:sz w:val="24"/>
          <w:szCs w:val="24"/>
          <w:lang w:eastAsia="en-GB"/>
        </w:rPr>
        <w:t>Healthy eating games and activities | Healthy Eating Advisory Service</w:t>
      </w:r>
      <w:r w:rsidRPr="005D4C02">
        <w:rPr>
          <w:rFonts w:ascii="&amp;quot" w:eastAsia="Times New Roman" w:hAnsi="&amp;quot" w:cs="Times New Roman"/>
          <w:color w:val="000000"/>
          <w:sz w:val="24"/>
          <w:szCs w:val="24"/>
          <w:lang w:eastAsia="en-GB"/>
        </w:rPr>
        <w:t>. [online] Heas.health.vic.gov.au. Available at: https://heas.health.vic.gov.au/early-childhood-services/healthy-curriculum-activities/healthy-eating-games-and-activities [Accessed 29 May 2019].</w:t>
      </w:r>
    </w:p>
    <w:p w14:paraId="50728798"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Jones, C., Clark, S. and </w:t>
      </w:r>
      <w:proofErr w:type="spellStart"/>
      <w:r w:rsidRPr="005D4C02">
        <w:rPr>
          <w:rFonts w:ascii="&amp;quot" w:eastAsia="Times New Roman" w:hAnsi="&amp;quot" w:cs="Times New Roman"/>
          <w:color w:val="000000"/>
          <w:sz w:val="24"/>
          <w:szCs w:val="24"/>
          <w:lang w:eastAsia="en-GB"/>
        </w:rPr>
        <w:t>Reutzel</w:t>
      </w:r>
      <w:proofErr w:type="spellEnd"/>
      <w:r w:rsidRPr="005D4C02">
        <w:rPr>
          <w:rFonts w:ascii="&amp;quot" w:eastAsia="Times New Roman" w:hAnsi="&amp;quot" w:cs="Times New Roman"/>
          <w:color w:val="000000"/>
          <w:sz w:val="24"/>
          <w:szCs w:val="24"/>
          <w:lang w:eastAsia="en-GB"/>
        </w:rPr>
        <w:t xml:space="preserve">, D. (2012). Enhancing Alphabet Knowledge Instruction: Research Implications and Practical Strategies for Early Childhood Educators. </w:t>
      </w:r>
      <w:r w:rsidRPr="005D4C02">
        <w:rPr>
          <w:rFonts w:ascii="&amp;quot" w:eastAsia="Times New Roman" w:hAnsi="&amp;quot" w:cs="Times New Roman"/>
          <w:i/>
          <w:iCs/>
          <w:color w:val="000000"/>
          <w:sz w:val="24"/>
          <w:szCs w:val="24"/>
          <w:lang w:eastAsia="en-GB"/>
        </w:rPr>
        <w:t>Early Childhood Education Journal</w:t>
      </w:r>
      <w:r w:rsidRPr="005D4C02">
        <w:rPr>
          <w:rFonts w:ascii="&amp;quot" w:eastAsia="Times New Roman" w:hAnsi="&amp;quot" w:cs="Times New Roman"/>
          <w:color w:val="000000"/>
          <w:sz w:val="24"/>
          <w:szCs w:val="24"/>
          <w:lang w:eastAsia="en-GB"/>
        </w:rPr>
        <w:t>, 41(2), pp.81-89.</w:t>
      </w:r>
    </w:p>
    <w:p w14:paraId="54C8B31A"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Kemple, K. (2016). Social Studies, Social Competence and Citizenship in Early Childhood Education: Developmental Principles Guide Appropriate Practice. </w:t>
      </w:r>
      <w:r w:rsidRPr="005D4C02">
        <w:rPr>
          <w:rFonts w:ascii="&amp;quot" w:eastAsia="Times New Roman" w:hAnsi="&amp;quot" w:cs="Times New Roman"/>
          <w:i/>
          <w:iCs/>
          <w:color w:val="000000"/>
          <w:sz w:val="24"/>
          <w:szCs w:val="24"/>
          <w:lang w:eastAsia="en-GB"/>
        </w:rPr>
        <w:t>Early Childhood Education Journal</w:t>
      </w:r>
      <w:r w:rsidRPr="005D4C02">
        <w:rPr>
          <w:rFonts w:ascii="&amp;quot" w:eastAsia="Times New Roman" w:hAnsi="&amp;quot" w:cs="Times New Roman"/>
          <w:color w:val="000000"/>
          <w:sz w:val="24"/>
          <w:szCs w:val="24"/>
          <w:lang w:eastAsia="en-GB"/>
        </w:rPr>
        <w:t>, 45(5), pp.621-627.</w:t>
      </w:r>
    </w:p>
    <w:p w14:paraId="328BC0F7" w14:textId="0A08C1B4"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Lewis, V. (2004). </w:t>
      </w:r>
      <w:r w:rsidRPr="005D4C02">
        <w:rPr>
          <w:rFonts w:ascii="&amp;quot" w:eastAsia="Times New Roman" w:hAnsi="&amp;quot" w:cs="Times New Roman"/>
          <w:i/>
          <w:iCs/>
          <w:color w:val="000000"/>
          <w:sz w:val="24"/>
          <w:szCs w:val="24"/>
          <w:lang w:eastAsia="en-GB"/>
        </w:rPr>
        <w:t>The reality of research with children and young people</w:t>
      </w:r>
      <w:r w:rsidRPr="005D4C02">
        <w:rPr>
          <w:rFonts w:ascii="&amp;quot" w:eastAsia="Times New Roman" w:hAnsi="&amp;quot" w:cs="Times New Roman"/>
          <w:color w:val="000000"/>
          <w:sz w:val="24"/>
          <w:szCs w:val="24"/>
          <w:lang w:eastAsia="en-GB"/>
        </w:rPr>
        <w:t>. London: Sage in association with the Open University.</w:t>
      </w:r>
    </w:p>
    <w:p w14:paraId="0CFBBF88" w14:textId="62A0AB75"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proofErr w:type="spellStart"/>
      <w:r w:rsidRPr="005D4C02">
        <w:rPr>
          <w:rFonts w:ascii="&amp;quot" w:eastAsia="Times New Roman" w:hAnsi="&amp;quot" w:cs="Times New Roman"/>
          <w:color w:val="000000"/>
          <w:sz w:val="24"/>
          <w:szCs w:val="24"/>
          <w:lang w:eastAsia="en-GB"/>
        </w:rPr>
        <w:t>McGuire.M</w:t>
      </w:r>
      <w:proofErr w:type="spellEnd"/>
      <w:r w:rsidRPr="005D4C02">
        <w:rPr>
          <w:rFonts w:ascii="&amp;quot" w:eastAsia="Times New Roman" w:hAnsi="&amp;quot" w:cs="Times New Roman"/>
          <w:color w:val="000000"/>
          <w:sz w:val="24"/>
          <w:szCs w:val="24"/>
          <w:lang w:eastAsia="en-GB"/>
        </w:rPr>
        <w:t xml:space="preserve"> (2007) Community Mothers ‘Relationships Between Family and Social Support and Mother-Child Bonds. Multicultural Perspectives in Ireland and the United States.’ Journal of Poverty and Children, 13, (2), p. 133-156</w:t>
      </w:r>
    </w:p>
    <w:p w14:paraId="36769960" w14:textId="7E8D81C1"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lastRenderedPageBreak/>
        <w:t xml:space="preserve">Nottingham, J. (2013). </w:t>
      </w:r>
      <w:proofErr w:type="spellStart"/>
      <w:r w:rsidRPr="005D4C02">
        <w:rPr>
          <w:rFonts w:ascii="&amp;quot" w:eastAsia="Times New Roman" w:hAnsi="&amp;quot" w:cs="Times New Roman"/>
          <w:i/>
          <w:iCs/>
          <w:color w:val="000000"/>
          <w:sz w:val="24"/>
          <w:szCs w:val="24"/>
          <w:lang w:eastAsia="en-GB"/>
        </w:rPr>
        <w:t>Encouring</w:t>
      </w:r>
      <w:proofErr w:type="spellEnd"/>
      <w:r w:rsidRPr="005D4C02">
        <w:rPr>
          <w:rFonts w:ascii="&amp;quot" w:eastAsia="Times New Roman" w:hAnsi="&amp;quot" w:cs="Times New Roman"/>
          <w:i/>
          <w:iCs/>
          <w:color w:val="000000"/>
          <w:sz w:val="24"/>
          <w:szCs w:val="24"/>
          <w:lang w:eastAsia="en-GB"/>
        </w:rPr>
        <w:t xml:space="preserve"> Learning</w:t>
      </w:r>
      <w:r w:rsidRPr="005D4C02">
        <w:rPr>
          <w:rFonts w:ascii="&amp;quot" w:eastAsia="Times New Roman" w:hAnsi="&amp;quot" w:cs="Times New Roman"/>
          <w:color w:val="000000"/>
          <w:sz w:val="24"/>
          <w:szCs w:val="24"/>
          <w:lang w:eastAsia="en-GB"/>
        </w:rPr>
        <w:t>. 1st ed. New York: Routledge.</w:t>
      </w:r>
    </w:p>
    <w:p w14:paraId="7EE6C2F3" w14:textId="5D0B55AD"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proofErr w:type="spellStart"/>
      <w:r w:rsidRPr="005D4C02">
        <w:rPr>
          <w:rFonts w:ascii="&amp;quot" w:eastAsia="Times New Roman" w:hAnsi="&amp;quot" w:cs="Times New Roman"/>
          <w:color w:val="000000"/>
          <w:sz w:val="24"/>
          <w:szCs w:val="24"/>
          <w:lang w:eastAsia="en-GB"/>
        </w:rPr>
        <w:t>Nrichmaths</w:t>
      </w:r>
      <w:proofErr w:type="spellEnd"/>
      <w:r w:rsidRPr="005D4C02">
        <w:rPr>
          <w:rFonts w:ascii="&amp;quot" w:eastAsia="Times New Roman" w:hAnsi="&amp;quot" w:cs="Times New Roman"/>
          <w:color w:val="000000"/>
          <w:sz w:val="24"/>
          <w:szCs w:val="24"/>
          <w:lang w:eastAsia="en-GB"/>
        </w:rPr>
        <w:t xml:space="preserve"> (2019). </w:t>
      </w:r>
      <w:r w:rsidRPr="005D4C02">
        <w:rPr>
          <w:rFonts w:ascii="&amp;quot" w:eastAsia="Times New Roman" w:hAnsi="&amp;quot" w:cs="Times New Roman"/>
          <w:i/>
          <w:iCs/>
          <w:color w:val="000000"/>
          <w:sz w:val="24"/>
          <w:szCs w:val="24"/>
          <w:lang w:eastAsia="en-GB"/>
        </w:rPr>
        <w:t>Even and Odd</w:t>
      </w:r>
      <w:r w:rsidRPr="005D4C02">
        <w:rPr>
          <w:rFonts w:ascii="&amp;quot" w:eastAsia="Times New Roman" w:hAnsi="&amp;quot" w:cs="Times New Roman"/>
          <w:color w:val="000000"/>
          <w:sz w:val="24"/>
          <w:szCs w:val="24"/>
          <w:lang w:eastAsia="en-GB"/>
        </w:rPr>
        <w:t>. [online] Nrich.maths.org. Available at: https://nrich.maths.org/6895 [Accessed 29 May 2019].</w:t>
      </w:r>
    </w:p>
    <w:p w14:paraId="75D1E4A0" w14:textId="77777777"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Peters, S. and Kelly, J. (2015). Exploring children’s perspectives: Multiple ways of seeing and knowing the child. </w:t>
      </w:r>
      <w:r w:rsidRPr="005D4C02">
        <w:rPr>
          <w:rFonts w:ascii="&amp;quot" w:eastAsia="Times New Roman" w:hAnsi="&amp;quot" w:cs="Times New Roman"/>
          <w:i/>
          <w:iCs/>
          <w:color w:val="000000"/>
          <w:sz w:val="24"/>
          <w:szCs w:val="24"/>
          <w:lang w:eastAsia="en-GB"/>
        </w:rPr>
        <w:t>Waikato Journal of Education</w:t>
      </w:r>
      <w:r w:rsidRPr="005D4C02">
        <w:rPr>
          <w:rFonts w:ascii="&amp;quot" w:eastAsia="Times New Roman" w:hAnsi="&amp;quot" w:cs="Times New Roman"/>
          <w:color w:val="000000"/>
          <w:sz w:val="24"/>
          <w:szCs w:val="24"/>
          <w:lang w:eastAsia="en-GB"/>
        </w:rPr>
        <w:t>, 20(3).</w:t>
      </w:r>
    </w:p>
    <w:p w14:paraId="5FE6ED1A" w14:textId="269DEE1E"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Pound, L. (2008). </w:t>
      </w:r>
      <w:r w:rsidRPr="005D4C02">
        <w:rPr>
          <w:rFonts w:ascii="&amp;quot" w:eastAsia="Times New Roman" w:hAnsi="&amp;quot" w:cs="Times New Roman"/>
          <w:i/>
          <w:iCs/>
          <w:color w:val="000000"/>
          <w:sz w:val="24"/>
          <w:szCs w:val="24"/>
          <w:lang w:eastAsia="en-GB"/>
        </w:rPr>
        <w:t>Thinking and learning about mathematics in the early years</w:t>
      </w:r>
      <w:r w:rsidRPr="005D4C02">
        <w:rPr>
          <w:rFonts w:ascii="&amp;quot" w:eastAsia="Times New Roman" w:hAnsi="&amp;quot" w:cs="Times New Roman"/>
          <w:color w:val="000000"/>
          <w:sz w:val="24"/>
          <w:szCs w:val="24"/>
          <w:lang w:eastAsia="en-GB"/>
        </w:rPr>
        <w:t>. 2nd ed. London: Routledge.</w:t>
      </w:r>
    </w:p>
    <w:p w14:paraId="5017F7C0" w14:textId="0C960EBE"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Schensul, Schensul and </w:t>
      </w:r>
      <w:proofErr w:type="spellStart"/>
      <w:r w:rsidRPr="005D4C02">
        <w:rPr>
          <w:rFonts w:ascii="&amp;quot" w:eastAsia="Times New Roman" w:hAnsi="&amp;quot" w:cs="Times New Roman"/>
          <w:color w:val="000000"/>
          <w:sz w:val="24"/>
          <w:szCs w:val="24"/>
          <w:lang w:eastAsia="en-GB"/>
        </w:rPr>
        <w:t>Lecompte</w:t>
      </w:r>
      <w:proofErr w:type="spellEnd"/>
      <w:r w:rsidRPr="005D4C02">
        <w:rPr>
          <w:rFonts w:ascii="&amp;quot" w:eastAsia="Times New Roman" w:hAnsi="&amp;quot" w:cs="Times New Roman"/>
          <w:color w:val="000000"/>
          <w:sz w:val="24"/>
          <w:szCs w:val="24"/>
          <w:lang w:eastAsia="en-GB"/>
        </w:rPr>
        <w:t xml:space="preserve"> (1999). Essential Ethnographic Methods: Observations, Interviews, and Questionnaires. 1st ed. Oxford: Rowman and Littlefield.</w:t>
      </w:r>
    </w:p>
    <w:p w14:paraId="73C03E73" w14:textId="5A59CB52"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Simpson, M. and </w:t>
      </w:r>
      <w:proofErr w:type="spellStart"/>
      <w:r w:rsidRPr="005D4C02">
        <w:rPr>
          <w:rFonts w:ascii="&amp;quot" w:eastAsia="Times New Roman" w:hAnsi="&amp;quot" w:cs="Times New Roman"/>
          <w:color w:val="000000"/>
          <w:sz w:val="24"/>
          <w:szCs w:val="24"/>
          <w:lang w:eastAsia="en-GB"/>
        </w:rPr>
        <w:t>Tuson</w:t>
      </w:r>
      <w:proofErr w:type="spellEnd"/>
      <w:r w:rsidRPr="005D4C02">
        <w:rPr>
          <w:rFonts w:ascii="&amp;quot" w:eastAsia="Times New Roman" w:hAnsi="&amp;quot" w:cs="Times New Roman"/>
          <w:color w:val="000000"/>
          <w:sz w:val="24"/>
          <w:szCs w:val="24"/>
          <w:lang w:eastAsia="en-GB"/>
        </w:rPr>
        <w:t>, J. (2003). Using observations in small-scale research. 2nd ed. Edinburgh: SCRE, The Scottish Council for Research in Education.</w:t>
      </w:r>
    </w:p>
    <w:p w14:paraId="5691A0C2" w14:textId="6293C0C8"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The School Run (2019). </w:t>
      </w:r>
      <w:r w:rsidRPr="005D4C02">
        <w:rPr>
          <w:rFonts w:ascii="&amp;quot" w:eastAsia="Times New Roman" w:hAnsi="&amp;quot" w:cs="Times New Roman"/>
          <w:i/>
          <w:iCs/>
          <w:color w:val="000000"/>
          <w:sz w:val="24"/>
          <w:szCs w:val="24"/>
          <w:lang w:eastAsia="en-GB"/>
        </w:rPr>
        <w:t>How to build your child’s vocabulary</w:t>
      </w:r>
      <w:r w:rsidRPr="005D4C02">
        <w:rPr>
          <w:rFonts w:ascii="&amp;quot" w:eastAsia="Times New Roman" w:hAnsi="&amp;quot" w:cs="Times New Roman"/>
          <w:color w:val="000000"/>
          <w:sz w:val="24"/>
          <w:szCs w:val="24"/>
          <w:lang w:eastAsia="en-GB"/>
        </w:rPr>
        <w:t xml:space="preserve">. [online] </w:t>
      </w:r>
      <w:proofErr w:type="spellStart"/>
      <w:r w:rsidRPr="005D4C02">
        <w:rPr>
          <w:rFonts w:ascii="&amp;quot" w:eastAsia="Times New Roman" w:hAnsi="&amp;quot" w:cs="Times New Roman"/>
          <w:color w:val="000000"/>
          <w:sz w:val="24"/>
          <w:szCs w:val="24"/>
          <w:lang w:eastAsia="en-GB"/>
        </w:rPr>
        <w:t>TheSchoolRun</w:t>
      </w:r>
      <w:proofErr w:type="spellEnd"/>
      <w:r w:rsidRPr="005D4C02">
        <w:rPr>
          <w:rFonts w:ascii="&amp;quot" w:eastAsia="Times New Roman" w:hAnsi="&amp;quot" w:cs="Times New Roman"/>
          <w:color w:val="000000"/>
          <w:sz w:val="24"/>
          <w:szCs w:val="24"/>
          <w:lang w:eastAsia="en-GB"/>
        </w:rPr>
        <w:t>. Available at: https://www.theschoolrun.com/how-to-build-childs-vocabulary [Accessed 29 May 2019].</w:t>
      </w:r>
    </w:p>
    <w:p w14:paraId="756F168E" w14:textId="62C18CDD" w:rsid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Whitehead, Marian R. Supporting Language and Literacy Development in the Early Years. 2nd ed. Maidenhead: Open UP, 2009. Print. Supporting Early Learning.</w:t>
      </w:r>
    </w:p>
    <w:p w14:paraId="6E2480D0" w14:textId="2388DF6E"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United Nations. 1990. United Nations Convention on the Rights </w:t>
      </w:r>
      <w:r w:rsidRPr="005D4C02">
        <w:rPr>
          <w:rFonts w:ascii="&amp;quot" w:eastAsia="Times New Roman" w:hAnsi="&amp;quot" w:cs="Times New Roman"/>
          <w:color w:val="000000"/>
          <w:sz w:val="24"/>
          <w:szCs w:val="24"/>
          <w:lang w:eastAsia="en-GB"/>
        </w:rPr>
        <w:t>O</w:t>
      </w:r>
      <w:r>
        <w:rPr>
          <w:rFonts w:ascii="&amp;quot" w:eastAsia="Times New Roman" w:hAnsi="&amp;quot" w:cs="Times New Roman"/>
          <w:color w:val="000000"/>
          <w:sz w:val="24"/>
          <w:szCs w:val="24"/>
          <w:lang w:eastAsia="en-GB"/>
        </w:rPr>
        <w:t>f T</w:t>
      </w:r>
      <w:r w:rsidRPr="005D4C02">
        <w:rPr>
          <w:rFonts w:ascii="&amp;quot" w:eastAsia="Times New Roman" w:hAnsi="&amp;quot" w:cs="Times New Roman"/>
          <w:color w:val="000000"/>
          <w:sz w:val="24"/>
          <w:szCs w:val="24"/>
          <w:lang w:eastAsia="en-GB"/>
        </w:rPr>
        <w:t>he Child. Online: www. unhchr.ch/html/menu3/b/k2crc.htm</w:t>
      </w:r>
    </w:p>
    <w:p w14:paraId="0EC1EC8E" w14:textId="318BA1D1" w:rsidR="005D4C02" w:rsidRPr="005D4C02" w:rsidRDefault="005D4C02" w:rsidP="005D4C02">
      <w:pPr>
        <w:spacing w:after="180" w:line="240" w:lineRule="auto"/>
        <w:ind w:left="450" w:hanging="450"/>
        <w:rPr>
          <w:rFonts w:ascii="&amp;quot" w:eastAsia="Times New Roman" w:hAnsi="&amp;quot" w:cs="Times New Roman"/>
          <w:color w:val="000000"/>
          <w:sz w:val="24"/>
          <w:szCs w:val="24"/>
          <w:lang w:eastAsia="en-GB"/>
        </w:rPr>
      </w:pPr>
    </w:p>
    <w:p w14:paraId="414DEFE9" w14:textId="0F33A330" w:rsidR="00B87359" w:rsidRDefault="00B87359" w:rsidP="00B87359">
      <w:pPr>
        <w:rPr>
          <w:b/>
        </w:rPr>
      </w:pPr>
    </w:p>
    <w:p w14:paraId="32F044D3" w14:textId="1B6E661A" w:rsidR="00B87359" w:rsidRDefault="00B87359" w:rsidP="00B87359">
      <w:pPr>
        <w:rPr>
          <w:b/>
        </w:rPr>
      </w:pPr>
    </w:p>
    <w:p w14:paraId="195F6474" w14:textId="6E6D3FE3" w:rsidR="005D4C02" w:rsidRDefault="005D4C02" w:rsidP="00B87359">
      <w:pPr>
        <w:rPr>
          <w:b/>
          <w:u w:val="single"/>
        </w:rPr>
      </w:pPr>
      <w:r w:rsidRPr="005D4C02">
        <w:rPr>
          <w:b/>
          <w:u w:val="single"/>
        </w:rPr>
        <w:t xml:space="preserve">Appendices </w:t>
      </w:r>
    </w:p>
    <w:p w14:paraId="26E06347" w14:textId="3DEA8C98" w:rsidR="005D4C02" w:rsidRDefault="00474945" w:rsidP="00B87359">
      <w:pPr>
        <w:rPr>
          <w:b/>
          <w:u w:val="single"/>
        </w:rPr>
      </w:pPr>
      <w:r>
        <w:rPr>
          <w:b/>
          <w:noProof/>
          <w:u w:val="single"/>
        </w:rPr>
        <w:drawing>
          <wp:anchor distT="0" distB="0" distL="114300" distR="114300" simplePos="0" relativeHeight="251658240" behindDoc="0" locked="0" layoutInCell="1" allowOverlap="1" wp14:anchorId="2A986215" wp14:editId="7D33858E">
            <wp:simplePos x="0" y="0"/>
            <wp:positionH relativeFrom="margin">
              <wp:align>left</wp:align>
            </wp:positionH>
            <wp:positionV relativeFrom="page">
              <wp:posOffset>6772275</wp:posOffset>
            </wp:positionV>
            <wp:extent cx="1457325" cy="1729105"/>
            <wp:effectExtent l="0" t="0" r="9525" b="4445"/>
            <wp:wrapTopAndBottom/>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A.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57325" cy="1729105"/>
                    </a:xfrm>
                    <a:prstGeom prst="rect">
                      <a:avLst/>
                    </a:prstGeom>
                  </pic:spPr>
                </pic:pic>
              </a:graphicData>
            </a:graphic>
            <wp14:sizeRelH relativeFrom="margin">
              <wp14:pctWidth>0</wp14:pctWidth>
            </wp14:sizeRelH>
            <wp14:sizeRelV relativeFrom="margin">
              <wp14:pctHeight>0</wp14:pctHeight>
            </wp14:sizeRelV>
          </wp:anchor>
        </w:drawing>
      </w:r>
      <w:r w:rsidR="00A45ACC">
        <w:rPr>
          <w:b/>
          <w:u w:val="single"/>
        </w:rPr>
        <w:t>Appendix A</w:t>
      </w:r>
    </w:p>
    <w:p w14:paraId="374EB45A" w14:textId="37C7CCF2" w:rsidR="00474945" w:rsidRDefault="00474945" w:rsidP="00B87359">
      <w:pPr>
        <w:rPr>
          <w:b/>
          <w:u w:val="single"/>
        </w:rPr>
      </w:pPr>
    </w:p>
    <w:p w14:paraId="2DC2D38C" w14:textId="48C83DB5" w:rsidR="00474945" w:rsidRDefault="00474945" w:rsidP="00B87359">
      <w:pPr>
        <w:rPr>
          <w:b/>
          <w:u w:val="single"/>
        </w:rPr>
      </w:pPr>
      <w:r>
        <w:rPr>
          <w:b/>
          <w:noProof/>
          <w:u w:val="single"/>
        </w:rPr>
        <w:lastRenderedPageBreak/>
        <w:drawing>
          <wp:anchor distT="0" distB="0" distL="114300" distR="114300" simplePos="0" relativeHeight="251659264" behindDoc="0" locked="0" layoutInCell="1" allowOverlap="1" wp14:anchorId="1899ECB9" wp14:editId="01633603">
            <wp:simplePos x="0" y="0"/>
            <wp:positionH relativeFrom="margin">
              <wp:posOffset>-19050</wp:posOffset>
            </wp:positionH>
            <wp:positionV relativeFrom="paragraph">
              <wp:posOffset>353695</wp:posOffset>
            </wp:positionV>
            <wp:extent cx="1342390" cy="1790700"/>
            <wp:effectExtent l="0" t="0" r="0" b="0"/>
            <wp:wrapTopAndBottom/>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B.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42390" cy="1790700"/>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B</w:t>
      </w:r>
    </w:p>
    <w:p w14:paraId="14A9BDF9" w14:textId="6C0D0019" w:rsidR="00474945" w:rsidRDefault="00474945" w:rsidP="00B87359">
      <w:pPr>
        <w:rPr>
          <w:b/>
          <w:u w:val="single"/>
        </w:rPr>
      </w:pPr>
    </w:p>
    <w:p w14:paraId="6A228EA0" w14:textId="5EF4AA8F" w:rsidR="00474945" w:rsidRDefault="00474945" w:rsidP="00B87359">
      <w:pPr>
        <w:rPr>
          <w:b/>
          <w:u w:val="single"/>
        </w:rPr>
      </w:pPr>
      <w:r>
        <w:rPr>
          <w:b/>
          <w:noProof/>
          <w:u w:val="single"/>
        </w:rPr>
        <w:drawing>
          <wp:anchor distT="0" distB="0" distL="114300" distR="114300" simplePos="0" relativeHeight="251660288" behindDoc="0" locked="0" layoutInCell="1" allowOverlap="1" wp14:anchorId="40F1E541" wp14:editId="17142A65">
            <wp:simplePos x="0" y="0"/>
            <wp:positionH relativeFrom="margin">
              <wp:align>left</wp:align>
            </wp:positionH>
            <wp:positionV relativeFrom="page">
              <wp:posOffset>3720465</wp:posOffset>
            </wp:positionV>
            <wp:extent cx="1356995" cy="1895475"/>
            <wp:effectExtent l="0" t="0" r="0" b="0"/>
            <wp:wrapTopAndBottom/>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C.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57502" cy="1896004"/>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C</w:t>
      </w:r>
    </w:p>
    <w:p w14:paraId="325842D0" w14:textId="75660B93" w:rsidR="00474945" w:rsidRDefault="00474945" w:rsidP="00B87359">
      <w:pPr>
        <w:rPr>
          <w:b/>
          <w:u w:val="single"/>
        </w:rPr>
      </w:pPr>
    </w:p>
    <w:p w14:paraId="543343D5" w14:textId="79F4EE42" w:rsidR="00474945" w:rsidRDefault="00474945" w:rsidP="00B87359">
      <w:pPr>
        <w:rPr>
          <w:b/>
          <w:u w:val="single"/>
        </w:rPr>
      </w:pPr>
      <w:r>
        <w:rPr>
          <w:b/>
          <w:noProof/>
          <w:u w:val="single"/>
        </w:rPr>
        <w:drawing>
          <wp:anchor distT="0" distB="0" distL="114300" distR="114300" simplePos="0" relativeHeight="251661312" behindDoc="0" locked="0" layoutInCell="1" allowOverlap="1" wp14:anchorId="1F958237" wp14:editId="51172133">
            <wp:simplePos x="0" y="0"/>
            <wp:positionH relativeFrom="margin">
              <wp:posOffset>-314325</wp:posOffset>
            </wp:positionH>
            <wp:positionV relativeFrom="paragraph">
              <wp:posOffset>310515</wp:posOffset>
            </wp:positionV>
            <wp:extent cx="2463165" cy="1847850"/>
            <wp:effectExtent l="0" t="0" r="0" b="0"/>
            <wp:wrapTopAndBottom/>
            <wp:docPr id="4" name="Picture 4" descr="A picture containing bedclothes,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3165" cy="1847850"/>
                    </a:xfrm>
                    <a:prstGeom prst="rect">
                      <a:avLst/>
                    </a:prstGeom>
                  </pic:spPr>
                </pic:pic>
              </a:graphicData>
            </a:graphic>
            <wp14:sizeRelH relativeFrom="margin">
              <wp14:pctWidth>0</wp14:pctWidth>
            </wp14:sizeRelH>
            <wp14:sizeRelV relativeFrom="margin">
              <wp14:pctHeight>0</wp14:pctHeight>
            </wp14:sizeRelV>
          </wp:anchor>
        </w:drawing>
      </w:r>
      <w:r>
        <w:rPr>
          <w:b/>
          <w:u w:val="single"/>
        </w:rPr>
        <w:t xml:space="preserve">Appendix D </w:t>
      </w:r>
    </w:p>
    <w:p w14:paraId="76C31E33" w14:textId="17BA269B" w:rsidR="00474945" w:rsidRDefault="00474945" w:rsidP="00B87359">
      <w:pPr>
        <w:rPr>
          <w:b/>
          <w:u w:val="single"/>
        </w:rPr>
      </w:pPr>
    </w:p>
    <w:p w14:paraId="2733CDC2" w14:textId="77777777" w:rsidR="00E80B03" w:rsidRDefault="00E80B03" w:rsidP="00B87359">
      <w:pPr>
        <w:rPr>
          <w:b/>
          <w:u w:val="single"/>
        </w:rPr>
      </w:pPr>
    </w:p>
    <w:p w14:paraId="413E27FE" w14:textId="77777777" w:rsidR="00E80B03" w:rsidRDefault="00E80B03" w:rsidP="00B87359">
      <w:pPr>
        <w:rPr>
          <w:b/>
          <w:u w:val="single"/>
        </w:rPr>
      </w:pPr>
    </w:p>
    <w:p w14:paraId="4045B252" w14:textId="77777777" w:rsidR="00E80B03" w:rsidRDefault="00E80B03" w:rsidP="00B87359">
      <w:pPr>
        <w:rPr>
          <w:b/>
          <w:u w:val="single"/>
        </w:rPr>
      </w:pPr>
    </w:p>
    <w:p w14:paraId="67031203" w14:textId="77777777" w:rsidR="00E80B03" w:rsidRDefault="00E80B03" w:rsidP="00B87359">
      <w:pPr>
        <w:rPr>
          <w:b/>
          <w:u w:val="single"/>
        </w:rPr>
      </w:pPr>
    </w:p>
    <w:p w14:paraId="7FEB6CFF" w14:textId="77777777" w:rsidR="00E80B03" w:rsidRDefault="00E80B03" w:rsidP="00B87359">
      <w:pPr>
        <w:rPr>
          <w:b/>
          <w:u w:val="single"/>
        </w:rPr>
      </w:pPr>
    </w:p>
    <w:p w14:paraId="2D147F3E" w14:textId="6A9C55A7" w:rsidR="00474945" w:rsidRDefault="00474945" w:rsidP="00B87359">
      <w:pPr>
        <w:rPr>
          <w:b/>
          <w:u w:val="single"/>
        </w:rPr>
      </w:pPr>
      <w:r>
        <w:rPr>
          <w:b/>
          <w:u w:val="single"/>
        </w:rPr>
        <w:lastRenderedPageBreak/>
        <w:t>Appendix E</w:t>
      </w:r>
    </w:p>
    <w:p w14:paraId="667F94F5" w14:textId="77777777" w:rsidR="00E80B03" w:rsidRDefault="00E80B03" w:rsidP="00B87359">
      <w:pPr>
        <w:rPr>
          <w:b/>
          <w:u w:val="single"/>
        </w:rPr>
      </w:pPr>
    </w:p>
    <w:p w14:paraId="63763E51" w14:textId="79FFED36" w:rsidR="00474945" w:rsidRDefault="00E80B03" w:rsidP="00B87359">
      <w:pPr>
        <w:rPr>
          <w:b/>
          <w:u w:val="single"/>
        </w:rPr>
      </w:pPr>
      <w:r>
        <w:rPr>
          <w:b/>
          <w:noProof/>
          <w:u w:val="single"/>
        </w:rPr>
        <w:drawing>
          <wp:anchor distT="0" distB="0" distL="114300" distR="114300" simplePos="0" relativeHeight="251663360" behindDoc="0" locked="0" layoutInCell="1" allowOverlap="1" wp14:anchorId="794C82F6" wp14:editId="1FF37397">
            <wp:simplePos x="0" y="0"/>
            <wp:positionH relativeFrom="margin">
              <wp:align>left</wp:align>
            </wp:positionH>
            <wp:positionV relativeFrom="paragraph">
              <wp:posOffset>290195</wp:posOffset>
            </wp:positionV>
            <wp:extent cx="2324100" cy="1743075"/>
            <wp:effectExtent l="0" t="0" r="0" b="9525"/>
            <wp:wrapTopAndBottom/>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F.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4100" cy="1743075"/>
                    </a:xfrm>
                    <a:prstGeom prst="rect">
                      <a:avLst/>
                    </a:prstGeom>
                  </pic:spPr>
                </pic:pic>
              </a:graphicData>
            </a:graphic>
            <wp14:sizeRelH relativeFrom="margin">
              <wp14:pctWidth>0</wp14:pctWidth>
            </wp14:sizeRelH>
            <wp14:sizeRelV relativeFrom="margin">
              <wp14:pctHeight>0</wp14:pctHeight>
            </wp14:sizeRelV>
          </wp:anchor>
        </w:drawing>
      </w:r>
      <w:r w:rsidR="00474945">
        <w:rPr>
          <w:b/>
          <w:u w:val="single"/>
        </w:rPr>
        <w:t>Appendix F</w:t>
      </w:r>
    </w:p>
    <w:p w14:paraId="6EDA3DDC" w14:textId="444D5DED" w:rsidR="00E80B03" w:rsidRDefault="00E80B03" w:rsidP="00B87359">
      <w:pPr>
        <w:rPr>
          <w:b/>
          <w:u w:val="single"/>
        </w:rPr>
      </w:pPr>
    </w:p>
    <w:p w14:paraId="654C79F4" w14:textId="0A8ED97D" w:rsidR="00E80B03" w:rsidRDefault="00E80B03" w:rsidP="00B87359">
      <w:pPr>
        <w:rPr>
          <w:b/>
          <w:u w:val="single"/>
        </w:rPr>
      </w:pPr>
      <w:r>
        <w:rPr>
          <w:b/>
          <w:noProof/>
          <w:u w:val="single"/>
        </w:rPr>
        <w:drawing>
          <wp:anchor distT="0" distB="0" distL="114300" distR="114300" simplePos="0" relativeHeight="251664384" behindDoc="0" locked="0" layoutInCell="1" allowOverlap="1" wp14:anchorId="196428B6" wp14:editId="253A4084">
            <wp:simplePos x="0" y="0"/>
            <wp:positionH relativeFrom="margin">
              <wp:align>left</wp:align>
            </wp:positionH>
            <wp:positionV relativeFrom="page">
              <wp:posOffset>6286500</wp:posOffset>
            </wp:positionV>
            <wp:extent cx="1749425" cy="2333625"/>
            <wp:effectExtent l="0" t="0" r="3175" b="9525"/>
            <wp:wrapTopAndBottom/>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9425" cy="2333625"/>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G</w:t>
      </w:r>
    </w:p>
    <w:p w14:paraId="042B6FEA" w14:textId="12761A3A" w:rsidR="00E80B03" w:rsidRDefault="00E80B03" w:rsidP="00B87359">
      <w:pPr>
        <w:rPr>
          <w:b/>
          <w:u w:val="single"/>
        </w:rPr>
      </w:pPr>
    </w:p>
    <w:p w14:paraId="48A398B3" w14:textId="32568CEF" w:rsidR="00474945" w:rsidRDefault="00474945" w:rsidP="00B87359">
      <w:pPr>
        <w:rPr>
          <w:b/>
          <w:u w:val="single"/>
        </w:rPr>
      </w:pPr>
    </w:p>
    <w:p w14:paraId="67E610FC" w14:textId="5C77E2AC" w:rsidR="00474945" w:rsidRDefault="00474945" w:rsidP="00B87359">
      <w:pPr>
        <w:rPr>
          <w:b/>
          <w:u w:val="single"/>
        </w:rPr>
      </w:pPr>
    </w:p>
    <w:p w14:paraId="6D52A9B3" w14:textId="46C9D2F5" w:rsidR="00474945" w:rsidRDefault="00E80B03" w:rsidP="00B87359">
      <w:pPr>
        <w:rPr>
          <w:b/>
          <w:u w:val="single"/>
        </w:rPr>
      </w:pPr>
      <w:r>
        <w:rPr>
          <w:b/>
          <w:noProof/>
          <w:u w:val="single"/>
        </w:rPr>
        <w:drawing>
          <wp:anchor distT="0" distB="0" distL="114300" distR="114300" simplePos="0" relativeHeight="251662336" behindDoc="0" locked="0" layoutInCell="1" allowOverlap="1" wp14:anchorId="3CD5043D" wp14:editId="39D93B5E">
            <wp:simplePos x="0" y="0"/>
            <wp:positionH relativeFrom="margin">
              <wp:align>left</wp:align>
            </wp:positionH>
            <wp:positionV relativeFrom="page">
              <wp:posOffset>1214755</wp:posOffset>
            </wp:positionV>
            <wp:extent cx="1570990" cy="2095500"/>
            <wp:effectExtent l="0" t="0" r="0" b="0"/>
            <wp:wrapTopAndBottom/>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0990" cy="2095500"/>
                    </a:xfrm>
                    <a:prstGeom prst="rect">
                      <a:avLst/>
                    </a:prstGeom>
                  </pic:spPr>
                </pic:pic>
              </a:graphicData>
            </a:graphic>
            <wp14:sizeRelH relativeFrom="margin">
              <wp14:pctWidth>0</wp14:pctWidth>
            </wp14:sizeRelH>
            <wp14:sizeRelV relativeFrom="margin">
              <wp14:pctHeight>0</wp14:pctHeight>
            </wp14:sizeRelV>
          </wp:anchor>
        </w:drawing>
      </w:r>
    </w:p>
    <w:p w14:paraId="7D52A386" w14:textId="29CDDCBD" w:rsidR="00A45ACC" w:rsidRDefault="00E80B03" w:rsidP="00B87359">
      <w:pPr>
        <w:rPr>
          <w:b/>
          <w:u w:val="single"/>
        </w:rPr>
      </w:pPr>
      <w:r>
        <w:rPr>
          <w:b/>
          <w:u w:val="single"/>
        </w:rPr>
        <w:lastRenderedPageBreak/>
        <w:t>Appendix H</w:t>
      </w:r>
    </w:p>
    <w:p w14:paraId="0AC55955" w14:textId="0BB1EF8E" w:rsidR="00E80B03" w:rsidRDefault="00E80B03" w:rsidP="00B87359">
      <w:pPr>
        <w:rPr>
          <w:b/>
          <w:u w:val="single"/>
        </w:rPr>
      </w:pPr>
      <w:r>
        <w:rPr>
          <w:b/>
          <w:noProof/>
          <w:u w:val="single"/>
        </w:rPr>
        <w:drawing>
          <wp:inline distT="0" distB="0" distL="0" distR="0" wp14:anchorId="4DDB625E" wp14:editId="60EA954C">
            <wp:extent cx="3390900" cy="1815944"/>
            <wp:effectExtent l="0" t="0" r="0" b="0"/>
            <wp:docPr id="9" name="Picture 9" descr="A picture containing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tervention 1.jpg"/>
                    <pic:cNvPicPr/>
                  </pic:nvPicPr>
                  <pic:blipFill>
                    <a:blip r:embed="rId12">
                      <a:extLst>
                        <a:ext uri="{28A0092B-C50C-407E-A947-70E740481C1C}">
                          <a14:useLocalDpi xmlns:a14="http://schemas.microsoft.com/office/drawing/2010/main" val="0"/>
                        </a:ext>
                      </a:extLst>
                    </a:blip>
                    <a:stretch>
                      <a:fillRect/>
                    </a:stretch>
                  </pic:blipFill>
                  <pic:spPr>
                    <a:xfrm>
                      <a:off x="0" y="0"/>
                      <a:ext cx="3401601" cy="1821675"/>
                    </a:xfrm>
                    <a:prstGeom prst="rect">
                      <a:avLst/>
                    </a:prstGeom>
                  </pic:spPr>
                </pic:pic>
              </a:graphicData>
            </a:graphic>
          </wp:inline>
        </w:drawing>
      </w:r>
    </w:p>
    <w:p w14:paraId="563AD3B0" w14:textId="0BDDCF65" w:rsidR="00E80B03" w:rsidRDefault="00E80B03" w:rsidP="00B87359">
      <w:pPr>
        <w:rPr>
          <w:b/>
          <w:u w:val="single"/>
        </w:rPr>
      </w:pPr>
      <w:r>
        <w:rPr>
          <w:b/>
          <w:u w:val="single"/>
        </w:rPr>
        <w:t>Appendix I</w:t>
      </w:r>
    </w:p>
    <w:p w14:paraId="4BE8935E" w14:textId="49713CFD" w:rsidR="00E80B03" w:rsidRDefault="00E80B03" w:rsidP="00B87359">
      <w:pPr>
        <w:rPr>
          <w:b/>
          <w:u w:val="single"/>
        </w:rPr>
      </w:pPr>
      <w:r>
        <w:rPr>
          <w:b/>
          <w:u w:val="single"/>
        </w:rPr>
        <w:t>Appendix J</w:t>
      </w:r>
    </w:p>
    <w:p w14:paraId="4227F156" w14:textId="33455C0E" w:rsidR="00E80B03" w:rsidRDefault="00E80B03" w:rsidP="00B87359">
      <w:pPr>
        <w:rPr>
          <w:b/>
          <w:u w:val="single"/>
        </w:rPr>
      </w:pPr>
    </w:p>
    <w:p w14:paraId="1ECCF791" w14:textId="06E94A66" w:rsidR="00E80B03" w:rsidRDefault="00E80B03" w:rsidP="00B87359">
      <w:pPr>
        <w:rPr>
          <w:b/>
          <w:u w:val="single"/>
        </w:rPr>
      </w:pPr>
      <w:r>
        <w:rPr>
          <w:b/>
          <w:noProof/>
          <w:u w:val="single"/>
        </w:rPr>
        <w:drawing>
          <wp:anchor distT="0" distB="0" distL="114300" distR="114300" simplePos="0" relativeHeight="251666432" behindDoc="0" locked="0" layoutInCell="1" allowOverlap="1" wp14:anchorId="0DDC7829" wp14:editId="7C42ECC2">
            <wp:simplePos x="0" y="0"/>
            <wp:positionH relativeFrom="margin">
              <wp:align>left</wp:align>
            </wp:positionH>
            <wp:positionV relativeFrom="paragraph">
              <wp:posOffset>428625</wp:posOffset>
            </wp:positionV>
            <wp:extent cx="1828165" cy="2438400"/>
            <wp:effectExtent l="0" t="0" r="635" b="0"/>
            <wp:wrapTopAndBottom/>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 K.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28165" cy="2438400"/>
                    </a:xfrm>
                    <a:prstGeom prst="rect">
                      <a:avLst/>
                    </a:prstGeom>
                  </pic:spPr>
                </pic:pic>
              </a:graphicData>
            </a:graphic>
            <wp14:sizeRelH relativeFrom="margin">
              <wp14:pctWidth>0</wp14:pctWidth>
            </wp14:sizeRelH>
            <wp14:sizeRelV relativeFrom="margin">
              <wp14:pctHeight>0</wp14:pctHeight>
            </wp14:sizeRelV>
          </wp:anchor>
        </w:drawing>
      </w:r>
      <w:r>
        <w:rPr>
          <w:b/>
          <w:noProof/>
          <w:u w:val="single"/>
        </w:rPr>
        <w:drawing>
          <wp:anchor distT="0" distB="0" distL="114300" distR="114300" simplePos="0" relativeHeight="251665408" behindDoc="0" locked="0" layoutInCell="1" allowOverlap="1" wp14:anchorId="046868A8" wp14:editId="0D75525C">
            <wp:simplePos x="0" y="0"/>
            <wp:positionH relativeFrom="column">
              <wp:posOffset>0</wp:posOffset>
            </wp:positionH>
            <wp:positionV relativeFrom="page">
              <wp:posOffset>3743325</wp:posOffset>
            </wp:positionV>
            <wp:extent cx="1879600" cy="1266825"/>
            <wp:effectExtent l="0" t="0" r="635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J.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79600" cy="1266825"/>
                    </a:xfrm>
                    <a:prstGeom prst="rect">
                      <a:avLst/>
                    </a:prstGeom>
                  </pic:spPr>
                </pic:pic>
              </a:graphicData>
            </a:graphic>
          </wp:anchor>
        </w:drawing>
      </w:r>
      <w:r>
        <w:rPr>
          <w:b/>
          <w:u w:val="single"/>
        </w:rPr>
        <w:t>Appendix K</w:t>
      </w:r>
      <w:bookmarkStart w:id="1" w:name="_GoBack"/>
      <w:bookmarkEnd w:id="1"/>
    </w:p>
    <w:p w14:paraId="01E1E1A3" w14:textId="650C6CE5" w:rsidR="00E80B03" w:rsidRPr="005D4C02" w:rsidRDefault="00E80B03" w:rsidP="00B87359">
      <w:pPr>
        <w:rPr>
          <w:b/>
          <w:u w:val="single"/>
        </w:rPr>
      </w:pPr>
    </w:p>
    <w:sectPr w:rsidR="00E80B03" w:rsidRPr="005D4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C36F87"/>
    <w:multiLevelType w:val="hybridMultilevel"/>
    <w:tmpl w:val="BCE2B7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B42FBC"/>
    <w:multiLevelType w:val="hybridMultilevel"/>
    <w:tmpl w:val="559C9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B7F"/>
    <w:rsid w:val="000037CA"/>
    <w:rsid w:val="00075967"/>
    <w:rsid w:val="00076BA1"/>
    <w:rsid w:val="000A78F3"/>
    <w:rsid w:val="000E7E94"/>
    <w:rsid w:val="00117554"/>
    <w:rsid w:val="001216A0"/>
    <w:rsid w:val="00143638"/>
    <w:rsid w:val="001529B5"/>
    <w:rsid w:val="00170126"/>
    <w:rsid w:val="00196E19"/>
    <w:rsid w:val="00197804"/>
    <w:rsid w:val="001C5279"/>
    <w:rsid w:val="001D1432"/>
    <w:rsid w:val="001F7C64"/>
    <w:rsid w:val="00277B7D"/>
    <w:rsid w:val="002A6ADF"/>
    <w:rsid w:val="002B6B7F"/>
    <w:rsid w:val="00301EC8"/>
    <w:rsid w:val="00320B72"/>
    <w:rsid w:val="00344F47"/>
    <w:rsid w:val="0035332E"/>
    <w:rsid w:val="00365FD1"/>
    <w:rsid w:val="003C5733"/>
    <w:rsid w:val="003D08E1"/>
    <w:rsid w:val="00464CBE"/>
    <w:rsid w:val="00474945"/>
    <w:rsid w:val="004760B1"/>
    <w:rsid w:val="004F51CB"/>
    <w:rsid w:val="0052764C"/>
    <w:rsid w:val="005445A8"/>
    <w:rsid w:val="005516AD"/>
    <w:rsid w:val="00586CE9"/>
    <w:rsid w:val="005D1042"/>
    <w:rsid w:val="005D4C02"/>
    <w:rsid w:val="00600AFC"/>
    <w:rsid w:val="00624BA3"/>
    <w:rsid w:val="00664C19"/>
    <w:rsid w:val="00704938"/>
    <w:rsid w:val="00711C27"/>
    <w:rsid w:val="007303E5"/>
    <w:rsid w:val="00741A3B"/>
    <w:rsid w:val="00773358"/>
    <w:rsid w:val="007E6B3C"/>
    <w:rsid w:val="008259C9"/>
    <w:rsid w:val="008705D3"/>
    <w:rsid w:val="0089700C"/>
    <w:rsid w:val="008B2C04"/>
    <w:rsid w:val="008B460E"/>
    <w:rsid w:val="008E18D7"/>
    <w:rsid w:val="009122B9"/>
    <w:rsid w:val="00940A2F"/>
    <w:rsid w:val="009565BD"/>
    <w:rsid w:val="00964A5D"/>
    <w:rsid w:val="009877B8"/>
    <w:rsid w:val="009A60DE"/>
    <w:rsid w:val="009C124E"/>
    <w:rsid w:val="009E2530"/>
    <w:rsid w:val="00A01E16"/>
    <w:rsid w:val="00A45ACC"/>
    <w:rsid w:val="00A5525B"/>
    <w:rsid w:val="00AB1E0E"/>
    <w:rsid w:val="00AE06F1"/>
    <w:rsid w:val="00AE110F"/>
    <w:rsid w:val="00B5387F"/>
    <w:rsid w:val="00B81999"/>
    <w:rsid w:val="00B87359"/>
    <w:rsid w:val="00B92FDF"/>
    <w:rsid w:val="00B97D04"/>
    <w:rsid w:val="00BC492B"/>
    <w:rsid w:val="00BF7140"/>
    <w:rsid w:val="00C02D9E"/>
    <w:rsid w:val="00C1222F"/>
    <w:rsid w:val="00C33A4F"/>
    <w:rsid w:val="00C34F8D"/>
    <w:rsid w:val="00C57EB4"/>
    <w:rsid w:val="00D03F87"/>
    <w:rsid w:val="00D11A3B"/>
    <w:rsid w:val="00D17C8E"/>
    <w:rsid w:val="00D21541"/>
    <w:rsid w:val="00DB3358"/>
    <w:rsid w:val="00DB364C"/>
    <w:rsid w:val="00DC4E07"/>
    <w:rsid w:val="00E00F26"/>
    <w:rsid w:val="00E034DD"/>
    <w:rsid w:val="00E1263C"/>
    <w:rsid w:val="00E568DE"/>
    <w:rsid w:val="00E80B03"/>
    <w:rsid w:val="00E810CB"/>
    <w:rsid w:val="00ED59BF"/>
    <w:rsid w:val="00F173BB"/>
    <w:rsid w:val="00F50BCD"/>
    <w:rsid w:val="00F83270"/>
    <w:rsid w:val="00F94B1F"/>
    <w:rsid w:val="00FA5319"/>
    <w:rsid w:val="00FD4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28C28"/>
  <w15:chartTrackingRefBased/>
  <w15:docId w15:val="{0F4FF28F-9216-4187-ADE0-2CA238689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D4C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rsid w:val="002A6ADF"/>
    <w:pPr>
      <w:suppressAutoHyphens/>
      <w:autoSpaceDN w:val="0"/>
      <w:spacing w:after="0" w:line="240" w:lineRule="auto"/>
      <w:textAlignment w:val="baseline"/>
    </w:pPr>
    <w:rPr>
      <w:rFonts w:ascii="Calibri" w:eastAsia="Calibri" w:hAnsi="Calibri" w:cs="Arial"/>
    </w:rPr>
  </w:style>
  <w:style w:type="paragraph" w:styleId="ListParagraph">
    <w:name w:val="List Paragraph"/>
    <w:basedOn w:val="Normal"/>
    <w:uiPriority w:val="34"/>
    <w:qFormat/>
    <w:rsid w:val="000037CA"/>
    <w:pPr>
      <w:ind w:left="720"/>
      <w:contextualSpacing/>
    </w:pPr>
  </w:style>
  <w:style w:type="character" w:customStyle="1" w:styleId="Heading2Char">
    <w:name w:val="Heading 2 Char"/>
    <w:basedOn w:val="DefaultParagraphFont"/>
    <w:link w:val="Heading2"/>
    <w:uiPriority w:val="9"/>
    <w:rsid w:val="005D4C0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D4C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72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12</Pages>
  <Words>4654</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Morris</dc:creator>
  <cp:keywords/>
  <dc:description/>
  <cp:lastModifiedBy>Fran Morris</cp:lastModifiedBy>
  <cp:revision>9</cp:revision>
  <dcterms:created xsi:type="dcterms:W3CDTF">2019-05-28T18:09:00Z</dcterms:created>
  <dcterms:modified xsi:type="dcterms:W3CDTF">2019-05-29T16:37:00Z</dcterms:modified>
</cp:coreProperties>
</file>