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47FC" w:rsidRPr="00A7652C" w:rsidRDefault="00752910" w:rsidP="00A311C1">
      <w:pPr>
        <w:spacing w:line="276" w:lineRule="auto"/>
        <w:jc w:val="center"/>
        <w:rPr>
          <w:b/>
          <w:sz w:val="28"/>
          <w:lang w:val="en-GB"/>
        </w:rPr>
      </w:pPr>
      <w:r w:rsidRPr="00A7652C">
        <w:rPr>
          <w:b/>
          <w:sz w:val="28"/>
          <w:lang w:val="en-GB"/>
        </w:rPr>
        <w:t>Destination</w:t>
      </w:r>
      <w:r>
        <w:rPr>
          <w:b/>
          <w:sz w:val="28"/>
          <w:lang w:val="en-GB"/>
        </w:rPr>
        <w:t xml:space="preserve"> Management</w:t>
      </w:r>
      <w:r w:rsidRPr="00A7652C">
        <w:rPr>
          <w:b/>
          <w:sz w:val="28"/>
          <w:lang w:val="en-GB"/>
        </w:rPr>
        <w:t>:</w:t>
      </w:r>
      <w:r w:rsidR="00A311C1">
        <w:rPr>
          <w:b/>
          <w:sz w:val="28"/>
          <w:lang w:val="en-GB"/>
        </w:rPr>
        <w:t xml:space="preserve"> </w:t>
      </w:r>
      <w:r w:rsidR="00A93AA7">
        <w:rPr>
          <w:b/>
          <w:sz w:val="28"/>
          <w:lang w:val="en-GB"/>
        </w:rPr>
        <w:t>Stonehenge</w:t>
      </w:r>
    </w:p>
    <w:p w:rsidR="006A47FC" w:rsidRPr="00A7652C" w:rsidRDefault="006A47FC" w:rsidP="00AB534B">
      <w:pPr>
        <w:spacing w:line="276" w:lineRule="auto"/>
        <w:rPr>
          <w:b/>
          <w:sz w:val="28"/>
          <w:lang w:val="en-GB"/>
        </w:rPr>
      </w:pPr>
    </w:p>
    <w:p w:rsidR="006A47FC" w:rsidRPr="00A7652C" w:rsidRDefault="006A47FC" w:rsidP="006A47FC">
      <w:pPr>
        <w:spacing w:line="276" w:lineRule="auto"/>
        <w:jc w:val="center"/>
        <w:rPr>
          <w:b/>
          <w:sz w:val="28"/>
          <w:lang w:val="en-GB"/>
        </w:rPr>
      </w:pPr>
    </w:p>
    <w:p w:rsidR="006A47FC" w:rsidRPr="00A7652C" w:rsidRDefault="006A47FC" w:rsidP="006A47FC">
      <w:pPr>
        <w:spacing w:line="276" w:lineRule="auto"/>
        <w:jc w:val="center"/>
        <w:rPr>
          <w:b/>
          <w:sz w:val="28"/>
          <w:lang w:val="en-GB"/>
        </w:rPr>
      </w:pPr>
    </w:p>
    <w:p w:rsidR="006A47FC" w:rsidRPr="00A7652C" w:rsidRDefault="006A47FC" w:rsidP="006A47FC">
      <w:pPr>
        <w:spacing w:line="276" w:lineRule="auto"/>
        <w:jc w:val="center"/>
        <w:rPr>
          <w:b/>
          <w:sz w:val="28"/>
          <w:lang w:val="en-GB"/>
        </w:rPr>
      </w:pPr>
    </w:p>
    <w:p w:rsidR="006A47FC" w:rsidRPr="00A7652C" w:rsidRDefault="00752910" w:rsidP="00A93AA7">
      <w:pPr>
        <w:jc w:val="center"/>
        <w:rPr>
          <w:b/>
          <w:lang w:val="en-GB"/>
        </w:rPr>
      </w:pPr>
      <w:r w:rsidRPr="00A7652C">
        <w:rPr>
          <w:b/>
          <w:lang w:val="en-GB"/>
        </w:rPr>
        <w:t>Name:</w:t>
      </w:r>
      <w:r w:rsidR="00AB534B">
        <w:rPr>
          <w:b/>
          <w:lang w:val="en-GB"/>
        </w:rPr>
        <w:t xml:space="preserve"> </w:t>
      </w:r>
      <w:r w:rsidR="00AB534B" w:rsidRPr="00AB534B">
        <w:rPr>
          <w:lang w:val="en-GB"/>
        </w:rPr>
        <w:t xml:space="preserve">Ruksana Miah </w:t>
      </w:r>
    </w:p>
    <w:p w:rsidR="006A47FC" w:rsidRPr="00A7652C" w:rsidRDefault="00752910" w:rsidP="00A93AA7">
      <w:pPr>
        <w:jc w:val="center"/>
        <w:rPr>
          <w:lang w:val="en-GB"/>
        </w:rPr>
      </w:pPr>
      <w:r w:rsidRPr="00A7652C">
        <w:rPr>
          <w:b/>
          <w:lang w:val="en-GB"/>
        </w:rPr>
        <w:t>Module Title:</w:t>
      </w:r>
      <w:r w:rsidRPr="00A7652C">
        <w:rPr>
          <w:lang w:val="en-GB"/>
        </w:rPr>
        <w:t xml:space="preserve"> Sustainable Hospitality and Tourism Management</w:t>
      </w:r>
    </w:p>
    <w:p w:rsidR="006A47FC" w:rsidRPr="00A7652C" w:rsidRDefault="00752910" w:rsidP="00A93AA7">
      <w:pPr>
        <w:jc w:val="center"/>
        <w:rPr>
          <w:lang w:val="en-GB"/>
        </w:rPr>
      </w:pPr>
      <w:r w:rsidRPr="00A7652C">
        <w:rPr>
          <w:b/>
          <w:lang w:val="en-GB"/>
        </w:rPr>
        <w:t>Module Code:</w:t>
      </w:r>
      <w:r w:rsidRPr="00A7652C">
        <w:rPr>
          <w:lang w:val="en-GB"/>
        </w:rPr>
        <w:t xml:space="preserve"> BMIH5006</w:t>
      </w:r>
    </w:p>
    <w:p w:rsidR="006A47FC" w:rsidRPr="00A7652C" w:rsidRDefault="00752910" w:rsidP="00A93AA7">
      <w:pPr>
        <w:jc w:val="center"/>
        <w:rPr>
          <w:b/>
          <w:lang w:val="en-GB"/>
        </w:rPr>
      </w:pPr>
      <w:r w:rsidRPr="00A7652C">
        <w:rPr>
          <w:b/>
          <w:lang w:val="en-GB"/>
        </w:rPr>
        <w:t>Lecturer:</w:t>
      </w:r>
      <w:r w:rsidR="00AB534B">
        <w:rPr>
          <w:b/>
          <w:lang w:val="en-GB"/>
        </w:rPr>
        <w:t xml:space="preserve"> </w:t>
      </w:r>
      <w:r w:rsidR="00AB534B" w:rsidRPr="00AB534B">
        <w:rPr>
          <w:lang w:val="en-GB"/>
        </w:rPr>
        <w:t>Huw Thomas</w:t>
      </w:r>
    </w:p>
    <w:p w:rsidR="00680F3A" w:rsidRDefault="00752910">
      <w:pPr>
        <w:spacing w:line="276" w:lineRule="auto"/>
        <w:jc w:val="left"/>
      </w:pPr>
      <w:r>
        <w:br w:type="page"/>
      </w:r>
      <w:bookmarkStart w:id="0" w:name="_GoBack"/>
      <w:bookmarkEnd w:id="0"/>
    </w:p>
    <w:bookmarkStart w:id="1" w:name="_Toc118738284" w:displacedByCustomXml="next"/>
    <w:sdt>
      <w:sdtPr>
        <w:rPr>
          <w:rFonts w:ascii="Arial" w:eastAsiaTheme="minorEastAsia" w:hAnsi="Arial" w:cstheme="minorBidi"/>
          <w:b w:val="0"/>
          <w:bCs w:val="0"/>
          <w:color w:val="000000" w:themeColor="text1"/>
          <w:sz w:val="24"/>
          <w:szCs w:val="22"/>
        </w:rPr>
        <w:id w:val="19923373"/>
        <w:docPartObj>
          <w:docPartGallery w:val="Table of Contents"/>
          <w:docPartUnique/>
        </w:docPartObj>
      </w:sdtPr>
      <w:sdtEndPr/>
      <w:sdtContent>
        <w:p w:rsidR="006A47FC" w:rsidRPr="006A47FC" w:rsidRDefault="00752910" w:rsidP="00F23AB3">
          <w:pPr>
            <w:pStyle w:val="TOCHeading"/>
            <w:spacing w:before="0" w:after="240"/>
            <w:rPr>
              <w:rFonts w:ascii="Arial" w:hAnsi="Arial" w:cs="Arial"/>
            </w:rPr>
          </w:pPr>
          <w:r w:rsidRPr="006A47FC">
            <w:rPr>
              <w:rFonts w:ascii="Arial" w:hAnsi="Arial" w:cs="Arial"/>
            </w:rPr>
            <w:t>Contents</w:t>
          </w:r>
        </w:p>
        <w:p w:rsidR="006A47FC" w:rsidRDefault="00D858B6" w:rsidP="006A47FC">
          <w:pPr>
            <w:pStyle w:val="TOC1"/>
            <w:tabs>
              <w:tab w:val="right" w:leader="dot" w:pos="9350"/>
            </w:tabs>
            <w:rPr>
              <w:noProof/>
            </w:rPr>
          </w:pPr>
          <w:r>
            <w:fldChar w:fldCharType="begin"/>
          </w:r>
          <w:r w:rsidR="00752910">
            <w:instrText xml:space="preserve"> TOC \o "1-3" \h \z \u </w:instrText>
          </w:r>
          <w:r>
            <w:fldChar w:fldCharType="separate"/>
          </w:r>
          <w:hyperlink w:anchor="_Toc119974383" w:history="1">
            <w:r w:rsidR="00752910" w:rsidRPr="00F969A0">
              <w:rPr>
                <w:rStyle w:val="Hyperlink"/>
                <w:noProof/>
                <w:lang w:val="en-GB"/>
              </w:rPr>
              <w:t>Introduction</w:t>
            </w:r>
            <w:r w:rsidR="00752910">
              <w:rPr>
                <w:noProof/>
                <w:webHidden/>
              </w:rPr>
              <w:tab/>
            </w:r>
            <w:r>
              <w:rPr>
                <w:noProof/>
                <w:webHidden/>
              </w:rPr>
              <w:fldChar w:fldCharType="begin"/>
            </w:r>
            <w:r w:rsidR="00752910">
              <w:rPr>
                <w:noProof/>
                <w:webHidden/>
              </w:rPr>
              <w:instrText xml:space="preserve"> PAGEREF _Toc119974383 \h </w:instrText>
            </w:r>
            <w:r>
              <w:rPr>
                <w:noProof/>
                <w:webHidden/>
              </w:rPr>
            </w:r>
            <w:r>
              <w:rPr>
                <w:noProof/>
                <w:webHidden/>
              </w:rPr>
              <w:fldChar w:fldCharType="separate"/>
            </w:r>
            <w:r w:rsidR="00374FF3">
              <w:rPr>
                <w:noProof/>
                <w:webHidden/>
              </w:rPr>
              <w:t>3</w:t>
            </w:r>
            <w:r>
              <w:rPr>
                <w:noProof/>
                <w:webHidden/>
              </w:rPr>
              <w:fldChar w:fldCharType="end"/>
            </w:r>
          </w:hyperlink>
        </w:p>
        <w:p w:rsidR="006A47FC" w:rsidRDefault="0065502E" w:rsidP="006A47FC">
          <w:pPr>
            <w:pStyle w:val="TOC1"/>
            <w:tabs>
              <w:tab w:val="right" w:leader="dot" w:pos="9350"/>
            </w:tabs>
            <w:rPr>
              <w:noProof/>
            </w:rPr>
          </w:pPr>
          <w:hyperlink w:anchor="_Toc119974384" w:history="1">
            <w:r w:rsidR="00752910" w:rsidRPr="00F969A0">
              <w:rPr>
                <w:rStyle w:val="Hyperlink"/>
                <w:noProof/>
                <w:lang w:val="en-GB"/>
              </w:rPr>
              <w:t>Ensuring the Sustainability of Stonehenge Using Three Pillars</w:t>
            </w:r>
            <w:r w:rsidR="00752910">
              <w:rPr>
                <w:noProof/>
                <w:webHidden/>
              </w:rPr>
              <w:tab/>
            </w:r>
            <w:r w:rsidR="00D858B6">
              <w:rPr>
                <w:noProof/>
                <w:webHidden/>
              </w:rPr>
              <w:fldChar w:fldCharType="begin"/>
            </w:r>
            <w:r w:rsidR="00752910">
              <w:rPr>
                <w:noProof/>
                <w:webHidden/>
              </w:rPr>
              <w:instrText xml:space="preserve"> PAGEREF _Toc119974384 \h </w:instrText>
            </w:r>
            <w:r w:rsidR="00D858B6">
              <w:rPr>
                <w:noProof/>
                <w:webHidden/>
              </w:rPr>
            </w:r>
            <w:r w:rsidR="00D858B6">
              <w:rPr>
                <w:noProof/>
                <w:webHidden/>
              </w:rPr>
              <w:fldChar w:fldCharType="separate"/>
            </w:r>
            <w:r w:rsidR="00374FF3">
              <w:rPr>
                <w:noProof/>
                <w:webHidden/>
              </w:rPr>
              <w:t>4</w:t>
            </w:r>
            <w:r w:rsidR="00D858B6">
              <w:rPr>
                <w:noProof/>
                <w:webHidden/>
              </w:rPr>
              <w:fldChar w:fldCharType="end"/>
            </w:r>
          </w:hyperlink>
        </w:p>
        <w:p w:rsidR="006A47FC" w:rsidRDefault="0065502E" w:rsidP="006A47FC">
          <w:pPr>
            <w:pStyle w:val="TOC1"/>
            <w:tabs>
              <w:tab w:val="right" w:leader="dot" w:pos="9350"/>
            </w:tabs>
            <w:rPr>
              <w:noProof/>
            </w:rPr>
          </w:pPr>
          <w:hyperlink w:anchor="_Toc119974385" w:history="1">
            <w:r w:rsidR="00752910" w:rsidRPr="00F969A0">
              <w:rPr>
                <w:rStyle w:val="Hyperlink"/>
                <w:noProof/>
                <w:lang w:val="en-GB"/>
              </w:rPr>
              <w:t>Life-Cycle Model of Butler in Stonehenge</w:t>
            </w:r>
            <w:r w:rsidR="00752910">
              <w:rPr>
                <w:noProof/>
                <w:webHidden/>
              </w:rPr>
              <w:tab/>
            </w:r>
            <w:r w:rsidR="00D858B6">
              <w:rPr>
                <w:noProof/>
                <w:webHidden/>
              </w:rPr>
              <w:fldChar w:fldCharType="begin"/>
            </w:r>
            <w:r w:rsidR="00752910">
              <w:rPr>
                <w:noProof/>
                <w:webHidden/>
              </w:rPr>
              <w:instrText xml:space="preserve"> PAGEREF _Toc119974385 \h </w:instrText>
            </w:r>
            <w:r w:rsidR="00D858B6">
              <w:rPr>
                <w:noProof/>
                <w:webHidden/>
              </w:rPr>
            </w:r>
            <w:r w:rsidR="00D858B6">
              <w:rPr>
                <w:noProof/>
                <w:webHidden/>
              </w:rPr>
              <w:fldChar w:fldCharType="separate"/>
            </w:r>
            <w:r w:rsidR="00374FF3">
              <w:rPr>
                <w:noProof/>
                <w:webHidden/>
              </w:rPr>
              <w:t>6</w:t>
            </w:r>
            <w:r w:rsidR="00D858B6">
              <w:rPr>
                <w:noProof/>
                <w:webHidden/>
              </w:rPr>
              <w:fldChar w:fldCharType="end"/>
            </w:r>
          </w:hyperlink>
        </w:p>
        <w:p w:rsidR="006A47FC" w:rsidRDefault="0065502E" w:rsidP="006A47FC">
          <w:pPr>
            <w:pStyle w:val="TOC1"/>
            <w:tabs>
              <w:tab w:val="right" w:leader="dot" w:pos="9350"/>
            </w:tabs>
            <w:rPr>
              <w:noProof/>
            </w:rPr>
          </w:pPr>
          <w:hyperlink w:anchor="_Toc119974386" w:history="1">
            <w:r w:rsidR="00752910" w:rsidRPr="00F969A0">
              <w:rPr>
                <w:rStyle w:val="Hyperlink"/>
                <w:noProof/>
                <w:lang w:val="en-GB"/>
              </w:rPr>
              <w:t>Irridex Model of Droxy in Stonehenge</w:t>
            </w:r>
            <w:r w:rsidR="00752910">
              <w:rPr>
                <w:noProof/>
                <w:webHidden/>
              </w:rPr>
              <w:tab/>
            </w:r>
            <w:r w:rsidR="00D858B6">
              <w:rPr>
                <w:noProof/>
                <w:webHidden/>
              </w:rPr>
              <w:fldChar w:fldCharType="begin"/>
            </w:r>
            <w:r w:rsidR="00752910">
              <w:rPr>
                <w:noProof/>
                <w:webHidden/>
              </w:rPr>
              <w:instrText xml:space="preserve"> PAGEREF _Toc119974386 \h </w:instrText>
            </w:r>
            <w:r w:rsidR="00D858B6">
              <w:rPr>
                <w:noProof/>
                <w:webHidden/>
              </w:rPr>
            </w:r>
            <w:r w:rsidR="00D858B6">
              <w:rPr>
                <w:noProof/>
                <w:webHidden/>
              </w:rPr>
              <w:fldChar w:fldCharType="separate"/>
            </w:r>
            <w:r w:rsidR="00374FF3">
              <w:rPr>
                <w:noProof/>
                <w:webHidden/>
              </w:rPr>
              <w:t>8</w:t>
            </w:r>
            <w:r w:rsidR="00D858B6">
              <w:rPr>
                <w:noProof/>
                <w:webHidden/>
              </w:rPr>
              <w:fldChar w:fldCharType="end"/>
            </w:r>
          </w:hyperlink>
        </w:p>
        <w:p w:rsidR="006A47FC" w:rsidRDefault="0065502E" w:rsidP="006A47FC">
          <w:pPr>
            <w:pStyle w:val="TOC1"/>
            <w:tabs>
              <w:tab w:val="right" w:leader="dot" w:pos="9350"/>
            </w:tabs>
            <w:rPr>
              <w:noProof/>
            </w:rPr>
          </w:pPr>
          <w:hyperlink w:anchor="_Toc119974387" w:history="1">
            <w:r w:rsidR="00752910" w:rsidRPr="00F969A0">
              <w:rPr>
                <w:rStyle w:val="Hyperlink"/>
                <w:noProof/>
                <w:lang w:val="en-GB"/>
              </w:rPr>
              <w:t>Recommendation, and Conclusion</w:t>
            </w:r>
            <w:r w:rsidR="00752910">
              <w:rPr>
                <w:noProof/>
                <w:webHidden/>
              </w:rPr>
              <w:tab/>
            </w:r>
            <w:r w:rsidR="00D858B6">
              <w:rPr>
                <w:noProof/>
                <w:webHidden/>
              </w:rPr>
              <w:fldChar w:fldCharType="begin"/>
            </w:r>
            <w:r w:rsidR="00752910">
              <w:rPr>
                <w:noProof/>
                <w:webHidden/>
              </w:rPr>
              <w:instrText xml:space="preserve"> PAGEREF _Toc119974387 \h </w:instrText>
            </w:r>
            <w:r w:rsidR="00D858B6">
              <w:rPr>
                <w:noProof/>
                <w:webHidden/>
              </w:rPr>
            </w:r>
            <w:r w:rsidR="00D858B6">
              <w:rPr>
                <w:noProof/>
                <w:webHidden/>
              </w:rPr>
              <w:fldChar w:fldCharType="separate"/>
            </w:r>
            <w:r w:rsidR="00374FF3">
              <w:rPr>
                <w:noProof/>
                <w:webHidden/>
              </w:rPr>
              <w:t>10</w:t>
            </w:r>
            <w:r w:rsidR="00D858B6">
              <w:rPr>
                <w:noProof/>
                <w:webHidden/>
              </w:rPr>
              <w:fldChar w:fldCharType="end"/>
            </w:r>
          </w:hyperlink>
        </w:p>
        <w:p w:rsidR="006A47FC" w:rsidRDefault="0065502E" w:rsidP="006A47FC">
          <w:pPr>
            <w:pStyle w:val="TOC1"/>
            <w:tabs>
              <w:tab w:val="right" w:leader="dot" w:pos="9350"/>
            </w:tabs>
            <w:rPr>
              <w:noProof/>
            </w:rPr>
          </w:pPr>
          <w:hyperlink w:anchor="_Toc119974388" w:history="1">
            <w:r w:rsidR="00752910" w:rsidRPr="00F969A0">
              <w:rPr>
                <w:rStyle w:val="Hyperlink"/>
                <w:noProof/>
                <w:lang w:val="en-GB"/>
              </w:rPr>
              <w:t>References</w:t>
            </w:r>
            <w:r w:rsidR="00752910">
              <w:rPr>
                <w:noProof/>
                <w:webHidden/>
              </w:rPr>
              <w:tab/>
            </w:r>
            <w:r w:rsidR="00D858B6">
              <w:rPr>
                <w:noProof/>
                <w:webHidden/>
              </w:rPr>
              <w:fldChar w:fldCharType="begin"/>
            </w:r>
            <w:r w:rsidR="00752910">
              <w:rPr>
                <w:noProof/>
                <w:webHidden/>
              </w:rPr>
              <w:instrText xml:space="preserve"> PAGEREF _Toc119974388 \h </w:instrText>
            </w:r>
            <w:r w:rsidR="00D858B6">
              <w:rPr>
                <w:noProof/>
                <w:webHidden/>
              </w:rPr>
            </w:r>
            <w:r w:rsidR="00D858B6">
              <w:rPr>
                <w:noProof/>
                <w:webHidden/>
              </w:rPr>
              <w:fldChar w:fldCharType="separate"/>
            </w:r>
            <w:r w:rsidR="00374FF3">
              <w:rPr>
                <w:noProof/>
                <w:webHidden/>
              </w:rPr>
              <w:t>11</w:t>
            </w:r>
            <w:r w:rsidR="00D858B6">
              <w:rPr>
                <w:noProof/>
                <w:webHidden/>
              </w:rPr>
              <w:fldChar w:fldCharType="end"/>
            </w:r>
          </w:hyperlink>
        </w:p>
        <w:p w:rsidR="006A47FC" w:rsidRDefault="00D858B6" w:rsidP="006A47FC">
          <w:pPr>
            <w:spacing w:after="100"/>
          </w:pPr>
          <w:r>
            <w:fldChar w:fldCharType="end"/>
          </w:r>
        </w:p>
      </w:sdtContent>
    </w:sdt>
    <w:p w:rsidR="006A47FC" w:rsidRDefault="00752910" w:rsidP="006A47FC">
      <w:pPr>
        <w:spacing w:after="100" w:line="276" w:lineRule="auto"/>
        <w:jc w:val="left"/>
        <w:rPr>
          <w:rFonts w:eastAsiaTheme="majorEastAsia" w:cstheme="majorBidi"/>
          <w:b/>
          <w:bCs/>
          <w:color w:val="365F91" w:themeColor="accent1" w:themeShade="BF"/>
          <w:sz w:val="28"/>
          <w:szCs w:val="28"/>
          <w:lang w:val="en-GB"/>
        </w:rPr>
      </w:pPr>
      <w:r>
        <w:rPr>
          <w:lang w:val="en-GB"/>
        </w:rPr>
        <w:br w:type="page"/>
      </w:r>
    </w:p>
    <w:p w:rsidR="007565EC" w:rsidRPr="00195455" w:rsidRDefault="00752910" w:rsidP="007565EC">
      <w:pPr>
        <w:pStyle w:val="Heading1"/>
        <w:spacing w:before="0"/>
        <w:rPr>
          <w:lang w:val="en-GB"/>
        </w:rPr>
      </w:pPr>
      <w:bookmarkStart w:id="2" w:name="_Toc119974383"/>
      <w:r>
        <w:rPr>
          <w:lang w:val="en-GB"/>
        </w:rPr>
        <w:lastRenderedPageBreak/>
        <w:t>Introduction</w:t>
      </w:r>
      <w:bookmarkEnd w:id="2"/>
    </w:p>
    <w:p w:rsidR="007565EC" w:rsidRDefault="00752910" w:rsidP="001D414A">
      <w:pPr>
        <w:rPr>
          <w:rFonts w:eastAsiaTheme="majorEastAsia" w:cstheme="majorBidi"/>
          <w:b/>
          <w:bCs/>
          <w:color w:val="365F91" w:themeColor="accent1" w:themeShade="BF"/>
          <w:sz w:val="28"/>
          <w:szCs w:val="28"/>
          <w:lang w:val="en-GB"/>
        </w:rPr>
      </w:pPr>
      <w:r>
        <w:t xml:space="preserve">The sustainability of tourist spots is an important aspect for keeping the life of people comfortable when the people feel busy with their monotonous life, and </w:t>
      </w:r>
      <w:r w:rsidR="00F218BB">
        <w:t xml:space="preserve">Stonehenge is also featured with a similar thing. </w:t>
      </w:r>
      <w:r w:rsidR="00C8528E" w:rsidRPr="00C8528E">
        <w:t>In this report, Stonehenge is used to analyze sustainable development, and Wiltshire, where Stonehenge is located, is two miles (almost 3,000 meters) from Amesbury's west side, and Wiltshire is in the United Kingdom. One of the oldest cultural landmarks in the world, Stonehenge has been a destination for pilgrimage for more than 4,500 years, and the attractive stones serve as a reminder of the distinction between the popular location's previous status as a place of worship for the general public and its current status as a tourist attraction, which gives the British people reason to be proud.</w:t>
      </w:r>
      <w:r>
        <w:rPr>
          <w:lang w:val="en-GB"/>
        </w:rPr>
        <w:br w:type="page"/>
      </w:r>
    </w:p>
    <w:p w:rsidR="00C85C1B" w:rsidRPr="00195455" w:rsidRDefault="00752910" w:rsidP="00195455">
      <w:pPr>
        <w:pStyle w:val="Heading1"/>
        <w:spacing w:before="0"/>
        <w:rPr>
          <w:lang w:val="en-GB"/>
        </w:rPr>
      </w:pPr>
      <w:bookmarkStart w:id="3" w:name="_Toc119974384"/>
      <w:r>
        <w:rPr>
          <w:lang w:val="en-GB"/>
        </w:rPr>
        <w:lastRenderedPageBreak/>
        <w:t xml:space="preserve">Ensuring the </w:t>
      </w:r>
      <w:r w:rsidRPr="00A7652C">
        <w:rPr>
          <w:lang w:val="en-GB"/>
        </w:rPr>
        <w:t>Sustain</w:t>
      </w:r>
      <w:r>
        <w:rPr>
          <w:lang w:val="en-GB"/>
        </w:rPr>
        <w:t>ability of Stonehenge</w:t>
      </w:r>
      <w:r w:rsidRPr="00A7652C">
        <w:rPr>
          <w:lang w:val="en-GB"/>
        </w:rPr>
        <w:t xml:space="preserve"> Using Three Pillars</w:t>
      </w:r>
      <w:bookmarkEnd w:id="1"/>
      <w:bookmarkEnd w:id="3"/>
    </w:p>
    <w:p w:rsidR="00340404" w:rsidRDefault="00752910">
      <w:r w:rsidRPr="00195455">
        <w:t>Entertainment is a key part of making life comfortable, and in doing this, different types of methods are popular which include visiting different types of tourist spots, playing sports, enjoying entertaining programs on TV channels, different types of social sites, etc. In ensuring comfort for the tourists in different types of tourist spots, ensuring the sustainability of the respective tourist spot is an important issue, and sustainable development means the way of development that aims in ensuring the present needs of the respective people which is done without considering the capacity of future generation (Carley, and Christie, 2017). In this report, Stonehenge is used for the analyses of sustainability development, and it is situated in Wiltshire which is situated two miles (almost 3,000 meters) away from the west side of Amesbury, and Wiltshire is situated in the United Kingdom. Stonehenge is one of the oldest heritage sites in the world, and this place has been used for pilgrimage for more than four thousand, and five hundred years. In past, the popular place was considered a place of worship for the general people, and at present, the popular place is considered a place of enjoyment for tourists, and the beautiful stones indicate the presence of this fact which is a matter of pride for the people of the United Kingdom. To analyze the sustainability of the popular spot, sustainability development is explained under three pillars where the first pillar is the sustainability of the economy, the second pillar is the sustainability of the environment, and the third pillar is the sustainability of society (Sachs, 2015).</w:t>
      </w:r>
    </w:p>
    <w:p w:rsidR="006E7E49" w:rsidRDefault="00752910">
      <w:r w:rsidRPr="006E7E49">
        <w:t>For ensuring the sustainability of the economy of Stonehenge, different types of steps were taken, and one of the most common steps was undertaking consistent construction and development. This popular area is a very old place, and it is still a wonder for the people how the stones of the place remain stable for a lot of time. A DNA study has been conducted on the sample of the stone of Stonehenge which is a lovely method to find out the hidden, and non-hidden characteristics of these stones which help to find ways to keep the place beautiful consistently in the future (Pedersen, 2015). This method is not only helpful in keeping the tourists of Stonehenge happy but also keeping the financial sustainability of the place by providing consistent beauty for visitors.</w:t>
      </w:r>
    </w:p>
    <w:p w:rsidR="00377A83" w:rsidRDefault="00752910">
      <w:r>
        <w:lastRenderedPageBreak/>
        <w:t xml:space="preserve">For </w:t>
      </w:r>
      <w:r w:rsidR="00946445" w:rsidRPr="00946445">
        <w:t>ensuring the sustainability of the environment of Stonehenge, different types of steps are taken, and these steps are also strictly followed. In the area, different types of restrictions are imposed for ensuring the safety of the environment of the tourist spot, and to implement these restrictions, the authority is always alert (Gill, 2017). The instructions are imposed based on the demand of different seasons, and this helps to keep the environment clean. The hotels and coffee shops in this spot are tightly maintained to keep the environment clean, and the garbage cannot be disposed of anywhere, and it has happened for the specification of putting garbage in specific and assigned places (Davis, 2015). The tourist guides of this spot are trained strictly to keep the environment clean, and safe and, they are also instructed to monitor the activities of the tourists who visit this spot, and this fact also inspires the native, and non-native tourists to follow the rules properly when they visit in the spot.</w:t>
      </w:r>
    </w:p>
    <w:p w:rsidR="00F6280B" w:rsidRDefault="00752910" w:rsidP="00F60021">
      <w:r w:rsidRPr="00F60FFE">
        <w:t>For ensuring the sustainability of society of Stonehenge, different types of attempts taken to ensure the sustainability of the culture of the spots, and for this reason, the culture of the spot has been sustained successfully for more than four thousand, and five hundred years</w:t>
      </w:r>
      <w:r w:rsidR="001C6F45">
        <w:t xml:space="preserve"> (Hall et al., 2015)</w:t>
      </w:r>
      <w:r w:rsidRPr="00F60FFE">
        <w:t>. The history of this spot from eight thousand BC has been stored up to the present day, which is a lovely sign of storing culture for ensuring the welfare of the society. This popular spot has a huge demand among tourists for a unique culture that is a part of the pleasure for the people of the United Kingdom, and by keeping the culture safe, and sustainable, the benefit of the society has been ensured</w:t>
      </w:r>
      <w:r w:rsidR="00FA3798">
        <w:t xml:space="preserve"> (Winter et al., 2019)</w:t>
      </w:r>
      <w:r w:rsidRPr="00F60FFE">
        <w:t xml:space="preserve">. Different types of historic events which includes building “Blick Mead” camp from around two, and half kilometers away from the Stonehenge which was done around four thousand BC, using ditch, and the chalk-digging around three thousand, and one hundred BC, finding earliest known structure of sample of pieces of stones around five hundred years ago, luminescence soil dating from filled-in-sockets around three thousand, and three hundred BC, building second Stonehenge around two thousand, and nine hundred BC, building third Stonehenge one around two thousand, and six hundred BC which was an archaeological excavation, building third Stonehenge two around two thousand, and five hundred BC, building third Stonehenge three around two thousand, and three hundred BC, building third Stonehenge four around two thousand, and one hundred BC, building third Stonehenge </w:t>
      </w:r>
      <w:r w:rsidRPr="00F60FFE">
        <w:lastRenderedPageBreak/>
        <w:t xml:space="preserve">five around one thousand, and seven hundred BC, etc. are stored which bears testimony of glorious, and cultural history of Stonehenge. Different types of people lived past in Stonehenge, and these people include Aegean farmers around four thousand BC, different types of hunter-gatherers around eleven thousand, and seven hundred years ago, Bell Beaker people around two thousand and five hundred BC who came from ancient Europe, etc. </w:t>
      </w:r>
    </w:p>
    <w:p w:rsidR="00377A83" w:rsidRDefault="00752910" w:rsidP="00F60021">
      <w:r w:rsidRPr="00F60FFE">
        <w:t>Different types of historic events are also present during the twentieth century, and these include the restoration of the monument by William Gowland in the year 1901, the excavation of the main six stones in the year 1920 by William Howley, the re-excavation of work of William Howley in years 1940, and 1950, building Sersen Circle in the year 1963, modernizing using car parks in the year 1966, and 1967, excavating Stonehenge Archer in the year 1978, implementing policies for rescuing archaeology for Heel Stone in the year 1979, modernizing surrounding landscape in the year 1980, rephrasing the infrastructure in the year 1995, etc. All of these historic events not only bear testimony of maintaining the culture but also bear the sign of maintaining the welfare of the society, and it is also possible to ensure more development of the site in the future which is beneficial for the economy, society, and environment of the United Kingdom</w:t>
      </w:r>
      <w:r w:rsidR="00FA3798">
        <w:t xml:space="preserve"> (Sharpley, 2020)</w:t>
      </w:r>
      <w:r w:rsidRPr="00F60FFE">
        <w:t>. Different kinds of restrictions are imposed in the region to ensure the security of the tourist destination's environment, and the authority is constantly on the lookout to implement these restrictions, for this reason, it is possible not only to ensure the pleasure for the people of the United Kingdom but also to sustain the culture of the popular monument.</w:t>
      </w:r>
    </w:p>
    <w:p w:rsidR="009F7873" w:rsidRPr="00A7652C" w:rsidRDefault="00752910" w:rsidP="009F7873">
      <w:pPr>
        <w:pStyle w:val="Heading1"/>
        <w:spacing w:before="0"/>
        <w:rPr>
          <w:lang w:val="en-GB"/>
        </w:rPr>
      </w:pPr>
      <w:bookmarkStart w:id="4" w:name="_Toc118738285"/>
      <w:bookmarkStart w:id="5" w:name="_Toc119974385"/>
      <w:r w:rsidRPr="00A7652C">
        <w:rPr>
          <w:lang w:val="en-GB"/>
        </w:rPr>
        <w:t>Life-Cycle Model of Butler</w:t>
      </w:r>
      <w:bookmarkEnd w:id="4"/>
      <w:r>
        <w:rPr>
          <w:lang w:val="en-GB"/>
        </w:rPr>
        <w:t xml:space="preserve"> in Stonehenge</w:t>
      </w:r>
      <w:bookmarkEnd w:id="5"/>
    </w:p>
    <w:p w:rsidR="009F7873" w:rsidRDefault="00752910" w:rsidP="00F60021">
      <w:r>
        <w:t>The life cycle model of Butler was developed in the year 1980, and this model includes six different stages which are the exploration stage, involvement stage, development stage, consolidation stage, stagnation stage, decline stage (or, it can be replaced with rejuvenation stage)</w:t>
      </w:r>
      <w:r w:rsidR="00645880">
        <w:t xml:space="preserve"> (Butler, 2019)</w:t>
      </w:r>
      <w:r>
        <w:t>.</w:t>
      </w:r>
      <w:r w:rsidR="00425BFF">
        <w:t xml:space="preserve"> </w:t>
      </w:r>
      <w:r w:rsidR="007F7FD9">
        <w:t>This model is developed for identifying the stage of the model of the respective tour</w:t>
      </w:r>
      <w:r w:rsidR="00593192">
        <w:t>ist spot of the spot of hospitality, and Stonehenge can also be used for application here.</w:t>
      </w:r>
    </w:p>
    <w:p w:rsidR="0038126C" w:rsidRDefault="00752910" w:rsidP="00F60021">
      <w:r w:rsidRPr="00D4686A">
        <w:rPr>
          <w:noProof/>
          <w:lang w:val="en-GB" w:eastAsia="en-GB"/>
        </w:rPr>
        <w:lastRenderedPageBreak/>
        <w:drawing>
          <wp:inline distT="0" distB="0" distL="0" distR="0">
            <wp:extent cx="5871377" cy="3528617"/>
            <wp:effectExtent l="57150" t="19050" r="110323" b="7183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jpg"/>
                    <pic:cNvPicPr/>
                  </pic:nvPicPr>
                  <pic:blipFill>
                    <a:blip r:embed="rId7">
                      <a:duotone>
                        <a:prstClr val="black"/>
                        <a:schemeClr val="accent3">
                          <a:tint val="45000"/>
                          <a:satMod val="400000"/>
                        </a:schemeClr>
                      </a:duotone>
                      <a:extLst>
                        <a:ext uri="{28A0092B-C50C-407E-A947-70E740481C1C}">
                          <a14:useLocalDpi xmlns:a14="http://schemas.microsoft.com/office/drawing/2010/main" val="0"/>
                        </a:ext>
                      </a:extLst>
                    </a:blip>
                    <a:srcRect l="1592" t="2465" r="39490" b="3521"/>
                    <a:stretch>
                      <a:fillRect/>
                    </a:stretch>
                  </pic:blipFill>
                  <pic:spPr>
                    <a:xfrm>
                      <a:off x="0" y="0"/>
                      <a:ext cx="5909195" cy="3551345"/>
                    </a:xfrm>
                    <a:prstGeom prst="rect">
                      <a:avLst/>
                    </a:prstGeom>
                    <a:ln w="3175" cap="sq">
                      <a:solidFill>
                        <a:schemeClr val="accent3"/>
                      </a:solidFill>
                      <a:prstDash val="solid"/>
                      <a:miter lim="800000"/>
                    </a:ln>
                    <a:effectLst>
                      <a:outerShdw blurRad="50800" dist="38100" dir="2700000" algn="tl" rotWithShape="0">
                        <a:srgbClr val="000000">
                          <a:alpha val="43000"/>
                        </a:srgbClr>
                      </a:outerShdw>
                    </a:effectLst>
                  </pic:spPr>
                </pic:pic>
              </a:graphicData>
            </a:graphic>
          </wp:inline>
        </w:drawing>
      </w:r>
    </w:p>
    <w:p w:rsidR="00EF07FA" w:rsidRPr="00A7652C" w:rsidRDefault="00752910" w:rsidP="00EF07FA">
      <w:pPr>
        <w:jc w:val="center"/>
        <w:rPr>
          <w:rFonts w:cs="Arial"/>
          <w:szCs w:val="24"/>
          <w:lang w:val="en-GB"/>
        </w:rPr>
      </w:pPr>
      <w:bookmarkStart w:id="6" w:name="_Toc118738286"/>
      <w:r w:rsidRPr="00A7652C">
        <w:rPr>
          <w:rFonts w:cs="Arial"/>
          <w:szCs w:val="24"/>
          <w:lang w:val="en-GB"/>
        </w:rPr>
        <w:t>Figure 01: The Life-Cycle Model of Butler</w:t>
      </w:r>
      <w:r>
        <w:rPr>
          <w:rFonts w:cs="Arial"/>
          <w:szCs w:val="24"/>
          <w:lang w:val="en-GB"/>
        </w:rPr>
        <w:t xml:space="preserve"> in Stonehenge</w:t>
      </w:r>
    </w:p>
    <w:p w:rsidR="00EF07FA" w:rsidRPr="00A7652C" w:rsidRDefault="00752910" w:rsidP="00EF07FA">
      <w:pPr>
        <w:jc w:val="center"/>
        <w:rPr>
          <w:lang w:val="en-GB"/>
        </w:rPr>
      </w:pPr>
      <w:r w:rsidRPr="00A7652C">
        <w:rPr>
          <w:lang w:val="en-GB"/>
        </w:rPr>
        <w:t>Source: (Piuchan, 2018)</w:t>
      </w:r>
    </w:p>
    <w:p w:rsidR="00D4686A" w:rsidRDefault="00752910" w:rsidP="00D4686A">
      <w:pPr>
        <w:rPr>
          <w:lang w:val="en-GB"/>
        </w:rPr>
      </w:pPr>
      <w:r>
        <w:rPr>
          <w:lang w:val="en-GB"/>
        </w:rPr>
        <w:t>The exploration stage</w:t>
      </w:r>
      <w:r w:rsidR="007F17A5">
        <w:rPr>
          <w:lang w:val="en-GB"/>
        </w:rPr>
        <w:t xml:space="preserve"> is the stage of the life-cycl</w:t>
      </w:r>
      <w:r w:rsidR="002F6B96">
        <w:rPr>
          <w:lang w:val="en-GB"/>
        </w:rPr>
        <w:t xml:space="preserve">e model where people want to enjoy the tourist spot </w:t>
      </w:r>
      <w:r w:rsidR="00DF2C87">
        <w:rPr>
          <w:lang w:val="en-GB"/>
        </w:rPr>
        <w:t>for getting the feel of something new, and this can</w:t>
      </w:r>
      <w:r w:rsidR="00AE1173">
        <w:rPr>
          <w:lang w:val="en-GB"/>
        </w:rPr>
        <w:t xml:space="preserve"> be identified as an adventure, and h</w:t>
      </w:r>
      <w:r w:rsidR="00537CB7">
        <w:rPr>
          <w:lang w:val="en-GB"/>
        </w:rPr>
        <w:t>ere, Stonehenge has passed the stage around four thousand years ago.</w:t>
      </w:r>
      <w:r>
        <w:rPr>
          <w:lang w:val="en-GB"/>
        </w:rPr>
        <w:t xml:space="preserve"> The involvement stage </w:t>
      </w:r>
      <w:r w:rsidR="00537CB7">
        <w:rPr>
          <w:lang w:val="en-GB"/>
        </w:rPr>
        <w:t xml:space="preserve">is the stage of the life-cycle model when some tourists want to </w:t>
      </w:r>
      <w:r w:rsidR="007A20AE">
        <w:rPr>
          <w:lang w:val="en-GB"/>
        </w:rPr>
        <w:t xml:space="preserve">visit the tourist spot, and the </w:t>
      </w:r>
      <w:r w:rsidR="0051350E">
        <w:rPr>
          <w:lang w:val="en-GB"/>
        </w:rPr>
        <w:t>authority of the tourist spot t</w:t>
      </w:r>
      <w:r w:rsidR="007A20AE">
        <w:rPr>
          <w:lang w:val="en-GB"/>
        </w:rPr>
        <w:t>ries to boost the number o</w:t>
      </w:r>
      <w:r w:rsidR="00AE1173">
        <w:rPr>
          <w:lang w:val="en-GB"/>
        </w:rPr>
        <w:t xml:space="preserve">f visitors as much as possible, and </w:t>
      </w:r>
      <w:r w:rsidR="009A62BC">
        <w:rPr>
          <w:lang w:val="en-GB"/>
        </w:rPr>
        <w:t xml:space="preserve">Stonehenge </w:t>
      </w:r>
      <w:r w:rsidR="00B519B3">
        <w:rPr>
          <w:lang w:val="en-GB"/>
        </w:rPr>
        <w:t xml:space="preserve">has also passed the stage, and this happened in the last century. </w:t>
      </w:r>
      <w:r>
        <w:rPr>
          <w:lang w:val="en-GB"/>
        </w:rPr>
        <w:t>The development stage</w:t>
      </w:r>
      <w:r w:rsidR="00B519B3">
        <w:rPr>
          <w:lang w:val="en-GB"/>
        </w:rPr>
        <w:t xml:space="preserve"> is the stage when the n</w:t>
      </w:r>
      <w:r w:rsidR="001C1A5E">
        <w:rPr>
          <w:lang w:val="en-GB"/>
        </w:rPr>
        <w:t>umber of tourists becomes high in number, and diffe</w:t>
      </w:r>
      <w:r w:rsidR="00077C86">
        <w:rPr>
          <w:lang w:val="en-GB"/>
        </w:rPr>
        <w:t>rent types of donors like companies</w:t>
      </w:r>
      <w:r w:rsidR="001C1A5E">
        <w:rPr>
          <w:lang w:val="en-GB"/>
        </w:rPr>
        <w:t xml:space="preserve"> (to conduct the corporate social responsibilities</w:t>
      </w:r>
      <w:r w:rsidR="00077C86">
        <w:rPr>
          <w:lang w:val="en-GB"/>
        </w:rPr>
        <w:t xml:space="preserve">), grants from solvent people, financial support from politicians, </w:t>
      </w:r>
      <w:r w:rsidR="00E771A2">
        <w:rPr>
          <w:lang w:val="en-GB"/>
        </w:rPr>
        <w:t xml:space="preserve">security services from powerful bodies, etc. are highly available for ensuring the beauty of the respective spot, At present, Stonehenge </w:t>
      </w:r>
      <w:r w:rsidR="00CF3A5F">
        <w:rPr>
          <w:lang w:val="en-GB"/>
        </w:rPr>
        <w:t xml:space="preserve">is </w:t>
      </w:r>
      <w:r w:rsidR="00C97B1B">
        <w:rPr>
          <w:lang w:val="en-GB"/>
        </w:rPr>
        <w:t>staying at this stage, and different types of stakeholders of this tourist spot want to provide financing for the beautification of this popular spot.</w:t>
      </w:r>
      <w:r>
        <w:rPr>
          <w:lang w:val="en-GB"/>
        </w:rPr>
        <w:t xml:space="preserve"> The consolidation stage </w:t>
      </w:r>
      <w:r w:rsidR="009B290C">
        <w:rPr>
          <w:lang w:val="en-GB"/>
        </w:rPr>
        <w:t>is the stage of the life-cycl</w:t>
      </w:r>
      <w:r w:rsidR="002D6011">
        <w:rPr>
          <w:lang w:val="en-GB"/>
        </w:rPr>
        <w:t>e model</w:t>
      </w:r>
      <w:r w:rsidR="009B290C">
        <w:rPr>
          <w:lang w:val="en-GB"/>
        </w:rPr>
        <w:t xml:space="preserve"> where </w:t>
      </w:r>
      <w:r w:rsidR="004C2E59">
        <w:rPr>
          <w:lang w:val="en-GB"/>
        </w:rPr>
        <w:t xml:space="preserve">the number of tourists is high, but there can be the existence of </w:t>
      </w:r>
      <w:r w:rsidR="004C2E59">
        <w:rPr>
          <w:lang w:val="en-GB"/>
        </w:rPr>
        <w:lastRenderedPageBreak/>
        <w:t>internal conflict among stakeholders, and Stonehenge is far away from the stage</w:t>
      </w:r>
      <w:r w:rsidR="003B778D">
        <w:rPr>
          <w:lang w:val="en-GB"/>
        </w:rPr>
        <w:t xml:space="preserve"> for the absence of internal conflict among stakeholders, and the existence of the scope of increasing visitors</w:t>
      </w:r>
      <w:r w:rsidR="00140797">
        <w:rPr>
          <w:lang w:val="en-GB"/>
        </w:rPr>
        <w:t xml:space="preserve"> (Tang et al., 2017)</w:t>
      </w:r>
      <w:r w:rsidR="004C2E59">
        <w:rPr>
          <w:lang w:val="en-GB"/>
        </w:rPr>
        <w:t xml:space="preserve">. </w:t>
      </w:r>
      <w:r w:rsidR="008A087F">
        <w:rPr>
          <w:lang w:val="en-GB"/>
        </w:rPr>
        <w:t xml:space="preserve">The stagnation stage is the stage of the life-cycle model where </w:t>
      </w:r>
      <w:r w:rsidR="00D90470">
        <w:rPr>
          <w:lang w:val="en-GB"/>
        </w:rPr>
        <w:t xml:space="preserve">the number of visitors starts to decrease, and this is or, has not happened in Stonehenge at present, and in past. </w:t>
      </w:r>
      <w:r>
        <w:rPr>
          <w:lang w:val="en-GB"/>
        </w:rPr>
        <w:t xml:space="preserve">The rejuvenation stage </w:t>
      </w:r>
      <w:r w:rsidR="009B290C">
        <w:rPr>
          <w:lang w:val="en-GB"/>
        </w:rPr>
        <w:t>is the stage of the life-cycle model where</w:t>
      </w:r>
      <w:r w:rsidR="007E1E5B">
        <w:rPr>
          <w:lang w:val="en-GB"/>
        </w:rPr>
        <w:t xml:space="preserve"> the demand for the respective s</w:t>
      </w:r>
      <w:r w:rsidR="0089267C">
        <w:rPr>
          <w:lang w:val="en-GB"/>
        </w:rPr>
        <w:t>pot for the visitors is almost z</w:t>
      </w:r>
      <w:r w:rsidR="007E1E5B">
        <w:rPr>
          <w:lang w:val="en-GB"/>
        </w:rPr>
        <w:t xml:space="preserve">ero, but the problem can be solved through taking some innovative ways, and the authority of Stonehenge has </w:t>
      </w:r>
      <w:r w:rsidR="0095789E">
        <w:rPr>
          <w:lang w:val="en-GB"/>
        </w:rPr>
        <w:t>a plan which will be implemented</w:t>
      </w:r>
      <w:r w:rsidR="00CC61B4">
        <w:rPr>
          <w:lang w:val="en-GB"/>
        </w:rPr>
        <w:t xml:space="preserve"> if this type of issue </w:t>
      </w:r>
      <w:r w:rsidR="0095789E">
        <w:rPr>
          <w:lang w:val="en-GB"/>
        </w:rPr>
        <w:t>occurs in the future</w:t>
      </w:r>
      <w:r w:rsidR="00514909">
        <w:rPr>
          <w:lang w:val="en-GB"/>
        </w:rPr>
        <w:t xml:space="preserve"> (Singh, 2021)</w:t>
      </w:r>
      <w:r w:rsidR="0095789E">
        <w:rPr>
          <w:lang w:val="en-GB"/>
        </w:rPr>
        <w:t xml:space="preserve">. </w:t>
      </w:r>
      <w:r>
        <w:rPr>
          <w:lang w:val="en-GB"/>
        </w:rPr>
        <w:t>The decline stage</w:t>
      </w:r>
      <w:r w:rsidR="009B290C">
        <w:rPr>
          <w:lang w:val="en-GB"/>
        </w:rPr>
        <w:t xml:space="preserve"> is the stage of the life-cycle model where</w:t>
      </w:r>
      <w:r w:rsidR="0095789E">
        <w:rPr>
          <w:lang w:val="en-GB"/>
        </w:rPr>
        <w:t xml:space="preserve"> the demand for the respective spot for the visitors is almost zero</w:t>
      </w:r>
      <w:r w:rsidR="00FC3ED1">
        <w:rPr>
          <w:lang w:val="en-GB"/>
        </w:rPr>
        <w:t>, and there is no chance of development of the spot in the future, and present.</w:t>
      </w:r>
    </w:p>
    <w:p w:rsidR="00907F4A" w:rsidRPr="00A7652C" w:rsidRDefault="00752910" w:rsidP="00907F4A">
      <w:pPr>
        <w:pStyle w:val="Heading1"/>
        <w:spacing w:before="0"/>
        <w:rPr>
          <w:lang w:val="en-GB"/>
        </w:rPr>
      </w:pPr>
      <w:bookmarkStart w:id="7" w:name="_Toc119974386"/>
      <w:r w:rsidRPr="00A7652C">
        <w:rPr>
          <w:lang w:val="en-GB"/>
        </w:rPr>
        <w:t>Irridex Model of Droxy</w:t>
      </w:r>
      <w:bookmarkEnd w:id="6"/>
      <w:r>
        <w:rPr>
          <w:lang w:val="en-GB"/>
        </w:rPr>
        <w:t xml:space="preserve"> in Stonehenge</w:t>
      </w:r>
      <w:bookmarkEnd w:id="7"/>
    </w:p>
    <w:p w:rsidR="009F7873" w:rsidRDefault="00752910" w:rsidP="00F60021">
      <w:r>
        <w:t xml:space="preserve">To find the intention </w:t>
      </w:r>
      <w:r w:rsidR="005232B8" w:rsidRPr="005232B8">
        <w:t>of consumers about the respective tourist spot, Irridex Droxy Model is a lovely application to implement, it is the method of finding the demand of the respective tourist spot among the local tourists which helps to find out the positive impression, or negative impression about the respective tourist spot (Devkota et al., 2022). Stonehenge is not only popular with local tourists but also popular with foreign tourists, and this place seems to be full of a lot of people. During the year 2020, the number of tourists in Stonehenge was reduced due to the restrictions of lockdowns, and restrictions in traveling from one place to another in the United Kingdom, and before the year 2020, and in the year 2021, the number of visitors in Stonehenge seems to be growing heavily (Pearson et al., 2020). Stonehenge seems to be belonging to the euphoria stage based on the available information, and the feeling of visitors is highly positive.</w:t>
      </w:r>
      <w:r w:rsidR="006D1EED">
        <w:t xml:space="preserve"> </w:t>
      </w:r>
    </w:p>
    <w:p w:rsidR="00BC2388" w:rsidRDefault="00752910" w:rsidP="00F60021">
      <w:r>
        <w:rPr>
          <w:noProof/>
          <w:lang w:val="en-GB" w:eastAsia="en-GB"/>
        </w:rPr>
        <w:lastRenderedPageBreak/>
        <w:drawing>
          <wp:inline distT="0" distB="0" distL="0" distR="0">
            <wp:extent cx="5943600" cy="5206359"/>
            <wp:effectExtent l="38100" t="57150" r="114300" b="89541"/>
            <wp:docPr id="1" name="Picture 1" descr="4: Doxey`s Irridex model Source: Adapted from Reising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4: Doxey`s Irridex model Source: Adapted from Reisinger ..."/>
                    <pic:cNvPicPr>
                      <a:picLocks noChangeAspect="1" noChangeArrowheads="1"/>
                    </pic:cNvPicPr>
                  </pic:nvPicPr>
                  <pic:blipFill>
                    <a:blip r:embed="rId8">
                      <a:duotone>
                        <a:schemeClr val="accent4">
                          <a:shade val="45000"/>
                          <a:satMod val="135000"/>
                        </a:schemeClr>
                        <a:prstClr val="white"/>
                      </a:duotone>
                    </a:blip>
                    <a:stretch>
                      <a:fillRect/>
                    </a:stretch>
                  </pic:blipFill>
                  <pic:spPr bwMode="auto">
                    <a:xfrm>
                      <a:off x="0" y="0"/>
                      <a:ext cx="5943600" cy="5206359"/>
                    </a:xfrm>
                    <a:prstGeom prst="rect">
                      <a:avLst/>
                    </a:prstGeom>
                    <a:ln w="38100" cap="sq">
                      <a:solidFill>
                        <a:srgbClr val="7030A0"/>
                      </a:solidFill>
                      <a:prstDash val="solid"/>
                      <a:miter lim="800000"/>
                    </a:ln>
                    <a:effectLst>
                      <a:outerShdw blurRad="50800" dist="38100" dir="2700000" algn="tl" rotWithShape="0">
                        <a:srgbClr val="000000">
                          <a:alpha val="43000"/>
                        </a:srgbClr>
                      </a:outerShdw>
                    </a:effectLst>
                  </pic:spPr>
                </pic:pic>
              </a:graphicData>
            </a:graphic>
          </wp:inline>
        </w:drawing>
      </w:r>
    </w:p>
    <w:p w:rsidR="00EF07FA" w:rsidRPr="00A7652C" w:rsidRDefault="00752910" w:rsidP="00EF07FA">
      <w:pPr>
        <w:jc w:val="center"/>
        <w:rPr>
          <w:rFonts w:cs="Arial"/>
          <w:szCs w:val="24"/>
          <w:lang w:val="en-GB"/>
        </w:rPr>
      </w:pPr>
      <w:r w:rsidRPr="00A7652C">
        <w:rPr>
          <w:rFonts w:cs="Arial"/>
          <w:szCs w:val="24"/>
          <w:lang w:val="en-GB"/>
        </w:rPr>
        <w:t>Figure 02: The Irridex Model of Droxy</w:t>
      </w:r>
      <w:r>
        <w:rPr>
          <w:rFonts w:cs="Arial"/>
          <w:szCs w:val="24"/>
          <w:lang w:val="en-GB"/>
        </w:rPr>
        <w:t xml:space="preserve"> in Stonehenge</w:t>
      </w:r>
    </w:p>
    <w:p w:rsidR="00EF07FA" w:rsidRPr="00A7652C" w:rsidRDefault="00752910" w:rsidP="00EF07FA">
      <w:pPr>
        <w:jc w:val="center"/>
        <w:rPr>
          <w:lang w:val="en-GB"/>
        </w:rPr>
      </w:pPr>
      <w:r w:rsidRPr="00A7652C">
        <w:rPr>
          <w:lang w:val="en-GB"/>
        </w:rPr>
        <w:t>Source: (KOVJANIC, 2015)</w:t>
      </w:r>
    </w:p>
    <w:p w:rsidR="0053716D" w:rsidRDefault="00752910">
      <w:pPr>
        <w:spacing w:line="276" w:lineRule="auto"/>
        <w:jc w:val="left"/>
      </w:pPr>
      <w:r>
        <w:br w:type="page"/>
      </w:r>
    </w:p>
    <w:p w:rsidR="0053716D" w:rsidRPr="00A7652C" w:rsidRDefault="00752910" w:rsidP="0053716D">
      <w:pPr>
        <w:pStyle w:val="Heading1"/>
        <w:spacing w:before="0"/>
        <w:rPr>
          <w:lang w:val="en-GB"/>
        </w:rPr>
      </w:pPr>
      <w:bookmarkStart w:id="8" w:name="_Toc119974387"/>
      <w:r>
        <w:rPr>
          <w:lang w:val="en-GB"/>
        </w:rPr>
        <w:lastRenderedPageBreak/>
        <w:t>Recommendation, and Conclusion</w:t>
      </w:r>
      <w:bookmarkEnd w:id="8"/>
    </w:p>
    <w:p w:rsidR="00F60021" w:rsidRDefault="00752910" w:rsidP="0053716D">
      <w:r>
        <w:t xml:space="preserve">Stonehenge is suggested to take the feedback of the visitors, and the stakeholders continue to find the problems in the spot and take necessary steps for pieces of corrections where these are relevant to do, and by doing </w:t>
      </w:r>
      <w:r w:rsidR="00684E71">
        <w:t>this;</w:t>
      </w:r>
      <w:r>
        <w:t xml:space="preserve"> the authority of the spot can ensure the sustainable development of the area. </w:t>
      </w:r>
      <w:r w:rsidR="00684E71" w:rsidRPr="00684E71">
        <w:t>Different types of actions were found to be taken to ensure the sustainability of Stonehenge's economy, and one of the most frequent actions was carrying out consistent construction and development. The development of Stonehenge is still ongoing, and a variety of interested parties are willing to contribute money to make this well-known tourist destination more beautiful. Based on the available information, Stonehenge was determined to be in the euphoria stage, and visitors were found to be experiencing a very positive feeling.</w:t>
      </w:r>
    </w:p>
    <w:p w:rsidR="001C7A63" w:rsidRDefault="00752910">
      <w:pPr>
        <w:spacing w:line="276" w:lineRule="auto"/>
        <w:jc w:val="left"/>
      </w:pPr>
      <w:r>
        <w:br w:type="page"/>
      </w:r>
    </w:p>
    <w:p w:rsidR="001C7A63" w:rsidRPr="00A7652C" w:rsidRDefault="00752910" w:rsidP="001C7A63">
      <w:pPr>
        <w:pStyle w:val="Heading1"/>
        <w:spacing w:before="0"/>
        <w:rPr>
          <w:lang w:val="en-GB"/>
        </w:rPr>
      </w:pPr>
      <w:bookmarkStart w:id="9" w:name="_Toc119974388"/>
      <w:r>
        <w:rPr>
          <w:lang w:val="en-GB"/>
        </w:rPr>
        <w:lastRenderedPageBreak/>
        <w:t>References</w:t>
      </w:r>
      <w:bookmarkEnd w:id="9"/>
    </w:p>
    <w:p w:rsidR="00683A11" w:rsidRDefault="00752910" w:rsidP="00683A11">
      <w:pPr>
        <w:rPr>
          <w:shd w:val="clear" w:color="auto" w:fill="FFFFFF"/>
        </w:rPr>
      </w:pPr>
      <w:r>
        <w:rPr>
          <w:shd w:val="clear" w:color="auto" w:fill="FFFFFF"/>
        </w:rPr>
        <w:t>Butler, R.W., 2019. Overtourism and the tourism area life cycle. </w:t>
      </w:r>
      <w:r>
        <w:rPr>
          <w:i/>
          <w:iCs/>
          <w:shd w:val="clear" w:color="auto" w:fill="FFFFFF"/>
        </w:rPr>
        <w:t>Overtourism: Issues, realities and solutions</w:t>
      </w:r>
      <w:r>
        <w:rPr>
          <w:shd w:val="clear" w:color="auto" w:fill="FFFFFF"/>
        </w:rPr>
        <w:t>, </w:t>
      </w:r>
      <w:r>
        <w:rPr>
          <w:i/>
          <w:iCs/>
          <w:shd w:val="clear" w:color="auto" w:fill="FFFFFF"/>
        </w:rPr>
        <w:t>1</w:t>
      </w:r>
      <w:r>
        <w:rPr>
          <w:shd w:val="clear" w:color="auto" w:fill="FFFFFF"/>
        </w:rPr>
        <w:t>, pp.76-94.</w:t>
      </w:r>
    </w:p>
    <w:p w:rsidR="00683A11" w:rsidRDefault="00752910" w:rsidP="00683A11">
      <w:pPr>
        <w:rPr>
          <w:shd w:val="clear" w:color="auto" w:fill="FFFFFF"/>
        </w:rPr>
      </w:pPr>
      <w:r>
        <w:rPr>
          <w:shd w:val="clear" w:color="auto" w:fill="FFFFFF"/>
        </w:rPr>
        <w:t>Carley, M. and Christie, I., 2017. </w:t>
      </w:r>
      <w:r>
        <w:rPr>
          <w:i/>
          <w:iCs/>
          <w:shd w:val="clear" w:color="auto" w:fill="FFFFFF"/>
        </w:rPr>
        <w:t>Managing sustainable development</w:t>
      </w:r>
      <w:r>
        <w:rPr>
          <w:shd w:val="clear" w:color="auto" w:fill="FFFFFF"/>
        </w:rPr>
        <w:t>. Routledge.</w:t>
      </w:r>
    </w:p>
    <w:p w:rsidR="00683A11" w:rsidRDefault="00752910" w:rsidP="00683A11">
      <w:pPr>
        <w:rPr>
          <w:shd w:val="clear" w:color="auto" w:fill="FFFFFF"/>
        </w:rPr>
      </w:pPr>
      <w:r>
        <w:rPr>
          <w:shd w:val="clear" w:color="auto" w:fill="FFFFFF"/>
        </w:rPr>
        <w:t>Davis, J., 2015. Explore the mysteries of these ancient monoliths. </w:t>
      </w:r>
      <w:r>
        <w:rPr>
          <w:i/>
          <w:iCs/>
          <w:shd w:val="clear" w:color="auto" w:fill="FFFFFF"/>
        </w:rPr>
        <w:t>Primary Teacher Update</w:t>
      </w:r>
      <w:r>
        <w:rPr>
          <w:shd w:val="clear" w:color="auto" w:fill="FFFFFF"/>
        </w:rPr>
        <w:t>, </w:t>
      </w:r>
      <w:r>
        <w:rPr>
          <w:i/>
          <w:iCs/>
          <w:shd w:val="clear" w:color="auto" w:fill="FFFFFF"/>
        </w:rPr>
        <w:t>2015</w:t>
      </w:r>
      <w:r>
        <w:rPr>
          <w:shd w:val="clear" w:color="auto" w:fill="FFFFFF"/>
        </w:rPr>
        <w:t>(45), pp.27-29.</w:t>
      </w:r>
    </w:p>
    <w:p w:rsidR="00683A11" w:rsidRDefault="00752910" w:rsidP="00683A11">
      <w:pPr>
        <w:rPr>
          <w:shd w:val="clear" w:color="auto" w:fill="FFFFFF"/>
        </w:rPr>
      </w:pPr>
      <w:r>
        <w:rPr>
          <w:sz w:val="22"/>
          <w:shd w:val="clear" w:color="auto" w:fill="FFFFFF"/>
        </w:rPr>
        <w:t>Devkota, N., Gautam, S., Parajuli, S., Bhandari, U. and Paudel, U.R., 2022. Tourism Entrepreneurial Prospects in Bardiya, Nepal: Challenges and Way-forwards. </w:t>
      </w:r>
      <w:r>
        <w:rPr>
          <w:i/>
          <w:iCs/>
          <w:sz w:val="22"/>
          <w:shd w:val="clear" w:color="auto" w:fill="FFFFFF"/>
        </w:rPr>
        <w:t>The Gaze: Journal of Tourism and Hospitality</w:t>
      </w:r>
      <w:r>
        <w:rPr>
          <w:sz w:val="22"/>
          <w:shd w:val="clear" w:color="auto" w:fill="FFFFFF"/>
        </w:rPr>
        <w:t>, </w:t>
      </w:r>
      <w:r>
        <w:rPr>
          <w:i/>
          <w:iCs/>
          <w:sz w:val="22"/>
          <w:shd w:val="clear" w:color="auto" w:fill="FFFFFF"/>
        </w:rPr>
        <w:t>13</w:t>
      </w:r>
      <w:r>
        <w:rPr>
          <w:sz w:val="22"/>
          <w:shd w:val="clear" w:color="auto" w:fill="FFFFFF"/>
        </w:rPr>
        <w:t>(1), pp.70-92.</w:t>
      </w:r>
    </w:p>
    <w:p w:rsidR="00683A11" w:rsidRDefault="00752910" w:rsidP="00683A11">
      <w:pPr>
        <w:rPr>
          <w:shd w:val="clear" w:color="auto" w:fill="FFFFFF"/>
        </w:rPr>
      </w:pPr>
      <w:r>
        <w:rPr>
          <w:shd w:val="clear" w:color="auto" w:fill="FFFFFF"/>
        </w:rPr>
        <w:t>Gill, D.W., 2017. The Ministry of works and the development of souvenir guides from 1955. </w:t>
      </w:r>
      <w:r>
        <w:rPr>
          <w:i/>
          <w:iCs/>
          <w:shd w:val="clear" w:color="auto" w:fill="FFFFFF"/>
        </w:rPr>
        <w:t>Public Archaeology</w:t>
      </w:r>
      <w:r>
        <w:rPr>
          <w:shd w:val="clear" w:color="auto" w:fill="FFFFFF"/>
        </w:rPr>
        <w:t>, </w:t>
      </w:r>
      <w:r>
        <w:rPr>
          <w:i/>
          <w:iCs/>
          <w:shd w:val="clear" w:color="auto" w:fill="FFFFFF"/>
        </w:rPr>
        <w:t>16</w:t>
      </w:r>
      <w:r>
        <w:rPr>
          <w:shd w:val="clear" w:color="auto" w:fill="FFFFFF"/>
        </w:rPr>
        <w:t>(3-4), pp.132-154.</w:t>
      </w:r>
    </w:p>
    <w:p w:rsidR="00683A11" w:rsidRDefault="00752910" w:rsidP="00683A11">
      <w:pPr>
        <w:rPr>
          <w:shd w:val="clear" w:color="auto" w:fill="FFFFFF"/>
        </w:rPr>
      </w:pPr>
      <w:r>
        <w:rPr>
          <w:sz w:val="22"/>
          <w:shd w:val="clear" w:color="auto" w:fill="FFFFFF"/>
        </w:rPr>
        <w:t>Hall, C.M., Gössling, S. and Scott, D. eds., 2015. </w:t>
      </w:r>
      <w:r>
        <w:rPr>
          <w:i/>
          <w:iCs/>
          <w:sz w:val="22"/>
          <w:shd w:val="clear" w:color="auto" w:fill="FFFFFF"/>
        </w:rPr>
        <w:t>The Routledge handbook of tourism and sustainability</w:t>
      </w:r>
      <w:r>
        <w:rPr>
          <w:sz w:val="22"/>
          <w:shd w:val="clear" w:color="auto" w:fill="FFFFFF"/>
        </w:rPr>
        <w:t> (Vol. 922). Abingdon: Routledge.</w:t>
      </w:r>
    </w:p>
    <w:p w:rsidR="00683A11" w:rsidRDefault="00752910" w:rsidP="00683A11">
      <w:pPr>
        <w:rPr>
          <w:shd w:val="clear" w:color="auto" w:fill="FFFFFF"/>
          <w:lang w:val="en-GB"/>
        </w:rPr>
      </w:pPr>
      <w:r w:rsidRPr="00A7652C">
        <w:rPr>
          <w:sz w:val="22"/>
          <w:shd w:val="clear" w:color="auto" w:fill="FFFFFF"/>
          <w:lang w:val="en-GB"/>
        </w:rPr>
        <w:t>KOVJANIC, G., 2015. CHAPTER ONE PERCEPTIONS OF LOCAL RESIDENTS IN ABU DHABI TOWARDS THE DEVELOPMENT. </w:t>
      </w:r>
      <w:r w:rsidRPr="00A7652C">
        <w:rPr>
          <w:i/>
          <w:iCs/>
          <w:sz w:val="22"/>
          <w:shd w:val="clear" w:color="auto" w:fill="FFFFFF"/>
          <w:lang w:val="en-GB"/>
        </w:rPr>
        <w:t>Tourism Development</w:t>
      </w:r>
      <w:r w:rsidRPr="00A7652C">
        <w:rPr>
          <w:sz w:val="22"/>
          <w:shd w:val="clear" w:color="auto" w:fill="FFFFFF"/>
          <w:lang w:val="en-GB"/>
        </w:rPr>
        <w:t>, p.6.</w:t>
      </w:r>
    </w:p>
    <w:p w:rsidR="00683A11" w:rsidRPr="00D97C09" w:rsidRDefault="00752910" w:rsidP="00683A11">
      <w:pPr>
        <w:rPr>
          <w:rFonts w:asciiTheme="minorHAnsi" w:hAnsiTheme="minorHAnsi"/>
          <w:color w:val="auto"/>
          <w:sz w:val="22"/>
          <w:shd w:val="clear" w:color="auto" w:fill="FFFFFF"/>
          <w:lang w:val="en-GB"/>
        </w:rPr>
      </w:pPr>
      <w:r>
        <w:rPr>
          <w:sz w:val="22"/>
          <w:shd w:val="clear" w:color="auto" w:fill="FFFFFF"/>
        </w:rPr>
        <w:t>Pearson, M.P., Pollard, J., Richards, C., Thomas, J., Tilley, C. and Welham, K., 2020. </w:t>
      </w:r>
      <w:r>
        <w:rPr>
          <w:i/>
          <w:iCs/>
          <w:sz w:val="22"/>
          <w:shd w:val="clear" w:color="auto" w:fill="FFFFFF"/>
        </w:rPr>
        <w:t>Stonehenge for the ancestors: Part 1. Landscape and monuments</w:t>
      </w:r>
      <w:r>
        <w:rPr>
          <w:sz w:val="22"/>
          <w:shd w:val="clear" w:color="auto" w:fill="FFFFFF"/>
        </w:rPr>
        <w:t>. Sidestone Press, Leiden.</w:t>
      </w:r>
    </w:p>
    <w:p w:rsidR="00683A11" w:rsidRDefault="00752910" w:rsidP="00683A11">
      <w:pPr>
        <w:rPr>
          <w:shd w:val="clear" w:color="auto" w:fill="FFFFFF"/>
        </w:rPr>
      </w:pPr>
      <w:r>
        <w:rPr>
          <w:shd w:val="clear" w:color="auto" w:fill="FFFFFF"/>
        </w:rPr>
        <w:t>Pedersen, M.W., Overballe-Petersen, S., Ermini, L., Sarkissian, C.D., Haile, J., Hellstrom, M., Spens, J., Thomsen, P.F., Bohmann, K., Cappellini, E. and Schnell, I.B., 2015. Ancient and modern environmental DNA. </w:t>
      </w:r>
      <w:r>
        <w:rPr>
          <w:i/>
          <w:iCs/>
          <w:shd w:val="clear" w:color="auto" w:fill="FFFFFF"/>
        </w:rPr>
        <w:t>Philosophical Transactions of the Royal Society B: Biological Sciences</w:t>
      </w:r>
      <w:r>
        <w:rPr>
          <w:shd w:val="clear" w:color="auto" w:fill="FFFFFF"/>
        </w:rPr>
        <w:t>, </w:t>
      </w:r>
      <w:r>
        <w:rPr>
          <w:i/>
          <w:iCs/>
          <w:shd w:val="clear" w:color="auto" w:fill="FFFFFF"/>
        </w:rPr>
        <w:t>370</w:t>
      </w:r>
      <w:r>
        <w:rPr>
          <w:shd w:val="clear" w:color="auto" w:fill="FFFFFF"/>
        </w:rPr>
        <w:t>(1660), p.20130383.</w:t>
      </w:r>
    </w:p>
    <w:p w:rsidR="00683A11" w:rsidRPr="00D97C09" w:rsidRDefault="00752910" w:rsidP="00683A11">
      <w:pPr>
        <w:rPr>
          <w:rFonts w:asciiTheme="minorHAnsi" w:hAnsiTheme="minorHAnsi"/>
          <w:color w:val="auto"/>
          <w:sz w:val="22"/>
          <w:shd w:val="clear" w:color="auto" w:fill="FFFFFF"/>
          <w:lang w:val="en-GB"/>
        </w:rPr>
      </w:pPr>
      <w:r w:rsidRPr="00A7652C">
        <w:rPr>
          <w:sz w:val="22"/>
          <w:shd w:val="clear" w:color="auto" w:fill="FFFFFF"/>
          <w:lang w:val="en-GB"/>
        </w:rPr>
        <w:t>Piuchan, M., 2018. Plog's and Butler's models: A critical review of Psychographic Tourist typology and the Tourist Area Life Cycle. </w:t>
      </w:r>
      <w:r w:rsidRPr="00A7652C">
        <w:rPr>
          <w:i/>
          <w:iCs/>
          <w:sz w:val="22"/>
          <w:shd w:val="clear" w:color="auto" w:fill="FFFFFF"/>
          <w:lang w:val="en-GB"/>
        </w:rPr>
        <w:t>Turizam</w:t>
      </w:r>
      <w:r w:rsidRPr="00A7652C">
        <w:rPr>
          <w:sz w:val="22"/>
          <w:shd w:val="clear" w:color="auto" w:fill="FFFFFF"/>
          <w:lang w:val="en-GB"/>
        </w:rPr>
        <w:t>, </w:t>
      </w:r>
      <w:r w:rsidRPr="00A7652C">
        <w:rPr>
          <w:i/>
          <w:iCs/>
          <w:sz w:val="22"/>
          <w:shd w:val="clear" w:color="auto" w:fill="FFFFFF"/>
          <w:lang w:val="en-GB"/>
        </w:rPr>
        <w:t>22</w:t>
      </w:r>
      <w:r w:rsidRPr="00A7652C">
        <w:rPr>
          <w:sz w:val="22"/>
          <w:shd w:val="clear" w:color="auto" w:fill="FFFFFF"/>
          <w:lang w:val="en-GB"/>
        </w:rPr>
        <w:t>(3), pp.95-106.</w:t>
      </w:r>
    </w:p>
    <w:p w:rsidR="00683A11" w:rsidRDefault="00752910" w:rsidP="00683A11">
      <w:pPr>
        <w:rPr>
          <w:sz w:val="20"/>
          <w:szCs w:val="20"/>
          <w:shd w:val="clear" w:color="auto" w:fill="FFFFFF"/>
        </w:rPr>
      </w:pPr>
      <w:r>
        <w:rPr>
          <w:sz w:val="20"/>
          <w:szCs w:val="20"/>
          <w:shd w:val="clear" w:color="auto" w:fill="FFFFFF"/>
        </w:rPr>
        <w:t>Sachs, J.D., 2015. The age of sustainable development. In </w:t>
      </w:r>
      <w:r>
        <w:rPr>
          <w:i/>
          <w:iCs/>
          <w:sz w:val="20"/>
          <w:szCs w:val="20"/>
          <w:shd w:val="clear" w:color="auto" w:fill="FFFFFF"/>
        </w:rPr>
        <w:t>The Age of Sustainable Development</w:t>
      </w:r>
      <w:r>
        <w:rPr>
          <w:sz w:val="20"/>
          <w:szCs w:val="20"/>
          <w:shd w:val="clear" w:color="auto" w:fill="FFFFFF"/>
        </w:rPr>
        <w:t>. Columbia University Press.</w:t>
      </w:r>
    </w:p>
    <w:p w:rsidR="00683A11" w:rsidRDefault="00752910" w:rsidP="00683A11">
      <w:pPr>
        <w:rPr>
          <w:shd w:val="clear" w:color="auto" w:fill="FFFFFF"/>
        </w:rPr>
      </w:pPr>
      <w:r>
        <w:rPr>
          <w:sz w:val="22"/>
          <w:shd w:val="clear" w:color="auto" w:fill="FFFFFF"/>
        </w:rPr>
        <w:lastRenderedPageBreak/>
        <w:t>Sharpley, R., 2020. Tourism, sustainable development and the theoretical divide: 20 years on. </w:t>
      </w:r>
      <w:r>
        <w:rPr>
          <w:i/>
          <w:iCs/>
          <w:sz w:val="22"/>
          <w:shd w:val="clear" w:color="auto" w:fill="FFFFFF"/>
        </w:rPr>
        <w:t>Journal of sustainable tourism</w:t>
      </w:r>
      <w:r>
        <w:rPr>
          <w:sz w:val="22"/>
          <w:shd w:val="clear" w:color="auto" w:fill="FFFFFF"/>
        </w:rPr>
        <w:t>, </w:t>
      </w:r>
      <w:r>
        <w:rPr>
          <w:i/>
          <w:iCs/>
          <w:sz w:val="22"/>
          <w:shd w:val="clear" w:color="auto" w:fill="FFFFFF"/>
        </w:rPr>
        <w:t>28</w:t>
      </w:r>
      <w:r>
        <w:rPr>
          <w:sz w:val="22"/>
          <w:shd w:val="clear" w:color="auto" w:fill="FFFFFF"/>
        </w:rPr>
        <w:t>(11), pp.1932-1946.</w:t>
      </w:r>
    </w:p>
    <w:p w:rsidR="00683A11" w:rsidRDefault="00752910" w:rsidP="00683A11">
      <w:pPr>
        <w:rPr>
          <w:shd w:val="clear" w:color="auto" w:fill="FFFFFF"/>
        </w:rPr>
      </w:pPr>
      <w:r>
        <w:rPr>
          <w:sz w:val="22"/>
          <w:shd w:val="clear" w:color="auto" w:fill="FFFFFF"/>
        </w:rPr>
        <w:t>Singh, S., 2021. Time, tourism area ‘life-cycle,’evolution and heritage. </w:t>
      </w:r>
      <w:r>
        <w:rPr>
          <w:i/>
          <w:iCs/>
          <w:sz w:val="22"/>
          <w:shd w:val="clear" w:color="auto" w:fill="FFFFFF"/>
        </w:rPr>
        <w:t>Journal of Heritage Tourism</w:t>
      </w:r>
      <w:r>
        <w:rPr>
          <w:sz w:val="22"/>
          <w:shd w:val="clear" w:color="auto" w:fill="FFFFFF"/>
        </w:rPr>
        <w:t>, </w:t>
      </w:r>
      <w:r>
        <w:rPr>
          <w:i/>
          <w:iCs/>
          <w:sz w:val="22"/>
          <w:shd w:val="clear" w:color="auto" w:fill="FFFFFF"/>
        </w:rPr>
        <w:t>16</w:t>
      </w:r>
      <w:r>
        <w:rPr>
          <w:sz w:val="22"/>
          <w:shd w:val="clear" w:color="auto" w:fill="FFFFFF"/>
        </w:rPr>
        <w:t>(2), pp.218-229.</w:t>
      </w:r>
    </w:p>
    <w:p w:rsidR="00683A11" w:rsidRDefault="00752910" w:rsidP="00683A11">
      <w:pPr>
        <w:rPr>
          <w:sz w:val="20"/>
          <w:szCs w:val="20"/>
          <w:shd w:val="clear" w:color="auto" w:fill="FFFFFF"/>
        </w:rPr>
      </w:pPr>
      <w:r>
        <w:rPr>
          <w:sz w:val="22"/>
          <w:shd w:val="clear" w:color="auto" w:fill="FFFFFF"/>
        </w:rPr>
        <w:t>Tang, C., Zhong, L. and Ng, P., 2017. Factors that influence the tourism industry's carbon emissions: a tourism area life cycle model perspective. </w:t>
      </w:r>
      <w:r>
        <w:rPr>
          <w:i/>
          <w:iCs/>
          <w:sz w:val="22"/>
          <w:shd w:val="clear" w:color="auto" w:fill="FFFFFF"/>
        </w:rPr>
        <w:t>Energy Policy</w:t>
      </w:r>
      <w:r>
        <w:rPr>
          <w:sz w:val="22"/>
          <w:shd w:val="clear" w:color="auto" w:fill="FFFFFF"/>
        </w:rPr>
        <w:t>, </w:t>
      </w:r>
      <w:r>
        <w:rPr>
          <w:i/>
          <w:iCs/>
          <w:sz w:val="22"/>
          <w:shd w:val="clear" w:color="auto" w:fill="FFFFFF"/>
        </w:rPr>
        <w:t>109</w:t>
      </w:r>
      <w:r>
        <w:rPr>
          <w:sz w:val="22"/>
          <w:shd w:val="clear" w:color="auto" w:fill="FFFFFF"/>
        </w:rPr>
        <w:t>, pp.704-718.</w:t>
      </w:r>
    </w:p>
    <w:p w:rsidR="00683A11" w:rsidRDefault="00752910" w:rsidP="00683A11">
      <w:r>
        <w:rPr>
          <w:shd w:val="clear" w:color="auto" w:fill="FFFFFF"/>
        </w:rPr>
        <w:t>Winter, P.L., Selin, S., Cerveny, L. and Bricker, K., 2019. Outdoor recreation, nature-based tourism, and sustainability. </w:t>
      </w:r>
      <w:r>
        <w:rPr>
          <w:i/>
          <w:iCs/>
          <w:shd w:val="clear" w:color="auto" w:fill="FFFFFF"/>
        </w:rPr>
        <w:t>Sustainability</w:t>
      </w:r>
      <w:r>
        <w:rPr>
          <w:shd w:val="clear" w:color="auto" w:fill="FFFFFF"/>
        </w:rPr>
        <w:t>, </w:t>
      </w:r>
      <w:r>
        <w:rPr>
          <w:i/>
          <w:iCs/>
          <w:shd w:val="clear" w:color="auto" w:fill="FFFFFF"/>
        </w:rPr>
        <w:t>12</w:t>
      </w:r>
      <w:r>
        <w:rPr>
          <w:shd w:val="clear" w:color="auto" w:fill="FFFFFF"/>
        </w:rPr>
        <w:t>(1), p.81.</w:t>
      </w:r>
    </w:p>
    <w:p w:rsidR="001C7A63" w:rsidRDefault="001C7A63" w:rsidP="001C7A63"/>
    <w:sectPr w:rsidR="001C7A63" w:rsidSect="006A47F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502E" w:rsidRDefault="0065502E" w:rsidP="00D858B6">
      <w:pPr>
        <w:spacing w:after="0" w:line="240" w:lineRule="auto"/>
      </w:pPr>
      <w:r>
        <w:separator/>
      </w:r>
    </w:p>
  </w:endnote>
  <w:endnote w:type="continuationSeparator" w:id="0">
    <w:p w:rsidR="0065502E" w:rsidRDefault="0065502E" w:rsidP="00D85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CC5" w:rsidRDefault="000E4C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23372"/>
      <w:docPartObj>
        <w:docPartGallery w:val="Page Numbers (Bottom of Page)"/>
        <w:docPartUnique/>
      </w:docPartObj>
    </w:sdtPr>
    <w:sdtEndPr/>
    <w:sdtContent>
      <w:p w:rsidR="006A47FC" w:rsidRDefault="00D858B6">
        <w:pPr>
          <w:pStyle w:val="Footer"/>
          <w:jc w:val="right"/>
        </w:pPr>
        <w:r>
          <w:fldChar w:fldCharType="begin"/>
        </w:r>
        <w:r w:rsidR="00752910">
          <w:instrText xml:space="preserve"> PAGE   \* MERGEFORMAT </w:instrText>
        </w:r>
        <w:r>
          <w:fldChar w:fldCharType="separate"/>
        </w:r>
        <w:r w:rsidR="00AB534B">
          <w:rPr>
            <w:noProof/>
          </w:rPr>
          <w:t>2</w:t>
        </w:r>
        <w:r>
          <w:rPr>
            <w:noProof/>
          </w:rPr>
          <w:fldChar w:fldCharType="end"/>
        </w:r>
      </w:p>
    </w:sdtContent>
  </w:sdt>
  <w:p w:rsidR="006A47FC" w:rsidRDefault="006A47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CC5" w:rsidRDefault="000E4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502E" w:rsidRDefault="0065502E" w:rsidP="00D858B6">
      <w:pPr>
        <w:spacing w:after="0" w:line="240" w:lineRule="auto"/>
      </w:pPr>
      <w:r>
        <w:separator/>
      </w:r>
    </w:p>
  </w:footnote>
  <w:footnote w:type="continuationSeparator" w:id="0">
    <w:p w:rsidR="0065502E" w:rsidRDefault="0065502E" w:rsidP="00D85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CC5" w:rsidRDefault="000E4C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CC5" w:rsidRDefault="000E4C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4CC5" w:rsidRDefault="000E4C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680F3A"/>
    <w:rsid w:val="00007684"/>
    <w:rsid w:val="00033E91"/>
    <w:rsid w:val="0003621E"/>
    <w:rsid w:val="00075DEE"/>
    <w:rsid w:val="00077C86"/>
    <w:rsid w:val="000A6746"/>
    <w:rsid w:val="000D2BDB"/>
    <w:rsid w:val="000E4CC5"/>
    <w:rsid w:val="000F3F2E"/>
    <w:rsid w:val="001056B3"/>
    <w:rsid w:val="00121C08"/>
    <w:rsid w:val="00124695"/>
    <w:rsid w:val="00126775"/>
    <w:rsid w:val="0013553F"/>
    <w:rsid w:val="00140797"/>
    <w:rsid w:val="00160A7A"/>
    <w:rsid w:val="00161E60"/>
    <w:rsid w:val="00163F87"/>
    <w:rsid w:val="00195455"/>
    <w:rsid w:val="001A636F"/>
    <w:rsid w:val="001B35A3"/>
    <w:rsid w:val="001C1A5E"/>
    <w:rsid w:val="001C6F45"/>
    <w:rsid w:val="001C7A63"/>
    <w:rsid w:val="001D2AE6"/>
    <w:rsid w:val="001D414A"/>
    <w:rsid w:val="001D4622"/>
    <w:rsid w:val="001F147F"/>
    <w:rsid w:val="001F697E"/>
    <w:rsid w:val="00212EFE"/>
    <w:rsid w:val="002303E1"/>
    <w:rsid w:val="002466CD"/>
    <w:rsid w:val="00255917"/>
    <w:rsid w:val="002859C8"/>
    <w:rsid w:val="0029319C"/>
    <w:rsid w:val="002D15F5"/>
    <w:rsid w:val="002D6011"/>
    <w:rsid w:val="002F5ACA"/>
    <w:rsid w:val="002F6894"/>
    <w:rsid w:val="002F6B96"/>
    <w:rsid w:val="00310E62"/>
    <w:rsid w:val="00317F30"/>
    <w:rsid w:val="00340404"/>
    <w:rsid w:val="00371240"/>
    <w:rsid w:val="00374FF3"/>
    <w:rsid w:val="00377A83"/>
    <w:rsid w:val="0038126C"/>
    <w:rsid w:val="003830E4"/>
    <w:rsid w:val="00387406"/>
    <w:rsid w:val="00397D5B"/>
    <w:rsid w:val="003B778D"/>
    <w:rsid w:val="003D4B26"/>
    <w:rsid w:val="00402650"/>
    <w:rsid w:val="00425BFF"/>
    <w:rsid w:val="00431B3A"/>
    <w:rsid w:val="004377A2"/>
    <w:rsid w:val="0044603B"/>
    <w:rsid w:val="004533FA"/>
    <w:rsid w:val="004B3B39"/>
    <w:rsid w:val="004C2E59"/>
    <w:rsid w:val="004D0DF8"/>
    <w:rsid w:val="004D6387"/>
    <w:rsid w:val="004D6618"/>
    <w:rsid w:val="00506490"/>
    <w:rsid w:val="0051350E"/>
    <w:rsid w:val="00514878"/>
    <w:rsid w:val="00514909"/>
    <w:rsid w:val="005232B8"/>
    <w:rsid w:val="00525BD2"/>
    <w:rsid w:val="0053716D"/>
    <w:rsid w:val="00537CB7"/>
    <w:rsid w:val="00553CE0"/>
    <w:rsid w:val="0055463A"/>
    <w:rsid w:val="00567A31"/>
    <w:rsid w:val="00572AB9"/>
    <w:rsid w:val="00593192"/>
    <w:rsid w:val="0061668A"/>
    <w:rsid w:val="00632A8D"/>
    <w:rsid w:val="0064148E"/>
    <w:rsid w:val="00645880"/>
    <w:rsid w:val="006460AE"/>
    <w:rsid w:val="006534F6"/>
    <w:rsid w:val="0065502E"/>
    <w:rsid w:val="006645D5"/>
    <w:rsid w:val="00680F3A"/>
    <w:rsid w:val="00683A11"/>
    <w:rsid w:val="00684E71"/>
    <w:rsid w:val="00692B8A"/>
    <w:rsid w:val="006A47FC"/>
    <w:rsid w:val="006A493C"/>
    <w:rsid w:val="006A50CA"/>
    <w:rsid w:val="006B53B2"/>
    <w:rsid w:val="006C6D16"/>
    <w:rsid w:val="006D1EED"/>
    <w:rsid w:val="006E31FC"/>
    <w:rsid w:val="006E3E7B"/>
    <w:rsid w:val="006E7E49"/>
    <w:rsid w:val="007013C5"/>
    <w:rsid w:val="00701AE4"/>
    <w:rsid w:val="007102CB"/>
    <w:rsid w:val="00752910"/>
    <w:rsid w:val="00752CCE"/>
    <w:rsid w:val="007565EC"/>
    <w:rsid w:val="00772194"/>
    <w:rsid w:val="00772F3A"/>
    <w:rsid w:val="00775CBC"/>
    <w:rsid w:val="007A20AE"/>
    <w:rsid w:val="007B5F9A"/>
    <w:rsid w:val="007D13D3"/>
    <w:rsid w:val="007E1E5B"/>
    <w:rsid w:val="007F17A5"/>
    <w:rsid w:val="007F7FD9"/>
    <w:rsid w:val="00812B61"/>
    <w:rsid w:val="00836681"/>
    <w:rsid w:val="0089267C"/>
    <w:rsid w:val="008A087F"/>
    <w:rsid w:val="008C2843"/>
    <w:rsid w:val="00907F4A"/>
    <w:rsid w:val="009304ED"/>
    <w:rsid w:val="009349DB"/>
    <w:rsid w:val="00946445"/>
    <w:rsid w:val="0095789E"/>
    <w:rsid w:val="0096403D"/>
    <w:rsid w:val="00974671"/>
    <w:rsid w:val="00974886"/>
    <w:rsid w:val="009A62BC"/>
    <w:rsid w:val="009B1B8C"/>
    <w:rsid w:val="009B290C"/>
    <w:rsid w:val="009D742D"/>
    <w:rsid w:val="009E1CA2"/>
    <w:rsid w:val="009F6EC5"/>
    <w:rsid w:val="009F7873"/>
    <w:rsid w:val="00A076A3"/>
    <w:rsid w:val="00A07D37"/>
    <w:rsid w:val="00A2479F"/>
    <w:rsid w:val="00A311C1"/>
    <w:rsid w:val="00A3627F"/>
    <w:rsid w:val="00A5274A"/>
    <w:rsid w:val="00A7652C"/>
    <w:rsid w:val="00A93AA7"/>
    <w:rsid w:val="00AB534B"/>
    <w:rsid w:val="00AD3AAC"/>
    <w:rsid w:val="00AE1173"/>
    <w:rsid w:val="00AF0BA4"/>
    <w:rsid w:val="00AF79FE"/>
    <w:rsid w:val="00B519B3"/>
    <w:rsid w:val="00B60DCC"/>
    <w:rsid w:val="00B9746C"/>
    <w:rsid w:val="00BA285F"/>
    <w:rsid w:val="00BA3075"/>
    <w:rsid w:val="00BC2388"/>
    <w:rsid w:val="00BD2500"/>
    <w:rsid w:val="00C11995"/>
    <w:rsid w:val="00C26957"/>
    <w:rsid w:val="00C4690E"/>
    <w:rsid w:val="00C70907"/>
    <w:rsid w:val="00C76DA0"/>
    <w:rsid w:val="00C8528E"/>
    <w:rsid w:val="00C85C1B"/>
    <w:rsid w:val="00C97B1B"/>
    <w:rsid w:val="00CB71AA"/>
    <w:rsid w:val="00CC2B9B"/>
    <w:rsid w:val="00CC312B"/>
    <w:rsid w:val="00CC61B4"/>
    <w:rsid w:val="00CC6256"/>
    <w:rsid w:val="00CD0E10"/>
    <w:rsid w:val="00CF1F29"/>
    <w:rsid w:val="00CF3A5F"/>
    <w:rsid w:val="00CF6E9D"/>
    <w:rsid w:val="00D0568E"/>
    <w:rsid w:val="00D12F71"/>
    <w:rsid w:val="00D4686A"/>
    <w:rsid w:val="00D61A5D"/>
    <w:rsid w:val="00D839A5"/>
    <w:rsid w:val="00D858B6"/>
    <w:rsid w:val="00D90470"/>
    <w:rsid w:val="00D95D8D"/>
    <w:rsid w:val="00D961AE"/>
    <w:rsid w:val="00D97C09"/>
    <w:rsid w:val="00DC05C5"/>
    <w:rsid w:val="00DC3486"/>
    <w:rsid w:val="00DD1B51"/>
    <w:rsid w:val="00DF2C87"/>
    <w:rsid w:val="00E1330E"/>
    <w:rsid w:val="00E2590F"/>
    <w:rsid w:val="00E47083"/>
    <w:rsid w:val="00E541E3"/>
    <w:rsid w:val="00E6701B"/>
    <w:rsid w:val="00E6728D"/>
    <w:rsid w:val="00E771A2"/>
    <w:rsid w:val="00E83A17"/>
    <w:rsid w:val="00E956B0"/>
    <w:rsid w:val="00EB3E83"/>
    <w:rsid w:val="00EB7883"/>
    <w:rsid w:val="00EC62B8"/>
    <w:rsid w:val="00EF07FA"/>
    <w:rsid w:val="00F218BB"/>
    <w:rsid w:val="00F23AB3"/>
    <w:rsid w:val="00F32D03"/>
    <w:rsid w:val="00F60021"/>
    <w:rsid w:val="00F60FFE"/>
    <w:rsid w:val="00F61261"/>
    <w:rsid w:val="00F6280B"/>
    <w:rsid w:val="00F6318D"/>
    <w:rsid w:val="00F73BD6"/>
    <w:rsid w:val="00F85CF0"/>
    <w:rsid w:val="00F969A0"/>
    <w:rsid w:val="00FA0269"/>
    <w:rsid w:val="00FA3798"/>
    <w:rsid w:val="00FA5090"/>
    <w:rsid w:val="00FC3ED1"/>
    <w:rsid w:val="00FD2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B28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F3A"/>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80F3A"/>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F3A"/>
    <w:rPr>
      <w:rFonts w:ascii="Arial" w:eastAsiaTheme="majorEastAsia" w:hAnsi="Arial" w:cstheme="majorBidi"/>
      <w:b/>
      <w:bCs/>
      <w:color w:val="365F91" w:themeColor="accent1" w:themeShade="BF"/>
      <w:sz w:val="28"/>
      <w:szCs w:val="28"/>
    </w:rPr>
  </w:style>
  <w:style w:type="character" w:styleId="Hyperlink">
    <w:name w:val="Hyperlink"/>
    <w:basedOn w:val="DefaultParagraphFont"/>
    <w:uiPriority w:val="99"/>
    <w:unhideWhenUsed/>
    <w:rsid w:val="00377A83"/>
    <w:rPr>
      <w:color w:val="0000FF" w:themeColor="hyperlink"/>
      <w:u w:val="single"/>
    </w:rPr>
  </w:style>
  <w:style w:type="paragraph" w:styleId="BalloonText">
    <w:name w:val="Balloon Text"/>
    <w:basedOn w:val="Normal"/>
    <w:link w:val="BalloonTextChar"/>
    <w:uiPriority w:val="99"/>
    <w:semiHidden/>
    <w:unhideWhenUsed/>
    <w:rsid w:val="00BC2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2388"/>
    <w:rPr>
      <w:rFonts w:ascii="Tahoma" w:hAnsi="Tahoma" w:cs="Tahoma"/>
      <w:color w:val="000000" w:themeColor="text1"/>
      <w:sz w:val="16"/>
      <w:szCs w:val="16"/>
    </w:rPr>
  </w:style>
  <w:style w:type="paragraph" w:styleId="Header">
    <w:name w:val="header"/>
    <w:basedOn w:val="Normal"/>
    <w:link w:val="HeaderChar"/>
    <w:uiPriority w:val="99"/>
    <w:semiHidden/>
    <w:unhideWhenUsed/>
    <w:rsid w:val="006A47F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47FC"/>
    <w:rPr>
      <w:rFonts w:ascii="Arial" w:hAnsi="Arial"/>
      <w:color w:val="000000" w:themeColor="text1"/>
      <w:sz w:val="24"/>
    </w:rPr>
  </w:style>
  <w:style w:type="paragraph" w:styleId="Footer">
    <w:name w:val="footer"/>
    <w:basedOn w:val="Normal"/>
    <w:link w:val="FooterChar"/>
    <w:uiPriority w:val="99"/>
    <w:unhideWhenUsed/>
    <w:rsid w:val="006A4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47FC"/>
    <w:rPr>
      <w:rFonts w:ascii="Arial" w:hAnsi="Arial"/>
      <w:color w:val="000000" w:themeColor="text1"/>
      <w:sz w:val="24"/>
    </w:rPr>
  </w:style>
  <w:style w:type="paragraph" w:styleId="TOCHeading">
    <w:name w:val="TOC Heading"/>
    <w:basedOn w:val="Heading1"/>
    <w:next w:val="Normal"/>
    <w:uiPriority w:val="39"/>
    <w:semiHidden/>
    <w:unhideWhenUsed/>
    <w:qFormat/>
    <w:rsid w:val="006A47FC"/>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6A47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5C64F6-BE3B-4E04-9A44-8B59788B7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2311</Words>
  <Characters>13173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2022-11-21T20:01:00Z</dcterms:created>
  <dcterms:modified xsi:type="dcterms:W3CDTF">2022-11-28T13:27:00Z</dcterms:modified>
</cp:coreProperties>
</file>