
<file path=[Content_Types].xml><?xml version="1.0" encoding="utf-8"?>
<Types xmlns="http://schemas.openxmlformats.org/package/2006/content-types">
  <Default Extension="rels" ContentType="application/vnd.openxmlformats-package.relationships+xml"/>
  <Default Extension="png" ContentType="image/png"/>
  <Default Extension="xml" ContentType="application/xml"/>
  <Override PartName="/docProps/app.xml" ContentType="application/vnd.openxmlformats-officedocument.extended-properties+xml"/>
  <Override PartName="/docProps/core.xml" ContentType="application/vnd.openxmlformats-package.core-properties+xml"/>
  <Override PartName="/word/theme/theme1.xml" ContentType="application/vnd.openxmlformats-officedocument.theme+xml"/>
  <Override PartName="/customXml/itemProps1.xml" ContentType="application/vnd.openxmlformats-officedocument.customXmlProperties+xml"/>
  <Override PartName="/word/charts/colors5.xml" ContentType="application/vnd.ms-office.chartcolorstyle+xml"/>
  <Override PartName="/word/charts/colors3.xml" ContentType="application/vnd.ms-office.chartcolorstyle+xml"/>
  <Override PartName="/word/charts/style5.xml" ContentType="application/vnd.ms-office.chartstyle+xml"/>
  <Override PartName="/word/charts/chart3.xml" ContentType="application/vnd.openxmlformats-officedocument.drawingml.chart+xml"/>
  <Override PartName="/word/charts/colors2.xml" ContentType="application/vnd.ms-office.chartcolorstyle+xml"/>
  <Override PartName="/word/footer1.xml" ContentType="application/vnd.openxmlformats-officedocument.wordprocessingml.footer+xml"/>
  <Override PartName="/word/charts/chart5.xml" ContentType="application/vnd.openxmlformats-officedocument.drawingml.chart+xml"/>
  <Override PartName="/word/charts/style2.xml" ContentType="application/vnd.ms-office.chartstyle+xml"/>
  <Override PartName="/word/charts/style4.xml" ContentType="application/vnd.ms-office.chartstyle+xml"/>
  <Override PartName="/word/charts/chart2.xml" ContentType="application/vnd.openxmlformats-officedocument.drawingml.chart+xml"/>
  <Override PartName="/word/charts/colors1.xml" ContentType="application/vnd.ms-office.chartcolorstyle+xml"/>
  <Override PartName="/word/charts/style1.xml" ContentType="application/vnd.ms-office.chartstyle+xml"/>
  <Override PartName="/word/charts/style3.xml" ContentType="application/vnd.ms-office.chartstyle+xml"/>
  <Override PartName="/word/endnotes.xml" ContentType="application/vnd.openxmlformats-officedocument.wordprocessingml.endnotes+xml"/>
  <Override PartName="/word/footnotes.xml" ContentType="application/vnd.openxmlformats-officedocument.wordprocessingml.footnotes+xml"/>
  <Override PartName="/word/webSettings.xml" ContentType="application/vnd.openxmlformats-officedocument.wordprocessingml.webSettings+xml"/>
  <Override PartName="/word/charts/chart1.xml" ContentType="application/vnd.openxmlformats-officedocument.drawingml.chart+xml"/>
  <Override PartName="/word/settings.xml" ContentType="application/vnd.openxmlformats-officedocument.wordprocessingml.settings+xml"/>
  <Override PartName="/word/fontTable.xml" ContentType="application/vnd.openxmlformats-officedocument.wordprocessingml.fontTable+xml"/>
  <Override PartName="/word/charts/chart4.xml" ContentType="application/vnd.openxmlformats-officedocument.drawingml.chart+xml"/>
  <Override PartName="/word/numbering.xml" ContentType="application/vnd.openxmlformats-officedocument.wordprocessingml.numbering+xml"/>
  <Override PartName="/word/styles.xml" ContentType="application/vnd.openxmlformats-officedocument.wordprocessingml.styles+xml"/>
  <Override PartName="/word/charts/colors4.xml" ContentType="application/vnd.ms-office.chartcolorsty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dgm="http://schemas.openxmlformats.org/drawingml/2006/diagram" mc:Ignorable="w14 wp14 ">
  <w:body>
    <w:p w14:paraId="00000005">
      <w:pPr>
        <w:jc w:val="center"/>
        <w:rPr>
          <w:rFonts w:cs="Arial"/>
          <w:color w:val="000000" w:themeColor="text1"/>
          <w:szCs w:val="24"/>
          <w:lang w:val="en-IN"/>
        </w:rPr>
      </w:pPr>
      <w:r>
        <w:rPr>
          <w:rFonts w:cs="Arial"/>
          <w:color w:val="000000" w:themeColor="text1"/>
          <w:szCs w:val="24"/>
          <w:lang w:val="en-IN"/>
        </w:rPr>
        <w:drawing xmlns:mc="http://schemas.openxmlformats.org/markup-compatibility/2006">
          <wp:inline>
            <wp:extent cx="3931920" cy="1941830"/>
            <wp:effectExtent l="0" t="0" r="0" b="0"/>
            <wp:docPr id="1825767975" name="Picture 1825767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a:picLocks noGrp="0" noSelect="0" noChangeAspect="1" noMove="0"/>
                    </pic:cNvPicPr>
                  </pic:nvPicPr>
                  <pic:blipFill>
                    <a:blip r:embed="rId40"/>
                    <a:srcRect/>
                    <a:stretch>
                      <a:fillRect/>
                    </a:stretch>
                  </pic:blipFill>
                  <pic:spPr>
                    <a:xfrm>
                      <a:off x="0" y="0"/>
                      <a:ext cx="3931920" cy="1941830"/>
                    </a:xfrm>
                    <a:prstGeom prst="rect">
                      <a:avLst/>
                    </a:prstGeom>
                  </pic:spPr>
                </pic:pic>
              </a:graphicData>
            </a:graphic>
          </wp:inline>
        </w:drawing>
      </w:r>
    </w:p>
    <w:p w14:paraId="00000006">
      <w:pPr>
        <w:jc w:val="center"/>
        <w:rPr>
          <w:rFonts w:cs="Arial"/>
          <w:b/>
          <w:bCs/>
          <w:color w:val="000000" w:themeColor="text1"/>
          <w:szCs w:val="24"/>
          <w:lang w:val="en-IN"/>
        </w:rPr>
      </w:pPr>
      <w:r>
        <w:rPr>
          <w:rFonts w:cs="Arial"/>
          <w:b/>
          <w:bCs/>
          <w:color w:val="000000" w:themeColor="text1"/>
          <w:szCs w:val="24"/>
          <w:lang w:val="en-IN"/>
        </w:rPr>
        <w:t>Master of Business Administration (MBA)</w:t>
      </w:r>
    </w:p>
    <w:p w14:paraId="00000007">
      <w:pPr>
        <w:jc w:val="center"/>
        <w:rPr>
          <w:rFonts w:cs="Arial"/>
          <w:b/>
          <w:bCs/>
          <w:color w:val="000000" w:themeColor="text1"/>
          <w:szCs w:val="24"/>
          <w:lang w:val="en-IN"/>
        </w:rPr>
      </w:pPr>
      <w:r>
        <w:rPr>
          <w:rFonts w:cs="Arial"/>
          <w:b/>
          <w:bCs/>
          <w:color w:val="000000" w:themeColor="text1"/>
          <w:szCs w:val="24"/>
          <w:lang w:val="en-IN"/>
        </w:rPr>
        <w:t xml:space="preserve">Module Title: </w:t>
      </w:r>
      <w:r>
        <w:rPr>
          <w:rFonts w:cs="Arial"/>
          <w:color w:val="000000" w:themeColor="text1"/>
          <w:szCs w:val="24"/>
          <w:lang w:val="en-IN"/>
        </w:rPr>
        <w:t>Financial Management</w:t>
      </w:r>
    </w:p>
    <w:p w14:paraId="00000008">
      <w:pPr>
        <w:jc w:val="center"/>
        <w:rPr>
          <w:rFonts w:cs="Arial"/>
          <w:b/>
          <w:bCs/>
          <w:color w:val="000000" w:themeColor="text1"/>
          <w:szCs w:val="24"/>
          <w:lang w:val="en-IN"/>
        </w:rPr>
      </w:pPr>
      <w:r>
        <w:rPr>
          <w:rFonts w:cs="Arial"/>
          <w:b/>
          <w:bCs/>
          <w:color w:val="000000" w:themeColor="text1"/>
          <w:szCs w:val="24"/>
          <w:lang w:val="en-IN"/>
        </w:rPr>
        <w:t xml:space="preserve">Module Code: </w:t>
      </w:r>
      <w:r>
        <w:rPr>
          <w:rFonts w:cs="Arial"/>
          <w:color w:val="000000" w:themeColor="text1"/>
          <w:szCs w:val="24"/>
          <w:lang w:val="en-IN"/>
        </w:rPr>
        <w:t>LCMB7002</w:t>
      </w:r>
    </w:p>
    <w:p w14:paraId="00000009">
      <w:pPr>
        <w:jc w:val="center"/>
        <w:rPr>
          <w:rFonts w:cs="Arial"/>
          <w:color w:val="000000" w:themeColor="text1"/>
          <w:szCs w:val="24"/>
          <w:lang w:val="en-IN"/>
        </w:rPr>
      </w:pPr>
    </w:p>
    <w:p w14:paraId="0000000A">
      <w:pPr>
        <w:jc w:val="center"/>
        <w:rPr>
          <w:rFonts w:cs="Arial"/>
          <w:b/>
          <w:bCs/>
          <w:color w:val="000000" w:themeColor="text1"/>
          <w:szCs w:val="24"/>
          <w:lang w:val="en-IN"/>
        </w:rPr>
      </w:pPr>
      <w:r>
        <w:rPr>
          <w:rFonts w:cs="Arial"/>
          <w:b/>
          <w:bCs/>
          <w:color w:val="000000" w:themeColor="text1"/>
          <w:szCs w:val="24"/>
          <w:lang w:val="en-IN"/>
        </w:rPr>
        <w:t>Assessment Title:</w:t>
      </w:r>
      <w:r>
        <w:rPr>
          <w:rFonts w:cs="Arial"/>
          <w:b/>
          <w:bCs/>
          <w:color w:val="000000" w:themeColor="text1"/>
          <w:szCs w:val="24"/>
          <w:lang w:val="en-IN"/>
        </w:rPr>
        <w:t xml:space="preserve"> </w:t>
      </w:r>
      <w:r>
        <w:rPr>
          <w:rFonts w:cs="Arial"/>
          <w:color w:val="000000" w:themeColor="text1"/>
          <w:szCs w:val="24"/>
          <w:lang w:val="en-IN"/>
        </w:rPr>
        <w:t>Financial Performance and Management Analysis</w:t>
      </w:r>
    </w:p>
    <w:p w14:paraId="0000000B">
      <w:pPr>
        <w:jc w:val="center"/>
        <w:rPr>
          <w:rFonts w:cs="Arial"/>
          <w:b/>
          <w:bCs/>
          <w:color w:val="000000" w:themeColor="text1"/>
          <w:szCs w:val="24"/>
          <w:lang w:val="en-IN"/>
        </w:rPr>
      </w:pPr>
      <w:r>
        <w:rPr>
          <w:rFonts w:cs="Arial"/>
          <w:b/>
          <w:bCs/>
          <w:color w:val="000000" w:themeColor="text1"/>
          <w:szCs w:val="24"/>
          <w:lang w:val="en-IN"/>
        </w:rPr>
        <w:t>Company Selected:</w:t>
      </w:r>
      <w:r>
        <w:rPr>
          <w:rFonts w:cs="Arial"/>
          <w:color w:val="000000" w:themeColor="text1"/>
          <w:szCs w:val="24"/>
          <w:lang w:val="en-IN"/>
        </w:rPr>
        <w:t xml:space="preserve"> Hyundai</w:t>
      </w:r>
    </w:p>
    <w:p w14:paraId="0000000C">
      <w:pPr>
        <w:jc w:val="center"/>
        <w:rPr>
          <w:rFonts w:cs="Arial"/>
          <w:color w:val="000000" w:themeColor="text1"/>
          <w:szCs w:val="24"/>
          <w:lang w:val="en-IN"/>
        </w:rPr>
      </w:pPr>
    </w:p>
    <w:p w14:paraId="0000000D">
      <w:pPr>
        <w:jc w:val="center"/>
        <w:rPr>
          <w:rFonts w:cs="Arial"/>
          <w:b w:val="off"/>
          <w:bCs w:val="off"/>
          <w:color w:val="000000" w:themeColor="text1"/>
          <w:szCs w:val="24"/>
          <w:lang w:val="en-IN"/>
        </w:rPr>
      </w:pPr>
      <w:r>
        <w:rPr>
          <w:rFonts w:cs="Arial"/>
          <w:b/>
          <w:bCs/>
          <w:color w:val="000000" w:themeColor="text1"/>
          <w:szCs w:val="24"/>
          <w:lang w:val="en-IN"/>
        </w:rPr>
        <w:t xml:space="preserve">Student Name:  </w:t>
      </w:r>
      <w:r>
        <w:rPr>
          <w:rFonts w:cs="Arial"/>
          <w:b w:val="off"/>
          <w:bCs w:val="off"/>
          <w:color w:val="000000" w:themeColor="text1"/>
          <w:szCs w:val="24"/>
          <w:lang w:val="en-IN"/>
        </w:rPr>
        <w:t>Asfiyabanu Muntasibahemad Malek</w:t>
      </w:r>
    </w:p>
    <w:p w14:paraId="0000000E">
      <w:pPr>
        <w:jc w:val="center"/>
        <w:rPr>
          <w:rFonts w:cs="Arial"/>
          <w:b/>
          <w:bCs/>
          <w:color w:val="000000" w:themeColor="text1"/>
          <w:szCs w:val="24"/>
          <w:lang w:val="en-IN"/>
        </w:rPr>
      </w:pPr>
      <w:r>
        <w:rPr>
          <w:rFonts w:cs="Arial"/>
          <w:b/>
          <w:bCs/>
          <w:color w:val="000000" w:themeColor="text1"/>
          <w:szCs w:val="24"/>
          <w:lang w:val="en-IN"/>
        </w:rPr>
        <w:t>Student ID: 2521746</w:t>
      </w:r>
    </w:p>
    <w:p w14:paraId="0000000F">
      <w:pPr>
        <w:jc w:val="center"/>
        <w:rPr>
          <w:rFonts w:cs="Arial"/>
          <w:color w:val="000000" w:themeColor="text1"/>
          <w:szCs w:val="24"/>
          <w:lang w:val="en-IN"/>
        </w:rPr>
      </w:pPr>
    </w:p>
    <w:p w14:paraId="00000010">
      <w:pPr>
        <w:jc w:val="center"/>
        <w:rPr>
          <w:rFonts w:cs="Arial"/>
          <w:b/>
          <w:bCs/>
          <w:color w:val="000000" w:themeColor="text1"/>
          <w:szCs w:val="24"/>
          <w:lang w:val="en-IN"/>
        </w:rPr>
      </w:pPr>
      <w:r>
        <w:rPr>
          <w:rFonts w:cs="Arial"/>
          <w:b/>
          <w:bCs/>
          <w:color w:val="000000" w:themeColor="text1"/>
          <w:szCs w:val="24"/>
          <w:lang w:val="en-IN"/>
        </w:rPr>
        <w:t>Lecturer Name:</w:t>
      </w:r>
    </w:p>
    <w:p w14:paraId="00000011">
      <w:pPr>
        <w:jc w:val="center"/>
        <w:rPr>
          <w:rFonts w:cs="Arial"/>
          <w:color w:val="000000" w:themeColor="text1"/>
          <w:szCs w:val="24"/>
          <w:lang w:val="en-IN"/>
        </w:rPr>
      </w:pPr>
      <w:r>
        <w:rPr>
          <w:rFonts w:cs="Arial"/>
          <w:color w:val="000000" w:themeColor="text1"/>
          <w:szCs w:val="24"/>
          <w:lang w:val="en-IN"/>
        </w:rPr>
        <w:t>Isaiah Oino</w:t>
      </w:r>
    </w:p>
    <w:p w14:paraId="00000012">
      <w:pPr>
        <w:jc w:val="center"/>
        <w:rPr>
          <w:rFonts w:cs="Arial"/>
          <w:color w:val="000000" w:themeColor="text1"/>
          <w:szCs w:val="24"/>
          <w:lang w:val="en-IN"/>
        </w:rPr>
      </w:pPr>
    </w:p>
    <w:p w14:paraId="00000013">
      <w:pPr>
        <w:jc w:val="center"/>
        <w:rPr>
          <w:rFonts w:cs="Arial"/>
          <w:b/>
          <w:bCs/>
          <w:color w:val="000000" w:themeColor="text1"/>
          <w:szCs w:val="24"/>
          <w:lang w:val="en-IN"/>
        </w:rPr>
      </w:pPr>
    </w:p>
    <w:p w14:paraId="00000014">
      <w:pPr>
        <w:jc w:val="center"/>
        <w:rPr>
          <w:rFonts w:cs="Arial"/>
          <w:b/>
          <w:bCs/>
          <w:color w:val="000000" w:themeColor="text1"/>
          <w:szCs w:val="24"/>
          <w:lang w:val="en-IN"/>
        </w:rPr>
      </w:pPr>
      <w:r>
        <w:rPr>
          <w:rFonts w:cs="Arial"/>
          <w:b/>
          <w:bCs/>
          <w:color w:val="000000" w:themeColor="text1"/>
          <w:szCs w:val="24"/>
          <w:lang w:val="en-IN"/>
        </w:rPr>
        <w:t>Word Count:</w:t>
      </w:r>
    </w:p>
    <w:p w14:paraId="00000015">
      <w:pPr>
        <w:jc w:val="center"/>
        <w:rPr>
          <w:rFonts w:cs="Arial"/>
          <w:color w:val="000000" w:themeColor="text1"/>
          <w:szCs w:val="24"/>
          <w:lang w:val="en-IN"/>
        </w:rPr>
      </w:pPr>
      <w:r>
        <w:rPr>
          <w:rFonts w:cs="Arial"/>
          <w:color w:val="000000" w:themeColor="text1"/>
          <w:szCs w:val="24"/>
          <w:lang w:val="en-IN"/>
        </w:rPr>
        <w:t>4</w:t>
      </w:r>
      <w:r>
        <w:rPr>
          <w:rFonts w:cs="Arial"/>
          <w:color w:val="000000" w:themeColor="text1"/>
          <w:szCs w:val="24"/>
          <w:lang w:val="en-IN"/>
        </w:rPr>
        <w:t>9</w:t>
      </w:r>
      <w:r>
        <w:rPr>
          <w:rFonts w:cs="Arial"/>
          <w:color w:val="000000" w:themeColor="text1"/>
          <w:szCs w:val="24"/>
          <w:lang w:val="en-IN"/>
        </w:rPr>
        <w:t>37</w:t>
      </w:r>
      <w:r>
        <w:rPr>
          <w:rFonts w:cs="Arial"/>
          <w:color w:val="000000" w:themeColor="text1"/>
          <w:szCs w:val="24"/>
          <w:lang w:val="en-IN"/>
        </w:rPr>
        <w:t xml:space="preserve"> Words</w:t>
      </w:r>
    </w:p>
    <w:p w14:paraId="00000016">
      <w:pPr>
        <w:spacing w:before="0" w:beforeAutospacing="0" w:after="160" w:afterAutospacing="0" w:line="259" w:lineRule="auto"/>
        <w:jc w:val="left"/>
        <w:rPr>
          <w:rFonts w:eastAsiaTheme="majorEastAsia"/>
          <w:b/>
          <w:bCs/>
          <w:color w:val="000000" w:themeColor="text1"/>
          <w:szCs w:val="48"/>
          <w:lang w:eastAsia="en-IN"/>
        </w:rPr>
      </w:pPr>
      <w:r>
        <w:rPr>
          <w:color w:val="000000" w:themeColor="text1"/>
        </w:rPr>
        <w:br w:type="page"/>
      </w:r>
    </w:p>
    <w:p w14:paraId="00000017">
      <w:pPr>
        <w:pStyle w:val="TOCHeading"/>
        <w:jc w:val="center"/>
        <w:rPr>
          <w:rFonts w:ascii="Arial" w:cs="Arial" w:hAnsi="Arial"/>
          <w:b/>
          <w:bCs/>
          <w:color w:val="000000" w:themeColor="text1"/>
        </w:rPr>
      </w:pPr>
      <w:r>
        <w:rPr>
          <w:rFonts w:ascii="Arial" w:cs="Arial" w:hAnsi="Arial"/>
          <w:b/>
          <w:bCs/>
          <w:color w:val="000000" w:themeColor="text1"/>
        </w:rPr>
        <w:t>Table of Contents</w:t>
      </w:r>
    </w:p>
    <w:p w14:paraId="00000018">
      <w:pPr>
        <w:pStyle w:val="Toc1"/>
        <w:tabs>
          <w:tab w:val="right" w:leader="dot" w:pos="9016"/>
        </w:tabs>
        <w:rPr>
          <w:rFonts w:asciiTheme="minorHAnsi" w:eastAsiaTheme="minorEastAsia" w:hAnsiTheme="minorHAnsi"/>
          <w:szCs w:val="24"/>
          <w:lang w:val="en-IN" w:eastAsia="en-IN"/>
          <w14:ligatures w14:val="standardContextual"/>
        </w:rPr>
      </w:pPr>
      <w:r>
        <w:rPr>
          <w:rStyle w:val="Hyperlink"/>
        </w:rPr>
        <w:fldChar w:fldCharType="begin"/>
      </w:r>
      <w:r>
        <w:rPr>
          <w:rStyle w:val="Hyperlink"/>
        </w:rPr>
        <w:instrText xml:space="preserve"> TOC \o "1-3" \h \z \u </w:instrText>
      </w:r>
      <w:r>
        <w:rPr>
          <w:rStyle w:val="Hyperlink"/>
        </w:rPr>
        <w:fldChar w:fldCharType="separate"/>
      </w:r>
      <w:r>
        <w:rPr>
          <w:rStyle w:val="Hyperlink"/>
        </w:rPr>
        <w:fldChar w:fldCharType="begin"/>
      </w:r>
      <w:r>
        <w:rPr>
          <w:rStyle w:val="Hyperlink"/>
        </w:rPr>
        <w:instrText xml:space="preserve">HYPERLINK \l "_Toc227942340" </w:instrText>
      </w:r>
      <w:r>
        <w:rPr>
          <w:rStyle w:val="Hyperlink"/>
        </w:rPr>
        <w:fldChar w:fldCharType="separate"/>
      </w:r>
      <w:r>
        <w:rPr>
          <w:rStyle w:val="Hyperlink"/>
        </w:rPr>
        <w:t>1. INTRODUCTION</w:t>
      </w:r>
      <w:r>
        <w:tab/>
      </w:r>
      <w:r>
        <w:fldChar w:fldCharType="begin"/>
      </w:r>
      <w:r>
        <w:instrText xml:space="preserve"> PAGEREF _Toc227942340 \h </w:instrText>
      </w:r>
      <w:r>
        <w:fldChar w:fldCharType="separate"/>
      </w:r>
      <w:r>
        <w:t>3</w:t>
      </w:r>
      <w:r>
        <w:rPr>
          <w:rFonts w:asciiTheme="minorHAnsi" w:eastAsiaTheme="minorEastAsia" w:hAnsiTheme="minorHAnsi"/>
          <w:szCs w:val="24"/>
          <w:lang w:val="en-IN" w:eastAsia="en-IN"/>
          <w14:ligatures w14:val="standardContextual"/>
        </w:rPr>
        <w:fldChar w:fldCharType="end"/>
      </w:r>
      <w:r>
        <w:rPr>
          <w:rFonts w:asciiTheme="minorHAnsi" w:eastAsiaTheme="minorEastAsia" w:hAnsiTheme="minorHAnsi"/>
          <w:szCs w:val="24"/>
          <w:lang w:val="en-IN" w:eastAsia="en-IN"/>
          <w14:ligatures w14:val="standardContextual"/>
        </w:rPr>
        <w:fldChar w:fldCharType="end"/>
      </w:r>
    </w:p>
    <w:p w14:paraId="00000019">
      <w:pPr>
        <w:pStyle w:val="Toc1"/>
        <w:tabs>
          <w:tab w:val="right" w:leader="dot" w:pos="9016"/>
        </w:tabs>
        <w:rPr>
          <w:rFonts w:asciiTheme="minorHAnsi" w:eastAsiaTheme="minorEastAsia" w:hAnsiTheme="minorHAnsi"/>
          <w:szCs w:val="24"/>
          <w:lang w:val="en-IN" w:eastAsia="en-IN"/>
          <w14:ligatures w14:val="standardContextual"/>
        </w:rPr>
      </w:pPr>
      <w:r>
        <w:rPr>
          <w:rStyle w:val="Hyperlink"/>
          <w:lang w:val="en-IN"/>
        </w:rPr>
        <w:fldChar w:fldCharType="begin"/>
      </w:r>
      <w:r>
        <w:rPr>
          <w:rStyle w:val="Hyperlink"/>
          <w:lang w:val="en-IN"/>
        </w:rPr>
        <w:instrText xml:space="preserve">HYPERLINK \l "_Toc227942341" </w:instrText>
      </w:r>
      <w:r>
        <w:rPr>
          <w:rStyle w:val="Hyperlink"/>
          <w:lang w:val="en-IN"/>
        </w:rPr>
        <w:fldChar w:fldCharType="separate"/>
      </w:r>
      <w:r>
        <w:rPr>
          <w:rStyle w:val="Hyperlink"/>
          <w:lang w:val="en-IN"/>
        </w:rPr>
        <w:t>2. FINANCIAL HEALTH CHECK</w:t>
      </w:r>
      <w:r>
        <w:tab/>
      </w:r>
      <w:r>
        <w:fldChar w:fldCharType="begin"/>
      </w:r>
      <w:r>
        <w:instrText xml:space="preserve"> PAGEREF _Toc227942341 \h </w:instrText>
      </w:r>
      <w:r>
        <w:fldChar w:fldCharType="separate"/>
      </w:r>
      <w:r>
        <w:t>3</w:t>
      </w:r>
      <w:r>
        <w:rPr>
          <w:rFonts w:asciiTheme="minorHAnsi" w:eastAsiaTheme="minorEastAsia" w:hAnsiTheme="minorHAnsi"/>
          <w:szCs w:val="24"/>
          <w:lang w:val="en-IN" w:eastAsia="en-IN"/>
          <w14:ligatures w14:val="standardContextual"/>
        </w:rPr>
        <w:fldChar w:fldCharType="end"/>
      </w:r>
      <w:r>
        <w:rPr>
          <w:rFonts w:asciiTheme="minorHAnsi" w:eastAsiaTheme="minorEastAsia" w:hAnsiTheme="minorHAnsi"/>
          <w:szCs w:val="24"/>
          <w:lang w:val="en-IN" w:eastAsia="en-IN"/>
          <w14:ligatures w14:val="standardContextual"/>
        </w:rPr>
        <w:fldChar w:fldCharType="end"/>
      </w:r>
    </w:p>
    <w:p w14:paraId="0000001A">
      <w:pPr>
        <w:pStyle w:val="Toc2"/>
        <w:tabs>
          <w:tab w:val="right" w:leader="dot" w:pos="9016"/>
        </w:tabs>
        <w:rPr>
          <w:rFonts w:asciiTheme="minorHAnsi" w:eastAsiaTheme="minorEastAsia" w:hAnsiTheme="minorHAnsi"/>
          <w:szCs w:val="24"/>
          <w:lang w:val="en-IN" w:eastAsia="en-IN"/>
          <w14:ligatures w14:val="standardContextual"/>
        </w:rPr>
      </w:pPr>
      <w:r>
        <w:rPr>
          <w:rStyle w:val="Hyperlink"/>
          <w:lang w:val="en-IN"/>
        </w:rPr>
        <w:fldChar w:fldCharType="begin"/>
      </w:r>
      <w:r>
        <w:rPr>
          <w:rStyle w:val="Hyperlink"/>
          <w:lang w:val="en-IN"/>
        </w:rPr>
        <w:instrText xml:space="preserve">HYPERLINK \l "_Toc227942342" </w:instrText>
      </w:r>
      <w:r>
        <w:rPr>
          <w:rStyle w:val="Hyperlink"/>
          <w:lang w:val="en-IN"/>
        </w:rPr>
        <w:fldChar w:fldCharType="separate"/>
      </w:r>
      <w:r>
        <w:rPr>
          <w:rStyle w:val="Hyperlink"/>
          <w:lang w:val="en-IN"/>
        </w:rPr>
        <w:t>2.1 Revenue and Profitability Analysis</w:t>
      </w:r>
      <w:r>
        <w:tab/>
      </w:r>
      <w:r>
        <w:fldChar w:fldCharType="begin"/>
      </w:r>
      <w:r>
        <w:instrText xml:space="preserve"> PAGEREF _Toc227942342 \h </w:instrText>
      </w:r>
      <w:r>
        <w:fldChar w:fldCharType="separate"/>
      </w:r>
      <w:r>
        <w:t>3</w:t>
      </w:r>
      <w:r>
        <w:rPr>
          <w:rFonts w:asciiTheme="minorHAnsi" w:eastAsiaTheme="minorEastAsia" w:hAnsiTheme="minorHAnsi"/>
          <w:szCs w:val="24"/>
          <w:lang w:val="en-IN" w:eastAsia="en-IN"/>
          <w14:ligatures w14:val="standardContextual"/>
        </w:rPr>
        <w:fldChar w:fldCharType="end"/>
      </w:r>
      <w:r>
        <w:rPr>
          <w:rFonts w:asciiTheme="minorHAnsi" w:eastAsiaTheme="minorEastAsia" w:hAnsiTheme="minorHAnsi"/>
          <w:szCs w:val="24"/>
          <w:lang w:val="en-IN" w:eastAsia="en-IN"/>
          <w14:ligatures w14:val="standardContextual"/>
        </w:rPr>
        <w:fldChar w:fldCharType="end"/>
      </w:r>
    </w:p>
    <w:p w14:paraId="0000001B">
      <w:pPr>
        <w:pStyle w:val="Toc2"/>
        <w:tabs>
          <w:tab w:val="right" w:leader="dot" w:pos="9016"/>
        </w:tabs>
        <w:rPr>
          <w:rFonts w:asciiTheme="minorHAnsi" w:eastAsiaTheme="minorEastAsia" w:hAnsiTheme="minorHAnsi"/>
          <w:szCs w:val="24"/>
          <w:lang w:val="en-IN" w:eastAsia="en-IN"/>
          <w14:ligatures w14:val="standardContextual"/>
        </w:rPr>
      </w:pPr>
      <w:r>
        <w:rPr>
          <w:rStyle w:val="Hyperlink"/>
          <w:lang w:val="en-IN"/>
        </w:rPr>
        <w:fldChar w:fldCharType="begin"/>
      </w:r>
      <w:r>
        <w:rPr>
          <w:rStyle w:val="Hyperlink"/>
          <w:lang w:val="en-IN"/>
        </w:rPr>
        <w:instrText xml:space="preserve">HYPERLINK \l "_Toc227942343" </w:instrText>
      </w:r>
      <w:r>
        <w:rPr>
          <w:rStyle w:val="Hyperlink"/>
          <w:lang w:val="en-IN"/>
        </w:rPr>
        <w:fldChar w:fldCharType="separate"/>
      </w:r>
      <w:r>
        <w:rPr>
          <w:rStyle w:val="Hyperlink"/>
          <w:lang w:val="en-IN"/>
        </w:rPr>
        <w:t>2.2 Ratio Analysis</w:t>
      </w:r>
      <w:r>
        <w:tab/>
      </w:r>
      <w:r>
        <w:fldChar w:fldCharType="begin"/>
      </w:r>
      <w:r>
        <w:instrText xml:space="preserve"> PAGEREF _Toc227942343 \h </w:instrText>
      </w:r>
      <w:r>
        <w:fldChar w:fldCharType="separate"/>
      </w:r>
      <w:r>
        <w:t>5</w:t>
      </w:r>
      <w:r>
        <w:rPr>
          <w:rFonts w:asciiTheme="minorHAnsi" w:eastAsiaTheme="minorEastAsia" w:hAnsiTheme="minorHAnsi"/>
          <w:szCs w:val="24"/>
          <w:lang w:val="en-IN" w:eastAsia="en-IN"/>
          <w14:ligatures w14:val="standardContextual"/>
        </w:rPr>
        <w:fldChar w:fldCharType="end"/>
      </w:r>
      <w:r>
        <w:rPr>
          <w:rFonts w:asciiTheme="minorHAnsi" w:eastAsiaTheme="minorEastAsia" w:hAnsiTheme="minorHAnsi"/>
          <w:szCs w:val="24"/>
          <w:lang w:val="en-IN" w:eastAsia="en-IN"/>
          <w14:ligatures w14:val="standardContextual"/>
        </w:rPr>
        <w:fldChar w:fldCharType="end"/>
      </w:r>
    </w:p>
    <w:p w14:paraId="0000001C">
      <w:pPr>
        <w:pStyle w:val="Toc2"/>
        <w:tabs>
          <w:tab w:val="right" w:leader="dot" w:pos="9016"/>
        </w:tabs>
        <w:rPr>
          <w:rFonts w:asciiTheme="minorHAnsi" w:eastAsiaTheme="minorEastAsia" w:hAnsiTheme="minorHAnsi"/>
          <w:szCs w:val="24"/>
          <w:lang w:val="en-IN" w:eastAsia="en-IN"/>
          <w14:ligatures w14:val="standardContextual"/>
        </w:rPr>
      </w:pPr>
      <w:r>
        <w:rPr>
          <w:rStyle w:val="Hyperlink"/>
          <w:lang w:val="en-IN"/>
        </w:rPr>
        <w:fldChar w:fldCharType="begin"/>
      </w:r>
      <w:r>
        <w:rPr>
          <w:rStyle w:val="Hyperlink"/>
          <w:lang w:val="en-IN"/>
        </w:rPr>
        <w:instrText xml:space="preserve">HYPERLINK \l "_Toc227942344" </w:instrText>
      </w:r>
      <w:r>
        <w:rPr>
          <w:rStyle w:val="Hyperlink"/>
          <w:lang w:val="en-IN"/>
        </w:rPr>
        <w:fldChar w:fldCharType="separate"/>
      </w:r>
      <w:r>
        <w:rPr>
          <w:rStyle w:val="Hyperlink"/>
          <w:lang w:val="en-IN"/>
        </w:rPr>
        <w:t>2.3 Key Issues Identification</w:t>
      </w:r>
      <w:r>
        <w:tab/>
      </w:r>
      <w:r>
        <w:fldChar w:fldCharType="begin"/>
      </w:r>
      <w:r>
        <w:instrText xml:space="preserve"> PAGEREF _Toc227942344 \h </w:instrText>
      </w:r>
      <w:r>
        <w:fldChar w:fldCharType="separate"/>
      </w:r>
      <w:r>
        <w:t>8</w:t>
      </w:r>
      <w:r>
        <w:rPr>
          <w:rFonts w:asciiTheme="minorHAnsi" w:eastAsiaTheme="minorEastAsia" w:hAnsiTheme="minorHAnsi"/>
          <w:szCs w:val="24"/>
          <w:lang w:val="en-IN" w:eastAsia="en-IN"/>
          <w14:ligatures w14:val="standardContextual"/>
        </w:rPr>
        <w:fldChar w:fldCharType="end"/>
      </w:r>
      <w:r>
        <w:rPr>
          <w:rFonts w:asciiTheme="minorHAnsi" w:eastAsiaTheme="minorEastAsia" w:hAnsiTheme="minorHAnsi"/>
          <w:szCs w:val="24"/>
          <w:lang w:val="en-IN" w:eastAsia="en-IN"/>
          <w14:ligatures w14:val="standardContextual"/>
        </w:rPr>
        <w:fldChar w:fldCharType="end"/>
      </w:r>
    </w:p>
    <w:p w14:paraId="0000001D">
      <w:pPr>
        <w:pStyle w:val="Toc1"/>
        <w:tabs>
          <w:tab w:val="right" w:leader="dot" w:pos="9016"/>
        </w:tabs>
        <w:rPr>
          <w:rFonts w:asciiTheme="minorHAnsi" w:eastAsiaTheme="minorEastAsia" w:hAnsiTheme="minorHAnsi"/>
          <w:szCs w:val="24"/>
          <w:lang w:val="en-IN" w:eastAsia="en-IN"/>
          <w14:ligatures w14:val="standardContextual"/>
        </w:rPr>
      </w:pPr>
      <w:r>
        <w:rPr>
          <w:rStyle w:val="Hyperlink"/>
          <w:lang w:val="en-IN"/>
        </w:rPr>
        <w:fldChar w:fldCharType="begin"/>
      </w:r>
      <w:r>
        <w:rPr>
          <w:rStyle w:val="Hyperlink"/>
          <w:lang w:val="en-IN"/>
        </w:rPr>
        <w:instrText xml:space="preserve">HYPERLINK \l "_Toc227942345" </w:instrText>
      </w:r>
      <w:r>
        <w:rPr>
          <w:rStyle w:val="Hyperlink"/>
          <w:lang w:val="en-IN"/>
        </w:rPr>
        <w:fldChar w:fldCharType="separate"/>
      </w:r>
      <w:r>
        <w:rPr>
          <w:rStyle w:val="Hyperlink"/>
          <w:lang w:val="en-IN"/>
        </w:rPr>
        <w:t>3. WORKING CAPITAL MANAGEMENT ANALYSIS</w:t>
      </w:r>
      <w:r>
        <w:tab/>
      </w:r>
      <w:r>
        <w:fldChar w:fldCharType="begin"/>
      </w:r>
      <w:r>
        <w:instrText xml:space="preserve"> PAGEREF _Toc227942345 \h </w:instrText>
      </w:r>
      <w:r>
        <w:fldChar w:fldCharType="separate"/>
      </w:r>
      <w:r>
        <w:t>8</w:t>
      </w:r>
      <w:r>
        <w:rPr>
          <w:rFonts w:asciiTheme="minorHAnsi" w:eastAsiaTheme="minorEastAsia" w:hAnsiTheme="minorHAnsi"/>
          <w:szCs w:val="24"/>
          <w:lang w:val="en-IN" w:eastAsia="en-IN"/>
          <w14:ligatures w14:val="standardContextual"/>
        </w:rPr>
        <w:fldChar w:fldCharType="end"/>
      </w:r>
      <w:r>
        <w:rPr>
          <w:rFonts w:asciiTheme="minorHAnsi" w:eastAsiaTheme="minorEastAsia" w:hAnsiTheme="minorHAnsi"/>
          <w:szCs w:val="24"/>
          <w:lang w:val="en-IN" w:eastAsia="en-IN"/>
          <w14:ligatures w14:val="standardContextual"/>
        </w:rPr>
        <w:fldChar w:fldCharType="end"/>
      </w:r>
    </w:p>
    <w:p w14:paraId="0000001E">
      <w:pPr>
        <w:pStyle w:val="Toc2"/>
        <w:tabs>
          <w:tab w:val="right" w:leader="dot" w:pos="9016"/>
        </w:tabs>
        <w:rPr>
          <w:rFonts w:asciiTheme="minorHAnsi" w:eastAsiaTheme="minorEastAsia" w:hAnsiTheme="minorHAnsi"/>
          <w:szCs w:val="24"/>
          <w:lang w:val="en-IN" w:eastAsia="en-IN"/>
          <w14:ligatures w14:val="standardContextual"/>
        </w:rPr>
      </w:pPr>
      <w:r>
        <w:rPr>
          <w:rStyle w:val="Hyperlink"/>
          <w:lang w:val="en-IN"/>
        </w:rPr>
        <w:fldChar w:fldCharType="begin"/>
      </w:r>
      <w:r>
        <w:rPr>
          <w:rStyle w:val="Hyperlink"/>
          <w:lang w:val="en-IN"/>
        </w:rPr>
        <w:instrText xml:space="preserve">HYPERLINK \l "_Toc227942346" </w:instrText>
      </w:r>
      <w:r>
        <w:rPr>
          <w:rStyle w:val="Hyperlink"/>
          <w:lang w:val="en-IN"/>
        </w:rPr>
        <w:fldChar w:fldCharType="separate"/>
      </w:r>
      <w:r>
        <w:rPr>
          <w:rStyle w:val="Hyperlink"/>
          <w:lang w:val="en-IN"/>
        </w:rPr>
        <w:t>3.1 Cash Conversion Cycle (CCC) Analysis</w:t>
      </w:r>
      <w:r>
        <w:tab/>
      </w:r>
      <w:r>
        <w:fldChar w:fldCharType="begin"/>
      </w:r>
      <w:r>
        <w:instrText xml:space="preserve"> PAGEREF _Toc227942346 \h </w:instrText>
      </w:r>
      <w:r>
        <w:fldChar w:fldCharType="separate"/>
      </w:r>
      <w:r>
        <w:t>8</w:t>
      </w:r>
      <w:r>
        <w:rPr>
          <w:rFonts w:asciiTheme="minorHAnsi" w:eastAsiaTheme="minorEastAsia" w:hAnsiTheme="minorHAnsi"/>
          <w:szCs w:val="24"/>
          <w:lang w:val="en-IN" w:eastAsia="en-IN"/>
          <w14:ligatures w14:val="standardContextual"/>
        </w:rPr>
        <w:fldChar w:fldCharType="end"/>
      </w:r>
      <w:r>
        <w:rPr>
          <w:rFonts w:asciiTheme="minorHAnsi" w:eastAsiaTheme="minorEastAsia" w:hAnsiTheme="minorHAnsi"/>
          <w:szCs w:val="24"/>
          <w:lang w:val="en-IN" w:eastAsia="en-IN"/>
          <w14:ligatures w14:val="standardContextual"/>
        </w:rPr>
        <w:fldChar w:fldCharType="end"/>
      </w:r>
    </w:p>
    <w:p w14:paraId="0000001F">
      <w:pPr>
        <w:pStyle w:val="Toc2"/>
        <w:tabs>
          <w:tab w:val="right" w:leader="dot" w:pos="9016"/>
        </w:tabs>
        <w:rPr>
          <w:rFonts w:asciiTheme="minorHAnsi" w:eastAsiaTheme="minorEastAsia" w:hAnsiTheme="minorHAnsi"/>
          <w:szCs w:val="24"/>
          <w:lang w:val="en-IN" w:eastAsia="en-IN"/>
          <w14:ligatures w14:val="standardContextual"/>
        </w:rPr>
      </w:pPr>
      <w:r>
        <w:rPr>
          <w:rStyle w:val="Hyperlink"/>
          <w:lang w:val="en-IN"/>
        </w:rPr>
        <w:fldChar w:fldCharType="begin"/>
      </w:r>
      <w:r>
        <w:rPr>
          <w:rStyle w:val="Hyperlink"/>
          <w:lang w:val="en-IN"/>
        </w:rPr>
        <w:instrText xml:space="preserve">HYPERLINK \l "_Toc227942347" </w:instrText>
      </w:r>
      <w:r>
        <w:rPr>
          <w:rStyle w:val="Hyperlink"/>
          <w:lang w:val="en-IN"/>
        </w:rPr>
        <w:fldChar w:fldCharType="separate"/>
      </w:r>
      <w:r>
        <w:rPr>
          <w:rStyle w:val="Hyperlink"/>
          <w:lang w:val="en-IN"/>
        </w:rPr>
        <w:t>3.2 Problems in Working Capital Management</w:t>
      </w:r>
      <w:r>
        <w:tab/>
      </w:r>
      <w:r>
        <w:fldChar w:fldCharType="begin"/>
      </w:r>
      <w:r>
        <w:instrText xml:space="preserve"> PAGEREF _Toc227942347 \h </w:instrText>
      </w:r>
      <w:r>
        <w:fldChar w:fldCharType="separate"/>
      </w:r>
      <w:r>
        <w:t>9</w:t>
      </w:r>
      <w:r>
        <w:rPr>
          <w:rFonts w:asciiTheme="minorHAnsi" w:eastAsiaTheme="minorEastAsia" w:hAnsiTheme="minorHAnsi"/>
          <w:szCs w:val="24"/>
          <w:lang w:val="en-IN" w:eastAsia="en-IN"/>
          <w14:ligatures w14:val="standardContextual"/>
        </w:rPr>
        <w:fldChar w:fldCharType="end"/>
      </w:r>
      <w:r>
        <w:rPr>
          <w:rFonts w:asciiTheme="minorHAnsi" w:eastAsiaTheme="minorEastAsia" w:hAnsiTheme="minorHAnsi"/>
          <w:szCs w:val="24"/>
          <w:lang w:val="en-IN" w:eastAsia="en-IN"/>
          <w14:ligatures w14:val="standardContextual"/>
        </w:rPr>
        <w:fldChar w:fldCharType="end"/>
      </w:r>
    </w:p>
    <w:p w14:paraId="00000020">
      <w:pPr>
        <w:pStyle w:val="Toc2"/>
        <w:tabs>
          <w:tab w:val="right" w:leader="dot" w:pos="9016"/>
        </w:tabs>
        <w:rPr>
          <w:rFonts w:asciiTheme="minorHAnsi" w:eastAsiaTheme="minorEastAsia" w:hAnsiTheme="minorHAnsi"/>
          <w:szCs w:val="24"/>
          <w:lang w:val="en-IN" w:eastAsia="en-IN"/>
          <w14:ligatures w14:val="standardContextual"/>
        </w:rPr>
      </w:pPr>
      <w:r>
        <w:rPr>
          <w:rStyle w:val="Hyperlink"/>
          <w:lang w:val="en-IN"/>
        </w:rPr>
        <w:fldChar w:fldCharType="begin"/>
      </w:r>
      <w:r>
        <w:rPr>
          <w:rStyle w:val="Hyperlink"/>
          <w:lang w:val="en-IN"/>
        </w:rPr>
        <w:instrText xml:space="preserve">HYPERLINK \l "_Toc227942348" </w:instrText>
      </w:r>
      <w:r>
        <w:rPr>
          <w:rStyle w:val="Hyperlink"/>
          <w:lang w:val="en-IN"/>
        </w:rPr>
        <w:fldChar w:fldCharType="separate"/>
      </w:r>
      <w:r>
        <w:rPr>
          <w:rStyle w:val="Hyperlink"/>
          <w:lang w:val="en-IN"/>
        </w:rPr>
        <w:t>3.3 Recommendations for Improvement</w:t>
      </w:r>
      <w:r>
        <w:tab/>
      </w:r>
      <w:r>
        <w:fldChar w:fldCharType="begin"/>
      </w:r>
      <w:r>
        <w:instrText xml:space="preserve"> PAGEREF _Toc227942348 \h </w:instrText>
      </w:r>
      <w:r>
        <w:fldChar w:fldCharType="separate"/>
      </w:r>
      <w:r>
        <w:t>10</w:t>
      </w:r>
      <w:r>
        <w:rPr>
          <w:rFonts w:asciiTheme="minorHAnsi" w:eastAsiaTheme="minorEastAsia" w:hAnsiTheme="minorHAnsi"/>
          <w:szCs w:val="24"/>
          <w:lang w:val="en-IN" w:eastAsia="en-IN"/>
          <w14:ligatures w14:val="standardContextual"/>
        </w:rPr>
        <w:fldChar w:fldCharType="end"/>
      </w:r>
      <w:r>
        <w:rPr>
          <w:rFonts w:asciiTheme="minorHAnsi" w:eastAsiaTheme="minorEastAsia" w:hAnsiTheme="minorHAnsi"/>
          <w:szCs w:val="24"/>
          <w:lang w:val="en-IN" w:eastAsia="en-IN"/>
          <w14:ligatures w14:val="standardContextual"/>
        </w:rPr>
        <w:fldChar w:fldCharType="end"/>
      </w:r>
    </w:p>
    <w:p w14:paraId="00000021">
      <w:pPr>
        <w:pStyle w:val="Toc1"/>
        <w:tabs>
          <w:tab w:val="right" w:leader="dot" w:pos="9016"/>
        </w:tabs>
        <w:rPr>
          <w:rFonts w:asciiTheme="minorHAnsi" w:eastAsiaTheme="minorEastAsia" w:hAnsiTheme="minorHAnsi"/>
          <w:szCs w:val="24"/>
          <w:lang w:val="en-IN" w:eastAsia="en-IN"/>
          <w14:ligatures w14:val="standardContextual"/>
        </w:rPr>
      </w:pPr>
      <w:r>
        <w:rPr>
          <w:rStyle w:val="Hyperlink"/>
          <w:lang w:val="en-IN"/>
        </w:rPr>
        <w:fldChar w:fldCharType="begin"/>
      </w:r>
      <w:r>
        <w:rPr>
          <w:rStyle w:val="Hyperlink"/>
          <w:lang w:val="en-IN"/>
        </w:rPr>
        <w:instrText xml:space="preserve">HYPERLINK \l "_Toc227942349" </w:instrText>
      </w:r>
      <w:r>
        <w:rPr>
          <w:rStyle w:val="Hyperlink"/>
          <w:lang w:val="en-IN"/>
        </w:rPr>
        <w:fldChar w:fldCharType="separate"/>
      </w:r>
      <w:r>
        <w:rPr>
          <w:rStyle w:val="Hyperlink"/>
          <w:lang w:val="en-IN"/>
        </w:rPr>
        <w:t>4. STRATEGIC FINANCIAL RESTRUCTURING</w:t>
      </w:r>
      <w:r>
        <w:tab/>
      </w:r>
      <w:r>
        <w:fldChar w:fldCharType="begin"/>
      </w:r>
      <w:r>
        <w:instrText xml:space="preserve"> PAGEREF _Toc227942349 \h </w:instrText>
      </w:r>
      <w:r>
        <w:fldChar w:fldCharType="separate"/>
      </w:r>
      <w:r>
        <w:t>11</w:t>
      </w:r>
      <w:r>
        <w:rPr>
          <w:rFonts w:asciiTheme="minorHAnsi" w:eastAsiaTheme="minorEastAsia" w:hAnsiTheme="minorHAnsi"/>
          <w:szCs w:val="24"/>
          <w:lang w:val="en-IN" w:eastAsia="en-IN"/>
          <w14:ligatures w14:val="standardContextual"/>
        </w:rPr>
        <w:fldChar w:fldCharType="end"/>
      </w:r>
      <w:r>
        <w:rPr>
          <w:rFonts w:asciiTheme="minorHAnsi" w:eastAsiaTheme="minorEastAsia" w:hAnsiTheme="minorHAnsi"/>
          <w:szCs w:val="24"/>
          <w:lang w:val="en-IN" w:eastAsia="en-IN"/>
          <w14:ligatures w14:val="standardContextual"/>
        </w:rPr>
        <w:fldChar w:fldCharType="end"/>
      </w:r>
    </w:p>
    <w:p w14:paraId="00000022">
      <w:pPr>
        <w:pStyle w:val="Toc2"/>
        <w:tabs>
          <w:tab w:val="right" w:leader="dot" w:pos="9016"/>
        </w:tabs>
        <w:rPr>
          <w:rFonts w:asciiTheme="minorHAnsi" w:eastAsiaTheme="minorEastAsia" w:hAnsiTheme="minorHAnsi"/>
          <w:szCs w:val="24"/>
          <w:lang w:val="en-IN" w:eastAsia="en-IN"/>
          <w14:ligatures w14:val="standardContextual"/>
        </w:rPr>
      </w:pPr>
      <w:r>
        <w:rPr>
          <w:rStyle w:val="Hyperlink"/>
          <w:lang w:val="en-IN"/>
        </w:rPr>
        <w:fldChar w:fldCharType="begin"/>
      </w:r>
      <w:r>
        <w:rPr>
          <w:rStyle w:val="Hyperlink"/>
          <w:lang w:val="en-IN"/>
        </w:rPr>
        <w:instrText xml:space="preserve">HYPERLINK \l "_Toc227942350" </w:instrText>
      </w:r>
      <w:r>
        <w:rPr>
          <w:rStyle w:val="Hyperlink"/>
          <w:lang w:val="en-IN"/>
        </w:rPr>
        <w:fldChar w:fldCharType="separate"/>
      </w:r>
      <w:r>
        <w:rPr>
          <w:rStyle w:val="Hyperlink"/>
          <w:lang w:val="en-IN"/>
        </w:rPr>
        <w:t>4.1 Restructuring Options</w:t>
      </w:r>
      <w:r>
        <w:tab/>
      </w:r>
      <w:r>
        <w:fldChar w:fldCharType="begin"/>
      </w:r>
      <w:r>
        <w:instrText xml:space="preserve"> PAGEREF _Toc227942350 \h </w:instrText>
      </w:r>
      <w:r>
        <w:fldChar w:fldCharType="separate"/>
      </w:r>
      <w:r>
        <w:t>11</w:t>
      </w:r>
      <w:r>
        <w:rPr>
          <w:rFonts w:asciiTheme="minorHAnsi" w:eastAsiaTheme="minorEastAsia" w:hAnsiTheme="minorHAnsi"/>
          <w:szCs w:val="24"/>
          <w:lang w:val="en-IN" w:eastAsia="en-IN"/>
          <w14:ligatures w14:val="standardContextual"/>
        </w:rPr>
        <w:fldChar w:fldCharType="end"/>
      </w:r>
      <w:r>
        <w:rPr>
          <w:rFonts w:asciiTheme="minorHAnsi" w:eastAsiaTheme="minorEastAsia" w:hAnsiTheme="minorHAnsi"/>
          <w:szCs w:val="24"/>
          <w:lang w:val="en-IN" w:eastAsia="en-IN"/>
          <w14:ligatures w14:val="standardContextual"/>
        </w:rPr>
        <w:fldChar w:fldCharType="end"/>
      </w:r>
    </w:p>
    <w:p w14:paraId="00000023">
      <w:pPr>
        <w:pStyle w:val="Toc2"/>
        <w:tabs>
          <w:tab w:val="right" w:leader="dot" w:pos="9016"/>
        </w:tabs>
        <w:rPr>
          <w:rFonts w:asciiTheme="minorHAnsi" w:eastAsiaTheme="minorEastAsia" w:hAnsiTheme="minorHAnsi"/>
          <w:szCs w:val="24"/>
          <w:lang w:val="en-IN" w:eastAsia="en-IN"/>
          <w14:ligatures w14:val="standardContextual"/>
        </w:rPr>
      </w:pPr>
      <w:r>
        <w:rPr>
          <w:rStyle w:val="Hyperlink"/>
          <w:lang w:val="en-IN"/>
        </w:rPr>
        <w:fldChar w:fldCharType="begin"/>
      </w:r>
      <w:r>
        <w:rPr>
          <w:rStyle w:val="Hyperlink"/>
          <w:lang w:val="en-IN"/>
        </w:rPr>
        <w:instrText xml:space="preserve">HYPERLINK \l "_Toc227942351" </w:instrText>
      </w:r>
      <w:r>
        <w:rPr>
          <w:rStyle w:val="Hyperlink"/>
          <w:lang w:val="en-IN"/>
        </w:rPr>
        <w:fldChar w:fldCharType="separate"/>
      </w:r>
      <w:r>
        <w:rPr>
          <w:rStyle w:val="Hyperlink"/>
          <w:lang w:val="en-IN"/>
        </w:rPr>
        <w:t>4.2 Impact Analysis</w:t>
      </w:r>
      <w:r>
        <w:tab/>
      </w:r>
      <w:r>
        <w:fldChar w:fldCharType="begin"/>
      </w:r>
      <w:r>
        <w:instrText xml:space="preserve"> PAGEREF _Toc227942351 \h </w:instrText>
      </w:r>
      <w:r>
        <w:fldChar w:fldCharType="separate"/>
      </w:r>
      <w:r>
        <w:t>13</w:t>
      </w:r>
      <w:r>
        <w:rPr>
          <w:rFonts w:asciiTheme="minorHAnsi" w:eastAsiaTheme="minorEastAsia" w:hAnsiTheme="minorHAnsi"/>
          <w:szCs w:val="24"/>
          <w:lang w:val="en-IN" w:eastAsia="en-IN"/>
          <w14:ligatures w14:val="standardContextual"/>
        </w:rPr>
        <w:fldChar w:fldCharType="end"/>
      </w:r>
      <w:r>
        <w:rPr>
          <w:rFonts w:asciiTheme="minorHAnsi" w:eastAsiaTheme="minorEastAsia" w:hAnsiTheme="minorHAnsi"/>
          <w:szCs w:val="24"/>
          <w:lang w:val="en-IN" w:eastAsia="en-IN"/>
          <w14:ligatures w14:val="standardContextual"/>
        </w:rPr>
        <w:fldChar w:fldCharType="end"/>
      </w:r>
    </w:p>
    <w:p w14:paraId="00000024">
      <w:pPr>
        <w:pStyle w:val="Toc2"/>
        <w:tabs>
          <w:tab w:val="right" w:leader="dot" w:pos="9016"/>
        </w:tabs>
        <w:rPr>
          <w:rFonts w:asciiTheme="minorHAnsi" w:eastAsiaTheme="minorEastAsia" w:hAnsiTheme="minorHAnsi"/>
          <w:szCs w:val="24"/>
          <w:lang w:val="en-IN" w:eastAsia="en-IN"/>
          <w14:ligatures w14:val="standardContextual"/>
        </w:rPr>
      </w:pPr>
      <w:r>
        <w:rPr>
          <w:rStyle w:val="Hyperlink"/>
          <w:lang w:val="en-IN"/>
        </w:rPr>
        <w:fldChar w:fldCharType="begin"/>
      </w:r>
      <w:r>
        <w:rPr>
          <w:rStyle w:val="Hyperlink"/>
          <w:lang w:val="en-IN"/>
        </w:rPr>
        <w:instrText xml:space="preserve">HYPERLINK \l "_Toc227942352" </w:instrText>
      </w:r>
      <w:r>
        <w:rPr>
          <w:rStyle w:val="Hyperlink"/>
          <w:lang w:val="en-IN"/>
        </w:rPr>
        <w:fldChar w:fldCharType="separate"/>
      </w:r>
      <w:r>
        <w:rPr>
          <w:rStyle w:val="Hyperlink"/>
          <w:lang w:val="en-IN"/>
        </w:rPr>
        <w:t>4.3 Global and Ethical Factors</w:t>
      </w:r>
      <w:r>
        <w:tab/>
      </w:r>
      <w:r>
        <w:fldChar w:fldCharType="begin"/>
      </w:r>
      <w:r>
        <w:instrText xml:space="preserve"> PAGEREF _Toc227942352 \h </w:instrText>
      </w:r>
      <w:r>
        <w:fldChar w:fldCharType="separate"/>
      </w:r>
      <w:r>
        <w:t>14</w:t>
      </w:r>
      <w:r>
        <w:rPr>
          <w:rFonts w:asciiTheme="minorHAnsi" w:eastAsiaTheme="minorEastAsia" w:hAnsiTheme="minorHAnsi"/>
          <w:szCs w:val="24"/>
          <w:lang w:val="en-IN" w:eastAsia="en-IN"/>
          <w14:ligatures w14:val="standardContextual"/>
        </w:rPr>
        <w:fldChar w:fldCharType="end"/>
      </w:r>
      <w:r>
        <w:rPr>
          <w:rFonts w:asciiTheme="minorHAnsi" w:eastAsiaTheme="minorEastAsia" w:hAnsiTheme="minorHAnsi"/>
          <w:szCs w:val="24"/>
          <w:lang w:val="en-IN" w:eastAsia="en-IN"/>
          <w14:ligatures w14:val="standardContextual"/>
        </w:rPr>
        <w:fldChar w:fldCharType="end"/>
      </w:r>
    </w:p>
    <w:p w14:paraId="00000025">
      <w:pPr>
        <w:pStyle w:val="Toc1"/>
        <w:tabs>
          <w:tab w:val="right" w:leader="dot" w:pos="9016"/>
        </w:tabs>
        <w:rPr>
          <w:rFonts w:asciiTheme="minorHAnsi" w:eastAsiaTheme="minorEastAsia" w:hAnsiTheme="minorHAnsi"/>
          <w:szCs w:val="24"/>
          <w:lang w:val="en-IN" w:eastAsia="en-IN"/>
          <w14:ligatures w14:val="standardContextual"/>
        </w:rPr>
      </w:pPr>
      <w:r>
        <w:rPr>
          <w:rStyle w:val="Hyperlink"/>
          <w:lang w:val="en-IN"/>
        </w:rPr>
        <w:fldChar w:fldCharType="begin"/>
      </w:r>
      <w:r>
        <w:rPr>
          <w:rStyle w:val="Hyperlink"/>
          <w:lang w:val="en-IN"/>
        </w:rPr>
        <w:instrText xml:space="preserve">HYPERLINK \l "_Toc227942353" </w:instrText>
      </w:r>
      <w:r>
        <w:rPr>
          <w:rStyle w:val="Hyperlink"/>
          <w:lang w:val="en-IN"/>
        </w:rPr>
        <w:fldChar w:fldCharType="separate"/>
      </w:r>
      <w:r>
        <w:rPr>
          <w:rStyle w:val="Hyperlink"/>
          <w:lang w:val="en-IN"/>
        </w:rPr>
        <w:t>5. INVESTMENT APPRAISAL</w:t>
      </w:r>
      <w:r>
        <w:tab/>
      </w:r>
      <w:r>
        <w:fldChar w:fldCharType="begin"/>
      </w:r>
      <w:r>
        <w:instrText xml:space="preserve"> PAGEREF _Toc227942353 \h </w:instrText>
      </w:r>
      <w:r>
        <w:fldChar w:fldCharType="separate"/>
      </w:r>
      <w:r>
        <w:t>15</w:t>
      </w:r>
      <w:r>
        <w:rPr>
          <w:rFonts w:asciiTheme="minorHAnsi" w:eastAsiaTheme="minorEastAsia" w:hAnsiTheme="minorHAnsi"/>
          <w:szCs w:val="24"/>
          <w:lang w:val="en-IN" w:eastAsia="en-IN"/>
          <w14:ligatures w14:val="standardContextual"/>
        </w:rPr>
        <w:fldChar w:fldCharType="end"/>
      </w:r>
      <w:r>
        <w:rPr>
          <w:rFonts w:asciiTheme="minorHAnsi" w:eastAsiaTheme="minorEastAsia" w:hAnsiTheme="minorHAnsi"/>
          <w:szCs w:val="24"/>
          <w:lang w:val="en-IN" w:eastAsia="en-IN"/>
          <w14:ligatures w14:val="standardContextual"/>
        </w:rPr>
        <w:fldChar w:fldCharType="end"/>
      </w:r>
    </w:p>
    <w:p w14:paraId="00000026">
      <w:pPr>
        <w:pStyle w:val="Toc2"/>
        <w:tabs>
          <w:tab w:val="right" w:leader="dot" w:pos="9016"/>
        </w:tabs>
        <w:rPr>
          <w:rFonts w:asciiTheme="minorHAnsi" w:eastAsiaTheme="minorEastAsia" w:hAnsiTheme="minorHAnsi"/>
          <w:szCs w:val="24"/>
          <w:lang w:val="en-IN" w:eastAsia="en-IN"/>
          <w14:ligatures w14:val="standardContextual"/>
        </w:rPr>
      </w:pPr>
      <w:r>
        <w:rPr>
          <w:rStyle w:val="Hyperlink"/>
          <w:lang w:val="en-IN"/>
        </w:rPr>
        <w:fldChar w:fldCharType="begin"/>
      </w:r>
      <w:r>
        <w:rPr>
          <w:rStyle w:val="Hyperlink"/>
          <w:lang w:val="en-IN"/>
        </w:rPr>
        <w:instrText xml:space="preserve">HYPERLINK \l "_Toc227942354" </w:instrText>
      </w:r>
      <w:r>
        <w:rPr>
          <w:rStyle w:val="Hyperlink"/>
          <w:lang w:val="en-IN"/>
        </w:rPr>
        <w:fldChar w:fldCharType="separate"/>
      </w:r>
      <w:r>
        <w:rPr>
          <w:rStyle w:val="Hyperlink"/>
          <w:lang w:val="en-IN"/>
        </w:rPr>
        <w:t>5.1 Methods Explanation</w:t>
      </w:r>
      <w:r>
        <w:tab/>
      </w:r>
      <w:r>
        <w:fldChar w:fldCharType="begin"/>
      </w:r>
      <w:r>
        <w:instrText xml:space="preserve"> PAGEREF _Toc227942354 \h </w:instrText>
      </w:r>
      <w:r>
        <w:fldChar w:fldCharType="separate"/>
      </w:r>
      <w:r>
        <w:t>15</w:t>
      </w:r>
      <w:r>
        <w:rPr>
          <w:rFonts w:asciiTheme="minorHAnsi" w:eastAsiaTheme="minorEastAsia" w:hAnsiTheme="minorHAnsi"/>
          <w:szCs w:val="24"/>
          <w:lang w:val="en-IN" w:eastAsia="en-IN"/>
          <w14:ligatures w14:val="standardContextual"/>
        </w:rPr>
        <w:fldChar w:fldCharType="end"/>
      </w:r>
      <w:r>
        <w:rPr>
          <w:rFonts w:asciiTheme="minorHAnsi" w:eastAsiaTheme="minorEastAsia" w:hAnsiTheme="minorHAnsi"/>
          <w:szCs w:val="24"/>
          <w:lang w:val="en-IN" w:eastAsia="en-IN"/>
          <w14:ligatures w14:val="standardContextual"/>
        </w:rPr>
        <w:fldChar w:fldCharType="end"/>
      </w:r>
    </w:p>
    <w:p w14:paraId="00000027">
      <w:pPr>
        <w:pStyle w:val="Toc2"/>
        <w:tabs>
          <w:tab w:val="right" w:leader="dot" w:pos="9016"/>
        </w:tabs>
        <w:rPr>
          <w:rFonts w:asciiTheme="minorHAnsi" w:eastAsiaTheme="minorEastAsia" w:hAnsiTheme="minorHAnsi"/>
          <w:szCs w:val="24"/>
          <w:lang w:val="en-IN" w:eastAsia="en-IN"/>
          <w14:ligatures w14:val="standardContextual"/>
        </w:rPr>
      </w:pPr>
      <w:r>
        <w:rPr>
          <w:rStyle w:val="Hyperlink"/>
          <w:lang w:val="en-IN"/>
        </w:rPr>
        <w:fldChar w:fldCharType="begin"/>
      </w:r>
      <w:r>
        <w:rPr>
          <w:rStyle w:val="Hyperlink"/>
          <w:lang w:val="en-IN"/>
        </w:rPr>
        <w:instrText xml:space="preserve">HYPERLINK \l "_Toc227942355" </w:instrText>
      </w:r>
      <w:r>
        <w:rPr>
          <w:rStyle w:val="Hyperlink"/>
          <w:lang w:val="en-IN"/>
        </w:rPr>
        <w:fldChar w:fldCharType="separate"/>
      </w:r>
      <w:r>
        <w:rPr>
          <w:rStyle w:val="Hyperlink"/>
          <w:lang w:val="en-IN"/>
        </w:rPr>
        <w:t>5.2 Results Analysis</w:t>
      </w:r>
      <w:r>
        <w:tab/>
      </w:r>
      <w:r>
        <w:fldChar w:fldCharType="begin"/>
      </w:r>
      <w:r>
        <w:instrText xml:space="preserve"> PAGEREF _Toc227942355 \h </w:instrText>
      </w:r>
      <w:r>
        <w:fldChar w:fldCharType="separate"/>
      </w:r>
      <w:r>
        <w:t>16</w:t>
      </w:r>
      <w:r>
        <w:rPr>
          <w:rFonts w:asciiTheme="minorHAnsi" w:eastAsiaTheme="minorEastAsia" w:hAnsiTheme="minorHAnsi"/>
          <w:szCs w:val="24"/>
          <w:lang w:val="en-IN" w:eastAsia="en-IN"/>
          <w14:ligatures w14:val="standardContextual"/>
        </w:rPr>
        <w:fldChar w:fldCharType="end"/>
      </w:r>
      <w:r>
        <w:rPr>
          <w:rFonts w:asciiTheme="minorHAnsi" w:eastAsiaTheme="minorEastAsia" w:hAnsiTheme="minorHAnsi"/>
          <w:szCs w:val="24"/>
          <w:lang w:val="en-IN" w:eastAsia="en-IN"/>
          <w14:ligatures w14:val="standardContextual"/>
        </w:rPr>
        <w:fldChar w:fldCharType="end"/>
      </w:r>
    </w:p>
    <w:p w14:paraId="00000028">
      <w:pPr>
        <w:pStyle w:val="Toc2"/>
        <w:tabs>
          <w:tab w:val="right" w:leader="dot" w:pos="9016"/>
        </w:tabs>
        <w:rPr>
          <w:rFonts w:asciiTheme="minorHAnsi" w:eastAsiaTheme="minorEastAsia" w:hAnsiTheme="minorHAnsi"/>
          <w:szCs w:val="24"/>
          <w:lang w:val="en-IN" w:eastAsia="en-IN"/>
          <w14:ligatures w14:val="standardContextual"/>
        </w:rPr>
      </w:pPr>
      <w:r>
        <w:rPr>
          <w:rStyle w:val="Hyperlink"/>
          <w:lang w:val="en-IN"/>
        </w:rPr>
        <w:fldChar w:fldCharType="begin"/>
      </w:r>
      <w:r>
        <w:rPr>
          <w:rStyle w:val="Hyperlink"/>
          <w:lang w:val="en-IN"/>
        </w:rPr>
        <w:instrText xml:space="preserve">HYPERLINK \l "_Toc227942356" </w:instrText>
      </w:r>
      <w:r>
        <w:rPr>
          <w:rStyle w:val="Hyperlink"/>
          <w:lang w:val="en-IN"/>
        </w:rPr>
        <w:fldChar w:fldCharType="separate"/>
      </w:r>
      <w:r>
        <w:rPr>
          <w:rStyle w:val="Hyperlink"/>
          <w:lang w:val="en-IN"/>
        </w:rPr>
        <w:t>5.3 Decision Justification</w:t>
      </w:r>
      <w:r>
        <w:tab/>
      </w:r>
      <w:r>
        <w:fldChar w:fldCharType="begin"/>
      </w:r>
      <w:r>
        <w:instrText xml:space="preserve"> PAGEREF _Toc227942356 \h </w:instrText>
      </w:r>
      <w:r>
        <w:fldChar w:fldCharType="separate"/>
      </w:r>
      <w:r>
        <w:t>17</w:t>
      </w:r>
      <w:r>
        <w:rPr>
          <w:rFonts w:asciiTheme="minorHAnsi" w:eastAsiaTheme="minorEastAsia" w:hAnsiTheme="minorHAnsi"/>
          <w:szCs w:val="24"/>
          <w:lang w:val="en-IN" w:eastAsia="en-IN"/>
          <w14:ligatures w14:val="standardContextual"/>
        </w:rPr>
        <w:fldChar w:fldCharType="end"/>
      </w:r>
      <w:r>
        <w:rPr>
          <w:rFonts w:asciiTheme="minorHAnsi" w:eastAsiaTheme="minorEastAsia" w:hAnsiTheme="minorHAnsi"/>
          <w:szCs w:val="24"/>
          <w:lang w:val="en-IN" w:eastAsia="en-IN"/>
          <w14:ligatures w14:val="standardContextual"/>
        </w:rPr>
        <w:fldChar w:fldCharType="end"/>
      </w:r>
    </w:p>
    <w:p w14:paraId="00000029">
      <w:pPr>
        <w:pStyle w:val="Toc2"/>
        <w:tabs>
          <w:tab w:val="right" w:leader="dot" w:pos="9016"/>
        </w:tabs>
        <w:rPr>
          <w:rFonts w:asciiTheme="minorHAnsi" w:eastAsiaTheme="minorEastAsia" w:hAnsiTheme="minorHAnsi"/>
          <w:szCs w:val="24"/>
          <w:lang w:val="en-IN" w:eastAsia="en-IN"/>
          <w14:ligatures w14:val="standardContextual"/>
        </w:rPr>
      </w:pPr>
      <w:r>
        <w:rPr>
          <w:rStyle w:val="Hyperlink"/>
          <w:lang w:val="en-IN"/>
        </w:rPr>
        <w:fldChar w:fldCharType="begin"/>
      </w:r>
      <w:r>
        <w:rPr>
          <w:rStyle w:val="Hyperlink"/>
          <w:lang w:val="en-IN"/>
        </w:rPr>
        <w:instrText xml:space="preserve">HYPERLINK \l "_Toc227942357" </w:instrText>
      </w:r>
      <w:r>
        <w:rPr>
          <w:rStyle w:val="Hyperlink"/>
          <w:lang w:val="en-IN"/>
        </w:rPr>
        <w:fldChar w:fldCharType="separate"/>
      </w:r>
      <w:r>
        <w:rPr>
          <w:rStyle w:val="Hyperlink"/>
          <w:lang w:val="en-IN"/>
        </w:rPr>
        <w:t>5.4 Capital Rationing</w:t>
      </w:r>
      <w:r>
        <w:tab/>
      </w:r>
      <w:r>
        <w:fldChar w:fldCharType="begin"/>
      </w:r>
      <w:r>
        <w:instrText xml:space="preserve"> PAGEREF _Toc227942357 \h </w:instrText>
      </w:r>
      <w:r>
        <w:fldChar w:fldCharType="separate"/>
      </w:r>
      <w:r>
        <w:t>17</w:t>
      </w:r>
      <w:r>
        <w:rPr>
          <w:rFonts w:asciiTheme="minorHAnsi" w:eastAsiaTheme="minorEastAsia" w:hAnsiTheme="minorHAnsi"/>
          <w:szCs w:val="24"/>
          <w:lang w:val="en-IN" w:eastAsia="en-IN"/>
          <w14:ligatures w14:val="standardContextual"/>
        </w:rPr>
        <w:fldChar w:fldCharType="end"/>
      </w:r>
      <w:r>
        <w:rPr>
          <w:rFonts w:asciiTheme="minorHAnsi" w:eastAsiaTheme="minorEastAsia" w:hAnsiTheme="minorHAnsi"/>
          <w:szCs w:val="24"/>
          <w:lang w:val="en-IN" w:eastAsia="en-IN"/>
          <w14:ligatures w14:val="standardContextual"/>
        </w:rPr>
        <w:fldChar w:fldCharType="end"/>
      </w:r>
    </w:p>
    <w:p w14:paraId="0000002A">
      <w:pPr>
        <w:pStyle w:val="Toc2"/>
        <w:tabs>
          <w:tab w:val="right" w:leader="dot" w:pos="9016"/>
        </w:tabs>
        <w:rPr>
          <w:rFonts w:asciiTheme="minorHAnsi" w:eastAsiaTheme="minorEastAsia" w:hAnsiTheme="minorHAnsi"/>
          <w:szCs w:val="24"/>
          <w:lang w:val="en-IN" w:eastAsia="en-IN"/>
          <w14:ligatures w14:val="standardContextual"/>
        </w:rPr>
      </w:pPr>
      <w:r>
        <w:rPr>
          <w:rStyle w:val="Hyperlink"/>
          <w:lang w:val="en-IN"/>
        </w:rPr>
        <w:fldChar w:fldCharType="begin"/>
      </w:r>
      <w:r>
        <w:rPr>
          <w:rStyle w:val="Hyperlink"/>
          <w:lang w:val="en-IN"/>
        </w:rPr>
        <w:instrText xml:space="preserve">HYPERLINK \l "_Toc227942358" </w:instrText>
      </w:r>
      <w:r>
        <w:rPr>
          <w:rStyle w:val="Hyperlink"/>
          <w:lang w:val="en-IN"/>
        </w:rPr>
        <w:fldChar w:fldCharType="separate"/>
      </w:r>
      <w:r>
        <w:rPr>
          <w:rStyle w:val="Hyperlink"/>
          <w:lang w:val="en-IN"/>
        </w:rPr>
        <w:t>5.5 Risk Analysis</w:t>
      </w:r>
      <w:r>
        <w:tab/>
      </w:r>
      <w:r>
        <w:fldChar w:fldCharType="begin"/>
      </w:r>
      <w:r>
        <w:instrText xml:space="preserve"> PAGEREF _Toc227942358 \h </w:instrText>
      </w:r>
      <w:r>
        <w:fldChar w:fldCharType="separate"/>
      </w:r>
      <w:r>
        <w:t>18</w:t>
      </w:r>
      <w:r>
        <w:rPr>
          <w:rFonts w:asciiTheme="minorHAnsi" w:eastAsiaTheme="minorEastAsia" w:hAnsiTheme="minorHAnsi"/>
          <w:szCs w:val="24"/>
          <w:lang w:val="en-IN" w:eastAsia="en-IN"/>
          <w14:ligatures w14:val="standardContextual"/>
        </w:rPr>
        <w:fldChar w:fldCharType="end"/>
      </w:r>
      <w:r>
        <w:rPr>
          <w:rFonts w:asciiTheme="minorHAnsi" w:eastAsiaTheme="minorEastAsia" w:hAnsiTheme="minorHAnsi"/>
          <w:szCs w:val="24"/>
          <w:lang w:val="en-IN" w:eastAsia="en-IN"/>
          <w14:ligatures w14:val="standardContextual"/>
        </w:rPr>
        <w:fldChar w:fldCharType="end"/>
      </w:r>
    </w:p>
    <w:p w14:paraId="0000002B">
      <w:pPr>
        <w:pStyle w:val="Toc1"/>
        <w:tabs>
          <w:tab w:val="right" w:leader="dot" w:pos="9016"/>
        </w:tabs>
        <w:rPr>
          <w:rFonts w:asciiTheme="minorHAnsi" w:eastAsiaTheme="minorEastAsia" w:hAnsiTheme="minorHAnsi"/>
          <w:szCs w:val="24"/>
          <w:lang w:val="en-IN" w:eastAsia="en-IN"/>
          <w14:ligatures w14:val="standardContextual"/>
        </w:rPr>
      </w:pPr>
      <w:r>
        <w:rPr>
          <w:rStyle w:val="Hyperlink"/>
          <w:lang w:val="en-IN"/>
        </w:rPr>
        <w:fldChar w:fldCharType="begin"/>
      </w:r>
      <w:r>
        <w:rPr>
          <w:rStyle w:val="Hyperlink"/>
          <w:lang w:val="en-IN"/>
        </w:rPr>
        <w:instrText xml:space="preserve">HYPERLINK \l "_Toc227942359" </w:instrText>
      </w:r>
      <w:r>
        <w:rPr>
          <w:rStyle w:val="Hyperlink"/>
          <w:lang w:val="en-IN"/>
        </w:rPr>
        <w:fldChar w:fldCharType="separate"/>
      </w:r>
      <w:r>
        <w:rPr>
          <w:rStyle w:val="Hyperlink"/>
          <w:lang w:val="en-IN"/>
        </w:rPr>
        <w:t>6. CONCLUSION</w:t>
      </w:r>
      <w:r>
        <w:tab/>
      </w:r>
      <w:r>
        <w:fldChar w:fldCharType="begin"/>
      </w:r>
      <w:r>
        <w:instrText xml:space="preserve"> PAGEREF _Toc227942359 \h </w:instrText>
      </w:r>
      <w:r>
        <w:fldChar w:fldCharType="separate"/>
      </w:r>
      <w:r>
        <w:t>18</w:t>
      </w:r>
      <w:r>
        <w:rPr>
          <w:rFonts w:asciiTheme="minorHAnsi" w:eastAsiaTheme="minorEastAsia" w:hAnsiTheme="minorHAnsi"/>
          <w:szCs w:val="24"/>
          <w:lang w:val="en-IN" w:eastAsia="en-IN"/>
          <w14:ligatures w14:val="standardContextual"/>
        </w:rPr>
        <w:fldChar w:fldCharType="end"/>
      </w:r>
      <w:r>
        <w:rPr>
          <w:rFonts w:asciiTheme="minorHAnsi" w:eastAsiaTheme="minorEastAsia" w:hAnsiTheme="minorHAnsi"/>
          <w:szCs w:val="24"/>
          <w:lang w:val="en-IN" w:eastAsia="en-IN"/>
          <w14:ligatures w14:val="standardContextual"/>
        </w:rPr>
        <w:fldChar w:fldCharType="end"/>
      </w:r>
    </w:p>
    <w:p w14:paraId="0000002C">
      <w:pPr>
        <w:pStyle w:val="Toc1"/>
        <w:tabs>
          <w:tab w:val="right" w:leader="dot" w:pos="9016"/>
        </w:tabs>
        <w:rPr>
          <w:rFonts w:asciiTheme="minorHAnsi" w:eastAsiaTheme="minorEastAsia" w:hAnsiTheme="minorHAnsi"/>
          <w:szCs w:val="24"/>
          <w:lang w:val="en-IN" w:eastAsia="en-IN"/>
          <w14:ligatures w14:val="standardContextual"/>
        </w:rPr>
      </w:pPr>
      <w:r>
        <w:rPr>
          <w:rStyle w:val="Hyperlink"/>
          <w:lang w:val="en-US"/>
        </w:rPr>
        <w:fldChar w:fldCharType="begin"/>
      </w:r>
      <w:r>
        <w:rPr>
          <w:rStyle w:val="Hyperlink"/>
          <w:lang w:val="en-US"/>
        </w:rPr>
        <w:instrText xml:space="preserve">HYPERLINK \l "_Toc227942360" </w:instrText>
      </w:r>
      <w:r>
        <w:rPr>
          <w:rStyle w:val="Hyperlink"/>
          <w:lang w:val="en-US"/>
        </w:rPr>
        <w:fldChar w:fldCharType="separate"/>
      </w:r>
      <w:r>
        <w:rPr>
          <w:rStyle w:val="Hyperlink"/>
          <w:lang w:val="en-US"/>
        </w:rPr>
        <w:t>7. References</w:t>
      </w:r>
      <w:r>
        <w:tab/>
      </w:r>
      <w:r>
        <w:fldChar w:fldCharType="begin"/>
      </w:r>
      <w:r>
        <w:instrText xml:space="preserve"> PAGEREF _Toc227942360 \h </w:instrText>
      </w:r>
      <w:r>
        <w:fldChar w:fldCharType="separate"/>
      </w:r>
      <w:r>
        <w:t>20</w:t>
      </w:r>
      <w:r>
        <w:rPr>
          <w:rFonts w:asciiTheme="minorHAnsi" w:eastAsiaTheme="minorEastAsia" w:hAnsiTheme="minorHAnsi"/>
          <w:szCs w:val="24"/>
          <w:lang w:val="en-IN" w:eastAsia="en-IN"/>
          <w14:ligatures w14:val="standardContextual"/>
        </w:rPr>
        <w:fldChar w:fldCharType="end"/>
      </w:r>
      <w:r>
        <w:rPr>
          <w:rFonts w:asciiTheme="minorHAnsi" w:eastAsiaTheme="minorEastAsia" w:hAnsiTheme="minorHAnsi"/>
          <w:szCs w:val="24"/>
          <w:lang w:val="en-IN" w:eastAsia="en-IN"/>
          <w14:ligatures w14:val="standardContextual"/>
        </w:rPr>
        <w:fldChar w:fldCharType="end"/>
      </w:r>
    </w:p>
    <w:p w14:paraId="0000002D">
      <w:pPr>
        <w:pStyle w:val="Toc1"/>
        <w:tabs>
          <w:tab w:val="right" w:leader="dot" w:pos="9016"/>
        </w:tabs>
        <w:rPr>
          <w:rFonts w:asciiTheme="minorHAnsi" w:eastAsiaTheme="minorEastAsia" w:hAnsiTheme="minorHAnsi"/>
          <w:szCs w:val="24"/>
          <w:lang w:val="en-IN" w:eastAsia="en-IN"/>
          <w14:ligatures w14:val="standardContextual"/>
        </w:rPr>
      </w:pPr>
      <w:r>
        <w:rPr>
          <w:rStyle w:val="Hyperlink"/>
          <w:lang w:val="en-US"/>
        </w:rPr>
        <w:fldChar w:fldCharType="begin"/>
      </w:r>
      <w:r>
        <w:rPr>
          <w:rStyle w:val="Hyperlink"/>
          <w:lang w:val="en-US"/>
        </w:rPr>
        <w:instrText xml:space="preserve">HYPERLINK \l "_Toc227942361" </w:instrText>
      </w:r>
      <w:r>
        <w:rPr>
          <w:rStyle w:val="Hyperlink"/>
          <w:lang w:val="en-US"/>
        </w:rPr>
        <w:fldChar w:fldCharType="separate"/>
      </w:r>
      <w:r>
        <w:rPr>
          <w:rStyle w:val="Hyperlink"/>
          <w:lang w:val="en-US"/>
        </w:rPr>
        <w:t>8. Appendix</w:t>
      </w:r>
      <w:r>
        <w:tab/>
      </w:r>
      <w:r>
        <w:fldChar w:fldCharType="begin"/>
      </w:r>
      <w:r>
        <w:instrText xml:space="preserve"> PAGEREF _Toc227942361 \h </w:instrText>
      </w:r>
      <w:r>
        <w:fldChar w:fldCharType="separate"/>
      </w:r>
      <w:r>
        <w:t>24</w:t>
      </w:r>
      <w:r>
        <w:rPr>
          <w:rFonts w:asciiTheme="minorHAnsi" w:eastAsiaTheme="minorEastAsia" w:hAnsiTheme="minorHAnsi"/>
          <w:szCs w:val="24"/>
          <w:lang w:val="en-IN" w:eastAsia="en-IN"/>
          <w14:ligatures w14:val="standardContextual"/>
        </w:rPr>
        <w:fldChar w:fldCharType="end"/>
      </w:r>
      <w:r>
        <w:rPr>
          <w:rFonts w:asciiTheme="minorHAnsi" w:eastAsiaTheme="minorEastAsia" w:hAnsiTheme="minorHAnsi"/>
          <w:szCs w:val="24"/>
          <w:lang w:val="en-IN" w:eastAsia="en-IN"/>
          <w14:ligatures w14:val="standardContextual"/>
        </w:rPr>
        <w:fldChar w:fldCharType="end"/>
      </w:r>
    </w:p>
    <w:p w14:paraId="0000002E">
      <w:pPr>
        <w:rPr>
          <w:color w:val="000000" w:themeColor="text1"/>
        </w:rPr>
      </w:pPr>
      <w:r>
        <w:rPr>
          <w:color w:val="000000" w:themeColor="text1"/>
        </w:rPr>
        <w:fldChar w:fldCharType="end"/>
      </w:r>
    </w:p>
    <w:p w14:paraId="0000002F">
      <w:pPr>
        <w:spacing w:before="0" w:beforeAutospacing="0" w:after="160" w:afterAutospacing="0" w:line="259" w:lineRule="auto"/>
        <w:jc w:val="left"/>
        <w:rPr>
          <w:rFonts w:eastAsiaTheme="majorEastAsia"/>
          <w:b/>
          <w:bCs/>
          <w:color w:val="000000" w:themeColor="text1"/>
          <w:szCs w:val="48"/>
          <w:lang w:eastAsia="en-IN"/>
        </w:rPr>
      </w:pPr>
      <w:r>
        <w:rPr>
          <w:color w:val="000000" w:themeColor="text1"/>
        </w:rPr>
        <w:br w:type="page"/>
      </w:r>
    </w:p>
    <w:p w14:paraId="00000030">
      <w:pPr>
        <w:pStyle w:val="Heading1"/>
        <w:rPr>
          <w:lang w:val="en-US"/>
        </w:rPr>
      </w:pPr>
      <w:bookmarkStart w:id="0" w:name="_Toc227942340"/>
      <w:r>
        <w:t>1. INTRODUCTION</w:t>
      </w:r>
      <w:bookmarkEnd w:id="0"/>
    </w:p>
    <w:p w14:paraId="00000031">
      <w:pPr>
        <w:rPr>
          <w:color w:val="000000" w:themeColor="text1"/>
          <w:lang w:val="en-IN"/>
        </w:rPr>
      </w:pPr>
      <w:r>
        <w:rPr>
          <w:color w:val="000000" w:themeColor="text1"/>
          <w:lang w:val="en-IN"/>
        </w:rPr>
        <w:t>Hyundai Motor is a multinational car company that has quickly embraced the electric vehicle (EV) movement and sustainability initiatives. Hyundai has been expanding its global market share through innovation, alliances and the development of electric vehicles (EVs) over the last ten years (Niero et al., 2023). In a rapidly evolving automotive industry, with profound changes driven by environmental policies, digitisation, and changing consumer trends, Hyundai is emerging as a viable contender in the global EV market. But with growth comes financial risks in managing cash flow, growing debt and growing complexity.</w:t>
      </w:r>
    </w:p>
    <w:p w14:paraId="00000032">
      <w:pPr>
        <w:rPr>
          <w:color w:val="000000" w:themeColor="text1"/>
          <w:lang w:val="en-IN"/>
        </w:rPr>
      </w:pPr>
      <w:r>
        <w:rPr>
          <w:color w:val="000000" w:themeColor="text1"/>
          <w:lang w:val="en-IN"/>
        </w:rPr>
        <w:t>In this environment, Chief Financial Officers (CFO) play a vital role in maintaining financial stability and delivering value. The CFO's role involves financial analysis to extract key information, assess risks, and develop strategies to improve efficiency, profitability and liquidity (Oyeyipo et al., 2023). This report is written from a CFO's perspective, with the main objective of assessing the financial performance of Hyundai over the last five years, using the following financial statements: income statement, balance sheet and cash flow statement.</w:t>
      </w:r>
    </w:p>
    <w:p w14:paraId="00000033">
      <w:pPr>
        <w:rPr>
          <w:color w:val="000000" w:themeColor="text1"/>
          <w:lang w:val="en-IN"/>
        </w:rPr>
      </w:pPr>
      <w:r>
        <w:rPr>
          <w:color w:val="000000" w:themeColor="text1"/>
          <w:lang w:val="en-IN"/>
        </w:rPr>
        <w:t>This report has three main objectives. Firstly, it seeks to perform a thorough financial analysis via ratio analysis focusing on profitability, liquidity, efficiency, gearing and cash flows. Second, this report aims to highlight the major financial problems that the company is facing, including poor operating cash flows and high working capital requirements. Third, it seeks to make financial strategies to enhance performance and facilitate growth.</w:t>
      </w:r>
    </w:p>
    <w:p w14:paraId="00000034">
      <w:pPr>
        <w:rPr>
          <w:color w:val="000000" w:themeColor="text1"/>
          <w:lang w:val="en-IN"/>
        </w:rPr>
      </w:pPr>
      <w:r>
        <w:rPr>
          <w:color w:val="000000" w:themeColor="text1"/>
          <w:lang w:val="en-IN"/>
        </w:rPr>
        <w:t>The report assesses three proposed investment opportunities using capital budgeting methods, such as Payback Period, Accounting Rate of Return, Net Present Value, Internal Rate of Return and Profitability Index. The recommendation will be based on these techniques and will be in line with Hyundai's financial situation and strategic goals</w:t>
      </w:r>
      <w:r>
        <w:rPr>
          <w:color w:val="000000" w:themeColor="text1"/>
          <w:lang w:val="en-IN"/>
        </w:rPr>
        <w:t>.</w:t>
      </w:r>
    </w:p>
    <w:p w14:paraId="00000035">
      <w:pPr>
        <w:pStyle w:val="Heading1"/>
        <w:rPr>
          <w:lang w:val="en-IN"/>
        </w:rPr>
      </w:pPr>
      <w:bookmarkStart w:id="1" w:name="_Toc227942341"/>
      <w:r>
        <w:rPr>
          <w:lang w:val="en-IN"/>
        </w:rPr>
        <w:t>2. FINANCIAL HEALTH CHECK</w:t>
      </w:r>
      <w:bookmarkEnd w:id="1"/>
    </w:p>
    <w:p w14:paraId="00000036">
      <w:pPr>
        <w:pStyle w:val="Heading2"/>
        <w:rPr>
          <w:color w:val="000000" w:themeColor="text1"/>
          <w:lang w:val="en-IN"/>
        </w:rPr>
      </w:pPr>
      <w:bookmarkStart w:id="2" w:name="_Toc227942342"/>
      <w:r>
        <w:rPr>
          <w:color w:val="000000" w:themeColor="text1"/>
          <w:lang w:val="en-IN"/>
        </w:rPr>
        <w:t>2.1 Revenue and Profitability Analysis</w:t>
      </w:r>
      <w:bookmarkEnd w:id="2"/>
    </w:p>
    <w:p w14:paraId="00000037">
      <w:pPr>
        <w:rPr>
          <w:color w:val="000000" w:themeColor="text1"/>
          <w:lang w:val="en-IN"/>
        </w:rPr>
      </w:pPr>
      <w:r>
        <w:rPr>
          <w:color w:val="000000" w:themeColor="text1"/>
          <w:lang w:val="en-IN"/>
        </w:rPr>
        <w:t xml:space="preserve">Hyundai Motor Company has demonstrated a strong and consistent growth in revenue over the five-year period from 2021 to 2025. Revenue increased significantly from ₩117,610,626 million in 2021 to ₩186,254,472 million in 2025, reflecting an overall </w:t>
      </w:r>
      <w:r>
        <w:rPr>
          <w:color w:val="000000" w:themeColor="text1"/>
          <w:lang w:val="en-IN"/>
        </w:rPr>
        <w:t>upward trend driven by increased global demand, expan</w:t>
      </w:r>
      <w:r>
        <w:rPr>
          <w:color w:val="000000" w:themeColor="text1"/>
          <w:lang w:val="en-IN"/>
        </w:rPr>
        <w:t>a</w:t>
      </w:r>
      <w:r>
        <w:rPr>
          <w:color w:val="000000" w:themeColor="text1"/>
          <w:lang w:val="en-IN"/>
        </w:rPr>
        <w:t>sion in electric vehicle (EV) production, and improved market penetration. As illustrated in Figure 1, revenue growth remained stable throughout the period, with particularly strong increases between 2021 and 2023</w:t>
      </w:r>
      <w:r>
        <w:rPr>
          <w:color w:val="000000" w:themeColor="text1"/>
          <w:lang w:val="en-IN"/>
        </w:rPr>
        <w:t xml:space="preserve"> (</w:t>
      </w:r>
      <w:r>
        <w:rPr>
          <w:color w:val="000000" w:themeColor="text1"/>
        </w:rPr>
        <w:t>AnnualReport</w:t>
      </w:r>
      <w:r>
        <w:rPr>
          <w:color w:val="000000" w:themeColor="text1"/>
        </w:rPr>
        <w:t>.com</w:t>
      </w:r>
      <w:r>
        <w:rPr>
          <w:color w:val="000000" w:themeColor="text1"/>
        </w:rPr>
        <w:t>, 2026</w:t>
      </w:r>
      <w:r>
        <w:rPr>
          <w:color w:val="000000" w:themeColor="text1"/>
          <w:lang w:val="en-IN"/>
        </w:rPr>
        <w:t>)</w:t>
      </w:r>
      <w:r>
        <w:rPr>
          <w:color w:val="000000" w:themeColor="text1"/>
          <w:lang w:val="en-IN"/>
        </w:rPr>
        <w:t>. This indicates effective strategic positioning and operational expansion within the competitive automotive industry.</w:t>
      </w:r>
    </w:p>
    <w:p w14:paraId="00000038">
      <w:pPr>
        <w:jc w:val="center"/>
        <w:rPr>
          <w:color w:val="000000" w:themeColor="text1"/>
          <w:lang w:val="en-IN"/>
        </w:rPr>
      </w:pPr>
      <w:r>
        <w:rPr>
          <w:color w:val="000000" w:themeColor="text1"/>
          <w:lang w:val="en-US"/>
        </w:rPr>
        <w:drawing xmlns:mc="http://schemas.openxmlformats.org/markup-compatibility/2006">
          <wp:inline distT="0" distB="0" distL="0" distR="0">
            <wp:extent cx="4572000" cy="2743200"/>
            <wp:effectExtent l="0" t="0" r="9526" b="9526"/>
            <wp:docPr id="1825767976" name="Chart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41"/>
              </a:graphicData>
            </a:graphic>
          </wp:inline>
        </w:drawing>
      </w:r>
    </w:p>
    <w:p w14:paraId="00000039">
      <w:pPr>
        <w:rPr>
          <w:color w:val="000000" w:themeColor="text1"/>
          <w:lang w:val="en-IN"/>
        </w:rPr>
      </w:pPr>
      <w:r>
        <w:rPr>
          <w:color w:val="000000" w:themeColor="text1"/>
          <w:lang w:val="en-IN"/>
        </w:rPr>
        <w:t>However, despite strong revenue growth, net profit does not follow a perfectly consistent upward trajectory. Net profit increased from ₩5,693,077 million in 2021 to a peak of ₩13,229,908 million in 2024, before declining to ₩10,364,775 million in 2025</w:t>
      </w:r>
      <w:r>
        <w:rPr>
          <w:color w:val="000000" w:themeColor="text1"/>
          <w:lang w:val="en-IN"/>
        </w:rPr>
        <w:t xml:space="preserve"> (Hyundai, 2026)</w:t>
      </w:r>
      <w:r>
        <w:rPr>
          <w:color w:val="000000" w:themeColor="text1"/>
          <w:lang w:val="en-IN"/>
        </w:rPr>
        <w:t>. This fluctuation suggests that although Hyundai is generating higher sales, it is facing rising costs and operational inefficiencies. The decline in 2025 may be attributed to increased production costs, inflationary pressures, and higher administrative expenses.</w:t>
      </w:r>
    </w:p>
    <w:p w14:paraId="0000003A">
      <w:pPr>
        <w:jc w:val="center"/>
        <w:rPr>
          <w:color w:val="000000" w:themeColor="text1"/>
          <w:lang w:val="en-IN"/>
        </w:rPr>
      </w:pPr>
      <w:r>
        <w:rPr>
          <w:color w:val="000000" w:themeColor="text1"/>
          <w:lang w:val="en-US"/>
        </w:rPr>
        <w:drawing xmlns:mc="http://schemas.openxmlformats.org/markup-compatibility/2006">
          <wp:inline distT="0" distB="0" distL="0" distR="0">
            <wp:extent cx="4572000" cy="2743200"/>
            <wp:effectExtent l="0" t="0" r="9526" b="9526"/>
            <wp:docPr id="1825767977" name="Chart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42"/>
              </a:graphicData>
            </a:graphic>
          </wp:inline>
        </w:drawing>
      </w:r>
    </w:p>
    <w:p w14:paraId="0000003B">
      <w:pPr>
        <w:rPr>
          <w:color w:val="000000" w:themeColor="text1"/>
          <w:lang w:val="en-IN"/>
        </w:rPr>
      </w:pPr>
      <w:r>
        <w:rPr>
          <w:color w:val="000000" w:themeColor="text1"/>
          <w:lang w:val="en-IN"/>
        </w:rPr>
        <w:t>In terms of margins, gross profit margin improved from 18.65% in 2021 to 20.59% in 2023, indicating better cost control and production efficiency. However, it slightly declined to 18.37% in 2025, reflecting cost pressures. Operating margin followed a similar trend, increasing from 5.68% in 2021 to 9.30% in 2023, before declining to 6.16% in 2025. Net profit margin also peaked in 2024 at 7.55% but decreased thereafter. Overall, Hyundai shows strong growth potential, but profitability sustainability is under pressure.</w:t>
      </w:r>
    </w:p>
    <w:p w14:paraId="0000003C">
      <w:pPr>
        <w:pStyle w:val="Heading2"/>
        <w:rPr>
          <w:color w:val="000000" w:themeColor="text1"/>
          <w:lang w:val="en-IN"/>
        </w:rPr>
      </w:pPr>
      <w:bookmarkStart w:id="3" w:name="_Toc227942343"/>
      <w:r>
        <w:rPr>
          <w:color w:val="000000" w:themeColor="text1"/>
          <w:lang w:val="en-IN"/>
        </w:rPr>
        <w:t>2.2 Ratio Analysis</w:t>
      </w:r>
      <w:bookmarkEnd w:id="3"/>
    </w:p>
    <w:p w14:paraId="0000003D">
      <w:pPr>
        <w:rPr>
          <w:b/>
          <w:bCs/>
          <w:color w:val="000000" w:themeColor="text1"/>
          <w:lang w:val="en-IN"/>
        </w:rPr>
      </w:pPr>
      <w:r>
        <w:rPr>
          <w:b/>
          <w:bCs/>
          <w:color w:val="000000" w:themeColor="text1"/>
          <w:lang w:val="en-IN"/>
        </w:rPr>
        <w:t>Profitability Ratios</w:t>
      </w:r>
    </w:p>
    <w:p w14:paraId="0000003E">
      <w:pPr>
        <w:jc w:val="center"/>
        <w:rPr>
          <w:color w:val="000000" w:themeColor="text1"/>
          <w:lang w:val="en-IN"/>
        </w:rPr>
      </w:pPr>
      <w:r>
        <w:rPr>
          <w:color w:val="000000" w:themeColor="text1"/>
          <w:lang w:val="en-US"/>
        </w:rPr>
        <w:drawing xmlns:mc="http://schemas.openxmlformats.org/markup-compatibility/2006">
          <wp:inline distT="0" distB="0" distL="0" distR="0">
            <wp:extent cx="4572000" cy="2743200"/>
            <wp:effectExtent l="0" t="0" r="9526" b="9526"/>
            <wp:docPr id="1825767978" name="Chart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43"/>
              </a:graphicData>
            </a:graphic>
          </wp:inline>
        </w:drawing>
      </w:r>
    </w:p>
    <w:p w14:paraId="0000003F">
      <w:pPr>
        <w:rPr>
          <w:color w:val="000000" w:themeColor="text1"/>
          <w:lang w:val="en-IN"/>
        </w:rPr>
      </w:pPr>
      <w:r>
        <w:rPr>
          <w:color w:val="000000" w:themeColor="text1"/>
          <w:lang w:val="en-IN"/>
        </w:rPr>
        <w:t xml:space="preserve">The profitability ratios indicate that Hyundai experienced significant improvements between 2021 and 2023. Gross profit margin increased from 18.65% to 20.59%, </w:t>
      </w:r>
      <w:r>
        <w:rPr>
          <w:color w:val="000000" w:themeColor="text1"/>
          <w:lang w:val="en-IN"/>
        </w:rPr>
        <w:t>highlighting improved production efficiency. Similarly, operating margin rose from 5.68% to 9.30%, indicating better cost management and operational performance.</w:t>
      </w:r>
    </w:p>
    <w:p w14:paraId="00000040">
      <w:pPr>
        <w:rPr>
          <w:color w:val="000000" w:themeColor="text1"/>
          <w:lang w:val="en-IN"/>
        </w:rPr>
      </w:pPr>
      <w:r>
        <w:rPr>
          <w:color w:val="000000" w:themeColor="text1"/>
          <w:lang w:val="en-IN"/>
        </w:rPr>
        <w:t>Net profit margin also improved from 4.84% in 2021 to 7.54% in 2023, showing enhanced overall profitability. However, all profitability ratios declined slightly in 2024 and 2025. This suggests that Hyundai is facing increasing cost pressures, possibly due to rising raw material costs, supply chain disruptions, and increased competition in the EV market.</w:t>
      </w:r>
    </w:p>
    <w:p w14:paraId="00000041">
      <w:pPr>
        <w:rPr>
          <w:color w:val="000000" w:themeColor="text1"/>
          <w:lang w:val="en-IN"/>
        </w:rPr>
      </w:pPr>
      <w:r>
        <w:rPr>
          <w:color w:val="000000" w:themeColor="text1"/>
          <w:lang w:val="en-IN"/>
        </w:rPr>
        <w:t>Return on Assets (ROA) increased from 2.43% in 2021 to 4.34% in 2023, indicating better utilisation of assets. However, it declined to 2.81% in 2025, reflecting inefficiencies in asset usage. Similarly, Return on Equity (ROE) improved significantly to 12.05% in 2023 but dropped to 8.12% in 2025. This decline indicates reduced returns to shareholders and potential concerns regarding profitability sustainability.</w:t>
      </w:r>
    </w:p>
    <w:p w14:paraId="00000042">
      <w:pPr>
        <w:rPr>
          <w:b/>
          <w:bCs/>
          <w:color w:val="000000" w:themeColor="text1"/>
          <w:lang w:val="en-IN"/>
        </w:rPr>
      </w:pPr>
      <w:r>
        <w:rPr>
          <w:b/>
          <w:bCs/>
          <w:color w:val="000000" w:themeColor="text1"/>
          <w:lang w:val="en-IN"/>
        </w:rPr>
        <w:t>Liquidity Ratios</w:t>
      </w:r>
    </w:p>
    <w:p w14:paraId="00000043">
      <w:pPr>
        <w:rPr>
          <w:color w:val="000000" w:themeColor="text1"/>
          <w:lang w:val="en-IN"/>
        </w:rPr>
      </w:pPr>
      <w:r>
        <w:rPr>
          <w:color w:val="000000" w:themeColor="text1"/>
          <w:lang w:val="en-IN"/>
        </w:rPr>
        <w:t>Hyundai maintains relatively stable liquidity throughout the period. The current ratio remained above 1 across all five years, ranging from 1.30 to 1.46. This indicates that the company is capable of meeting its short-term obligations. The peak in 2024 (1.46) suggests strong short-term financial health during that year. The quick ratio, which excludes inventory, ranged between 1.11 and 1.21. Although slightly lower than the current ratio, it still remains above 1, indicating acceptable liquidity. However, the relatively small gap between the two ratios suggests a significant reliance on inventory for liquidity.</w:t>
      </w:r>
    </w:p>
    <w:p w14:paraId="00000044">
      <w:pPr>
        <w:jc w:val="center"/>
        <w:rPr>
          <w:color w:val="000000" w:themeColor="text1"/>
          <w:lang w:val="en-IN"/>
        </w:rPr>
      </w:pPr>
      <w:r>
        <w:rPr>
          <w:color w:val="000000" w:themeColor="text1"/>
          <w:lang w:val="en-US"/>
        </w:rPr>
        <w:drawing xmlns:mc="http://schemas.openxmlformats.org/markup-compatibility/2006">
          <wp:inline distT="0" distB="0" distL="0" distR="0">
            <wp:extent cx="4572000" cy="2743200"/>
            <wp:effectExtent l="0" t="0" r="9526" b="9526"/>
            <wp:docPr id="1825767979" name="Chart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44"/>
              </a:graphicData>
            </a:graphic>
          </wp:inline>
        </w:drawing>
      </w:r>
    </w:p>
    <w:p w14:paraId="00000045">
      <w:pPr>
        <w:rPr>
          <w:color w:val="000000" w:themeColor="text1"/>
          <w:lang w:val="en-IN"/>
        </w:rPr>
      </w:pPr>
      <w:r>
        <w:rPr>
          <w:color w:val="000000" w:themeColor="text1"/>
          <w:lang w:val="en-IN"/>
        </w:rPr>
        <w:t>Overall, Hyundai’s liquidity position is stable but not exceptionally strong, and there is a need for improved working capital management to enhance short-term financial flexibility.</w:t>
      </w:r>
    </w:p>
    <w:p w14:paraId="00000046">
      <w:pPr>
        <w:rPr>
          <w:b/>
          <w:bCs/>
          <w:color w:val="000000" w:themeColor="text1"/>
          <w:lang w:val="en-IN"/>
        </w:rPr>
      </w:pPr>
      <w:r>
        <w:rPr>
          <w:b/>
          <w:bCs/>
          <w:color w:val="000000" w:themeColor="text1"/>
          <w:lang w:val="en-IN"/>
        </w:rPr>
        <w:t>Efficiency Ratios</w:t>
      </w:r>
    </w:p>
    <w:p w14:paraId="00000047">
      <w:pPr>
        <w:rPr>
          <w:color w:val="000000" w:themeColor="text1"/>
          <w:lang w:val="en-IN"/>
        </w:rPr>
      </w:pPr>
      <w:r>
        <w:rPr>
          <w:color w:val="000000" w:themeColor="text1"/>
          <w:lang w:val="en-IN"/>
        </w:rPr>
        <w:t>Efficiency ratios reveal a declining trend in operational efficiency. Inventory turnover decreased from 8.2 times in 2021 to 7.0 times in 2024, before slightly recovering to 7.4 in 2025. This decline indicates slower movement of inventory, which could lead to increased holding costs and inefficiencies. Receivable turnover shows a more concerning trend, declining significantly from 37.4 times in 2021 to 21.7 times in 2025. This suggests that Hyundai is taking longer to collect payments from customers, which negatively impacts cash flow and liquidity.</w:t>
      </w:r>
    </w:p>
    <w:p w14:paraId="00000048">
      <w:pPr>
        <w:rPr>
          <w:color w:val="000000" w:themeColor="text1"/>
          <w:lang w:val="en-IN"/>
        </w:rPr>
      </w:pPr>
      <w:r>
        <w:rPr>
          <w:color w:val="000000" w:themeColor="text1"/>
          <w:lang w:val="en-IN"/>
        </w:rPr>
        <w:t>These trends highlight inefficiencies in managing inventory and receivables, contributing to increased working capital requirements.</w:t>
      </w:r>
    </w:p>
    <w:p w14:paraId="00000049">
      <w:pPr>
        <w:rPr>
          <w:b/>
          <w:bCs/>
          <w:color w:val="000000" w:themeColor="text1"/>
          <w:lang w:val="en-IN"/>
        </w:rPr>
      </w:pPr>
      <w:r>
        <w:rPr>
          <w:b/>
          <w:bCs/>
          <w:color w:val="000000" w:themeColor="text1"/>
          <w:lang w:val="en-IN"/>
        </w:rPr>
        <w:t>Gearing Ratios</w:t>
      </w:r>
    </w:p>
    <w:p w14:paraId="0000004A">
      <w:pPr>
        <w:rPr>
          <w:color w:val="000000" w:themeColor="text1"/>
          <w:lang w:val="en-IN"/>
        </w:rPr>
      </w:pPr>
      <w:r>
        <w:rPr>
          <w:color w:val="000000" w:themeColor="text1"/>
          <w:lang w:val="en-IN"/>
        </w:rPr>
        <w:t>Hyundai exhibits a relatively high level of financial leverage. The debt-to-equity ratio remained consistently high, ranging from 1.77 to 1.89 over the period. This indicates that the company relies heavily on debt financing. The debt ratio remained stable at around 0.64–0.65, meaning that approximately 65% of Hyundai’s assets are financed through liabilities. While this level of gearing may be typical for capital-intensive industries such as automotive manufacturing, it increases financial risk, particularly in periods of economic uncertainty.</w:t>
      </w:r>
    </w:p>
    <w:p w14:paraId="0000004B">
      <w:pPr>
        <w:rPr>
          <w:b/>
          <w:bCs/>
          <w:color w:val="000000" w:themeColor="text1"/>
          <w:lang w:val="en-IN"/>
        </w:rPr>
      </w:pPr>
      <w:r>
        <w:rPr>
          <w:b/>
          <w:bCs/>
          <w:color w:val="000000" w:themeColor="text1"/>
          <w:lang w:val="en-IN"/>
        </w:rPr>
        <w:t>Cash Flow Ratios</w:t>
      </w:r>
    </w:p>
    <w:p w14:paraId="0000004C">
      <w:pPr>
        <w:rPr>
          <w:color w:val="000000" w:themeColor="text1"/>
          <w:lang w:val="en-IN"/>
        </w:rPr>
      </w:pPr>
      <w:r>
        <w:rPr>
          <w:color w:val="000000" w:themeColor="text1"/>
          <w:lang w:val="en-IN"/>
        </w:rPr>
        <w:t>Cash flow analysis reveals a critical issue. Despite strong profitability, Hyundai’s operating cash flow is inconsistent and mostly negative. The operating cash flow ratio was negative in 2021, 2023, 2024, and 2025, indicating that the company is not generating sufficient cash from its core operations to cover its short-term liabilities.</w:t>
      </w:r>
      <w:r>
        <w:rPr>
          <w:color w:val="000000" w:themeColor="text1"/>
          <w:lang w:val="en-IN"/>
        </w:rPr>
        <w:t xml:space="preserve"> </w:t>
      </w:r>
      <w:r>
        <w:rPr>
          <w:color w:val="000000" w:themeColor="text1"/>
          <w:lang w:val="en-IN"/>
        </w:rPr>
        <w:t>Only in 2022 did Hyundai generate a positive operating cash flow ratio (0.14). Similarly, cash flow margin remained negative in most years, highlighting weak cash generation relative to revenue.</w:t>
      </w:r>
    </w:p>
    <w:p w14:paraId="0000004D">
      <w:pPr>
        <w:rPr>
          <w:color w:val="000000" w:themeColor="text1"/>
          <w:lang w:val="en-IN"/>
        </w:rPr>
      </w:pPr>
      <w:r>
        <w:rPr>
          <w:color w:val="000000" w:themeColor="text1"/>
          <w:lang w:val="en-IN"/>
        </w:rPr>
        <w:t xml:space="preserve">This </w:t>
      </w:r>
      <w:r>
        <w:rPr>
          <w:color w:val="000000" w:themeColor="text1"/>
          <w:lang w:val="en-IN"/>
        </w:rPr>
        <w:t>disconnects</w:t>
      </w:r>
      <w:r>
        <w:rPr>
          <w:color w:val="000000" w:themeColor="text1"/>
          <w:lang w:val="en-IN"/>
        </w:rPr>
        <w:t xml:space="preserve"> between profit and cash flow suggests inefficiencies in working capital management and potential liquidity risks.</w:t>
      </w:r>
    </w:p>
    <w:p w14:paraId="0000004E">
      <w:pPr>
        <w:pStyle w:val="Heading2"/>
        <w:rPr>
          <w:color w:val="000000" w:themeColor="text1"/>
          <w:lang w:val="en-IN"/>
        </w:rPr>
      </w:pPr>
      <w:bookmarkStart w:id="4" w:name="_Toc227942344"/>
      <w:r>
        <w:rPr>
          <w:color w:val="000000" w:themeColor="text1"/>
          <w:lang w:val="en-IN"/>
        </w:rPr>
        <w:t>2.3 Key Issues Identification</w:t>
      </w:r>
      <w:bookmarkEnd w:id="4"/>
    </w:p>
    <w:p w14:paraId="0000004F">
      <w:pPr>
        <w:rPr>
          <w:color w:val="000000" w:themeColor="text1"/>
          <w:lang w:val="en-IN"/>
        </w:rPr>
      </w:pPr>
      <w:r>
        <w:rPr>
          <w:color w:val="000000" w:themeColor="text1"/>
          <w:lang w:val="en-IN"/>
        </w:rPr>
        <w:t>Based on the analysis above, several key financial issues can be identified.</w:t>
      </w:r>
    </w:p>
    <w:p w14:paraId="00000050">
      <w:pPr>
        <w:rPr>
          <w:color w:val="000000" w:themeColor="text1"/>
          <w:lang w:val="en-IN"/>
        </w:rPr>
      </w:pPr>
      <w:r>
        <w:rPr>
          <w:color w:val="000000" w:themeColor="text1"/>
          <w:lang w:val="en-IN"/>
        </w:rPr>
        <w:t xml:space="preserve">Firstly, Hyundai faces significant challenges in cash flow management. Despite increasing revenues and profits, the company struggles to generate positive operating cash flow. This indicates that profits are not being effectively converted into cash, which could lead to liquidity constraints in the future. </w:t>
      </w:r>
      <w:r>
        <w:rPr>
          <w:color w:val="000000" w:themeColor="text1"/>
          <w:lang w:val="en-IN"/>
        </w:rPr>
        <w:t>T</w:t>
      </w:r>
      <w:r>
        <w:rPr>
          <w:color w:val="000000" w:themeColor="text1"/>
          <w:lang w:val="en-IN"/>
        </w:rPr>
        <w:t>he increasing cash conversion cycle reflects inefficiencies in working capital management. Days Inventory Outstanding increased from 44 days in 2021 to 50 days in 2025, while Days Sales Outstanding rose from 10 days to 17 days. As a result, the overall cash conversion cycle increased from 54 days to 66 days. This means that cash is tied up in operations for longer periods, reducing financial flexibility.</w:t>
      </w:r>
    </w:p>
    <w:p w14:paraId="00000051">
      <w:pPr>
        <w:rPr>
          <w:color w:val="000000" w:themeColor="text1"/>
          <w:lang w:val="en-IN"/>
        </w:rPr>
      </w:pPr>
      <w:r>
        <w:rPr>
          <w:color w:val="000000" w:themeColor="text1"/>
          <w:lang w:val="en-IN"/>
        </w:rPr>
        <w:t>Hyundai’s rising debt levels present a financial risk. The consistently high debt-to-equity ratio indicates heavy reliance on external financing. While this supports expansion, it also increases interest obligations and financial vulnerability. Additionally, declining efficiency ratios highlight operational weaknesses. Slower inventory turnover and reduced receivable turnover indicate inefficiencies in managing resources and collecting payments. Profitability, although strong, shows signs of decline in recent years. Margins and returns peaked around 2023–2024 but declined in 2025, suggesting rising costs and competitive pressures.</w:t>
      </w:r>
    </w:p>
    <w:p w14:paraId="00000052">
      <w:pPr>
        <w:rPr>
          <w:color w:val="000000" w:themeColor="text1"/>
          <w:lang w:val="en-IN"/>
        </w:rPr>
      </w:pPr>
      <w:r>
        <w:rPr>
          <w:color w:val="000000" w:themeColor="text1"/>
          <w:lang w:val="en-IN"/>
        </w:rPr>
        <w:t>It has been critically analysed that Hyundai demonstrates strong revenue growth and improving profitability in the early years; however, underlying financial weaknesses such as poor cash flow management, increasing working capital cycle, and high leverage pose significant risks. These issues must be addressed to ensure long-term financial sustainability and operational efficiency.</w:t>
      </w:r>
    </w:p>
    <w:p w14:paraId="00000053">
      <w:pPr>
        <w:pStyle w:val="Heading1"/>
        <w:rPr>
          <w:lang w:val="en-IN"/>
        </w:rPr>
      </w:pPr>
      <w:bookmarkStart w:id="5" w:name="_Toc227942345"/>
      <w:r>
        <w:rPr>
          <w:lang w:val="en-IN"/>
        </w:rPr>
        <w:t>3. WORKING CAPITAL MANAGEMENT ANALYSIS</w:t>
      </w:r>
      <w:bookmarkEnd w:id="5"/>
    </w:p>
    <w:p w14:paraId="00000054">
      <w:pPr>
        <w:pStyle w:val="Heading2"/>
        <w:rPr>
          <w:color w:val="000000" w:themeColor="text1"/>
          <w:lang w:val="en-IN"/>
        </w:rPr>
      </w:pPr>
      <w:bookmarkStart w:id="6" w:name="_Toc227942346"/>
      <w:r>
        <w:rPr>
          <w:color w:val="000000" w:themeColor="text1"/>
          <w:lang w:val="en-IN"/>
        </w:rPr>
        <w:t>3.1 Cash Conversion Cycle (CCC) Analysis</w:t>
      </w:r>
      <w:bookmarkEnd w:id="6"/>
    </w:p>
    <w:p w14:paraId="00000055">
      <w:pPr>
        <w:rPr>
          <w:color w:val="000000" w:themeColor="text1"/>
          <w:lang w:val="en-IN"/>
        </w:rPr>
      </w:pPr>
      <w:r>
        <w:rPr>
          <w:color w:val="000000" w:themeColor="text1"/>
          <w:lang w:val="en-IN"/>
        </w:rPr>
        <w:t>The cash conversion cycle (CCC) is a critical indicator of a company’s operational efficiency and liquidity management. It measures the time taken by a firm to convert its investments in inventory and receivables into actual cash inflows. A shorter CCC indicates efficient working capital management, whereas a longer CCC reflects inefficiencies and potential liquidity constraints.</w:t>
      </w:r>
    </w:p>
    <w:p w14:paraId="00000056">
      <w:pPr>
        <w:jc w:val="center"/>
        <w:rPr>
          <w:color w:val="000000" w:themeColor="text1"/>
          <w:lang w:val="en-IN"/>
        </w:rPr>
      </w:pPr>
      <w:r>
        <w:rPr>
          <w:color w:val="000000" w:themeColor="text1"/>
          <w:lang w:val="en-US"/>
        </w:rPr>
        <w:drawing xmlns:mc="http://schemas.openxmlformats.org/markup-compatibility/2006">
          <wp:inline distT="0" distB="0" distL="0" distR="0">
            <wp:extent cx="4581413" cy="2782644"/>
            <wp:effectExtent l="0" t="0" r="9525" b="9525"/>
            <wp:docPr id="1825767980" name="Chart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45"/>
              </a:graphicData>
            </a:graphic>
          </wp:inline>
        </w:drawing>
      </w:r>
    </w:p>
    <w:p w14:paraId="00000057">
      <w:pPr>
        <w:rPr>
          <w:color w:val="000000" w:themeColor="text1"/>
          <w:lang w:val="en-IN"/>
        </w:rPr>
      </w:pPr>
      <w:r>
        <w:rPr>
          <w:color w:val="000000" w:themeColor="text1"/>
          <w:lang w:val="en-IN"/>
        </w:rPr>
        <w:t>Based on the data presented, Hyundai’s CCC has shown a consistent upward trend over the five-year period from 2021 to 2025. As illustrated in the graph, the CCC increased from 54 days in 2021 to 66 days in 2025. This indicates that Hyundai is taking progressively longer to convert its operational activities into cash, which is a negative signal for liquidity and efficiency.</w:t>
      </w:r>
      <w:r>
        <w:rPr>
          <w:color w:val="000000" w:themeColor="text1"/>
          <w:lang w:val="en-IN"/>
        </w:rPr>
        <w:t xml:space="preserve"> </w:t>
      </w:r>
      <w:r>
        <w:rPr>
          <w:color w:val="000000" w:themeColor="text1"/>
          <w:lang w:val="en-IN"/>
        </w:rPr>
        <w:t>This increase in CCC is primarily driven by two key components: Days Inventory Outstanding (DIO) and Days Sales Outstanding (DSO). DIO increased from 44 days in 2021 to 50 days in 2025, indicating that inventory is being held for longer periods before being sold. This may be due to overproduction, inefficient inventory management, or slower demand in certain markets.</w:t>
      </w:r>
    </w:p>
    <w:p w14:paraId="00000058">
      <w:pPr>
        <w:rPr>
          <w:color w:val="000000" w:themeColor="text1"/>
          <w:lang w:val="en-IN"/>
        </w:rPr>
      </w:pPr>
      <w:r>
        <w:rPr>
          <w:color w:val="000000" w:themeColor="text1"/>
          <w:lang w:val="en-IN"/>
        </w:rPr>
        <w:t>Similarly, DSO increased significantly from 10 days in 2021 to 17 days in 2025. This suggests that customers are taking longer to pay, which delays cash inflows and increases the risk of bad debts. The sharp rise in DSO is particularly concerning, as it directly impacts cash flow and liquidity.</w:t>
      </w:r>
    </w:p>
    <w:p w14:paraId="00000059">
      <w:pPr>
        <w:rPr>
          <w:color w:val="000000" w:themeColor="text1"/>
          <w:lang w:val="en-IN"/>
        </w:rPr>
      </w:pPr>
      <w:r>
        <w:rPr>
          <w:color w:val="000000" w:themeColor="text1"/>
          <w:lang w:val="en-IN"/>
        </w:rPr>
        <w:t>Overall, the increasing CCC highlights declining efficiency in Hyundai’s working capital management. The company’s cash is tied up for longer periods, reducing its ability to reinvest, meet obligations, and respond to market opportunities.</w:t>
      </w:r>
    </w:p>
    <w:p w14:paraId="0000005A">
      <w:pPr>
        <w:pStyle w:val="Heading2"/>
        <w:rPr>
          <w:color w:val="000000" w:themeColor="text1"/>
          <w:lang w:val="en-IN"/>
        </w:rPr>
      </w:pPr>
      <w:bookmarkStart w:id="7" w:name="_Toc227942347"/>
      <w:r>
        <w:rPr>
          <w:color w:val="000000" w:themeColor="text1"/>
          <w:lang w:val="en-IN"/>
        </w:rPr>
        <w:t>3.2 Problems in Working Capital Management</w:t>
      </w:r>
      <w:bookmarkEnd w:id="7"/>
    </w:p>
    <w:p w14:paraId="0000005B">
      <w:pPr>
        <w:rPr>
          <w:color w:val="000000" w:themeColor="text1"/>
          <w:lang w:val="en-IN"/>
        </w:rPr>
      </w:pPr>
      <w:r>
        <w:rPr>
          <w:color w:val="000000" w:themeColor="text1"/>
          <w:lang w:val="en-IN"/>
        </w:rPr>
        <w:t>The analysis has highlighted some serious problems in Hyundai's working capital management.</w:t>
      </w:r>
    </w:p>
    <w:p w14:paraId="0000005C">
      <w:pPr>
        <w:rPr>
          <w:color w:val="000000" w:themeColor="text1"/>
          <w:lang w:val="en-IN"/>
        </w:rPr>
      </w:pPr>
      <w:r>
        <w:rPr>
          <w:color w:val="000000" w:themeColor="text1"/>
          <w:lang w:val="en-IN"/>
        </w:rPr>
        <w:t>First, there is the growth in inventory. The increase in DIO suggests that Hyundai is carrying too much inventory, resulting in increased carrying costs, the risk of product obsolescence and sub-optimal resource allocation (Kelka, 2024). In a technology-driven industry such as automobiles, long inventory holding times can lead to product obsolescence and losses. The rising DSO indicates credit management problems. The increase in DSO indicates that Hyundai either has a relaxed credit policy or is experiencing payment delays from customers. This will not only delay cash receipts but also increase the risk of bad debts, affecting profitability.</w:t>
      </w:r>
    </w:p>
    <w:p w14:paraId="0000005D">
      <w:pPr>
        <w:rPr>
          <w:color w:val="000000" w:themeColor="text1"/>
          <w:lang w:val="en-IN"/>
        </w:rPr>
      </w:pPr>
      <w:r>
        <w:rPr>
          <w:color w:val="000000" w:themeColor="text1"/>
          <w:lang w:val="en-IN"/>
        </w:rPr>
        <w:t>The second big problem is the lack of cash flow despite profitability. Hyundai has strong revenues and profits, but its operating cash flow is weak and mostly negative. This suggests that the company is inefficient in converting profits to cash, mainly due to poor working capital management. Hyundai's liquidity is impaired by a long CCC. If cash is being locked up in inventory and receivables, Hyundai could face challenges paying its immediate liabilities. It may require more external funding, thus increasing financial risk.</w:t>
      </w:r>
    </w:p>
    <w:p w14:paraId="0000005E">
      <w:pPr>
        <w:rPr>
          <w:color w:val="000000" w:themeColor="text1"/>
          <w:lang w:val="en-IN"/>
        </w:rPr>
      </w:pPr>
      <w:r>
        <w:rPr>
          <w:color w:val="000000" w:themeColor="text1"/>
          <w:lang w:val="en-IN"/>
        </w:rPr>
        <w:t>Lack of working capital efficiency can limit Hyundai's growth opportunities. This can limit Hyundai's ability to invest in new projects, R&amp;D and growth opportunities</w:t>
      </w:r>
      <w:r>
        <w:rPr>
          <w:color w:val="000000" w:themeColor="text1"/>
          <w:lang w:val="en-IN"/>
        </w:rPr>
        <w:t>.</w:t>
      </w:r>
    </w:p>
    <w:p w14:paraId="0000005F">
      <w:pPr>
        <w:pStyle w:val="Heading2"/>
        <w:rPr>
          <w:color w:val="000000" w:themeColor="text1"/>
          <w:lang w:val="en-IN"/>
        </w:rPr>
      </w:pPr>
      <w:bookmarkStart w:id="8" w:name="_Toc227942348"/>
      <w:r>
        <w:rPr>
          <w:color w:val="000000" w:themeColor="text1"/>
          <w:lang w:val="en-IN"/>
        </w:rPr>
        <w:t>3.3 Recommendations for Improvement</w:t>
      </w:r>
      <w:bookmarkEnd w:id="8"/>
    </w:p>
    <w:p w14:paraId="00000060">
      <w:pPr>
        <w:rPr>
          <w:color w:val="000000" w:themeColor="text1"/>
          <w:lang w:val="en-IN"/>
        </w:rPr>
      </w:pPr>
      <w:r>
        <w:rPr>
          <w:color w:val="000000" w:themeColor="text1"/>
          <w:lang w:val="en-IN"/>
        </w:rPr>
        <w:t>To resolve these problems, Hyundai needs to adopt sound working capital management practices to enhance efficiency and liquidity.</w:t>
      </w:r>
    </w:p>
    <w:p w14:paraId="00000061">
      <w:pPr>
        <w:rPr>
          <w:color w:val="000000" w:themeColor="text1"/>
          <w:lang w:val="en-IN"/>
        </w:rPr>
      </w:pPr>
      <w:r>
        <w:rPr>
          <w:color w:val="000000" w:themeColor="text1"/>
          <w:lang w:val="en-IN"/>
        </w:rPr>
        <w:t>Firstly, inventory management should be optimised. Hyundai can use strategies like Just-in-Time (JIT) inventory to shorten inventory holding times and avoid overstocking (Susanti et al., 2025). Enhanced forecasting and supply chain management can also help in matching supply with demand. Hyundai can also focus on its accounts receivable. This can be done by strengthening credit policies, shortening credit terms and providing discounts for early payments. Hyundai can also enhance its receivables monitoring to minimise delinquencies.</w:t>
      </w:r>
    </w:p>
    <w:p w14:paraId="00000062">
      <w:pPr>
        <w:rPr>
          <w:color w:val="000000" w:themeColor="text1"/>
          <w:lang w:val="en-IN"/>
        </w:rPr>
      </w:pPr>
      <w:r>
        <w:rPr>
          <w:color w:val="000000" w:themeColor="text1"/>
          <w:lang w:val="en-IN"/>
        </w:rPr>
        <w:t xml:space="preserve">Hyundai must enhance cash flow management. This includes increasing cash inflows and managing cash outflows. Sound working capital strategies can assist in turning profits into cash, thus enhancing liquidity. Another approach is to manage short-term financing. Hyundai can use short-term financing options such as trade credit, bank overdrafts, and short-term loans to overcome short-term liquidity problems. Short-term </w:t>
      </w:r>
      <w:r>
        <w:rPr>
          <w:color w:val="000000" w:themeColor="text1"/>
          <w:lang w:val="en-IN"/>
        </w:rPr>
        <w:t>financing is more flexible and cheaper to use for working capital than long-term financing.</w:t>
      </w:r>
    </w:p>
    <w:p w14:paraId="00000063">
      <w:pPr>
        <w:rPr>
          <w:color w:val="000000" w:themeColor="text1"/>
          <w:lang w:val="en-IN"/>
        </w:rPr>
      </w:pPr>
      <w:r>
        <w:rPr>
          <w:color w:val="000000" w:themeColor="text1"/>
          <w:lang w:val="en-IN"/>
        </w:rPr>
        <w:t>But there should be a balance between short-term and long-term financing. Although short-term financing is flexible, it may lead to the risk of refinancing. Thus, Hyundai should work towards a balance by leveraging long-term financing for long-term investments and short-term for daily operations (Cho et al., 2025). Leveraging technology and automation can improve working capital. Sophisticated financial systems can enable real-time tracking of inventory and receivables for timely decision making. Lastly, Hyundai needs to set working capital targets and KPIs. Tracking CCC, DIO and DSO can assist in identifying potential issues and taking timely corrective measures.</w:t>
      </w:r>
    </w:p>
    <w:p w14:paraId="00000064">
      <w:pPr>
        <w:rPr>
          <w:color w:val="000000" w:themeColor="text1"/>
          <w:lang w:val="en-IN"/>
        </w:rPr>
      </w:pPr>
      <w:r>
        <w:rPr>
          <w:color w:val="000000" w:themeColor="text1"/>
          <w:lang w:val="en-IN"/>
        </w:rPr>
        <w:t>It has been critically examined that Hyundai's increasing cash conversion cycle shows reduced working capital efficiency. This is due to increases in inventory and receivables leading to poor cash flow and liquidity. For long-term financial success, Hyundai needs to implement strategies such as managing inventory and receivables and making wise financing choices. This will help the company maximise cash flow, boost liquidity and optimise its working capital.</w:t>
      </w:r>
    </w:p>
    <w:p w14:paraId="00000065">
      <w:pPr>
        <w:pStyle w:val="Heading1"/>
        <w:rPr>
          <w:lang w:val="en-IN"/>
        </w:rPr>
      </w:pPr>
      <w:bookmarkStart w:id="9" w:name="_Toc227942349"/>
      <w:r>
        <w:rPr>
          <w:lang w:val="en-IN"/>
        </w:rPr>
        <w:t>4. STRATEGIC FINANCIAL RESTRUCTURING</w:t>
      </w:r>
      <w:bookmarkEnd w:id="9"/>
    </w:p>
    <w:p w14:paraId="00000066">
      <w:pPr>
        <w:rPr>
          <w:color w:val="000000" w:themeColor="text1"/>
          <w:lang w:val="en-IN"/>
        </w:rPr>
      </w:pPr>
      <w:r>
        <w:rPr>
          <w:color w:val="000000" w:themeColor="text1"/>
          <w:lang w:val="en-IN"/>
        </w:rPr>
        <w:t>Over the last five years, Hyundai Motor Company has recorded impressive revenue growth and profitability; however, there are underlying financial issues, including poor operating cash flow, increasing debt and inefficiencies in working capital management, that warrant the need for financial restructuring (Habib and Kayani, 2022). Restructuring involves changes to the firm's capital structure and financial policies to enhance the firm's stability, risk management and long term value (Habib and Kayani, 2022). Given the high leverage and liquidity issues of Hyundai, it is important to implement the suitable restructuring measures to achieve sustainable growth</w:t>
      </w:r>
      <w:r>
        <w:rPr>
          <w:color w:val="000000" w:themeColor="text1"/>
          <w:lang w:val="en-IN"/>
        </w:rPr>
        <w:t>.</w:t>
      </w:r>
    </w:p>
    <w:p w14:paraId="00000067">
      <w:pPr>
        <w:pStyle w:val="Heading2"/>
        <w:rPr>
          <w:color w:val="000000" w:themeColor="text1"/>
          <w:lang w:val="en-IN"/>
        </w:rPr>
      </w:pPr>
      <w:bookmarkStart w:id="10" w:name="_Toc227942350"/>
      <w:r>
        <w:rPr>
          <w:color w:val="000000" w:themeColor="text1"/>
          <w:lang w:val="en-IN"/>
        </w:rPr>
        <w:t>4.1 Restructuring Options</w:t>
      </w:r>
      <w:bookmarkEnd w:id="10"/>
    </w:p>
    <w:p w14:paraId="00000068">
      <w:pPr>
        <w:rPr>
          <w:b/>
          <w:bCs/>
          <w:color w:val="000000" w:themeColor="text1"/>
          <w:lang w:val="en-IN"/>
        </w:rPr>
      </w:pPr>
      <w:r>
        <w:rPr>
          <w:b/>
          <w:bCs/>
          <w:color w:val="000000" w:themeColor="text1"/>
          <w:lang w:val="en-IN"/>
        </w:rPr>
        <w:t>Equity Financing</w:t>
      </w:r>
    </w:p>
    <w:p w14:paraId="00000069">
      <w:pPr>
        <w:rPr>
          <w:color w:val="000000" w:themeColor="text1"/>
          <w:lang w:val="en-IN"/>
        </w:rPr>
      </w:pPr>
      <w:r>
        <w:rPr>
          <w:color w:val="000000" w:themeColor="text1"/>
          <w:lang w:val="en-IN"/>
        </w:rPr>
        <w:t xml:space="preserve">A key restructuring strategy for Hyundai is equity financing. This is a form of financing obtained by selling shares. Equity financing can help the company reduce its debt burden, hence improving the debt-to-equity ratio and reducing financial risk. For Hyundai, which has a high gearing ratio (around 1.8-1.9) currently, an increase in </w:t>
      </w:r>
      <w:r>
        <w:rPr>
          <w:color w:val="000000" w:themeColor="text1"/>
          <w:lang w:val="en-IN"/>
        </w:rPr>
        <w:t>equity financing would improve its financial position. This helps the company lower its debt level and minimise interest expenses. This is especially useful in a rising interest rate environment, as it helps avoid higher interest payments.</w:t>
      </w:r>
    </w:p>
    <w:p w14:paraId="0000006A">
      <w:pPr>
        <w:rPr>
          <w:color w:val="000000" w:themeColor="text1"/>
          <w:lang w:val="en-IN"/>
        </w:rPr>
      </w:pPr>
      <w:r>
        <w:rPr>
          <w:color w:val="000000" w:themeColor="text1"/>
          <w:lang w:val="en-IN"/>
        </w:rPr>
        <w:t>But equity financing comes with its challenges. The issue of new shares could lead to a decline in the ownership stake of existing shareholders and a decline in earnings per share (EPS) (Poudyal, 2025). This may not be welcomed by investors. Thus, Hyundai needs to weigh the cost of reducing its financial risk against the cost of shareholder value. While there are potential disadvantages, equity financing is still possible, particularly for long-term investments such as electric vehicle production and innovation</w:t>
      </w:r>
      <w:r>
        <w:rPr>
          <w:color w:val="000000" w:themeColor="text1"/>
          <w:lang w:val="en-IN"/>
        </w:rPr>
        <w:t>.</w:t>
      </w:r>
    </w:p>
    <w:p w14:paraId="0000006B">
      <w:pPr>
        <w:rPr>
          <w:b/>
          <w:bCs/>
          <w:color w:val="000000" w:themeColor="text1"/>
          <w:lang w:val="en-IN"/>
        </w:rPr>
      </w:pPr>
      <w:r>
        <w:rPr>
          <w:b/>
          <w:bCs/>
          <w:color w:val="000000" w:themeColor="text1"/>
          <w:lang w:val="en-IN"/>
        </w:rPr>
        <w:t>Debt Restructuring</w:t>
      </w:r>
    </w:p>
    <w:p w14:paraId="0000006C">
      <w:pPr>
        <w:rPr>
          <w:color w:val="000000" w:themeColor="text1"/>
          <w:lang w:val="en-IN"/>
        </w:rPr>
      </w:pPr>
      <w:r>
        <w:rPr>
          <w:color w:val="000000" w:themeColor="text1"/>
          <w:lang w:val="en-IN"/>
        </w:rPr>
        <w:t>The other key restructuring option is debt restructuring. This is the process of restructuring debt obligations to make them more favourable. Hyundai may be able to restructure its debt by extending the maturity of the debt, by lowering the interest rate, or by converting short-term debt into long-term debt (Ra, 2024). Hyundai being heavily dependent on debt financing, restructuring debt can have a substantial impact on cash flow and liquidity. A longer payment period can alleviate short-term cash-flow pressures, enhancing Hyundai's liquidity. Moreover, securing lower interest rates will reduce financial costs, enhancing profitability.</w:t>
      </w:r>
    </w:p>
    <w:p w14:paraId="0000006D">
      <w:pPr>
        <w:rPr>
          <w:color w:val="000000" w:themeColor="text1"/>
          <w:lang w:val="en-IN"/>
        </w:rPr>
      </w:pPr>
      <w:r>
        <w:rPr>
          <w:color w:val="000000" w:themeColor="text1"/>
          <w:lang w:val="en-IN"/>
        </w:rPr>
        <w:t>Hyundai can also match its investment and financing plans through debt restructuring. For instance, long-term investments like EV development need long-term financing instead of short-term debt. But over-reliance on debt restructuring could send a negative signal to investors and lenders</w:t>
      </w:r>
      <w:r>
        <w:rPr>
          <w:color w:val="000000" w:themeColor="text1"/>
          <w:lang w:val="en-IN"/>
        </w:rPr>
        <w:t>.</w:t>
      </w:r>
    </w:p>
    <w:p w14:paraId="0000006E">
      <w:pPr>
        <w:rPr>
          <w:b/>
          <w:bCs/>
          <w:color w:val="000000" w:themeColor="text1"/>
          <w:lang w:val="en-IN"/>
        </w:rPr>
      </w:pPr>
      <w:r>
        <w:rPr>
          <w:b/>
          <w:bCs/>
          <w:color w:val="000000" w:themeColor="text1"/>
          <w:lang w:val="en-IN"/>
        </w:rPr>
        <w:t>Asset Divestment</w:t>
      </w:r>
    </w:p>
    <w:p w14:paraId="0000006F">
      <w:pPr>
        <w:rPr>
          <w:color w:val="000000" w:themeColor="text1"/>
          <w:lang w:val="en-IN"/>
        </w:rPr>
      </w:pPr>
      <w:r>
        <w:rPr>
          <w:color w:val="000000" w:themeColor="text1"/>
          <w:lang w:val="en-IN"/>
        </w:rPr>
        <w:t>Another restructuring strategy is divesting assets. It is a strategy where a company sells off non-essential or unproductive assets to raise funds and increase efficiency. Hyundai can sell off assets that are not essential to its main business to generate funds. This can create immediate cash that can be used to pay down debt, improve cash flows or fund growth in high potential segments such as electric vehicle technology (Chap and Liu, 2024). Moreover, divesting can help the firm concentrate on its core strengths and optimise its operations.</w:t>
      </w:r>
    </w:p>
    <w:p w14:paraId="00000070">
      <w:pPr>
        <w:rPr>
          <w:color w:val="000000" w:themeColor="text1"/>
          <w:lang w:val="en-IN"/>
        </w:rPr>
      </w:pPr>
      <w:r>
        <w:rPr>
          <w:color w:val="000000" w:themeColor="text1"/>
          <w:lang w:val="en-IN"/>
        </w:rPr>
        <w:t>For example, Hyundai can divest non-core subsidiaries or unproductive business units. This will not only boost its bottom line but also increase its operational efficiency. But asset divestment must be done strategically to prevent loss of capabilities. Divesting of strategic assets can have a negative impact of growth</w:t>
      </w:r>
      <w:r>
        <w:rPr>
          <w:color w:val="000000" w:themeColor="text1"/>
          <w:lang w:val="en-IN"/>
        </w:rPr>
        <w:t>.</w:t>
      </w:r>
    </w:p>
    <w:p w14:paraId="00000071">
      <w:pPr>
        <w:pStyle w:val="Heading2"/>
        <w:rPr>
          <w:color w:val="000000" w:themeColor="text1"/>
          <w:lang w:val="en-IN"/>
        </w:rPr>
      </w:pPr>
      <w:bookmarkStart w:id="11" w:name="_Toc227942351"/>
      <w:r>
        <w:rPr>
          <w:color w:val="000000" w:themeColor="text1"/>
          <w:lang w:val="en-IN"/>
        </w:rPr>
        <w:t>4.2 Impact Analysis</w:t>
      </w:r>
      <w:bookmarkEnd w:id="11"/>
    </w:p>
    <w:p w14:paraId="00000072">
      <w:pPr>
        <w:rPr>
          <w:b/>
          <w:bCs/>
          <w:color w:val="000000" w:themeColor="text1"/>
          <w:lang w:val="en-IN"/>
        </w:rPr>
      </w:pPr>
      <w:r>
        <w:rPr>
          <w:b/>
          <w:bCs/>
          <w:color w:val="000000" w:themeColor="text1"/>
          <w:lang w:val="en-IN"/>
        </w:rPr>
        <w:t>Shareholder Value</w:t>
      </w:r>
    </w:p>
    <w:p w14:paraId="00000073">
      <w:pPr>
        <w:rPr>
          <w:color w:val="000000" w:themeColor="text1"/>
          <w:lang w:val="en-IN"/>
        </w:rPr>
      </w:pPr>
      <w:r>
        <w:rPr>
          <w:color w:val="000000" w:themeColor="text1"/>
          <w:lang w:val="en-IN"/>
        </w:rPr>
        <w:t>Shareholder value is affected by financial restructuring. Debt financing, by decreasing financial risk, may pose a threat of share dilution and lower earnings per share (EPS) in the short term (Musa, 2024). But in the longer term, better financial health can boost investor confidence and share prices. Debt restructuring can also increase shareholder value through reduced risk and increased profits. Reduced interest costs can increase profitability, and thus shareholder value. Further, cash flow increases allow for increased dividends.</w:t>
      </w:r>
    </w:p>
    <w:p w14:paraId="00000074">
      <w:pPr>
        <w:rPr>
          <w:color w:val="000000" w:themeColor="text1"/>
          <w:lang w:val="en-IN"/>
        </w:rPr>
      </w:pPr>
      <w:r>
        <w:rPr>
          <w:color w:val="000000" w:themeColor="text1"/>
          <w:lang w:val="en-IN"/>
        </w:rPr>
        <w:t>Selling assets can also be value-enhancing through the exit of unproductive activities and concentration on profitable business lines. This allows Hyundai to invest in profitable opportunities, boosting its profitability and shareholder value</w:t>
      </w:r>
      <w:r>
        <w:rPr>
          <w:color w:val="000000" w:themeColor="text1"/>
          <w:lang w:val="en-IN"/>
        </w:rPr>
        <w:t>.</w:t>
      </w:r>
    </w:p>
    <w:p w14:paraId="00000075">
      <w:pPr>
        <w:rPr>
          <w:b/>
          <w:bCs/>
          <w:color w:val="000000" w:themeColor="text1"/>
          <w:lang w:val="en-IN"/>
        </w:rPr>
      </w:pPr>
      <w:r>
        <w:rPr>
          <w:b/>
          <w:bCs/>
          <w:color w:val="000000" w:themeColor="text1"/>
          <w:lang w:val="en-IN"/>
        </w:rPr>
        <w:t>Debt Reduction</w:t>
      </w:r>
    </w:p>
    <w:p w14:paraId="00000076">
      <w:pPr>
        <w:rPr>
          <w:color w:val="000000" w:themeColor="text1"/>
          <w:lang w:val="en-IN"/>
        </w:rPr>
      </w:pPr>
      <w:r>
        <w:rPr>
          <w:color w:val="000000" w:themeColor="text1"/>
          <w:lang w:val="en-IN"/>
        </w:rPr>
        <w:t>Debt reduction is a major restructuring goal. Hyundai's debt-to-equity ratio suggests that it has been heavily levered. Through a mix of equity financing and asset sales, the company can decrease its debt. Reducing debt reduces interest expenses, improves credit ratings, and financial risk. This improves the company's access to capital in the future.</w:t>
      </w:r>
    </w:p>
    <w:p w14:paraId="00000077">
      <w:pPr>
        <w:rPr>
          <w:color w:val="000000" w:themeColor="text1"/>
          <w:lang w:val="en-IN"/>
        </w:rPr>
      </w:pPr>
      <w:r>
        <w:rPr>
          <w:color w:val="000000" w:themeColor="text1"/>
          <w:lang w:val="en-IN"/>
        </w:rPr>
        <w:t>Debt restructuring is also a key element in managing debt. By increasing the length of time to pay back the debt and lowering the interest rate, Hyundai can increase its financial flexibility and ease pressure in the short term (Minchin, 2026).</w:t>
      </w:r>
    </w:p>
    <w:p w14:paraId="00000078">
      <w:pPr>
        <w:rPr>
          <w:color w:val="000000" w:themeColor="text1"/>
          <w:lang w:val="en-IN"/>
        </w:rPr>
      </w:pPr>
      <w:r>
        <w:rPr>
          <w:b/>
          <w:bCs/>
          <w:color w:val="000000" w:themeColor="text1"/>
          <w:lang w:val="en-IN"/>
        </w:rPr>
        <w:t>Financial Flexibility</w:t>
      </w:r>
    </w:p>
    <w:p w14:paraId="00000079">
      <w:pPr>
        <w:rPr>
          <w:color w:val="000000" w:themeColor="text1"/>
          <w:lang w:val="en-IN"/>
        </w:rPr>
      </w:pPr>
      <w:r>
        <w:rPr>
          <w:color w:val="000000" w:themeColor="text1"/>
          <w:lang w:val="en-IN"/>
        </w:rPr>
        <w:t xml:space="preserve">Financial flexibility is the capacity to adjust to market changes and investment opportunities. Successful restructuring increases Hyundai's financial flexibility through increased cash flow and reduced financial constraints (Rafayel et al., 2025). Improved liquidity and reduced debt burdens enable Hyundai to finance innovation, growth and strategic projects. It is essential for the rapidly changing automotive industry, in which </w:t>
      </w:r>
      <w:r>
        <w:rPr>
          <w:color w:val="000000" w:themeColor="text1"/>
          <w:lang w:val="en-IN"/>
        </w:rPr>
        <w:t>firms must invest in innovative technologies. With greater flexibility, Hyundai can manage economic risks, including demand swings, currency risks and global supply chain issues</w:t>
      </w:r>
      <w:r>
        <w:rPr>
          <w:color w:val="000000" w:themeColor="text1"/>
          <w:lang w:val="en-IN"/>
        </w:rPr>
        <w:t>.</w:t>
      </w:r>
    </w:p>
    <w:p w14:paraId="0000007A">
      <w:pPr>
        <w:pStyle w:val="Heading2"/>
        <w:rPr>
          <w:color w:val="000000" w:themeColor="text1"/>
          <w:lang w:val="en-IN"/>
        </w:rPr>
      </w:pPr>
      <w:bookmarkStart w:id="12" w:name="_Toc227942352"/>
      <w:r>
        <w:rPr>
          <w:color w:val="000000" w:themeColor="text1"/>
          <w:lang w:val="en-IN"/>
        </w:rPr>
        <w:t>4.3 Global and Ethical Factors</w:t>
      </w:r>
      <w:bookmarkEnd w:id="12"/>
    </w:p>
    <w:p w14:paraId="0000007B">
      <w:pPr>
        <w:rPr>
          <w:b/>
          <w:bCs/>
          <w:color w:val="000000" w:themeColor="text1"/>
          <w:lang w:val="en-IN"/>
        </w:rPr>
      </w:pPr>
      <w:r>
        <w:rPr>
          <w:b/>
          <w:bCs/>
          <w:color w:val="000000" w:themeColor="text1"/>
          <w:lang w:val="en-IN"/>
        </w:rPr>
        <w:t>Currency Risk</w:t>
      </w:r>
    </w:p>
    <w:p w14:paraId="0000007C">
      <w:pPr>
        <w:rPr>
          <w:color w:val="000000" w:themeColor="text1"/>
          <w:lang w:val="en-IN"/>
        </w:rPr>
      </w:pPr>
      <w:r>
        <w:rPr>
          <w:color w:val="000000" w:themeColor="text1"/>
          <w:lang w:val="en-IN"/>
        </w:rPr>
        <w:t>Hyundai is an international company, which exposes it to currency risks. Fluctuations in exchange rates can affect revenue, costs and profit. For instance, weakening of foreign currencies relative to the Korean won may decrease revenue from overseas operations.</w:t>
      </w:r>
    </w:p>
    <w:p w14:paraId="0000007D">
      <w:pPr>
        <w:rPr>
          <w:color w:val="000000" w:themeColor="text1"/>
          <w:lang w:val="en-IN"/>
        </w:rPr>
      </w:pPr>
      <w:r>
        <w:rPr>
          <w:color w:val="000000" w:themeColor="text1"/>
          <w:lang w:val="en-IN"/>
        </w:rPr>
        <w:t>Restructuring should take into account the exchange rate risks and hedging against them. Hyundai can hedge currency risks using derivatives like forward contracts and options. Moreover, geographic diversification can mitigate currency risks</w:t>
      </w:r>
      <w:r>
        <w:rPr>
          <w:color w:val="000000" w:themeColor="text1"/>
          <w:lang w:val="en-IN"/>
        </w:rPr>
        <w:t>.</w:t>
      </w:r>
    </w:p>
    <w:p w14:paraId="0000007E">
      <w:pPr>
        <w:rPr>
          <w:color w:val="000000" w:themeColor="text1"/>
          <w:lang w:val="en-IN"/>
        </w:rPr>
      </w:pPr>
      <w:r>
        <w:rPr>
          <w:b/>
          <w:bCs/>
          <w:color w:val="000000" w:themeColor="text1"/>
          <w:lang w:val="en-IN"/>
        </w:rPr>
        <w:t>Inflation</w:t>
      </w:r>
    </w:p>
    <w:p w14:paraId="0000007F">
      <w:pPr>
        <w:rPr>
          <w:color w:val="000000" w:themeColor="text1"/>
          <w:lang w:val="en-IN"/>
        </w:rPr>
      </w:pPr>
      <w:r>
        <w:rPr>
          <w:color w:val="000000" w:themeColor="text1"/>
          <w:lang w:val="en-IN"/>
        </w:rPr>
        <w:t>Another major factor that impacts Hyundai's bottom line is inflation. Higher inflation results in increased costs for raw materials, labour and costs of doing business (VR, 2024). This can result in lower profits and financial stress.</w:t>
      </w:r>
    </w:p>
    <w:p w14:paraId="00000080">
      <w:pPr>
        <w:rPr>
          <w:color w:val="000000" w:themeColor="text1"/>
          <w:lang w:val="en-IN"/>
        </w:rPr>
      </w:pPr>
      <w:r>
        <w:rPr>
          <w:color w:val="000000" w:themeColor="text1"/>
          <w:lang w:val="en-IN"/>
        </w:rPr>
        <w:t>Turnaround plans need to consider the impact of inflation in terms of cost management and pricing strategies. Hyundai can invest in innovation and automation technologies to lower costs. Furthermore, supply chain efficiency can minimise the effects of increased input costs</w:t>
      </w:r>
      <w:r>
        <w:rPr>
          <w:color w:val="000000" w:themeColor="text1"/>
          <w:lang w:val="en-IN"/>
        </w:rPr>
        <w:t>.</w:t>
      </w:r>
    </w:p>
    <w:p w14:paraId="00000081">
      <w:pPr>
        <w:rPr>
          <w:color w:val="000000" w:themeColor="text1"/>
          <w:lang w:val="en-IN"/>
        </w:rPr>
      </w:pPr>
      <w:r>
        <w:rPr>
          <w:b/>
          <w:bCs/>
          <w:color w:val="000000" w:themeColor="text1"/>
          <w:lang w:val="en-IN"/>
        </w:rPr>
        <w:t>ESG and CSR Considerations</w:t>
      </w:r>
    </w:p>
    <w:p w14:paraId="00000082">
      <w:pPr>
        <w:rPr>
          <w:color w:val="000000" w:themeColor="text1"/>
          <w:lang w:val="en-IN"/>
        </w:rPr>
      </w:pPr>
      <w:r>
        <w:rPr>
          <w:color w:val="000000" w:themeColor="text1"/>
          <w:lang w:val="en-IN"/>
        </w:rPr>
        <w:t>Environmental, Social and Governance (ESG) considerations are growing in financial markets. ESG considerations are important to investors and stakeholders.</w:t>
      </w:r>
    </w:p>
    <w:p w14:paraId="00000083">
      <w:pPr>
        <w:rPr>
          <w:color w:val="000000" w:themeColor="text1"/>
          <w:lang w:val="en-IN"/>
        </w:rPr>
      </w:pPr>
      <w:r>
        <w:rPr>
          <w:color w:val="000000" w:themeColor="text1"/>
          <w:lang w:val="en-IN"/>
        </w:rPr>
        <w:t>Hyundai's electric vehicle strategy is an example of its focus on sustainability. Debt restructuring must be in line with ESG goals by funding green technologies and sustainable practices.</w:t>
      </w:r>
    </w:p>
    <w:p w14:paraId="00000084">
      <w:pPr>
        <w:rPr>
          <w:color w:val="000000" w:themeColor="text1"/>
          <w:lang w:val="en-IN"/>
        </w:rPr>
      </w:pPr>
      <w:r>
        <w:rPr>
          <w:color w:val="000000" w:themeColor="text1"/>
          <w:lang w:val="en-IN"/>
        </w:rPr>
        <w:t>Through Corporate Social Responsibility (CSR), such as community engagement and labour practices, the company can also build its brand and goodwill. ESG excellence attracts investors and enhances financial performance.</w:t>
      </w:r>
    </w:p>
    <w:p w14:paraId="00000085">
      <w:pPr>
        <w:rPr>
          <w:color w:val="000000" w:themeColor="text1"/>
          <w:lang w:val="en-IN"/>
        </w:rPr>
      </w:pPr>
      <w:r>
        <w:rPr>
          <w:color w:val="000000" w:themeColor="text1"/>
          <w:lang w:val="en-IN"/>
        </w:rPr>
        <w:t>It has been critically discussed Hyundai’s financial restructuring is crucial to tackle issues such as excessive leverage, cash flow problems and inefficiency. Through measures like equity issues, debt restructuring and asset sales, Hyundai can enhance financial stability and mitigate risks (Dyankov, 2022). These actions, coupled with consideration of global and ethical issues will improve Hyundai's flexibility and ensure its long-term growth prospects</w:t>
      </w:r>
      <w:r>
        <w:rPr>
          <w:color w:val="000000" w:themeColor="text1"/>
          <w:lang w:val="en-IN"/>
        </w:rPr>
        <w:t>.</w:t>
      </w:r>
    </w:p>
    <w:p w14:paraId="00000086">
      <w:pPr>
        <w:pStyle w:val="Heading1"/>
        <w:rPr>
          <w:lang w:val="en-IN"/>
        </w:rPr>
      </w:pPr>
      <w:bookmarkStart w:id="13" w:name="_Toc227942353"/>
      <w:r>
        <w:rPr>
          <w:lang w:val="en-IN"/>
        </w:rPr>
        <w:t>5. INVESTMENT APPRAISAL</w:t>
      </w:r>
      <w:bookmarkEnd w:id="13"/>
    </w:p>
    <w:p w14:paraId="00000087">
      <w:pPr>
        <w:rPr>
          <w:color w:val="000000" w:themeColor="text1"/>
          <w:lang w:val="en-IN"/>
        </w:rPr>
      </w:pPr>
      <w:r>
        <w:rPr>
          <w:color w:val="000000" w:themeColor="text1"/>
          <w:lang w:val="en-IN"/>
        </w:rPr>
        <w:t>Investment appraisal is a key financial decision-making technique used to assess the viability and return on investment of projects. Investment appraisal is crucial for Hyundai Motor Company, which is facing issues with poor operating cash flow and growing working capital needs. Choosing the most suitable project maximises the investment opportunities with the available financial resources and facilitates future growth.</w:t>
      </w:r>
    </w:p>
    <w:p w14:paraId="00000088">
      <w:pPr>
        <w:rPr>
          <w:color w:val="000000" w:themeColor="text1"/>
          <w:lang w:val="en-IN"/>
        </w:rPr>
      </w:pPr>
      <w:r>
        <w:rPr>
          <w:color w:val="000000" w:themeColor="text1"/>
          <w:lang w:val="en-IN"/>
        </w:rPr>
        <w:t>Using the provided information, three mutually exclusive projects (A, B and C) have been assessed using various capital budgeting methods such as Payback Period (PBP), Accounting Rate of Return (ARR), Net Present Value (NPV), Internal Rate of Return (IRR) and Profitability Index (PI). Furthermore, capital rationing has been taken into account to find the best project portfolio</w:t>
      </w:r>
      <w:r>
        <w:rPr>
          <w:color w:val="000000" w:themeColor="text1"/>
          <w:lang w:val="en-IN"/>
        </w:rPr>
        <w:t>.</w:t>
      </w:r>
    </w:p>
    <w:p w14:paraId="00000089">
      <w:pPr>
        <w:pStyle w:val="Heading2"/>
        <w:rPr>
          <w:color w:val="000000" w:themeColor="text1"/>
          <w:lang w:val="en-IN"/>
        </w:rPr>
      </w:pPr>
      <w:bookmarkStart w:id="14" w:name="_Toc227942354"/>
      <w:r>
        <w:rPr>
          <w:color w:val="000000" w:themeColor="text1"/>
          <w:lang w:val="en-IN"/>
        </w:rPr>
        <w:t>5.1 Methods Explanation</w:t>
      </w:r>
      <w:bookmarkEnd w:id="14"/>
    </w:p>
    <w:p w14:paraId="0000008A">
      <w:pPr>
        <w:rPr>
          <w:b/>
          <w:bCs/>
          <w:color w:val="000000" w:themeColor="text1"/>
          <w:lang w:val="en-IN"/>
        </w:rPr>
      </w:pPr>
      <w:r>
        <w:rPr>
          <w:b/>
          <w:bCs/>
          <w:color w:val="000000" w:themeColor="text1"/>
          <w:lang w:val="en-IN"/>
        </w:rPr>
        <w:t>Payback Period (PBP)</w:t>
      </w:r>
    </w:p>
    <w:p w14:paraId="0000008B">
      <w:pPr>
        <w:rPr>
          <w:color w:val="000000" w:themeColor="text1"/>
          <w:lang w:val="en-IN"/>
        </w:rPr>
      </w:pPr>
      <w:r>
        <w:rPr>
          <w:color w:val="000000" w:themeColor="text1"/>
          <w:lang w:val="en-IN"/>
        </w:rPr>
        <w:t>The Payback Period (PBP) is the time it takes to pay back the initial investment using cash inflows. It's determined by finding the time (in years) required for cash flows to recover the initial investment. It's an easy approach to calculate and can be used to measure the liquidity risk of a project (the shorter the payback period, the better). But PBP is limited since it does not consider the time value of money and cash flows after the payback period. Nonetheless, it remains a popular screening method (Sam, 2025).</w:t>
      </w:r>
    </w:p>
    <w:p w14:paraId="0000008C">
      <w:pPr>
        <w:rPr>
          <w:color w:val="000000" w:themeColor="text1"/>
          <w:lang w:val="en-IN"/>
        </w:rPr>
      </w:pPr>
      <w:r>
        <w:rPr>
          <w:b/>
          <w:bCs/>
          <w:color w:val="000000" w:themeColor="text1"/>
          <w:lang w:val="en-IN"/>
        </w:rPr>
        <w:t>Accounting Rate of Return (ARR)</w:t>
      </w:r>
    </w:p>
    <w:p w14:paraId="0000008D">
      <w:pPr>
        <w:rPr>
          <w:color w:val="000000" w:themeColor="text1"/>
          <w:lang w:val="en-IN"/>
        </w:rPr>
      </w:pPr>
      <w:r>
        <w:rPr>
          <w:color w:val="000000" w:themeColor="text1"/>
          <w:lang w:val="en-IN"/>
        </w:rPr>
        <w:t xml:space="preserve">ARR is a measure of profitability based on accounting profits (Gnap and Pitera, 2023). It is calculated as average annual profit as a percentage of the initial investment. ARR is simple to calculate and helpful in making comparisons among projects in terms of </w:t>
      </w:r>
      <w:r>
        <w:rPr>
          <w:color w:val="000000" w:themeColor="text1"/>
          <w:lang w:val="en-IN"/>
        </w:rPr>
        <w:t>profitability. But it ignores the time value of money and uses accounting figures, which may not be a good predictor of cash flows</w:t>
      </w:r>
      <w:r>
        <w:rPr>
          <w:color w:val="000000" w:themeColor="text1"/>
          <w:lang w:val="en-IN"/>
        </w:rPr>
        <w:t>.</w:t>
      </w:r>
    </w:p>
    <w:p w14:paraId="0000008E">
      <w:pPr>
        <w:rPr>
          <w:color w:val="000000" w:themeColor="text1"/>
          <w:lang w:val="en-IN"/>
        </w:rPr>
      </w:pPr>
      <w:r>
        <w:rPr>
          <w:b/>
          <w:bCs/>
          <w:color w:val="000000" w:themeColor="text1"/>
          <w:lang w:val="en-IN"/>
        </w:rPr>
        <w:t>Net Present Value (NPV)</w:t>
      </w:r>
    </w:p>
    <w:p w14:paraId="0000008F">
      <w:pPr>
        <w:rPr>
          <w:color w:val="000000" w:themeColor="text1"/>
          <w:lang w:val="en-IN"/>
        </w:rPr>
      </w:pPr>
      <w:r>
        <w:rPr>
          <w:color w:val="000000" w:themeColor="text1"/>
          <w:lang w:val="en-IN"/>
        </w:rPr>
        <w:t>NPV is a key investment appraisal method. It is the net difference between the present value of cash inflows and the outlay on the project, at a discount rate (10% here). A positive NPV shows the project is value enhancing for the firm, while a negative NPV is value destroying. NPV takes into account the time value of money and gives a definitive idea of profitability; therefore, it is the best technique (Ridwan et al., 2025).</w:t>
      </w:r>
    </w:p>
    <w:p w14:paraId="00000090">
      <w:pPr>
        <w:rPr>
          <w:color w:val="000000" w:themeColor="text1"/>
          <w:lang w:val="en-IN"/>
        </w:rPr>
      </w:pPr>
      <w:r>
        <w:rPr>
          <w:b/>
          <w:bCs/>
          <w:color w:val="000000" w:themeColor="text1"/>
          <w:lang w:val="en-IN"/>
        </w:rPr>
        <w:t>Internal Rate of Return (IRR)</w:t>
      </w:r>
    </w:p>
    <w:p w14:paraId="00000091">
      <w:pPr>
        <w:rPr>
          <w:color w:val="000000" w:themeColor="text1"/>
          <w:lang w:val="en-IN"/>
        </w:rPr>
      </w:pPr>
      <w:r>
        <w:rPr>
          <w:color w:val="000000" w:themeColor="text1"/>
          <w:lang w:val="en-IN"/>
        </w:rPr>
        <w:t>IRR is the discount rate that equates the NPV of a project to zero. It is the rate of return expected from the project (Arjunan, 2022). Any project with IRR greater than the required rate of return (10%) is acceptable. But IRR can be misleading when used to compare mutually exclusive projects or for projects with uneven cash flows</w:t>
      </w:r>
      <w:r>
        <w:rPr>
          <w:color w:val="000000" w:themeColor="text1"/>
          <w:lang w:val="en-IN"/>
        </w:rPr>
        <w:t>.</w:t>
      </w:r>
    </w:p>
    <w:p w14:paraId="00000092">
      <w:pPr>
        <w:rPr>
          <w:color w:val="000000" w:themeColor="text1"/>
          <w:lang w:val="en-IN"/>
        </w:rPr>
      </w:pPr>
      <w:r>
        <w:rPr>
          <w:b/>
          <w:bCs/>
          <w:color w:val="000000" w:themeColor="text1"/>
          <w:lang w:val="en-IN"/>
        </w:rPr>
        <w:t>Profitability Index (PI)</w:t>
      </w:r>
    </w:p>
    <w:p w14:paraId="00000093">
      <w:pPr>
        <w:rPr>
          <w:color w:val="000000" w:themeColor="text1"/>
          <w:lang w:val="en-IN"/>
        </w:rPr>
      </w:pPr>
      <w:r>
        <w:rPr>
          <w:color w:val="000000" w:themeColor="text1"/>
          <w:lang w:val="en-IN"/>
        </w:rPr>
        <w:t>PI is the present value of cash inflows divided by the investment. PI greater than 1 implies profit-making project.</w:t>
      </w:r>
    </w:p>
    <w:p w14:paraId="00000094">
      <w:pPr>
        <w:rPr>
          <w:color w:val="000000" w:themeColor="text1"/>
          <w:lang w:val="en-IN"/>
        </w:rPr>
      </w:pPr>
      <w:r>
        <w:rPr>
          <w:color w:val="000000" w:themeColor="text1"/>
          <w:lang w:val="en-IN"/>
        </w:rPr>
        <w:t>This approach is often used in the presence of capital constraints, to prioritise projects that contribute more value per dollar invested</w:t>
      </w:r>
      <w:r>
        <w:rPr>
          <w:color w:val="000000" w:themeColor="text1"/>
          <w:lang w:val="en-IN"/>
        </w:rPr>
        <w:t>.</w:t>
      </w:r>
    </w:p>
    <w:p w14:paraId="00000095">
      <w:pPr>
        <w:pStyle w:val="Heading2"/>
        <w:rPr>
          <w:color w:val="000000" w:themeColor="text1"/>
          <w:lang w:val="en-IN"/>
        </w:rPr>
      </w:pPr>
      <w:bookmarkStart w:id="15" w:name="_Toc227942355"/>
      <w:r>
        <w:rPr>
          <w:color w:val="000000" w:themeColor="text1"/>
          <w:lang w:val="en-IN"/>
        </w:rPr>
        <w:t>5.2 Results Analysis</w:t>
      </w:r>
      <w:bookmarkEnd w:id="15"/>
    </w:p>
    <w:p w14:paraId="00000096">
      <w:pPr>
        <w:rPr>
          <w:color w:val="000000" w:themeColor="text1"/>
          <w:lang w:val="en-IN"/>
        </w:rPr>
      </w:pPr>
      <w:r>
        <w:rPr>
          <w:color w:val="000000" w:themeColor="text1"/>
          <w:lang w:val="en-IN"/>
        </w:rPr>
        <w:t>The analysis results give an overview of the project's financial indicators.</w:t>
      </w:r>
    </w:p>
    <w:p w14:paraId="00000097">
      <w:pPr>
        <w:rPr>
          <w:color w:val="000000" w:themeColor="text1"/>
          <w:lang w:val="en-IN"/>
        </w:rPr>
      </w:pPr>
      <w:r>
        <w:rPr>
          <w:color w:val="000000" w:themeColor="text1"/>
          <w:lang w:val="en-IN"/>
        </w:rPr>
        <w:t>Project A's payback period is 4.0 years, which is quite reasonable. It has an ARR of 16%, which indicates high accounting profitability. But the NPV is -£2.66 million, which means that the project does not add value when the cost of capital is taken into account. The PI is 0.95 (less than 1), also indicating that the project is unviable. The IRR of around 8.6% is also less than the required rate of return (10%), further confirming that Project A is not a worthwhile investment. Project B is the worst performing project. It has the greatest payback period of 4.55 years and the smallest ARR of 12%. The NPV of -£8.30 million is considerably negative implying considerable value destruction. The PI of 0.83, and IRR of about 4.5% also confirm that Project B is not a good investment.</w:t>
      </w:r>
    </w:p>
    <w:p w14:paraId="00000098">
      <w:pPr>
        <w:rPr>
          <w:color w:val="000000" w:themeColor="text1"/>
          <w:lang w:val="en-IN"/>
        </w:rPr>
      </w:pPr>
      <w:r>
        <w:rPr>
          <w:color w:val="000000" w:themeColor="text1"/>
          <w:lang w:val="en-IN"/>
        </w:rPr>
        <w:t>Project C shows the best performance. It has the fastest payback period of 3.4 years, meaning that the investment can be recovered quickly. It has an ARR of 16%, tied with Project A, but is higher than Project B's. Crucially, Project C has a positive NPV of £2.94 million, meaning value is created. Its PI is 1.06 and it is profitable, and its IRR of 12.2% is higher than the required rate of return.</w:t>
      </w:r>
    </w:p>
    <w:p w14:paraId="00000099">
      <w:pPr>
        <w:rPr>
          <w:color w:val="000000" w:themeColor="text1"/>
          <w:lang w:val="en-IN"/>
        </w:rPr>
      </w:pPr>
      <w:r>
        <w:rPr>
          <w:color w:val="000000" w:themeColor="text1"/>
          <w:lang w:val="en-IN"/>
        </w:rPr>
        <w:t>In summary, Project C is the most preferred investment alternative, given its superior financial performance in most of the financial ratios</w:t>
      </w:r>
      <w:r>
        <w:rPr>
          <w:color w:val="000000" w:themeColor="text1"/>
          <w:lang w:val="en-IN"/>
        </w:rPr>
        <w:t>.</w:t>
      </w:r>
    </w:p>
    <w:p w14:paraId="0000009A">
      <w:pPr>
        <w:pStyle w:val="Heading2"/>
        <w:rPr>
          <w:color w:val="000000" w:themeColor="text1"/>
          <w:lang w:val="en-IN"/>
        </w:rPr>
      </w:pPr>
      <w:bookmarkStart w:id="16" w:name="_Toc227942356"/>
      <w:r>
        <w:rPr>
          <w:color w:val="000000" w:themeColor="text1"/>
          <w:lang w:val="en-IN"/>
        </w:rPr>
        <w:t>5.3 Decision Justification</w:t>
      </w:r>
      <w:bookmarkEnd w:id="16"/>
    </w:p>
    <w:p w14:paraId="0000009B">
      <w:pPr>
        <w:rPr>
          <w:color w:val="000000" w:themeColor="text1"/>
          <w:lang w:val="en-IN"/>
        </w:rPr>
      </w:pPr>
      <w:r>
        <w:rPr>
          <w:color w:val="000000" w:themeColor="text1"/>
          <w:lang w:val="en-IN"/>
        </w:rPr>
        <w:t>To make the final investment decision, we need to look at the financial performance and Hyundai’s financial status.</w:t>
      </w:r>
    </w:p>
    <w:p w14:paraId="0000009C">
      <w:pPr>
        <w:rPr>
          <w:color w:val="000000" w:themeColor="text1"/>
          <w:lang w:val="en-IN"/>
        </w:rPr>
      </w:pPr>
      <w:r>
        <w:rPr>
          <w:color w:val="000000" w:themeColor="text1"/>
          <w:lang w:val="en-IN"/>
        </w:rPr>
        <w:t>This analysis of Hyundai shows high profitability but low operating cash flows with growing working capital needs (Bhattacheryay, 2023). This is a situation of constrained cash flow despite profitability. As a result, investments should focus on those that have a high cash flow and a low financial risk. Hyundai's financial requirements are met by project C. Its quick payback period means it will recover its investment sooner, which is a priority for the cash-strapped company. Moreover, its positive NPV means that it adds value to the firm and its high IRR shows that it generates impressive returns.</w:t>
      </w:r>
    </w:p>
    <w:p w14:paraId="0000009D">
      <w:pPr>
        <w:rPr>
          <w:color w:val="000000" w:themeColor="text1"/>
          <w:lang w:val="en-IN"/>
        </w:rPr>
      </w:pPr>
      <w:r>
        <w:rPr>
          <w:color w:val="000000" w:themeColor="text1"/>
          <w:lang w:val="en-IN"/>
        </w:rPr>
        <w:t>By contrast, Projects A and B do not pass the financial test. Each project has a negative NPV and an IRR smaller than the required rate of return, meaning that they would destroy shareholder value. Project B is especially poor, as it does not meet any of the criteria. Hyundai has a high gearing ratio, implying it uses a lot of debt. Financing negative NPV projects would put more pressure on its cash flows and risk. So, Hyundai must invest in financially viable projects. Project C is also in line with Hyundai’s goals. Hyundai aims to innovate and grow in the electric vehicle (EV) market, and investing in projects with a high return on investment (ROI) maximises capital efficiency</w:t>
      </w:r>
      <w:r>
        <w:rPr>
          <w:color w:val="000000" w:themeColor="text1"/>
          <w:lang w:val="en-IN"/>
        </w:rPr>
        <w:t>.</w:t>
      </w:r>
    </w:p>
    <w:p w14:paraId="0000009E">
      <w:pPr>
        <w:pStyle w:val="Heading2"/>
        <w:rPr>
          <w:color w:val="000000" w:themeColor="text1"/>
          <w:lang w:val="en-IN"/>
        </w:rPr>
      </w:pPr>
      <w:bookmarkStart w:id="17" w:name="_Toc227942357"/>
      <w:r>
        <w:rPr>
          <w:color w:val="000000" w:themeColor="text1"/>
          <w:lang w:val="en-IN"/>
        </w:rPr>
        <w:t>5.4 Capital Rationing</w:t>
      </w:r>
      <w:bookmarkEnd w:id="17"/>
    </w:p>
    <w:p w14:paraId="0000009F">
      <w:pPr>
        <w:rPr>
          <w:color w:val="000000" w:themeColor="text1"/>
          <w:lang w:val="en-IN"/>
        </w:rPr>
      </w:pPr>
      <w:r>
        <w:rPr>
          <w:color w:val="000000" w:themeColor="text1"/>
          <w:lang w:val="en-IN"/>
        </w:rPr>
        <w:t xml:space="preserve">Capital rationing is when a company has a budget constraint and can select the optimal combination of projects (Jamal and Sudrajat, 2022). Here, Hyundai can only choose two projects given a budget of £100 million. The possible combinations are Project A + B, Project A + C and Project B + C. The findings indicate that the combination of Project A + B has a negative total NPV of -£10.96 million, and is therefore not a viable option. Likewise, the combination of Project B + C results in a </w:t>
      </w:r>
      <w:r>
        <w:rPr>
          <w:color w:val="000000" w:themeColor="text1"/>
          <w:lang w:val="en-IN"/>
        </w:rPr>
        <w:t xml:space="preserve">negative NPV of -£5.36 million, which means value destruction. The only option that results in a positive NPV is Project A + C, with a total NPV of £0.28 million. While the amount of value created is limited, it is still the most favourable option given the budget constraint. Thus, under capital rationing the best decision is to choose Project A and Project </w:t>
      </w:r>
      <w:r>
        <w:rPr>
          <w:color w:val="000000" w:themeColor="text1"/>
          <w:lang w:val="en-IN"/>
        </w:rPr>
        <w:t>C.</w:t>
      </w:r>
    </w:p>
    <w:p w14:paraId="000000A0">
      <w:pPr>
        <w:pStyle w:val="Heading2"/>
        <w:rPr>
          <w:color w:val="000000" w:themeColor="text1"/>
          <w:lang w:val="en-IN"/>
        </w:rPr>
      </w:pPr>
      <w:bookmarkStart w:id="18" w:name="_Toc227942358"/>
      <w:r>
        <w:rPr>
          <w:color w:val="000000" w:themeColor="text1"/>
          <w:lang w:val="en-IN"/>
        </w:rPr>
        <w:t>5.5 Risk Analysis</w:t>
      </w:r>
      <w:bookmarkEnd w:id="18"/>
    </w:p>
    <w:p w14:paraId="000000A1">
      <w:pPr>
        <w:rPr>
          <w:color w:val="000000" w:themeColor="text1"/>
          <w:lang w:val="en-IN"/>
        </w:rPr>
      </w:pPr>
      <w:r>
        <w:rPr>
          <w:color w:val="000000" w:themeColor="text1"/>
          <w:lang w:val="en-IN"/>
        </w:rPr>
        <w:t>Investment decisions are subject to various risks that must be carefully considered.</w:t>
      </w:r>
    </w:p>
    <w:p w14:paraId="000000A2">
      <w:pPr>
        <w:rPr>
          <w:color w:val="000000" w:themeColor="text1"/>
          <w:lang w:val="en-IN"/>
        </w:rPr>
      </w:pPr>
      <w:r>
        <w:rPr>
          <w:b/>
          <w:bCs/>
          <w:color w:val="000000" w:themeColor="text1"/>
          <w:lang w:val="en-IN"/>
        </w:rPr>
        <w:t>Market Risk</w:t>
      </w:r>
    </w:p>
    <w:p w14:paraId="000000A3">
      <w:pPr>
        <w:rPr>
          <w:color w:val="000000" w:themeColor="text1"/>
          <w:lang w:val="en-IN"/>
        </w:rPr>
      </w:pPr>
      <w:r>
        <w:rPr>
          <w:color w:val="000000" w:themeColor="text1"/>
          <w:lang w:val="en-IN"/>
        </w:rPr>
        <w:t>Automobile demand, including for EVs, is sensitive to economic factors, consumer trends and competition. This may lead to lower cash flows from the projects</w:t>
      </w:r>
      <w:r>
        <w:rPr>
          <w:color w:val="000000" w:themeColor="text1"/>
          <w:lang w:val="en-IN"/>
        </w:rPr>
        <w:t>.</w:t>
      </w:r>
    </w:p>
    <w:p w14:paraId="000000A4">
      <w:pPr>
        <w:rPr>
          <w:b/>
          <w:bCs/>
          <w:color w:val="000000" w:themeColor="text1"/>
          <w:lang w:val="en-IN"/>
        </w:rPr>
      </w:pPr>
      <w:r>
        <w:rPr>
          <w:b/>
          <w:bCs/>
          <w:color w:val="000000" w:themeColor="text1"/>
          <w:lang w:val="en-IN"/>
        </w:rPr>
        <w:t>Political and Regulatory Risk</w:t>
      </w:r>
    </w:p>
    <w:p w14:paraId="000000A5">
      <w:pPr>
        <w:rPr>
          <w:color w:val="000000" w:themeColor="text1"/>
          <w:lang w:val="en-IN"/>
        </w:rPr>
      </w:pPr>
      <w:r>
        <w:rPr>
          <w:color w:val="000000" w:themeColor="text1"/>
          <w:lang w:val="en-IN"/>
        </w:rPr>
        <w:t>Regulations, policies and trade measures may affect Hyundai. For instance, tightening of emissions regulation or EV subsidies could impact project economics</w:t>
      </w:r>
      <w:r>
        <w:rPr>
          <w:color w:val="000000" w:themeColor="text1"/>
          <w:lang w:val="en-IN"/>
        </w:rPr>
        <w:t>.</w:t>
      </w:r>
    </w:p>
    <w:p w14:paraId="000000A6">
      <w:pPr>
        <w:rPr>
          <w:b/>
          <w:bCs/>
          <w:color w:val="000000" w:themeColor="text1"/>
          <w:lang w:val="en-IN"/>
        </w:rPr>
      </w:pPr>
      <w:r>
        <w:rPr>
          <w:b/>
          <w:bCs/>
          <w:color w:val="000000" w:themeColor="text1"/>
          <w:lang w:val="en-IN"/>
        </w:rPr>
        <w:t>Financial Risk</w:t>
      </w:r>
    </w:p>
    <w:p w14:paraId="000000A7">
      <w:pPr>
        <w:rPr>
          <w:color w:val="000000" w:themeColor="text1"/>
          <w:lang w:val="en-IN"/>
        </w:rPr>
      </w:pPr>
      <w:r>
        <w:rPr>
          <w:color w:val="000000" w:themeColor="text1"/>
          <w:lang w:val="en-IN"/>
        </w:rPr>
        <w:t>Hyundai has a high level of debt. This risk could increase with investment in projects with uncertain returns (Kim, 2024). Hence, it is important to choose projects with good financial returns</w:t>
      </w:r>
      <w:r>
        <w:rPr>
          <w:color w:val="000000" w:themeColor="text1"/>
          <w:lang w:val="en-IN"/>
        </w:rPr>
        <w:t>.</w:t>
      </w:r>
    </w:p>
    <w:p w14:paraId="000000A8">
      <w:pPr>
        <w:rPr>
          <w:b/>
          <w:bCs/>
          <w:color w:val="000000" w:themeColor="text1"/>
          <w:lang w:val="en-IN"/>
        </w:rPr>
      </w:pPr>
      <w:r>
        <w:rPr>
          <w:b/>
          <w:bCs/>
          <w:color w:val="000000" w:themeColor="text1"/>
          <w:lang w:val="en-IN"/>
        </w:rPr>
        <w:t>Operational Risk</w:t>
      </w:r>
    </w:p>
    <w:p w14:paraId="000000A9">
      <w:pPr>
        <w:rPr>
          <w:color w:val="000000" w:themeColor="text1"/>
          <w:lang w:val="en-IN"/>
        </w:rPr>
      </w:pPr>
      <w:r>
        <w:rPr>
          <w:color w:val="000000" w:themeColor="text1"/>
          <w:lang w:val="en-IN"/>
        </w:rPr>
        <w:t>Project implementation, supply chain and cost management can impact project performance. Good project management can help to mitigate these risks.</w:t>
      </w:r>
    </w:p>
    <w:p w14:paraId="000000AA">
      <w:pPr>
        <w:rPr>
          <w:color w:val="000000" w:themeColor="text1"/>
          <w:lang w:val="en-IN"/>
        </w:rPr>
      </w:pPr>
      <w:r>
        <w:rPr>
          <w:color w:val="000000" w:themeColor="text1"/>
          <w:lang w:val="en-IN"/>
        </w:rPr>
        <w:t>It has been critically analysed that investment appraisal is an important part of Hyundai's financial decision making. Project C has been identified as the best among the three options, with a positive NPV, significant IRR and short payback period. When faced with capital rationing, the best investment portfolio is Project A and Project C, which has the highest NPV. Through the judicious choice of projects and management of risks, Hyundai can increase financial returns, value to its shareholders, and enable strategic growth</w:t>
      </w:r>
      <w:r>
        <w:rPr>
          <w:color w:val="000000" w:themeColor="text1"/>
          <w:lang w:val="en-IN"/>
        </w:rPr>
        <w:t>.</w:t>
      </w:r>
    </w:p>
    <w:p w14:paraId="000000AB">
      <w:pPr>
        <w:pStyle w:val="Heading1"/>
        <w:rPr>
          <w:lang w:val="en-IN"/>
        </w:rPr>
      </w:pPr>
      <w:bookmarkStart w:id="19" w:name="_Toc227942359"/>
      <w:r>
        <w:rPr>
          <w:lang w:val="en-IN"/>
        </w:rPr>
        <w:t>6. CONCLUSION</w:t>
      </w:r>
      <w:bookmarkEnd w:id="19"/>
    </w:p>
    <w:p w14:paraId="000000AC">
      <w:pPr>
        <w:rPr>
          <w:color w:val="000000" w:themeColor="text1"/>
          <w:lang w:val="en-IN"/>
        </w:rPr>
      </w:pPr>
      <w:r>
        <w:rPr>
          <w:color w:val="000000" w:themeColor="text1"/>
          <w:lang w:val="en-IN"/>
        </w:rPr>
        <w:t xml:space="preserve">This report has given an overview of Hyundai Motor Company's financial performance, efficiency and investment decisions over the past five years (2021-2025). It reveals </w:t>
      </w:r>
      <w:r>
        <w:rPr>
          <w:color w:val="000000" w:themeColor="text1"/>
          <w:lang w:val="en-IN"/>
        </w:rPr>
        <w:t>that Hyundai has delivered solid revenue growth over this period, driven by its global expansion and commitment to electric vehicles. It also showed an improvement in profitability in the early years of the period (2021-2023). However, this growth is coupled with a number of financial issues that need to be addressed strategically.</w:t>
      </w:r>
    </w:p>
    <w:p w14:paraId="000000AD">
      <w:pPr>
        <w:rPr>
          <w:color w:val="000000" w:themeColor="text1"/>
          <w:lang w:val="en-IN"/>
        </w:rPr>
      </w:pPr>
      <w:r>
        <w:rPr>
          <w:color w:val="000000" w:themeColor="text1"/>
          <w:lang w:val="en-IN"/>
        </w:rPr>
        <w:t>One of the major issues highlighted in this analysis is the imbalance between profitability and cash flow. Hyundai continues to experience poor operating cash flow, despite the increase in revenue and profits. This is related to poor working capital management, reflected in the rising cash conversion cycle which has increased from 54 days to 66 days. The increasing inventory holding period and accounts receivable suggests that cash is being tied up in the business for longer periods, thereby decreasing the company's liquidity and cash flow.</w:t>
      </w:r>
    </w:p>
    <w:p w14:paraId="000000AE">
      <w:pPr>
        <w:rPr>
          <w:color w:val="000000" w:themeColor="text1"/>
          <w:lang w:val="en-IN"/>
        </w:rPr>
      </w:pPr>
      <w:r>
        <w:rPr>
          <w:color w:val="000000" w:themeColor="text1"/>
          <w:lang w:val="en-IN"/>
        </w:rPr>
        <w:t>Hyundai's high gearing ratio reflects its dependence on debt capital, which raises financial risks, particularly during economic downturns. While this might be typical for a capital-intensive business, it increases Hyundai's interest burden and financial risk. Recent years' fall in efficiency ratios and marginal reductions in profitability also suggest increasing costs and inefficiencies.</w:t>
      </w:r>
    </w:p>
    <w:p w14:paraId="000000AF">
      <w:pPr>
        <w:rPr>
          <w:color w:val="000000" w:themeColor="text1"/>
          <w:lang w:val="en-IN"/>
        </w:rPr>
      </w:pPr>
      <w:r>
        <w:rPr>
          <w:color w:val="000000" w:themeColor="text1"/>
          <w:lang w:val="en-IN"/>
        </w:rPr>
        <w:t>Strategically, restructuring is needed to resolve these challenges. Improvements in working capital, inventory and receivables, and a mix of debt and equity financing, for example, can improve Hyundai’s financial performance. Moreover, considering international factors such as inflation, exchange rate risk and ESG in financial decisions will ensure sustainable growth. The investment appraisal exercise revealed that Project C is the best standalone investment opportunity with a positive Net Present Value, higher Internal Rate of Return and a shorter payback period. In the context of capital rationing, Projects A and C together were identified as the best investment, as it maximises value.</w:t>
      </w:r>
    </w:p>
    <w:p w14:paraId="000000B0">
      <w:pPr>
        <w:spacing w:before="0" w:beforeAutospacing="0" w:after="160" w:afterAutospacing="0" w:line="259" w:lineRule="auto"/>
        <w:jc w:val="left"/>
        <w:rPr>
          <w:rFonts w:eastAsiaTheme="majorEastAsia"/>
          <w:b/>
          <w:bCs/>
          <w:color w:val="000000" w:themeColor="text1"/>
          <w:szCs w:val="48"/>
          <w:lang w:val="en-US" w:eastAsia="en-IN"/>
        </w:rPr>
      </w:pPr>
    </w:p>
    <w:p w14:paraId="000000B1">
      <w:pPr>
        <w:pStyle w:val="Heading1"/>
        <w:rPr>
          <w:lang w:val="en-US"/>
        </w:rPr>
      </w:pPr>
      <w:bookmarkStart w:id="20" w:name="_Toc227942360"/>
      <w:r>
        <w:rPr>
          <w:lang w:val="en-US"/>
        </w:rPr>
        <w:t>7. References</w:t>
      </w:r>
      <w:bookmarkEnd w:id="20"/>
    </w:p>
    <w:p w14:paraId="000000B2">
      <w:pPr>
        <w:rPr>
          <w:color w:val="000000" w:themeColor="text1"/>
        </w:rPr>
      </w:pPr>
      <w:r>
        <w:rPr>
          <w:color w:val="000000" w:themeColor="text1"/>
        </w:rPr>
        <w:t>Arjunan, K., 2022. A new method to estimate NPV and IRR from the capital amortization schedule and the advantages of the new method. </w:t>
      </w:r>
      <w:r>
        <w:rPr>
          <w:i/>
          <w:iCs/>
          <w:color w:val="000000" w:themeColor="text1"/>
        </w:rPr>
        <w:t>Australasian Accounting, Business and Finance Journal</w:t>
      </w:r>
      <w:r>
        <w:rPr>
          <w:color w:val="000000" w:themeColor="text1"/>
        </w:rPr>
        <w:t>, </w:t>
      </w:r>
      <w:r>
        <w:rPr>
          <w:i/>
          <w:iCs/>
          <w:color w:val="000000" w:themeColor="text1"/>
        </w:rPr>
        <w:t>16</w:t>
      </w:r>
      <w:r>
        <w:rPr>
          <w:color w:val="000000" w:themeColor="text1"/>
        </w:rPr>
        <w:t xml:space="preserve">(6). </w:t>
      </w:r>
      <w:r>
        <w:rPr>
          <w:rStyle w:val="Hyperlink"/>
          <w:color w:val="000000" w:themeColor="text1"/>
        </w:rPr>
        <w:fldChar w:fldCharType="begin"/>
      </w:r>
      <w:r>
        <w:rPr>
          <w:rStyle w:val="Hyperlink"/>
          <w:color w:val="000000" w:themeColor="text1"/>
        </w:rPr>
        <w:instrText xml:space="preserve">HYPERLINK "https://www.uowoajournals.org/aabfj/article/id/941/download/pdf/" </w:instrText>
      </w:r>
      <w:r>
        <w:rPr>
          <w:rStyle w:val="Hyperlink"/>
          <w:color w:val="000000" w:themeColor="text1"/>
        </w:rPr>
        <w:fldChar w:fldCharType="separate"/>
      </w:r>
      <w:r>
        <w:rPr>
          <w:rStyle w:val="Hyperlink"/>
          <w:color w:val="000000" w:themeColor="text1"/>
        </w:rPr>
        <w:t>https://www.uowoajournals.org/aabfj/article/id/941/download/pdf/</w:t>
      </w:r>
      <w:r>
        <w:rPr>
          <w:color w:val="000000" w:themeColor="text1"/>
        </w:rPr>
        <w:fldChar w:fldCharType="end"/>
      </w:r>
    </w:p>
    <w:p w14:paraId="000000B3">
      <w:pPr>
        <w:rPr>
          <w:color w:val="000000" w:themeColor="text1"/>
        </w:rPr>
      </w:pPr>
      <w:r>
        <w:rPr>
          <w:color w:val="000000" w:themeColor="text1"/>
        </w:rPr>
        <w:t>Bhattacheryay, S., 2023. Distinguished competency and efficacy of working capital management ensuing firm survival, liquidity, solvency and profitability: a study on automotive industry. </w:t>
      </w:r>
      <w:r>
        <w:rPr>
          <w:i/>
          <w:iCs/>
          <w:color w:val="000000" w:themeColor="text1"/>
        </w:rPr>
        <w:t>American Business Review</w:t>
      </w:r>
      <w:r>
        <w:rPr>
          <w:color w:val="000000" w:themeColor="text1"/>
        </w:rPr>
        <w:t>, </w:t>
      </w:r>
      <w:r>
        <w:rPr>
          <w:i/>
          <w:iCs/>
          <w:color w:val="000000" w:themeColor="text1"/>
        </w:rPr>
        <w:t>26</w:t>
      </w:r>
      <w:r>
        <w:rPr>
          <w:color w:val="000000" w:themeColor="text1"/>
        </w:rPr>
        <w:t xml:space="preserve">(1), p.3. </w:t>
      </w:r>
      <w:r>
        <w:rPr>
          <w:rStyle w:val="Hyperlink"/>
          <w:color w:val="000000" w:themeColor="text1"/>
        </w:rPr>
        <w:fldChar w:fldCharType="begin"/>
      </w:r>
      <w:r>
        <w:rPr>
          <w:rStyle w:val="Hyperlink"/>
          <w:color w:val="000000" w:themeColor="text1"/>
        </w:rPr>
        <w:instrText xml:space="preserve">HYPERLINK "https://digitalcommons.newhaven.edu/cgi/viewcontent.cgi?article=2016&amp;context=americanbusinessreview" </w:instrText>
      </w:r>
      <w:r>
        <w:rPr>
          <w:rStyle w:val="Hyperlink"/>
          <w:color w:val="000000" w:themeColor="text1"/>
        </w:rPr>
        <w:fldChar w:fldCharType="separate"/>
      </w:r>
      <w:r>
        <w:rPr>
          <w:rStyle w:val="Hyperlink"/>
          <w:color w:val="000000" w:themeColor="text1"/>
        </w:rPr>
        <w:t>https://digitalcommons.newhaven.edu/cgi/viewcontent.cgi?article=2016&amp;context=americanbusinessreview</w:t>
      </w:r>
      <w:r>
        <w:rPr>
          <w:color w:val="000000" w:themeColor="text1"/>
        </w:rPr>
        <w:fldChar w:fldCharType="end"/>
      </w:r>
    </w:p>
    <w:p w14:paraId="000000B4">
      <w:pPr>
        <w:rPr>
          <w:color w:val="000000" w:themeColor="text1"/>
        </w:rPr>
      </w:pPr>
      <w:r>
        <w:rPr>
          <w:color w:val="000000" w:themeColor="text1"/>
        </w:rPr>
        <w:t>Chap, S. and Liu, J., 2024. Debt Risk Analysis of Automotive Enterprises. </w:t>
      </w:r>
      <w:r>
        <w:rPr>
          <w:i/>
          <w:iCs/>
          <w:color w:val="000000" w:themeColor="text1"/>
        </w:rPr>
        <w:t>Economics &amp; Management Information</w:t>
      </w:r>
      <w:r>
        <w:rPr>
          <w:color w:val="000000" w:themeColor="text1"/>
        </w:rPr>
        <w:t xml:space="preserve">, pp.1-15. </w:t>
      </w:r>
      <w:r>
        <w:rPr>
          <w:rStyle w:val="Hyperlink"/>
          <w:color w:val="000000" w:themeColor="text1"/>
        </w:rPr>
        <w:fldChar w:fldCharType="begin"/>
      </w:r>
      <w:r>
        <w:rPr>
          <w:rStyle w:val="Hyperlink"/>
          <w:color w:val="000000" w:themeColor="text1"/>
        </w:rPr>
        <w:instrText xml:space="preserve">HYPERLINK "https://ojs.sgsci.org/journals/emi/article/download/223/225" </w:instrText>
      </w:r>
      <w:r>
        <w:rPr>
          <w:rStyle w:val="Hyperlink"/>
          <w:color w:val="000000" w:themeColor="text1"/>
        </w:rPr>
        <w:fldChar w:fldCharType="separate"/>
      </w:r>
      <w:r>
        <w:rPr>
          <w:rStyle w:val="Hyperlink"/>
          <w:color w:val="000000" w:themeColor="text1"/>
        </w:rPr>
        <w:t>https://ojs.sgsci.org/journals/emi/article/download/223/225</w:t>
      </w:r>
      <w:r>
        <w:rPr>
          <w:color w:val="000000" w:themeColor="text1"/>
        </w:rPr>
        <w:fldChar w:fldCharType="end"/>
      </w:r>
    </w:p>
    <w:p w14:paraId="000000B5">
      <w:pPr>
        <w:rPr>
          <w:color w:val="000000" w:themeColor="text1"/>
        </w:rPr>
      </w:pPr>
      <w:r>
        <w:rPr>
          <w:color w:val="000000" w:themeColor="text1"/>
        </w:rPr>
        <w:t>Cho, M.J., Bae, K., Byun, J. and Shin, J., 2025. Expanding the identification of key resource combinations for mid-to long-term growth in electric vehicle market entry. </w:t>
      </w:r>
      <w:r>
        <w:rPr>
          <w:i/>
          <w:iCs/>
          <w:color w:val="000000" w:themeColor="text1"/>
        </w:rPr>
        <w:t>PLoS One</w:t>
      </w:r>
      <w:r>
        <w:rPr>
          <w:color w:val="000000" w:themeColor="text1"/>
        </w:rPr>
        <w:t>, </w:t>
      </w:r>
      <w:r>
        <w:rPr>
          <w:i/>
          <w:iCs/>
          <w:color w:val="000000" w:themeColor="text1"/>
        </w:rPr>
        <w:t>20</w:t>
      </w:r>
      <w:r>
        <w:rPr>
          <w:color w:val="000000" w:themeColor="text1"/>
        </w:rPr>
        <w:t xml:space="preserve">(8), p.e0328563. </w:t>
      </w:r>
      <w:r>
        <w:rPr>
          <w:rStyle w:val="Hyperlink"/>
          <w:color w:val="000000" w:themeColor="text1"/>
        </w:rPr>
        <w:fldChar w:fldCharType="begin"/>
      </w:r>
      <w:r>
        <w:rPr>
          <w:rStyle w:val="Hyperlink"/>
          <w:color w:val="000000" w:themeColor="text1"/>
        </w:rPr>
        <w:instrText xml:space="preserve">HYPERLINK "https://journals.plos.org/plosone/article/file?id=10.1371/journal.pone.0328563&amp;type=printable" </w:instrText>
      </w:r>
      <w:r>
        <w:rPr>
          <w:rStyle w:val="Hyperlink"/>
          <w:color w:val="000000" w:themeColor="text1"/>
        </w:rPr>
        <w:fldChar w:fldCharType="separate"/>
      </w:r>
      <w:r>
        <w:rPr>
          <w:rStyle w:val="Hyperlink"/>
          <w:color w:val="000000" w:themeColor="text1"/>
        </w:rPr>
        <w:t>https://journals.plos.org/plosone/article/file?id=10.1371/journal.pone.0328563&amp;type=printable</w:t>
      </w:r>
      <w:r>
        <w:rPr>
          <w:color w:val="000000" w:themeColor="text1"/>
        </w:rPr>
        <w:fldChar w:fldCharType="end"/>
      </w:r>
    </w:p>
    <w:p w14:paraId="000000B6">
      <w:pPr>
        <w:rPr>
          <w:color w:val="000000" w:themeColor="text1"/>
        </w:rPr>
      </w:pPr>
      <w:r>
        <w:rPr>
          <w:color w:val="000000" w:themeColor="text1"/>
        </w:rPr>
        <w:t xml:space="preserve">Dyankov, F., 2022. The Effects of Macroeconomic Factors on the Shares of Automotive Manufacturers in the USA, Asia, and Europe in the Short and Long Run. </w:t>
      </w:r>
      <w:r>
        <w:rPr>
          <w:rStyle w:val="Hyperlink"/>
          <w:color w:val="000000" w:themeColor="text1"/>
        </w:rPr>
        <w:fldChar w:fldCharType="begin"/>
      </w:r>
      <w:r>
        <w:rPr>
          <w:rStyle w:val="Hyperlink"/>
          <w:color w:val="000000" w:themeColor="text1"/>
        </w:rPr>
        <w:instrText xml:space="preserve">HYPERLINK "https://lup.lub.lu.se/luur/download?func=downloadFile&amp;recordOId=9083585&amp;fileOId=9083591" </w:instrText>
      </w:r>
      <w:r>
        <w:rPr>
          <w:rStyle w:val="Hyperlink"/>
          <w:color w:val="000000" w:themeColor="text1"/>
        </w:rPr>
        <w:fldChar w:fldCharType="separate"/>
      </w:r>
      <w:r>
        <w:rPr>
          <w:rStyle w:val="Hyperlink"/>
          <w:color w:val="000000" w:themeColor="text1"/>
        </w:rPr>
        <w:t>https://lup.lub.lu.se/luur/download?func=downloadFile&amp;recordOId=9083585&amp;fileOId=9083591</w:t>
      </w:r>
      <w:r>
        <w:rPr>
          <w:color w:val="000000" w:themeColor="text1"/>
        </w:rPr>
        <w:fldChar w:fldCharType="end"/>
      </w:r>
    </w:p>
    <w:p w14:paraId="000000B7">
      <w:pPr>
        <w:rPr>
          <w:color w:val="000000" w:themeColor="text1"/>
        </w:rPr>
      </w:pPr>
      <w:r>
        <w:rPr>
          <w:color w:val="000000" w:themeColor="text1"/>
        </w:rPr>
        <w:t>Gnap, M. and Pitera, R., 2023. The relevance of using cash flows and economic profit-based methods in capital budgeting: A focus on techniques–FCFF, FCFE and EVA. </w:t>
      </w:r>
      <w:r>
        <w:rPr>
          <w:i/>
          <w:iCs/>
          <w:color w:val="000000" w:themeColor="text1"/>
        </w:rPr>
        <w:t>Zeszyty Naukowe. Organizacja i Zarządzanie/Politechnika Śląska</w:t>
      </w:r>
      <w:r>
        <w:rPr>
          <w:color w:val="000000" w:themeColor="text1"/>
        </w:rPr>
        <w:t xml:space="preserve">, (172), pp.219-238. </w:t>
      </w:r>
      <w:r>
        <w:rPr>
          <w:rStyle w:val="Hyperlink"/>
          <w:color w:val="000000" w:themeColor="text1"/>
        </w:rPr>
        <w:fldChar w:fldCharType="begin"/>
      </w:r>
      <w:r>
        <w:rPr>
          <w:rStyle w:val="Hyperlink"/>
          <w:color w:val="000000" w:themeColor="text1"/>
        </w:rPr>
        <w:instrText xml:space="preserve">HYPERLINK "https://bibliotekanauki.pl/articles/58908628.pdf" </w:instrText>
      </w:r>
      <w:r>
        <w:rPr>
          <w:rStyle w:val="Hyperlink"/>
          <w:color w:val="000000" w:themeColor="text1"/>
        </w:rPr>
        <w:fldChar w:fldCharType="separate"/>
      </w:r>
      <w:r>
        <w:rPr>
          <w:rStyle w:val="Hyperlink"/>
          <w:color w:val="000000" w:themeColor="text1"/>
        </w:rPr>
        <w:t>https://bibliotekanauki.pl/articles/58908628.pdf</w:t>
      </w:r>
      <w:r>
        <w:rPr>
          <w:color w:val="000000" w:themeColor="text1"/>
        </w:rPr>
        <w:fldChar w:fldCharType="end"/>
      </w:r>
    </w:p>
    <w:p w14:paraId="000000B8">
      <w:pPr>
        <w:rPr>
          <w:color w:val="000000" w:themeColor="text1"/>
        </w:rPr>
      </w:pPr>
      <w:r>
        <w:rPr>
          <w:color w:val="000000" w:themeColor="text1"/>
        </w:rPr>
        <w:t>Habib, A.M. and Kayani, U.N., 2022. Does the efficiency of working capital management affect a firm’s financial distress? Evidence from UAE. </w:t>
      </w:r>
      <w:r>
        <w:rPr>
          <w:i/>
          <w:iCs/>
          <w:color w:val="000000" w:themeColor="text1"/>
        </w:rPr>
        <w:t>Corporate Governance: The international journal of business in society</w:t>
      </w:r>
      <w:r>
        <w:rPr>
          <w:color w:val="000000" w:themeColor="text1"/>
        </w:rPr>
        <w:t>, </w:t>
      </w:r>
      <w:r>
        <w:rPr>
          <w:i/>
          <w:iCs/>
          <w:color w:val="000000" w:themeColor="text1"/>
        </w:rPr>
        <w:t>22</w:t>
      </w:r>
      <w:r>
        <w:rPr>
          <w:color w:val="000000" w:themeColor="text1"/>
        </w:rPr>
        <w:t xml:space="preserve">(7), pp.1567-1586. </w:t>
      </w:r>
      <w:r>
        <w:rPr>
          <w:rStyle w:val="Hyperlink"/>
          <w:color w:val="000000" w:themeColor="text1"/>
        </w:rPr>
        <w:fldChar w:fldCharType="begin"/>
      </w:r>
      <w:r>
        <w:rPr>
          <w:rStyle w:val="Hyperlink"/>
          <w:color w:val="000000" w:themeColor="text1"/>
        </w:rPr>
        <w:instrText xml:space="preserve">HYPERLINK "https://www.emerald.com/cg/article-pdf/22/7/1567/110838/cg-12-2021-0440.pdf" </w:instrText>
      </w:r>
      <w:r>
        <w:rPr>
          <w:rStyle w:val="Hyperlink"/>
          <w:color w:val="000000" w:themeColor="text1"/>
        </w:rPr>
        <w:fldChar w:fldCharType="separate"/>
      </w:r>
      <w:r>
        <w:rPr>
          <w:rStyle w:val="Hyperlink"/>
          <w:color w:val="000000" w:themeColor="text1"/>
        </w:rPr>
        <w:t>https://www.emerald.com/cg/article-pdf/22/7/1567/110838/cg-12-2021-0440.pdf</w:t>
      </w:r>
      <w:r>
        <w:rPr>
          <w:color w:val="000000" w:themeColor="text1"/>
        </w:rPr>
        <w:fldChar w:fldCharType="end"/>
      </w:r>
    </w:p>
    <w:p w14:paraId="000000B9">
      <w:pPr>
        <w:rPr>
          <w:color w:val="000000" w:themeColor="text1"/>
        </w:rPr>
      </w:pPr>
      <w:r>
        <w:rPr>
          <w:color w:val="000000" w:themeColor="text1"/>
        </w:rPr>
        <w:t>Jamal, M.N. and Sudrajat, O.Y., 2022. Project Capital Rationing using Discounted Cash Flow Method, Sensitivity Analysis and Monte Carlo Simulation: Case Study Tambura Oil Development. </w:t>
      </w:r>
      <w:r>
        <w:rPr>
          <w:i/>
          <w:iCs/>
          <w:color w:val="000000" w:themeColor="text1"/>
        </w:rPr>
        <w:t>European Journal of Business and Management Research</w:t>
      </w:r>
      <w:r>
        <w:rPr>
          <w:color w:val="000000" w:themeColor="text1"/>
        </w:rPr>
        <w:t>, </w:t>
      </w:r>
      <w:r>
        <w:rPr>
          <w:i/>
          <w:iCs/>
          <w:color w:val="000000" w:themeColor="text1"/>
        </w:rPr>
        <w:t>7</w:t>
      </w:r>
      <w:r>
        <w:rPr>
          <w:color w:val="000000" w:themeColor="text1"/>
        </w:rPr>
        <w:t xml:space="preserve">(6), pp.287-296. </w:t>
      </w:r>
      <w:r>
        <w:rPr>
          <w:rStyle w:val="Hyperlink"/>
          <w:color w:val="000000" w:themeColor="text1"/>
        </w:rPr>
        <w:fldChar w:fldCharType="begin"/>
      </w:r>
      <w:r>
        <w:rPr>
          <w:rStyle w:val="Hyperlink"/>
          <w:color w:val="000000" w:themeColor="text1"/>
        </w:rPr>
        <w:instrText xml:space="preserve">HYPERLINK "https://eu-opensci.org/index.php/ejbmr/article/download/51760/7585" </w:instrText>
      </w:r>
      <w:r>
        <w:rPr>
          <w:rStyle w:val="Hyperlink"/>
          <w:color w:val="000000" w:themeColor="text1"/>
        </w:rPr>
        <w:fldChar w:fldCharType="separate"/>
      </w:r>
      <w:r>
        <w:rPr>
          <w:rStyle w:val="Hyperlink"/>
          <w:color w:val="000000" w:themeColor="text1"/>
        </w:rPr>
        <w:t>https://eu-opensci.org/index.php/ejbmr/article/download/51760/7585</w:t>
      </w:r>
      <w:r>
        <w:rPr>
          <w:color w:val="000000" w:themeColor="text1"/>
        </w:rPr>
        <w:fldChar w:fldCharType="end"/>
      </w:r>
    </w:p>
    <w:p w14:paraId="000000BA">
      <w:pPr>
        <w:rPr>
          <w:color w:val="000000" w:themeColor="text1"/>
        </w:rPr>
      </w:pPr>
      <w:r>
        <w:rPr>
          <w:color w:val="000000" w:themeColor="text1"/>
        </w:rPr>
        <w:t xml:space="preserve">Kelka, H., 2024. Supply chain resilience: navigating disruptions through strategic inventory management. </w:t>
      </w:r>
      <w:r>
        <w:rPr>
          <w:rStyle w:val="Hyperlink"/>
          <w:color w:val="000000" w:themeColor="text1"/>
        </w:rPr>
        <w:fldChar w:fldCharType="begin"/>
      </w:r>
      <w:r>
        <w:rPr>
          <w:rStyle w:val="Hyperlink"/>
          <w:color w:val="000000" w:themeColor="text1"/>
        </w:rPr>
        <w:instrText xml:space="preserve">HYPERLINK "https://www.theseus.fi/bitstream/handle/10024/858213/Kelka_Heaven.pdf?sequence=2" </w:instrText>
      </w:r>
      <w:r>
        <w:rPr>
          <w:rStyle w:val="Hyperlink"/>
          <w:color w:val="000000" w:themeColor="text1"/>
        </w:rPr>
        <w:fldChar w:fldCharType="separate"/>
      </w:r>
      <w:r>
        <w:rPr>
          <w:rStyle w:val="Hyperlink"/>
          <w:color w:val="000000" w:themeColor="text1"/>
        </w:rPr>
        <w:t>https://www.theseus.fi/bitstream/handle/10024/858213/Kelka_Heaven.pdf?sequence=2</w:t>
      </w:r>
      <w:r>
        <w:rPr>
          <w:color w:val="000000" w:themeColor="text1"/>
        </w:rPr>
        <w:fldChar w:fldCharType="end"/>
      </w:r>
    </w:p>
    <w:p w14:paraId="000000BB">
      <w:pPr>
        <w:rPr>
          <w:color w:val="000000" w:themeColor="text1"/>
        </w:rPr>
      </w:pPr>
      <w:r>
        <w:rPr>
          <w:color w:val="000000" w:themeColor="text1"/>
        </w:rPr>
        <w:t xml:space="preserve">Kim, H.S., 2024. The Impact of Financial Market Uncertainties on Corporate Borrowing Costs: Evidence from the Korean Manufacturing Sector. </w:t>
      </w:r>
      <w:r>
        <w:rPr>
          <w:rStyle w:val="Hyperlink"/>
          <w:color w:val="000000" w:themeColor="text1"/>
        </w:rPr>
        <w:fldChar w:fldCharType="begin"/>
      </w:r>
      <w:r>
        <w:rPr>
          <w:rStyle w:val="Hyperlink"/>
          <w:color w:val="000000" w:themeColor="text1"/>
        </w:rPr>
        <w:instrText xml:space="preserve">HYPERLINK "https://papers.ssrn.com/sol3/Delivery.cfm?abstractid=5019144" </w:instrText>
      </w:r>
      <w:r>
        <w:rPr>
          <w:rStyle w:val="Hyperlink"/>
          <w:color w:val="000000" w:themeColor="text1"/>
        </w:rPr>
        <w:fldChar w:fldCharType="separate"/>
      </w:r>
      <w:r>
        <w:rPr>
          <w:rStyle w:val="Hyperlink"/>
          <w:color w:val="000000" w:themeColor="text1"/>
        </w:rPr>
        <w:t>https://papers.ssrn.com/sol3/Delivery.cfm?abstractid=5019144</w:t>
      </w:r>
      <w:r>
        <w:rPr>
          <w:color w:val="000000" w:themeColor="text1"/>
        </w:rPr>
        <w:fldChar w:fldCharType="end"/>
      </w:r>
    </w:p>
    <w:p w14:paraId="000000BC">
      <w:pPr>
        <w:rPr>
          <w:color w:val="000000" w:themeColor="text1"/>
        </w:rPr>
      </w:pPr>
      <w:r>
        <w:rPr>
          <w:color w:val="000000" w:themeColor="text1"/>
        </w:rPr>
        <w:t>Minchin, T.J., 2026. A big deal: the Hyundai battery plant raid and the deeper labor history of the foreign-owned auto sector in the US. </w:t>
      </w:r>
      <w:r>
        <w:rPr>
          <w:i/>
          <w:iCs/>
          <w:color w:val="000000" w:themeColor="text1"/>
        </w:rPr>
        <w:t>Labor History</w:t>
      </w:r>
      <w:r>
        <w:rPr>
          <w:color w:val="000000" w:themeColor="text1"/>
        </w:rPr>
        <w:t xml:space="preserve">, pp.1-33. </w:t>
      </w:r>
      <w:r>
        <w:rPr>
          <w:rStyle w:val="Hyperlink"/>
          <w:color w:val="000000" w:themeColor="text1"/>
        </w:rPr>
        <w:fldChar w:fldCharType="begin"/>
      </w:r>
      <w:r>
        <w:rPr>
          <w:rStyle w:val="Hyperlink"/>
          <w:color w:val="000000" w:themeColor="text1"/>
        </w:rPr>
        <w:instrText xml:space="preserve">HYPERLINK "https://www.tandfonline.com/doi/pdf/10.1080/0023656X.2026.2634081" </w:instrText>
      </w:r>
      <w:r>
        <w:rPr>
          <w:rStyle w:val="Hyperlink"/>
          <w:color w:val="000000" w:themeColor="text1"/>
        </w:rPr>
        <w:fldChar w:fldCharType="separate"/>
      </w:r>
      <w:r>
        <w:rPr>
          <w:rStyle w:val="Hyperlink"/>
          <w:color w:val="000000" w:themeColor="text1"/>
        </w:rPr>
        <w:t>https://www.tandfonline.com/doi/pdf/10.1080/0023656X.2026.2634081</w:t>
      </w:r>
      <w:r>
        <w:rPr>
          <w:color w:val="000000" w:themeColor="text1"/>
        </w:rPr>
        <w:fldChar w:fldCharType="end"/>
      </w:r>
    </w:p>
    <w:p w14:paraId="000000BD">
      <w:pPr>
        <w:rPr>
          <w:color w:val="000000" w:themeColor="text1"/>
        </w:rPr>
      </w:pPr>
      <w:r>
        <w:rPr>
          <w:color w:val="000000" w:themeColor="text1"/>
        </w:rPr>
        <w:t>Musa, A., 2024. Impact of ownership structures on financial performance and distress in businesses. </w:t>
      </w:r>
      <w:r>
        <w:rPr>
          <w:i/>
          <w:iCs/>
          <w:color w:val="000000" w:themeColor="text1"/>
        </w:rPr>
        <w:t>Journal of Policy Options</w:t>
      </w:r>
      <w:r>
        <w:rPr>
          <w:color w:val="000000" w:themeColor="text1"/>
        </w:rPr>
        <w:t>, </w:t>
      </w:r>
      <w:r>
        <w:rPr>
          <w:i/>
          <w:iCs/>
          <w:color w:val="000000" w:themeColor="text1"/>
        </w:rPr>
        <w:t>7</w:t>
      </w:r>
      <w:r>
        <w:rPr>
          <w:color w:val="000000" w:themeColor="text1"/>
        </w:rPr>
        <w:t xml:space="preserve">(3), pp.30-38. </w:t>
      </w:r>
      <w:r>
        <w:rPr>
          <w:rStyle w:val="Hyperlink"/>
          <w:color w:val="000000" w:themeColor="text1"/>
        </w:rPr>
        <w:fldChar w:fldCharType="begin"/>
      </w:r>
      <w:r>
        <w:rPr>
          <w:rStyle w:val="Hyperlink"/>
          <w:color w:val="000000" w:themeColor="text1"/>
        </w:rPr>
        <w:instrText xml:space="preserve">HYPERLINK "https://resdojournals.com/index.php/jpo/article/download/380/614" </w:instrText>
      </w:r>
      <w:r>
        <w:rPr>
          <w:rStyle w:val="Hyperlink"/>
          <w:color w:val="000000" w:themeColor="text1"/>
        </w:rPr>
        <w:fldChar w:fldCharType="separate"/>
      </w:r>
      <w:r>
        <w:rPr>
          <w:rStyle w:val="Hyperlink"/>
          <w:color w:val="000000" w:themeColor="text1"/>
        </w:rPr>
        <w:t>https://resdojournals.com/index.php/jpo/article/download/380/614</w:t>
      </w:r>
      <w:r>
        <w:rPr>
          <w:color w:val="000000" w:themeColor="text1"/>
        </w:rPr>
        <w:fldChar w:fldCharType="end"/>
      </w:r>
    </w:p>
    <w:p w14:paraId="000000BE">
      <w:pPr>
        <w:rPr>
          <w:color w:val="000000" w:themeColor="text1"/>
        </w:rPr>
      </w:pPr>
      <w:r>
        <w:rPr>
          <w:color w:val="000000" w:themeColor="text1"/>
        </w:rPr>
        <w:t xml:space="preserve">Niero, B., Srimeecha, P., Chhabra, R. and Kanoi, S., 2023. Charging Innovation: A global business analysis of Hyundai's electric future. </w:t>
      </w:r>
      <w:r>
        <w:rPr>
          <w:rStyle w:val="Hyperlink"/>
          <w:color w:val="000000" w:themeColor="text1"/>
        </w:rPr>
        <w:fldChar w:fldCharType="begin"/>
      </w:r>
      <w:r>
        <w:rPr>
          <w:rStyle w:val="Hyperlink"/>
          <w:color w:val="000000" w:themeColor="text1"/>
        </w:rPr>
        <w:instrText xml:space="preserve">HYPERLINK "https://www.researchgate.net/profile/Breno-Niero/publication/376203954_Charging_Innovation_A_global_business_analysis_of_Hyundai's_electric_future/links/656e7333b832b6599df2b67c/Charging-Innovation-A-global-business-analysis-of-Hyundais-electric-future.pdf" </w:instrText>
      </w:r>
      <w:r>
        <w:rPr>
          <w:rStyle w:val="Hyperlink"/>
          <w:color w:val="000000" w:themeColor="text1"/>
        </w:rPr>
        <w:fldChar w:fldCharType="separate"/>
      </w:r>
      <w:r>
        <w:rPr>
          <w:rStyle w:val="Hyperlink"/>
          <w:color w:val="000000" w:themeColor="text1"/>
        </w:rPr>
        <w:t>https://www.researchgate.net/profile/Breno-Niero/publication/376203954_Charging_Innovation_A_global_business_analysis_of_Hyundai's_electric_future/links/656e7333b832b6599df2b67c/Charging-Innovation-A-global-business-analysis-of-Hyundais-electric-future.pdf</w:t>
      </w:r>
      <w:r>
        <w:rPr>
          <w:color w:val="000000" w:themeColor="text1"/>
        </w:rPr>
        <w:fldChar w:fldCharType="end"/>
      </w:r>
    </w:p>
    <w:p w14:paraId="000000BF">
      <w:pPr>
        <w:rPr>
          <w:color w:val="000000" w:themeColor="text1"/>
        </w:rPr>
      </w:pPr>
      <w:r>
        <w:rPr>
          <w:color w:val="000000" w:themeColor="text1"/>
        </w:rPr>
        <w:t>Oyeyipo, I., Attipoe, V., Mayienga, B.A., Onwuzulike, O.C., Ayodeji, D.C., Nwaozomudoh, M.O., Isibor, N.J. and Ahmadu, J., 2023. A conceptual framework for transforming corporate finance through strategic growth, profitability, and risk optimization. </w:t>
      </w:r>
      <w:r>
        <w:rPr>
          <w:i/>
          <w:iCs/>
          <w:color w:val="000000" w:themeColor="text1"/>
        </w:rPr>
        <w:t>International Journal of Advanced Multidisciplinary Research and Studies</w:t>
      </w:r>
      <w:r>
        <w:rPr>
          <w:color w:val="000000" w:themeColor="text1"/>
        </w:rPr>
        <w:t>, </w:t>
      </w:r>
      <w:r>
        <w:rPr>
          <w:i/>
          <w:iCs/>
          <w:color w:val="000000" w:themeColor="text1"/>
        </w:rPr>
        <w:t>3</w:t>
      </w:r>
      <w:r>
        <w:rPr>
          <w:color w:val="000000" w:themeColor="text1"/>
        </w:rPr>
        <w:t xml:space="preserve">(5), pp.1527-1538. </w:t>
      </w:r>
      <w:r>
        <w:rPr>
          <w:rStyle w:val="Hyperlink"/>
          <w:color w:val="000000" w:themeColor="text1"/>
        </w:rPr>
        <w:fldChar w:fldCharType="begin"/>
      </w:r>
      <w:r>
        <w:rPr>
          <w:rStyle w:val="Hyperlink"/>
          <w:color w:val="000000" w:themeColor="text1"/>
        </w:rPr>
        <w:instrText xml:space="preserve">HYPERLINK "https://www.multiresearchjournal.com/admin/uploads/archives/archive-1742807323.pdf" </w:instrText>
      </w:r>
      <w:r>
        <w:rPr>
          <w:rStyle w:val="Hyperlink"/>
          <w:color w:val="000000" w:themeColor="text1"/>
        </w:rPr>
        <w:fldChar w:fldCharType="separate"/>
      </w:r>
      <w:r>
        <w:rPr>
          <w:rStyle w:val="Hyperlink"/>
          <w:color w:val="000000" w:themeColor="text1"/>
        </w:rPr>
        <w:t>https://www.multiresearchjournal.com/admin/uploads/archives/archive-1742807323.pdf</w:t>
      </w:r>
      <w:r>
        <w:rPr>
          <w:color w:val="000000" w:themeColor="text1"/>
        </w:rPr>
        <w:fldChar w:fldCharType="end"/>
      </w:r>
    </w:p>
    <w:p w14:paraId="000000C0">
      <w:pPr>
        <w:rPr>
          <w:color w:val="000000" w:themeColor="text1"/>
        </w:rPr>
      </w:pPr>
      <w:r>
        <w:rPr>
          <w:color w:val="000000" w:themeColor="text1"/>
        </w:rPr>
        <w:t xml:space="preserve"> Poudyal, B., 2025. </w:t>
      </w:r>
      <w:r>
        <w:rPr>
          <w:i/>
          <w:iCs/>
          <w:color w:val="000000" w:themeColor="text1"/>
        </w:rPr>
        <w:t>Empirical effects of earning and dividend policies on market price of share</w:t>
      </w:r>
      <w:r>
        <w:rPr>
          <w:color w:val="000000" w:themeColor="text1"/>
        </w:rPr>
        <w:t xml:space="preserve"> (Doctoral dissertation). </w:t>
      </w:r>
      <w:r>
        <w:rPr>
          <w:rStyle w:val="Hyperlink"/>
          <w:color w:val="000000" w:themeColor="text1"/>
        </w:rPr>
        <w:fldChar w:fldCharType="begin"/>
      </w:r>
      <w:r>
        <w:rPr>
          <w:rStyle w:val="Hyperlink"/>
          <w:color w:val="000000" w:themeColor="text1"/>
        </w:rPr>
        <w:instrText xml:space="preserve">HYPERLINK "https://elibrary.tucl.edu.np/bitstreams/2434a4c8-4bed-4c00-ab76-1e81cc0a5d88/download" </w:instrText>
      </w:r>
      <w:r>
        <w:rPr>
          <w:rStyle w:val="Hyperlink"/>
          <w:color w:val="000000" w:themeColor="text1"/>
        </w:rPr>
        <w:fldChar w:fldCharType="separate"/>
      </w:r>
      <w:r>
        <w:rPr>
          <w:rStyle w:val="Hyperlink"/>
          <w:color w:val="000000" w:themeColor="text1"/>
        </w:rPr>
        <w:t>https://elibrary.tucl.edu.np/bitstreams/2434a4c8-4bed-4c00-ab76-1e81cc0a5d88/download</w:t>
      </w:r>
      <w:r>
        <w:rPr>
          <w:color w:val="000000" w:themeColor="text1"/>
        </w:rPr>
        <w:fldChar w:fldCharType="end"/>
      </w:r>
    </w:p>
    <w:p w14:paraId="000000C1">
      <w:pPr>
        <w:rPr>
          <w:color w:val="000000" w:themeColor="text1"/>
        </w:rPr>
      </w:pPr>
      <w:r>
        <w:rPr>
          <w:color w:val="000000" w:themeColor="text1"/>
        </w:rPr>
        <w:t>Ra, Y., 2024. Why companies have low debt? An empirical evidence in Korea. </w:t>
      </w:r>
      <w:r>
        <w:rPr>
          <w:i/>
          <w:iCs/>
          <w:color w:val="000000" w:themeColor="text1"/>
        </w:rPr>
        <w:t>Heliyon</w:t>
      </w:r>
      <w:r>
        <w:rPr>
          <w:color w:val="000000" w:themeColor="text1"/>
        </w:rPr>
        <w:t>, </w:t>
      </w:r>
      <w:r>
        <w:rPr>
          <w:i/>
          <w:iCs/>
          <w:color w:val="000000" w:themeColor="text1"/>
        </w:rPr>
        <w:t>10</w:t>
      </w:r>
      <w:r>
        <w:rPr>
          <w:color w:val="000000" w:themeColor="text1"/>
        </w:rPr>
        <w:t xml:space="preserve">(13). </w:t>
      </w:r>
      <w:r>
        <w:rPr>
          <w:rStyle w:val="Hyperlink"/>
          <w:color w:val="000000" w:themeColor="text1"/>
        </w:rPr>
        <w:fldChar w:fldCharType="begin"/>
      </w:r>
      <w:r>
        <w:rPr>
          <w:rStyle w:val="Hyperlink"/>
          <w:color w:val="000000" w:themeColor="text1"/>
        </w:rPr>
        <w:instrText xml:space="preserve">HYPERLINK "https://www.cell.com/heliyon/pdf/S2405-8440(24)08987-4.pdf" </w:instrText>
      </w:r>
      <w:r>
        <w:rPr>
          <w:rStyle w:val="Hyperlink"/>
          <w:color w:val="000000" w:themeColor="text1"/>
        </w:rPr>
        <w:fldChar w:fldCharType="separate"/>
      </w:r>
      <w:r>
        <w:rPr>
          <w:rStyle w:val="Hyperlink"/>
          <w:color w:val="000000" w:themeColor="text1"/>
        </w:rPr>
        <w:t>https://www.cell.com/heliyon/pdf/S2405-8440(24)08987-4.pdf</w:t>
      </w:r>
      <w:r>
        <w:rPr>
          <w:color w:val="000000" w:themeColor="text1"/>
        </w:rPr>
        <w:fldChar w:fldCharType="end"/>
      </w:r>
    </w:p>
    <w:p w14:paraId="000000C2">
      <w:pPr>
        <w:rPr>
          <w:color w:val="000000" w:themeColor="text1"/>
        </w:rPr>
      </w:pPr>
      <w:r>
        <w:rPr>
          <w:color w:val="000000" w:themeColor="text1"/>
        </w:rPr>
        <w:t>Rafayel, M., Varazdat, A., Zohrab, A. and Henrikh, M., 2025. AI-driven capital structure forecasting for automotive giants: Enhancing stability, liquidity, and solvency. </w:t>
      </w:r>
      <w:r>
        <w:rPr>
          <w:i/>
          <w:iCs/>
          <w:color w:val="000000" w:themeColor="text1"/>
        </w:rPr>
        <w:t>Journal of Asian Scientific Research</w:t>
      </w:r>
      <w:r>
        <w:rPr>
          <w:color w:val="000000" w:themeColor="text1"/>
        </w:rPr>
        <w:t>, </w:t>
      </w:r>
      <w:r>
        <w:rPr>
          <w:i/>
          <w:iCs/>
          <w:color w:val="000000" w:themeColor="text1"/>
        </w:rPr>
        <w:t>15</w:t>
      </w:r>
      <w:r>
        <w:rPr>
          <w:color w:val="000000" w:themeColor="text1"/>
        </w:rPr>
        <w:t xml:space="preserve">(4), pp.735-744. </w:t>
      </w:r>
      <w:r>
        <w:rPr>
          <w:rStyle w:val="Hyperlink"/>
          <w:color w:val="000000" w:themeColor="text1"/>
        </w:rPr>
        <w:fldChar w:fldCharType="begin"/>
      </w:r>
      <w:r>
        <w:rPr>
          <w:rStyle w:val="Hyperlink"/>
          <w:color w:val="000000" w:themeColor="text1"/>
        </w:rPr>
        <w:instrText xml:space="preserve">HYPERLINK "https://www.researchgate.net/profile/Ani-Grigoryan-10/publication/397956529_AI-driven_capital_structure_forecasting_for_automotive_giants_Enhancing_stability_liquidity_and_solvency/links/6925e5da71855517106352a8/AI-driven-capital-structure-forecasting-for-automotive-giants-Enhancing-stability-liquidity-and-solvency.pdf" </w:instrText>
      </w:r>
      <w:r>
        <w:rPr>
          <w:rStyle w:val="Hyperlink"/>
          <w:color w:val="000000" w:themeColor="text1"/>
        </w:rPr>
        <w:fldChar w:fldCharType="separate"/>
      </w:r>
      <w:r>
        <w:rPr>
          <w:rStyle w:val="Hyperlink"/>
          <w:color w:val="000000" w:themeColor="text1"/>
        </w:rPr>
        <w:t>https://www.researchgate.net/profile/Ani-Grigoryan-10/publication/397956529_AI-driven_capital_structure_forecasting_for_automotive_giants_Enhancing_stability_liquidity_and_solvency/links/6925e5da71855517106352a8/AI-driven-capital-structure-forecasting-for-automotive-giants-Enhancing-stability-liquidity-and-solvency.pdf</w:t>
      </w:r>
      <w:r>
        <w:rPr>
          <w:color w:val="000000" w:themeColor="text1"/>
        </w:rPr>
        <w:fldChar w:fldCharType="end"/>
      </w:r>
    </w:p>
    <w:p w14:paraId="000000C3">
      <w:pPr>
        <w:rPr>
          <w:color w:val="000000" w:themeColor="text1"/>
        </w:rPr>
      </w:pPr>
      <w:r>
        <w:rPr>
          <w:color w:val="000000" w:themeColor="text1"/>
        </w:rPr>
        <w:t>Ridwan, S., Syah, T.Y.R., Kustiawan, U. and Nofierni, N., 2025. Financial planning and investment feasibility analysis based on five-year projections using ROI, NPV, IRR, and financial ratios. </w:t>
      </w:r>
      <w:r>
        <w:rPr>
          <w:i/>
          <w:iCs/>
          <w:color w:val="000000" w:themeColor="text1"/>
        </w:rPr>
        <w:t>Journal La Bisecoman</w:t>
      </w:r>
      <w:r>
        <w:rPr>
          <w:color w:val="000000" w:themeColor="text1"/>
        </w:rPr>
        <w:t>, </w:t>
      </w:r>
      <w:r>
        <w:rPr>
          <w:i/>
          <w:iCs/>
          <w:color w:val="000000" w:themeColor="text1"/>
        </w:rPr>
        <w:t>6</w:t>
      </w:r>
      <w:r>
        <w:rPr>
          <w:color w:val="000000" w:themeColor="text1"/>
        </w:rPr>
        <w:t xml:space="preserve">(2), pp.489-506. </w:t>
      </w:r>
      <w:r>
        <w:rPr>
          <w:rStyle w:val="Hyperlink"/>
          <w:color w:val="000000" w:themeColor="text1"/>
        </w:rPr>
        <w:fldChar w:fldCharType="begin"/>
      </w:r>
      <w:r>
        <w:rPr>
          <w:rStyle w:val="Hyperlink"/>
          <w:color w:val="000000" w:themeColor="text1"/>
        </w:rPr>
        <w:instrText xml:space="preserve">HYPERLINK "https://mail.newinera.com/index.php/JournalLaBisecoman/article/download/1970/1958" </w:instrText>
      </w:r>
      <w:r>
        <w:rPr>
          <w:rStyle w:val="Hyperlink"/>
          <w:color w:val="000000" w:themeColor="text1"/>
        </w:rPr>
        <w:fldChar w:fldCharType="separate"/>
      </w:r>
      <w:r>
        <w:rPr>
          <w:rStyle w:val="Hyperlink"/>
          <w:color w:val="000000" w:themeColor="text1"/>
        </w:rPr>
        <w:t>https://mail.newinera.com/index.php/JournalLaBisecoman/article/download/1970/1958</w:t>
      </w:r>
      <w:r>
        <w:rPr>
          <w:color w:val="000000" w:themeColor="text1"/>
        </w:rPr>
        <w:fldChar w:fldCharType="end"/>
      </w:r>
    </w:p>
    <w:p w14:paraId="000000C4">
      <w:pPr>
        <w:rPr>
          <w:color w:val="000000" w:themeColor="text1"/>
        </w:rPr>
      </w:pPr>
      <w:r>
        <w:rPr>
          <w:color w:val="000000" w:themeColor="text1"/>
        </w:rPr>
        <w:t>Sam, R., 2025. Generalizing the P/E Ratio Through the Potential Payback Period (PPP): A Dynamic Approach to Stock Valuation. </w:t>
      </w:r>
      <w:r>
        <w:rPr>
          <w:i/>
          <w:iCs/>
          <w:color w:val="000000" w:themeColor="text1"/>
        </w:rPr>
        <w:t>E Ratio through the Potential Payback Period (PPP): A Dynamic Approach to Stock Valuation (May 20, 2025)</w:t>
      </w:r>
      <w:r>
        <w:rPr>
          <w:color w:val="000000" w:themeColor="text1"/>
        </w:rPr>
        <w:t xml:space="preserve">. </w:t>
      </w:r>
      <w:r>
        <w:rPr>
          <w:rStyle w:val="Hyperlink"/>
          <w:color w:val="000000" w:themeColor="text1"/>
        </w:rPr>
        <w:fldChar w:fldCharType="begin"/>
      </w:r>
      <w:r>
        <w:rPr>
          <w:rStyle w:val="Hyperlink"/>
          <w:color w:val="000000" w:themeColor="text1"/>
        </w:rPr>
        <w:instrText xml:space="preserve">HYPERLINK "https://papers.ssrn.com/sol3/Delivery.cfm?abstractid=5261816" </w:instrText>
      </w:r>
      <w:r>
        <w:rPr>
          <w:rStyle w:val="Hyperlink"/>
          <w:color w:val="000000" w:themeColor="text1"/>
        </w:rPr>
        <w:fldChar w:fldCharType="separate"/>
      </w:r>
      <w:r>
        <w:rPr>
          <w:rStyle w:val="Hyperlink"/>
          <w:color w:val="000000" w:themeColor="text1"/>
        </w:rPr>
        <w:t>https://papers.ssrn.com/sol3/Delivery.cfm?abstractid=5261816</w:t>
      </w:r>
      <w:r>
        <w:rPr>
          <w:color w:val="000000" w:themeColor="text1"/>
        </w:rPr>
        <w:fldChar w:fldCharType="end"/>
      </w:r>
    </w:p>
    <w:p w14:paraId="000000C5">
      <w:pPr>
        <w:rPr>
          <w:color w:val="000000" w:themeColor="text1"/>
        </w:rPr>
      </w:pPr>
      <w:r>
        <w:rPr>
          <w:color w:val="000000" w:themeColor="text1"/>
        </w:rPr>
        <w:t>Susanti, T., Rionaldi, R., Aristiawan, D., Taufid, H. and Lusiana, L., 2025. Implementation of Just-In-Time (JIT) in Inventory Management: A Case Study in a Manufacturing Company. </w:t>
      </w:r>
      <w:r>
        <w:rPr>
          <w:i/>
          <w:iCs/>
          <w:color w:val="000000" w:themeColor="text1"/>
        </w:rPr>
        <w:t>Eduvest-Journal of Universal Studies</w:t>
      </w:r>
      <w:r>
        <w:rPr>
          <w:color w:val="000000" w:themeColor="text1"/>
        </w:rPr>
        <w:t>, </w:t>
      </w:r>
      <w:r>
        <w:rPr>
          <w:i/>
          <w:iCs/>
          <w:color w:val="000000" w:themeColor="text1"/>
        </w:rPr>
        <w:t>5</w:t>
      </w:r>
      <w:r>
        <w:rPr>
          <w:color w:val="000000" w:themeColor="text1"/>
        </w:rPr>
        <w:t xml:space="preserve">(7), pp.6208-6216. </w:t>
      </w:r>
      <w:r>
        <w:rPr>
          <w:rStyle w:val="Hyperlink"/>
          <w:color w:val="000000" w:themeColor="text1"/>
        </w:rPr>
        <w:fldChar w:fldCharType="begin"/>
      </w:r>
      <w:r>
        <w:rPr>
          <w:rStyle w:val="Hyperlink"/>
          <w:color w:val="000000" w:themeColor="text1"/>
        </w:rPr>
        <w:instrText xml:space="preserve">HYPERLINK "https://eduvest.greenvest.co.id/index.php/edv/article/download/51625/4307" </w:instrText>
      </w:r>
      <w:r>
        <w:rPr>
          <w:rStyle w:val="Hyperlink"/>
          <w:color w:val="000000" w:themeColor="text1"/>
        </w:rPr>
        <w:fldChar w:fldCharType="separate"/>
      </w:r>
      <w:r>
        <w:rPr>
          <w:rStyle w:val="Hyperlink"/>
          <w:color w:val="000000" w:themeColor="text1"/>
        </w:rPr>
        <w:t>https://eduvest.greenvest.co.id/index.php/edv/article/download/51625/4307</w:t>
      </w:r>
      <w:r>
        <w:rPr>
          <w:color w:val="000000" w:themeColor="text1"/>
        </w:rPr>
        <w:fldChar w:fldCharType="end"/>
      </w:r>
    </w:p>
    <w:p w14:paraId="000000C6">
      <w:pPr>
        <w:rPr>
          <w:color w:val="000000" w:themeColor="text1"/>
        </w:rPr>
      </w:pPr>
      <w:r>
        <w:rPr>
          <w:color w:val="000000" w:themeColor="text1"/>
        </w:rPr>
        <w:t>VR, S., 2024. Examining the dynamic relationship between major automotive sector companies and the NSE 50. </w:t>
      </w:r>
      <w:r>
        <w:rPr>
          <w:i/>
          <w:iCs/>
          <w:color w:val="000000" w:themeColor="text1"/>
        </w:rPr>
        <w:t>Innovatus: An Ivanian Journal of Economics and Business Studies</w:t>
      </w:r>
      <w:r>
        <w:rPr>
          <w:color w:val="000000" w:themeColor="text1"/>
        </w:rPr>
        <w:t xml:space="preserve">, pp.28-35. </w:t>
      </w:r>
      <w:r>
        <w:rPr>
          <w:rStyle w:val="Hyperlink"/>
          <w:color w:val="000000" w:themeColor="text1"/>
        </w:rPr>
        <w:fldChar w:fldCharType="begin"/>
      </w:r>
      <w:r>
        <w:rPr>
          <w:rStyle w:val="Hyperlink"/>
          <w:color w:val="000000" w:themeColor="text1"/>
        </w:rPr>
        <w:instrText xml:space="preserve">HYPERLINK "http://marivanioscollegejournals.com/index.php/innovatous/article/download/67/124" </w:instrText>
      </w:r>
      <w:r>
        <w:rPr>
          <w:rStyle w:val="Hyperlink"/>
          <w:color w:val="000000" w:themeColor="text1"/>
        </w:rPr>
        <w:fldChar w:fldCharType="separate"/>
      </w:r>
      <w:r>
        <w:rPr>
          <w:rStyle w:val="Hyperlink"/>
          <w:color w:val="000000" w:themeColor="text1"/>
        </w:rPr>
        <w:t>http://marivanioscollegejournals.com/index.php/innovatous/article/download/67/124</w:t>
      </w:r>
      <w:r>
        <w:rPr>
          <w:color w:val="000000" w:themeColor="text1"/>
        </w:rPr>
        <w:fldChar w:fldCharType="end"/>
      </w:r>
    </w:p>
    <w:p w14:paraId="000000C7">
      <w:pPr>
        <w:rPr>
          <w:color w:val="000000" w:themeColor="text1"/>
        </w:rPr>
      </w:pPr>
      <w:r>
        <w:rPr>
          <w:color w:val="000000" w:themeColor="text1"/>
        </w:rPr>
        <w:t xml:space="preserve">Hyundai, 2026. Annual Report. Available at </w:t>
      </w:r>
      <w:r>
        <w:rPr>
          <w:rStyle w:val="Hyperlink"/>
        </w:rPr>
        <w:fldChar w:fldCharType="begin"/>
      </w:r>
      <w:r>
        <w:rPr>
          <w:rStyle w:val="Hyperlink"/>
        </w:rPr>
        <w:instrText xml:space="preserve">HYPERLINK "https://www.hyundai.com/in/en/investor-relations/financial-information/reports/annual-report-digital-summary" </w:instrText>
      </w:r>
      <w:r>
        <w:rPr>
          <w:rStyle w:val="Hyperlink"/>
        </w:rPr>
        <w:fldChar w:fldCharType="separate"/>
      </w:r>
      <w:r>
        <w:rPr>
          <w:rStyle w:val="Hyperlink"/>
        </w:rPr>
        <w:t>https://www.hyundai.com/in/en/investor-relations/financial-information/reports/annual-report-digital-summary</w:t>
      </w:r>
      <w:r>
        <w:rPr>
          <w:color w:val="000000" w:themeColor="text1"/>
        </w:rPr>
        <w:fldChar w:fldCharType="end"/>
      </w:r>
    </w:p>
    <w:p w14:paraId="000000C8">
      <w:pPr>
        <w:rPr>
          <w:color w:val="000000" w:themeColor="text1"/>
        </w:rPr>
      </w:pPr>
      <w:r>
        <w:rPr>
          <w:color w:val="000000" w:themeColor="text1"/>
        </w:rPr>
        <w:t>AnnualReport.com</w:t>
      </w:r>
      <w:r>
        <w:rPr>
          <w:color w:val="000000" w:themeColor="text1"/>
        </w:rPr>
        <w:t>, 2026. Annual Report</w:t>
      </w:r>
      <w:r>
        <w:rPr>
          <w:color w:val="000000" w:themeColor="text1"/>
        </w:rPr>
        <w:t xml:space="preserve"> 2024, 2023, 2022, 2021. Available at </w:t>
      </w:r>
      <w:r>
        <w:rPr>
          <w:rStyle w:val="Hyperlink"/>
        </w:rPr>
        <w:fldChar w:fldCharType="begin"/>
      </w:r>
      <w:r>
        <w:rPr>
          <w:rStyle w:val="Hyperlink"/>
        </w:rPr>
        <w:instrText xml:space="preserve">HYPERLINK "https://www.annualreports.com/Company/hyundai-motor-company" </w:instrText>
      </w:r>
      <w:r>
        <w:rPr>
          <w:rStyle w:val="Hyperlink"/>
        </w:rPr>
        <w:fldChar w:fldCharType="separate"/>
      </w:r>
      <w:r>
        <w:rPr>
          <w:rStyle w:val="Hyperlink"/>
        </w:rPr>
        <w:t>https://www.annualreports.com/Company/hyundai-motor-company</w:t>
      </w:r>
      <w:r>
        <w:rPr>
          <w:color w:val="000000" w:themeColor="text1"/>
        </w:rPr>
        <w:fldChar w:fldCharType="end"/>
      </w:r>
    </w:p>
    <w:p w14:paraId="000000C9">
      <w:pPr>
        <w:rPr>
          <w:color w:val="000000" w:themeColor="text1"/>
        </w:rPr>
      </w:pPr>
    </w:p>
    <w:p w14:paraId="000000CA">
      <w:pPr>
        <w:rPr>
          <w:color w:val="000000" w:themeColor="text1"/>
          <w:lang w:val="en-US"/>
        </w:rPr>
      </w:pPr>
      <w:r>
        <w:rPr>
          <w:color w:val="000000" w:themeColor="text1"/>
          <w:lang w:val="en-US"/>
        </w:rPr>
        <w:br w:type="page"/>
      </w:r>
    </w:p>
    <w:p w14:paraId="000000CB">
      <w:pPr>
        <w:pStyle w:val="Heading1"/>
        <w:rPr>
          <w:lang w:val="en-US"/>
        </w:rPr>
      </w:pPr>
      <w:bookmarkStart w:id="21" w:name="_Toc227942361"/>
      <w:r>
        <w:rPr>
          <w:lang w:val="en-US"/>
        </w:rPr>
        <w:t>8. Appendix</w:t>
      </w:r>
      <w:bookmarkEnd w:id="21"/>
    </w:p>
    <w:tbl>
      <w:tblPr>
        <w:tblStyle w:val="ListTable3Accent2"/>
        <w:tblW w:w="9100" w:type="dxa"/>
        <w:tblLook w:val="04A0"/>
      </w:tblPr>
      <w:tblGrid>
        <w:gridCol w:w="3000"/>
        <w:gridCol w:w="1330"/>
        <w:gridCol w:w="1330"/>
        <w:gridCol w:w="1330"/>
        <w:gridCol w:w="1330"/>
        <w:gridCol w:w="1330"/>
      </w:tblGrid>
      <w:tr>
        <w:trPr>
          <w:cnfStyle w:val="100000000000"/>
          <w:trHeight w:val="288"/>
        </w:trPr>
        <w:tc>
          <w:tcPr>
            <w:cnfStyle w:val="101000000000"/>
            <w:tcW w:w="9100" w:type="dxa"/>
            <w:noWrap w:val="on"/>
            <w:gridSpan w:val="6"/>
          </w:tcPr>
          <w:p w14:paraId="000000CC">
            <w:pPr>
              <w:spacing w:before="0" w:beforeAutospacing="0" w:after="0" w:afterAutospacing="0" w:line="240" w:lineRule="auto"/>
              <w:jc w:val="center"/>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INCOME STATEMENT (2021–2025) – ₩ million</w:t>
            </w:r>
          </w:p>
        </w:tc>
      </w:tr>
      <w:tr>
        <w:trPr>
          <w:cnfStyle w:val="000000100000"/>
          <w:trHeight w:val="288"/>
        </w:trPr>
        <w:tc>
          <w:tcPr>
            <w:cnfStyle w:val="001000100000"/>
            <w:tcW w:w="3000" w:type="dxa"/>
          </w:tcPr>
          <w:p w14:paraId="000000CD">
            <w:pPr>
              <w:spacing w:before="0" w:beforeAutospacing="0" w:after="0" w:afterAutospacing="0" w:line="240" w:lineRule="auto"/>
              <w:jc w:val="center"/>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Particulars</w:t>
            </w:r>
          </w:p>
        </w:tc>
        <w:tc>
          <w:tcPr>
            <w:cnfStyle w:val="000000100000"/>
            <w:tcW w:w="1220" w:type="dxa"/>
          </w:tcPr>
          <w:p w14:paraId="000000CE">
            <w:pPr>
              <w:spacing w:before="0" w:beforeAutospacing="0" w:after="0" w:afterAutospacing="0" w:line="240" w:lineRule="auto"/>
              <w:jc w:val="center"/>
              <w:rPr>
                <w:rFonts w:ascii="Calibri" w:cs="Calibri" w:eastAsia="Times New Roman" w:hAnsi="Calibri"/>
                <w:b/>
                <w:bCs/>
                <w:color w:val="000000" w:themeColor="text1"/>
                <w:sz w:val="22"/>
                <w:lang w:val="en-IN" w:eastAsia="en-IN"/>
              </w:rPr>
            </w:pPr>
            <w:r>
              <w:rPr>
                <w:rFonts w:ascii="Calibri" w:cs="Calibri" w:eastAsia="Times New Roman" w:hAnsi="Calibri"/>
                <w:b/>
                <w:bCs/>
                <w:color w:val="000000" w:themeColor="text1"/>
                <w:sz w:val="22"/>
                <w:lang w:val="en-IN" w:eastAsia="en-IN"/>
              </w:rPr>
              <w:t>2021</w:t>
            </w:r>
          </w:p>
        </w:tc>
        <w:tc>
          <w:tcPr>
            <w:cnfStyle w:val="000000100000"/>
            <w:tcW w:w="1220" w:type="dxa"/>
          </w:tcPr>
          <w:p w14:paraId="000000CF">
            <w:pPr>
              <w:spacing w:before="0" w:beforeAutospacing="0" w:after="0" w:afterAutospacing="0" w:line="240" w:lineRule="auto"/>
              <w:jc w:val="center"/>
              <w:rPr>
                <w:rFonts w:ascii="Calibri" w:cs="Calibri" w:eastAsia="Times New Roman" w:hAnsi="Calibri"/>
                <w:b/>
                <w:bCs/>
                <w:color w:val="000000" w:themeColor="text1"/>
                <w:sz w:val="22"/>
                <w:lang w:val="en-IN" w:eastAsia="en-IN"/>
              </w:rPr>
            </w:pPr>
            <w:r>
              <w:rPr>
                <w:rFonts w:ascii="Calibri" w:cs="Calibri" w:eastAsia="Times New Roman" w:hAnsi="Calibri"/>
                <w:b/>
                <w:bCs/>
                <w:color w:val="000000" w:themeColor="text1"/>
                <w:sz w:val="22"/>
                <w:lang w:val="en-IN" w:eastAsia="en-IN"/>
              </w:rPr>
              <w:t>2022</w:t>
            </w:r>
          </w:p>
        </w:tc>
        <w:tc>
          <w:tcPr>
            <w:cnfStyle w:val="000000100000"/>
            <w:tcW w:w="1220" w:type="dxa"/>
          </w:tcPr>
          <w:p w14:paraId="000000D0">
            <w:pPr>
              <w:spacing w:before="0" w:beforeAutospacing="0" w:after="0" w:afterAutospacing="0" w:line="240" w:lineRule="auto"/>
              <w:jc w:val="center"/>
              <w:rPr>
                <w:rFonts w:ascii="Calibri" w:cs="Calibri" w:eastAsia="Times New Roman" w:hAnsi="Calibri"/>
                <w:b/>
                <w:bCs/>
                <w:color w:val="000000" w:themeColor="text1"/>
                <w:sz w:val="22"/>
                <w:lang w:val="en-IN" w:eastAsia="en-IN"/>
              </w:rPr>
            </w:pPr>
            <w:r>
              <w:rPr>
                <w:rFonts w:ascii="Calibri" w:cs="Calibri" w:eastAsia="Times New Roman" w:hAnsi="Calibri"/>
                <w:b/>
                <w:bCs/>
                <w:color w:val="000000" w:themeColor="text1"/>
                <w:sz w:val="22"/>
                <w:lang w:val="en-IN" w:eastAsia="en-IN"/>
              </w:rPr>
              <w:t>2023</w:t>
            </w:r>
          </w:p>
        </w:tc>
        <w:tc>
          <w:tcPr>
            <w:cnfStyle w:val="000000100000"/>
            <w:tcW w:w="1220" w:type="dxa"/>
          </w:tcPr>
          <w:p w14:paraId="000000D1">
            <w:pPr>
              <w:spacing w:before="0" w:beforeAutospacing="0" w:after="0" w:afterAutospacing="0" w:line="240" w:lineRule="auto"/>
              <w:jc w:val="center"/>
              <w:rPr>
                <w:rFonts w:ascii="Calibri" w:cs="Calibri" w:eastAsia="Times New Roman" w:hAnsi="Calibri"/>
                <w:b/>
                <w:bCs/>
                <w:color w:val="000000" w:themeColor="text1"/>
                <w:sz w:val="22"/>
                <w:lang w:val="en-IN" w:eastAsia="en-IN"/>
              </w:rPr>
            </w:pPr>
            <w:r>
              <w:rPr>
                <w:rFonts w:ascii="Calibri" w:cs="Calibri" w:eastAsia="Times New Roman" w:hAnsi="Calibri"/>
                <w:b/>
                <w:bCs/>
                <w:color w:val="000000" w:themeColor="text1"/>
                <w:sz w:val="22"/>
                <w:lang w:val="en-IN" w:eastAsia="en-IN"/>
              </w:rPr>
              <w:t>2024</w:t>
            </w:r>
          </w:p>
        </w:tc>
        <w:tc>
          <w:tcPr>
            <w:cnfStyle w:val="000000100000"/>
            <w:tcW w:w="1220" w:type="dxa"/>
          </w:tcPr>
          <w:p w14:paraId="000000D2">
            <w:pPr>
              <w:spacing w:before="0" w:beforeAutospacing="0" w:after="0" w:afterAutospacing="0" w:line="240" w:lineRule="auto"/>
              <w:jc w:val="center"/>
              <w:rPr>
                <w:rFonts w:ascii="Calibri" w:cs="Calibri" w:eastAsia="Times New Roman" w:hAnsi="Calibri"/>
                <w:b/>
                <w:bCs/>
                <w:color w:val="000000" w:themeColor="text1"/>
                <w:sz w:val="22"/>
                <w:lang w:val="en-IN" w:eastAsia="en-IN"/>
              </w:rPr>
            </w:pPr>
            <w:r>
              <w:rPr>
                <w:rFonts w:ascii="Calibri" w:cs="Calibri" w:eastAsia="Times New Roman" w:hAnsi="Calibri"/>
                <w:b/>
                <w:bCs/>
                <w:color w:val="000000" w:themeColor="text1"/>
                <w:sz w:val="22"/>
                <w:lang w:val="en-IN" w:eastAsia="en-IN"/>
              </w:rPr>
              <w:t>2025</w:t>
            </w:r>
          </w:p>
        </w:tc>
      </w:tr>
      <w:tr>
        <w:trPr>
          <w:trHeight w:val="288"/>
        </w:trPr>
        <w:tc>
          <w:tcPr>
            <w:cnfStyle w:val="001000010000"/>
            <w:tcW w:w="3000" w:type="dxa"/>
          </w:tcPr>
          <w:p w14:paraId="000000D3">
            <w:pPr>
              <w:spacing w:before="0" w:beforeAutospacing="0" w:after="0" w:afterAutospacing="0" w:line="240" w:lineRule="auto"/>
              <w:jc w:val="lef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Revenue (Sales)</w:t>
            </w:r>
          </w:p>
        </w:tc>
        <w:tc>
          <w:tcPr>
            <w:cnfStyle w:val="000000010000"/>
            <w:tcW w:w="1220" w:type="dxa"/>
          </w:tcPr>
          <w:p w14:paraId="000000D4">
            <w:pPr>
              <w:spacing w:before="0" w:beforeAutospacing="0" w:after="0" w:afterAutospacing="0" w:line="240" w:lineRule="auto"/>
              <w:jc w:val="righ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117,610,626</w:t>
            </w:r>
          </w:p>
        </w:tc>
        <w:tc>
          <w:tcPr>
            <w:cnfStyle w:val="000000010000"/>
            <w:tcW w:w="1220" w:type="dxa"/>
          </w:tcPr>
          <w:p w14:paraId="000000D5">
            <w:pPr>
              <w:spacing w:before="0" w:beforeAutospacing="0" w:after="0" w:afterAutospacing="0" w:line="240" w:lineRule="auto"/>
              <w:jc w:val="righ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142,527,535</w:t>
            </w:r>
          </w:p>
        </w:tc>
        <w:tc>
          <w:tcPr>
            <w:cnfStyle w:val="000000010000"/>
            <w:tcW w:w="1220" w:type="dxa"/>
          </w:tcPr>
          <w:p w14:paraId="000000D6">
            <w:pPr>
              <w:spacing w:before="0" w:beforeAutospacing="0" w:after="0" w:afterAutospacing="0" w:line="240" w:lineRule="auto"/>
              <w:jc w:val="righ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162,663,579</w:t>
            </w:r>
          </w:p>
        </w:tc>
        <w:tc>
          <w:tcPr>
            <w:cnfStyle w:val="000000010000"/>
            <w:tcW w:w="1220" w:type="dxa"/>
          </w:tcPr>
          <w:p w14:paraId="000000D7">
            <w:pPr>
              <w:spacing w:before="0" w:beforeAutospacing="0" w:after="0" w:afterAutospacing="0" w:line="240" w:lineRule="auto"/>
              <w:jc w:val="righ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175,231,153</w:t>
            </w:r>
          </w:p>
        </w:tc>
        <w:tc>
          <w:tcPr>
            <w:cnfStyle w:val="000000010000"/>
            <w:tcW w:w="1220" w:type="dxa"/>
          </w:tcPr>
          <w:p w14:paraId="000000D8">
            <w:pPr>
              <w:spacing w:before="0" w:beforeAutospacing="0" w:after="0" w:afterAutospacing="0" w:line="240" w:lineRule="auto"/>
              <w:jc w:val="righ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186,254,472</w:t>
            </w:r>
          </w:p>
        </w:tc>
      </w:tr>
      <w:tr>
        <w:trPr>
          <w:cnfStyle w:val="000000100000"/>
          <w:trHeight w:val="288"/>
        </w:trPr>
        <w:tc>
          <w:tcPr>
            <w:cnfStyle w:val="001000100000"/>
            <w:tcW w:w="3000" w:type="dxa"/>
          </w:tcPr>
          <w:p w14:paraId="000000D9">
            <w:pPr>
              <w:spacing w:before="0" w:beforeAutospacing="0" w:after="0" w:afterAutospacing="0" w:line="240" w:lineRule="auto"/>
              <w:jc w:val="lef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Cost of Sales</w:t>
            </w:r>
          </w:p>
        </w:tc>
        <w:tc>
          <w:tcPr>
            <w:cnfStyle w:val="000000100000"/>
            <w:tcW w:w="1220" w:type="dxa"/>
          </w:tcPr>
          <w:p w14:paraId="000000DA">
            <w:pPr>
              <w:spacing w:before="0" w:beforeAutospacing="0" w:after="0" w:afterAutospacing="0" w:line="240" w:lineRule="auto"/>
              <w:jc w:val="righ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95,680,131</w:t>
            </w:r>
          </w:p>
        </w:tc>
        <w:tc>
          <w:tcPr>
            <w:cnfStyle w:val="000000100000"/>
            <w:tcW w:w="1220" w:type="dxa"/>
          </w:tcPr>
          <w:p w14:paraId="000000DB">
            <w:pPr>
              <w:spacing w:before="0" w:beforeAutospacing="0" w:after="0" w:afterAutospacing="0" w:line="240" w:lineRule="auto"/>
              <w:jc w:val="righ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114,209,483</w:t>
            </w:r>
          </w:p>
        </w:tc>
        <w:tc>
          <w:tcPr>
            <w:cnfStyle w:val="000000100000"/>
            <w:tcW w:w="1220" w:type="dxa"/>
          </w:tcPr>
          <w:p w14:paraId="000000DC">
            <w:pPr>
              <w:spacing w:before="0" w:beforeAutospacing="0" w:after="0" w:afterAutospacing="0" w:line="240" w:lineRule="auto"/>
              <w:jc w:val="righ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129,179,183</w:t>
            </w:r>
          </w:p>
        </w:tc>
        <w:tc>
          <w:tcPr>
            <w:cnfStyle w:val="000000100000"/>
            <w:tcW w:w="1220" w:type="dxa"/>
          </w:tcPr>
          <w:p w14:paraId="000000DD">
            <w:pPr>
              <w:spacing w:before="0" w:beforeAutospacing="0" w:after="0" w:afterAutospacing="0" w:line="240" w:lineRule="auto"/>
              <w:jc w:val="righ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139,481,946</w:t>
            </w:r>
          </w:p>
        </w:tc>
        <w:tc>
          <w:tcPr>
            <w:cnfStyle w:val="000000100000"/>
            <w:tcW w:w="1220" w:type="dxa"/>
          </w:tcPr>
          <w:p w14:paraId="000000DE">
            <w:pPr>
              <w:spacing w:before="0" w:beforeAutospacing="0" w:after="0" w:afterAutospacing="0" w:line="240" w:lineRule="auto"/>
              <w:jc w:val="righ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152,037,636</w:t>
            </w:r>
          </w:p>
        </w:tc>
      </w:tr>
      <w:tr>
        <w:trPr>
          <w:trHeight w:val="288"/>
        </w:trPr>
        <w:tc>
          <w:tcPr>
            <w:cnfStyle w:val="001000010000"/>
            <w:tcW w:w="3000" w:type="dxa"/>
          </w:tcPr>
          <w:p w14:paraId="000000DF">
            <w:pPr>
              <w:spacing w:before="0" w:beforeAutospacing="0" w:after="0" w:afterAutospacing="0" w:line="240" w:lineRule="auto"/>
              <w:jc w:val="lef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Gross Profit</w:t>
            </w:r>
          </w:p>
        </w:tc>
        <w:tc>
          <w:tcPr>
            <w:cnfStyle w:val="000000010000"/>
            <w:tcW w:w="1220" w:type="dxa"/>
          </w:tcPr>
          <w:p w14:paraId="000000E0">
            <w:pPr>
              <w:spacing w:before="0" w:beforeAutospacing="0" w:after="0" w:afterAutospacing="0" w:line="240" w:lineRule="auto"/>
              <w:jc w:val="righ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21,930,495</w:t>
            </w:r>
          </w:p>
        </w:tc>
        <w:tc>
          <w:tcPr>
            <w:cnfStyle w:val="000000010000"/>
            <w:tcW w:w="1220" w:type="dxa"/>
          </w:tcPr>
          <w:p w14:paraId="000000E1">
            <w:pPr>
              <w:spacing w:before="0" w:beforeAutospacing="0" w:after="0" w:afterAutospacing="0" w:line="240" w:lineRule="auto"/>
              <w:jc w:val="righ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28,318,052</w:t>
            </w:r>
          </w:p>
        </w:tc>
        <w:tc>
          <w:tcPr>
            <w:cnfStyle w:val="000000010000"/>
            <w:tcW w:w="1220" w:type="dxa"/>
          </w:tcPr>
          <w:p w14:paraId="000000E2">
            <w:pPr>
              <w:spacing w:before="0" w:beforeAutospacing="0" w:after="0" w:afterAutospacing="0" w:line="240" w:lineRule="auto"/>
              <w:jc w:val="righ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33,484,396</w:t>
            </w:r>
          </w:p>
        </w:tc>
        <w:tc>
          <w:tcPr>
            <w:cnfStyle w:val="000000010000"/>
            <w:tcW w:w="1220" w:type="dxa"/>
          </w:tcPr>
          <w:p w14:paraId="000000E3">
            <w:pPr>
              <w:spacing w:before="0" w:beforeAutospacing="0" w:after="0" w:afterAutospacing="0" w:line="240" w:lineRule="auto"/>
              <w:jc w:val="righ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35,749,207</w:t>
            </w:r>
          </w:p>
        </w:tc>
        <w:tc>
          <w:tcPr>
            <w:cnfStyle w:val="000000010000"/>
            <w:tcW w:w="1220" w:type="dxa"/>
          </w:tcPr>
          <w:p w14:paraId="000000E4">
            <w:pPr>
              <w:spacing w:before="0" w:beforeAutospacing="0" w:after="0" w:afterAutospacing="0" w:line="240" w:lineRule="auto"/>
              <w:jc w:val="righ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34,216,836</w:t>
            </w:r>
          </w:p>
        </w:tc>
      </w:tr>
      <w:tr>
        <w:trPr>
          <w:cnfStyle w:val="000000100000"/>
          <w:trHeight w:val="288"/>
        </w:trPr>
        <w:tc>
          <w:tcPr>
            <w:cnfStyle w:val="001000100000"/>
            <w:tcW w:w="3000" w:type="dxa"/>
          </w:tcPr>
          <w:p w14:paraId="000000E5">
            <w:pPr>
              <w:spacing w:before="0" w:beforeAutospacing="0" w:after="0" w:afterAutospacing="0" w:line="240" w:lineRule="auto"/>
              <w:jc w:val="lef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Selling &amp; Admin Exp</w:t>
            </w:r>
          </w:p>
        </w:tc>
        <w:tc>
          <w:tcPr>
            <w:cnfStyle w:val="000000100000"/>
            <w:tcW w:w="1220" w:type="dxa"/>
          </w:tcPr>
          <w:p w14:paraId="000000E6">
            <w:pPr>
              <w:spacing w:before="0" w:beforeAutospacing="0" w:after="0" w:afterAutospacing="0" w:line="240" w:lineRule="auto"/>
              <w:jc w:val="righ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15,251,546</w:t>
            </w:r>
          </w:p>
        </w:tc>
        <w:tc>
          <w:tcPr>
            <w:cnfStyle w:val="000000100000"/>
            <w:tcW w:w="1220" w:type="dxa"/>
          </w:tcPr>
          <w:p w14:paraId="000000E7">
            <w:pPr>
              <w:spacing w:before="0" w:beforeAutospacing="0" w:after="0" w:afterAutospacing="0" w:line="240" w:lineRule="auto"/>
              <w:jc w:val="righ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18,498,283</w:t>
            </w:r>
          </w:p>
        </w:tc>
        <w:tc>
          <w:tcPr>
            <w:cnfStyle w:val="000000100000"/>
            <w:tcW w:w="1220" w:type="dxa"/>
          </w:tcPr>
          <w:p w14:paraId="000000E8">
            <w:pPr>
              <w:spacing w:before="0" w:beforeAutospacing="0" w:after="0" w:afterAutospacing="0" w:line="240" w:lineRule="auto"/>
              <w:jc w:val="righ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18,357,495</w:t>
            </w:r>
          </w:p>
        </w:tc>
        <w:tc>
          <w:tcPr>
            <w:cnfStyle w:val="000000100000"/>
            <w:tcW w:w="1220" w:type="dxa"/>
          </w:tcPr>
          <w:p w14:paraId="000000E9">
            <w:pPr>
              <w:spacing w:before="0" w:beforeAutospacing="0" w:after="0" w:afterAutospacing="0" w:line="240" w:lineRule="auto"/>
              <w:jc w:val="righ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21,509,615</w:t>
            </w:r>
          </w:p>
        </w:tc>
        <w:tc>
          <w:tcPr>
            <w:cnfStyle w:val="000000100000"/>
            <w:tcW w:w="1220" w:type="dxa"/>
          </w:tcPr>
          <w:p w14:paraId="000000EA">
            <w:pPr>
              <w:spacing w:before="0" w:beforeAutospacing="0" w:after="0" w:afterAutospacing="0" w:line="240" w:lineRule="auto"/>
              <w:jc w:val="righ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22,748,985</w:t>
            </w:r>
          </w:p>
        </w:tc>
      </w:tr>
      <w:tr>
        <w:trPr>
          <w:trHeight w:val="288"/>
        </w:trPr>
        <w:tc>
          <w:tcPr>
            <w:cnfStyle w:val="001000010000"/>
            <w:tcW w:w="3000" w:type="dxa"/>
          </w:tcPr>
          <w:p w14:paraId="000000EB">
            <w:pPr>
              <w:spacing w:before="0" w:beforeAutospacing="0" w:after="0" w:afterAutospacing="0" w:line="240" w:lineRule="auto"/>
              <w:jc w:val="lef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Operating Profit</w:t>
            </w:r>
          </w:p>
        </w:tc>
        <w:tc>
          <w:tcPr>
            <w:cnfStyle w:val="000000010000"/>
            <w:tcW w:w="1220" w:type="dxa"/>
          </w:tcPr>
          <w:p w14:paraId="000000EC">
            <w:pPr>
              <w:spacing w:before="0" w:beforeAutospacing="0" w:after="0" w:afterAutospacing="0" w:line="240" w:lineRule="auto"/>
              <w:jc w:val="righ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6,678,949</w:t>
            </w:r>
          </w:p>
        </w:tc>
        <w:tc>
          <w:tcPr>
            <w:cnfStyle w:val="000000010000"/>
            <w:tcW w:w="1220" w:type="dxa"/>
          </w:tcPr>
          <w:p w14:paraId="000000ED">
            <w:pPr>
              <w:spacing w:before="0" w:beforeAutospacing="0" w:after="0" w:afterAutospacing="0" w:line="240" w:lineRule="auto"/>
              <w:jc w:val="righ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9,819,769</w:t>
            </w:r>
          </w:p>
        </w:tc>
        <w:tc>
          <w:tcPr>
            <w:cnfStyle w:val="000000010000"/>
            <w:tcW w:w="1220" w:type="dxa"/>
          </w:tcPr>
          <w:p w14:paraId="000000EE">
            <w:pPr>
              <w:spacing w:before="0" w:beforeAutospacing="0" w:after="0" w:afterAutospacing="0" w:line="240" w:lineRule="auto"/>
              <w:jc w:val="righ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15,126,901</w:t>
            </w:r>
          </w:p>
        </w:tc>
        <w:tc>
          <w:tcPr>
            <w:cnfStyle w:val="000000010000"/>
            <w:tcW w:w="1220" w:type="dxa"/>
          </w:tcPr>
          <w:p w14:paraId="000000EF">
            <w:pPr>
              <w:spacing w:before="0" w:beforeAutospacing="0" w:after="0" w:afterAutospacing="0" w:line="240" w:lineRule="auto"/>
              <w:jc w:val="righ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14,239,592</w:t>
            </w:r>
          </w:p>
        </w:tc>
        <w:tc>
          <w:tcPr>
            <w:cnfStyle w:val="000000010000"/>
            <w:tcW w:w="1220" w:type="dxa"/>
          </w:tcPr>
          <w:p w14:paraId="000000F0">
            <w:pPr>
              <w:spacing w:before="0" w:beforeAutospacing="0" w:after="0" w:afterAutospacing="0" w:line="240" w:lineRule="auto"/>
              <w:jc w:val="righ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11,467,851</w:t>
            </w:r>
          </w:p>
        </w:tc>
      </w:tr>
      <w:tr>
        <w:trPr>
          <w:cnfStyle w:val="000000100000"/>
          <w:trHeight w:val="288"/>
        </w:trPr>
        <w:tc>
          <w:tcPr>
            <w:cnfStyle w:val="001000100000"/>
            <w:tcW w:w="3000" w:type="dxa"/>
          </w:tcPr>
          <w:p w14:paraId="000000F1">
            <w:pPr>
              <w:spacing w:before="0" w:beforeAutospacing="0" w:after="0" w:afterAutospacing="0" w:line="240" w:lineRule="auto"/>
              <w:jc w:val="lef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Finance Income</w:t>
            </w:r>
          </w:p>
        </w:tc>
        <w:tc>
          <w:tcPr>
            <w:cnfStyle w:val="000000100000"/>
            <w:tcW w:w="1220" w:type="dxa"/>
          </w:tcPr>
          <w:p w14:paraId="000000F2">
            <w:pPr>
              <w:spacing w:before="0" w:beforeAutospacing="0" w:after="0" w:afterAutospacing="0" w:line="240" w:lineRule="auto"/>
              <w:jc w:val="righ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912,802</w:t>
            </w:r>
          </w:p>
        </w:tc>
        <w:tc>
          <w:tcPr>
            <w:cnfStyle w:val="000000100000"/>
            <w:tcW w:w="1220" w:type="dxa"/>
          </w:tcPr>
          <w:p w14:paraId="000000F3">
            <w:pPr>
              <w:spacing w:before="0" w:beforeAutospacing="0" w:after="0" w:afterAutospacing="0" w:line="240" w:lineRule="auto"/>
              <w:jc w:val="righ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1,218,813</w:t>
            </w:r>
          </w:p>
        </w:tc>
        <w:tc>
          <w:tcPr>
            <w:cnfStyle w:val="000000100000"/>
            <w:tcW w:w="1220" w:type="dxa"/>
          </w:tcPr>
          <w:p w14:paraId="000000F4">
            <w:pPr>
              <w:spacing w:before="0" w:beforeAutospacing="0" w:after="0" w:afterAutospacing="0" w:line="240" w:lineRule="auto"/>
              <w:jc w:val="righ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1,559,538</w:t>
            </w:r>
          </w:p>
        </w:tc>
        <w:tc>
          <w:tcPr>
            <w:cnfStyle w:val="000000100000"/>
            <w:tcW w:w="1220" w:type="dxa"/>
          </w:tcPr>
          <w:p w14:paraId="000000F5">
            <w:pPr>
              <w:spacing w:before="0" w:beforeAutospacing="0" w:after="0" w:afterAutospacing="0" w:line="240" w:lineRule="auto"/>
              <w:jc w:val="righ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1,531,248</w:t>
            </w:r>
          </w:p>
        </w:tc>
        <w:tc>
          <w:tcPr>
            <w:cnfStyle w:val="000000100000"/>
            <w:tcW w:w="1220" w:type="dxa"/>
          </w:tcPr>
          <w:p w14:paraId="000000F6">
            <w:pPr>
              <w:spacing w:before="0" w:beforeAutospacing="0" w:after="0" w:afterAutospacing="0" w:line="240" w:lineRule="auto"/>
              <w:jc w:val="righ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1,299,305</w:t>
            </w:r>
          </w:p>
        </w:tc>
      </w:tr>
      <w:tr>
        <w:trPr>
          <w:trHeight w:val="288"/>
        </w:trPr>
        <w:tc>
          <w:tcPr>
            <w:cnfStyle w:val="001000010000"/>
            <w:tcW w:w="3000" w:type="dxa"/>
          </w:tcPr>
          <w:p w14:paraId="000000F7">
            <w:pPr>
              <w:spacing w:before="0" w:beforeAutospacing="0" w:after="0" w:afterAutospacing="0" w:line="240" w:lineRule="auto"/>
              <w:jc w:val="lef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Finance Expenses</w:t>
            </w:r>
          </w:p>
        </w:tc>
        <w:tc>
          <w:tcPr>
            <w:cnfStyle w:val="000000010000"/>
            <w:tcW w:w="1220" w:type="dxa"/>
          </w:tcPr>
          <w:p w14:paraId="000000F8">
            <w:pPr>
              <w:spacing w:before="0" w:beforeAutospacing="0" w:after="0" w:afterAutospacing="0" w:line="240" w:lineRule="auto"/>
              <w:jc w:val="righ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548,410</w:t>
            </w:r>
          </w:p>
        </w:tc>
        <w:tc>
          <w:tcPr>
            <w:cnfStyle w:val="000000010000"/>
            <w:tcW w:w="1220" w:type="dxa"/>
          </w:tcPr>
          <w:p w14:paraId="000000F9">
            <w:pPr>
              <w:spacing w:before="0" w:beforeAutospacing="0" w:after="0" w:afterAutospacing="0" w:line="240" w:lineRule="auto"/>
              <w:jc w:val="righ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1,054,228</w:t>
            </w:r>
          </w:p>
        </w:tc>
        <w:tc>
          <w:tcPr>
            <w:cnfStyle w:val="000000010000"/>
            <w:tcW w:w="1220" w:type="dxa"/>
          </w:tcPr>
          <w:p w14:paraId="000000FA">
            <w:pPr>
              <w:spacing w:before="0" w:beforeAutospacing="0" w:after="0" w:afterAutospacing="0" w:line="240" w:lineRule="auto"/>
              <w:jc w:val="righ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970,700</w:t>
            </w:r>
          </w:p>
        </w:tc>
        <w:tc>
          <w:tcPr>
            <w:cnfStyle w:val="000000010000"/>
            <w:tcW w:w="1220" w:type="dxa"/>
          </w:tcPr>
          <w:p w14:paraId="000000FB">
            <w:pPr>
              <w:spacing w:before="0" w:beforeAutospacing="0" w:after="0" w:afterAutospacing="0" w:line="240" w:lineRule="auto"/>
              <w:jc w:val="righ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898,551</w:t>
            </w:r>
          </w:p>
        </w:tc>
        <w:tc>
          <w:tcPr>
            <w:cnfStyle w:val="000000010000"/>
            <w:tcW w:w="1220" w:type="dxa"/>
          </w:tcPr>
          <w:p w14:paraId="000000FC">
            <w:pPr>
              <w:spacing w:before="0" w:beforeAutospacing="0" w:after="0" w:afterAutospacing="0" w:line="240" w:lineRule="auto"/>
              <w:jc w:val="righ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1,009,986</w:t>
            </w:r>
          </w:p>
        </w:tc>
      </w:tr>
      <w:tr>
        <w:trPr>
          <w:cnfStyle w:val="000000100000"/>
          <w:trHeight w:val="288"/>
        </w:trPr>
        <w:tc>
          <w:tcPr>
            <w:cnfStyle w:val="001000100000"/>
            <w:tcW w:w="3000" w:type="dxa"/>
          </w:tcPr>
          <w:p w14:paraId="000000FD">
            <w:pPr>
              <w:spacing w:before="0" w:beforeAutospacing="0" w:after="0" w:afterAutospacing="0" w:line="240" w:lineRule="auto"/>
              <w:jc w:val="lef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Other Income</w:t>
            </w:r>
          </w:p>
        </w:tc>
        <w:tc>
          <w:tcPr>
            <w:cnfStyle w:val="000000100000"/>
            <w:tcW w:w="1220" w:type="dxa"/>
          </w:tcPr>
          <w:p w14:paraId="000000FE">
            <w:pPr>
              <w:spacing w:before="0" w:beforeAutospacing="0" w:after="0" w:afterAutospacing="0" w:line="240" w:lineRule="auto"/>
              <w:jc w:val="righ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1,447,261</w:t>
            </w:r>
          </w:p>
        </w:tc>
        <w:tc>
          <w:tcPr>
            <w:cnfStyle w:val="000000100000"/>
            <w:tcW w:w="1220" w:type="dxa"/>
          </w:tcPr>
          <w:p w14:paraId="000000FF">
            <w:pPr>
              <w:spacing w:before="0" w:beforeAutospacing="0" w:after="0" w:afterAutospacing="0" w:line="240" w:lineRule="auto"/>
              <w:jc w:val="righ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2,257,113</w:t>
            </w:r>
          </w:p>
        </w:tc>
        <w:tc>
          <w:tcPr>
            <w:cnfStyle w:val="000000100000"/>
            <w:tcW w:w="1220" w:type="dxa"/>
          </w:tcPr>
          <w:p w14:paraId="00000100">
            <w:pPr>
              <w:spacing w:before="0" w:beforeAutospacing="0" w:after="0" w:afterAutospacing="0" w:line="240" w:lineRule="auto"/>
              <w:jc w:val="righ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1,782,333</w:t>
            </w:r>
          </w:p>
        </w:tc>
        <w:tc>
          <w:tcPr>
            <w:cnfStyle w:val="000000100000"/>
            <w:tcW w:w="1220" w:type="dxa"/>
          </w:tcPr>
          <w:p w14:paraId="00000101">
            <w:pPr>
              <w:spacing w:before="0" w:beforeAutospacing="0" w:after="0" w:afterAutospacing="0" w:line="240" w:lineRule="auto"/>
              <w:jc w:val="righ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2,067,530</w:t>
            </w:r>
          </w:p>
        </w:tc>
        <w:tc>
          <w:tcPr>
            <w:cnfStyle w:val="000000100000"/>
            <w:tcW w:w="1220" w:type="dxa"/>
          </w:tcPr>
          <w:p w14:paraId="00000102">
            <w:pPr>
              <w:spacing w:before="0" w:beforeAutospacing="0" w:after="0" w:afterAutospacing="0" w:line="240" w:lineRule="auto"/>
              <w:jc w:val="righ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2,160,730</w:t>
            </w:r>
          </w:p>
        </w:tc>
      </w:tr>
      <w:tr>
        <w:trPr>
          <w:trHeight w:val="288"/>
        </w:trPr>
        <w:tc>
          <w:tcPr>
            <w:cnfStyle w:val="001000010000"/>
            <w:tcW w:w="3000" w:type="dxa"/>
          </w:tcPr>
          <w:p w14:paraId="00000103">
            <w:pPr>
              <w:spacing w:before="0" w:beforeAutospacing="0" w:after="0" w:afterAutospacing="0" w:line="240" w:lineRule="auto"/>
              <w:jc w:val="lef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Other Expenses</w:t>
            </w:r>
          </w:p>
        </w:tc>
        <w:tc>
          <w:tcPr>
            <w:cnfStyle w:val="000000010000"/>
            <w:tcW w:w="1220" w:type="dxa"/>
          </w:tcPr>
          <w:p w14:paraId="00000104">
            <w:pPr>
              <w:spacing w:before="0" w:beforeAutospacing="0" w:after="0" w:afterAutospacing="0" w:line="240" w:lineRule="auto"/>
              <w:jc w:val="righ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1,834,405</w:t>
            </w:r>
          </w:p>
        </w:tc>
        <w:tc>
          <w:tcPr>
            <w:cnfStyle w:val="000000010000"/>
            <w:tcW w:w="1220" w:type="dxa"/>
          </w:tcPr>
          <w:p w14:paraId="00000105">
            <w:pPr>
              <w:spacing w:before="0" w:beforeAutospacing="0" w:after="0" w:afterAutospacing="0" w:line="240" w:lineRule="auto"/>
              <w:jc w:val="righ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2,850,107</w:t>
            </w:r>
          </w:p>
        </w:tc>
        <w:tc>
          <w:tcPr>
            <w:cnfStyle w:val="000000010000"/>
            <w:tcW w:w="1220" w:type="dxa"/>
          </w:tcPr>
          <w:p w14:paraId="00000106">
            <w:pPr>
              <w:spacing w:before="0" w:beforeAutospacing="0" w:after="0" w:afterAutospacing="0" w:line="240" w:lineRule="auto"/>
              <w:jc w:val="righ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2,350,343</w:t>
            </w:r>
          </w:p>
        </w:tc>
        <w:tc>
          <w:tcPr>
            <w:cnfStyle w:val="000000010000"/>
            <w:tcW w:w="1220" w:type="dxa"/>
          </w:tcPr>
          <w:p w14:paraId="00000107">
            <w:pPr>
              <w:spacing w:before="0" w:beforeAutospacing="0" w:after="0" w:afterAutospacing="0" w:line="240" w:lineRule="auto"/>
              <w:jc w:val="righ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2,272,415</w:t>
            </w:r>
          </w:p>
        </w:tc>
        <w:tc>
          <w:tcPr>
            <w:cnfStyle w:val="000000010000"/>
            <w:tcW w:w="1220" w:type="dxa"/>
          </w:tcPr>
          <w:p w14:paraId="00000108">
            <w:pPr>
              <w:spacing w:before="0" w:beforeAutospacing="0" w:after="0" w:afterAutospacing="0" w:line="240" w:lineRule="auto"/>
              <w:jc w:val="righ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2,586,124</w:t>
            </w:r>
          </w:p>
        </w:tc>
      </w:tr>
      <w:tr>
        <w:trPr>
          <w:cnfStyle w:val="000000100000"/>
          <w:trHeight w:val="288"/>
        </w:trPr>
        <w:tc>
          <w:tcPr>
            <w:cnfStyle w:val="001000100000"/>
            <w:tcW w:w="3000" w:type="dxa"/>
          </w:tcPr>
          <w:p w14:paraId="00000109">
            <w:pPr>
              <w:spacing w:before="0" w:beforeAutospacing="0" w:after="0" w:afterAutospacing="0" w:line="240" w:lineRule="auto"/>
              <w:jc w:val="lef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Profit Before Tax</w:t>
            </w:r>
          </w:p>
        </w:tc>
        <w:tc>
          <w:tcPr>
            <w:cnfStyle w:val="000000100000"/>
            <w:tcW w:w="1220" w:type="dxa"/>
          </w:tcPr>
          <w:p w14:paraId="0000010A">
            <w:pPr>
              <w:spacing w:before="0" w:beforeAutospacing="0" w:after="0" w:afterAutospacing="0" w:line="240" w:lineRule="auto"/>
              <w:jc w:val="righ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7,959,562</w:t>
            </w:r>
          </w:p>
        </w:tc>
        <w:tc>
          <w:tcPr>
            <w:cnfStyle w:val="000000100000"/>
            <w:tcW w:w="1220" w:type="dxa"/>
          </w:tcPr>
          <w:p w14:paraId="0000010B">
            <w:pPr>
              <w:spacing w:before="0" w:beforeAutospacing="0" w:after="0" w:afterAutospacing="0" w:line="240" w:lineRule="auto"/>
              <w:jc w:val="righ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10,947,943</w:t>
            </w:r>
          </w:p>
        </w:tc>
        <w:tc>
          <w:tcPr>
            <w:cnfStyle w:val="000000100000"/>
            <w:tcW w:w="1220" w:type="dxa"/>
          </w:tcPr>
          <w:p w14:paraId="0000010C">
            <w:pPr>
              <w:spacing w:before="0" w:beforeAutospacing="0" w:after="0" w:afterAutospacing="0" w:line="240" w:lineRule="auto"/>
              <w:jc w:val="righ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17,618,662</w:t>
            </w:r>
          </w:p>
        </w:tc>
        <w:tc>
          <w:tcPr>
            <w:cnfStyle w:val="000000100000"/>
            <w:tcW w:w="1220" w:type="dxa"/>
          </w:tcPr>
          <w:p w14:paraId="0000010D">
            <w:pPr>
              <w:spacing w:before="0" w:beforeAutospacing="0" w:after="0" w:afterAutospacing="0" w:line="240" w:lineRule="auto"/>
              <w:jc w:val="righ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17,781,436</w:t>
            </w:r>
          </w:p>
        </w:tc>
        <w:tc>
          <w:tcPr>
            <w:cnfStyle w:val="000000100000"/>
            <w:tcW w:w="1220" w:type="dxa"/>
          </w:tcPr>
          <w:p w14:paraId="0000010E">
            <w:pPr>
              <w:spacing w:before="0" w:beforeAutospacing="0" w:after="0" w:afterAutospacing="0" w:line="240" w:lineRule="auto"/>
              <w:jc w:val="righ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13,841,903</w:t>
            </w:r>
          </w:p>
        </w:tc>
      </w:tr>
      <w:tr>
        <w:trPr>
          <w:trHeight w:val="288"/>
        </w:trPr>
        <w:tc>
          <w:tcPr>
            <w:cnfStyle w:val="001000010000"/>
            <w:tcW w:w="3000" w:type="dxa"/>
          </w:tcPr>
          <w:p w14:paraId="0000010F">
            <w:pPr>
              <w:spacing w:before="0" w:beforeAutospacing="0" w:after="0" w:afterAutospacing="0" w:line="240" w:lineRule="auto"/>
              <w:jc w:val="lef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Income Tax</w:t>
            </w:r>
          </w:p>
        </w:tc>
        <w:tc>
          <w:tcPr>
            <w:cnfStyle w:val="000000010000"/>
            <w:tcW w:w="1220" w:type="dxa"/>
          </w:tcPr>
          <w:p w14:paraId="00000110">
            <w:pPr>
              <w:spacing w:before="0" w:beforeAutospacing="0" w:after="0" w:afterAutospacing="0" w:line="240" w:lineRule="auto"/>
              <w:jc w:val="righ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2,266,485</w:t>
            </w:r>
          </w:p>
        </w:tc>
        <w:tc>
          <w:tcPr>
            <w:cnfStyle w:val="000000010000"/>
            <w:tcW w:w="1220" w:type="dxa"/>
          </w:tcPr>
          <w:p w14:paraId="00000111">
            <w:pPr>
              <w:spacing w:before="0" w:beforeAutospacing="0" w:after="0" w:afterAutospacing="0" w:line="240" w:lineRule="auto"/>
              <w:jc w:val="righ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2,964,329</w:t>
            </w:r>
          </w:p>
        </w:tc>
        <w:tc>
          <w:tcPr>
            <w:cnfStyle w:val="000000010000"/>
            <w:tcW w:w="1220" w:type="dxa"/>
          </w:tcPr>
          <w:p w14:paraId="00000112">
            <w:pPr>
              <w:spacing w:before="0" w:beforeAutospacing="0" w:after="0" w:afterAutospacing="0" w:line="240" w:lineRule="auto"/>
              <w:jc w:val="righ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4,626,640</w:t>
            </w:r>
          </w:p>
        </w:tc>
        <w:tc>
          <w:tcPr>
            <w:cnfStyle w:val="000000010000"/>
            <w:tcW w:w="1220" w:type="dxa"/>
          </w:tcPr>
          <w:p w14:paraId="00000113">
            <w:pPr>
              <w:spacing w:before="0" w:beforeAutospacing="0" w:after="0" w:afterAutospacing="0" w:line="240" w:lineRule="auto"/>
              <w:jc w:val="righ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4,232,418</w:t>
            </w:r>
          </w:p>
        </w:tc>
        <w:tc>
          <w:tcPr>
            <w:cnfStyle w:val="000000010000"/>
            <w:tcW w:w="1220" w:type="dxa"/>
          </w:tcPr>
          <w:p w14:paraId="00000114">
            <w:pPr>
              <w:spacing w:before="0" w:beforeAutospacing="0" w:after="0" w:afterAutospacing="0" w:line="240" w:lineRule="auto"/>
              <w:jc w:val="righ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3,477,128</w:t>
            </w:r>
          </w:p>
        </w:tc>
      </w:tr>
      <w:tr>
        <w:trPr>
          <w:cnfStyle w:val="000000100000"/>
          <w:trHeight w:val="288"/>
        </w:trPr>
        <w:tc>
          <w:tcPr>
            <w:cnfStyle w:val="001000100000"/>
            <w:tcW w:w="3000" w:type="dxa"/>
          </w:tcPr>
          <w:p w14:paraId="00000115">
            <w:pPr>
              <w:spacing w:before="0" w:beforeAutospacing="0" w:after="0" w:afterAutospacing="0" w:line="240" w:lineRule="auto"/>
              <w:jc w:val="lef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Net Profit</w:t>
            </w:r>
          </w:p>
        </w:tc>
        <w:tc>
          <w:tcPr>
            <w:cnfStyle w:val="000000100000"/>
            <w:tcW w:w="1220" w:type="dxa"/>
          </w:tcPr>
          <w:p w14:paraId="00000116">
            <w:pPr>
              <w:spacing w:before="0" w:beforeAutospacing="0" w:after="0" w:afterAutospacing="0" w:line="240" w:lineRule="auto"/>
              <w:jc w:val="righ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5,693,077</w:t>
            </w:r>
          </w:p>
        </w:tc>
        <w:tc>
          <w:tcPr>
            <w:cnfStyle w:val="000000100000"/>
            <w:tcW w:w="1220" w:type="dxa"/>
          </w:tcPr>
          <w:p w14:paraId="00000117">
            <w:pPr>
              <w:spacing w:before="0" w:beforeAutospacing="0" w:after="0" w:afterAutospacing="0" w:line="240" w:lineRule="auto"/>
              <w:jc w:val="righ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7,983,614</w:t>
            </w:r>
          </w:p>
        </w:tc>
        <w:tc>
          <w:tcPr>
            <w:cnfStyle w:val="000000100000"/>
            <w:tcW w:w="1220" w:type="dxa"/>
          </w:tcPr>
          <w:p w14:paraId="00000118">
            <w:pPr>
              <w:spacing w:before="0" w:beforeAutospacing="0" w:after="0" w:afterAutospacing="0" w:line="240" w:lineRule="auto"/>
              <w:jc w:val="righ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12,272,301</w:t>
            </w:r>
          </w:p>
        </w:tc>
        <w:tc>
          <w:tcPr>
            <w:cnfStyle w:val="000000100000"/>
            <w:tcW w:w="1220" w:type="dxa"/>
          </w:tcPr>
          <w:p w14:paraId="00000119">
            <w:pPr>
              <w:spacing w:before="0" w:beforeAutospacing="0" w:after="0" w:afterAutospacing="0" w:line="240" w:lineRule="auto"/>
              <w:jc w:val="righ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13,229,908</w:t>
            </w:r>
          </w:p>
        </w:tc>
        <w:tc>
          <w:tcPr>
            <w:cnfStyle w:val="000000100000"/>
            <w:tcW w:w="1220" w:type="dxa"/>
          </w:tcPr>
          <w:p w14:paraId="0000011A">
            <w:pPr>
              <w:spacing w:before="0" w:beforeAutospacing="0" w:after="0" w:afterAutospacing="0" w:line="240" w:lineRule="auto"/>
              <w:jc w:val="righ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10,364,775</w:t>
            </w:r>
          </w:p>
        </w:tc>
      </w:tr>
    </w:tbl>
    <w:p w14:paraId="0000011B">
      <w:pPr>
        <w:rPr>
          <w:color w:val="000000" w:themeColor="text1"/>
          <w:lang w:val="en-US"/>
        </w:rPr>
      </w:pPr>
    </w:p>
    <w:tbl>
      <w:tblPr>
        <w:tblStyle w:val="ListTable3Accent2"/>
        <w:tblW w:w="9100" w:type="dxa"/>
        <w:tblLook w:val="04A0"/>
      </w:tblPr>
      <w:tblGrid>
        <w:gridCol w:w="3000"/>
        <w:gridCol w:w="1330"/>
        <w:gridCol w:w="1330"/>
        <w:gridCol w:w="1330"/>
        <w:gridCol w:w="1330"/>
        <w:gridCol w:w="1330"/>
      </w:tblGrid>
      <w:tr>
        <w:trPr>
          <w:cnfStyle w:val="100000000000"/>
          <w:trHeight w:val="288"/>
        </w:trPr>
        <w:tc>
          <w:tcPr>
            <w:cnfStyle w:val="101000000000"/>
            <w:tcW w:w="9100" w:type="dxa"/>
            <w:noWrap w:val="on"/>
            <w:gridSpan w:val="6"/>
          </w:tcPr>
          <w:p w14:paraId="0000011C">
            <w:pPr>
              <w:spacing w:before="0" w:beforeAutospacing="0" w:after="0" w:afterAutospacing="0" w:line="240" w:lineRule="auto"/>
              <w:jc w:val="center"/>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BALANCE SHEET (2021–2025) – ₩ million</w:t>
            </w:r>
          </w:p>
        </w:tc>
      </w:tr>
      <w:tr>
        <w:trPr>
          <w:cnfStyle w:val="000000100000"/>
          <w:trHeight w:val="288"/>
        </w:trPr>
        <w:tc>
          <w:tcPr>
            <w:cnfStyle w:val="001000100000"/>
            <w:tcW w:w="3000" w:type="dxa"/>
          </w:tcPr>
          <w:p w14:paraId="0000011D">
            <w:pPr>
              <w:spacing w:before="0" w:beforeAutospacing="0" w:after="0" w:afterAutospacing="0" w:line="240" w:lineRule="auto"/>
              <w:jc w:val="center"/>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Particulars</w:t>
            </w:r>
          </w:p>
        </w:tc>
        <w:tc>
          <w:tcPr>
            <w:cnfStyle w:val="000000100000"/>
            <w:tcW w:w="1220" w:type="dxa"/>
          </w:tcPr>
          <w:p w14:paraId="0000011E">
            <w:pPr>
              <w:spacing w:before="0" w:beforeAutospacing="0" w:after="0" w:afterAutospacing="0" w:line="240" w:lineRule="auto"/>
              <w:jc w:val="center"/>
              <w:rPr>
                <w:rFonts w:ascii="Calibri" w:cs="Calibri" w:eastAsia="Times New Roman" w:hAnsi="Calibri"/>
                <w:b/>
                <w:bCs/>
                <w:color w:val="000000" w:themeColor="text1"/>
                <w:sz w:val="22"/>
                <w:lang w:val="en-IN" w:eastAsia="en-IN"/>
              </w:rPr>
            </w:pPr>
            <w:r>
              <w:rPr>
                <w:rFonts w:ascii="Calibri" w:cs="Calibri" w:eastAsia="Times New Roman" w:hAnsi="Calibri"/>
                <w:b/>
                <w:bCs/>
                <w:color w:val="000000" w:themeColor="text1"/>
                <w:sz w:val="22"/>
                <w:lang w:val="en-IN" w:eastAsia="en-IN"/>
              </w:rPr>
              <w:t>2021</w:t>
            </w:r>
          </w:p>
        </w:tc>
        <w:tc>
          <w:tcPr>
            <w:cnfStyle w:val="000000100000"/>
            <w:tcW w:w="1220" w:type="dxa"/>
          </w:tcPr>
          <w:p w14:paraId="0000011F">
            <w:pPr>
              <w:spacing w:before="0" w:beforeAutospacing="0" w:after="0" w:afterAutospacing="0" w:line="240" w:lineRule="auto"/>
              <w:jc w:val="center"/>
              <w:rPr>
                <w:rFonts w:ascii="Calibri" w:cs="Calibri" w:eastAsia="Times New Roman" w:hAnsi="Calibri"/>
                <w:b/>
                <w:bCs/>
                <w:color w:val="000000" w:themeColor="text1"/>
                <w:sz w:val="22"/>
                <w:lang w:val="en-IN" w:eastAsia="en-IN"/>
              </w:rPr>
            </w:pPr>
            <w:r>
              <w:rPr>
                <w:rFonts w:ascii="Calibri" w:cs="Calibri" w:eastAsia="Times New Roman" w:hAnsi="Calibri"/>
                <w:b/>
                <w:bCs/>
                <w:color w:val="000000" w:themeColor="text1"/>
                <w:sz w:val="22"/>
                <w:lang w:val="en-IN" w:eastAsia="en-IN"/>
              </w:rPr>
              <w:t>2022</w:t>
            </w:r>
          </w:p>
        </w:tc>
        <w:tc>
          <w:tcPr>
            <w:cnfStyle w:val="000000100000"/>
            <w:tcW w:w="1220" w:type="dxa"/>
          </w:tcPr>
          <w:p w14:paraId="00000120">
            <w:pPr>
              <w:spacing w:before="0" w:beforeAutospacing="0" w:after="0" w:afterAutospacing="0" w:line="240" w:lineRule="auto"/>
              <w:jc w:val="center"/>
              <w:rPr>
                <w:rFonts w:ascii="Calibri" w:cs="Calibri" w:eastAsia="Times New Roman" w:hAnsi="Calibri"/>
                <w:b/>
                <w:bCs/>
                <w:color w:val="000000" w:themeColor="text1"/>
                <w:sz w:val="22"/>
                <w:lang w:val="en-IN" w:eastAsia="en-IN"/>
              </w:rPr>
            </w:pPr>
            <w:r>
              <w:rPr>
                <w:rFonts w:ascii="Calibri" w:cs="Calibri" w:eastAsia="Times New Roman" w:hAnsi="Calibri"/>
                <w:b/>
                <w:bCs/>
                <w:color w:val="000000" w:themeColor="text1"/>
                <w:sz w:val="22"/>
                <w:lang w:val="en-IN" w:eastAsia="en-IN"/>
              </w:rPr>
              <w:t>2023</w:t>
            </w:r>
          </w:p>
        </w:tc>
        <w:tc>
          <w:tcPr>
            <w:cnfStyle w:val="000000100000"/>
            <w:tcW w:w="1220" w:type="dxa"/>
          </w:tcPr>
          <w:p w14:paraId="00000121">
            <w:pPr>
              <w:spacing w:before="0" w:beforeAutospacing="0" w:after="0" w:afterAutospacing="0" w:line="240" w:lineRule="auto"/>
              <w:jc w:val="center"/>
              <w:rPr>
                <w:rFonts w:ascii="Calibri" w:cs="Calibri" w:eastAsia="Times New Roman" w:hAnsi="Calibri"/>
                <w:b/>
                <w:bCs/>
                <w:color w:val="000000" w:themeColor="text1"/>
                <w:sz w:val="22"/>
                <w:lang w:val="en-IN" w:eastAsia="en-IN"/>
              </w:rPr>
            </w:pPr>
            <w:r>
              <w:rPr>
                <w:rFonts w:ascii="Calibri" w:cs="Calibri" w:eastAsia="Times New Roman" w:hAnsi="Calibri"/>
                <w:b/>
                <w:bCs/>
                <w:color w:val="000000" w:themeColor="text1"/>
                <w:sz w:val="22"/>
                <w:lang w:val="en-IN" w:eastAsia="en-IN"/>
              </w:rPr>
              <w:t>2024</w:t>
            </w:r>
          </w:p>
        </w:tc>
        <w:tc>
          <w:tcPr>
            <w:cnfStyle w:val="000000100000"/>
            <w:tcW w:w="1220" w:type="dxa"/>
          </w:tcPr>
          <w:p w14:paraId="00000122">
            <w:pPr>
              <w:spacing w:before="0" w:beforeAutospacing="0" w:after="0" w:afterAutospacing="0" w:line="240" w:lineRule="auto"/>
              <w:jc w:val="center"/>
              <w:rPr>
                <w:rFonts w:ascii="Calibri" w:cs="Calibri" w:eastAsia="Times New Roman" w:hAnsi="Calibri"/>
                <w:b/>
                <w:bCs/>
                <w:color w:val="000000" w:themeColor="text1"/>
                <w:sz w:val="22"/>
                <w:lang w:val="en-IN" w:eastAsia="en-IN"/>
              </w:rPr>
            </w:pPr>
            <w:r>
              <w:rPr>
                <w:rFonts w:ascii="Calibri" w:cs="Calibri" w:eastAsia="Times New Roman" w:hAnsi="Calibri"/>
                <w:b/>
                <w:bCs/>
                <w:color w:val="000000" w:themeColor="text1"/>
                <w:sz w:val="22"/>
                <w:lang w:val="en-IN" w:eastAsia="en-IN"/>
              </w:rPr>
              <w:t>2025</w:t>
            </w:r>
          </w:p>
        </w:tc>
      </w:tr>
      <w:tr>
        <w:trPr>
          <w:trHeight w:val="288"/>
        </w:trPr>
        <w:tc>
          <w:tcPr>
            <w:cnfStyle w:val="001000010000"/>
            <w:tcW w:w="3000" w:type="dxa"/>
          </w:tcPr>
          <w:p w14:paraId="00000123">
            <w:pPr>
              <w:spacing w:before="0" w:beforeAutospacing="0" w:after="0" w:afterAutospacing="0" w:line="240" w:lineRule="auto"/>
              <w:jc w:val="lef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Total Assets</w:t>
            </w:r>
          </w:p>
        </w:tc>
        <w:tc>
          <w:tcPr>
            <w:cnfStyle w:val="000000010000"/>
            <w:tcW w:w="1220" w:type="dxa"/>
          </w:tcPr>
          <w:p w14:paraId="00000124">
            <w:pPr>
              <w:spacing w:before="0" w:beforeAutospacing="0" w:after="0" w:afterAutospacing="0" w:line="240" w:lineRule="auto"/>
              <w:jc w:val="righ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233,946,415</w:t>
            </w:r>
          </w:p>
        </w:tc>
        <w:tc>
          <w:tcPr>
            <w:cnfStyle w:val="000000010000"/>
            <w:tcW w:w="1220" w:type="dxa"/>
          </w:tcPr>
          <w:p w14:paraId="00000125">
            <w:pPr>
              <w:spacing w:before="0" w:beforeAutospacing="0" w:after="0" w:afterAutospacing="0" w:line="240" w:lineRule="auto"/>
              <w:jc w:val="righ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255,742,462</w:t>
            </w:r>
          </w:p>
        </w:tc>
        <w:tc>
          <w:tcPr>
            <w:cnfStyle w:val="000000010000"/>
            <w:tcW w:w="1220" w:type="dxa"/>
          </w:tcPr>
          <w:p w14:paraId="00000126">
            <w:pPr>
              <w:spacing w:before="0" w:beforeAutospacing="0" w:after="0" w:afterAutospacing="0" w:line="240" w:lineRule="auto"/>
              <w:jc w:val="righ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282,463,355</w:t>
            </w:r>
          </w:p>
        </w:tc>
        <w:tc>
          <w:tcPr>
            <w:cnfStyle w:val="000000010000"/>
            <w:tcW w:w="1220" w:type="dxa"/>
          </w:tcPr>
          <w:p w14:paraId="00000127">
            <w:pPr>
              <w:spacing w:before="0" w:beforeAutospacing="0" w:after="0" w:afterAutospacing="0" w:line="240" w:lineRule="auto"/>
              <w:jc w:val="righ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339,798,429</w:t>
            </w:r>
          </w:p>
        </w:tc>
        <w:tc>
          <w:tcPr>
            <w:cnfStyle w:val="000000010000"/>
            <w:tcW w:w="1220" w:type="dxa"/>
          </w:tcPr>
          <w:p w14:paraId="00000128">
            <w:pPr>
              <w:spacing w:before="0" w:beforeAutospacing="0" w:after="0" w:afterAutospacing="0" w:line="240" w:lineRule="auto"/>
              <w:jc w:val="righ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368,844,849</w:t>
            </w:r>
          </w:p>
        </w:tc>
      </w:tr>
      <w:tr>
        <w:trPr>
          <w:cnfStyle w:val="000000100000"/>
          <w:trHeight w:val="288"/>
        </w:trPr>
        <w:tc>
          <w:tcPr>
            <w:cnfStyle w:val="001000100000"/>
            <w:tcW w:w="3000" w:type="dxa"/>
          </w:tcPr>
          <w:p w14:paraId="00000129">
            <w:pPr>
              <w:spacing w:before="0" w:beforeAutospacing="0" w:after="0" w:afterAutospacing="0" w:line="240" w:lineRule="auto"/>
              <w:jc w:val="lef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Total Current Assets</w:t>
            </w:r>
          </w:p>
        </w:tc>
        <w:tc>
          <w:tcPr>
            <w:cnfStyle w:val="000000100000"/>
            <w:tcW w:w="1220" w:type="dxa"/>
          </w:tcPr>
          <w:p w14:paraId="0000012A">
            <w:pPr>
              <w:spacing w:before="0" w:beforeAutospacing="0" w:after="0" w:afterAutospacing="0" w:line="240" w:lineRule="auto"/>
              <w:jc w:val="righ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88,565,366</w:t>
            </w:r>
          </w:p>
        </w:tc>
        <w:tc>
          <w:tcPr>
            <w:cnfStyle w:val="000000100000"/>
            <w:tcW w:w="1220" w:type="dxa"/>
          </w:tcPr>
          <w:p w14:paraId="0000012B">
            <w:pPr>
              <w:spacing w:before="0" w:beforeAutospacing="0" w:after="0" w:afterAutospacing="0" w:line="240" w:lineRule="auto"/>
              <w:jc w:val="righ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96,389,273</w:t>
            </w:r>
          </w:p>
        </w:tc>
        <w:tc>
          <w:tcPr>
            <w:cnfStyle w:val="000000100000"/>
            <w:tcW w:w="1220" w:type="dxa"/>
          </w:tcPr>
          <w:p w14:paraId="0000012C">
            <w:pPr>
              <w:spacing w:before="0" w:beforeAutospacing="0" w:after="0" w:afterAutospacing="0" w:line="240" w:lineRule="auto"/>
              <w:jc w:val="righ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101,724,717</w:t>
            </w:r>
          </w:p>
        </w:tc>
        <w:tc>
          <w:tcPr>
            <w:cnfStyle w:val="000000100000"/>
            <w:tcW w:w="1220" w:type="dxa"/>
          </w:tcPr>
          <w:p w14:paraId="0000012D">
            <w:pPr>
              <w:spacing w:before="0" w:beforeAutospacing="0" w:after="0" w:afterAutospacing="0" w:line="240" w:lineRule="auto"/>
              <w:jc w:val="righ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115,764,287</w:t>
            </w:r>
          </w:p>
        </w:tc>
        <w:tc>
          <w:tcPr>
            <w:cnfStyle w:val="000000100000"/>
            <w:tcW w:w="1220" w:type="dxa"/>
          </w:tcPr>
          <w:p w14:paraId="0000012E">
            <w:pPr>
              <w:spacing w:before="0" w:beforeAutospacing="0" w:after="0" w:afterAutospacing="0" w:line="240" w:lineRule="auto"/>
              <w:jc w:val="righ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120,777,363</w:t>
            </w:r>
          </w:p>
        </w:tc>
      </w:tr>
      <w:tr>
        <w:trPr>
          <w:trHeight w:val="288"/>
        </w:trPr>
        <w:tc>
          <w:tcPr>
            <w:cnfStyle w:val="001000010000"/>
            <w:tcW w:w="3000" w:type="dxa"/>
          </w:tcPr>
          <w:p w14:paraId="0000012F">
            <w:pPr>
              <w:spacing w:before="0" w:beforeAutospacing="0" w:after="0" w:afterAutospacing="0" w:line="240" w:lineRule="auto"/>
              <w:jc w:val="lef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Cash &amp; Equivalents</w:t>
            </w:r>
          </w:p>
        </w:tc>
        <w:tc>
          <w:tcPr>
            <w:cnfStyle w:val="000000010000"/>
            <w:tcW w:w="1220" w:type="dxa"/>
          </w:tcPr>
          <w:p w14:paraId="00000130">
            <w:pPr>
              <w:spacing w:before="0" w:beforeAutospacing="0" w:after="0" w:afterAutospacing="0" w:line="240" w:lineRule="auto"/>
              <w:jc w:val="righ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12,795,554</w:t>
            </w:r>
          </w:p>
        </w:tc>
        <w:tc>
          <w:tcPr>
            <w:cnfStyle w:val="000000010000"/>
            <w:tcW w:w="1220" w:type="dxa"/>
          </w:tcPr>
          <w:p w14:paraId="00000131">
            <w:pPr>
              <w:spacing w:before="0" w:beforeAutospacing="0" w:after="0" w:afterAutospacing="0" w:line="240" w:lineRule="auto"/>
              <w:jc w:val="righ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20,864,879</w:t>
            </w:r>
          </w:p>
        </w:tc>
        <w:tc>
          <w:tcPr>
            <w:cnfStyle w:val="000000010000"/>
            <w:tcW w:w="1220" w:type="dxa"/>
          </w:tcPr>
          <w:p w14:paraId="00000132">
            <w:pPr>
              <w:spacing w:before="0" w:beforeAutospacing="0" w:after="0" w:afterAutospacing="0" w:line="240" w:lineRule="auto"/>
              <w:jc w:val="righ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19,166,619</w:t>
            </w:r>
          </w:p>
        </w:tc>
        <w:tc>
          <w:tcPr>
            <w:cnfStyle w:val="000000010000"/>
            <w:tcW w:w="1220" w:type="dxa"/>
          </w:tcPr>
          <w:p w14:paraId="00000133">
            <w:pPr>
              <w:spacing w:before="0" w:beforeAutospacing="0" w:after="0" w:afterAutospacing="0" w:line="240" w:lineRule="auto"/>
              <w:jc w:val="righ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19,014,944</w:t>
            </w:r>
          </w:p>
        </w:tc>
        <w:tc>
          <w:tcPr>
            <w:cnfStyle w:val="000000010000"/>
            <w:tcW w:w="1220" w:type="dxa"/>
          </w:tcPr>
          <w:p w14:paraId="00000134">
            <w:pPr>
              <w:spacing w:before="0" w:beforeAutospacing="0" w:after="0" w:afterAutospacing="0" w:line="240" w:lineRule="auto"/>
              <w:jc w:val="righ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18,360,566</w:t>
            </w:r>
          </w:p>
        </w:tc>
      </w:tr>
      <w:tr>
        <w:trPr>
          <w:cnfStyle w:val="000000100000"/>
          <w:trHeight w:val="288"/>
        </w:trPr>
        <w:tc>
          <w:tcPr>
            <w:cnfStyle w:val="001000100000"/>
            <w:tcW w:w="3000" w:type="dxa"/>
          </w:tcPr>
          <w:p w14:paraId="00000135">
            <w:pPr>
              <w:spacing w:before="0" w:beforeAutospacing="0" w:after="0" w:afterAutospacing="0" w:line="240" w:lineRule="auto"/>
              <w:jc w:val="lef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Trade Receivables</w:t>
            </w:r>
          </w:p>
        </w:tc>
        <w:tc>
          <w:tcPr>
            <w:cnfStyle w:val="000000100000"/>
            <w:tcW w:w="1220" w:type="dxa"/>
          </w:tcPr>
          <w:p w14:paraId="00000136">
            <w:pPr>
              <w:spacing w:before="0" w:beforeAutospacing="0" w:after="0" w:afterAutospacing="0" w:line="240" w:lineRule="auto"/>
              <w:jc w:val="righ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3,147,296</w:t>
            </w:r>
          </w:p>
        </w:tc>
        <w:tc>
          <w:tcPr>
            <w:cnfStyle w:val="000000100000"/>
            <w:tcW w:w="1220" w:type="dxa"/>
          </w:tcPr>
          <w:p w14:paraId="00000137">
            <w:pPr>
              <w:spacing w:before="0" w:beforeAutospacing="0" w:after="0" w:afterAutospacing="0" w:line="240" w:lineRule="auto"/>
              <w:jc w:val="righ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4,279,057</w:t>
            </w:r>
          </w:p>
        </w:tc>
        <w:tc>
          <w:tcPr>
            <w:cnfStyle w:val="000000100000"/>
            <w:tcW w:w="1220" w:type="dxa"/>
          </w:tcPr>
          <w:p w14:paraId="00000138">
            <w:pPr>
              <w:spacing w:before="0" w:beforeAutospacing="0" w:after="0" w:afterAutospacing="0" w:line="240" w:lineRule="auto"/>
              <w:jc w:val="righ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4,682,182</w:t>
            </w:r>
          </w:p>
        </w:tc>
        <w:tc>
          <w:tcPr>
            <w:cnfStyle w:val="000000100000"/>
            <w:tcW w:w="1220" w:type="dxa"/>
          </w:tcPr>
          <w:p w14:paraId="00000139">
            <w:pPr>
              <w:spacing w:before="0" w:beforeAutospacing="0" w:after="0" w:afterAutospacing="0" w:line="240" w:lineRule="auto"/>
              <w:jc w:val="righ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5,908,079</w:t>
            </w:r>
          </w:p>
        </w:tc>
        <w:tc>
          <w:tcPr>
            <w:cnfStyle w:val="000000100000"/>
            <w:tcW w:w="1220" w:type="dxa"/>
          </w:tcPr>
          <w:p w14:paraId="0000013A">
            <w:pPr>
              <w:spacing w:before="0" w:beforeAutospacing="0" w:after="0" w:afterAutospacing="0" w:line="240" w:lineRule="auto"/>
              <w:jc w:val="righ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8,600,419</w:t>
            </w:r>
          </w:p>
        </w:tc>
      </w:tr>
      <w:tr>
        <w:trPr>
          <w:trHeight w:val="288"/>
        </w:trPr>
        <w:tc>
          <w:tcPr>
            <w:cnfStyle w:val="001000010000"/>
            <w:tcW w:w="3000" w:type="dxa"/>
          </w:tcPr>
          <w:p w14:paraId="0000013B">
            <w:pPr>
              <w:spacing w:before="0" w:beforeAutospacing="0" w:after="0" w:afterAutospacing="0" w:line="240" w:lineRule="auto"/>
              <w:jc w:val="lef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Inventories</w:t>
            </w:r>
          </w:p>
        </w:tc>
        <w:tc>
          <w:tcPr>
            <w:cnfStyle w:val="000000010000"/>
            <w:tcW w:w="1220" w:type="dxa"/>
          </w:tcPr>
          <w:p w14:paraId="0000013C">
            <w:pPr>
              <w:spacing w:before="0" w:beforeAutospacing="0" w:after="0" w:afterAutospacing="0" w:line="240" w:lineRule="auto"/>
              <w:jc w:val="righ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11,645,641</w:t>
            </w:r>
          </w:p>
        </w:tc>
        <w:tc>
          <w:tcPr>
            <w:cnfStyle w:val="000000010000"/>
            <w:tcW w:w="1220" w:type="dxa"/>
          </w:tcPr>
          <w:p w14:paraId="0000013D">
            <w:pPr>
              <w:spacing w:before="0" w:beforeAutospacing="0" w:after="0" w:afterAutospacing="0" w:line="240" w:lineRule="auto"/>
              <w:jc w:val="righ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14,291,216</w:t>
            </w:r>
          </w:p>
        </w:tc>
        <w:tc>
          <w:tcPr>
            <w:cnfStyle w:val="000000010000"/>
            <w:tcW w:w="1220" w:type="dxa"/>
          </w:tcPr>
          <w:p w14:paraId="0000013E">
            <w:pPr>
              <w:spacing w:before="0" w:beforeAutospacing="0" w:after="0" w:afterAutospacing="0" w:line="240" w:lineRule="auto"/>
              <w:jc w:val="righ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17,400,346</w:t>
            </w:r>
          </w:p>
        </w:tc>
        <w:tc>
          <w:tcPr>
            <w:cnfStyle w:val="000000010000"/>
            <w:tcW w:w="1220" w:type="dxa"/>
          </w:tcPr>
          <w:p w14:paraId="0000013F">
            <w:pPr>
              <w:spacing w:before="0" w:beforeAutospacing="0" w:after="0" w:afterAutospacing="0" w:line="240" w:lineRule="auto"/>
              <w:jc w:val="righ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19,791,007</w:t>
            </w:r>
          </w:p>
        </w:tc>
        <w:tc>
          <w:tcPr>
            <w:cnfStyle w:val="000000010000"/>
            <w:tcW w:w="1220" w:type="dxa"/>
          </w:tcPr>
          <w:p w14:paraId="00000140">
            <w:pPr>
              <w:spacing w:before="0" w:beforeAutospacing="0" w:after="0" w:afterAutospacing="0" w:line="240" w:lineRule="auto"/>
              <w:jc w:val="righ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20,661,752</w:t>
            </w:r>
          </w:p>
        </w:tc>
      </w:tr>
      <w:tr>
        <w:trPr>
          <w:cnfStyle w:val="000000100000"/>
          <w:trHeight w:val="288"/>
        </w:trPr>
        <w:tc>
          <w:tcPr>
            <w:cnfStyle w:val="001000100000"/>
            <w:tcW w:w="3000" w:type="dxa"/>
          </w:tcPr>
          <w:p w14:paraId="00000141">
            <w:pPr>
              <w:spacing w:before="0" w:beforeAutospacing="0" w:after="0" w:afterAutospacing="0" w:line="240" w:lineRule="auto"/>
              <w:jc w:val="lef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Total Liabilities</w:t>
            </w:r>
          </w:p>
        </w:tc>
        <w:tc>
          <w:tcPr>
            <w:cnfStyle w:val="000000100000"/>
            <w:tcW w:w="1220" w:type="dxa"/>
          </w:tcPr>
          <w:p w14:paraId="00000142">
            <w:pPr>
              <w:spacing w:before="0" w:beforeAutospacing="0" w:after="0" w:afterAutospacing="0" w:line="240" w:lineRule="auto"/>
              <w:jc w:val="righ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151,330,626</w:t>
            </w:r>
          </w:p>
        </w:tc>
        <w:tc>
          <w:tcPr>
            <w:cnfStyle w:val="000000100000"/>
            <w:tcW w:w="1220" w:type="dxa"/>
          </w:tcPr>
          <w:p w14:paraId="00000143">
            <w:pPr>
              <w:spacing w:before="0" w:beforeAutospacing="0" w:after="0" w:afterAutospacing="0" w:line="240" w:lineRule="auto"/>
              <w:jc w:val="righ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164,845,917</w:t>
            </w:r>
          </w:p>
        </w:tc>
        <w:tc>
          <w:tcPr>
            <w:cnfStyle w:val="000000100000"/>
            <w:tcW w:w="1220" w:type="dxa"/>
          </w:tcPr>
          <w:p w14:paraId="00000144">
            <w:pPr>
              <w:spacing w:before="0" w:beforeAutospacing="0" w:after="0" w:afterAutospacing="0" w:line="240" w:lineRule="auto"/>
              <w:jc w:val="righ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180,653,915</w:t>
            </w:r>
          </w:p>
        </w:tc>
        <w:tc>
          <w:tcPr>
            <w:cnfStyle w:val="000000100000"/>
            <w:tcW w:w="1220" w:type="dxa"/>
          </w:tcPr>
          <w:p w14:paraId="00000145">
            <w:pPr>
              <w:spacing w:before="0" w:beforeAutospacing="0" w:after="0" w:afterAutospacing="0" w:line="240" w:lineRule="auto"/>
              <w:jc w:val="righ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219,522,496</w:t>
            </w:r>
          </w:p>
        </w:tc>
        <w:tc>
          <w:tcPr>
            <w:cnfStyle w:val="000000100000"/>
            <w:tcW w:w="1220" w:type="dxa"/>
          </w:tcPr>
          <w:p w14:paraId="00000146">
            <w:pPr>
              <w:spacing w:before="0" w:beforeAutospacing="0" w:after="0" w:afterAutospacing="0" w:line="240" w:lineRule="auto"/>
              <w:jc w:val="righ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241,196,612</w:t>
            </w:r>
          </w:p>
        </w:tc>
      </w:tr>
      <w:tr>
        <w:trPr>
          <w:trHeight w:val="288"/>
        </w:trPr>
        <w:tc>
          <w:tcPr>
            <w:cnfStyle w:val="001000010000"/>
            <w:tcW w:w="3000" w:type="dxa"/>
          </w:tcPr>
          <w:p w14:paraId="00000147">
            <w:pPr>
              <w:spacing w:before="0" w:beforeAutospacing="0" w:after="0" w:afterAutospacing="0" w:line="240" w:lineRule="auto"/>
              <w:jc w:val="lef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Current Liabilities</w:t>
            </w:r>
          </w:p>
        </w:tc>
        <w:tc>
          <w:tcPr>
            <w:cnfStyle w:val="000000010000"/>
            <w:tcW w:w="1220" w:type="dxa"/>
          </w:tcPr>
          <w:p w14:paraId="00000148">
            <w:pPr>
              <w:spacing w:before="0" w:beforeAutospacing="0" w:after="0" w:afterAutospacing="0" w:line="240" w:lineRule="auto"/>
              <w:jc w:val="righ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64,236,787</w:t>
            </w:r>
          </w:p>
        </w:tc>
        <w:tc>
          <w:tcPr>
            <w:cnfStyle w:val="000000010000"/>
            <w:tcW w:w="1220" w:type="dxa"/>
          </w:tcPr>
          <w:p w14:paraId="00000149">
            <w:pPr>
              <w:spacing w:before="0" w:beforeAutospacing="0" w:after="0" w:afterAutospacing="0" w:line="240" w:lineRule="auto"/>
              <w:jc w:val="righ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74,236,472</w:t>
            </w:r>
          </w:p>
        </w:tc>
        <w:tc>
          <w:tcPr>
            <w:cnfStyle w:val="000000010000"/>
            <w:tcW w:w="1220" w:type="dxa"/>
          </w:tcPr>
          <w:p w14:paraId="0000014A">
            <w:pPr>
              <w:spacing w:before="0" w:beforeAutospacing="0" w:after="0" w:afterAutospacing="0" w:line="240" w:lineRule="auto"/>
              <w:jc w:val="righ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73,362,103</w:t>
            </w:r>
          </w:p>
        </w:tc>
        <w:tc>
          <w:tcPr>
            <w:cnfStyle w:val="000000010000"/>
            <w:tcW w:w="1220" w:type="dxa"/>
          </w:tcPr>
          <w:p w14:paraId="0000014B">
            <w:pPr>
              <w:spacing w:before="0" w:beforeAutospacing="0" w:after="0" w:afterAutospacing="0" w:line="240" w:lineRule="auto"/>
              <w:jc w:val="righ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79,509,643</w:t>
            </w:r>
          </w:p>
        </w:tc>
        <w:tc>
          <w:tcPr>
            <w:cnfStyle w:val="000000010000"/>
            <w:tcW w:w="1220" w:type="dxa"/>
          </w:tcPr>
          <w:p w14:paraId="0000014C">
            <w:pPr>
              <w:spacing w:before="0" w:beforeAutospacing="0" w:after="0" w:afterAutospacing="0" w:line="240" w:lineRule="auto"/>
              <w:jc w:val="righ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88,579,290</w:t>
            </w:r>
          </w:p>
        </w:tc>
      </w:tr>
      <w:tr>
        <w:trPr>
          <w:cnfStyle w:val="000000100000"/>
          <w:trHeight w:val="288"/>
        </w:trPr>
        <w:tc>
          <w:tcPr>
            <w:cnfStyle w:val="001000100000"/>
            <w:tcW w:w="3000" w:type="dxa"/>
          </w:tcPr>
          <w:p w14:paraId="0000014D">
            <w:pPr>
              <w:spacing w:before="0" w:beforeAutospacing="0" w:after="0" w:afterAutospacing="0" w:line="240" w:lineRule="auto"/>
              <w:jc w:val="lef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Total Equity</w:t>
            </w:r>
          </w:p>
        </w:tc>
        <w:tc>
          <w:tcPr>
            <w:cnfStyle w:val="000000100000"/>
            <w:tcW w:w="1220" w:type="dxa"/>
          </w:tcPr>
          <w:p w14:paraId="0000014E">
            <w:pPr>
              <w:spacing w:before="0" w:beforeAutospacing="0" w:after="0" w:afterAutospacing="0" w:line="240" w:lineRule="auto"/>
              <w:jc w:val="righ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82,615,789</w:t>
            </w:r>
          </w:p>
        </w:tc>
        <w:tc>
          <w:tcPr>
            <w:cnfStyle w:val="000000100000"/>
            <w:tcW w:w="1220" w:type="dxa"/>
          </w:tcPr>
          <w:p w14:paraId="0000014F">
            <w:pPr>
              <w:spacing w:before="0" w:beforeAutospacing="0" w:after="0" w:afterAutospacing="0" w:line="240" w:lineRule="auto"/>
              <w:jc w:val="righ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90,896,545</w:t>
            </w:r>
          </w:p>
        </w:tc>
        <w:tc>
          <w:tcPr>
            <w:cnfStyle w:val="000000100000"/>
            <w:tcW w:w="1220" w:type="dxa"/>
          </w:tcPr>
          <w:p w14:paraId="00000150">
            <w:pPr>
              <w:spacing w:before="0" w:beforeAutospacing="0" w:after="0" w:afterAutospacing="0" w:line="240" w:lineRule="auto"/>
              <w:jc w:val="righ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101,809,440</w:t>
            </w:r>
          </w:p>
        </w:tc>
        <w:tc>
          <w:tcPr>
            <w:cnfStyle w:val="000000100000"/>
            <w:tcW w:w="1220" w:type="dxa"/>
          </w:tcPr>
          <w:p w14:paraId="00000151">
            <w:pPr>
              <w:spacing w:before="0" w:beforeAutospacing="0" w:after="0" w:afterAutospacing="0" w:line="240" w:lineRule="auto"/>
              <w:jc w:val="righ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120,275,933</w:t>
            </w:r>
          </w:p>
        </w:tc>
        <w:tc>
          <w:tcPr>
            <w:cnfStyle w:val="000000100000"/>
            <w:tcW w:w="1220" w:type="dxa"/>
          </w:tcPr>
          <w:p w14:paraId="00000152">
            <w:pPr>
              <w:spacing w:before="0" w:beforeAutospacing="0" w:after="0" w:afterAutospacing="0" w:line="240" w:lineRule="auto"/>
              <w:jc w:val="righ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127,648,237</w:t>
            </w:r>
          </w:p>
        </w:tc>
      </w:tr>
      <w:tr>
        <w:trPr>
          <w:trHeight w:val="288"/>
        </w:trPr>
        <w:tc>
          <w:tcPr>
            <w:cnfStyle w:val="001000010000"/>
            <w:tcW w:w="3000" w:type="dxa"/>
            <w:noWrap w:val="on"/>
          </w:tcPr>
          <w:p w14:paraId="00000153">
            <w:pPr>
              <w:spacing w:before="0" w:beforeAutospacing="0" w:after="0" w:afterAutospacing="0" w:line="240" w:lineRule="auto"/>
              <w:jc w:val="right"/>
              <w:rPr>
                <w:rFonts w:ascii="Calibri" w:cs="Calibri" w:eastAsia="Times New Roman" w:hAnsi="Calibri"/>
                <w:color w:val="000000" w:themeColor="text1"/>
                <w:sz w:val="22"/>
                <w:lang w:val="en-IN" w:eastAsia="en-IN"/>
              </w:rPr>
            </w:pPr>
          </w:p>
        </w:tc>
        <w:tc>
          <w:tcPr>
            <w:cnfStyle w:val="000000010000"/>
            <w:tcW w:w="1220" w:type="dxa"/>
            <w:noWrap w:val="on"/>
          </w:tcPr>
          <w:p w14:paraId="00000154">
            <w:pPr>
              <w:spacing w:before="0" w:beforeAutospacing="0" w:after="0" w:afterAutospacing="0" w:line="240" w:lineRule="auto"/>
              <w:jc w:val="left"/>
              <w:rPr>
                <w:rFonts w:ascii="Times New Roman" w:cs="Times New Roman" w:eastAsia="Times New Roman" w:hAnsi="Times New Roman"/>
                <w:color w:val="000000" w:themeColor="text1"/>
                <w:sz w:val="20"/>
                <w:szCs w:val="20"/>
                <w:lang w:val="en-IN" w:eastAsia="en-IN"/>
              </w:rPr>
            </w:pPr>
          </w:p>
        </w:tc>
        <w:tc>
          <w:tcPr>
            <w:cnfStyle w:val="000000010000"/>
            <w:tcW w:w="1220" w:type="dxa"/>
            <w:noWrap w:val="on"/>
          </w:tcPr>
          <w:p w14:paraId="00000155">
            <w:pPr>
              <w:spacing w:before="0" w:beforeAutospacing="0" w:after="0" w:afterAutospacing="0" w:line="240" w:lineRule="auto"/>
              <w:jc w:val="left"/>
              <w:rPr>
                <w:rFonts w:ascii="Times New Roman" w:cs="Times New Roman" w:eastAsia="Times New Roman" w:hAnsi="Times New Roman"/>
                <w:color w:val="000000" w:themeColor="text1"/>
                <w:sz w:val="20"/>
                <w:szCs w:val="20"/>
                <w:lang w:val="en-IN" w:eastAsia="en-IN"/>
              </w:rPr>
            </w:pPr>
          </w:p>
        </w:tc>
        <w:tc>
          <w:tcPr>
            <w:cnfStyle w:val="000000010000"/>
            <w:tcW w:w="1220" w:type="dxa"/>
            <w:noWrap w:val="on"/>
          </w:tcPr>
          <w:p w14:paraId="00000156">
            <w:pPr>
              <w:spacing w:before="0" w:beforeAutospacing="0" w:after="0" w:afterAutospacing="0" w:line="240" w:lineRule="auto"/>
              <w:jc w:val="left"/>
              <w:rPr>
                <w:rFonts w:ascii="Times New Roman" w:cs="Times New Roman" w:eastAsia="Times New Roman" w:hAnsi="Times New Roman"/>
                <w:color w:val="000000" w:themeColor="text1"/>
                <w:sz w:val="20"/>
                <w:szCs w:val="20"/>
                <w:lang w:val="en-IN" w:eastAsia="en-IN"/>
              </w:rPr>
            </w:pPr>
          </w:p>
        </w:tc>
        <w:tc>
          <w:tcPr>
            <w:cnfStyle w:val="000000010000"/>
            <w:tcW w:w="1220" w:type="dxa"/>
            <w:noWrap w:val="on"/>
          </w:tcPr>
          <w:p w14:paraId="00000157">
            <w:pPr>
              <w:spacing w:before="0" w:beforeAutospacing="0" w:after="0" w:afterAutospacing="0" w:line="240" w:lineRule="auto"/>
              <w:jc w:val="left"/>
              <w:rPr>
                <w:rFonts w:ascii="Times New Roman" w:cs="Times New Roman" w:eastAsia="Times New Roman" w:hAnsi="Times New Roman"/>
                <w:color w:val="000000" w:themeColor="text1"/>
                <w:sz w:val="20"/>
                <w:szCs w:val="20"/>
                <w:lang w:val="en-IN" w:eastAsia="en-IN"/>
              </w:rPr>
            </w:pPr>
          </w:p>
        </w:tc>
        <w:tc>
          <w:tcPr>
            <w:cnfStyle w:val="000000010000"/>
            <w:tcW w:w="1220" w:type="dxa"/>
            <w:noWrap w:val="on"/>
          </w:tcPr>
          <w:p w14:paraId="00000158">
            <w:pPr>
              <w:spacing w:before="0" w:beforeAutospacing="0" w:after="0" w:afterAutospacing="0" w:line="240" w:lineRule="auto"/>
              <w:jc w:val="left"/>
              <w:rPr>
                <w:rFonts w:ascii="Times New Roman" w:cs="Times New Roman" w:eastAsia="Times New Roman" w:hAnsi="Times New Roman"/>
                <w:color w:val="000000" w:themeColor="text1"/>
                <w:sz w:val="20"/>
                <w:szCs w:val="20"/>
                <w:lang w:val="en-IN" w:eastAsia="en-IN"/>
              </w:rPr>
            </w:pPr>
          </w:p>
        </w:tc>
      </w:tr>
    </w:tbl>
    <w:p w14:paraId="00000159">
      <w:pPr>
        <w:rPr>
          <w:color w:val="000000" w:themeColor="text1"/>
          <w:lang w:val="en-US"/>
        </w:rPr>
      </w:pPr>
    </w:p>
    <w:tbl>
      <w:tblPr>
        <w:tblStyle w:val="ListTable3Accent2"/>
        <w:tblW w:w="9100" w:type="dxa"/>
        <w:tblLook w:val="04A0"/>
      </w:tblPr>
      <w:tblGrid>
        <w:gridCol w:w="3000"/>
        <w:gridCol w:w="1220"/>
        <w:gridCol w:w="1220"/>
        <w:gridCol w:w="1220"/>
        <w:gridCol w:w="1286"/>
        <w:gridCol w:w="1286"/>
      </w:tblGrid>
      <w:tr>
        <w:trPr>
          <w:cnfStyle w:val="100000000000"/>
          <w:trHeight w:val="288"/>
        </w:trPr>
        <w:tc>
          <w:tcPr>
            <w:cnfStyle w:val="101000000000"/>
            <w:tcW w:w="9100" w:type="dxa"/>
            <w:noWrap w:val="on"/>
            <w:gridSpan w:val="6"/>
          </w:tcPr>
          <w:p w14:paraId="0000015A">
            <w:pPr>
              <w:spacing w:before="0" w:beforeAutospacing="0" w:after="0" w:afterAutospacing="0" w:line="240" w:lineRule="auto"/>
              <w:jc w:val="center"/>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CASH FLOW STATEMENT (2021–2025) – ₩ million</w:t>
            </w:r>
          </w:p>
        </w:tc>
      </w:tr>
      <w:tr>
        <w:trPr>
          <w:cnfStyle w:val="000000100000"/>
          <w:trHeight w:val="288"/>
        </w:trPr>
        <w:tc>
          <w:tcPr>
            <w:cnfStyle w:val="001000100000"/>
            <w:tcW w:w="3000" w:type="dxa"/>
          </w:tcPr>
          <w:p w14:paraId="0000015B">
            <w:pPr>
              <w:spacing w:before="0" w:beforeAutospacing="0" w:after="0" w:afterAutospacing="0" w:line="240" w:lineRule="auto"/>
              <w:jc w:val="center"/>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Particulars</w:t>
            </w:r>
          </w:p>
        </w:tc>
        <w:tc>
          <w:tcPr>
            <w:cnfStyle w:val="000000100000"/>
            <w:tcW w:w="1220" w:type="dxa"/>
          </w:tcPr>
          <w:p w14:paraId="0000015C">
            <w:pPr>
              <w:spacing w:before="0" w:beforeAutospacing="0" w:after="0" w:afterAutospacing="0" w:line="240" w:lineRule="auto"/>
              <w:jc w:val="center"/>
              <w:rPr>
                <w:rFonts w:ascii="Calibri" w:cs="Calibri" w:eastAsia="Times New Roman" w:hAnsi="Calibri"/>
                <w:b/>
                <w:bCs/>
                <w:color w:val="000000" w:themeColor="text1"/>
                <w:sz w:val="22"/>
                <w:lang w:val="en-IN" w:eastAsia="en-IN"/>
              </w:rPr>
            </w:pPr>
            <w:r>
              <w:rPr>
                <w:rFonts w:ascii="Calibri" w:cs="Calibri" w:eastAsia="Times New Roman" w:hAnsi="Calibri"/>
                <w:b/>
                <w:bCs/>
                <w:color w:val="000000" w:themeColor="text1"/>
                <w:sz w:val="22"/>
                <w:lang w:val="en-IN" w:eastAsia="en-IN"/>
              </w:rPr>
              <w:t>2021</w:t>
            </w:r>
          </w:p>
        </w:tc>
        <w:tc>
          <w:tcPr>
            <w:cnfStyle w:val="000000100000"/>
            <w:tcW w:w="1220" w:type="dxa"/>
          </w:tcPr>
          <w:p w14:paraId="0000015D">
            <w:pPr>
              <w:spacing w:before="0" w:beforeAutospacing="0" w:after="0" w:afterAutospacing="0" w:line="240" w:lineRule="auto"/>
              <w:jc w:val="center"/>
              <w:rPr>
                <w:rFonts w:ascii="Calibri" w:cs="Calibri" w:eastAsia="Times New Roman" w:hAnsi="Calibri"/>
                <w:b/>
                <w:bCs/>
                <w:color w:val="000000" w:themeColor="text1"/>
                <w:sz w:val="22"/>
                <w:lang w:val="en-IN" w:eastAsia="en-IN"/>
              </w:rPr>
            </w:pPr>
            <w:r>
              <w:rPr>
                <w:rFonts w:ascii="Calibri" w:cs="Calibri" w:eastAsia="Times New Roman" w:hAnsi="Calibri"/>
                <w:b/>
                <w:bCs/>
                <w:color w:val="000000" w:themeColor="text1"/>
                <w:sz w:val="22"/>
                <w:lang w:val="en-IN" w:eastAsia="en-IN"/>
              </w:rPr>
              <w:t>2022</w:t>
            </w:r>
          </w:p>
        </w:tc>
        <w:tc>
          <w:tcPr>
            <w:cnfStyle w:val="000000100000"/>
            <w:tcW w:w="1220" w:type="dxa"/>
          </w:tcPr>
          <w:p w14:paraId="0000015E">
            <w:pPr>
              <w:spacing w:before="0" w:beforeAutospacing="0" w:after="0" w:afterAutospacing="0" w:line="240" w:lineRule="auto"/>
              <w:jc w:val="center"/>
              <w:rPr>
                <w:rFonts w:ascii="Calibri" w:cs="Calibri" w:eastAsia="Times New Roman" w:hAnsi="Calibri"/>
                <w:b/>
                <w:bCs/>
                <w:color w:val="000000" w:themeColor="text1"/>
                <w:sz w:val="22"/>
                <w:lang w:val="en-IN" w:eastAsia="en-IN"/>
              </w:rPr>
            </w:pPr>
            <w:r>
              <w:rPr>
                <w:rFonts w:ascii="Calibri" w:cs="Calibri" w:eastAsia="Times New Roman" w:hAnsi="Calibri"/>
                <w:b/>
                <w:bCs/>
                <w:color w:val="000000" w:themeColor="text1"/>
                <w:sz w:val="22"/>
                <w:lang w:val="en-IN" w:eastAsia="en-IN"/>
              </w:rPr>
              <w:t>2023</w:t>
            </w:r>
          </w:p>
        </w:tc>
        <w:tc>
          <w:tcPr>
            <w:cnfStyle w:val="000000100000"/>
            <w:tcW w:w="1220" w:type="dxa"/>
          </w:tcPr>
          <w:p w14:paraId="0000015F">
            <w:pPr>
              <w:spacing w:before="0" w:beforeAutospacing="0" w:after="0" w:afterAutospacing="0" w:line="240" w:lineRule="auto"/>
              <w:jc w:val="center"/>
              <w:rPr>
                <w:rFonts w:ascii="Calibri" w:cs="Calibri" w:eastAsia="Times New Roman" w:hAnsi="Calibri"/>
                <w:b/>
                <w:bCs/>
                <w:color w:val="000000" w:themeColor="text1"/>
                <w:sz w:val="22"/>
                <w:lang w:val="en-IN" w:eastAsia="en-IN"/>
              </w:rPr>
            </w:pPr>
            <w:r>
              <w:rPr>
                <w:rFonts w:ascii="Calibri" w:cs="Calibri" w:eastAsia="Times New Roman" w:hAnsi="Calibri"/>
                <w:b/>
                <w:bCs/>
                <w:color w:val="000000" w:themeColor="text1"/>
                <w:sz w:val="22"/>
                <w:lang w:val="en-IN" w:eastAsia="en-IN"/>
              </w:rPr>
              <w:t>2024</w:t>
            </w:r>
          </w:p>
        </w:tc>
        <w:tc>
          <w:tcPr>
            <w:cnfStyle w:val="000000100000"/>
            <w:tcW w:w="1220" w:type="dxa"/>
          </w:tcPr>
          <w:p w14:paraId="00000160">
            <w:pPr>
              <w:spacing w:before="0" w:beforeAutospacing="0" w:after="0" w:afterAutospacing="0" w:line="240" w:lineRule="auto"/>
              <w:jc w:val="center"/>
              <w:rPr>
                <w:rFonts w:ascii="Calibri" w:cs="Calibri" w:eastAsia="Times New Roman" w:hAnsi="Calibri"/>
                <w:b/>
                <w:bCs/>
                <w:color w:val="000000" w:themeColor="text1"/>
                <w:sz w:val="22"/>
                <w:lang w:val="en-IN" w:eastAsia="en-IN"/>
              </w:rPr>
            </w:pPr>
            <w:r>
              <w:rPr>
                <w:rFonts w:ascii="Calibri" w:cs="Calibri" w:eastAsia="Times New Roman" w:hAnsi="Calibri"/>
                <w:b/>
                <w:bCs/>
                <w:color w:val="000000" w:themeColor="text1"/>
                <w:sz w:val="22"/>
                <w:lang w:val="en-IN" w:eastAsia="en-IN"/>
              </w:rPr>
              <w:t>2025</w:t>
            </w:r>
          </w:p>
        </w:tc>
      </w:tr>
      <w:tr>
        <w:trPr>
          <w:trHeight w:val="576"/>
        </w:trPr>
        <w:tc>
          <w:tcPr>
            <w:cnfStyle w:val="001000010000"/>
            <w:tcW w:w="3000" w:type="dxa"/>
          </w:tcPr>
          <w:p w14:paraId="00000161">
            <w:pPr>
              <w:spacing w:before="0" w:beforeAutospacing="0" w:after="0" w:afterAutospacing="0" w:line="240" w:lineRule="auto"/>
              <w:jc w:val="lef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Operating Cash Flow (CFO)</w:t>
            </w:r>
          </w:p>
        </w:tc>
        <w:tc>
          <w:tcPr>
            <w:cnfStyle w:val="000000010000"/>
            <w:tcW w:w="1220" w:type="dxa"/>
          </w:tcPr>
          <w:p w14:paraId="00000162">
            <w:pPr>
              <w:spacing w:before="0" w:beforeAutospacing="0" w:after="0" w:afterAutospacing="0" w:line="240" w:lineRule="auto"/>
              <w:jc w:val="righ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-1,176,416</w:t>
            </w:r>
          </w:p>
        </w:tc>
        <w:tc>
          <w:tcPr>
            <w:cnfStyle w:val="000000010000"/>
            <w:tcW w:w="1220" w:type="dxa"/>
          </w:tcPr>
          <w:p w14:paraId="00000163">
            <w:pPr>
              <w:spacing w:before="0" w:beforeAutospacing="0" w:after="0" w:afterAutospacing="0" w:line="240" w:lineRule="auto"/>
              <w:jc w:val="righ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10,627,311</w:t>
            </w:r>
          </w:p>
        </w:tc>
        <w:tc>
          <w:tcPr>
            <w:cnfStyle w:val="000000010000"/>
            <w:tcW w:w="1220" w:type="dxa"/>
          </w:tcPr>
          <w:p w14:paraId="00000164">
            <w:pPr>
              <w:spacing w:before="0" w:beforeAutospacing="0" w:after="0" w:afterAutospacing="0" w:line="240" w:lineRule="auto"/>
              <w:jc w:val="righ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-2,518,760</w:t>
            </w:r>
          </w:p>
        </w:tc>
        <w:tc>
          <w:tcPr>
            <w:cnfStyle w:val="000000010000"/>
            <w:tcW w:w="1220" w:type="dxa"/>
          </w:tcPr>
          <w:p w14:paraId="00000165">
            <w:pPr>
              <w:spacing w:before="0" w:beforeAutospacing="0" w:after="0" w:afterAutospacing="0" w:line="240" w:lineRule="auto"/>
              <w:jc w:val="righ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-5,661,641</w:t>
            </w:r>
          </w:p>
        </w:tc>
        <w:tc>
          <w:tcPr>
            <w:cnfStyle w:val="000000010000"/>
            <w:tcW w:w="1220" w:type="dxa"/>
          </w:tcPr>
          <w:p w14:paraId="00000166">
            <w:pPr>
              <w:spacing w:before="0" w:beforeAutospacing="0" w:after="0" w:afterAutospacing="0" w:line="240" w:lineRule="auto"/>
              <w:jc w:val="righ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-5,991,270</w:t>
            </w:r>
          </w:p>
        </w:tc>
      </w:tr>
      <w:tr>
        <w:trPr>
          <w:cnfStyle w:val="000000100000"/>
          <w:trHeight w:val="288"/>
        </w:trPr>
        <w:tc>
          <w:tcPr>
            <w:cnfStyle w:val="001000100000"/>
            <w:tcW w:w="3000" w:type="dxa"/>
          </w:tcPr>
          <w:p w14:paraId="00000167">
            <w:pPr>
              <w:spacing w:before="0" w:beforeAutospacing="0" w:after="0" w:afterAutospacing="0" w:line="240" w:lineRule="auto"/>
              <w:jc w:val="lef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Investing Cash Flow</w:t>
            </w:r>
          </w:p>
        </w:tc>
        <w:tc>
          <w:tcPr>
            <w:cnfStyle w:val="000000100000"/>
            <w:tcW w:w="1220" w:type="dxa"/>
          </w:tcPr>
          <w:p w14:paraId="00000168">
            <w:pPr>
              <w:spacing w:before="0" w:beforeAutospacing="0" w:after="0" w:afterAutospacing="0" w:line="240" w:lineRule="auto"/>
              <w:jc w:val="righ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-5,182,579</w:t>
            </w:r>
          </w:p>
        </w:tc>
        <w:tc>
          <w:tcPr>
            <w:cnfStyle w:val="000000100000"/>
            <w:tcW w:w="1220" w:type="dxa"/>
          </w:tcPr>
          <w:p w14:paraId="00000169">
            <w:pPr>
              <w:spacing w:before="0" w:beforeAutospacing="0" w:after="0" w:afterAutospacing="0" w:line="240" w:lineRule="auto"/>
              <w:jc w:val="righ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-1,203,495</w:t>
            </w:r>
          </w:p>
        </w:tc>
        <w:tc>
          <w:tcPr>
            <w:cnfStyle w:val="000000100000"/>
            <w:tcW w:w="1220" w:type="dxa"/>
          </w:tcPr>
          <w:p w14:paraId="0000016A">
            <w:pPr>
              <w:spacing w:before="0" w:beforeAutospacing="0" w:after="0" w:afterAutospacing="0" w:line="240" w:lineRule="auto"/>
              <w:jc w:val="righ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-8,649,391</w:t>
            </w:r>
          </w:p>
        </w:tc>
        <w:tc>
          <w:tcPr>
            <w:cnfStyle w:val="000000100000"/>
            <w:tcW w:w="1220" w:type="dxa"/>
          </w:tcPr>
          <w:p w14:paraId="0000016B">
            <w:pPr>
              <w:spacing w:before="0" w:beforeAutospacing="0" w:after="0" w:afterAutospacing="0" w:line="240" w:lineRule="auto"/>
              <w:jc w:val="righ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-14,623,489</w:t>
            </w:r>
          </w:p>
        </w:tc>
        <w:tc>
          <w:tcPr>
            <w:cnfStyle w:val="000000100000"/>
            <w:tcW w:w="1220" w:type="dxa"/>
          </w:tcPr>
          <w:p w14:paraId="0000016C">
            <w:pPr>
              <w:spacing w:before="0" w:beforeAutospacing="0" w:after="0" w:afterAutospacing="0" w:line="240" w:lineRule="auto"/>
              <w:jc w:val="righ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-10,347,129</w:t>
            </w:r>
          </w:p>
        </w:tc>
      </w:tr>
      <w:tr>
        <w:trPr>
          <w:trHeight w:val="288"/>
        </w:trPr>
        <w:tc>
          <w:tcPr>
            <w:cnfStyle w:val="001000010000"/>
            <w:tcW w:w="3000" w:type="dxa"/>
          </w:tcPr>
          <w:p w14:paraId="0000016D">
            <w:pPr>
              <w:spacing w:before="0" w:beforeAutospacing="0" w:after="0" w:afterAutospacing="0" w:line="240" w:lineRule="auto"/>
              <w:jc w:val="lef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Financing Cash Flow</w:t>
            </w:r>
          </w:p>
        </w:tc>
        <w:tc>
          <w:tcPr>
            <w:cnfStyle w:val="000000010000"/>
            <w:tcW w:w="1220" w:type="dxa"/>
          </w:tcPr>
          <w:p w14:paraId="0000016E">
            <w:pPr>
              <w:spacing w:before="0" w:beforeAutospacing="0" w:after="0" w:afterAutospacing="0" w:line="240" w:lineRule="auto"/>
              <w:jc w:val="righ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8,792,286</w:t>
            </w:r>
          </w:p>
        </w:tc>
        <w:tc>
          <w:tcPr>
            <w:cnfStyle w:val="000000010000"/>
            <w:tcW w:w="1220" w:type="dxa"/>
          </w:tcPr>
          <w:p w14:paraId="0000016F">
            <w:pPr>
              <w:spacing w:before="0" w:beforeAutospacing="0" w:after="0" w:afterAutospacing="0" w:line="240" w:lineRule="auto"/>
              <w:jc w:val="righ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-1,324,499</w:t>
            </w:r>
          </w:p>
        </w:tc>
        <w:tc>
          <w:tcPr>
            <w:cnfStyle w:val="000000010000"/>
            <w:tcW w:w="1220" w:type="dxa"/>
          </w:tcPr>
          <w:p w14:paraId="00000170">
            <w:pPr>
              <w:spacing w:before="0" w:beforeAutospacing="0" w:after="0" w:afterAutospacing="0" w:line="240" w:lineRule="auto"/>
              <w:jc w:val="righ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9,393,371</w:t>
            </w:r>
          </w:p>
        </w:tc>
        <w:tc>
          <w:tcPr>
            <w:cnfStyle w:val="000000010000"/>
            <w:tcW w:w="1220" w:type="dxa"/>
          </w:tcPr>
          <w:p w14:paraId="00000171">
            <w:pPr>
              <w:spacing w:before="0" w:beforeAutospacing="0" w:after="0" w:afterAutospacing="0" w:line="240" w:lineRule="auto"/>
              <w:jc w:val="righ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19,493,291</w:t>
            </w:r>
          </w:p>
        </w:tc>
        <w:tc>
          <w:tcPr>
            <w:cnfStyle w:val="000000010000"/>
            <w:tcW w:w="1220" w:type="dxa"/>
          </w:tcPr>
          <w:p w14:paraId="00000172">
            <w:pPr>
              <w:spacing w:before="0" w:beforeAutospacing="0" w:after="0" w:afterAutospacing="0" w:line="240" w:lineRule="auto"/>
              <w:jc w:val="righ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15,424,760</w:t>
            </w:r>
          </w:p>
        </w:tc>
      </w:tr>
      <w:tr>
        <w:trPr>
          <w:cnfStyle w:val="000000100000"/>
          <w:trHeight w:val="288"/>
        </w:trPr>
        <w:tc>
          <w:tcPr>
            <w:cnfStyle w:val="001000100000"/>
            <w:tcW w:w="3000" w:type="dxa"/>
          </w:tcPr>
          <w:p w14:paraId="00000173">
            <w:pPr>
              <w:spacing w:before="0" w:beforeAutospacing="0" w:after="0" w:afterAutospacing="0" w:line="240" w:lineRule="auto"/>
              <w:jc w:val="lef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Net Change in Cash</w:t>
            </w:r>
          </w:p>
        </w:tc>
        <w:tc>
          <w:tcPr>
            <w:cnfStyle w:val="000000100000"/>
            <w:tcW w:w="1220" w:type="dxa"/>
          </w:tcPr>
          <w:p w14:paraId="00000174">
            <w:pPr>
              <w:spacing w:before="0" w:beforeAutospacing="0" w:after="0" w:afterAutospacing="0" w:line="240" w:lineRule="auto"/>
              <w:jc w:val="righ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2,933,418</w:t>
            </w:r>
          </w:p>
        </w:tc>
        <w:tc>
          <w:tcPr>
            <w:cnfStyle w:val="000000100000"/>
            <w:tcW w:w="1220" w:type="dxa"/>
          </w:tcPr>
          <w:p w14:paraId="00000175">
            <w:pPr>
              <w:spacing w:before="0" w:beforeAutospacing="0" w:after="0" w:afterAutospacing="0" w:line="240" w:lineRule="auto"/>
              <w:jc w:val="righ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8,069,325</w:t>
            </w:r>
          </w:p>
        </w:tc>
        <w:tc>
          <w:tcPr>
            <w:cnfStyle w:val="000000100000"/>
            <w:tcW w:w="1220" w:type="dxa"/>
          </w:tcPr>
          <w:p w14:paraId="00000176">
            <w:pPr>
              <w:spacing w:before="0" w:beforeAutospacing="0" w:after="0" w:afterAutospacing="0" w:line="240" w:lineRule="auto"/>
              <w:jc w:val="righ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-1,698,260</w:t>
            </w:r>
          </w:p>
        </w:tc>
        <w:tc>
          <w:tcPr>
            <w:cnfStyle w:val="000000100000"/>
            <w:tcW w:w="1220" w:type="dxa"/>
          </w:tcPr>
          <w:p w14:paraId="00000177">
            <w:pPr>
              <w:spacing w:before="0" w:beforeAutospacing="0" w:after="0" w:afterAutospacing="0" w:line="240" w:lineRule="auto"/>
              <w:jc w:val="righ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-151,675</w:t>
            </w:r>
          </w:p>
        </w:tc>
        <w:tc>
          <w:tcPr>
            <w:cnfStyle w:val="000000100000"/>
            <w:tcW w:w="1220" w:type="dxa"/>
          </w:tcPr>
          <w:p w14:paraId="00000178">
            <w:pPr>
              <w:spacing w:before="0" w:beforeAutospacing="0" w:after="0" w:afterAutospacing="0" w:line="240" w:lineRule="auto"/>
              <w:jc w:val="righ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-654,378</w:t>
            </w:r>
          </w:p>
        </w:tc>
      </w:tr>
    </w:tbl>
    <w:p w14:paraId="00000179">
      <w:pPr>
        <w:rPr>
          <w:color w:val="000000" w:themeColor="text1"/>
          <w:lang w:val="en-US"/>
        </w:rPr>
      </w:pPr>
    </w:p>
    <w:p w14:paraId="0000017A">
      <w:pPr>
        <w:rPr>
          <w:b/>
          <w:bCs/>
          <w:color w:val="000000" w:themeColor="text1"/>
          <w:lang w:val="en-US"/>
        </w:rPr>
      </w:pPr>
    </w:p>
    <w:p w14:paraId="0000017B">
      <w:pPr>
        <w:rPr>
          <w:b/>
          <w:bCs/>
          <w:color w:val="000000" w:themeColor="text1"/>
          <w:lang w:val="en-US"/>
        </w:rPr>
      </w:pPr>
    </w:p>
    <w:p w14:paraId="0000017C">
      <w:pPr>
        <w:rPr>
          <w:b/>
          <w:bCs/>
          <w:color w:val="000000" w:themeColor="text1"/>
          <w:lang w:val="en-US"/>
        </w:rPr>
      </w:pPr>
    </w:p>
    <w:p w14:paraId="0000017D">
      <w:pPr>
        <w:rPr>
          <w:b/>
          <w:bCs/>
          <w:color w:val="000000" w:themeColor="text1"/>
          <w:lang w:val="en-US"/>
        </w:rPr>
      </w:pPr>
      <w:r>
        <w:rPr>
          <w:b/>
          <w:bCs/>
          <w:color w:val="000000" w:themeColor="text1"/>
          <w:lang w:val="en-US"/>
        </w:rPr>
        <w:t>Ratios</w:t>
      </w:r>
    </w:p>
    <w:tbl>
      <w:tblPr>
        <w:tblStyle w:val="ListTable3Accent2"/>
        <w:tblW w:w="9080" w:type="dxa"/>
        <w:tblLook w:val="04A0"/>
      </w:tblPr>
      <w:tblGrid>
        <w:gridCol w:w="1821"/>
        <w:gridCol w:w="2809"/>
        <w:gridCol w:w="875"/>
        <w:gridCol w:w="950"/>
        <w:gridCol w:w="875"/>
        <w:gridCol w:w="875"/>
        <w:gridCol w:w="875"/>
      </w:tblGrid>
      <w:tr>
        <w:trPr>
          <w:cnfStyle w:val="100000000000"/>
          <w:trHeight w:val="288"/>
        </w:trPr>
        <w:tc>
          <w:tcPr>
            <w:cnfStyle w:val="101000000000"/>
            <w:tcW w:w="9080" w:type="dxa"/>
            <w:gridSpan w:val="7"/>
          </w:tcPr>
          <w:p w14:paraId="0000017E">
            <w:pPr>
              <w:spacing w:before="0" w:beforeAutospacing="0" w:after="0" w:afterAutospacing="0" w:line="240" w:lineRule="auto"/>
              <w:jc w:val="center"/>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PROFITABILITY RATIOS</w:t>
            </w:r>
          </w:p>
        </w:tc>
      </w:tr>
      <w:tr>
        <w:trPr>
          <w:cnfStyle w:val="000000100000"/>
          <w:trHeight w:val="288"/>
        </w:trPr>
        <w:tc>
          <w:tcPr>
            <w:cnfStyle w:val="001000100000"/>
            <w:tcW w:w="1880" w:type="dxa"/>
          </w:tcPr>
          <w:p w14:paraId="0000017F">
            <w:pPr>
              <w:spacing w:before="0" w:beforeAutospacing="0" w:after="0" w:afterAutospacing="0" w:line="240" w:lineRule="auto"/>
              <w:jc w:val="center"/>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Ratio</w:t>
            </w:r>
          </w:p>
        </w:tc>
        <w:tc>
          <w:tcPr>
            <w:cnfStyle w:val="000000100000"/>
            <w:tcW w:w="2900" w:type="dxa"/>
          </w:tcPr>
          <w:p w14:paraId="00000180">
            <w:pPr>
              <w:spacing w:before="0" w:beforeAutospacing="0" w:after="0" w:afterAutospacing="0" w:line="240" w:lineRule="auto"/>
              <w:jc w:val="center"/>
              <w:rPr>
                <w:rFonts w:ascii="Calibri" w:cs="Calibri" w:eastAsia="Times New Roman" w:hAnsi="Calibri"/>
                <w:b/>
                <w:bCs/>
                <w:color w:val="000000" w:themeColor="text1"/>
                <w:sz w:val="22"/>
                <w:lang w:val="en-IN" w:eastAsia="en-IN"/>
              </w:rPr>
            </w:pPr>
            <w:r>
              <w:rPr>
                <w:rFonts w:ascii="Calibri" w:cs="Calibri" w:eastAsia="Times New Roman" w:hAnsi="Calibri"/>
                <w:b/>
                <w:bCs/>
                <w:color w:val="000000" w:themeColor="text1"/>
                <w:sz w:val="22"/>
                <w:lang w:val="en-IN" w:eastAsia="en-IN"/>
              </w:rPr>
              <w:t>Formula</w:t>
            </w:r>
          </w:p>
        </w:tc>
        <w:tc>
          <w:tcPr>
            <w:cnfStyle w:val="000000100000"/>
            <w:tcW w:w="860" w:type="dxa"/>
          </w:tcPr>
          <w:p w14:paraId="00000181">
            <w:pPr>
              <w:spacing w:before="0" w:beforeAutospacing="0" w:after="0" w:afterAutospacing="0" w:line="240" w:lineRule="auto"/>
              <w:jc w:val="center"/>
              <w:rPr>
                <w:rFonts w:ascii="Calibri" w:cs="Calibri" w:eastAsia="Times New Roman" w:hAnsi="Calibri"/>
                <w:b/>
                <w:bCs/>
                <w:color w:val="000000" w:themeColor="text1"/>
                <w:sz w:val="22"/>
                <w:lang w:val="en-IN" w:eastAsia="en-IN"/>
              </w:rPr>
            </w:pPr>
            <w:r>
              <w:rPr>
                <w:rFonts w:ascii="Calibri" w:cs="Calibri" w:eastAsia="Times New Roman" w:hAnsi="Calibri"/>
                <w:b/>
                <w:bCs/>
                <w:color w:val="000000" w:themeColor="text1"/>
                <w:sz w:val="22"/>
                <w:lang w:val="en-IN" w:eastAsia="en-IN"/>
              </w:rPr>
              <w:t>2021</w:t>
            </w:r>
          </w:p>
        </w:tc>
        <w:tc>
          <w:tcPr>
            <w:cnfStyle w:val="000000100000"/>
            <w:tcW w:w="980" w:type="dxa"/>
          </w:tcPr>
          <w:p w14:paraId="00000182">
            <w:pPr>
              <w:spacing w:before="0" w:beforeAutospacing="0" w:after="0" w:afterAutospacing="0" w:line="240" w:lineRule="auto"/>
              <w:jc w:val="center"/>
              <w:rPr>
                <w:rFonts w:ascii="Calibri" w:cs="Calibri" w:eastAsia="Times New Roman" w:hAnsi="Calibri"/>
                <w:b/>
                <w:bCs/>
                <w:color w:val="000000" w:themeColor="text1"/>
                <w:sz w:val="22"/>
                <w:lang w:val="en-IN" w:eastAsia="en-IN"/>
              </w:rPr>
            </w:pPr>
            <w:r>
              <w:rPr>
                <w:rFonts w:ascii="Calibri" w:cs="Calibri" w:eastAsia="Times New Roman" w:hAnsi="Calibri"/>
                <w:b/>
                <w:bCs/>
                <w:color w:val="000000" w:themeColor="text1"/>
                <w:sz w:val="22"/>
                <w:lang w:val="en-IN" w:eastAsia="en-IN"/>
              </w:rPr>
              <w:t>2022</w:t>
            </w:r>
          </w:p>
        </w:tc>
        <w:tc>
          <w:tcPr>
            <w:cnfStyle w:val="000000100000"/>
            <w:tcW w:w="820" w:type="dxa"/>
          </w:tcPr>
          <w:p w14:paraId="00000183">
            <w:pPr>
              <w:spacing w:before="0" w:beforeAutospacing="0" w:after="0" w:afterAutospacing="0" w:line="240" w:lineRule="auto"/>
              <w:jc w:val="center"/>
              <w:rPr>
                <w:rFonts w:ascii="Calibri" w:cs="Calibri" w:eastAsia="Times New Roman" w:hAnsi="Calibri"/>
                <w:b/>
                <w:bCs/>
                <w:color w:val="000000" w:themeColor="text1"/>
                <w:sz w:val="22"/>
                <w:lang w:val="en-IN" w:eastAsia="en-IN"/>
              </w:rPr>
            </w:pPr>
            <w:r>
              <w:rPr>
                <w:rFonts w:ascii="Calibri" w:cs="Calibri" w:eastAsia="Times New Roman" w:hAnsi="Calibri"/>
                <w:b/>
                <w:bCs/>
                <w:color w:val="000000" w:themeColor="text1"/>
                <w:sz w:val="22"/>
                <w:lang w:val="en-IN" w:eastAsia="en-IN"/>
              </w:rPr>
              <w:t>2023</w:t>
            </w:r>
          </w:p>
        </w:tc>
        <w:tc>
          <w:tcPr>
            <w:cnfStyle w:val="000000100000"/>
            <w:tcW w:w="900" w:type="dxa"/>
          </w:tcPr>
          <w:p w14:paraId="00000184">
            <w:pPr>
              <w:spacing w:before="0" w:beforeAutospacing="0" w:after="0" w:afterAutospacing="0" w:line="240" w:lineRule="auto"/>
              <w:jc w:val="center"/>
              <w:rPr>
                <w:rFonts w:ascii="Calibri" w:cs="Calibri" w:eastAsia="Times New Roman" w:hAnsi="Calibri"/>
                <w:b/>
                <w:bCs/>
                <w:color w:val="000000" w:themeColor="text1"/>
                <w:sz w:val="22"/>
                <w:lang w:val="en-IN" w:eastAsia="en-IN"/>
              </w:rPr>
            </w:pPr>
            <w:r>
              <w:rPr>
                <w:rFonts w:ascii="Calibri" w:cs="Calibri" w:eastAsia="Times New Roman" w:hAnsi="Calibri"/>
                <w:b/>
                <w:bCs/>
                <w:color w:val="000000" w:themeColor="text1"/>
                <w:sz w:val="22"/>
                <w:lang w:val="en-IN" w:eastAsia="en-IN"/>
              </w:rPr>
              <w:t>2024</w:t>
            </w:r>
          </w:p>
        </w:tc>
        <w:tc>
          <w:tcPr>
            <w:cnfStyle w:val="000000100000"/>
            <w:tcW w:w="740" w:type="dxa"/>
          </w:tcPr>
          <w:p w14:paraId="00000185">
            <w:pPr>
              <w:spacing w:before="0" w:beforeAutospacing="0" w:after="0" w:afterAutospacing="0" w:line="240" w:lineRule="auto"/>
              <w:jc w:val="center"/>
              <w:rPr>
                <w:rFonts w:ascii="Calibri" w:cs="Calibri" w:eastAsia="Times New Roman" w:hAnsi="Calibri"/>
                <w:b/>
                <w:bCs/>
                <w:color w:val="000000" w:themeColor="text1"/>
                <w:sz w:val="22"/>
                <w:lang w:val="en-IN" w:eastAsia="en-IN"/>
              </w:rPr>
            </w:pPr>
            <w:r>
              <w:rPr>
                <w:rFonts w:ascii="Calibri" w:cs="Calibri" w:eastAsia="Times New Roman" w:hAnsi="Calibri"/>
                <w:b/>
                <w:bCs/>
                <w:color w:val="000000" w:themeColor="text1"/>
                <w:sz w:val="22"/>
                <w:lang w:val="en-IN" w:eastAsia="en-IN"/>
              </w:rPr>
              <w:t>2025</w:t>
            </w:r>
          </w:p>
        </w:tc>
      </w:tr>
      <w:tr>
        <w:trPr>
          <w:trHeight w:val="288"/>
        </w:trPr>
        <w:tc>
          <w:tcPr>
            <w:cnfStyle w:val="001000010000"/>
            <w:tcW w:w="1880" w:type="dxa"/>
          </w:tcPr>
          <w:p w14:paraId="00000186">
            <w:pPr>
              <w:spacing w:before="0" w:beforeAutospacing="0" w:after="0" w:afterAutospacing="0" w:line="240" w:lineRule="auto"/>
              <w:jc w:val="lef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Gross Profit Margin</w:t>
            </w:r>
          </w:p>
        </w:tc>
        <w:tc>
          <w:tcPr>
            <w:cnfStyle w:val="000000010000"/>
            <w:tcW w:w="2900" w:type="dxa"/>
          </w:tcPr>
          <w:p w14:paraId="00000187">
            <w:pPr>
              <w:spacing w:before="0" w:beforeAutospacing="0" w:after="0" w:afterAutospacing="0" w:line="240" w:lineRule="auto"/>
              <w:jc w:val="lef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Gross Profit / Revenue ×100</w:t>
            </w:r>
          </w:p>
        </w:tc>
        <w:tc>
          <w:tcPr>
            <w:cnfStyle w:val="000000010000"/>
            <w:tcW w:w="860" w:type="dxa"/>
          </w:tcPr>
          <w:p w14:paraId="00000188">
            <w:pPr>
              <w:spacing w:before="0" w:beforeAutospacing="0" w:after="0" w:afterAutospacing="0" w:line="240" w:lineRule="auto"/>
              <w:jc w:val="righ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18.65%</w:t>
            </w:r>
          </w:p>
        </w:tc>
        <w:tc>
          <w:tcPr>
            <w:cnfStyle w:val="000000010000"/>
            <w:tcW w:w="980" w:type="dxa"/>
          </w:tcPr>
          <w:p w14:paraId="00000189">
            <w:pPr>
              <w:spacing w:before="0" w:beforeAutospacing="0" w:after="0" w:afterAutospacing="0" w:line="240" w:lineRule="auto"/>
              <w:jc w:val="righ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19.87%</w:t>
            </w:r>
          </w:p>
        </w:tc>
        <w:tc>
          <w:tcPr>
            <w:cnfStyle w:val="000000010000"/>
            <w:tcW w:w="820" w:type="dxa"/>
          </w:tcPr>
          <w:p w14:paraId="0000018A">
            <w:pPr>
              <w:spacing w:before="0" w:beforeAutospacing="0" w:after="0" w:afterAutospacing="0" w:line="240" w:lineRule="auto"/>
              <w:jc w:val="righ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20.59%</w:t>
            </w:r>
          </w:p>
        </w:tc>
        <w:tc>
          <w:tcPr>
            <w:cnfStyle w:val="000000010000"/>
            <w:tcW w:w="900" w:type="dxa"/>
          </w:tcPr>
          <w:p w14:paraId="0000018B">
            <w:pPr>
              <w:spacing w:before="0" w:beforeAutospacing="0" w:after="0" w:afterAutospacing="0" w:line="240" w:lineRule="auto"/>
              <w:jc w:val="righ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20.40%</w:t>
            </w:r>
          </w:p>
        </w:tc>
        <w:tc>
          <w:tcPr>
            <w:cnfStyle w:val="000000010000"/>
            <w:tcW w:w="740" w:type="dxa"/>
          </w:tcPr>
          <w:p w14:paraId="0000018C">
            <w:pPr>
              <w:spacing w:before="0" w:beforeAutospacing="0" w:after="0" w:afterAutospacing="0" w:line="240" w:lineRule="auto"/>
              <w:jc w:val="righ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18.37%</w:t>
            </w:r>
          </w:p>
        </w:tc>
      </w:tr>
      <w:tr>
        <w:trPr>
          <w:cnfStyle w:val="000000100000"/>
          <w:trHeight w:val="288"/>
        </w:trPr>
        <w:tc>
          <w:tcPr>
            <w:cnfStyle w:val="001000100000"/>
            <w:tcW w:w="1880" w:type="dxa"/>
          </w:tcPr>
          <w:p w14:paraId="0000018D">
            <w:pPr>
              <w:spacing w:before="0" w:beforeAutospacing="0" w:after="0" w:afterAutospacing="0" w:line="240" w:lineRule="auto"/>
              <w:jc w:val="lef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Operating Margin</w:t>
            </w:r>
          </w:p>
        </w:tc>
        <w:tc>
          <w:tcPr>
            <w:cnfStyle w:val="000000100000"/>
            <w:tcW w:w="2900" w:type="dxa"/>
          </w:tcPr>
          <w:p w14:paraId="0000018E">
            <w:pPr>
              <w:spacing w:before="0" w:beforeAutospacing="0" w:after="0" w:afterAutospacing="0" w:line="240" w:lineRule="auto"/>
              <w:jc w:val="lef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Operating Profit / Revenue ×100</w:t>
            </w:r>
          </w:p>
        </w:tc>
        <w:tc>
          <w:tcPr>
            <w:cnfStyle w:val="000000100000"/>
            <w:tcW w:w="860" w:type="dxa"/>
          </w:tcPr>
          <w:p w14:paraId="0000018F">
            <w:pPr>
              <w:spacing w:before="0" w:beforeAutospacing="0" w:after="0" w:afterAutospacing="0" w:line="240" w:lineRule="auto"/>
              <w:jc w:val="righ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5.68%</w:t>
            </w:r>
          </w:p>
        </w:tc>
        <w:tc>
          <w:tcPr>
            <w:cnfStyle w:val="000000100000"/>
            <w:tcW w:w="980" w:type="dxa"/>
          </w:tcPr>
          <w:p w14:paraId="00000190">
            <w:pPr>
              <w:spacing w:before="0" w:beforeAutospacing="0" w:after="0" w:afterAutospacing="0" w:line="240" w:lineRule="auto"/>
              <w:jc w:val="righ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6.89%</w:t>
            </w:r>
          </w:p>
        </w:tc>
        <w:tc>
          <w:tcPr>
            <w:cnfStyle w:val="000000100000"/>
            <w:tcW w:w="820" w:type="dxa"/>
          </w:tcPr>
          <w:p w14:paraId="00000191">
            <w:pPr>
              <w:spacing w:before="0" w:beforeAutospacing="0" w:after="0" w:afterAutospacing="0" w:line="240" w:lineRule="auto"/>
              <w:jc w:val="righ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9.30%</w:t>
            </w:r>
          </w:p>
        </w:tc>
        <w:tc>
          <w:tcPr>
            <w:cnfStyle w:val="000000100000"/>
            <w:tcW w:w="900" w:type="dxa"/>
          </w:tcPr>
          <w:p w14:paraId="00000192">
            <w:pPr>
              <w:spacing w:before="0" w:beforeAutospacing="0" w:after="0" w:afterAutospacing="0" w:line="240" w:lineRule="auto"/>
              <w:jc w:val="righ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8.13%</w:t>
            </w:r>
          </w:p>
        </w:tc>
        <w:tc>
          <w:tcPr>
            <w:cnfStyle w:val="000000100000"/>
            <w:tcW w:w="740" w:type="dxa"/>
          </w:tcPr>
          <w:p w14:paraId="00000193">
            <w:pPr>
              <w:spacing w:before="0" w:beforeAutospacing="0" w:after="0" w:afterAutospacing="0" w:line="240" w:lineRule="auto"/>
              <w:jc w:val="righ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6.16%</w:t>
            </w:r>
          </w:p>
        </w:tc>
      </w:tr>
      <w:tr>
        <w:trPr>
          <w:trHeight w:val="288"/>
        </w:trPr>
        <w:tc>
          <w:tcPr>
            <w:cnfStyle w:val="001000010000"/>
            <w:tcW w:w="1880" w:type="dxa"/>
          </w:tcPr>
          <w:p w14:paraId="00000194">
            <w:pPr>
              <w:spacing w:before="0" w:beforeAutospacing="0" w:after="0" w:afterAutospacing="0" w:line="240" w:lineRule="auto"/>
              <w:jc w:val="lef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Net Profit Margin</w:t>
            </w:r>
          </w:p>
        </w:tc>
        <w:tc>
          <w:tcPr>
            <w:cnfStyle w:val="000000010000"/>
            <w:tcW w:w="2900" w:type="dxa"/>
          </w:tcPr>
          <w:p w14:paraId="00000195">
            <w:pPr>
              <w:spacing w:before="0" w:beforeAutospacing="0" w:after="0" w:afterAutospacing="0" w:line="240" w:lineRule="auto"/>
              <w:jc w:val="lef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Net Profit / Revenue ×100</w:t>
            </w:r>
          </w:p>
        </w:tc>
        <w:tc>
          <w:tcPr>
            <w:cnfStyle w:val="000000010000"/>
            <w:tcW w:w="860" w:type="dxa"/>
          </w:tcPr>
          <w:p w14:paraId="00000196">
            <w:pPr>
              <w:spacing w:before="0" w:beforeAutospacing="0" w:after="0" w:afterAutospacing="0" w:line="240" w:lineRule="auto"/>
              <w:jc w:val="righ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4.84%</w:t>
            </w:r>
          </w:p>
        </w:tc>
        <w:tc>
          <w:tcPr>
            <w:cnfStyle w:val="000000010000"/>
            <w:tcW w:w="980" w:type="dxa"/>
          </w:tcPr>
          <w:p w14:paraId="00000197">
            <w:pPr>
              <w:spacing w:before="0" w:beforeAutospacing="0" w:after="0" w:afterAutospacing="0" w:line="240" w:lineRule="auto"/>
              <w:jc w:val="righ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5.60%</w:t>
            </w:r>
          </w:p>
        </w:tc>
        <w:tc>
          <w:tcPr>
            <w:cnfStyle w:val="000000010000"/>
            <w:tcW w:w="820" w:type="dxa"/>
          </w:tcPr>
          <w:p w14:paraId="00000198">
            <w:pPr>
              <w:spacing w:before="0" w:beforeAutospacing="0" w:after="0" w:afterAutospacing="0" w:line="240" w:lineRule="auto"/>
              <w:jc w:val="righ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7.54%</w:t>
            </w:r>
          </w:p>
        </w:tc>
        <w:tc>
          <w:tcPr>
            <w:cnfStyle w:val="000000010000"/>
            <w:tcW w:w="900" w:type="dxa"/>
          </w:tcPr>
          <w:p w14:paraId="00000199">
            <w:pPr>
              <w:spacing w:before="0" w:beforeAutospacing="0" w:after="0" w:afterAutospacing="0" w:line="240" w:lineRule="auto"/>
              <w:jc w:val="righ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7.55%</w:t>
            </w:r>
          </w:p>
        </w:tc>
        <w:tc>
          <w:tcPr>
            <w:cnfStyle w:val="000000010000"/>
            <w:tcW w:w="740" w:type="dxa"/>
          </w:tcPr>
          <w:p w14:paraId="0000019A">
            <w:pPr>
              <w:spacing w:before="0" w:beforeAutospacing="0" w:after="0" w:afterAutospacing="0" w:line="240" w:lineRule="auto"/>
              <w:jc w:val="righ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5.56%</w:t>
            </w:r>
          </w:p>
        </w:tc>
      </w:tr>
      <w:tr>
        <w:trPr>
          <w:cnfStyle w:val="000000100000"/>
          <w:trHeight w:val="288"/>
        </w:trPr>
        <w:tc>
          <w:tcPr>
            <w:cnfStyle w:val="001000100000"/>
            <w:tcW w:w="1880" w:type="dxa"/>
          </w:tcPr>
          <w:p w14:paraId="0000019B">
            <w:pPr>
              <w:spacing w:before="0" w:beforeAutospacing="0" w:after="0" w:afterAutospacing="0" w:line="240" w:lineRule="auto"/>
              <w:jc w:val="lef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ROA</w:t>
            </w:r>
          </w:p>
        </w:tc>
        <w:tc>
          <w:tcPr>
            <w:cnfStyle w:val="000000100000"/>
            <w:tcW w:w="2900" w:type="dxa"/>
          </w:tcPr>
          <w:p w14:paraId="0000019C">
            <w:pPr>
              <w:spacing w:before="0" w:beforeAutospacing="0" w:after="0" w:afterAutospacing="0" w:line="240" w:lineRule="auto"/>
              <w:jc w:val="lef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Net Profit / Total Assets ×100</w:t>
            </w:r>
          </w:p>
        </w:tc>
        <w:tc>
          <w:tcPr>
            <w:cnfStyle w:val="000000100000"/>
            <w:tcW w:w="860" w:type="dxa"/>
          </w:tcPr>
          <w:p w14:paraId="0000019D">
            <w:pPr>
              <w:spacing w:before="0" w:beforeAutospacing="0" w:after="0" w:afterAutospacing="0" w:line="240" w:lineRule="auto"/>
              <w:jc w:val="righ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2.43%</w:t>
            </w:r>
          </w:p>
        </w:tc>
        <w:tc>
          <w:tcPr>
            <w:cnfStyle w:val="000000100000"/>
            <w:tcW w:w="980" w:type="dxa"/>
          </w:tcPr>
          <w:p w14:paraId="0000019E">
            <w:pPr>
              <w:spacing w:before="0" w:beforeAutospacing="0" w:after="0" w:afterAutospacing="0" w:line="240" w:lineRule="auto"/>
              <w:jc w:val="righ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3.12%</w:t>
            </w:r>
          </w:p>
        </w:tc>
        <w:tc>
          <w:tcPr>
            <w:cnfStyle w:val="000000100000"/>
            <w:tcW w:w="820" w:type="dxa"/>
          </w:tcPr>
          <w:p w14:paraId="0000019F">
            <w:pPr>
              <w:spacing w:before="0" w:beforeAutospacing="0" w:after="0" w:afterAutospacing="0" w:line="240" w:lineRule="auto"/>
              <w:jc w:val="righ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4.34%</w:t>
            </w:r>
          </w:p>
        </w:tc>
        <w:tc>
          <w:tcPr>
            <w:cnfStyle w:val="000000100000"/>
            <w:tcW w:w="900" w:type="dxa"/>
          </w:tcPr>
          <w:p w14:paraId="000001A0">
            <w:pPr>
              <w:spacing w:before="0" w:beforeAutospacing="0" w:after="0" w:afterAutospacing="0" w:line="240" w:lineRule="auto"/>
              <w:jc w:val="righ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3.89%</w:t>
            </w:r>
          </w:p>
        </w:tc>
        <w:tc>
          <w:tcPr>
            <w:cnfStyle w:val="000000100000"/>
            <w:tcW w:w="740" w:type="dxa"/>
          </w:tcPr>
          <w:p w14:paraId="000001A1">
            <w:pPr>
              <w:spacing w:before="0" w:beforeAutospacing="0" w:after="0" w:afterAutospacing="0" w:line="240" w:lineRule="auto"/>
              <w:jc w:val="righ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2.81%</w:t>
            </w:r>
          </w:p>
        </w:tc>
      </w:tr>
      <w:tr>
        <w:trPr>
          <w:trHeight w:val="288"/>
        </w:trPr>
        <w:tc>
          <w:tcPr>
            <w:cnfStyle w:val="001000010000"/>
            <w:tcW w:w="1880" w:type="dxa"/>
          </w:tcPr>
          <w:p w14:paraId="000001A2">
            <w:pPr>
              <w:spacing w:before="0" w:beforeAutospacing="0" w:after="0" w:afterAutospacing="0" w:line="240" w:lineRule="auto"/>
              <w:jc w:val="lef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ROE</w:t>
            </w:r>
          </w:p>
        </w:tc>
        <w:tc>
          <w:tcPr>
            <w:cnfStyle w:val="000000010000"/>
            <w:tcW w:w="2900" w:type="dxa"/>
          </w:tcPr>
          <w:p w14:paraId="000001A3">
            <w:pPr>
              <w:spacing w:before="0" w:beforeAutospacing="0" w:after="0" w:afterAutospacing="0" w:line="240" w:lineRule="auto"/>
              <w:jc w:val="lef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Net Profit / Equity ×100</w:t>
            </w:r>
          </w:p>
        </w:tc>
        <w:tc>
          <w:tcPr>
            <w:cnfStyle w:val="000000010000"/>
            <w:tcW w:w="860" w:type="dxa"/>
          </w:tcPr>
          <w:p w14:paraId="000001A4">
            <w:pPr>
              <w:spacing w:before="0" w:beforeAutospacing="0" w:after="0" w:afterAutospacing="0" w:line="240" w:lineRule="auto"/>
              <w:jc w:val="righ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6.89%</w:t>
            </w:r>
          </w:p>
        </w:tc>
        <w:tc>
          <w:tcPr>
            <w:cnfStyle w:val="000000010000"/>
            <w:tcW w:w="980" w:type="dxa"/>
          </w:tcPr>
          <w:p w14:paraId="000001A5">
            <w:pPr>
              <w:spacing w:before="0" w:beforeAutospacing="0" w:after="0" w:afterAutospacing="0" w:line="240" w:lineRule="auto"/>
              <w:jc w:val="righ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8.78%</w:t>
            </w:r>
          </w:p>
        </w:tc>
        <w:tc>
          <w:tcPr>
            <w:cnfStyle w:val="000000010000"/>
            <w:tcW w:w="820" w:type="dxa"/>
          </w:tcPr>
          <w:p w14:paraId="000001A6">
            <w:pPr>
              <w:spacing w:before="0" w:beforeAutospacing="0" w:after="0" w:afterAutospacing="0" w:line="240" w:lineRule="auto"/>
              <w:jc w:val="righ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12.05%</w:t>
            </w:r>
          </w:p>
        </w:tc>
        <w:tc>
          <w:tcPr>
            <w:cnfStyle w:val="000000010000"/>
            <w:tcW w:w="900" w:type="dxa"/>
          </w:tcPr>
          <w:p w14:paraId="000001A7">
            <w:pPr>
              <w:spacing w:before="0" w:beforeAutospacing="0" w:after="0" w:afterAutospacing="0" w:line="240" w:lineRule="auto"/>
              <w:jc w:val="righ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11.00%</w:t>
            </w:r>
          </w:p>
        </w:tc>
        <w:tc>
          <w:tcPr>
            <w:cnfStyle w:val="000000010000"/>
            <w:tcW w:w="740" w:type="dxa"/>
          </w:tcPr>
          <w:p w14:paraId="000001A8">
            <w:pPr>
              <w:spacing w:before="0" w:beforeAutospacing="0" w:after="0" w:afterAutospacing="0" w:line="240" w:lineRule="auto"/>
              <w:jc w:val="righ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8.12%</w:t>
            </w:r>
          </w:p>
        </w:tc>
      </w:tr>
    </w:tbl>
    <w:p w14:paraId="000001A9">
      <w:pPr>
        <w:rPr>
          <w:color w:val="000000" w:themeColor="text1"/>
          <w:lang w:val="en-US"/>
        </w:rPr>
      </w:pPr>
    </w:p>
    <w:tbl>
      <w:tblPr>
        <w:tblStyle w:val="ListTable3Accent2"/>
        <w:tblW w:w="9080" w:type="dxa"/>
        <w:tblLook w:val="04A0"/>
      </w:tblPr>
      <w:tblGrid>
        <w:gridCol w:w="1880"/>
        <w:gridCol w:w="2900"/>
        <w:gridCol w:w="860"/>
        <w:gridCol w:w="980"/>
        <w:gridCol w:w="820"/>
        <w:gridCol w:w="900"/>
        <w:gridCol w:w="740"/>
      </w:tblGrid>
      <w:tr>
        <w:trPr>
          <w:cnfStyle w:val="100000000000"/>
          <w:trHeight w:val="288"/>
        </w:trPr>
        <w:tc>
          <w:tcPr>
            <w:cnfStyle w:val="101000000000"/>
            <w:tcW w:w="9080" w:type="dxa"/>
            <w:gridSpan w:val="7"/>
          </w:tcPr>
          <w:p w14:paraId="000001AA">
            <w:pPr>
              <w:spacing w:before="0" w:beforeAutospacing="0" w:after="0" w:afterAutospacing="0" w:line="240" w:lineRule="auto"/>
              <w:jc w:val="center"/>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LIQUIDITY RATIOS</w:t>
            </w:r>
          </w:p>
        </w:tc>
      </w:tr>
      <w:tr>
        <w:trPr>
          <w:cnfStyle w:val="000000100000"/>
          <w:trHeight w:val="288"/>
        </w:trPr>
        <w:tc>
          <w:tcPr>
            <w:cnfStyle w:val="001000100000"/>
            <w:tcW w:w="1880" w:type="dxa"/>
          </w:tcPr>
          <w:p w14:paraId="000001AB">
            <w:pPr>
              <w:spacing w:before="0" w:beforeAutospacing="0" w:after="0" w:afterAutospacing="0" w:line="240" w:lineRule="auto"/>
              <w:jc w:val="center"/>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Ratio</w:t>
            </w:r>
          </w:p>
        </w:tc>
        <w:tc>
          <w:tcPr>
            <w:cnfStyle w:val="000000100000"/>
            <w:tcW w:w="2900" w:type="dxa"/>
          </w:tcPr>
          <w:p w14:paraId="000001AC">
            <w:pPr>
              <w:spacing w:before="0" w:beforeAutospacing="0" w:after="0" w:afterAutospacing="0" w:line="240" w:lineRule="auto"/>
              <w:jc w:val="center"/>
              <w:rPr>
                <w:rFonts w:ascii="Calibri" w:cs="Calibri" w:eastAsia="Times New Roman" w:hAnsi="Calibri"/>
                <w:b/>
                <w:bCs/>
                <w:color w:val="000000" w:themeColor="text1"/>
                <w:sz w:val="22"/>
                <w:lang w:val="en-IN" w:eastAsia="en-IN"/>
              </w:rPr>
            </w:pPr>
            <w:r>
              <w:rPr>
                <w:rFonts w:ascii="Calibri" w:cs="Calibri" w:eastAsia="Times New Roman" w:hAnsi="Calibri"/>
                <w:b/>
                <w:bCs/>
                <w:color w:val="000000" w:themeColor="text1"/>
                <w:sz w:val="22"/>
                <w:lang w:val="en-IN" w:eastAsia="en-IN"/>
              </w:rPr>
              <w:t>Formula</w:t>
            </w:r>
          </w:p>
        </w:tc>
        <w:tc>
          <w:tcPr>
            <w:cnfStyle w:val="000000100000"/>
            <w:tcW w:w="860" w:type="dxa"/>
          </w:tcPr>
          <w:p w14:paraId="000001AD">
            <w:pPr>
              <w:spacing w:before="0" w:beforeAutospacing="0" w:after="0" w:afterAutospacing="0" w:line="240" w:lineRule="auto"/>
              <w:jc w:val="center"/>
              <w:rPr>
                <w:rFonts w:ascii="Calibri" w:cs="Calibri" w:eastAsia="Times New Roman" w:hAnsi="Calibri"/>
                <w:b/>
                <w:bCs/>
                <w:color w:val="000000" w:themeColor="text1"/>
                <w:sz w:val="22"/>
                <w:lang w:val="en-IN" w:eastAsia="en-IN"/>
              </w:rPr>
            </w:pPr>
            <w:r>
              <w:rPr>
                <w:rFonts w:ascii="Calibri" w:cs="Calibri" w:eastAsia="Times New Roman" w:hAnsi="Calibri"/>
                <w:b/>
                <w:bCs/>
                <w:color w:val="000000" w:themeColor="text1"/>
                <w:sz w:val="22"/>
                <w:lang w:val="en-IN" w:eastAsia="en-IN"/>
              </w:rPr>
              <w:t>2021</w:t>
            </w:r>
          </w:p>
        </w:tc>
        <w:tc>
          <w:tcPr>
            <w:cnfStyle w:val="000000100000"/>
            <w:tcW w:w="980" w:type="dxa"/>
          </w:tcPr>
          <w:p w14:paraId="000001AE">
            <w:pPr>
              <w:spacing w:before="0" w:beforeAutospacing="0" w:after="0" w:afterAutospacing="0" w:line="240" w:lineRule="auto"/>
              <w:jc w:val="center"/>
              <w:rPr>
                <w:rFonts w:ascii="Calibri" w:cs="Calibri" w:eastAsia="Times New Roman" w:hAnsi="Calibri"/>
                <w:b/>
                <w:bCs/>
                <w:color w:val="000000" w:themeColor="text1"/>
                <w:sz w:val="22"/>
                <w:lang w:val="en-IN" w:eastAsia="en-IN"/>
              </w:rPr>
            </w:pPr>
            <w:r>
              <w:rPr>
                <w:rFonts w:ascii="Calibri" w:cs="Calibri" w:eastAsia="Times New Roman" w:hAnsi="Calibri"/>
                <w:b/>
                <w:bCs/>
                <w:color w:val="000000" w:themeColor="text1"/>
                <w:sz w:val="22"/>
                <w:lang w:val="en-IN" w:eastAsia="en-IN"/>
              </w:rPr>
              <w:t>2022</w:t>
            </w:r>
          </w:p>
        </w:tc>
        <w:tc>
          <w:tcPr>
            <w:cnfStyle w:val="000000100000"/>
            <w:tcW w:w="820" w:type="dxa"/>
          </w:tcPr>
          <w:p w14:paraId="000001AF">
            <w:pPr>
              <w:spacing w:before="0" w:beforeAutospacing="0" w:after="0" w:afterAutospacing="0" w:line="240" w:lineRule="auto"/>
              <w:jc w:val="center"/>
              <w:rPr>
                <w:rFonts w:ascii="Calibri" w:cs="Calibri" w:eastAsia="Times New Roman" w:hAnsi="Calibri"/>
                <w:b/>
                <w:bCs/>
                <w:color w:val="000000" w:themeColor="text1"/>
                <w:sz w:val="22"/>
                <w:lang w:val="en-IN" w:eastAsia="en-IN"/>
              </w:rPr>
            </w:pPr>
            <w:r>
              <w:rPr>
                <w:rFonts w:ascii="Calibri" w:cs="Calibri" w:eastAsia="Times New Roman" w:hAnsi="Calibri"/>
                <w:b/>
                <w:bCs/>
                <w:color w:val="000000" w:themeColor="text1"/>
                <w:sz w:val="22"/>
                <w:lang w:val="en-IN" w:eastAsia="en-IN"/>
              </w:rPr>
              <w:t>2023</w:t>
            </w:r>
          </w:p>
        </w:tc>
        <w:tc>
          <w:tcPr>
            <w:cnfStyle w:val="000000100000"/>
            <w:tcW w:w="900" w:type="dxa"/>
          </w:tcPr>
          <w:p w14:paraId="000001B0">
            <w:pPr>
              <w:spacing w:before="0" w:beforeAutospacing="0" w:after="0" w:afterAutospacing="0" w:line="240" w:lineRule="auto"/>
              <w:jc w:val="center"/>
              <w:rPr>
                <w:rFonts w:ascii="Calibri" w:cs="Calibri" w:eastAsia="Times New Roman" w:hAnsi="Calibri"/>
                <w:b/>
                <w:bCs/>
                <w:color w:val="000000" w:themeColor="text1"/>
                <w:sz w:val="22"/>
                <w:lang w:val="en-IN" w:eastAsia="en-IN"/>
              </w:rPr>
            </w:pPr>
            <w:r>
              <w:rPr>
                <w:rFonts w:ascii="Calibri" w:cs="Calibri" w:eastAsia="Times New Roman" w:hAnsi="Calibri"/>
                <w:b/>
                <w:bCs/>
                <w:color w:val="000000" w:themeColor="text1"/>
                <w:sz w:val="22"/>
                <w:lang w:val="en-IN" w:eastAsia="en-IN"/>
              </w:rPr>
              <w:t>2024</w:t>
            </w:r>
          </w:p>
        </w:tc>
        <w:tc>
          <w:tcPr>
            <w:cnfStyle w:val="000000100000"/>
            <w:tcW w:w="740" w:type="dxa"/>
          </w:tcPr>
          <w:p w14:paraId="000001B1">
            <w:pPr>
              <w:spacing w:before="0" w:beforeAutospacing="0" w:after="0" w:afterAutospacing="0" w:line="240" w:lineRule="auto"/>
              <w:jc w:val="center"/>
              <w:rPr>
                <w:rFonts w:ascii="Calibri" w:cs="Calibri" w:eastAsia="Times New Roman" w:hAnsi="Calibri"/>
                <w:b/>
                <w:bCs/>
                <w:color w:val="000000" w:themeColor="text1"/>
                <w:sz w:val="22"/>
                <w:lang w:val="en-IN" w:eastAsia="en-IN"/>
              </w:rPr>
            </w:pPr>
            <w:r>
              <w:rPr>
                <w:rFonts w:ascii="Calibri" w:cs="Calibri" w:eastAsia="Times New Roman" w:hAnsi="Calibri"/>
                <w:b/>
                <w:bCs/>
                <w:color w:val="000000" w:themeColor="text1"/>
                <w:sz w:val="22"/>
                <w:lang w:val="en-IN" w:eastAsia="en-IN"/>
              </w:rPr>
              <w:t>2025</w:t>
            </w:r>
          </w:p>
        </w:tc>
      </w:tr>
      <w:tr>
        <w:trPr>
          <w:trHeight w:val="288"/>
        </w:trPr>
        <w:tc>
          <w:tcPr>
            <w:cnfStyle w:val="001000010000"/>
            <w:tcW w:w="1880" w:type="dxa"/>
          </w:tcPr>
          <w:p w14:paraId="000001B2">
            <w:pPr>
              <w:spacing w:before="0" w:beforeAutospacing="0" w:after="0" w:afterAutospacing="0" w:line="240" w:lineRule="auto"/>
              <w:jc w:val="lef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Current Ratio</w:t>
            </w:r>
          </w:p>
        </w:tc>
        <w:tc>
          <w:tcPr>
            <w:cnfStyle w:val="000000010000"/>
            <w:tcW w:w="2900" w:type="dxa"/>
          </w:tcPr>
          <w:p w14:paraId="000001B3">
            <w:pPr>
              <w:spacing w:before="0" w:beforeAutospacing="0" w:after="0" w:afterAutospacing="0" w:line="240" w:lineRule="auto"/>
              <w:jc w:val="lef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Current Assets / Current Liabilities</w:t>
            </w:r>
          </w:p>
        </w:tc>
        <w:tc>
          <w:tcPr>
            <w:cnfStyle w:val="000000010000"/>
            <w:tcW w:w="860" w:type="dxa"/>
          </w:tcPr>
          <w:p w14:paraId="000001B4">
            <w:pPr>
              <w:spacing w:before="0" w:beforeAutospacing="0" w:after="0" w:afterAutospacing="0" w:line="240" w:lineRule="auto"/>
              <w:jc w:val="righ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1.38</w:t>
            </w:r>
          </w:p>
        </w:tc>
        <w:tc>
          <w:tcPr>
            <w:cnfStyle w:val="000000010000"/>
            <w:tcW w:w="980" w:type="dxa"/>
          </w:tcPr>
          <w:p w14:paraId="000001B5">
            <w:pPr>
              <w:spacing w:before="0" w:beforeAutospacing="0" w:after="0" w:afterAutospacing="0" w:line="240" w:lineRule="auto"/>
              <w:jc w:val="righ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1.30</w:t>
            </w:r>
          </w:p>
        </w:tc>
        <w:tc>
          <w:tcPr>
            <w:cnfStyle w:val="000000010000"/>
            <w:tcW w:w="820" w:type="dxa"/>
          </w:tcPr>
          <w:p w14:paraId="000001B6">
            <w:pPr>
              <w:spacing w:before="0" w:beforeAutospacing="0" w:after="0" w:afterAutospacing="0" w:line="240" w:lineRule="auto"/>
              <w:jc w:val="righ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1.39</w:t>
            </w:r>
          </w:p>
        </w:tc>
        <w:tc>
          <w:tcPr>
            <w:cnfStyle w:val="000000010000"/>
            <w:tcW w:w="900" w:type="dxa"/>
          </w:tcPr>
          <w:p w14:paraId="000001B7">
            <w:pPr>
              <w:spacing w:before="0" w:beforeAutospacing="0" w:after="0" w:afterAutospacing="0" w:line="240" w:lineRule="auto"/>
              <w:jc w:val="righ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1.46</w:t>
            </w:r>
          </w:p>
        </w:tc>
        <w:tc>
          <w:tcPr>
            <w:cnfStyle w:val="000000010000"/>
            <w:tcW w:w="740" w:type="dxa"/>
          </w:tcPr>
          <w:p w14:paraId="000001B8">
            <w:pPr>
              <w:spacing w:before="0" w:beforeAutospacing="0" w:after="0" w:afterAutospacing="0" w:line="240" w:lineRule="auto"/>
              <w:jc w:val="righ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1.36</w:t>
            </w:r>
          </w:p>
        </w:tc>
      </w:tr>
      <w:tr>
        <w:trPr>
          <w:cnfStyle w:val="000000100000"/>
          <w:trHeight w:val="288"/>
        </w:trPr>
        <w:tc>
          <w:tcPr>
            <w:cnfStyle w:val="001000100000"/>
            <w:tcW w:w="1880" w:type="dxa"/>
          </w:tcPr>
          <w:p w14:paraId="000001B9">
            <w:pPr>
              <w:spacing w:before="0" w:beforeAutospacing="0" w:after="0" w:afterAutospacing="0" w:line="240" w:lineRule="auto"/>
              <w:jc w:val="lef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Quick Ratio</w:t>
            </w:r>
          </w:p>
        </w:tc>
        <w:tc>
          <w:tcPr>
            <w:cnfStyle w:val="000000100000"/>
            <w:tcW w:w="2900" w:type="dxa"/>
          </w:tcPr>
          <w:p w14:paraId="000001BA">
            <w:pPr>
              <w:spacing w:before="0" w:beforeAutospacing="0" w:after="0" w:afterAutospacing="0" w:line="240" w:lineRule="auto"/>
              <w:jc w:val="lef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(CA − Inventory) / CL</w:t>
            </w:r>
          </w:p>
        </w:tc>
        <w:tc>
          <w:tcPr>
            <w:cnfStyle w:val="000000100000"/>
            <w:tcW w:w="860" w:type="dxa"/>
          </w:tcPr>
          <w:p w14:paraId="000001BB">
            <w:pPr>
              <w:spacing w:before="0" w:beforeAutospacing="0" w:after="0" w:afterAutospacing="0" w:line="240" w:lineRule="auto"/>
              <w:jc w:val="righ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1.20</w:t>
            </w:r>
          </w:p>
        </w:tc>
        <w:tc>
          <w:tcPr>
            <w:cnfStyle w:val="000000100000"/>
            <w:tcW w:w="980" w:type="dxa"/>
          </w:tcPr>
          <w:p w14:paraId="000001BC">
            <w:pPr>
              <w:spacing w:before="0" w:beforeAutospacing="0" w:after="0" w:afterAutospacing="0" w:line="240" w:lineRule="auto"/>
              <w:jc w:val="righ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1.11</w:t>
            </w:r>
          </w:p>
        </w:tc>
        <w:tc>
          <w:tcPr>
            <w:cnfStyle w:val="000000100000"/>
            <w:tcW w:w="820" w:type="dxa"/>
          </w:tcPr>
          <w:p w14:paraId="000001BD">
            <w:pPr>
              <w:spacing w:before="0" w:beforeAutospacing="0" w:after="0" w:afterAutospacing="0" w:line="240" w:lineRule="auto"/>
              <w:jc w:val="righ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1.15</w:t>
            </w:r>
          </w:p>
        </w:tc>
        <w:tc>
          <w:tcPr>
            <w:cnfStyle w:val="000000100000"/>
            <w:tcW w:w="900" w:type="dxa"/>
          </w:tcPr>
          <w:p w14:paraId="000001BE">
            <w:pPr>
              <w:spacing w:before="0" w:beforeAutospacing="0" w:after="0" w:afterAutospacing="0" w:line="240" w:lineRule="auto"/>
              <w:jc w:val="righ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1.21</w:t>
            </w:r>
          </w:p>
        </w:tc>
        <w:tc>
          <w:tcPr>
            <w:cnfStyle w:val="000000100000"/>
            <w:tcW w:w="740" w:type="dxa"/>
          </w:tcPr>
          <w:p w14:paraId="000001BF">
            <w:pPr>
              <w:spacing w:before="0" w:beforeAutospacing="0" w:after="0" w:afterAutospacing="0" w:line="240" w:lineRule="auto"/>
              <w:jc w:val="righ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1.13</w:t>
            </w:r>
          </w:p>
        </w:tc>
      </w:tr>
    </w:tbl>
    <w:p w14:paraId="000001C0">
      <w:pPr>
        <w:rPr>
          <w:color w:val="000000" w:themeColor="text1"/>
          <w:lang w:val="en-US"/>
        </w:rPr>
      </w:pPr>
    </w:p>
    <w:tbl>
      <w:tblPr>
        <w:tblStyle w:val="ListTable3Accent2"/>
        <w:tblW w:w="9080" w:type="dxa"/>
        <w:tblLook w:val="04A0"/>
      </w:tblPr>
      <w:tblGrid>
        <w:gridCol w:w="1880"/>
        <w:gridCol w:w="2900"/>
        <w:gridCol w:w="860"/>
        <w:gridCol w:w="980"/>
        <w:gridCol w:w="820"/>
        <w:gridCol w:w="900"/>
        <w:gridCol w:w="740"/>
      </w:tblGrid>
      <w:tr>
        <w:trPr>
          <w:cnfStyle w:val="100000000000"/>
          <w:trHeight w:val="288"/>
        </w:trPr>
        <w:tc>
          <w:tcPr>
            <w:cnfStyle w:val="101000000000"/>
            <w:tcW w:w="9080" w:type="dxa"/>
            <w:gridSpan w:val="7"/>
          </w:tcPr>
          <w:p w14:paraId="000001C1">
            <w:pPr>
              <w:spacing w:before="0" w:beforeAutospacing="0" w:after="0" w:afterAutospacing="0" w:line="240" w:lineRule="auto"/>
              <w:jc w:val="center"/>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EFFICIENCY RATIOS</w:t>
            </w:r>
          </w:p>
        </w:tc>
      </w:tr>
      <w:tr>
        <w:trPr>
          <w:cnfStyle w:val="000000100000"/>
          <w:trHeight w:val="288"/>
        </w:trPr>
        <w:tc>
          <w:tcPr>
            <w:cnfStyle w:val="001000100000"/>
            <w:tcW w:w="1880" w:type="dxa"/>
          </w:tcPr>
          <w:p w14:paraId="000001C2">
            <w:pPr>
              <w:spacing w:before="0" w:beforeAutospacing="0" w:after="0" w:afterAutospacing="0" w:line="240" w:lineRule="auto"/>
              <w:jc w:val="center"/>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Ratio</w:t>
            </w:r>
          </w:p>
        </w:tc>
        <w:tc>
          <w:tcPr>
            <w:cnfStyle w:val="000000100000"/>
            <w:tcW w:w="2900" w:type="dxa"/>
          </w:tcPr>
          <w:p w14:paraId="000001C3">
            <w:pPr>
              <w:spacing w:before="0" w:beforeAutospacing="0" w:after="0" w:afterAutospacing="0" w:line="240" w:lineRule="auto"/>
              <w:jc w:val="center"/>
              <w:rPr>
                <w:rFonts w:ascii="Calibri" w:cs="Calibri" w:eastAsia="Times New Roman" w:hAnsi="Calibri"/>
                <w:b/>
                <w:bCs/>
                <w:color w:val="000000" w:themeColor="text1"/>
                <w:sz w:val="22"/>
                <w:lang w:val="en-IN" w:eastAsia="en-IN"/>
              </w:rPr>
            </w:pPr>
            <w:r>
              <w:rPr>
                <w:rFonts w:ascii="Calibri" w:cs="Calibri" w:eastAsia="Times New Roman" w:hAnsi="Calibri"/>
                <w:b/>
                <w:bCs/>
                <w:color w:val="000000" w:themeColor="text1"/>
                <w:sz w:val="22"/>
                <w:lang w:val="en-IN" w:eastAsia="en-IN"/>
              </w:rPr>
              <w:t>Formula</w:t>
            </w:r>
          </w:p>
        </w:tc>
        <w:tc>
          <w:tcPr>
            <w:cnfStyle w:val="000000100000"/>
            <w:tcW w:w="860" w:type="dxa"/>
          </w:tcPr>
          <w:p w14:paraId="000001C4">
            <w:pPr>
              <w:spacing w:before="0" w:beforeAutospacing="0" w:after="0" w:afterAutospacing="0" w:line="240" w:lineRule="auto"/>
              <w:jc w:val="center"/>
              <w:rPr>
                <w:rFonts w:ascii="Calibri" w:cs="Calibri" w:eastAsia="Times New Roman" w:hAnsi="Calibri"/>
                <w:b/>
                <w:bCs/>
                <w:color w:val="000000" w:themeColor="text1"/>
                <w:sz w:val="22"/>
                <w:lang w:val="en-IN" w:eastAsia="en-IN"/>
              </w:rPr>
            </w:pPr>
            <w:r>
              <w:rPr>
                <w:rFonts w:ascii="Calibri" w:cs="Calibri" w:eastAsia="Times New Roman" w:hAnsi="Calibri"/>
                <w:b/>
                <w:bCs/>
                <w:color w:val="000000" w:themeColor="text1"/>
                <w:sz w:val="22"/>
                <w:lang w:val="en-IN" w:eastAsia="en-IN"/>
              </w:rPr>
              <w:t>2021</w:t>
            </w:r>
          </w:p>
        </w:tc>
        <w:tc>
          <w:tcPr>
            <w:cnfStyle w:val="000000100000"/>
            <w:tcW w:w="980" w:type="dxa"/>
          </w:tcPr>
          <w:p w14:paraId="000001C5">
            <w:pPr>
              <w:spacing w:before="0" w:beforeAutospacing="0" w:after="0" w:afterAutospacing="0" w:line="240" w:lineRule="auto"/>
              <w:jc w:val="center"/>
              <w:rPr>
                <w:rFonts w:ascii="Calibri" w:cs="Calibri" w:eastAsia="Times New Roman" w:hAnsi="Calibri"/>
                <w:b/>
                <w:bCs/>
                <w:color w:val="000000" w:themeColor="text1"/>
                <w:sz w:val="22"/>
                <w:lang w:val="en-IN" w:eastAsia="en-IN"/>
              </w:rPr>
            </w:pPr>
            <w:r>
              <w:rPr>
                <w:rFonts w:ascii="Calibri" w:cs="Calibri" w:eastAsia="Times New Roman" w:hAnsi="Calibri"/>
                <w:b/>
                <w:bCs/>
                <w:color w:val="000000" w:themeColor="text1"/>
                <w:sz w:val="22"/>
                <w:lang w:val="en-IN" w:eastAsia="en-IN"/>
              </w:rPr>
              <w:t>2022</w:t>
            </w:r>
          </w:p>
        </w:tc>
        <w:tc>
          <w:tcPr>
            <w:cnfStyle w:val="000000100000"/>
            <w:tcW w:w="820" w:type="dxa"/>
          </w:tcPr>
          <w:p w14:paraId="000001C6">
            <w:pPr>
              <w:spacing w:before="0" w:beforeAutospacing="0" w:after="0" w:afterAutospacing="0" w:line="240" w:lineRule="auto"/>
              <w:jc w:val="center"/>
              <w:rPr>
                <w:rFonts w:ascii="Calibri" w:cs="Calibri" w:eastAsia="Times New Roman" w:hAnsi="Calibri"/>
                <w:b/>
                <w:bCs/>
                <w:color w:val="000000" w:themeColor="text1"/>
                <w:sz w:val="22"/>
                <w:lang w:val="en-IN" w:eastAsia="en-IN"/>
              </w:rPr>
            </w:pPr>
            <w:r>
              <w:rPr>
                <w:rFonts w:ascii="Calibri" w:cs="Calibri" w:eastAsia="Times New Roman" w:hAnsi="Calibri"/>
                <w:b/>
                <w:bCs/>
                <w:color w:val="000000" w:themeColor="text1"/>
                <w:sz w:val="22"/>
                <w:lang w:val="en-IN" w:eastAsia="en-IN"/>
              </w:rPr>
              <w:t>2023</w:t>
            </w:r>
          </w:p>
        </w:tc>
        <w:tc>
          <w:tcPr>
            <w:cnfStyle w:val="000000100000"/>
            <w:tcW w:w="900" w:type="dxa"/>
          </w:tcPr>
          <w:p w14:paraId="000001C7">
            <w:pPr>
              <w:spacing w:before="0" w:beforeAutospacing="0" w:after="0" w:afterAutospacing="0" w:line="240" w:lineRule="auto"/>
              <w:jc w:val="center"/>
              <w:rPr>
                <w:rFonts w:ascii="Calibri" w:cs="Calibri" w:eastAsia="Times New Roman" w:hAnsi="Calibri"/>
                <w:b/>
                <w:bCs/>
                <w:color w:val="000000" w:themeColor="text1"/>
                <w:sz w:val="22"/>
                <w:lang w:val="en-IN" w:eastAsia="en-IN"/>
              </w:rPr>
            </w:pPr>
            <w:r>
              <w:rPr>
                <w:rFonts w:ascii="Calibri" w:cs="Calibri" w:eastAsia="Times New Roman" w:hAnsi="Calibri"/>
                <w:b/>
                <w:bCs/>
                <w:color w:val="000000" w:themeColor="text1"/>
                <w:sz w:val="22"/>
                <w:lang w:val="en-IN" w:eastAsia="en-IN"/>
              </w:rPr>
              <w:t>2024</w:t>
            </w:r>
          </w:p>
        </w:tc>
        <w:tc>
          <w:tcPr>
            <w:cnfStyle w:val="000000100000"/>
            <w:tcW w:w="740" w:type="dxa"/>
          </w:tcPr>
          <w:p w14:paraId="000001C8">
            <w:pPr>
              <w:spacing w:before="0" w:beforeAutospacing="0" w:after="0" w:afterAutospacing="0" w:line="240" w:lineRule="auto"/>
              <w:jc w:val="center"/>
              <w:rPr>
                <w:rFonts w:ascii="Calibri" w:cs="Calibri" w:eastAsia="Times New Roman" w:hAnsi="Calibri"/>
                <w:b/>
                <w:bCs/>
                <w:color w:val="000000" w:themeColor="text1"/>
                <w:sz w:val="22"/>
                <w:lang w:val="en-IN" w:eastAsia="en-IN"/>
              </w:rPr>
            </w:pPr>
            <w:r>
              <w:rPr>
                <w:rFonts w:ascii="Calibri" w:cs="Calibri" w:eastAsia="Times New Roman" w:hAnsi="Calibri"/>
                <w:b/>
                <w:bCs/>
                <w:color w:val="000000" w:themeColor="text1"/>
                <w:sz w:val="22"/>
                <w:lang w:val="en-IN" w:eastAsia="en-IN"/>
              </w:rPr>
              <w:t>2025</w:t>
            </w:r>
          </w:p>
        </w:tc>
      </w:tr>
      <w:tr>
        <w:trPr>
          <w:trHeight w:val="576"/>
        </w:trPr>
        <w:tc>
          <w:tcPr>
            <w:cnfStyle w:val="001000010000"/>
            <w:tcW w:w="1880" w:type="dxa"/>
          </w:tcPr>
          <w:p w14:paraId="000001C9">
            <w:pPr>
              <w:spacing w:before="0" w:beforeAutospacing="0" w:after="0" w:afterAutospacing="0" w:line="240" w:lineRule="auto"/>
              <w:jc w:val="lef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Inventory Turnover</w:t>
            </w:r>
          </w:p>
        </w:tc>
        <w:tc>
          <w:tcPr>
            <w:cnfStyle w:val="000000010000"/>
            <w:tcW w:w="2900" w:type="dxa"/>
          </w:tcPr>
          <w:p w14:paraId="000001CA">
            <w:pPr>
              <w:spacing w:before="0" w:beforeAutospacing="0" w:after="0" w:afterAutospacing="0" w:line="240" w:lineRule="auto"/>
              <w:jc w:val="lef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COGS / Inventory</w:t>
            </w:r>
          </w:p>
        </w:tc>
        <w:tc>
          <w:tcPr>
            <w:cnfStyle w:val="000000010000"/>
            <w:tcW w:w="860" w:type="dxa"/>
          </w:tcPr>
          <w:p w14:paraId="000001CB">
            <w:pPr>
              <w:spacing w:before="0" w:beforeAutospacing="0" w:after="0" w:afterAutospacing="0" w:line="240" w:lineRule="auto"/>
              <w:jc w:val="righ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8.2</w:t>
            </w:r>
          </w:p>
        </w:tc>
        <w:tc>
          <w:tcPr>
            <w:cnfStyle w:val="000000010000"/>
            <w:tcW w:w="980" w:type="dxa"/>
          </w:tcPr>
          <w:p w14:paraId="000001CC">
            <w:pPr>
              <w:spacing w:before="0" w:beforeAutospacing="0" w:after="0" w:afterAutospacing="0" w:line="240" w:lineRule="auto"/>
              <w:jc w:val="righ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8.0</w:t>
            </w:r>
          </w:p>
        </w:tc>
        <w:tc>
          <w:tcPr>
            <w:cnfStyle w:val="000000010000"/>
            <w:tcW w:w="820" w:type="dxa"/>
          </w:tcPr>
          <w:p w14:paraId="000001CD">
            <w:pPr>
              <w:spacing w:before="0" w:beforeAutospacing="0" w:after="0" w:afterAutospacing="0" w:line="240" w:lineRule="auto"/>
              <w:jc w:val="righ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7.4</w:t>
            </w:r>
          </w:p>
        </w:tc>
        <w:tc>
          <w:tcPr>
            <w:cnfStyle w:val="000000010000"/>
            <w:tcW w:w="900" w:type="dxa"/>
          </w:tcPr>
          <w:p w14:paraId="000001CE">
            <w:pPr>
              <w:spacing w:before="0" w:beforeAutospacing="0" w:after="0" w:afterAutospacing="0" w:line="240" w:lineRule="auto"/>
              <w:jc w:val="righ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7.0</w:t>
            </w:r>
          </w:p>
        </w:tc>
        <w:tc>
          <w:tcPr>
            <w:cnfStyle w:val="000000010000"/>
            <w:tcW w:w="740" w:type="dxa"/>
          </w:tcPr>
          <w:p w14:paraId="000001CF">
            <w:pPr>
              <w:spacing w:before="0" w:beforeAutospacing="0" w:after="0" w:afterAutospacing="0" w:line="240" w:lineRule="auto"/>
              <w:jc w:val="righ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7.4</w:t>
            </w:r>
          </w:p>
        </w:tc>
      </w:tr>
      <w:tr>
        <w:trPr>
          <w:cnfStyle w:val="000000100000"/>
          <w:trHeight w:val="576"/>
        </w:trPr>
        <w:tc>
          <w:tcPr>
            <w:cnfStyle w:val="001000100000"/>
            <w:tcW w:w="1880" w:type="dxa"/>
          </w:tcPr>
          <w:p w14:paraId="000001D0">
            <w:pPr>
              <w:spacing w:before="0" w:beforeAutospacing="0" w:after="0" w:afterAutospacing="0" w:line="240" w:lineRule="auto"/>
              <w:jc w:val="lef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Receivable Turnover</w:t>
            </w:r>
          </w:p>
        </w:tc>
        <w:tc>
          <w:tcPr>
            <w:cnfStyle w:val="000000100000"/>
            <w:tcW w:w="2900" w:type="dxa"/>
          </w:tcPr>
          <w:p w14:paraId="000001D1">
            <w:pPr>
              <w:spacing w:before="0" w:beforeAutospacing="0" w:after="0" w:afterAutospacing="0" w:line="240" w:lineRule="auto"/>
              <w:jc w:val="lef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Revenue / Receivables</w:t>
            </w:r>
          </w:p>
        </w:tc>
        <w:tc>
          <w:tcPr>
            <w:cnfStyle w:val="000000100000"/>
            <w:tcW w:w="860" w:type="dxa"/>
          </w:tcPr>
          <w:p w14:paraId="000001D2">
            <w:pPr>
              <w:spacing w:before="0" w:beforeAutospacing="0" w:after="0" w:afterAutospacing="0" w:line="240" w:lineRule="auto"/>
              <w:jc w:val="righ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37.4</w:t>
            </w:r>
          </w:p>
        </w:tc>
        <w:tc>
          <w:tcPr>
            <w:cnfStyle w:val="000000100000"/>
            <w:tcW w:w="980" w:type="dxa"/>
          </w:tcPr>
          <w:p w14:paraId="000001D3">
            <w:pPr>
              <w:spacing w:before="0" w:beforeAutospacing="0" w:after="0" w:afterAutospacing="0" w:line="240" w:lineRule="auto"/>
              <w:jc w:val="righ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33.3</w:t>
            </w:r>
          </w:p>
        </w:tc>
        <w:tc>
          <w:tcPr>
            <w:cnfStyle w:val="000000100000"/>
            <w:tcW w:w="820" w:type="dxa"/>
          </w:tcPr>
          <w:p w14:paraId="000001D4">
            <w:pPr>
              <w:spacing w:before="0" w:beforeAutospacing="0" w:after="0" w:afterAutospacing="0" w:line="240" w:lineRule="auto"/>
              <w:jc w:val="righ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34.7</w:t>
            </w:r>
          </w:p>
        </w:tc>
        <w:tc>
          <w:tcPr>
            <w:cnfStyle w:val="000000100000"/>
            <w:tcW w:w="900" w:type="dxa"/>
          </w:tcPr>
          <w:p w14:paraId="000001D5">
            <w:pPr>
              <w:spacing w:before="0" w:beforeAutospacing="0" w:after="0" w:afterAutospacing="0" w:line="240" w:lineRule="auto"/>
              <w:jc w:val="righ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29.7</w:t>
            </w:r>
          </w:p>
        </w:tc>
        <w:tc>
          <w:tcPr>
            <w:cnfStyle w:val="000000100000"/>
            <w:tcW w:w="740" w:type="dxa"/>
          </w:tcPr>
          <w:p w14:paraId="000001D6">
            <w:pPr>
              <w:spacing w:before="0" w:beforeAutospacing="0" w:after="0" w:afterAutospacing="0" w:line="240" w:lineRule="auto"/>
              <w:jc w:val="righ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21.7</w:t>
            </w:r>
          </w:p>
        </w:tc>
      </w:tr>
    </w:tbl>
    <w:p w14:paraId="000001D7">
      <w:pPr>
        <w:rPr>
          <w:color w:val="000000" w:themeColor="text1"/>
          <w:lang w:val="en-US"/>
        </w:rPr>
      </w:pPr>
    </w:p>
    <w:tbl>
      <w:tblPr>
        <w:tblStyle w:val="ListTable3Accent2"/>
        <w:tblW w:w="9080" w:type="dxa"/>
        <w:tblLook w:val="04A0"/>
      </w:tblPr>
      <w:tblGrid>
        <w:gridCol w:w="1880"/>
        <w:gridCol w:w="2900"/>
        <w:gridCol w:w="860"/>
        <w:gridCol w:w="980"/>
        <w:gridCol w:w="820"/>
        <w:gridCol w:w="900"/>
        <w:gridCol w:w="740"/>
      </w:tblGrid>
      <w:tr>
        <w:trPr>
          <w:cnfStyle w:val="100000000000"/>
          <w:trHeight w:val="288"/>
        </w:trPr>
        <w:tc>
          <w:tcPr>
            <w:cnfStyle w:val="101000000000"/>
            <w:tcW w:w="9080" w:type="dxa"/>
            <w:gridSpan w:val="7"/>
          </w:tcPr>
          <w:p w14:paraId="000001D8">
            <w:pPr>
              <w:spacing w:before="0" w:beforeAutospacing="0" w:after="0" w:afterAutospacing="0" w:line="240" w:lineRule="auto"/>
              <w:jc w:val="center"/>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WORKING CAPITAL CYCLE</w:t>
            </w:r>
          </w:p>
        </w:tc>
      </w:tr>
      <w:tr>
        <w:trPr>
          <w:cnfStyle w:val="000000100000"/>
          <w:trHeight w:val="288"/>
        </w:trPr>
        <w:tc>
          <w:tcPr>
            <w:cnfStyle w:val="001000100000"/>
            <w:tcW w:w="1880" w:type="dxa"/>
          </w:tcPr>
          <w:p w14:paraId="000001D9">
            <w:pPr>
              <w:spacing w:before="0" w:beforeAutospacing="0" w:after="0" w:afterAutospacing="0" w:line="240" w:lineRule="auto"/>
              <w:jc w:val="center"/>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Particulars</w:t>
            </w:r>
          </w:p>
        </w:tc>
        <w:tc>
          <w:tcPr>
            <w:cnfStyle w:val="000000100000"/>
            <w:tcW w:w="2900" w:type="dxa"/>
          </w:tcPr>
          <w:p w14:paraId="000001DA">
            <w:pPr>
              <w:spacing w:before="0" w:beforeAutospacing="0" w:after="0" w:afterAutospacing="0" w:line="240" w:lineRule="auto"/>
              <w:jc w:val="center"/>
              <w:rPr>
                <w:rFonts w:ascii="Calibri" w:cs="Calibri" w:eastAsia="Times New Roman" w:hAnsi="Calibri"/>
                <w:b/>
                <w:bCs/>
                <w:color w:val="000000" w:themeColor="text1"/>
                <w:sz w:val="22"/>
                <w:lang w:val="en-IN" w:eastAsia="en-IN"/>
              </w:rPr>
            </w:pPr>
            <w:r>
              <w:rPr>
                <w:rFonts w:ascii="Calibri" w:cs="Calibri" w:eastAsia="Times New Roman" w:hAnsi="Calibri"/>
                <w:b/>
                <w:bCs/>
                <w:color w:val="000000" w:themeColor="text1"/>
                <w:sz w:val="22"/>
                <w:lang w:val="en-IN" w:eastAsia="en-IN"/>
              </w:rPr>
              <w:t>Formula (Full Form)</w:t>
            </w:r>
          </w:p>
        </w:tc>
        <w:tc>
          <w:tcPr>
            <w:cnfStyle w:val="000000100000"/>
            <w:tcW w:w="860" w:type="dxa"/>
          </w:tcPr>
          <w:p w14:paraId="000001DB">
            <w:pPr>
              <w:spacing w:before="0" w:beforeAutospacing="0" w:after="0" w:afterAutospacing="0" w:line="240" w:lineRule="auto"/>
              <w:jc w:val="center"/>
              <w:rPr>
                <w:rFonts w:ascii="Calibri" w:cs="Calibri" w:eastAsia="Times New Roman" w:hAnsi="Calibri"/>
                <w:b/>
                <w:bCs/>
                <w:color w:val="000000" w:themeColor="text1"/>
                <w:sz w:val="22"/>
                <w:lang w:val="en-IN" w:eastAsia="en-IN"/>
              </w:rPr>
            </w:pPr>
            <w:r>
              <w:rPr>
                <w:rFonts w:ascii="Calibri" w:cs="Calibri" w:eastAsia="Times New Roman" w:hAnsi="Calibri"/>
                <w:b/>
                <w:bCs/>
                <w:color w:val="000000" w:themeColor="text1"/>
                <w:sz w:val="22"/>
                <w:lang w:val="en-IN" w:eastAsia="en-IN"/>
              </w:rPr>
              <w:t>2021</w:t>
            </w:r>
          </w:p>
        </w:tc>
        <w:tc>
          <w:tcPr>
            <w:cnfStyle w:val="000000100000"/>
            <w:tcW w:w="980" w:type="dxa"/>
          </w:tcPr>
          <w:p w14:paraId="000001DC">
            <w:pPr>
              <w:spacing w:before="0" w:beforeAutospacing="0" w:after="0" w:afterAutospacing="0" w:line="240" w:lineRule="auto"/>
              <w:jc w:val="center"/>
              <w:rPr>
                <w:rFonts w:ascii="Calibri" w:cs="Calibri" w:eastAsia="Times New Roman" w:hAnsi="Calibri"/>
                <w:b/>
                <w:bCs/>
                <w:color w:val="000000" w:themeColor="text1"/>
                <w:sz w:val="22"/>
                <w:lang w:val="en-IN" w:eastAsia="en-IN"/>
              </w:rPr>
            </w:pPr>
            <w:r>
              <w:rPr>
                <w:rFonts w:ascii="Calibri" w:cs="Calibri" w:eastAsia="Times New Roman" w:hAnsi="Calibri"/>
                <w:b/>
                <w:bCs/>
                <w:color w:val="000000" w:themeColor="text1"/>
                <w:sz w:val="22"/>
                <w:lang w:val="en-IN" w:eastAsia="en-IN"/>
              </w:rPr>
              <w:t>2022</w:t>
            </w:r>
          </w:p>
        </w:tc>
        <w:tc>
          <w:tcPr>
            <w:cnfStyle w:val="000000100000"/>
            <w:tcW w:w="820" w:type="dxa"/>
          </w:tcPr>
          <w:p w14:paraId="000001DD">
            <w:pPr>
              <w:spacing w:before="0" w:beforeAutospacing="0" w:after="0" w:afterAutospacing="0" w:line="240" w:lineRule="auto"/>
              <w:jc w:val="center"/>
              <w:rPr>
                <w:rFonts w:ascii="Calibri" w:cs="Calibri" w:eastAsia="Times New Roman" w:hAnsi="Calibri"/>
                <w:b/>
                <w:bCs/>
                <w:color w:val="000000" w:themeColor="text1"/>
                <w:sz w:val="22"/>
                <w:lang w:val="en-IN" w:eastAsia="en-IN"/>
              </w:rPr>
            </w:pPr>
            <w:r>
              <w:rPr>
                <w:rFonts w:ascii="Calibri" w:cs="Calibri" w:eastAsia="Times New Roman" w:hAnsi="Calibri"/>
                <w:b/>
                <w:bCs/>
                <w:color w:val="000000" w:themeColor="text1"/>
                <w:sz w:val="22"/>
                <w:lang w:val="en-IN" w:eastAsia="en-IN"/>
              </w:rPr>
              <w:t>2023</w:t>
            </w:r>
          </w:p>
        </w:tc>
        <w:tc>
          <w:tcPr>
            <w:cnfStyle w:val="000000100000"/>
            <w:tcW w:w="900" w:type="dxa"/>
          </w:tcPr>
          <w:p w14:paraId="000001DE">
            <w:pPr>
              <w:spacing w:before="0" w:beforeAutospacing="0" w:after="0" w:afterAutospacing="0" w:line="240" w:lineRule="auto"/>
              <w:jc w:val="center"/>
              <w:rPr>
                <w:rFonts w:ascii="Calibri" w:cs="Calibri" w:eastAsia="Times New Roman" w:hAnsi="Calibri"/>
                <w:b/>
                <w:bCs/>
                <w:color w:val="000000" w:themeColor="text1"/>
                <w:sz w:val="22"/>
                <w:lang w:val="en-IN" w:eastAsia="en-IN"/>
              </w:rPr>
            </w:pPr>
            <w:r>
              <w:rPr>
                <w:rFonts w:ascii="Calibri" w:cs="Calibri" w:eastAsia="Times New Roman" w:hAnsi="Calibri"/>
                <w:b/>
                <w:bCs/>
                <w:color w:val="000000" w:themeColor="text1"/>
                <w:sz w:val="22"/>
                <w:lang w:val="en-IN" w:eastAsia="en-IN"/>
              </w:rPr>
              <w:t>2024</w:t>
            </w:r>
          </w:p>
        </w:tc>
        <w:tc>
          <w:tcPr>
            <w:cnfStyle w:val="000000100000"/>
            <w:tcW w:w="740" w:type="dxa"/>
          </w:tcPr>
          <w:p w14:paraId="000001DF">
            <w:pPr>
              <w:spacing w:before="0" w:beforeAutospacing="0" w:after="0" w:afterAutospacing="0" w:line="240" w:lineRule="auto"/>
              <w:jc w:val="center"/>
              <w:rPr>
                <w:rFonts w:ascii="Calibri" w:cs="Calibri" w:eastAsia="Times New Roman" w:hAnsi="Calibri"/>
                <w:b/>
                <w:bCs/>
                <w:color w:val="000000" w:themeColor="text1"/>
                <w:sz w:val="22"/>
                <w:lang w:val="en-IN" w:eastAsia="en-IN"/>
              </w:rPr>
            </w:pPr>
            <w:r>
              <w:rPr>
                <w:rFonts w:ascii="Calibri" w:cs="Calibri" w:eastAsia="Times New Roman" w:hAnsi="Calibri"/>
                <w:b/>
                <w:bCs/>
                <w:color w:val="000000" w:themeColor="text1"/>
                <w:sz w:val="22"/>
                <w:lang w:val="en-IN" w:eastAsia="en-IN"/>
              </w:rPr>
              <w:t>2025</w:t>
            </w:r>
          </w:p>
        </w:tc>
      </w:tr>
      <w:tr>
        <w:trPr>
          <w:trHeight w:val="576"/>
        </w:trPr>
        <w:tc>
          <w:tcPr>
            <w:cnfStyle w:val="001000010000"/>
            <w:tcW w:w="1880" w:type="dxa"/>
          </w:tcPr>
          <w:p w14:paraId="000001E0">
            <w:pPr>
              <w:spacing w:before="0" w:beforeAutospacing="0" w:after="0" w:afterAutospacing="0" w:line="240" w:lineRule="auto"/>
              <w:jc w:val="lef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Days Inventory Outstanding</w:t>
            </w:r>
          </w:p>
        </w:tc>
        <w:tc>
          <w:tcPr>
            <w:cnfStyle w:val="000000010000"/>
            <w:tcW w:w="2900" w:type="dxa"/>
          </w:tcPr>
          <w:p w14:paraId="000001E1">
            <w:pPr>
              <w:spacing w:before="0" w:beforeAutospacing="0" w:after="0" w:afterAutospacing="0" w:line="240" w:lineRule="auto"/>
              <w:jc w:val="lef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365 / Inventory Turnover</w:t>
            </w:r>
          </w:p>
        </w:tc>
        <w:tc>
          <w:tcPr>
            <w:cnfStyle w:val="000000010000"/>
            <w:tcW w:w="860" w:type="dxa"/>
          </w:tcPr>
          <w:p w14:paraId="000001E2">
            <w:pPr>
              <w:spacing w:before="0" w:beforeAutospacing="0" w:after="0" w:afterAutospacing="0" w:line="240" w:lineRule="auto"/>
              <w:jc w:val="righ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44</w:t>
            </w:r>
          </w:p>
        </w:tc>
        <w:tc>
          <w:tcPr>
            <w:cnfStyle w:val="000000010000"/>
            <w:tcW w:w="980" w:type="dxa"/>
          </w:tcPr>
          <w:p w14:paraId="000001E3">
            <w:pPr>
              <w:spacing w:before="0" w:beforeAutospacing="0" w:after="0" w:afterAutospacing="0" w:line="240" w:lineRule="auto"/>
              <w:jc w:val="righ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46</w:t>
            </w:r>
          </w:p>
        </w:tc>
        <w:tc>
          <w:tcPr>
            <w:cnfStyle w:val="000000010000"/>
            <w:tcW w:w="820" w:type="dxa"/>
          </w:tcPr>
          <w:p w14:paraId="000001E4">
            <w:pPr>
              <w:spacing w:before="0" w:beforeAutospacing="0" w:after="0" w:afterAutospacing="0" w:line="240" w:lineRule="auto"/>
              <w:jc w:val="righ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49</w:t>
            </w:r>
          </w:p>
        </w:tc>
        <w:tc>
          <w:tcPr>
            <w:cnfStyle w:val="000000010000"/>
            <w:tcW w:w="900" w:type="dxa"/>
          </w:tcPr>
          <w:p w14:paraId="000001E5">
            <w:pPr>
              <w:spacing w:before="0" w:beforeAutospacing="0" w:after="0" w:afterAutospacing="0" w:line="240" w:lineRule="auto"/>
              <w:jc w:val="righ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52</w:t>
            </w:r>
          </w:p>
        </w:tc>
        <w:tc>
          <w:tcPr>
            <w:cnfStyle w:val="000000010000"/>
            <w:tcW w:w="740" w:type="dxa"/>
          </w:tcPr>
          <w:p w14:paraId="000001E6">
            <w:pPr>
              <w:spacing w:before="0" w:beforeAutospacing="0" w:after="0" w:afterAutospacing="0" w:line="240" w:lineRule="auto"/>
              <w:jc w:val="righ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50</w:t>
            </w:r>
          </w:p>
        </w:tc>
      </w:tr>
      <w:tr>
        <w:trPr>
          <w:cnfStyle w:val="000000100000"/>
          <w:trHeight w:val="576"/>
        </w:trPr>
        <w:tc>
          <w:tcPr>
            <w:cnfStyle w:val="001000100000"/>
            <w:tcW w:w="1880" w:type="dxa"/>
          </w:tcPr>
          <w:p w14:paraId="000001E7">
            <w:pPr>
              <w:spacing w:before="0" w:beforeAutospacing="0" w:after="0" w:afterAutospacing="0" w:line="240" w:lineRule="auto"/>
              <w:jc w:val="lef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Days Sales Outstanding</w:t>
            </w:r>
          </w:p>
        </w:tc>
        <w:tc>
          <w:tcPr>
            <w:cnfStyle w:val="000000100000"/>
            <w:tcW w:w="2900" w:type="dxa"/>
          </w:tcPr>
          <w:p w14:paraId="000001E8">
            <w:pPr>
              <w:spacing w:before="0" w:beforeAutospacing="0" w:after="0" w:afterAutospacing="0" w:line="240" w:lineRule="auto"/>
              <w:jc w:val="lef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365 / Receivables Turnover</w:t>
            </w:r>
          </w:p>
        </w:tc>
        <w:tc>
          <w:tcPr>
            <w:cnfStyle w:val="000000100000"/>
            <w:tcW w:w="860" w:type="dxa"/>
          </w:tcPr>
          <w:p w14:paraId="000001E9">
            <w:pPr>
              <w:spacing w:before="0" w:beforeAutospacing="0" w:after="0" w:afterAutospacing="0" w:line="240" w:lineRule="auto"/>
              <w:jc w:val="righ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10</w:t>
            </w:r>
          </w:p>
        </w:tc>
        <w:tc>
          <w:tcPr>
            <w:cnfStyle w:val="000000100000"/>
            <w:tcW w:w="980" w:type="dxa"/>
          </w:tcPr>
          <w:p w14:paraId="000001EA">
            <w:pPr>
              <w:spacing w:before="0" w:beforeAutospacing="0" w:after="0" w:afterAutospacing="0" w:line="240" w:lineRule="auto"/>
              <w:jc w:val="righ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11</w:t>
            </w:r>
          </w:p>
        </w:tc>
        <w:tc>
          <w:tcPr>
            <w:cnfStyle w:val="000000100000"/>
            <w:tcW w:w="820" w:type="dxa"/>
          </w:tcPr>
          <w:p w14:paraId="000001EB">
            <w:pPr>
              <w:spacing w:before="0" w:beforeAutospacing="0" w:after="0" w:afterAutospacing="0" w:line="240" w:lineRule="auto"/>
              <w:jc w:val="righ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11</w:t>
            </w:r>
          </w:p>
        </w:tc>
        <w:tc>
          <w:tcPr>
            <w:cnfStyle w:val="000000100000"/>
            <w:tcW w:w="900" w:type="dxa"/>
          </w:tcPr>
          <w:p w14:paraId="000001EC">
            <w:pPr>
              <w:spacing w:before="0" w:beforeAutospacing="0" w:after="0" w:afterAutospacing="0" w:line="240" w:lineRule="auto"/>
              <w:jc w:val="righ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12</w:t>
            </w:r>
          </w:p>
        </w:tc>
        <w:tc>
          <w:tcPr>
            <w:cnfStyle w:val="000000100000"/>
            <w:tcW w:w="740" w:type="dxa"/>
          </w:tcPr>
          <w:p w14:paraId="000001ED">
            <w:pPr>
              <w:spacing w:before="0" w:beforeAutospacing="0" w:after="0" w:afterAutospacing="0" w:line="240" w:lineRule="auto"/>
              <w:jc w:val="righ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17</w:t>
            </w:r>
          </w:p>
        </w:tc>
      </w:tr>
      <w:tr>
        <w:trPr>
          <w:trHeight w:val="576"/>
        </w:trPr>
        <w:tc>
          <w:tcPr>
            <w:cnfStyle w:val="001000010000"/>
            <w:tcW w:w="1880" w:type="dxa"/>
          </w:tcPr>
          <w:p w14:paraId="000001EE">
            <w:pPr>
              <w:spacing w:before="0" w:beforeAutospacing="0" w:after="0" w:afterAutospacing="0" w:line="240" w:lineRule="auto"/>
              <w:jc w:val="lef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Cash Conversion Cycle</w:t>
            </w:r>
          </w:p>
        </w:tc>
        <w:tc>
          <w:tcPr>
            <w:cnfStyle w:val="000000010000"/>
            <w:tcW w:w="2900" w:type="dxa"/>
          </w:tcPr>
          <w:p w14:paraId="000001EF">
            <w:pPr>
              <w:spacing w:before="0" w:beforeAutospacing="0" w:after="0" w:afterAutospacing="0" w:line="240" w:lineRule="auto"/>
              <w:jc w:val="lef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DIO + DSO</w:t>
            </w:r>
          </w:p>
        </w:tc>
        <w:tc>
          <w:tcPr>
            <w:cnfStyle w:val="000000010000"/>
            <w:tcW w:w="860" w:type="dxa"/>
          </w:tcPr>
          <w:p w14:paraId="000001F0">
            <w:pPr>
              <w:spacing w:before="0" w:beforeAutospacing="0" w:after="0" w:afterAutospacing="0" w:line="240" w:lineRule="auto"/>
              <w:jc w:val="righ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54</w:t>
            </w:r>
          </w:p>
        </w:tc>
        <w:tc>
          <w:tcPr>
            <w:cnfStyle w:val="000000010000"/>
            <w:tcW w:w="980" w:type="dxa"/>
          </w:tcPr>
          <w:p w14:paraId="000001F1">
            <w:pPr>
              <w:spacing w:before="0" w:beforeAutospacing="0" w:after="0" w:afterAutospacing="0" w:line="240" w:lineRule="auto"/>
              <w:jc w:val="righ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57</w:t>
            </w:r>
          </w:p>
        </w:tc>
        <w:tc>
          <w:tcPr>
            <w:cnfStyle w:val="000000010000"/>
            <w:tcW w:w="820" w:type="dxa"/>
          </w:tcPr>
          <w:p w14:paraId="000001F2">
            <w:pPr>
              <w:spacing w:before="0" w:beforeAutospacing="0" w:after="0" w:afterAutospacing="0" w:line="240" w:lineRule="auto"/>
              <w:jc w:val="righ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60</w:t>
            </w:r>
          </w:p>
        </w:tc>
        <w:tc>
          <w:tcPr>
            <w:cnfStyle w:val="000000010000"/>
            <w:tcW w:w="900" w:type="dxa"/>
          </w:tcPr>
          <w:p w14:paraId="000001F3">
            <w:pPr>
              <w:spacing w:before="0" w:beforeAutospacing="0" w:after="0" w:afterAutospacing="0" w:line="240" w:lineRule="auto"/>
              <w:jc w:val="righ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64</w:t>
            </w:r>
          </w:p>
        </w:tc>
        <w:tc>
          <w:tcPr>
            <w:cnfStyle w:val="000000010000"/>
            <w:tcW w:w="740" w:type="dxa"/>
          </w:tcPr>
          <w:p w14:paraId="000001F4">
            <w:pPr>
              <w:spacing w:before="0" w:beforeAutospacing="0" w:after="0" w:afterAutospacing="0" w:line="240" w:lineRule="auto"/>
              <w:jc w:val="righ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66</w:t>
            </w:r>
          </w:p>
        </w:tc>
      </w:tr>
    </w:tbl>
    <w:p w14:paraId="000001F5">
      <w:pPr>
        <w:rPr>
          <w:color w:val="000000" w:themeColor="text1"/>
          <w:lang w:val="en-US"/>
        </w:rPr>
      </w:pPr>
    </w:p>
    <w:p w14:paraId="000001F6">
      <w:pPr>
        <w:rPr>
          <w:color w:val="000000" w:themeColor="text1"/>
          <w:lang w:val="en-US"/>
        </w:rPr>
      </w:pPr>
    </w:p>
    <w:tbl>
      <w:tblPr>
        <w:tblStyle w:val="ListTable3Accent2"/>
        <w:tblW w:w="9080" w:type="dxa"/>
        <w:tblLook w:val="04A0"/>
      </w:tblPr>
      <w:tblGrid>
        <w:gridCol w:w="1854"/>
        <w:gridCol w:w="2861"/>
        <w:gridCol w:w="849"/>
        <w:gridCol w:w="966"/>
        <w:gridCol w:w="831"/>
        <w:gridCol w:w="888"/>
        <w:gridCol w:w="831"/>
      </w:tblGrid>
      <w:tr>
        <w:trPr>
          <w:cnfStyle w:val="100000000000"/>
          <w:trHeight w:val="288"/>
        </w:trPr>
        <w:tc>
          <w:tcPr>
            <w:cnfStyle w:val="101000000000"/>
            <w:tcW w:w="9080" w:type="dxa"/>
            <w:gridSpan w:val="7"/>
          </w:tcPr>
          <w:p w14:paraId="000001F7">
            <w:pPr>
              <w:spacing w:before="0" w:beforeAutospacing="0" w:after="0" w:afterAutospacing="0" w:line="240" w:lineRule="auto"/>
              <w:jc w:val="center"/>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CASH FLOW RATIOS</w:t>
            </w:r>
          </w:p>
        </w:tc>
      </w:tr>
      <w:tr>
        <w:trPr>
          <w:cnfStyle w:val="000000100000"/>
          <w:trHeight w:val="288"/>
        </w:trPr>
        <w:tc>
          <w:tcPr>
            <w:cnfStyle w:val="001000100000"/>
            <w:tcW w:w="1880" w:type="dxa"/>
          </w:tcPr>
          <w:p w14:paraId="000001F8">
            <w:pPr>
              <w:spacing w:before="0" w:beforeAutospacing="0" w:after="0" w:afterAutospacing="0" w:line="240" w:lineRule="auto"/>
              <w:jc w:val="center"/>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Ratio</w:t>
            </w:r>
          </w:p>
        </w:tc>
        <w:tc>
          <w:tcPr>
            <w:cnfStyle w:val="000000100000"/>
            <w:tcW w:w="2900" w:type="dxa"/>
          </w:tcPr>
          <w:p w14:paraId="000001F9">
            <w:pPr>
              <w:spacing w:before="0" w:beforeAutospacing="0" w:after="0" w:afterAutospacing="0" w:line="240" w:lineRule="auto"/>
              <w:jc w:val="center"/>
              <w:rPr>
                <w:rFonts w:ascii="Calibri" w:cs="Calibri" w:eastAsia="Times New Roman" w:hAnsi="Calibri"/>
                <w:b/>
                <w:bCs/>
                <w:color w:val="000000" w:themeColor="text1"/>
                <w:sz w:val="22"/>
                <w:lang w:val="en-IN" w:eastAsia="en-IN"/>
              </w:rPr>
            </w:pPr>
            <w:r>
              <w:rPr>
                <w:rFonts w:ascii="Calibri" w:cs="Calibri" w:eastAsia="Times New Roman" w:hAnsi="Calibri"/>
                <w:b/>
                <w:bCs/>
                <w:color w:val="000000" w:themeColor="text1"/>
                <w:sz w:val="22"/>
                <w:lang w:val="en-IN" w:eastAsia="en-IN"/>
              </w:rPr>
              <w:t>Formula</w:t>
            </w:r>
          </w:p>
        </w:tc>
        <w:tc>
          <w:tcPr>
            <w:cnfStyle w:val="000000100000"/>
            <w:tcW w:w="860" w:type="dxa"/>
          </w:tcPr>
          <w:p w14:paraId="000001FA">
            <w:pPr>
              <w:spacing w:before="0" w:beforeAutospacing="0" w:after="0" w:afterAutospacing="0" w:line="240" w:lineRule="auto"/>
              <w:jc w:val="center"/>
              <w:rPr>
                <w:rFonts w:ascii="Calibri" w:cs="Calibri" w:eastAsia="Times New Roman" w:hAnsi="Calibri"/>
                <w:b/>
                <w:bCs/>
                <w:color w:val="000000" w:themeColor="text1"/>
                <w:sz w:val="22"/>
                <w:lang w:val="en-IN" w:eastAsia="en-IN"/>
              </w:rPr>
            </w:pPr>
            <w:r>
              <w:rPr>
                <w:rFonts w:ascii="Calibri" w:cs="Calibri" w:eastAsia="Times New Roman" w:hAnsi="Calibri"/>
                <w:b/>
                <w:bCs/>
                <w:color w:val="000000" w:themeColor="text1"/>
                <w:sz w:val="22"/>
                <w:lang w:val="en-IN" w:eastAsia="en-IN"/>
              </w:rPr>
              <w:t>2021</w:t>
            </w:r>
          </w:p>
        </w:tc>
        <w:tc>
          <w:tcPr>
            <w:cnfStyle w:val="000000100000"/>
            <w:tcW w:w="980" w:type="dxa"/>
          </w:tcPr>
          <w:p w14:paraId="000001FB">
            <w:pPr>
              <w:spacing w:before="0" w:beforeAutospacing="0" w:after="0" w:afterAutospacing="0" w:line="240" w:lineRule="auto"/>
              <w:jc w:val="center"/>
              <w:rPr>
                <w:rFonts w:ascii="Calibri" w:cs="Calibri" w:eastAsia="Times New Roman" w:hAnsi="Calibri"/>
                <w:b/>
                <w:bCs/>
                <w:color w:val="000000" w:themeColor="text1"/>
                <w:sz w:val="22"/>
                <w:lang w:val="en-IN" w:eastAsia="en-IN"/>
              </w:rPr>
            </w:pPr>
            <w:r>
              <w:rPr>
                <w:rFonts w:ascii="Calibri" w:cs="Calibri" w:eastAsia="Times New Roman" w:hAnsi="Calibri"/>
                <w:b/>
                <w:bCs/>
                <w:color w:val="000000" w:themeColor="text1"/>
                <w:sz w:val="22"/>
                <w:lang w:val="en-IN" w:eastAsia="en-IN"/>
              </w:rPr>
              <w:t>2022</w:t>
            </w:r>
          </w:p>
        </w:tc>
        <w:tc>
          <w:tcPr>
            <w:cnfStyle w:val="000000100000"/>
            <w:tcW w:w="820" w:type="dxa"/>
          </w:tcPr>
          <w:p w14:paraId="000001FC">
            <w:pPr>
              <w:spacing w:before="0" w:beforeAutospacing="0" w:after="0" w:afterAutospacing="0" w:line="240" w:lineRule="auto"/>
              <w:jc w:val="center"/>
              <w:rPr>
                <w:rFonts w:ascii="Calibri" w:cs="Calibri" w:eastAsia="Times New Roman" w:hAnsi="Calibri"/>
                <w:b/>
                <w:bCs/>
                <w:color w:val="000000" w:themeColor="text1"/>
                <w:sz w:val="22"/>
                <w:lang w:val="en-IN" w:eastAsia="en-IN"/>
              </w:rPr>
            </w:pPr>
            <w:r>
              <w:rPr>
                <w:rFonts w:ascii="Calibri" w:cs="Calibri" w:eastAsia="Times New Roman" w:hAnsi="Calibri"/>
                <w:b/>
                <w:bCs/>
                <w:color w:val="000000" w:themeColor="text1"/>
                <w:sz w:val="22"/>
                <w:lang w:val="en-IN" w:eastAsia="en-IN"/>
              </w:rPr>
              <w:t>2023</w:t>
            </w:r>
          </w:p>
        </w:tc>
        <w:tc>
          <w:tcPr>
            <w:cnfStyle w:val="000000100000"/>
            <w:tcW w:w="900" w:type="dxa"/>
          </w:tcPr>
          <w:p w14:paraId="000001FD">
            <w:pPr>
              <w:spacing w:before="0" w:beforeAutospacing="0" w:after="0" w:afterAutospacing="0" w:line="240" w:lineRule="auto"/>
              <w:jc w:val="center"/>
              <w:rPr>
                <w:rFonts w:ascii="Calibri" w:cs="Calibri" w:eastAsia="Times New Roman" w:hAnsi="Calibri"/>
                <w:b/>
                <w:bCs/>
                <w:color w:val="000000" w:themeColor="text1"/>
                <w:sz w:val="22"/>
                <w:lang w:val="en-IN" w:eastAsia="en-IN"/>
              </w:rPr>
            </w:pPr>
            <w:r>
              <w:rPr>
                <w:rFonts w:ascii="Calibri" w:cs="Calibri" w:eastAsia="Times New Roman" w:hAnsi="Calibri"/>
                <w:b/>
                <w:bCs/>
                <w:color w:val="000000" w:themeColor="text1"/>
                <w:sz w:val="22"/>
                <w:lang w:val="en-IN" w:eastAsia="en-IN"/>
              </w:rPr>
              <w:t>2024</w:t>
            </w:r>
          </w:p>
        </w:tc>
        <w:tc>
          <w:tcPr>
            <w:cnfStyle w:val="000000100000"/>
            <w:tcW w:w="740" w:type="dxa"/>
          </w:tcPr>
          <w:p w14:paraId="000001FE">
            <w:pPr>
              <w:spacing w:before="0" w:beforeAutospacing="0" w:after="0" w:afterAutospacing="0" w:line="240" w:lineRule="auto"/>
              <w:jc w:val="center"/>
              <w:rPr>
                <w:rFonts w:ascii="Calibri" w:cs="Calibri" w:eastAsia="Times New Roman" w:hAnsi="Calibri"/>
                <w:b/>
                <w:bCs/>
                <w:color w:val="000000" w:themeColor="text1"/>
                <w:sz w:val="22"/>
                <w:lang w:val="en-IN" w:eastAsia="en-IN"/>
              </w:rPr>
            </w:pPr>
            <w:r>
              <w:rPr>
                <w:rFonts w:ascii="Calibri" w:cs="Calibri" w:eastAsia="Times New Roman" w:hAnsi="Calibri"/>
                <w:b/>
                <w:bCs/>
                <w:color w:val="000000" w:themeColor="text1"/>
                <w:sz w:val="22"/>
                <w:lang w:val="en-IN" w:eastAsia="en-IN"/>
              </w:rPr>
              <w:t>2025</w:t>
            </w:r>
          </w:p>
        </w:tc>
      </w:tr>
      <w:tr>
        <w:trPr>
          <w:trHeight w:val="576"/>
        </w:trPr>
        <w:tc>
          <w:tcPr>
            <w:cnfStyle w:val="001000010000"/>
            <w:tcW w:w="1880" w:type="dxa"/>
          </w:tcPr>
          <w:p w14:paraId="000001FF">
            <w:pPr>
              <w:spacing w:before="0" w:beforeAutospacing="0" w:after="0" w:afterAutospacing="0" w:line="240" w:lineRule="auto"/>
              <w:jc w:val="lef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Operating Cash Flow Ratio</w:t>
            </w:r>
          </w:p>
        </w:tc>
        <w:tc>
          <w:tcPr>
            <w:cnfStyle w:val="000000010000"/>
            <w:tcW w:w="2900" w:type="dxa"/>
          </w:tcPr>
          <w:p w14:paraId="00000200">
            <w:pPr>
              <w:spacing w:before="0" w:beforeAutospacing="0" w:after="0" w:afterAutospacing="0" w:line="240" w:lineRule="auto"/>
              <w:jc w:val="lef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Cash Flow from Operating Activities / Current Liabilities</w:t>
            </w:r>
          </w:p>
        </w:tc>
        <w:tc>
          <w:tcPr>
            <w:cnfStyle w:val="000000010000"/>
            <w:tcW w:w="860" w:type="dxa"/>
          </w:tcPr>
          <w:p w14:paraId="00000201">
            <w:pPr>
              <w:spacing w:before="0" w:beforeAutospacing="0" w:after="0" w:afterAutospacing="0" w:line="240" w:lineRule="auto"/>
              <w:jc w:val="righ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-0.02</w:t>
            </w:r>
          </w:p>
        </w:tc>
        <w:tc>
          <w:tcPr>
            <w:cnfStyle w:val="000000010000"/>
            <w:tcW w:w="980" w:type="dxa"/>
          </w:tcPr>
          <w:p w14:paraId="00000202">
            <w:pPr>
              <w:spacing w:before="0" w:beforeAutospacing="0" w:after="0" w:afterAutospacing="0" w:line="240" w:lineRule="auto"/>
              <w:jc w:val="righ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0.14</w:t>
            </w:r>
          </w:p>
        </w:tc>
        <w:tc>
          <w:tcPr>
            <w:cnfStyle w:val="000000010000"/>
            <w:tcW w:w="820" w:type="dxa"/>
          </w:tcPr>
          <w:p w14:paraId="00000203">
            <w:pPr>
              <w:spacing w:before="0" w:beforeAutospacing="0" w:after="0" w:afterAutospacing="0" w:line="240" w:lineRule="auto"/>
              <w:jc w:val="righ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-0.03</w:t>
            </w:r>
          </w:p>
        </w:tc>
        <w:tc>
          <w:tcPr>
            <w:cnfStyle w:val="000000010000"/>
            <w:tcW w:w="900" w:type="dxa"/>
          </w:tcPr>
          <w:p w14:paraId="00000204">
            <w:pPr>
              <w:spacing w:before="0" w:beforeAutospacing="0" w:after="0" w:afterAutospacing="0" w:line="240" w:lineRule="auto"/>
              <w:jc w:val="righ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-0.07</w:t>
            </w:r>
          </w:p>
        </w:tc>
        <w:tc>
          <w:tcPr>
            <w:cnfStyle w:val="000000010000"/>
            <w:tcW w:w="740" w:type="dxa"/>
          </w:tcPr>
          <w:p w14:paraId="00000205">
            <w:pPr>
              <w:spacing w:before="0" w:beforeAutospacing="0" w:after="0" w:afterAutospacing="0" w:line="240" w:lineRule="auto"/>
              <w:jc w:val="righ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-0.07</w:t>
            </w:r>
          </w:p>
        </w:tc>
      </w:tr>
      <w:tr>
        <w:trPr>
          <w:cnfStyle w:val="000000100000"/>
          <w:trHeight w:val="576"/>
        </w:trPr>
        <w:tc>
          <w:tcPr>
            <w:cnfStyle w:val="001000100000"/>
            <w:tcW w:w="1880" w:type="dxa"/>
          </w:tcPr>
          <w:p w14:paraId="00000206">
            <w:pPr>
              <w:spacing w:before="0" w:beforeAutospacing="0" w:after="0" w:afterAutospacing="0" w:line="240" w:lineRule="auto"/>
              <w:jc w:val="lef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Cash Flow Margin</w:t>
            </w:r>
          </w:p>
        </w:tc>
        <w:tc>
          <w:tcPr>
            <w:cnfStyle w:val="000000100000"/>
            <w:tcW w:w="2900" w:type="dxa"/>
          </w:tcPr>
          <w:p w14:paraId="00000207">
            <w:pPr>
              <w:spacing w:before="0" w:beforeAutospacing="0" w:after="0" w:afterAutospacing="0" w:line="240" w:lineRule="auto"/>
              <w:jc w:val="lef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(Cash Flow from Operating Activities / Revenue) × 100</w:t>
            </w:r>
          </w:p>
        </w:tc>
        <w:tc>
          <w:tcPr>
            <w:cnfStyle w:val="000000100000"/>
            <w:tcW w:w="860" w:type="dxa"/>
          </w:tcPr>
          <w:p w14:paraId="00000208">
            <w:pPr>
              <w:spacing w:before="0" w:beforeAutospacing="0" w:after="0" w:afterAutospacing="0" w:line="240" w:lineRule="auto"/>
              <w:jc w:val="righ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-1.00%</w:t>
            </w:r>
          </w:p>
        </w:tc>
        <w:tc>
          <w:tcPr>
            <w:cnfStyle w:val="000000100000"/>
            <w:tcW w:w="980" w:type="dxa"/>
          </w:tcPr>
          <w:p w14:paraId="00000209">
            <w:pPr>
              <w:spacing w:before="0" w:beforeAutospacing="0" w:after="0" w:afterAutospacing="0" w:line="240" w:lineRule="auto"/>
              <w:jc w:val="righ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7.46%</w:t>
            </w:r>
          </w:p>
        </w:tc>
        <w:tc>
          <w:tcPr>
            <w:cnfStyle w:val="000000100000"/>
            <w:tcW w:w="820" w:type="dxa"/>
          </w:tcPr>
          <w:p w14:paraId="0000020A">
            <w:pPr>
              <w:spacing w:before="0" w:beforeAutospacing="0" w:after="0" w:afterAutospacing="0" w:line="240" w:lineRule="auto"/>
              <w:jc w:val="righ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-1.55%</w:t>
            </w:r>
          </w:p>
        </w:tc>
        <w:tc>
          <w:tcPr>
            <w:cnfStyle w:val="000000100000"/>
            <w:tcW w:w="900" w:type="dxa"/>
          </w:tcPr>
          <w:p w14:paraId="0000020B">
            <w:pPr>
              <w:spacing w:before="0" w:beforeAutospacing="0" w:after="0" w:afterAutospacing="0" w:line="240" w:lineRule="auto"/>
              <w:jc w:val="righ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-3.23%</w:t>
            </w:r>
          </w:p>
        </w:tc>
        <w:tc>
          <w:tcPr>
            <w:cnfStyle w:val="000000100000"/>
            <w:tcW w:w="740" w:type="dxa"/>
          </w:tcPr>
          <w:p w14:paraId="0000020C">
            <w:pPr>
              <w:spacing w:before="0" w:beforeAutospacing="0" w:after="0" w:afterAutospacing="0" w:line="240" w:lineRule="auto"/>
              <w:jc w:val="righ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-3.22%</w:t>
            </w:r>
          </w:p>
        </w:tc>
      </w:tr>
    </w:tbl>
    <w:p w14:paraId="0000020D">
      <w:pPr>
        <w:rPr>
          <w:color w:val="000000" w:themeColor="text1"/>
          <w:lang w:val="en-US"/>
        </w:rPr>
      </w:pPr>
    </w:p>
    <w:tbl>
      <w:tblPr>
        <w:tblStyle w:val="ListTable3Accent2"/>
        <w:tblW w:w="9080" w:type="dxa"/>
        <w:tblLook w:val="04A0"/>
      </w:tblPr>
      <w:tblGrid>
        <w:gridCol w:w="1880"/>
        <w:gridCol w:w="2900"/>
        <w:gridCol w:w="860"/>
        <w:gridCol w:w="980"/>
        <w:gridCol w:w="820"/>
        <w:gridCol w:w="900"/>
        <w:gridCol w:w="740"/>
      </w:tblGrid>
      <w:tr>
        <w:trPr>
          <w:cnfStyle w:val="100000000000"/>
          <w:trHeight w:val="288"/>
        </w:trPr>
        <w:tc>
          <w:tcPr>
            <w:cnfStyle w:val="101000000000"/>
            <w:tcW w:w="9080" w:type="dxa"/>
            <w:gridSpan w:val="7"/>
          </w:tcPr>
          <w:p w14:paraId="0000020E">
            <w:pPr>
              <w:spacing w:before="0" w:beforeAutospacing="0" w:after="0" w:afterAutospacing="0" w:line="240" w:lineRule="auto"/>
              <w:jc w:val="center"/>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GEARING</w:t>
            </w:r>
          </w:p>
        </w:tc>
      </w:tr>
      <w:tr>
        <w:trPr>
          <w:cnfStyle w:val="000000100000"/>
          <w:trHeight w:val="288"/>
        </w:trPr>
        <w:tc>
          <w:tcPr>
            <w:cnfStyle w:val="001000100000"/>
            <w:tcW w:w="1880" w:type="dxa"/>
          </w:tcPr>
          <w:p w14:paraId="0000020F">
            <w:pPr>
              <w:spacing w:before="0" w:beforeAutospacing="0" w:after="0" w:afterAutospacing="0" w:line="240" w:lineRule="auto"/>
              <w:jc w:val="center"/>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Ratio</w:t>
            </w:r>
          </w:p>
        </w:tc>
        <w:tc>
          <w:tcPr>
            <w:cnfStyle w:val="000000100000"/>
            <w:tcW w:w="2900" w:type="dxa"/>
          </w:tcPr>
          <w:p w14:paraId="00000210">
            <w:pPr>
              <w:spacing w:before="0" w:beforeAutospacing="0" w:after="0" w:afterAutospacing="0" w:line="240" w:lineRule="auto"/>
              <w:jc w:val="center"/>
              <w:rPr>
                <w:rFonts w:ascii="Calibri" w:cs="Calibri" w:eastAsia="Times New Roman" w:hAnsi="Calibri"/>
                <w:b/>
                <w:bCs/>
                <w:color w:val="000000" w:themeColor="text1"/>
                <w:sz w:val="22"/>
                <w:lang w:val="en-IN" w:eastAsia="en-IN"/>
              </w:rPr>
            </w:pPr>
            <w:r>
              <w:rPr>
                <w:rFonts w:ascii="Calibri" w:cs="Calibri" w:eastAsia="Times New Roman" w:hAnsi="Calibri"/>
                <w:b/>
                <w:bCs/>
                <w:color w:val="000000" w:themeColor="text1"/>
                <w:sz w:val="22"/>
                <w:lang w:val="en-IN" w:eastAsia="en-IN"/>
              </w:rPr>
              <w:t>Formula</w:t>
            </w:r>
          </w:p>
        </w:tc>
        <w:tc>
          <w:tcPr>
            <w:cnfStyle w:val="000000100000"/>
            <w:tcW w:w="860" w:type="dxa"/>
          </w:tcPr>
          <w:p w14:paraId="00000211">
            <w:pPr>
              <w:spacing w:before="0" w:beforeAutospacing="0" w:after="0" w:afterAutospacing="0" w:line="240" w:lineRule="auto"/>
              <w:jc w:val="center"/>
              <w:rPr>
                <w:rFonts w:ascii="Calibri" w:cs="Calibri" w:eastAsia="Times New Roman" w:hAnsi="Calibri"/>
                <w:b/>
                <w:bCs/>
                <w:color w:val="000000" w:themeColor="text1"/>
                <w:sz w:val="22"/>
                <w:lang w:val="en-IN" w:eastAsia="en-IN"/>
              </w:rPr>
            </w:pPr>
            <w:r>
              <w:rPr>
                <w:rFonts w:ascii="Calibri" w:cs="Calibri" w:eastAsia="Times New Roman" w:hAnsi="Calibri"/>
                <w:b/>
                <w:bCs/>
                <w:color w:val="000000" w:themeColor="text1"/>
                <w:sz w:val="22"/>
                <w:lang w:val="en-IN" w:eastAsia="en-IN"/>
              </w:rPr>
              <w:t>2021</w:t>
            </w:r>
          </w:p>
        </w:tc>
        <w:tc>
          <w:tcPr>
            <w:cnfStyle w:val="000000100000"/>
            <w:tcW w:w="980" w:type="dxa"/>
          </w:tcPr>
          <w:p w14:paraId="00000212">
            <w:pPr>
              <w:spacing w:before="0" w:beforeAutospacing="0" w:after="0" w:afterAutospacing="0" w:line="240" w:lineRule="auto"/>
              <w:jc w:val="center"/>
              <w:rPr>
                <w:rFonts w:ascii="Calibri" w:cs="Calibri" w:eastAsia="Times New Roman" w:hAnsi="Calibri"/>
                <w:b/>
                <w:bCs/>
                <w:color w:val="000000" w:themeColor="text1"/>
                <w:sz w:val="22"/>
                <w:lang w:val="en-IN" w:eastAsia="en-IN"/>
              </w:rPr>
            </w:pPr>
            <w:r>
              <w:rPr>
                <w:rFonts w:ascii="Calibri" w:cs="Calibri" w:eastAsia="Times New Roman" w:hAnsi="Calibri"/>
                <w:b/>
                <w:bCs/>
                <w:color w:val="000000" w:themeColor="text1"/>
                <w:sz w:val="22"/>
                <w:lang w:val="en-IN" w:eastAsia="en-IN"/>
              </w:rPr>
              <w:t>2022</w:t>
            </w:r>
          </w:p>
        </w:tc>
        <w:tc>
          <w:tcPr>
            <w:cnfStyle w:val="000000100000"/>
            <w:tcW w:w="820" w:type="dxa"/>
          </w:tcPr>
          <w:p w14:paraId="00000213">
            <w:pPr>
              <w:spacing w:before="0" w:beforeAutospacing="0" w:after="0" w:afterAutospacing="0" w:line="240" w:lineRule="auto"/>
              <w:jc w:val="center"/>
              <w:rPr>
                <w:rFonts w:ascii="Calibri" w:cs="Calibri" w:eastAsia="Times New Roman" w:hAnsi="Calibri"/>
                <w:b/>
                <w:bCs/>
                <w:color w:val="000000" w:themeColor="text1"/>
                <w:sz w:val="22"/>
                <w:lang w:val="en-IN" w:eastAsia="en-IN"/>
              </w:rPr>
            </w:pPr>
            <w:r>
              <w:rPr>
                <w:rFonts w:ascii="Calibri" w:cs="Calibri" w:eastAsia="Times New Roman" w:hAnsi="Calibri"/>
                <w:b/>
                <w:bCs/>
                <w:color w:val="000000" w:themeColor="text1"/>
                <w:sz w:val="22"/>
                <w:lang w:val="en-IN" w:eastAsia="en-IN"/>
              </w:rPr>
              <w:t>2023</w:t>
            </w:r>
          </w:p>
        </w:tc>
        <w:tc>
          <w:tcPr>
            <w:cnfStyle w:val="000000100000"/>
            <w:tcW w:w="900" w:type="dxa"/>
          </w:tcPr>
          <w:p w14:paraId="00000214">
            <w:pPr>
              <w:spacing w:before="0" w:beforeAutospacing="0" w:after="0" w:afterAutospacing="0" w:line="240" w:lineRule="auto"/>
              <w:jc w:val="center"/>
              <w:rPr>
                <w:rFonts w:ascii="Calibri" w:cs="Calibri" w:eastAsia="Times New Roman" w:hAnsi="Calibri"/>
                <w:b/>
                <w:bCs/>
                <w:color w:val="000000" w:themeColor="text1"/>
                <w:sz w:val="22"/>
                <w:lang w:val="en-IN" w:eastAsia="en-IN"/>
              </w:rPr>
            </w:pPr>
            <w:r>
              <w:rPr>
                <w:rFonts w:ascii="Calibri" w:cs="Calibri" w:eastAsia="Times New Roman" w:hAnsi="Calibri"/>
                <w:b/>
                <w:bCs/>
                <w:color w:val="000000" w:themeColor="text1"/>
                <w:sz w:val="22"/>
                <w:lang w:val="en-IN" w:eastAsia="en-IN"/>
              </w:rPr>
              <w:t>2024</w:t>
            </w:r>
          </w:p>
        </w:tc>
        <w:tc>
          <w:tcPr>
            <w:cnfStyle w:val="000000100000"/>
            <w:tcW w:w="740" w:type="dxa"/>
          </w:tcPr>
          <w:p w14:paraId="00000215">
            <w:pPr>
              <w:spacing w:before="0" w:beforeAutospacing="0" w:after="0" w:afterAutospacing="0" w:line="240" w:lineRule="auto"/>
              <w:jc w:val="center"/>
              <w:rPr>
                <w:rFonts w:ascii="Calibri" w:cs="Calibri" w:eastAsia="Times New Roman" w:hAnsi="Calibri"/>
                <w:b/>
                <w:bCs/>
                <w:color w:val="000000" w:themeColor="text1"/>
                <w:sz w:val="22"/>
                <w:lang w:val="en-IN" w:eastAsia="en-IN"/>
              </w:rPr>
            </w:pPr>
            <w:r>
              <w:rPr>
                <w:rFonts w:ascii="Calibri" w:cs="Calibri" w:eastAsia="Times New Roman" w:hAnsi="Calibri"/>
                <w:b/>
                <w:bCs/>
                <w:color w:val="000000" w:themeColor="text1"/>
                <w:sz w:val="22"/>
                <w:lang w:val="en-IN" w:eastAsia="en-IN"/>
              </w:rPr>
              <w:t>2025</w:t>
            </w:r>
          </w:p>
        </w:tc>
      </w:tr>
      <w:tr>
        <w:trPr>
          <w:trHeight w:val="288"/>
        </w:trPr>
        <w:tc>
          <w:tcPr>
            <w:cnfStyle w:val="001000010000"/>
            <w:tcW w:w="1880" w:type="dxa"/>
          </w:tcPr>
          <w:p w14:paraId="00000216">
            <w:pPr>
              <w:spacing w:before="0" w:beforeAutospacing="0" w:after="0" w:afterAutospacing="0" w:line="240" w:lineRule="auto"/>
              <w:jc w:val="lef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Debt to Equity</w:t>
            </w:r>
          </w:p>
        </w:tc>
        <w:tc>
          <w:tcPr>
            <w:cnfStyle w:val="000000010000"/>
            <w:tcW w:w="2900" w:type="dxa"/>
          </w:tcPr>
          <w:p w14:paraId="00000217">
            <w:pPr>
              <w:spacing w:before="0" w:beforeAutospacing="0" w:after="0" w:afterAutospacing="0" w:line="240" w:lineRule="auto"/>
              <w:jc w:val="lef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Total Liabilities / Equity</w:t>
            </w:r>
          </w:p>
        </w:tc>
        <w:tc>
          <w:tcPr>
            <w:cnfStyle w:val="000000010000"/>
            <w:tcW w:w="860" w:type="dxa"/>
          </w:tcPr>
          <w:p w14:paraId="00000218">
            <w:pPr>
              <w:spacing w:before="0" w:beforeAutospacing="0" w:after="0" w:afterAutospacing="0" w:line="240" w:lineRule="auto"/>
              <w:jc w:val="righ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1.83</w:t>
            </w:r>
          </w:p>
        </w:tc>
        <w:tc>
          <w:tcPr>
            <w:cnfStyle w:val="000000010000"/>
            <w:tcW w:w="980" w:type="dxa"/>
          </w:tcPr>
          <w:p w14:paraId="00000219">
            <w:pPr>
              <w:spacing w:before="0" w:beforeAutospacing="0" w:after="0" w:afterAutospacing="0" w:line="240" w:lineRule="auto"/>
              <w:jc w:val="righ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1.81</w:t>
            </w:r>
          </w:p>
        </w:tc>
        <w:tc>
          <w:tcPr>
            <w:cnfStyle w:val="000000010000"/>
            <w:tcW w:w="820" w:type="dxa"/>
          </w:tcPr>
          <w:p w14:paraId="0000021A">
            <w:pPr>
              <w:spacing w:before="0" w:beforeAutospacing="0" w:after="0" w:afterAutospacing="0" w:line="240" w:lineRule="auto"/>
              <w:jc w:val="righ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1.77</w:t>
            </w:r>
          </w:p>
        </w:tc>
        <w:tc>
          <w:tcPr>
            <w:cnfStyle w:val="000000010000"/>
            <w:tcW w:w="900" w:type="dxa"/>
          </w:tcPr>
          <w:p w14:paraId="0000021B">
            <w:pPr>
              <w:spacing w:before="0" w:beforeAutospacing="0" w:after="0" w:afterAutospacing="0" w:line="240" w:lineRule="auto"/>
              <w:jc w:val="righ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1.83</w:t>
            </w:r>
          </w:p>
        </w:tc>
        <w:tc>
          <w:tcPr>
            <w:cnfStyle w:val="000000010000"/>
            <w:tcW w:w="740" w:type="dxa"/>
          </w:tcPr>
          <w:p w14:paraId="0000021C">
            <w:pPr>
              <w:spacing w:before="0" w:beforeAutospacing="0" w:after="0" w:afterAutospacing="0" w:line="240" w:lineRule="auto"/>
              <w:jc w:val="righ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1.89</w:t>
            </w:r>
          </w:p>
        </w:tc>
      </w:tr>
      <w:tr>
        <w:trPr>
          <w:cnfStyle w:val="000000100000"/>
          <w:trHeight w:val="288"/>
        </w:trPr>
        <w:tc>
          <w:tcPr>
            <w:cnfStyle w:val="001000100000"/>
            <w:tcW w:w="1880" w:type="dxa"/>
          </w:tcPr>
          <w:p w14:paraId="0000021D">
            <w:pPr>
              <w:spacing w:before="0" w:beforeAutospacing="0" w:after="0" w:afterAutospacing="0" w:line="240" w:lineRule="auto"/>
              <w:jc w:val="lef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Debt Ratio</w:t>
            </w:r>
          </w:p>
        </w:tc>
        <w:tc>
          <w:tcPr>
            <w:cnfStyle w:val="000000100000"/>
            <w:tcW w:w="2900" w:type="dxa"/>
          </w:tcPr>
          <w:p w14:paraId="0000021E">
            <w:pPr>
              <w:spacing w:before="0" w:beforeAutospacing="0" w:after="0" w:afterAutospacing="0" w:line="240" w:lineRule="auto"/>
              <w:jc w:val="lef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Liabilities / Assets</w:t>
            </w:r>
          </w:p>
        </w:tc>
        <w:tc>
          <w:tcPr>
            <w:cnfStyle w:val="000000100000"/>
            <w:tcW w:w="860" w:type="dxa"/>
          </w:tcPr>
          <w:p w14:paraId="0000021F">
            <w:pPr>
              <w:spacing w:before="0" w:beforeAutospacing="0" w:after="0" w:afterAutospacing="0" w:line="240" w:lineRule="auto"/>
              <w:jc w:val="righ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0.65</w:t>
            </w:r>
          </w:p>
        </w:tc>
        <w:tc>
          <w:tcPr>
            <w:cnfStyle w:val="000000100000"/>
            <w:tcW w:w="980" w:type="dxa"/>
          </w:tcPr>
          <w:p w14:paraId="00000220">
            <w:pPr>
              <w:spacing w:before="0" w:beforeAutospacing="0" w:after="0" w:afterAutospacing="0" w:line="240" w:lineRule="auto"/>
              <w:jc w:val="righ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0.64</w:t>
            </w:r>
          </w:p>
        </w:tc>
        <w:tc>
          <w:tcPr>
            <w:cnfStyle w:val="000000100000"/>
            <w:tcW w:w="820" w:type="dxa"/>
          </w:tcPr>
          <w:p w14:paraId="00000221">
            <w:pPr>
              <w:spacing w:before="0" w:beforeAutospacing="0" w:after="0" w:afterAutospacing="0" w:line="240" w:lineRule="auto"/>
              <w:jc w:val="righ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0.64</w:t>
            </w:r>
          </w:p>
        </w:tc>
        <w:tc>
          <w:tcPr>
            <w:cnfStyle w:val="000000100000"/>
            <w:tcW w:w="900" w:type="dxa"/>
          </w:tcPr>
          <w:p w14:paraId="00000222">
            <w:pPr>
              <w:spacing w:before="0" w:beforeAutospacing="0" w:after="0" w:afterAutospacing="0" w:line="240" w:lineRule="auto"/>
              <w:jc w:val="righ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0.65</w:t>
            </w:r>
          </w:p>
        </w:tc>
        <w:tc>
          <w:tcPr>
            <w:cnfStyle w:val="000000100000"/>
            <w:tcW w:w="740" w:type="dxa"/>
          </w:tcPr>
          <w:p w14:paraId="00000223">
            <w:pPr>
              <w:spacing w:before="0" w:beforeAutospacing="0" w:after="0" w:afterAutospacing="0" w:line="240" w:lineRule="auto"/>
              <w:jc w:val="righ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0.65</w:t>
            </w:r>
          </w:p>
        </w:tc>
      </w:tr>
    </w:tbl>
    <w:p w14:paraId="00000224">
      <w:pPr>
        <w:rPr>
          <w:color w:val="000000" w:themeColor="text1"/>
          <w:lang w:val="en-US"/>
        </w:rPr>
      </w:pPr>
    </w:p>
    <w:p w14:paraId="00000225">
      <w:pPr>
        <w:rPr>
          <w:b/>
          <w:bCs/>
          <w:color w:val="000000" w:themeColor="text1"/>
          <w:lang w:val="en-US"/>
        </w:rPr>
      </w:pPr>
      <w:r>
        <w:rPr>
          <w:b/>
          <w:bCs/>
          <w:color w:val="000000" w:themeColor="text1"/>
          <w:lang w:val="en-US"/>
        </w:rPr>
        <w:t xml:space="preserve">Investment Appraisal </w:t>
      </w:r>
    </w:p>
    <w:p w14:paraId="00000226">
      <w:pPr>
        <w:rPr>
          <w:b/>
          <w:bCs/>
          <w:color w:val="000000" w:themeColor="text1"/>
          <w:lang w:val="en-US"/>
        </w:rPr>
      </w:pPr>
    </w:p>
    <w:tbl>
      <w:tblPr>
        <w:tblStyle w:val="ListTable3Accent2"/>
        <w:tblW w:w="9077" w:type="dxa"/>
        <w:tblLook w:val="04A0"/>
      </w:tblPr>
      <w:tblGrid>
        <w:gridCol w:w="2201"/>
        <w:gridCol w:w="4033"/>
        <w:gridCol w:w="1422"/>
        <w:gridCol w:w="1421"/>
      </w:tblGrid>
      <w:tr>
        <w:trPr>
          <w:cnfStyle w:val="100000000000"/>
          <w:trHeight w:val="288"/>
        </w:trPr>
        <w:tc>
          <w:tcPr>
            <w:cnfStyle w:val="101000000000"/>
            <w:tcW w:w="9077" w:type="dxa"/>
            <w:noWrap w:val="on"/>
            <w:gridSpan w:val="4"/>
          </w:tcPr>
          <w:p w14:paraId="00000227">
            <w:pPr>
              <w:spacing w:before="0" w:beforeAutospacing="0" w:after="0" w:afterAutospacing="0" w:line="240" w:lineRule="auto"/>
              <w:jc w:val="center"/>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Investment Appraisal – Hyundai Projects (All values in £ million)</w:t>
            </w:r>
          </w:p>
        </w:tc>
      </w:tr>
      <w:tr>
        <w:trPr>
          <w:cnfStyle w:val="000000100000"/>
          <w:trHeight w:val="288"/>
        </w:trPr>
        <w:tc>
          <w:tcPr>
            <w:cnfStyle w:val="001000100000"/>
            <w:tcW w:w="2200" w:type="dxa"/>
          </w:tcPr>
          <w:p w14:paraId="00000228">
            <w:pPr>
              <w:spacing w:before="0" w:beforeAutospacing="0" w:after="0" w:afterAutospacing="0" w:line="240" w:lineRule="auto"/>
              <w:jc w:val="center"/>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Year</w:t>
            </w:r>
          </w:p>
        </w:tc>
        <w:tc>
          <w:tcPr>
            <w:cnfStyle w:val="000000100000"/>
            <w:tcW w:w="4032" w:type="dxa"/>
          </w:tcPr>
          <w:p w14:paraId="00000229">
            <w:pPr>
              <w:spacing w:before="0" w:beforeAutospacing="0" w:after="0" w:afterAutospacing="0" w:line="240" w:lineRule="auto"/>
              <w:jc w:val="center"/>
              <w:rPr>
                <w:rFonts w:ascii="Calibri" w:cs="Calibri" w:eastAsia="Times New Roman" w:hAnsi="Calibri"/>
                <w:b/>
                <w:bCs/>
                <w:color w:val="000000" w:themeColor="text1"/>
                <w:sz w:val="22"/>
                <w:lang w:val="en-IN" w:eastAsia="en-IN"/>
              </w:rPr>
            </w:pPr>
            <w:r>
              <w:rPr>
                <w:rFonts w:ascii="Calibri" w:cs="Calibri" w:eastAsia="Times New Roman" w:hAnsi="Calibri"/>
                <w:b/>
                <w:bCs/>
                <w:color w:val="000000" w:themeColor="text1"/>
                <w:sz w:val="22"/>
                <w:lang w:val="en-IN" w:eastAsia="en-IN"/>
              </w:rPr>
              <w:t>Project A (£m)</w:t>
            </w:r>
          </w:p>
        </w:tc>
        <w:tc>
          <w:tcPr>
            <w:cnfStyle w:val="000000100000"/>
            <w:tcW w:w="1420" w:type="dxa"/>
          </w:tcPr>
          <w:p w14:paraId="0000022A">
            <w:pPr>
              <w:spacing w:before="0" w:beforeAutospacing="0" w:after="0" w:afterAutospacing="0" w:line="240" w:lineRule="auto"/>
              <w:jc w:val="center"/>
              <w:rPr>
                <w:rFonts w:ascii="Calibri" w:cs="Calibri" w:eastAsia="Times New Roman" w:hAnsi="Calibri"/>
                <w:b/>
                <w:bCs/>
                <w:color w:val="000000" w:themeColor="text1"/>
                <w:sz w:val="22"/>
                <w:lang w:val="en-IN" w:eastAsia="en-IN"/>
              </w:rPr>
            </w:pPr>
            <w:r>
              <w:rPr>
                <w:rFonts w:ascii="Calibri" w:cs="Calibri" w:eastAsia="Times New Roman" w:hAnsi="Calibri"/>
                <w:b/>
                <w:bCs/>
                <w:color w:val="000000" w:themeColor="text1"/>
                <w:sz w:val="22"/>
                <w:lang w:val="en-IN" w:eastAsia="en-IN"/>
              </w:rPr>
              <w:t>Project B (£m)</w:t>
            </w:r>
          </w:p>
        </w:tc>
        <w:tc>
          <w:tcPr>
            <w:cnfStyle w:val="000000100000"/>
            <w:tcW w:w="1420" w:type="dxa"/>
          </w:tcPr>
          <w:p w14:paraId="0000022B">
            <w:pPr>
              <w:spacing w:before="0" w:beforeAutospacing="0" w:after="0" w:afterAutospacing="0" w:line="240" w:lineRule="auto"/>
              <w:jc w:val="center"/>
              <w:rPr>
                <w:rFonts w:ascii="Calibri" w:cs="Calibri" w:eastAsia="Times New Roman" w:hAnsi="Calibri"/>
                <w:b/>
                <w:bCs/>
                <w:color w:val="000000" w:themeColor="text1"/>
                <w:sz w:val="22"/>
                <w:lang w:val="en-IN" w:eastAsia="en-IN"/>
              </w:rPr>
            </w:pPr>
            <w:r>
              <w:rPr>
                <w:rFonts w:ascii="Calibri" w:cs="Calibri" w:eastAsia="Times New Roman" w:hAnsi="Calibri"/>
                <w:b/>
                <w:bCs/>
                <w:color w:val="000000" w:themeColor="text1"/>
                <w:sz w:val="22"/>
                <w:lang w:val="en-IN" w:eastAsia="en-IN"/>
              </w:rPr>
              <w:t>Project C (£m)</w:t>
            </w:r>
          </w:p>
        </w:tc>
      </w:tr>
      <w:tr>
        <w:trPr>
          <w:trHeight w:val="288"/>
        </w:trPr>
        <w:tc>
          <w:tcPr>
            <w:cnfStyle w:val="001000010000"/>
            <w:tcW w:w="2200" w:type="dxa"/>
          </w:tcPr>
          <w:p w14:paraId="0000022C">
            <w:pPr>
              <w:spacing w:before="0" w:beforeAutospacing="0" w:after="0" w:afterAutospacing="0" w:line="240" w:lineRule="auto"/>
              <w:jc w:val="lef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Initial Investment</w:t>
            </w:r>
          </w:p>
        </w:tc>
        <w:tc>
          <w:tcPr>
            <w:cnfStyle w:val="000000010000"/>
            <w:tcW w:w="4032" w:type="dxa"/>
          </w:tcPr>
          <w:p w14:paraId="0000022D">
            <w:pPr>
              <w:spacing w:before="0" w:beforeAutospacing="0" w:after="0" w:afterAutospacing="0" w:line="240" w:lineRule="auto"/>
              <w:jc w:val="right"/>
              <w:rPr>
                <w:rFonts w:ascii="Calibri" w:cs="Calibri" w:eastAsia="Times New Roman" w:hAnsi="Calibri"/>
                <w:b/>
                <w:bCs/>
                <w:color w:val="000000" w:themeColor="text1"/>
                <w:sz w:val="22"/>
                <w:lang w:val="en-IN" w:eastAsia="en-IN"/>
              </w:rPr>
            </w:pPr>
            <w:r>
              <w:rPr>
                <w:rFonts w:ascii="Calibri" w:cs="Calibri" w:eastAsia="Times New Roman" w:hAnsi="Calibri"/>
                <w:b/>
                <w:bCs/>
                <w:color w:val="000000" w:themeColor="text1"/>
                <w:sz w:val="22"/>
                <w:lang w:val="en-IN" w:eastAsia="en-IN"/>
              </w:rPr>
              <w:t>-50</w:t>
            </w:r>
          </w:p>
        </w:tc>
        <w:tc>
          <w:tcPr>
            <w:cnfStyle w:val="000000010000"/>
            <w:tcW w:w="1420" w:type="dxa"/>
          </w:tcPr>
          <w:p w14:paraId="0000022E">
            <w:pPr>
              <w:spacing w:before="0" w:beforeAutospacing="0" w:after="0" w:afterAutospacing="0" w:line="240" w:lineRule="auto"/>
              <w:jc w:val="right"/>
              <w:rPr>
                <w:rFonts w:ascii="Calibri" w:cs="Calibri" w:eastAsia="Times New Roman" w:hAnsi="Calibri"/>
                <w:b/>
                <w:bCs/>
                <w:color w:val="000000" w:themeColor="text1"/>
                <w:sz w:val="22"/>
                <w:lang w:val="en-IN" w:eastAsia="en-IN"/>
              </w:rPr>
            </w:pPr>
            <w:r>
              <w:rPr>
                <w:rFonts w:ascii="Calibri" w:cs="Calibri" w:eastAsia="Times New Roman" w:hAnsi="Calibri"/>
                <w:b/>
                <w:bCs/>
                <w:color w:val="000000" w:themeColor="text1"/>
                <w:sz w:val="22"/>
                <w:lang w:val="en-IN" w:eastAsia="en-IN"/>
              </w:rPr>
              <w:t>-50</w:t>
            </w:r>
          </w:p>
        </w:tc>
        <w:tc>
          <w:tcPr>
            <w:cnfStyle w:val="000000010000"/>
            <w:tcW w:w="1420" w:type="dxa"/>
          </w:tcPr>
          <w:p w14:paraId="0000022F">
            <w:pPr>
              <w:spacing w:before="0" w:beforeAutospacing="0" w:after="0" w:afterAutospacing="0" w:line="240" w:lineRule="auto"/>
              <w:jc w:val="right"/>
              <w:rPr>
                <w:rFonts w:ascii="Calibri" w:cs="Calibri" w:eastAsia="Times New Roman" w:hAnsi="Calibri"/>
                <w:b/>
                <w:bCs/>
                <w:color w:val="000000" w:themeColor="text1"/>
                <w:sz w:val="22"/>
                <w:lang w:val="en-IN" w:eastAsia="en-IN"/>
              </w:rPr>
            </w:pPr>
            <w:r>
              <w:rPr>
                <w:rFonts w:ascii="Calibri" w:cs="Calibri" w:eastAsia="Times New Roman" w:hAnsi="Calibri"/>
                <w:b/>
                <w:bCs/>
                <w:color w:val="000000" w:themeColor="text1"/>
                <w:sz w:val="22"/>
                <w:lang w:val="en-IN" w:eastAsia="en-IN"/>
              </w:rPr>
              <w:t>-50</w:t>
            </w:r>
          </w:p>
        </w:tc>
      </w:tr>
      <w:tr>
        <w:trPr>
          <w:cnfStyle w:val="000000100000"/>
          <w:trHeight w:val="288"/>
        </w:trPr>
        <w:tc>
          <w:tcPr>
            <w:cnfStyle w:val="001000100000"/>
            <w:tcW w:w="2200" w:type="dxa"/>
          </w:tcPr>
          <w:p w14:paraId="00000230">
            <w:pPr>
              <w:spacing w:before="0" w:beforeAutospacing="0" w:after="0" w:afterAutospacing="0" w:line="240" w:lineRule="auto"/>
              <w:jc w:val="lef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Year 1 Cash Inflow</w:t>
            </w:r>
          </w:p>
        </w:tc>
        <w:tc>
          <w:tcPr>
            <w:cnfStyle w:val="000000100000"/>
            <w:tcW w:w="4032" w:type="dxa"/>
          </w:tcPr>
          <w:p w14:paraId="00000231">
            <w:pPr>
              <w:spacing w:before="0" w:beforeAutospacing="0" w:after="0" w:afterAutospacing="0" w:line="240" w:lineRule="auto"/>
              <w:jc w:val="righ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10</w:t>
            </w:r>
          </w:p>
        </w:tc>
        <w:tc>
          <w:tcPr>
            <w:cnfStyle w:val="000000100000"/>
            <w:tcW w:w="1420" w:type="dxa"/>
          </w:tcPr>
          <w:p w14:paraId="00000232">
            <w:pPr>
              <w:spacing w:before="0" w:beforeAutospacing="0" w:after="0" w:afterAutospacing="0" w:line="240" w:lineRule="auto"/>
              <w:jc w:val="righ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11</w:t>
            </w:r>
          </w:p>
        </w:tc>
        <w:tc>
          <w:tcPr>
            <w:cnfStyle w:val="000000100000"/>
            <w:tcW w:w="1420" w:type="dxa"/>
          </w:tcPr>
          <w:p w14:paraId="00000233">
            <w:pPr>
              <w:spacing w:before="0" w:beforeAutospacing="0" w:after="0" w:afterAutospacing="0" w:line="240" w:lineRule="auto"/>
              <w:jc w:val="righ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5</w:t>
            </w:r>
          </w:p>
        </w:tc>
      </w:tr>
      <w:tr>
        <w:trPr>
          <w:trHeight w:val="288"/>
        </w:trPr>
        <w:tc>
          <w:tcPr>
            <w:cnfStyle w:val="001000010000"/>
            <w:tcW w:w="2200" w:type="dxa"/>
          </w:tcPr>
          <w:p w14:paraId="00000234">
            <w:pPr>
              <w:spacing w:before="0" w:beforeAutospacing="0" w:after="0" w:afterAutospacing="0" w:line="240" w:lineRule="auto"/>
              <w:jc w:val="lef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Year 2 Cash Inflow</w:t>
            </w:r>
          </w:p>
        </w:tc>
        <w:tc>
          <w:tcPr>
            <w:cnfStyle w:val="000000010000"/>
            <w:tcW w:w="4032" w:type="dxa"/>
          </w:tcPr>
          <w:p w14:paraId="00000235">
            <w:pPr>
              <w:spacing w:before="0" w:beforeAutospacing="0" w:after="0" w:afterAutospacing="0" w:line="240" w:lineRule="auto"/>
              <w:jc w:val="righ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12</w:t>
            </w:r>
          </w:p>
        </w:tc>
        <w:tc>
          <w:tcPr>
            <w:cnfStyle w:val="000000010000"/>
            <w:tcW w:w="1420" w:type="dxa"/>
          </w:tcPr>
          <w:p w14:paraId="00000236">
            <w:pPr>
              <w:spacing w:before="0" w:beforeAutospacing="0" w:after="0" w:afterAutospacing="0" w:line="240" w:lineRule="auto"/>
              <w:jc w:val="righ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11</w:t>
            </w:r>
          </w:p>
        </w:tc>
        <w:tc>
          <w:tcPr>
            <w:cnfStyle w:val="000000010000"/>
            <w:tcW w:w="1420" w:type="dxa"/>
          </w:tcPr>
          <w:p w14:paraId="00000237">
            <w:pPr>
              <w:spacing w:before="0" w:beforeAutospacing="0" w:after="0" w:afterAutospacing="0" w:line="240" w:lineRule="auto"/>
              <w:jc w:val="righ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10</w:t>
            </w:r>
          </w:p>
        </w:tc>
      </w:tr>
      <w:tr>
        <w:trPr>
          <w:cnfStyle w:val="000000100000"/>
          <w:trHeight w:val="288"/>
        </w:trPr>
        <w:tc>
          <w:tcPr>
            <w:cnfStyle w:val="001000100000"/>
            <w:tcW w:w="2200" w:type="dxa"/>
          </w:tcPr>
          <w:p w14:paraId="00000238">
            <w:pPr>
              <w:spacing w:before="0" w:beforeAutospacing="0" w:after="0" w:afterAutospacing="0" w:line="240" w:lineRule="auto"/>
              <w:jc w:val="lef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Year 3 Cash Inflow</w:t>
            </w:r>
          </w:p>
        </w:tc>
        <w:tc>
          <w:tcPr>
            <w:cnfStyle w:val="000000100000"/>
            <w:tcW w:w="4032" w:type="dxa"/>
          </w:tcPr>
          <w:p w14:paraId="00000239">
            <w:pPr>
              <w:spacing w:before="0" w:beforeAutospacing="0" w:after="0" w:afterAutospacing="0" w:line="240" w:lineRule="auto"/>
              <w:jc w:val="righ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14</w:t>
            </w:r>
          </w:p>
        </w:tc>
        <w:tc>
          <w:tcPr>
            <w:cnfStyle w:val="000000100000"/>
            <w:tcW w:w="1420" w:type="dxa"/>
          </w:tcPr>
          <w:p w14:paraId="0000023A">
            <w:pPr>
              <w:spacing w:before="0" w:beforeAutospacing="0" w:after="0" w:afterAutospacing="0" w:line="240" w:lineRule="auto"/>
              <w:jc w:val="righ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11</w:t>
            </w:r>
          </w:p>
        </w:tc>
        <w:tc>
          <w:tcPr>
            <w:cnfStyle w:val="000000100000"/>
            <w:tcW w:w="1420" w:type="dxa"/>
          </w:tcPr>
          <w:p w14:paraId="0000023B">
            <w:pPr>
              <w:spacing w:before="0" w:beforeAutospacing="0" w:after="0" w:afterAutospacing="0" w:line="240" w:lineRule="auto"/>
              <w:jc w:val="righ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20</w:t>
            </w:r>
          </w:p>
        </w:tc>
      </w:tr>
      <w:tr>
        <w:trPr>
          <w:trHeight w:val="288"/>
        </w:trPr>
        <w:tc>
          <w:tcPr>
            <w:cnfStyle w:val="001000010000"/>
            <w:tcW w:w="2200" w:type="dxa"/>
          </w:tcPr>
          <w:p w14:paraId="0000023C">
            <w:pPr>
              <w:spacing w:before="0" w:beforeAutospacing="0" w:after="0" w:afterAutospacing="0" w:line="240" w:lineRule="auto"/>
              <w:jc w:val="lef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Year 4 Cash Inflow</w:t>
            </w:r>
          </w:p>
        </w:tc>
        <w:tc>
          <w:tcPr>
            <w:cnfStyle w:val="000000010000"/>
            <w:tcW w:w="4032" w:type="dxa"/>
          </w:tcPr>
          <w:p w14:paraId="0000023D">
            <w:pPr>
              <w:spacing w:before="0" w:beforeAutospacing="0" w:after="0" w:afterAutospacing="0" w:line="240" w:lineRule="auto"/>
              <w:jc w:val="righ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10</w:t>
            </w:r>
          </w:p>
        </w:tc>
        <w:tc>
          <w:tcPr>
            <w:cnfStyle w:val="000000010000"/>
            <w:tcW w:w="1420" w:type="dxa"/>
          </w:tcPr>
          <w:p w14:paraId="0000023E">
            <w:pPr>
              <w:spacing w:before="0" w:beforeAutospacing="0" w:after="0" w:afterAutospacing="0" w:line="240" w:lineRule="auto"/>
              <w:jc w:val="righ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11</w:t>
            </w:r>
          </w:p>
        </w:tc>
        <w:tc>
          <w:tcPr>
            <w:cnfStyle w:val="000000010000"/>
            <w:tcW w:w="1420" w:type="dxa"/>
          </w:tcPr>
          <w:p w14:paraId="0000023F">
            <w:pPr>
              <w:spacing w:before="0" w:beforeAutospacing="0" w:after="0" w:afterAutospacing="0" w:line="240" w:lineRule="auto"/>
              <w:jc w:val="righ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25</w:t>
            </w:r>
          </w:p>
        </w:tc>
      </w:tr>
      <w:tr>
        <w:trPr>
          <w:cnfStyle w:val="000000100000"/>
          <w:trHeight w:val="288"/>
        </w:trPr>
        <w:tc>
          <w:tcPr>
            <w:cnfStyle w:val="001000100000"/>
            <w:tcW w:w="2200" w:type="dxa"/>
          </w:tcPr>
          <w:p w14:paraId="00000240">
            <w:pPr>
              <w:spacing w:before="0" w:beforeAutospacing="0" w:after="0" w:afterAutospacing="0" w:line="240" w:lineRule="auto"/>
              <w:jc w:val="lef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Year 5 Cash Inflow</w:t>
            </w:r>
          </w:p>
        </w:tc>
        <w:tc>
          <w:tcPr>
            <w:cnfStyle w:val="000000100000"/>
            <w:tcW w:w="4032" w:type="dxa"/>
          </w:tcPr>
          <w:p w14:paraId="00000241">
            <w:pPr>
              <w:spacing w:before="0" w:beforeAutospacing="0" w:after="0" w:afterAutospacing="0" w:line="240" w:lineRule="auto"/>
              <w:jc w:val="righ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8</w:t>
            </w:r>
          </w:p>
        </w:tc>
        <w:tc>
          <w:tcPr>
            <w:cnfStyle w:val="000000100000"/>
            <w:tcW w:w="1420" w:type="dxa"/>
          </w:tcPr>
          <w:p w14:paraId="00000242">
            <w:pPr>
              <w:spacing w:before="0" w:beforeAutospacing="0" w:after="0" w:afterAutospacing="0" w:line="240" w:lineRule="auto"/>
              <w:jc w:val="righ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11</w:t>
            </w:r>
          </w:p>
        </w:tc>
        <w:tc>
          <w:tcPr>
            <w:cnfStyle w:val="000000100000"/>
            <w:tcW w:w="1420" w:type="dxa"/>
          </w:tcPr>
          <w:p w14:paraId="00000243">
            <w:pPr>
              <w:spacing w:before="0" w:beforeAutospacing="0" w:after="0" w:afterAutospacing="0" w:line="240" w:lineRule="auto"/>
              <w:jc w:val="righ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5</w:t>
            </w:r>
          </w:p>
        </w:tc>
      </w:tr>
    </w:tbl>
    <w:p w14:paraId="00000244">
      <w:pPr>
        <w:rPr>
          <w:b/>
          <w:bCs/>
          <w:color w:val="000000" w:themeColor="text1"/>
          <w:lang w:val="en-US"/>
        </w:rPr>
      </w:pPr>
    </w:p>
    <w:tbl>
      <w:tblPr>
        <w:tblStyle w:val="ListTable3Accent2"/>
        <w:tblW w:w="9067" w:type="dxa"/>
        <w:tblLook w:val="04A0"/>
      </w:tblPr>
      <w:tblGrid>
        <w:gridCol w:w="1838"/>
        <w:gridCol w:w="2560"/>
        <w:gridCol w:w="1420"/>
        <w:gridCol w:w="1420"/>
        <w:gridCol w:w="1829"/>
      </w:tblGrid>
      <w:tr>
        <w:trPr>
          <w:cnfStyle w:val="100000000000"/>
          <w:trHeight w:val="288"/>
        </w:trPr>
        <w:tc>
          <w:tcPr>
            <w:cnfStyle w:val="101000000000"/>
            <w:tcW w:w="9067" w:type="dxa"/>
            <w:noWrap w:val="on"/>
            <w:gridSpan w:val="5"/>
          </w:tcPr>
          <w:p w14:paraId="00000245">
            <w:pPr>
              <w:spacing w:before="0" w:beforeAutospacing="0" w:after="0" w:afterAutospacing="0" w:line="240" w:lineRule="auto"/>
              <w:jc w:val="center"/>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Investment Appraisal Results (Discount Rate = 10%)</w:t>
            </w:r>
          </w:p>
        </w:tc>
      </w:tr>
      <w:tr>
        <w:trPr>
          <w:cnfStyle w:val="000000100000"/>
          <w:trHeight w:val="288"/>
        </w:trPr>
        <w:tc>
          <w:tcPr>
            <w:cnfStyle w:val="001000100000"/>
            <w:tcW w:w="1838" w:type="dxa"/>
          </w:tcPr>
          <w:p w14:paraId="00000246">
            <w:pPr>
              <w:spacing w:before="0" w:beforeAutospacing="0" w:after="0" w:afterAutospacing="0" w:line="240" w:lineRule="auto"/>
              <w:jc w:val="lef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Method</w:t>
            </w:r>
          </w:p>
        </w:tc>
        <w:tc>
          <w:tcPr>
            <w:cnfStyle w:val="000000100000"/>
            <w:tcW w:w="2560" w:type="dxa"/>
          </w:tcPr>
          <w:p w14:paraId="00000247">
            <w:pPr>
              <w:spacing w:before="0" w:beforeAutospacing="0" w:after="0" w:afterAutospacing="0" w:line="240" w:lineRule="auto"/>
              <w:jc w:val="left"/>
              <w:rPr>
                <w:rFonts w:ascii="Calibri" w:cs="Calibri" w:eastAsia="Times New Roman" w:hAnsi="Calibri"/>
                <w:b/>
                <w:bCs/>
                <w:color w:val="000000" w:themeColor="text1"/>
                <w:sz w:val="22"/>
                <w:lang w:val="en-IN" w:eastAsia="en-IN"/>
              </w:rPr>
            </w:pPr>
            <w:r>
              <w:rPr>
                <w:rFonts w:ascii="Calibri" w:cs="Calibri" w:eastAsia="Times New Roman" w:hAnsi="Calibri"/>
                <w:b/>
                <w:bCs/>
                <w:color w:val="000000" w:themeColor="text1"/>
                <w:sz w:val="22"/>
                <w:lang w:val="en-IN" w:eastAsia="en-IN"/>
              </w:rPr>
              <w:t>Formula</w:t>
            </w:r>
          </w:p>
        </w:tc>
        <w:tc>
          <w:tcPr>
            <w:cnfStyle w:val="000000100000"/>
            <w:tcW w:w="1420" w:type="dxa"/>
          </w:tcPr>
          <w:p w14:paraId="00000248">
            <w:pPr>
              <w:spacing w:before="0" w:beforeAutospacing="0" w:after="0" w:afterAutospacing="0" w:line="240" w:lineRule="auto"/>
              <w:jc w:val="left"/>
              <w:rPr>
                <w:rFonts w:ascii="Calibri" w:cs="Calibri" w:eastAsia="Times New Roman" w:hAnsi="Calibri"/>
                <w:b/>
                <w:bCs/>
                <w:color w:val="000000" w:themeColor="text1"/>
                <w:sz w:val="22"/>
                <w:lang w:val="en-IN" w:eastAsia="en-IN"/>
              </w:rPr>
            </w:pPr>
            <w:r>
              <w:rPr>
                <w:rFonts w:ascii="Calibri" w:cs="Calibri" w:eastAsia="Times New Roman" w:hAnsi="Calibri"/>
                <w:b/>
                <w:bCs/>
                <w:color w:val="000000" w:themeColor="text1"/>
                <w:sz w:val="22"/>
                <w:lang w:val="en-IN" w:eastAsia="en-IN"/>
              </w:rPr>
              <w:t>Project A</w:t>
            </w:r>
          </w:p>
        </w:tc>
        <w:tc>
          <w:tcPr>
            <w:cnfStyle w:val="000000100000"/>
            <w:tcW w:w="1420" w:type="dxa"/>
          </w:tcPr>
          <w:p w14:paraId="00000249">
            <w:pPr>
              <w:spacing w:before="0" w:beforeAutospacing="0" w:after="0" w:afterAutospacing="0" w:line="240" w:lineRule="auto"/>
              <w:jc w:val="left"/>
              <w:rPr>
                <w:rFonts w:ascii="Calibri" w:cs="Calibri" w:eastAsia="Times New Roman" w:hAnsi="Calibri"/>
                <w:b/>
                <w:bCs/>
                <w:color w:val="000000" w:themeColor="text1"/>
                <w:sz w:val="22"/>
                <w:lang w:val="en-IN" w:eastAsia="en-IN"/>
              </w:rPr>
            </w:pPr>
            <w:r>
              <w:rPr>
                <w:rFonts w:ascii="Calibri" w:cs="Calibri" w:eastAsia="Times New Roman" w:hAnsi="Calibri"/>
                <w:b/>
                <w:bCs/>
                <w:color w:val="000000" w:themeColor="text1"/>
                <w:sz w:val="22"/>
                <w:lang w:val="en-IN" w:eastAsia="en-IN"/>
              </w:rPr>
              <w:t>Project B</w:t>
            </w:r>
          </w:p>
        </w:tc>
        <w:tc>
          <w:tcPr>
            <w:cnfStyle w:val="000000100000"/>
            <w:tcW w:w="1829" w:type="dxa"/>
          </w:tcPr>
          <w:p w14:paraId="0000024A">
            <w:pPr>
              <w:spacing w:before="0" w:beforeAutospacing="0" w:after="0" w:afterAutospacing="0" w:line="240" w:lineRule="auto"/>
              <w:jc w:val="left"/>
              <w:rPr>
                <w:rFonts w:ascii="Calibri" w:cs="Calibri" w:eastAsia="Times New Roman" w:hAnsi="Calibri"/>
                <w:b/>
                <w:bCs/>
                <w:color w:val="000000" w:themeColor="text1"/>
                <w:sz w:val="22"/>
                <w:lang w:val="en-IN" w:eastAsia="en-IN"/>
              </w:rPr>
            </w:pPr>
            <w:r>
              <w:rPr>
                <w:rFonts w:ascii="Calibri" w:cs="Calibri" w:eastAsia="Times New Roman" w:hAnsi="Calibri"/>
                <w:b/>
                <w:bCs/>
                <w:color w:val="000000" w:themeColor="text1"/>
                <w:sz w:val="22"/>
                <w:lang w:val="en-IN" w:eastAsia="en-IN"/>
              </w:rPr>
              <w:t>Project C</w:t>
            </w:r>
          </w:p>
        </w:tc>
      </w:tr>
      <w:tr>
        <w:trPr>
          <w:trHeight w:val="576"/>
        </w:trPr>
        <w:tc>
          <w:tcPr>
            <w:cnfStyle w:val="001000010000"/>
            <w:tcW w:w="1838" w:type="dxa"/>
          </w:tcPr>
          <w:p w14:paraId="0000024B">
            <w:pPr>
              <w:spacing w:before="0" w:beforeAutospacing="0" w:after="0" w:afterAutospacing="0" w:line="240" w:lineRule="auto"/>
              <w:jc w:val="lef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Payback Period (Years)</w:t>
            </w:r>
          </w:p>
        </w:tc>
        <w:tc>
          <w:tcPr>
            <w:cnfStyle w:val="000000010000"/>
            <w:tcW w:w="2560" w:type="dxa"/>
          </w:tcPr>
          <w:p w14:paraId="0000024C">
            <w:pPr>
              <w:spacing w:before="0" w:beforeAutospacing="0" w:after="0" w:afterAutospacing="0" w:line="240" w:lineRule="auto"/>
              <w:jc w:val="lef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Years to recover initial investment using cumulative cash flows</w:t>
            </w:r>
          </w:p>
        </w:tc>
        <w:tc>
          <w:tcPr>
            <w:cnfStyle w:val="000000010000"/>
            <w:tcW w:w="1420" w:type="dxa"/>
          </w:tcPr>
          <w:p w14:paraId="0000024D">
            <w:pPr>
              <w:spacing w:before="0" w:beforeAutospacing="0" w:after="0" w:afterAutospacing="0" w:line="240" w:lineRule="auto"/>
              <w:jc w:val="right"/>
              <w:rPr>
                <w:rFonts w:ascii="Calibri" w:cs="Calibri" w:eastAsia="Times New Roman" w:hAnsi="Calibri"/>
                <w:b/>
                <w:bCs/>
                <w:color w:val="000000" w:themeColor="text1"/>
                <w:sz w:val="22"/>
                <w:lang w:val="en-IN" w:eastAsia="en-IN"/>
              </w:rPr>
            </w:pPr>
            <w:r>
              <w:rPr>
                <w:rFonts w:ascii="Calibri" w:cs="Calibri" w:eastAsia="Times New Roman" w:hAnsi="Calibri"/>
                <w:b/>
                <w:bCs/>
                <w:color w:val="000000" w:themeColor="text1"/>
                <w:sz w:val="22"/>
                <w:lang w:val="en-IN" w:eastAsia="en-IN"/>
              </w:rPr>
              <w:t>4.0 years</w:t>
            </w:r>
          </w:p>
        </w:tc>
        <w:tc>
          <w:tcPr>
            <w:cnfStyle w:val="000000010000"/>
            <w:tcW w:w="1420" w:type="dxa"/>
          </w:tcPr>
          <w:p w14:paraId="0000024E">
            <w:pPr>
              <w:spacing w:before="0" w:beforeAutospacing="0" w:after="0" w:afterAutospacing="0" w:line="240" w:lineRule="auto"/>
              <w:jc w:val="right"/>
              <w:rPr>
                <w:rFonts w:ascii="Calibri" w:cs="Calibri" w:eastAsia="Times New Roman" w:hAnsi="Calibri"/>
                <w:b/>
                <w:bCs/>
                <w:color w:val="000000" w:themeColor="text1"/>
                <w:sz w:val="22"/>
                <w:lang w:val="en-IN" w:eastAsia="en-IN"/>
              </w:rPr>
            </w:pPr>
            <w:r>
              <w:rPr>
                <w:rFonts w:ascii="Calibri" w:cs="Calibri" w:eastAsia="Times New Roman" w:hAnsi="Calibri"/>
                <w:b/>
                <w:bCs/>
                <w:color w:val="000000" w:themeColor="text1"/>
                <w:sz w:val="22"/>
                <w:lang w:val="en-IN" w:eastAsia="en-IN"/>
              </w:rPr>
              <w:t>4.55 years</w:t>
            </w:r>
          </w:p>
        </w:tc>
        <w:tc>
          <w:tcPr>
            <w:cnfStyle w:val="000000010000"/>
            <w:tcW w:w="1829" w:type="dxa"/>
          </w:tcPr>
          <w:p w14:paraId="0000024F">
            <w:pPr>
              <w:spacing w:before="0" w:beforeAutospacing="0" w:after="0" w:afterAutospacing="0" w:line="240" w:lineRule="auto"/>
              <w:jc w:val="right"/>
              <w:rPr>
                <w:rFonts w:ascii="Calibri" w:cs="Calibri" w:eastAsia="Times New Roman" w:hAnsi="Calibri"/>
                <w:b/>
                <w:bCs/>
                <w:color w:val="000000" w:themeColor="text1"/>
                <w:sz w:val="22"/>
                <w:lang w:val="en-IN" w:eastAsia="en-IN"/>
              </w:rPr>
            </w:pPr>
            <w:r>
              <w:rPr>
                <w:rFonts w:ascii="Calibri" w:cs="Calibri" w:eastAsia="Times New Roman" w:hAnsi="Calibri"/>
                <w:b/>
                <w:bCs/>
                <w:color w:val="000000" w:themeColor="text1"/>
                <w:sz w:val="22"/>
                <w:lang w:val="en-IN" w:eastAsia="en-IN"/>
              </w:rPr>
              <w:t>3.4 years</w:t>
            </w:r>
          </w:p>
        </w:tc>
      </w:tr>
      <w:tr>
        <w:trPr>
          <w:cnfStyle w:val="000000100000"/>
          <w:trHeight w:val="576"/>
        </w:trPr>
        <w:tc>
          <w:tcPr>
            <w:cnfStyle w:val="001000100000"/>
            <w:tcW w:w="1838" w:type="dxa"/>
          </w:tcPr>
          <w:p w14:paraId="00000250">
            <w:pPr>
              <w:spacing w:before="0" w:beforeAutospacing="0" w:after="0" w:afterAutospacing="0" w:line="240" w:lineRule="auto"/>
              <w:jc w:val="lef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Accounting Rate of Return (ARR %)</w:t>
            </w:r>
          </w:p>
        </w:tc>
        <w:tc>
          <w:tcPr>
            <w:cnfStyle w:val="000000100000"/>
            <w:tcW w:w="2560" w:type="dxa"/>
          </w:tcPr>
          <w:p w14:paraId="00000251">
            <w:pPr>
              <w:spacing w:before="0" w:beforeAutospacing="0" w:after="0" w:afterAutospacing="0" w:line="240" w:lineRule="auto"/>
              <w:jc w:val="lef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(Average Annual Profit / Initial Investment) × 100</w:t>
            </w:r>
          </w:p>
        </w:tc>
        <w:tc>
          <w:tcPr>
            <w:cnfStyle w:val="000000100000"/>
            <w:tcW w:w="1420" w:type="dxa"/>
          </w:tcPr>
          <w:p w14:paraId="00000252">
            <w:pPr>
              <w:spacing w:before="0" w:beforeAutospacing="0" w:after="0" w:afterAutospacing="0" w:line="240" w:lineRule="auto"/>
              <w:jc w:val="right"/>
              <w:rPr>
                <w:rFonts w:ascii="Calibri" w:cs="Calibri" w:eastAsia="Times New Roman" w:hAnsi="Calibri"/>
                <w:b/>
                <w:bCs/>
                <w:color w:val="000000" w:themeColor="text1"/>
                <w:sz w:val="22"/>
                <w:lang w:val="en-IN" w:eastAsia="en-IN"/>
              </w:rPr>
            </w:pPr>
            <w:r>
              <w:rPr>
                <w:rFonts w:ascii="Calibri" w:cs="Calibri" w:eastAsia="Times New Roman" w:hAnsi="Calibri"/>
                <w:b/>
                <w:bCs/>
                <w:color w:val="000000" w:themeColor="text1"/>
                <w:sz w:val="22"/>
                <w:lang w:val="en-IN" w:eastAsia="en-IN"/>
              </w:rPr>
              <w:t>16%</w:t>
            </w:r>
          </w:p>
        </w:tc>
        <w:tc>
          <w:tcPr>
            <w:cnfStyle w:val="000000100000"/>
            <w:tcW w:w="1420" w:type="dxa"/>
          </w:tcPr>
          <w:p w14:paraId="00000253">
            <w:pPr>
              <w:spacing w:before="0" w:beforeAutospacing="0" w:after="0" w:afterAutospacing="0" w:line="240" w:lineRule="auto"/>
              <w:jc w:val="right"/>
              <w:rPr>
                <w:rFonts w:ascii="Calibri" w:cs="Calibri" w:eastAsia="Times New Roman" w:hAnsi="Calibri"/>
                <w:b/>
                <w:bCs/>
                <w:color w:val="000000" w:themeColor="text1"/>
                <w:sz w:val="22"/>
                <w:lang w:val="en-IN" w:eastAsia="en-IN"/>
              </w:rPr>
            </w:pPr>
            <w:r>
              <w:rPr>
                <w:rFonts w:ascii="Calibri" w:cs="Calibri" w:eastAsia="Times New Roman" w:hAnsi="Calibri"/>
                <w:b/>
                <w:bCs/>
                <w:color w:val="000000" w:themeColor="text1"/>
                <w:sz w:val="22"/>
                <w:lang w:val="en-IN" w:eastAsia="en-IN"/>
              </w:rPr>
              <w:t>12%</w:t>
            </w:r>
          </w:p>
        </w:tc>
        <w:tc>
          <w:tcPr>
            <w:cnfStyle w:val="000000100000"/>
            <w:tcW w:w="1829" w:type="dxa"/>
          </w:tcPr>
          <w:p w14:paraId="00000254">
            <w:pPr>
              <w:spacing w:before="0" w:beforeAutospacing="0" w:after="0" w:afterAutospacing="0" w:line="240" w:lineRule="auto"/>
              <w:jc w:val="right"/>
              <w:rPr>
                <w:rFonts w:ascii="Calibri" w:cs="Calibri" w:eastAsia="Times New Roman" w:hAnsi="Calibri"/>
                <w:b/>
                <w:bCs/>
                <w:color w:val="000000" w:themeColor="text1"/>
                <w:sz w:val="22"/>
                <w:lang w:val="en-IN" w:eastAsia="en-IN"/>
              </w:rPr>
            </w:pPr>
            <w:r>
              <w:rPr>
                <w:rFonts w:ascii="Calibri" w:cs="Calibri" w:eastAsia="Times New Roman" w:hAnsi="Calibri"/>
                <w:b/>
                <w:bCs/>
                <w:color w:val="000000" w:themeColor="text1"/>
                <w:sz w:val="22"/>
                <w:lang w:val="en-IN" w:eastAsia="en-IN"/>
              </w:rPr>
              <w:t>16%</w:t>
            </w:r>
          </w:p>
        </w:tc>
      </w:tr>
      <w:tr>
        <w:trPr>
          <w:trHeight w:val="288"/>
        </w:trPr>
        <w:tc>
          <w:tcPr>
            <w:cnfStyle w:val="001000010000"/>
            <w:tcW w:w="1838" w:type="dxa"/>
          </w:tcPr>
          <w:p w14:paraId="00000255">
            <w:pPr>
              <w:spacing w:before="0" w:beforeAutospacing="0" w:after="0" w:afterAutospacing="0" w:line="240" w:lineRule="auto"/>
              <w:jc w:val="lef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Net Present Value (NPV £m)</w:t>
            </w:r>
          </w:p>
        </w:tc>
        <w:tc>
          <w:tcPr>
            <w:cnfStyle w:val="000000010000"/>
            <w:tcW w:w="2560" w:type="dxa"/>
          </w:tcPr>
          <w:p w14:paraId="00000256">
            <w:pPr>
              <w:spacing w:before="0" w:beforeAutospacing="0" w:after="0" w:afterAutospacing="0" w:line="240" w:lineRule="auto"/>
              <w:jc w:val="lef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NPV at 10% discount rate</w:t>
            </w:r>
          </w:p>
        </w:tc>
        <w:tc>
          <w:tcPr>
            <w:cnfStyle w:val="000000010000"/>
            <w:tcW w:w="1420" w:type="dxa"/>
          </w:tcPr>
          <w:p w14:paraId="00000257">
            <w:pPr>
              <w:spacing w:before="0" w:beforeAutospacing="0" w:after="0" w:afterAutospacing="0" w:line="240" w:lineRule="auto"/>
              <w:jc w:val="right"/>
              <w:rPr>
                <w:rFonts w:ascii="Calibri" w:cs="Calibri" w:eastAsia="Times New Roman" w:hAnsi="Calibri"/>
                <w:b/>
                <w:bCs/>
                <w:color w:val="000000" w:themeColor="text1"/>
                <w:sz w:val="22"/>
                <w:lang w:val="en-IN" w:eastAsia="en-IN"/>
              </w:rPr>
            </w:pPr>
            <w:r>
              <w:rPr>
                <w:rFonts w:ascii="Calibri" w:cs="Calibri" w:eastAsia="Times New Roman" w:hAnsi="Calibri"/>
                <w:b/>
                <w:bCs/>
                <w:color w:val="000000" w:themeColor="text1"/>
                <w:sz w:val="22"/>
                <w:lang w:val="en-IN" w:eastAsia="en-IN"/>
              </w:rPr>
              <w:t>-£2.66m</w:t>
            </w:r>
          </w:p>
        </w:tc>
        <w:tc>
          <w:tcPr>
            <w:cnfStyle w:val="000000010000"/>
            <w:tcW w:w="1420" w:type="dxa"/>
          </w:tcPr>
          <w:p w14:paraId="00000258">
            <w:pPr>
              <w:spacing w:before="0" w:beforeAutospacing="0" w:after="0" w:afterAutospacing="0" w:line="240" w:lineRule="auto"/>
              <w:jc w:val="right"/>
              <w:rPr>
                <w:rFonts w:ascii="Calibri" w:cs="Calibri" w:eastAsia="Times New Roman" w:hAnsi="Calibri"/>
                <w:b/>
                <w:bCs/>
                <w:color w:val="000000" w:themeColor="text1"/>
                <w:sz w:val="22"/>
                <w:lang w:val="en-IN" w:eastAsia="en-IN"/>
              </w:rPr>
            </w:pPr>
            <w:r>
              <w:rPr>
                <w:rFonts w:ascii="Calibri" w:cs="Calibri" w:eastAsia="Times New Roman" w:hAnsi="Calibri"/>
                <w:b/>
                <w:bCs/>
                <w:color w:val="000000" w:themeColor="text1"/>
                <w:sz w:val="22"/>
                <w:lang w:val="en-IN" w:eastAsia="en-IN"/>
              </w:rPr>
              <w:t>-£8.30m</w:t>
            </w:r>
          </w:p>
        </w:tc>
        <w:tc>
          <w:tcPr>
            <w:cnfStyle w:val="000000010000"/>
            <w:tcW w:w="1829" w:type="dxa"/>
          </w:tcPr>
          <w:p w14:paraId="00000259">
            <w:pPr>
              <w:spacing w:before="0" w:beforeAutospacing="0" w:after="0" w:afterAutospacing="0" w:line="240" w:lineRule="auto"/>
              <w:jc w:val="right"/>
              <w:rPr>
                <w:rFonts w:ascii="Calibri" w:cs="Calibri" w:eastAsia="Times New Roman" w:hAnsi="Calibri"/>
                <w:b/>
                <w:bCs/>
                <w:color w:val="000000" w:themeColor="text1"/>
                <w:sz w:val="22"/>
                <w:lang w:val="en-IN" w:eastAsia="en-IN"/>
              </w:rPr>
            </w:pPr>
            <w:r>
              <w:rPr>
                <w:rFonts w:ascii="Calibri" w:cs="Calibri" w:eastAsia="Times New Roman" w:hAnsi="Calibri"/>
                <w:b/>
                <w:bCs/>
                <w:color w:val="000000" w:themeColor="text1"/>
                <w:sz w:val="22"/>
                <w:lang w:val="en-IN" w:eastAsia="en-IN"/>
              </w:rPr>
              <w:t>+£2.94m</w:t>
            </w:r>
          </w:p>
        </w:tc>
      </w:tr>
      <w:tr>
        <w:trPr>
          <w:cnfStyle w:val="000000100000"/>
          <w:trHeight w:val="576"/>
        </w:trPr>
        <w:tc>
          <w:tcPr>
            <w:cnfStyle w:val="001000100000"/>
            <w:tcW w:w="1838" w:type="dxa"/>
          </w:tcPr>
          <w:p w14:paraId="0000025A">
            <w:pPr>
              <w:spacing w:before="0" w:beforeAutospacing="0" w:after="0" w:afterAutospacing="0" w:line="240" w:lineRule="auto"/>
              <w:jc w:val="lef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Profitability Index (PI)</w:t>
            </w:r>
          </w:p>
        </w:tc>
        <w:tc>
          <w:tcPr>
            <w:cnfStyle w:val="000000100000"/>
            <w:tcW w:w="2560" w:type="dxa"/>
          </w:tcPr>
          <w:p w14:paraId="0000025B">
            <w:pPr>
              <w:spacing w:before="0" w:beforeAutospacing="0" w:after="0" w:afterAutospacing="0" w:line="240" w:lineRule="auto"/>
              <w:jc w:val="lef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Present Value of Cash Inflows / Initial Investment</w:t>
            </w:r>
          </w:p>
        </w:tc>
        <w:tc>
          <w:tcPr>
            <w:cnfStyle w:val="000000100000"/>
            <w:tcW w:w="1420" w:type="dxa"/>
          </w:tcPr>
          <w:p w14:paraId="0000025C">
            <w:pPr>
              <w:spacing w:before="0" w:beforeAutospacing="0" w:after="0" w:afterAutospacing="0" w:line="240" w:lineRule="auto"/>
              <w:jc w:val="right"/>
              <w:rPr>
                <w:rFonts w:ascii="Calibri" w:cs="Calibri" w:eastAsia="Times New Roman" w:hAnsi="Calibri"/>
                <w:b/>
                <w:bCs/>
                <w:color w:val="000000" w:themeColor="text1"/>
                <w:sz w:val="22"/>
                <w:lang w:val="en-IN" w:eastAsia="en-IN"/>
              </w:rPr>
            </w:pPr>
            <w:r>
              <w:rPr>
                <w:rFonts w:ascii="Calibri" w:cs="Calibri" w:eastAsia="Times New Roman" w:hAnsi="Calibri"/>
                <w:b/>
                <w:bCs/>
                <w:color w:val="000000" w:themeColor="text1"/>
                <w:sz w:val="22"/>
                <w:lang w:val="en-IN" w:eastAsia="en-IN"/>
              </w:rPr>
              <w:t>0.95</w:t>
            </w:r>
          </w:p>
        </w:tc>
        <w:tc>
          <w:tcPr>
            <w:cnfStyle w:val="000000100000"/>
            <w:tcW w:w="1420" w:type="dxa"/>
          </w:tcPr>
          <w:p w14:paraId="0000025D">
            <w:pPr>
              <w:spacing w:before="0" w:beforeAutospacing="0" w:after="0" w:afterAutospacing="0" w:line="240" w:lineRule="auto"/>
              <w:jc w:val="right"/>
              <w:rPr>
                <w:rFonts w:ascii="Calibri" w:cs="Calibri" w:eastAsia="Times New Roman" w:hAnsi="Calibri"/>
                <w:b/>
                <w:bCs/>
                <w:color w:val="000000" w:themeColor="text1"/>
                <w:sz w:val="22"/>
                <w:lang w:val="en-IN" w:eastAsia="en-IN"/>
              </w:rPr>
            </w:pPr>
            <w:r>
              <w:rPr>
                <w:rFonts w:ascii="Calibri" w:cs="Calibri" w:eastAsia="Times New Roman" w:hAnsi="Calibri"/>
                <w:b/>
                <w:bCs/>
                <w:color w:val="000000" w:themeColor="text1"/>
                <w:sz w:val="22"/>
                <w:lang w:val="en-IN" w:eastAsia="en-IN"/>
              </w:rPr>
              <w:t>0.83</w:t>
            </w:r>
          </w:p>
        </w:tc>
        <w:tc>
          <w:tcPr>
            <w:cnfStyle w:val="000000100000"/>
            <w:tcW w:w="1829" w:type="dxa"/>
          </w:tcPr>
          <w:p w14:paraId="0000025E">
            <w:pPr>
              <w:spacing w:before="0" w:beforeAutospacing="0" w:after="0" w:afterAutospacing="0" w:line="240" w:lineRule="auto"/>
              <w:jc w:val="right"/>
              <w:rPr>
                <w:rFonts w:ascii="Calibri" w:cs="Calibri" w:eastAsia="Times New Roman" w:hAnsi="Calibri"/>
                <w:b/>
                <w:bCs/>
                <w:color w:val="000000" w:themeColor="text1"/>
                <w:sz w:val="22"/>
                <w:lang w:val="en-IN" w:eastAsia="en-IN"/>
              </w:rPr>
            </w:pPr>
            <w:r>
              <w:rPr>
                <w:rFonts w:ascii="Calibri" w:cs="Calibri" w:eastAsia="Times New Roman" w:hAnsi="Calibri"/>
                <w:b/>
                <w:bCs/>
                <w:color w:val="000000" w:themeColor="text1"/>
                <w:sz w:val="22"/>
                <w:lang w:val="en-IN" w:eastAsia="en-IN"/>
              </w:rPr>
              <w:t>1.06</w:t>
            </w:r>
          </w:p>
        </w:tc>
      </w:tr>
      <w:tr>
        <w:trPr>
          <w:trHeight w:val="288"/>
        </w:trPr>
        <w:tc>
          <w:tcPr>
            <w:cnfStyle w:val="001000010000"/>
            <w:tcW w:w="1838" w:type="dxa"/>
          </w:tcPr>
          <w:p w14:paraId="0000025F">
            <w:pPr>
              <w:spacing w:before="0" w:beforeAutospacing="0" w:after="0" w:afterAutospacing="0" w:line="240" w:lineRule="auto"/>
              <w:jc w:val="lef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Internal Rate of Return (IRR %)</w:t>
            </w:r>
          </w:p>
        </w:tc>
        <w:tc>
          <w:tcPr>
            <w:cnfStyle w:val="000000010000"/>
            <w:tcW w:w="2560" w:type="dxa"/>
          </w:tcPr>
          <w:p w14:paraId="00000260">
            <w:pPr>
              <w:spacing w:before="0" w:beforeAutospacing="0" w:after="0" w:afterAutospacing="0" w:line="240" w:lineRule="auto"/>
              <w:jc w:val="lef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Discount rate where NPV = 0</w:t>
            </w:r>
          </w:p>
        </w:tc>
        <w:tc>
          <w:tcPr>
            <w:cnfStyle w:val="000000010000"/>
            <w:tcW w:w="1420" w:type="dxa"/>
          </w:tcPr>
          <w:p w14:paraId="00000261">
            <w:pPr>
              <w:spacing w:before="0" w:beforeAutospacing="0" w:after="0" w:afterAutospacing="0" w:line="240" w:lineRule="auto"/>
              <w:jc w:val="right"/>
              <w:rPr>
                <w:rFonts w:ascii="Calibri" w:cs="Calibri" w:eastAsia="Times New Roman" w:hAnsi="Calibri"/>
                <w:b/>
                <w:bCs/>
                <w:color w:val="000000" w:themeColor="text1"/>
                <w:sz w:val="22"/>
                <w:lang w:val="en-IN" w:eastAsia="en-IN"/>
              </w:rPr>
            </w:pPr>
            <w:r>
              <w:rPr>
                <w:rFonts w:ascii="Calibri" w:cs="Calibri" w:eastAsia="Times New Roman" w:hAnsi="Calibri"/>
                <w:b/>
                <w:bCs/>
                <w:color w:val="000000" w:themeColor="text1"/>
                <w:sz w:val="22"/>
                <w:lang w:val="en-IN" w:eastAsia="en-IN"/>
              </w:rPr>
              <w:t>~8.6%</w:t>
            </w:r>
          </w:p>
        </w:tc>
        <w:tc>
          <w:tcPr>
            <w:cnfStyle w:val="000000010000"/>
            <w:tcW w:w="1420" w:type="dxa"/>
          </w:tcPr>
          <w:p w14:paraId="00000262">
            <w:pPr>
              <w:spacing w:before="0" w:beforeAutospacing="0" w:after="0" w:afterAutospacing="0" w:line="240" w:lineRule="auto"/>
              <w:jc w:val="right"/>
              <w:rPr>
                <w:rFonts w:ascii="Calibri" w:cs="Calibri" w:eastAsia="Times New Roman" w:hAnsi="Calibri"/>
                <w:b/>
                <w:bCs/>
                <w:color w:val="000000" w:themeColor="text1"/>
                <w:sz w:val="22"/>
                <w:lang w:val="en-IN" w:eastAsia="en-IN"/>
              </w:rPr>
            </w:pPr>
            <w:r>
              <w:rPr>
                <w:rFonts w:ascii="Calibri" w:cs="Calibri" w:eastAsia="Times New Roman" w:hAnsi="Calibri"/>
                <w:b/>
                <w:bCs/>
                <w:color w:val="000000" w:themeColor="text1"/>
                <w:sz w:val="22"/>
                <w:lang w:val="en-IN" w:eastAsia="en-IN"/>
              </w:rPr>
              <w:t>~4.5%</w:t>
            </w:r>
          </w:p>
        </w:tc>
        <w:tc>
          <w:tcPr>
            <w:cnfStyle w:val="000000010000"/>
            <w:tcW w:w="1829" w:type="dxa"/>
          </w:tcPr>
          <w:p w14:paraId="00000263">
            <w:pPr>
              <w:spacing w:before="0" w:beforeAutospacing="0" w:after="0" w:afterAutospacing="0" w:line="240" w:lineRule="auto"/>
              <w:jc w:val="right"/>
              <w:rPr>
                <w:rFonts w:ascii="Calibri" w:cs="Calibri" w:eastAsia="Times New Roman" w:hAnsi="Calibri"/>
                <w:b/>
                <w:bCs/>
                <w:color w:val="000000" w:themeColor="text1"/>
                <w:sz w:val="22"/>
                <w:lang w:val="en-IN" w:eastAsia="en-IN"/>
              </w:rPr>
            </w:pPr>
            <w:r>
              <w:rPr>
                <w:rFonts w:ascii="Calibri" w:cs="Calibri" w:eastAsia="Times New Roman" w:hAnsi="Calibri"/>
                <w:b/>
                <w:bCs/>
                <w:color w:val="000000" w:themeColor="text1"/>
                <w:sz w:val="22"/>
                <w:lang w:val="en-IN" w:eastAsia="en-IN"/>
              </w:rPr>
              <w:t>~12.2%</w:t>
            </w:r>
          </w:p>
        </w:tc>
      </w:tr>
    </w:tbl>
    <w:p w14:paraId="00000264">
      <w:pPr>
        <w:rPr>
          <w:b/>
          <w:bCs/>
          <w:color w:val="000000" w:themeColor="text1"/>
          <w:lang w:val="en-US"/>
        </w:rPr>
      </w:pPr>
    </w:p>
    <w:tbl>
      <w:tblPr>
        <w:tblStyle w:val="ListTable3Accent2"/>
        <w:tblW w:w="9067" w:type="dxa"/>
        <w:tblLook w:val="04A0"/>
      </w:tblPr>
      <w:tblGrid>
        <w:gridCol w:w="2200"/>
        <w:gridCol w:w="2560"/>
        <w:gridCol w:w="2039"/>
        <w:gridCol w:w="2268"/>
      </w:tblGrid>
      <w:tr>
        <w:trPr>
          <w:cnfStyle w:val="100000000000"/>
          <w:trHeight w:val="288"/>
        </w:trPr>
        <w:tc>
          <w:tcPr>
            <w:cnfStyle w:val="101000000000"/>
            <w:tcW w:w="9067" w:type="dxa"/>
            <w:noWrap w:val="on"/>
            <w:gridSpan w:val="4"/>
          </w:tcPr>
          <w:p w14:paraId="00000265">
            <w:pPr>
              <w:spacing w:before="0" w:beforeAutospacing="0" w:after="0" w:afterAutospacing="0" w:line="240" w:lineRule="auto"/>
              <w:jc w:val="center"/>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Capital Rationing Analysis (Budget = £100 million)</w:t>
            </w:r>
          </w:p>
        </w:tc>
      </w:tr>
      <w:tr>
        <w:trPr>
          <w:cnfStyle w:val="000000100000"/>
          <w:trHeight w:val="576"/>
        </w:trPr>
        <w:tc>
          <w:tcPr>
            <w:cnfStyle w:val="001000100000"/>
            <w:tcW w:w="2200" w:type="dxa"/>
          </w:tcPr>
          <w:p w14:paraId="00000266">
            <w:pPr>
              <w:spacing w:before="0" w:beforeAutospacing="0" w:after="0" w:afterAutospacing="0" w:line="240" w:lineRule="auto"/>
              <w:jc w:val="center"/>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Combination</w:t>
            </w:r>
          </w:p>
        </w:tc>
        <w:tc>
          <w:tcPr>
            <w:cnfStyle w:val="000000100000"/>
            <w:tcW w:w="2560" w:type="dxa"/>
          </w:tcPr>
          <w:p w14:paraId="00000267">
            <w:pPr>
              <w:spacing w:before="0" w:beforeAutospacing="0" w:after="0" w:afterAutospacing="0" w:line="240" w:lineRule="auto"/>
              <w:jc w:val="center"/>
              <w:rPr>
                <w:rFonts w:ascii="Calibri" w:cs="Calibri" w:eastAsia="Times New Roman" w:hAnsi="Calibri"/>
                <w:b/>
                <w:bCs/>
                <w:color w:val="000000" w:themeColor="text1"/>
                <w:sz w:val="22"/>
                <w:lang w:val="en-IN" w:eastAsia="en-IN"/>
              </w:rPr>
            </w:pPr>
            <w:r>
              <w:rPr>
                <w:rFonts w:ascii="Calibri" w:cs="Calibri" w:eastAsia="Times New Roman" w:hAnsi="Calibri"/>
                <w:b/>
                <w:bCs/>
                <w:color w:val="000000" w:themeColor="text1"/>
                <w:sz w:val="22"/>
                <w:lang w:val="en-IN" w:eastAsia="en-IN"/>
              </w:rPr>
              <w:t>Investment (£m)</w:t>
            </w:r>
          </w:p>
        </w:tc>
        <w:tc>
          <w:tcPr>
            <w:cnfStyle w:val="000000100000"/>
            <w:tcW w:w="2039" w:type="dxa"/>
          </w:tcPr>
          <w:p w14:paraId="00000268">
            <w:pPr>
              <w:spacing w:before="0" w:beforeAutospacing="0" w:after="0" w:afterAutospacing="0" w:line="240" w:lineRule="auto"/>
              <w:jc w:val="center"/>
              <w:rPr>
                <w:rFonts w:ascii="Calibri" w:cs="Calibri" w:eastAsia="Times New Roman" w:hAnsi="Calibri"/>
                <w:b/>
                <w:bCs/>
                <w:color w:val="000000" w:themeColor="text1"/>
                <w:sz w:val="22"/>
                <w:lang w:val="en-IN" w:eastAsia="en-IN"/>
              </w:rPr>
            </w:pPr>
            <w:r>
              <w:rPr>
                <w:rFonts w:ascii="Calibri" w:cs="Calibri" w:eastAsia="Times New Roman" w:hAnsi="Calibri"/>
                <w:b/>
                <w:bCs/>
                <w:color w:val="000000" w:themeColor="text1"/>
                <w:sz w:val="22"/>
                <w:lang w:val="en-IN" w:eastAsia="en-IN"/>
              </w:rPr>
              <w:t>Total NPV (£m)</w:t>
            </w:r>
          </w:p>
        </w:tc>
        <w:tc>
          <w:tcPr>
            <w:cnfStyle w:val="000000100000"/>
            <w:tcW w:w="2268" w:type="dxa"/>
          </w:tcPr>
          <w:p w14:paraId="00000269">
            <w:pPr>
              <w:spacing w:before="0" w:beforeAutospacing="0" w:after="0" w:afterAutospacing="0" w:line="240" w:lineRule="auto"/>
              <w:jc w:val="center"/>
              <w:rPr>
                <w:rFonts w:ascii="Calibri" w:cs="Calibri" w:eastAsia="Times New Roman" w:hAnsi="Calibri"/>
                <w:b/>
                <w:bCs/>
                <w:color w:val="000000" w:themeColor="text1"/>
                <w:sz w:val="22"/>
                <w:lang w:val="en-IN" w:eastAsia="en-IN"/>
              </w:rPr>
            </w:pPr>
            <w:r>
              <w:rPr>
                <w:rFonts w:ascii="Calibri" w:cs="Calibri" w:eastAsia="Times New Roman" w:hAnsi="Calibri"/>
                <w:b/>
                <w:bCs/>
                <w:color w:val="000000" w:themeColor="text1"/>
                <w:sz w:val="22"/>
                <w:lang w:val="en-IN" w:eastAsia="en-IN"/>
              </w:rPr>
              <w:t>Decision</w:t>
            </w:r>
          </w:p>
        </w:tc>
      </w:tr>
      <w:tr>
        <w:trPr>
          <w:trHeight w:val="288"/>
        </w:trPr>
        <w:tc>
          <w:tcPr>
            <w:cnfStyle w:val="001000010000"/>
            <w:tcW w:w="2200" w:type="dxa"/>
          </w:tcPr>
          <w:p w14:paraId="0000026A">
            <w:pPr>
              <w:spacing w:before="0" w:beforeAutospacing="0" w:after="0" w:afterAutospacing="0" w:line="240" w:lineRule="auto"/>
              <w:jc w:val="lef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Project A + B</w:t>
            </w:r>
          </w:p>
        </w:tc>
        <w:tc>
          <w:tcPr>
            <w:cnfStyle w:val="000000010000"/>
            <w:tcW w:w="2560" w:type="dxa"/>
          </w:tcPr>
          <w:p w14:paraId="0000026B">
            <w:pPr>
              <w:spacing w:before="0" w:beforeAutospacing="0" w:after="0" w:afterAutospacing="0" w:line="240" w:lineRule="auto"/>
              <w:jc w:val="righ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100</w:t>
            </w:r>
          </w:p>
        </w:tc>
        <w:tc>
          <w:tcPr>
            <w:cnfStyle w:val="000000010000"/>
            <w:tcW w:w="2039" w:type="dxa"/>
          </w:tcPr>
          <w:p w14:paraId="0000026C">
            <w:pPr>
              <w:spacing w:before="0" w:beforeAutospacing="0" w:after="0" w:afterAutospacing="0" w:line="240" w:lineRule="auto"/>
              <w:jc w:val="righ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-10.96</w:t>
            </w:r>
          </w:p>
        </w:tc>
        <w:tc>
          <w:tcPr>
            <w:cnfStyle w:val="000000010000"/>
            <w:tcW w:w="2268" w:type="dxa"/>
          </w:tcPr>
          <w:p w14:paraId="0000026D">
            <w:pPr>
              <w:spacing w:before="0" w:beforeAutospacing="0" w:after="0" w:afterAutospacing="0" w:line="240" w:lineRule="auto"/>
              <w:jc w:val="lef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Reject</w:t>
            </w:r>
          </w:p>
        </w:tc>
      </w:tr>
      <w:tr>
        <w:trPr>
          <w:cnfStyle w:val="000000100000"/>
          <w:trHeight w:val="288"/>
        </w:trPr>
        <w:tc>
          <w:tcPr>
            <w:cnfStyle w:val="001000100000"/>
            <w:tcW w:w="2200" w:type="dxa"/>
          </w:tcPr>
          <w:p w14:paraId="0000026E">
            <w:pPr>
              <w:spacing w:before="0" w:beforeAutospacing="0" w:after="0" w:afterAutospacing="0" w:line="240" w:lineRule="auto"/>
              <w:jc w:val="lef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Project A + C</w:t>
            </w:r>
          </w:p>
        </w:tc>
        <w:tc>
          <w:tcPr>
            <w:cnfStyle w:val="000000100000"/>
            <w:tcW w:w="2560" w:type="dxa"/>
          </w:tcPr>
          <w:p w14:paraId="0000026F">
            <w:pPr>
              <w:spacing w:before="0" w:beforeAutospacing="0" w:after="0" w:afterAutospacing="0" w:line="240" w:lineRule="auto"/>
              <w:jc w:val="righ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100</w:t>
            </w:r>
          </w:p>
        </w:tc>
        <w:tc>
          <w:tcPr>
            <w:cnfStyle w:val="000000100000"/>
            <w:tcW w:w="2039" w:type="dxa"/>
          </w:tcPr>
          <w:p w14:paraId="00000270">
            <w:pPr>
              <w:spacing w:before="0" w:beforeAutospacing="0" w:after="0" w:afterAutospacing="0" w:line="240" w:lineRule="auto"/>
              <w:jc w:val="righ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0.28</w:t>
            </w:r>
          </w:p>
        </w:tc>
        <w:tc>
          <w:tcPr>
            <w:cnfStyle w:val="000000100000"/>
            <w:tcW w:w="2268" w:type="dxa"/>
          </w:tcPr>
          <w:p w14:paraId="00000271">
            <w:pPr>
              <w:spacing w:before="0" w:beforeAutospacing="0" w:after="0" w:afterAutospacing="0" w:line="240" w:lineRule="auto"/>
              <w:jc w:val="lef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Accept</w:t>
            </w:r>
          </w:p>
        </w:tc>
      </w:tr>
      <w:tr>
        <w:trPr>
          <w:trHeight w:val="288"/>
        </w:trPr>
        <w:tc>
          <w:tcPr>
            <w:cnfStyle w:val="001000010000"/>
            <w:tcW w:w="2200" w:type="dxa"/>
          </w:tcPr>
          <w:p w14:paraId="00000272">
            <w:pPr>
              <w:spacing w:before="0" w:beforeAutospacing="0" w:after="0" w:afterAutospacing="0" w:line="240" w:lineRule="auto"/>
              <w:jc w:val="lef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Project B + C</w:t>
            </w:r>
          </w:p>
        </w:tc>
        <w:tc>
          <w:tcPr>
            <w:cnfStyle w:val="000000010000"/>
            <w:tcW w:w="2560" w:type="dxa"/>
          </w:tcPr>
          <w:p w14:paraId="00000273">
            <w:pPr>
              <w:spacing w:before="0" w:beforeAutospacing="0" w:after="0" w:afterAutospacing="0" w:line="240" w:lineRule="auto"/>
              <w:jc w:val="righ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100</w:t>
            </w:r>
          </w:p>
        </w:tc>
        <w:tc>
          <w:tcPr>
            <w:cnfStyle w:val="000000010000"/>
            <w:tcW w:w="2039" w:type="dxa"/>
          </w:tcPr>
          <w:p w14:paraId="00000274">
            <w:pPr>
              <w:spacing w:before="0" w:beforeAutospacing="0" w:after="0" w:afterAutospacing="0" w:line="240" w:lineRule="auto"/>
              <w:jc w:val="righ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-5.36</w:t>
            </w:r>
          </w:p>
        </w:tc>
        <w:tc>
          <w:tcPr>
            <w:cnfStyle w:val="000000010000"/>
            <w:tcW w:w="2268" w:type="dxa"/>
          </w:tcPr>
          <w:p w14:paraId="00000275">
            <w:pPr>
              <w:spacing w:before="0" w:beforeAutospacing="0" w:after="0" w:afterAutospacing="0" w:line="240" w:lineRule="auto"/>
              <w:jc w:val="left"/>
              <w:rPr>
                <w:rFonts w:ascii="Calibri" w:cs="Calibri" w:eastAsia="Times New Roman" w:hAnsi="Calibri"/>
                <w:color w:val="000000" w:themeColor="text1"/>
                <w:sz w:val="22"/>
                <w:lang w:val="en-IN" w:eastAsia="en-IN"/>
              </w:rPr>
            </w:pPr>
            <w:r>
              <w:rPr>
                <w:rFonts w:ascii="Calibri" w:cs="Calibri" w:eastAsia="Times New Roman" w:hAnsi="Calibri"/>
                <w:color w:val="000000" w:themeColor="text1"/>
                <w:sz w:val="22"/>
                <w:lang w:val="en-IN" w:eastAsia="en-IN"/>
              </w:rPr>
              <w:t>Reject</w:t>
            </w:r>
          </w:p>
        </w:tc>
      </w:tr>
    </w:tbl>
    <w:p w14:paraId="00000276">
      <w:pPr>
        <w:rPr>
          <w:b/>
          <w:bCs/>
          <w:color w:val="000000" w:themeColor="text1"/>
          <w:lang w:val="en-US"/>
        </w:rPr>
      </w:pPr>
    </w:p>
    <w:sectPr>
      <w:footerReference w:type="default" r:id="rId46"/>
      <w:pgSz w:w="11906" w:h="16838"/>
      <w:pgMar w:top="1440" w:right="1440" w:bottom="1440" w:left="1440" w:header="708" w:footer="708" w:gutter="0"/>
      <w:pgBorders w:display="allPages" w:offsetFrom="page" w:zOrder="front">
        <w:top w:val="single" w:color="auto" w:sz="4" w:space="24"/>
        <w:left w:val="single" w:color="auto" w:sz="4" w:space="24"/>
        <w:right w:val="single" w:color="auto" w:sz="4" w:space="24"/>
        <w:bottom w:val="single" w:color="auto" w:sz="4" w:space="24"/>
      </w:pgBorders>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dgm="http://schemas.openxmlformats.org/drawingml/2006/diagram" mc:Ignorable="w14 wp14 ">
  <w:endnote w:type="separator" w:id="0">
    <w:p w14:paraId="00000003">
      <w:pPr>
        <w:spacing w:before="0" w:beforeAutospacing="0" w:after="0" w:afterAutospacing="0" w:line="240" w:lineRule="auto"/>
        <w:rPr/>
      </w:pPr>
      <w:r>
        <w:rPr/>
        <w:separator/>
      </w:r>
    </w:p>
  </w:endnote>
  <w:endnote w:type="continuationSeparator" w:id="1">
    <w:p w14:paraId="00000004">
      <w:pPr>
        <w:spacing w:before="0" w:beforeAutospacing="0" w:after="0" w:afterAutospacing="0" w:line="240" w:lineRule="auto"/>
        <w:rPr/>
      </w:pPr>
      <w:r>
        <w:rP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00000000" w:csb1="00000000"/>
  </w:font>
  <w:font w:name="Times New Roman">
    <w:panose1 w:val="02020603050405020304"/>
    <w:charset w:val="00"/>
    <w:family w:val="roman"/>
    <w:pitch w:val="variable"/>
    <w:sig w:usb0="00000000" w:usb1="00000000" w:usb2="00000009" w:usb3="00000000" w:csb0="000001ff" w:csb1="00000000"/>
  </w:font>
  <w:font w:name="Courier New">
    <w:panose1 w:val="02070309020205020404"/>
    <w:charset w:val="00"/>
    <w:family w:val="modern"/>
    <w:pitch w:val="fixed"/>
    <w:sig w:usb0="00000000" w:usb1="00000000" w:usb2="00000009" w:usb3="00000000" w:csb0="000001ff" w:csb1="00000000"/>
  </w:font>
  <w:font w:name="Wingdings">
    <w:panose1 w:val="05000000000000000000"/>
    <w:charset w:val="02"/>
    <w:family w:val="auto"/>
    <w:pitch w:val="variable"/>
    <w:sig w:usb0="00000000" w:usb1="10000000" w:usb2="00000000" w:usb3="00000000" w:csb0="0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00000000" w:usb1="00000000"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00000000" w:usb1="00000000" w:usb2="00000009" w:usb3="00000000" w:csb0="000001f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roman"/>
    <w:pitch w:val="variable"/>
    <w:sig w:usb0="61002a87" w:usb1="80000000" w:usb2="00000008" w:usb3="00000000" w:csb0="000001ff" w:csb1="00000000"/>
  </w:font>
  <w:font w:name="Verdana">
    <w:panose1 w:val="020b0604030504040204"/>
    <w:charset w:val="00"/>
    <w:family w:val="roman"/>
    <w:pitch w:val="variable"/>
    <w:sig w:usb0="a10006ff" w:usb1="4000205b" w:usb2="00000010" w:usb3="00000000" w:csb0="0000019f" w:csb1="00000000"/>
  </w:font>
  <w:font w:name="Helvetica Neue">
    <w:charset w:val="00"/>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dgm="http://schemas.openxmlformats.org/drawingml/2006/diagram" mc:Ignorable="w14 wp14 ">
  <w:p w14:paraId="00000277">
    <w:pPr>
      <w:pStyle w:val="Footer"/>
      <w:jc w:val="center"/>
      <w:rPr/>
    </w:pPr>
    <w:r>
      <w:fldChar w:fldCharType="begin"/>
    </w:r>
    <w:r>
      <w:instrText xml:space="preserve"> PAGE   \* MERGEFORMAT </w:instrText>
    </w:r>
    <w:r>
      <w:fldChar w:fldCharType="separate"/>
    </w:r>
    <w:r>
      <w:t>20</w:t>
    </w:r>
    <w:r>
      <w:fldChar w:fldCharType="end"/>
    </w:r>
  </w:p>
  <w:p w14:paraId="00000278">
    <w:pPr>
      <w:pStyle w:val="Footer"/>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dgm="http://schemas.openxmlformats.org/drawingml/2006/diagram" mc:Ignorable="w14 wp14 ">
  <w:footnote w:type="separator" w:id="0">
    <w:p w14:paraId="00000001">
      <w:pPr>
        <w:spacing w:before="0" w:beforeAutospacing="0" w:after="0" w:afterAutospacing="0" w:line="240" w:lineRule="auto"/>
        <w:rPr/>
      </w:pPr>
      <w:r>
        <w:rPr/>
        <w:separator/>
      </w:r>
    </w:p>
  </w:footnote>
  <w:footnote w:type="continuationSeparator" w:id="1">
    <w:p w14:paraId="00000002">
      <w:pPr>
        <w:spacing w:before="0" w:beforeAutospacing="0" w:after="0" w:afterAutospacing="0" w:line="240" w:lineRule="auto"/>
        <w:rPr/>
      </w:pPr>
      <w:r>
        <w:rPr/>
        <w:continuationSeparator/>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ne="http://schemas.microsoft.com/office/word/2006/wordml" xmlns:w14="http://schemas.microsoft.com/office/word/2010/wordml" xmlns:w="http://schemas.openxmlformats.org/wordprocessingml/2006/main">
  <w:abstractNum w:abstractNumId="0">
    <w:multiLevelType w:val="multilevel"/>
    <w:lvl w:ilvl="0" w:tentative="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xMjSxNLI0MjU3MjM3MjZX0lEKTi0uzszPAykwqgUAIw2jNSwAAAA="/>
  </w:docVars>
  <w:rsids>
    <w:rsidRoot w:val="00DA3D3D"/>
    <w:rsid w:val="000159FA"/>
    <w:rsid w:val="000A182D"/>
    <w:rsid w:val="00104E32"/>
    <w:rsid w:val="001535FF"/>
    <w:rsid w:val="00186824"/>
    <w:rsid w:val="001877E7"/>
    <w:rsid w:val="001E3B8E"/>
    <w:rsid w:val="001F009F"/>
    <w:rsid w:val="00200C6A"/>
    <w:rsid w:val="00225642"/>
    <w:rsid w:val="002260E5"/>
    <w:rsid w:val="002467FB"/>
    <w:rsid w:val="002A5CFA"/>
    <w:rsid w:val="002C2DFA"/>
    <w:rsid w:val="002F451C"/>
    <w:rsid w:val="0039134C"/>
    <w:rsid w:val="003A1048"/>
    <w:rsid w:val="00422392"/>
    <w:rsid w:val="00432000"/>
    <w:rsid w:val="004556DD"/>
    <w:rsid w:val="004A6B67"/>
    <w:rsid w:val="004D79D3"/>
    <w:rsid w:val="005512BC"/>
    <w:rsid w:val="00597732"/>
    <w:rsid w:val="005C559C"/>
    <w:rsid w:val="005F4D52"/>
    <w:rsid w:val="005F6B77"/>
    <w:rsid w:val="00600139"/>
    <w:rsid w:val="00663E0B"/>
    <w:rsid w:val="00687B6A"/>
    <w:rsid w:val="00693E0C"/>
    <w:rsid w:val="006B1B81"/>
    <w:rsid w:val="006D3222"/>
    <w:rsid w:val="006F366A"/>
    <w:rsid w:val="00724FD6"/>
    <w:rsid w:val="007251E7"/>
    <w:rsid w:val="007268DD"/>
    <w:rsid w:val="007A0930"/>
    <w:rsid w:val="007A10F6"/>
    <w:rsid w:val="007A6928"/>
    <w:rsid w:val="007B5442"/>
    <w:rsid w:val="00804848"/>
    <w:rsid w:val="008507F1"/>
    <w:rsid w:val="008567B6"/>
    <w:rsid w:val="008A2F05"/>
    <w:rsid w:val="008D4493"/>
    <w:rsid w:val="008F2B83"/>
    <w:rsid w:val="009117B0"/>
    <w:rsid w:val="0092154B"/>
    <w:rsid w:val="00AA1AAD"/>
    <w:rsid w:val="00AC67C8"/>
    <w:rsid w:val="00B17CA8"/>
    <w:rsid w:val="00B518FE"/>
    <w:rsid w:val="00B53E3E"/>
    <w:rsid w:val="00B67019"/>
    <w:rsid w:val="00B83F5C"/>
    <w:rsid w:val="00BC608D"/>
    <w:rsid w:val="00C00724"/>
    <w:rsid w:val="00C058E0"/>
    <w:rsid w:val="00C24C5A"/>
    <w:rsid w:val="00C50280"/>
    <w:rsid w:val="00C5714D"/>
    <w:rsid w:val="00C749F8"/>
    <w:rsid w:val="00C77653"/>
    <w:rsid w:val="00C924E1"/>
    <w:rsid w:val="00C93178"/>
    <w:rsid w:val="00CD46E0"/>
    <w:rsid w:val="00CF020C"/>
    <w:rsid w:val="00D4582E"/>
    <w:rsid w:val="00D50E1E"/>
    <w:rsid w:val="00D93AA0"/>
    <w:rsid w:val="00DA3D3D"/>
    <w:rsid w:val="00DD6AF7"/>
    <w:rsid w:val="00E02C72"/>
    <w:rsid w:val="00E272F5"/>
    <w:rsid w:val="00E44845"/>
    <w:rsid w:val="00EA4DC1"/>
    <w:rsid w:val="00EC3CD2"/>
    <w:rsid w:val="00F17D6A"/>
    <w:rsid w:val="00F65DA2"/>
    <w:rsid w:val="00F979CB"/>
    <w:rsid w:val="00FB2B61"/>
    <w:rsid w:val="00FC3770"/>
    <w:rsid w:val="00FC5F51"/>
    <w:rsid w:val="00FE324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F40F02"/>
  <w15:chartTrackingRefBased/>
  <w15:docId w15:val="{A46A7F82-7749-4DAB-A6A5-5D0DAA825AA2}"/>
  <w:footnotePr>
    <w:footnote w:id="0"/>
    <w:footnote w:id="1"/>
  </w:footnotePr>
  <w:endnotePr>
    <w:endnote w:id="0"/>
    <w:endnote w:id="1"/>
  </w:endnotePr>
  <w:trackRevisions w:val="off"/>
</w:settings>
</file>

<file path=word/styles.xml><?xml version="1.0" encoding="utf-8"?>
<w:styles xmlns:r="http://schemas.openxmlformats.org/officeDocument/2006/relationships" xmlns:w14="http://schemas.microsoft.com/office/word/2010/wordml" xmlns:w="http://schemas.openxmlformats.org/wordprocessingml/2006/main">
  <w:docDefaults>
    <w:rPrDefault>
      <w:rPr>
        <w:rFonts w:asciiTheme="minorHAnsi" w:cstheme="minorBidi" w:eastAsiaTheme="minorHAnsi" w:hAnsiTheme="minorHAnsi"/>
        <w:sz w:val="22"/>
        <w:szCs w:val="22"/>
        <w:lang w:val="en-IN" w:bidi="ar-SA" w:eastAsia="en-US"/>
      </w:rPr>
    </w:rPrDefault>
    <w:pPrDefault>
      <w:pPr>
        <w:spacing w:beforeAutospacing="0" w:after="160" w:afterAutospacing="0" w:line="259" w:lineRule="auto"/>
      </w:pPr>
    </w:pPrDefault>
  </w:docDefaults>
  <w:style w:type="paragraph" w:styleId="NoSpacing">
    <w:name w:val="No Spacing"/>
    <w:uiPriority w:val="1"/>
    <w:qFormat w:val="on"/>
    <w:pPr>
      <w:spacing w:beforeAutospacing="0" w:after="0" w:afterAutospacing="0" w:line="240" w:lineRule="auto"/>
    </w:pPr>
  </w:style>
  <w:style w:type="character" w:styleId="SubtleEmphasis">
    <w:name w:val="Subtle Emphasis"/>
    <w:basedOn w:val="DefaultParagraphFont"/>
    <w:uiPriority w:val="19"/>
    <w:qFormat w:val="on"/>
    <w:rPr>
      <w:i/>
      <w:iCs/>
      <w:color w:val="808080" w:themeColor="text1" w:themeTint="7f"/>
    </w:rPr>
  </w:style>
  <w:style w:type="character" w:styleId="Emphasis">
    <w:name w:val="Emphasis"/>
    <w:basedOn w:val="DefaultParagraphFont"/>
    <w:uiPriority w:val="20"/>
    <w:qFormat w:val="on"/>
    <w:rPr>
      <w:i/>
      <w:iCs/>
    </w:rPr>
  </w:style>
  <w:style w:type="character" w:styleId="Strong">
    <w:name w:val="Strong"/>
    <w:basedOn w:val="DefaultParagraphFont"/>
    <w:uiPriority w:val="22"/>
    <w:qFormat w:val="on"/>
    <w:rPr>
      <w:b/>
      <w:bCs/>
    </w:rPr>
  </w:style>
  <w:style w:type="character" w:styleId="SubtleReference">
    <w:name w:val="Subtle Reference"/>
    <w:basedOn w:val="DefaultParagraphFont"/>
    <w:uiPriority w:val="31"/>
    <w:qFormat w:val="on"/>
    <w:rPr>
      <w:smallCaps/>
      <w:color w:val="e97132" w:themeColor="accent2"/>
      <w:u w:val="single"/>
    </w:rPr>
  </w:style>
  <w:style w:type="character" w:styleId="BookTitle">
    <w:name w:val="Book Title"/>
    <w:basedOn w:val="DefaultParagraphFont"/>
    <w:uiPriority w:val="33"/>
    <w:qFormat w:val="on"/>
    <w:rPr>
      <w:b/>
      <w:bCs/>
      <w:smallCaps/>
      <w:spacing w:val="5"/>
    </w:rPr>
  </w:style>
  <w:style w:type="paragraph" w:styleId="Footnotetext">
    <w:name w:val="Footnote text"/>
    <w:basedOn w:val="Normal"/>
    <w:link w:val="FootnoteTextChar"/>
    <w:uiPriority w:val="99"/>
    <w:semiHidden w:val="on"/>
    <w:unhideWhenUsed w:val="on"/>
    <w:pPr>
      <w:spacing w:beforeAutospacing="0" w:after="0" w:afterAutospacing="0" w:line="240" w:lineRule="auto"/>
    </w:pPr>
    <w:rPr>
      <w:sz w:val="20"/>
      <w:szCs w:val="20"/>
    </w:rPr>
  </w:style>
  <w:style w:type="character" w:customStyle="1" w:styleId="FootnoteTextChar">
    <w:name w:val="Footnote Text Char"/>
    <w:basedOn w:val="DefaultParagraphFont"/>
    <w:link w:val="Footnotetext"/>
    <w:uiPriority w:val="99"/>
    <w:semiHidden w:val="on"/>
    <w:rPr>
      <w:sz w:val="20"/>
      <w:szCs w:val="20"/>
    </w:rPr>
  </w:style>
  <w:style w:type="character" w:styleId="Footnotereference">
    <w:name w:val="Footnote reference"/>
    <w:basedOn w:val="DefaultParagraphFont"/>
    <w:uiPriority w:val="99"/>
    <w:semiHidden w:val="on"/>
    <w:unhideWhenUsed w:val="on"/>
    <w:rPr>
      <w:vertAlign w:val="superscript"/>
    </w:rPr>
  </w:style>
  <w:style w:type="paragraph" w:styleId="Endnotetext">
    <w:name w:val="Endnote text"/>
    <w:basedOn w:val="Normal"/>
    <w:link w:val="EndnoteTextChar"/>
    <w:uiPriority w:val="99"/>
    <w:semiHidden w:val="on"/>
    <w:unhideWhenUsed w:val="on"/>
    <w:pPr>
      <w:spacing w:beforeAutospacing="0" w:after="0" w:afterAutospacing="0" w:line="240" w:lineRule="auto"/>
    </w:pPr>
    <w:rPr>
      <w:sz w:val="20"/>
      <w:szCs w:val="20"/>
    </w:rPr>
  </w:style>
  <w:style w:type="character" w:customStyle="1" w:styleId="EndnoteTextChar">
    <w:name w:val="Endnote Text Char"/>
    <w:basedOn w:val="DefaultParagraphFont"/>
    <w:link w:val="Endnotetext"/>
    <w:uiPriority w:val="99"/>
    <w:semiHidden w:val="on"/>
    <w:rPr>
      <w:sz w:val="20"/>
      <w:szCs w:val="20"/>
    </w:rPr>
  </w:style>
  <w:style w:type="character" w:styleId="Endnotereference">
    <w:name w:val="Endnote reference"/>
    <w:basedOn w:val="DefaultParagraphFont"/>
    <w:uiPriority w:val="99"/>
    <w:semiHidden w:val="on"/>
    <w:unhideWhenUsed w:val="on"/>
    <w:rPr>
      <w:vertAlign w:val="superscript"/>
    </w:rPr>
  </w:style>
  <w:style w:type="character" w:styleId="FollowedHyperlink">
    <w:name w:val="FollowedHyperlink"/>
    <w:basedOn w:val="DefaultParagraphFont"/>
    <w:uiPriority w:val="99"/>
    <w:semiHidden w:val="on"/>
    <w:unhideWhenUsed w:val="on"/>
    <w:rPr>
      <w:color w:val="96607d" w:themeColor="followedHyperlink"/>
      <w:u w:val="single"/>
    </w:rPr>
  </w:style>
  <w:style w:type="paragraph" w:styleId="PlainText">
    <w:name w:val="Plain Text"/>
    <w:basedOn w:val="Normal"/>
    <w:link w:val="PlainTextChar"/>
    <w:uiPriority w:val="99"/>
    <w:semiHidden w:val="on"/>
    <w:unhideWhenUsed w:val="on"/>
    <w:pPr>
      <w:spacing w:beforeAutospacing="0" w:after="0" w:afterAutospacing="0" w:line="240" w:lineRule="auto"/>
    </w:pPr>
    <w:rPr>
      <w:rFonts w:ascii="Courier New" w:cs="Courier New" w:hAnsi="Courier New"/>
      <w:sz w:val="21"/>
      <w:szCs w:val="21"/>
    </w:rPr>
  </w:style>
  <w:style w:type="character" w:customStyle="1" w:styleId="PlainTextChar">
    <w:name w:val="Plain Text Char"/>
    <w:basedOn w:val="DefaultParagraphFont"/>
    <w:link w:val="PlainText"/>
    <w:uiPriority w:val="99"/>
    <w:rPr>
      <w:rFonts w:ascii="Courier New" w:cs="Courier New" w:hAnsi="Courier New"/>
      <w:sz w:val="21"/>
      <w:szCs w:val="21"/>
    </w:rPr>
  </w:style>
  <w:style w:type="paragraph" w:styleId="Caption">
    <w:name w:val="Caption"/>
    <w:basedOn w:val="Normal"/>
    <w:next w:val="Normal"/>
    <w:uiPriority w:val="35"/>
    <w:unhideWhenUsed w:val="on"/>
    <w:qFormat w:val="on"/>
    <w:pPr>
      <w:spacing w:beforeAutospacing="0" w:after="200" w:afterAutospacing="0" w:line="240" w:lineRule="auto"/>
    </w:pPr>
    <w:rPr>
      <w:i/>
      <w:iCs/>
      <w:color w:val="0e2841" w:themeColor="text2"/>
      <w:sz w:val="18"/>
      <w:szCs w:val="18"/>
    </w:rPr>
  </w:style>
  <w:style w:type="paragraph" w:default="1" w:styleId="Normal">
    <w:name w:val="Normal"/>
    <w:uiPriority w:val="99"/>
    <w:qFormat w:val="on"/>
    <w:pPr>
      <w:spacing w:before="120" w:beforeAutospacing="0" w:after="120" w:afterAutospacing="0" w:line="360" w:lineRule="auto"/>
      <w:jc w:val="both"/>
    </w:pPr>
    <w:rPr>
      <w:rFonts w:ascii="Arial" w:hAnsi="Arial"/>
      <w:sz w:val="24"/>
      <w:lang w:val="en-GB"/>
    </w:rPr>
  </w:style>
  <w:style w:type="paragraph" w:styleId="Heading1">
    <w:name w:val="Heading 1"/>
    <w:basedOn w:val="Normal"/>
    <w:next w:val="Normal"/>
    <w:link w:val="Heading1Char"/>
    <w:uiPriority w:val="9"/>
    <w:qFormat w:val="on"/>
    <w:pPr>
      <w:keepNext w:val="on"/>
      <w:keepLines w:val="on"/>
    </w:pPr>
    <w:rPr>
      <w:rFonts w:eastAsiaTheme="majorEastAsia"/>
      <w:b/>
      <w:bCs/>
      <w:color w:val="000000" w:themeColor="text1"/>
      <w:szCs w:val="48"/>
      <w:lang w:eastAsia="en-IN"/>
    </w:rPr>
  </w:style>
  <w:style w:type="paragraph" w:styleId="Heading2">
    <w:name w:val="Heading 2"/>
    <w:basedOn w:val="Normal"/>
    <w:next w:val="Normal"/>
    <w:link w:val="Heading2Char"/>
    <w:uiPriority w:val="9"/>
    <w:unhideWhenUsed w:val="on"/>
    <w:qFormat w:val="on"/>
    <w:pPr>
      <w:keepNext w:val="on"/>
      <w:keepLines w:val="on"/>
    </w:pPr>
    <w:rPr>
      <w:rFonts w:cstheme="majorBidi" w:eastAsiaTheme="majorEastAsia"/>
      <w:szCs w:val="32"/>
      <w:u w:val="single"/>
    </w:rPr>
  </w:style>
  <w:style w:type="paragraph" w:styleId="Heading3">
    <w:name w:val="Heading 3"/>
    <w:basedOn w:val="Normal"/>
    <w:next w:val="Normal"/>
    <w:link w:val="Heading3Char"/>
    <w:uiPriority w:val="9"/>
    <w:unhideWhenUsed w:val="on"/>
    <w:qFormat w:val="on"/>
    <w:pPr>
      <w:keepNext w:val="on"/>
      <w:keepLines w:val="on"/>
    </w:pPr>
    <w:rPr>
      <w:rFonts w:cstheme="majorBidi" w:eastAsiaTheme="majorEastAsia"/>
      <w:b/>
      <w:i/>
      <w:color w:val="000000" w:themeColor="text1"/>
      <w:szCs w:val="28"/>
    </w:rPr>
  </w:style>
  <w:style w:type="paragraph" w:styleId="Heading4">
    <w:name w:val="Heading 4"/>
    <w:basedOn w:val="Normal"/>
    <w:next w:val="Normal"/>
    <w:link w:val="Heading4Char"/>
    <w:uiPriority w:val="9"/>
    <w:semiHidden w:val="on"/>
    <w:unhideWhenUsed w:val="on"/>
    <w:qFormat w:val="on"/>
    <w:pPr>
      <w:keepNext w:val="on"/>
      <w:keepLines w:val="on"/>
      <w:spacing w:before="80" w:beforeAutospacing="0" w:after="40" w:afterAutospacing="0"/>
    </w:pPr>
    <w:rPr>
      <w:rFonts w:asciiTheme="minorHAnsi" w:cstheme="majorBidi" w:eastAsiaTheme="majorEastAsia" w:hAnsiTheme="minorHAnsi"/>
      <w:i/>
      <w:iCs/>
      <w:color w:val="104760" w:themeColor="accent1" w:themeShade="bf"/>
    </w:rPr>
  </w:style>
  <w:style w:type="paragraph" w:styleId="Heading5">
    <w:name w:val="Heading 5"/>
    <w:basedOn w:val="Normal"/>
    <w:next w:val="Normal"/>
    <w:link w:val="Heading5Char"/>
    <w:uiPriority w:val="9"/>
    <w:semiHidden w:val="on"/>
    <w:unhideWhenUsed w:val="on"/>
    <w:qFormat w:val="on"/>
    <w:pPr>
      <w:keepNext w:val="on"/>
      <w:keepLines w:val="on"/>
      <w:spacing w:before="80" w:beforeAutospacing="0" w:after="40" w:afterAutospacing="0"/>
    </w:pPr>
    <w:rPr>
      <w:rFonts w:asciiTheme="minorHAnsi" w:cstheme="majorBidi" w:eastAsiaTheme="majorEastAsia" w:hAnsiTheme="minorHAnsi"/>
      <w:color w:val="104760" w:themeColor="accent1" w:themeShade="bf"/>
    </w:rPr>
  </w:style>
  <w:style w:type="paragraph" w:styleId="Heading6">
    <w:name w:val="Heading 6"/>
    <w:basedOn w:val="Normal"/>
    <w:next w:val="Normal"/>
    <w:link w:val="Heading6Char"/>
    <w:uiPriority w:val="9"/>
    <w:semiHidden w:val="on"/>
    <w:unhideWhenUsed w:val="on"/>
    <w:qFormat w:val="on"/>
    <w:pPr>
      <w:keepNext w:val="on"/>
      <w:keepLines w:val="on"/>
      <w:spacing w:before="40" w:beforeAutospacing="0" w:after="0" w:afterAutospacing="0"/>
    </w:pPr>
    <w:rPr>
      <w:rFonts w:asciiTheme="minorHAnsi" w:cstheme="majorBidi" w:eastAsiaTheme="majorEastAsia" w:hAnsiTheme="minorHAnsi"/>
      <w:i/>
      <w:iCs/>
      <w:color w:val="595959" w:themeColor="text1" w:themeTint="a6"/>
    </w:rPr>
  </w:style>
  <w:style w:type="paragraph" w:styleId="Heading7">
    <w:name w:val="Heading 7"/>
    <w:basedOn w:val="Normal"/>
    <w:next w:val="Normal"/>
    <w:link w:val="Heading7Char"/>
    <w:uiPriority w:val="9"/>
    <w:semiHidden w:val="on"/>
    <w:unhideWhenUsed w:val="on"/>
    <w:qFormat w:val="on"/>
    <w:pPr>
      <w:keepNext w:val="on"/>
      <w:keepLines w:val="on"/>
      <w:spacing w:before="40" w:beforeAutospacing="0" w:after="0" w:afterAutospacing="0"/>
    </w:pPr>
    <w:rPr>
      <w:rFonts w:asciiTheme="minorHAnsi" w:cstheme="majorBidi" w:eastAsiaTheme="majorEastAsia" w:hAnsiTheme="minorHAnsi"/>
      <w:color w:val="595959" w:themeColor="text1" w:themeTint="a6"/>
    </w:rPr>
  </w:style>
  <w:style w:type="paragraph" w:styleId="Heading8">
    <w:name w:val="Heading 8"/>
    <w:basedOn w:val="Normal"/>
    <w:next w:val="Normal"/>
    <w:link w:val="Heading8Char"/>
    <w:uiPriority w:val="9"/>
    <w:semiHidden w:val="on"/>
    <w:unhideWhenUsed w:val="on"/>
    <w:qFormat w:val="on"/>
    <w:pPr>
      <w:keepNext w:val="on"/>
      <w:keepLines w:val="on"/>
      <w:spacing w:before="0" w:beforeAutospacing="0" w:after="0" w:afterAutospacing="0"/>
    </w:pPr>
    <w:rPr>
      <w:rFonts w:asciiTheme="minorHAnsi" w:cstheme="majorBidi" w:eastAsiaTheme="majorEastAsia" w:hAnsiTheme="minorHAnsi"/>
      <w:i/>
      <w:iCs/>
      <w:color w:val="272727" w:themeColor="text1" w:themeTint="d8"/>
    </w:rPr>
  </w:style>
  <w:style w:type="paragraph" w:styleId="Heading9">
    <w:name w:val="Heading 9"/>
    <w:basedOn w:val="Normal"/>
    <w:next w:val="Normal"/>
    <w:link w:val="Heading9Char"/>
    <w:uiPriority w:val="9"/>
    <w:semiHidden w:val="on"/>
    <w:unhideWhenUsed w:val="on"/>
    <w:qFormat w:val="on"/>
    <w:pPr>
      <w:keepNext w:val="on"/>
      <w:keepLines w:val="on"/>
      <w:spacing w:before="0" w:beforeAutospacing="0" w:after="0" w:afterAutospacing="0"/>
    </w:pPr>
    <w:rPr>
      <w:rFonts w:asciiTheme="minorHAnsi" w:cstheme="majorBidi" w:eastAsiaTheme="majorEastAsia" w:hAnsiTheme="minorHAnsi"/>
      <w:color w:val="272727" w:themeColor="text1" w:themeTint="d8"/>
    </w:rPr>
  </w:style>
  <w:style w:type="character" w:default="1" w:styleId="DefaultParagraphFont">
    <w:name w:val="Default Paragraph Font"/>
    <w:uiPriority w:val="1"/>
    <w:semiHidden w:val="on"/>
    <w:unhideWhenUsed w:val="on"/>
  </w:style>
  <w:style w:type="table" w:default="1" w:styleId="NormalTable">
    <w:name w:val="Normal Table"/>
    <w:uiPriority w:val="99"/>
    <w:semiHidden w:val="on"/>
    <w:unhideWhenUsed w:val="on"/>
    <w:tblPr>
      <w:tblInd w:w="0" w:type="dxa"/>
      <w:tblCellMar>
        <w:top w:w="0" w:type="dxa"/>
        <w:left w:w="108" w:type="dxa"/>
        <w:bottom w:w="0" w:type="dxa"/>
        <w:right w:w="108" w:type="dxa"/>
      </w:tblCellMar>
    </w:tblPr>
  </w:style>
  <w:style w:type="numbering" w:default="1" w:styleId="NoList">
    <w:name w:val="No List"/>
    <w:uiPriority w:val="99"/>
    <w:semiHidden w:val="on"/>
    <w:unhideWhenUsed w:val="on"/>
  </w:style>
  <w:style w:type="character" w:customStyle="1" w:styleId="Heading1Char">
    <w:name w:val="Heading 1 Char"/>
    <w:basedOn w:val="DefaultParagraphFont"/>
    <w:link w:val="Heading1"/>
    <w:uiPriority w:val="9"/>
    <w:rPr>
      <w:rFonts w:ascii="Times New Roman" w:eastAsiaTheme="majorEastAsia" w:hAnsi="Times New Roman"/>
      <w:b/>
      <w:bCs/>
      <w:color w:val="000000" w:themeColor="text1"/>
      <w:sz w:val="24"/>
      <w:szCs w:val="48"/>
      <w:lang w:eastAsia="en-IN"/>
    </w:rPr>
  </w:style>
  <w:style w:type="character" w:customStyle="1" w:styleId="Heading2Char">
    <w:name w:val="Heading 2 Char"/>
    <w:basedOn w:val="DefaultParagraphFont"/>
    <w:link w:val="Heading2"/>
    <w:uiPriority w:val="9"/>
    <w:rPr>
      <w:rFonts w:ascii="Times New Roman" w:cstheme="majorBidi" w:eastAsiaTheme="majorEastAsia" w:hAnsi="Times New Roman"/>
      <w:sz w:val="24"/>
      <w:szCs w:val="32"/>
      <w:u w:val="single"/>
      <w:lang w:val="en-GB"/>
    </w:rPr>
  </w:style>
  <w:style w:type="paragraph" w:styleId="BodyText">
    <w:name w:val="Body Text"/>
    <w:basedOn w:val="Normal"/>
    <w:link w:val="BodyTextChar"/>
    <w:uiPriority w:val="1"/>
    <w:qFormat w:val="on"/>
    <w:pPr>
      <w:widowControl w:val="off"/>
    </w:pPr>
    <w:rPr>
      <w:sz w:val="22"/>
      <w:lang w:val="en-US"/>
    </w:rPr>
  </w:style>
  <w:style w:type="character" w:customStyle="1" w:styleId="BodyTextChar">
    <w:name w:val="Body Text Char"/>
    <w:basedOn w:val="DefaultParagraphFont"/>
    <w:link w:val="BodyText"/>
    <w:uiPriority w:val="1"/>
    <w:rPr>
      <w:rFonts w:ascii="Times New Roman" w:cs="Times New Roman" w:eastAsia="Times New Roman" w:hAnsi="Times New Roman"/>
      <w:lang w:val="en-US"/>
    </w:rPr>
  </w:style>
  <w:style w:type="character" w:customStyle="1" w:styleId="Heading3Char">
    <w:name w:val="Heading 3 Char"/>
    <w:basedOn w:val="DefaultParagraphFont"/>
    <w:link w:val="Heading3"/>
    <w:uiPriority w:val="9"/>
    <w:rPr>
      <w:rFonts w:ascii="Times New Roman" w:cstheme="majorBidi" w:eastAsiaTheme="majorEastAsia" w:hAnsi="Times New Roman"/>
      <w:b/>
      <w:i/>
      <w:color w:val="000000" w:themeColor="text1"/>
      <w:sz w:val="24"/>
      <w:szCs w:val="28"/>
      <w14:ligatures w14:val="standardContextual"/>
    </w:rPr>
  </w:style>
  <w:style w:type="character" w:customStyle="1" w:styleId="Heading4Char">
    <w:name w:val="Heading 4 Char"/>
    <w:basedOn w:val="DefaultParagraphFont"/>
    <w:link w:val="Heading4"/>
    <w:uiPriority w:val="9"/>
    <w:semiHidden w:val="on"/>
    <w:rPr>
      <w:rFonts w:cstheme="majorBidi" w:eastAsiaTheme="majorEastAsia"/>
      <w:i/>
      <w:iCs/>
      <w:color w:val="104760" w:themeColor="accent1" w:themeShade="bf"/>
      <w:sz w:val="24"/>
      <w:lang w:val="en-GB"/>
    </w:rPr>
  </w:style>
  <w:style w:type="character" w:customStyle="1" w:styleId="Heading5Char">
    <w:name w:val="Heading 5 Char"/>
    <w:basedOn w:val="DefaultParagraphFont"/>
    <w:link w:val="Heading5"/>
    <w:uiPriority w:val="9"/>
    <w:semiHidden w:val="on"/>
    <w:rPr>
      <w:rFonts w:cstheme="majorBidi" w:eastAsiaTheme="majorEastAsia"/>
      <w:color w:val="104760" w:themeColor="accent1" w:themeShade="bf"/>
      <w:sz w:val="24"/>
      <w:lang w:val="en-GB"/>
    </w:rPr>
  </w:style>
  <w:style w:type="character" w:customStyle="1" w:styleId="Heading6Char">
    <w:name w:val="Heading 6 Char"/>
    <w:basedOn w:val="DefaultParagraphFont"/>
    <w:link w:val="Heading6"/>
    <w:uiPriority w:val="9"/>
    <w:semiHidden w:val="on"/>
    <w:rPr>
      <w:rFonts w:cstheme="majorBidi" w:eastAsiaTheme="majorEastAsia"/>
      <w:i/>
      <w:iCs/>
      <w:color w:val="595959" w:themeColor="text1" w:themeTint="a6"/>
      <w:sz w:val="24"/>
      <w:lang w:val="en-GB"/>
    </w:rPr>
  </w:style>
  <w:style w:type="character" w:customStyle="1" w:styleId="Heading7Char">
    <w:name w:val="Heading 7 Char"/>
    <w:basedOn w:val="DefaultParagraphFont"/>
    <w:link w:val="Heading7"/>
    <w:uiPriority w:val="9"/>
    <w:semiHidden w:val="on"/>
    <w:rPr>
      <w:rFonts w:cstheme="majorBidi" w:eastAsiaTheme="majorEastAsia"/>
      <w:color w:val="595959" w:themeColor="text1" w:themeTint="a6"/>
      <w:sz w:val="24"/>
      <w:lang w:val="en-GB"/>
    </w:rPr>
  </w:style>
  <w:style w:type="character" w:customStyle="1" w:styleId="Heading8Char">
    <w:name w:val="Heading 8 Char"/>
    <w:basedOn w:val="DefaultParagraphFont"/>
    <w:link w:val="Heading8"/>
    <w:uiPriority w:val="9"/>
    <w:semiHidden w:val="on"/>
    <w:rPr>
      <w:rFonts w:cstheme="majorBidi" w:eastAsiaTheme="majorEastAsia"/>
      <w:i/>
      <w:iCs/>
      <w:color w:val="272727" w:themeColor="text1" w:themeTint="d8"/>
      <w:sz w:val="24"/>
      <w:lang w:val="en-GB"/>
    </w:rPr>
  </w:style>
  <w:style w:type="character" w:customStyle="1" w:styleId="Heading9Char">
    <w:name w:val="Heading 9 Char"/>
    <w:basedOn w:val="DefaultParagraphFont"/>
    <w:link w:val="Heading9"/>
    <w:uiPriority w:val="9"/>
    <w:semiHidden w:val="on"/>
    <w:rPr>
      <w:rFonts w:cstheme="majorBidi" w:eastAsiaTheme="majorEastAsia"/>
      <w:color w:val="272727" w:themeColor="text1" w:themeTint="d8"/>
      <w:sz w:val="24"/>
      <w:lang w:val="en-GB"/>
    </w:rPr>
  </w:style>
  <w:style w:type="paragraph" w:styleId="Title">
    <w:name w:val="Title"/>
    <w:basedOn w:val="Normal"/>
    <w:next w:val="Normal"/>
    <w:link w:val="TitleChar"/>
    <w:uiPriority w:val="10"/>
    <w:qFormat w:val="on"/>
    <w:pPr>
      <w:spacing w:before="0" w:beforeAutospacing="0" w:after="80" w:afterAutospacing="0" w:line="240" w:lineRule="auto"/>
      <w:contextualSpacing w:val="on"/>
    </w:pPr>
    <w:rPr>
      <w:rFonts w:asciiTheme="majorHAnsi" w:cstheme="majorBidi" w:eastAsiaTheme="majorEastAsia" w:hAnsiTheme="majorHAnsi"/>
      <w:spacing w:val="-10"/>
      <w:sz w:val="56"/>
      <w:szCs w:val="56"/>
    </w:rPr>
  </w:style>
  <w:style w:type="character" w:customStyle="1" w:styleId="TitleChar">
    <w:name w:val="Title Char"/>
    <w:basedOn w:val="DefaultParagraphFont"/>
    <w:link w:val="Title"/>
    <w:uiPriority w:val="10"/>
    <w:rPr>
      <w:rFonts w:asciiTheme="majorHAnsi" w:cstheme="majorBidi" w:eastAsiaTheme="majorEastAsia" w:hAnsiTheme="majorHAnsi"/>
      <w:spacing w:val="-10"/>
      <w:sz w:val="56"/>
      <w:szCs w:val="56"/>
      <w:lang w:val="en-GB"/>
    </w:rPr>
  </w:style>
  <w:style w:type="paragraph" w:styleId="Subtitle">
    <w:name w:val="Subtitle"/>
    <w:basedOn w:val="Normal"/>
    <w:next w:val="Normal"/>
    <w:link w:val="SubtitleChar"/>
    <w:uiPriority w:val="11"/>
    <w:qFormat w:val="on"/>
    <w:pPr>
      <w:spacing w:beforeAutospacing="0" w:after="160" w:afterAutospacing="0"/>
    </w:pPr>
    <w:rPr>
      <w:rFonts w:asciiTheme="minorHAnsi" w:cstheme="majorBidi" w:eastAsiaTheme="majorEastAsia" w:hAnsiTheme="minorHAnsi"/>
      <w:color w:val="595959" w:themeColor="text1" w:themeTint="a6"/>
      <w:spacing w:val="15"/>
      <w:sz w:val="28"/>
      <w:szCs w:val="28"/>
    </w:rPr>
  </w:style>
  <w:style w:type="character" w:customStyle="1" w:styleId="SubtitleChar">
    <w:name w:val="Subtitle Char"/>
    <w:basedOn w:val="DefaultParagraphFont"/>
    <w:link w:val="Subtitle"/>
    <w:uiPriority w:val="11"/>
    <w:rPr>
      <w:rFonts w:cstheme="majorBidi" w:eastAsiaTheme="majorEastAsia"/>
      <w:color w:val="595959" w:themeColor="text1" w:themeTint="a6"/>
      <w:spacing w:val="15"/>
      <w:sz w:val="28"/>
      <w:szCs w:val="28"/>
      <w:lang w:val="en-GB"/>
    </w:rPr>
  </w:style>
  <w:style w:type="paragraph" w:styleId="Quote">
    <w:name w:val="Quote"/>
    <w:basedOn w:val="Normal"/>
    <w:next w:val="Normal"/>
    <w:link w:val="QuoteChar"/>
    <w:uiPriority w:val="29"/>
    <w:qFormat w:val="on"/>
    <w:pPr>
      <w:spacing w:before="160" w:beforeAutospacing="0" w:after="160" w:afterAutospacing="0"/>
      <w:jc w:val="center"/>
    </w:pPr>
    <w:rPr>
      <w:i/>
      <w:iCs/>
      <w:color w:val="404040" w:themeColor="text1" w:themeTint="bf"/>
    </w:rPr>
  </w:style>
  <w:style w:type="character" w:customStyle="1" w:styleId="QuoteChar">
    <w:name w:val="Quote Char"/>
    <w:basedOn w:val="DefaultParagraphFont"/>
    <w:link w:val="Quote"/>
    <w:uiPriority w:val="29"/>
    <w:rPr>
      <w:rFonts w:ascii="Times New Roman" w:hAnsi="Times New Roman"/>
      <w:i/>
      <w:iCs/>
      <w:color w:val="404040" w:themeColor="text1" w:themeTint="bf"/>
      <w:sz w:val="24"/>
      <w:lang w:val="en-GB"/>
    </w:rPr>
  </w:style>
  <w:style w:type="paragraph" w:styleId="ListParagraph">
    <w:name w:val="List Paragraph"/>
    <w:basedOn w:val="Normal"/>
    <w:uiPriority w:val="34"/>
    <w:qFormat w:val="on"/>
    <w:pPr>
      <w:ind w:left="720"/>
      <w:contextualSpacing w:val="on"/>
    </w:pPr>
  </w:style>
  <w:style w:type="character" w:styleId="IntenseEmphasis">
    <w:name w:val="Intense Emphasis"/>
    <w:basedOn w:val="DefaultParagraphFont"/>
    <w:uiPriority w:val="21"/>
    <w:qFormat w:val="on"/>
    <w:rPr>
      <w:i/>
      <w:iCs/>
      <w:color w:val="104760" w:themeColor="accent1" w:themeShade="bf"/>
    </w:rPr>
  </w:style>
  <w:style w:type="paragraph" w:styleId="IntenseQuote">
    <w:name w:val="Intense Quote"/>
    <w:basedOn w:val="Normal"/>
    <w:next w:val="Normal"/>
    <w:link w:val="IntenseQuoteChar"/>
    <w:uiPriority w:val="30"/>
    <w:qFormat w:val="on"/>
    <w:pPr>
      <w:pBdr>
        <w:top w:val="single" w:color="104760" w:themeColor="accent1" w:themeShade="bf" w:sz="4" w:space="10"/>
        <w:bottom w:val="single" w:color="104760" w:themeColor="accent1" w:themeShade="bf" w:sz="4" w:space="10"/>
      </w:pBdr>
      <w:spacing w:before="360" w:beforeAutospacing="0" w:after="360" w:afterAutospacing="0"/>
      <w:ind w:left="864" w:right="864"/>
      <w:jc w:val="center"/>
    </w:pPr>
    <w:rPr>
      <w:i/>
      <w:iCs/>
      <w:color w:val="104760" w:themeColor="accent1" w:themeShade="bf"/>
    </w:rPr>
  </w:style>
  <w:style w:type="character" w:customStyle="1" w:styleId="IntenseQuoteChar">
    <w:name w:val="Intense Quote Char"/>
    <w:basedOn w:val="DefaultParagraphFont"/>
    <w:link w:val="IntenseQuote"/>
    <w:uiPriority w:val="30"/>
    <w:rPr>
      <w:rFonts w:ascii="Times New Roman" w:hAnsi="Times New Roman"/>
      <w:i/>
      <w:iCs/>
      <w:color w:val="104760" w:themeColor="accent1" w:themeShade="bf"/>
      <w:sz w:val="24"/>
      <w:lang w:val="en-GB"/>
    </w:rPr>
  </w:style>
  <w:style w:type="character" w:styleId="IntenseReference">
    <w:name w:val="Intense Reference"/>
    <w:basedOn w:val="DefaultParagraphFont"/>
    <w:uiPriority w:val="32"/>
    <w:qFormat w:val="on"/>
    <w:rPr>
      <w:b/>
      <w:bCs/>
      <w:smallCaps/>
      <w:color w:val="104760" w:themeColor="accent1" w:themeShade="bf"/>
      <w:spacing w:val="5"/>
    </w:rPr>
  </w:style>
  <w:style w:type="paragraph" w:styleId="Header">
    <w:name w:val="Header"/>
    <w:basedOn w:val="Normal"/>
    <w:link w:val="HeaderChar"/>
    <w:uiPriority w:val="99"/>
    <w:unhideWhenUsed w:val="on"/>
    <w:pPr>
      <w:tabs>
        <w:tab w:val="center" w:pos="4513"/>
        <w:tab w:val="right" w:pos="9026"/>
      </w:tabs>
      <w:spacing w:before="0" w:beforeAutospacing="0" w:after="0" w:afterAutospacing="0" w:line="240" w:lineRule="auto"/>
    </w:pPr>
  </w:style>
  <w:style w:type="character" w:customStyle="1" w:styleId="HeaderChar">
    <w:name w:val="Header Char"/>
    <w:basedOn w:val="DefaultParagraphFont"/>
    <w:link w:val="Header"/>
    <w:uiPriority w:val="99"/>
    <w:rPr>
      <w:rFonts w:ascii="Times New Roman" w:hAnsi="Times New Roman"/>
      <w:sz w:val="24"/>
      <w:lang w:val="en-GB"/>
    </w:rPr>
  </w:style>
  <w:style w:type="paragraph" w:styleId="Footer">
    <w:name w:val="Footer"/>
    <w:basedOn w:val="Normal"/>
    <w:link w:val="FooterChar"/>
    <w:uiPriority w:val="99"/>
    <w:unhideWhenUsed w:val="on"/>
    <w:pPr>
      <w:tabs>
        <w:tab w:val="center" w:pos="4513"/>
        <w:tab w:val="right" w:pos="9026"/>
      </w:tabs>
      <w:spacing w:before="0" w:beforeAutospacing="0" w:after="0" w:afterAutospacing="0" w:line="240" w:lineRule="auto"/>
    </w:pPr>
  </w:style>
  <w:style w:type="character" w:customStyle="1" w:styleId="FooterChar">
    <w:name w:val="Footer Char"/>
    <w:basedOn w:val="DefaultParagraphFont"/>
    <w:link w:val="Footer"/>
    <w:uiPriority w:val="99"/>
    <w:rPr>
      <w:rFonts w:ascii="Times New Roman" w:hAnsi="Times New Roman"/>
      <w:sz w:val="24"/>
      <w:lang w:val="en-GB"/>
    </w:rPr>
  </w:style>
  <w:style w:type="paragraph" w:styleId="TOCHeading">
    <w:name w:val="TOC Heading"/>
    <w:basedOn w:val="Heading1"/>
    <w:next w:val="Normal"/>
    <w:uiPriority w:val="39"/>
    <w:unhideWhenUsed w:val="on"/>
    <w:qFormat w:val="on"/>
    <w:pPr>
      <w:spacing w:before="240" w:beforeAutospacing="0" w:after="0" w:afterAutospacing="0" w:line="259" w:lineRule="auto"/>
      <w:jc w:val="left"/>
    </w:pPr>
    <w:rPr>
      <w:rFonts w:asciiTheme="majorHAnsi" w:cstheme="majorBidi" w:hAnsiTheme="majorHAnsi"/>
      <w:b w:val="off"/>
      <w:bCs w:val="off"/>
      <w:color w:val="104760" w:themeColor="accent1" w:themeShade="bf"/>
      <w:sz w:val="32"/>
      <w:szCs w:val="32"/>
      <w:lang w:val="en-US" w:eastAsia="en-US"/>
    </w:rPr>
  </w:style>
  <w:style w:type="paragraph" w:styleId="Toc1">
    <w:name w:val="Toc 1"/>
    <w:basedOn w:val="Normal"/>
    <w:next w:val="Normal"/>
    <w:uiPriority w:val="39"/>
    <w:unhideWhenUsed w:val="on"/>
    <w:pPr>
      <w:spacing w:beforeAutospacing="0" w:after="100" w:afterAutospacing="0"/>
    </w:pPr>
  </w:style>
  <w:style w:type="paragraph" w:styleId="Toc2">
    <w:name w:val="Toc 2"/>
    <w:basedOn w:val="Normal"/>
    <w:next w:val="Normal"/>
    <w:uiPriority w:val="39"/>
    <w:unhideWhenUsed w:val="on"/>
    <w:pPr>
      <w:spacing w:beforeAutospacing="0" w:after="100" w:afterAutospacing="0"/>
      <w:ind w:left="240"/>
    </w:pPr>
  </w:style>
  <w:style w:type="character" w:styleId="Hyperlink">
    <w:name w:val="Hyperlink"/>
    <w:basedOn w:val="DefaultParagraphFont"/>
    <w:uiPriority w:val="99"/>
    <w:unhideWhenUsed w:val="on"/>
    <w:rPr>
      <w:color w:val="467886" w:themeColor="hyperlink"/>
      <w:u w:val="single"/>
    </w:rPr>
  </w:style>
  <w:style w:type="table" w:styleId="ListTable3Accent2">
    <w:name w:val="List Table 3 Accent 2"/>
    <w:basedOn w:val="NormalTable"/>
    <w:uiPriority w:val="48"/>
    <w:pPr>
      <w:spacing w:beforeAutospacing="0" w:after="0" w:afterAutospacing="0" w:line="240" w:lineRule="auto"/>
    </w:pPr>
    <w:tblPr>
      <w:tblStyleRowBandSize w:val="1"/>
      <w:tblStyleColBandSize w:val="1"/>
      <w:tblBorders>
        <w:top w:val="single" w:color="e97132" w:themeColor="accent2" w:sz="4" w:space="0"/>
        <w:left w:val="single" w:color="e97132" w:themeColor="accent2" w:sz="4" w:space="0"/>
        <w:bottom w:val="single" w:color="e97132" w:themeColor="accent2" w:sz="4" w:space="0"/>
        <w:right w:val="single" w:color="e97132" w:themeColor="accent2" w:sz="4" w:space="0"/>
      </w:tblBorders>
    </w:tblPr>
    <w:tblStylePr w:type="firstRow">
      <w:rPr>
        <w:b/>
        <w:bCs/>
        <w:color w:val="ffffff" w:themeColor="background1"/>
      </w:rPr>
      <w:tblPr/>
      <w:tcPr>
        <w:shd w:val="clear" w:color="auto" w:fill="e97132" w:themeFill="accent2"/>
      </w:tcPr>
    </w:tblStylePr>
    <w:tblStylePr w:type="lastRow">
      <w:rPr>
        <w:b/>
        <w:bCs/>
      </w:rPr>
      <w:tblPr/>
      <w:tcPr>
        <w:tcBorders>
          <w:top w:val="double" w:color="e97132" w:themeColor="accent2" w:sz="4" w:space="0"/>
        </w:tcBorders>
        <w:shd w:val="clear" w:color="auto" w:fill="ffffff" w:themeFill="background1"/>
      </w:tcPr>
    </w:tblStylePr>
    <w:tblStylePr w:type="firstCol">
      <w:rPr>
        <w:b/>
        <w:bCs/>
      </w:rPr>
      <w:tblPr/>
      <w:tcPr>
        <w:tcBorders>
          <w:right w:val="nil" w:sz="4" w:space="0"/>
        </w:tcBorders>
        <w:shd w:val="clear" w:color="auto" w:fill="ffffff" w:themeFill="background1"/>
      </w:tcPr>
    </w:tblStylePr>
    <w:tblStylePr w:type="lastCol">
      <w:rPr>
        <w:b/>
        <w:bCs/>
      </w:rPr>
      <w:tblPr/>
      <w:tcPr>
        <w:tcBorders>
          <w:left w:val="nil" w:sz="4" w:space="0"/>
        </w:tcBorders>
        <w:shd w:val="clear" w:color="auto" w:fill="ffffff" w:themeFill="background1"/>
      </w:tcPr>
    </w:tblStylePr>
    <w:tblStylePr w:type="band1Vert">
      <w:tblPr/>
      <w:tcPr>
        <w:tcBorders>
          <w:left w:val="single" w:color="e97132" w:themeColor="accent2" w:sz="4" w:space="0"/>
          <w:right w:val="single" w:color="e97132" w:themeColor="accent2" w:sz="4" w:space="0"/>
        </w:tcBorders>
      </w:tcPr>
    </w:tblStylePr>
    <w:tblStylePr w:type="band1Horz">
      <w:tblPr/>
      <w:tcPr>
        <w:tcBorders>
          <w:top w:val="single" w:color="e97132" w:themeColor="accent2" w:sz="4" w:space="0"/>
          <w:bottom w:val="single" w:color="e97132" w:themeColor="accent2" w:sz="4" w:space="0"/>
          <w:insideH w:val="nil" w:sz="4" w:space="0"/>
        </w:tcBorders>
      </w:tcPr>
    </w:tblStylePr>
    <w:tblStylePr w:type="neCell">
      <w:tblPr/>
      <w:tcPr>
        <w:tcBorders>
          <w:left w:val="nil" w:sz="4" w:space="0"/>
          <w:bottom w:val="nil" w:sz="4" w:space="0"/>
        </w:tcBorders>
      </w:tcPr>
    </w:tblStylePr>
    <w:tblStylePr w:type="nwCell">
      <w:tblPr/>
      <w:tcPr>
        <w:tcBorders>
          <w:bottom w:val="nil" w:sz="4" w:space="0"/>
          <w:right w:val="nil" w:sz="4" w:space="0"/>
        </w:tcBorders>
      </w:tcPr>
    </w:tblStylePr>
    <w:tblStylePr w:type="swCell">
      <w:tblPr/>
      <w:tcPr>
        <w:tcBorders>
          <w:top w:val="double" w:color="e97132" w:themeColor="accent2" w:sz="4" w:space="0"/>
          <w:right w:val="nil" w:sz="4" w:space="0"/>
        </w:tcBorders>
      </w:tcPr>
    </w:tblStylePr>
    <w:tblStylePr w:type="seCell">
      <w:tblPr/>
      <w:tcPr>
        <w:tcBorders>
          <w:top w:val="double" w:color="e97132" w:themeColor="accent2" w:sz="4" w:space="0"/>
          <w:left w:val="nil" w:sz="4" w:space="0"/>
        </w:tcBorders>
      </w:tcPr>
    </w:tblStylePr>
  </w:style>
  <w:style w:type="character" w:styleId="UnresolvedMention">
    <w:name w:val="Unresolved Mention"/>
    <w:basedOn w:val="DefaultParagraphFont"/>
    <w:uiPriority w:val="99"/>
    <w:semiHidden w:val="on"/>
    <w:unhideWhenUsed w:val="on"/>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 Type="http://schemas.openxmlformats.org/officeDocument/2006/relationships/numbering" Target="numbering.xml"/><Relationship Id="rId3" Type="http://schemas.openxmlformats.org/officeDocument/2006/relationships/styles" Target="styles.xml"/><Relationship Id="rId38" Type="http://schemas.openxmlformats.org/officeDocument/2006/relationships/fontTable" Target="fontTable.xml"/><Relationship Id="rId39" Type="http://schemas.openxmlformats.org/officeDocument/2006/relationships/theme" Target="theme/theme1.xml"/><Relationship Id="rId4" Type="http://schemas.openxmlformats.org/officeDocument/2006/relationships/settings" Target="settings.xml"/><Relationship Id="rId40" Type="http://schemas.openxmlformats.org/officeDocument/2006/relationships/image" Target="media/image2.png"/><Relationship Id="rId41" Type="http://schemas.openxmlformats.org/officeDocument/2006/relationships/chart" Target="charts/chart1.xml"/><Relationship Id="rId42" Type="http://schemas.openxmlformats.org/officeDocument/2006/relationships/chart" Target="charts/chart2.xml"/><Relationship Id="rId43" Type="http://schemas.openxmlformats.org/officeDocument/2006/relationships/chart" Target="charts/chart3.xml"/><Relationship Id="rId44" Type="http://schemas.openxmlformats.org/officeDocument/2006/relationships/chart" Target="charts/chart4.xml"/><Relationship Id="rId45" Type="http://schemas.openxmlformats.org/officeDocument/2006/relationships/chart" Target="charts/chart5.xml"/><Relationship Id="rId46" Type="http://schemas.openxmlformats.org/officeDocument/2006/relationships/footer" Target="footer1.xml"/><Relationship Id="rId6" Type="http://schemas.openxmlformats.org/officeDocument/2006/relationships/footnotes" Target="footnotes.xml"/><Relationship Id="rId7" Type="http://schemas.openxmlformats.org/officeDocument/2006/relationships/endnotes" Target="endnotes.xml"/><Relationship Id="rId1" Type="http://schemas.openxmlformats.org/officeDocument/2006/relationships/customXml" Target="../customXml/item1.xml"/><Relationship Id="rId5" Type="http://schemas.openxmlformats.org/officeDocument/2006/relationships/webSettings" Target="webSettings.xml"/><Relationship Id="rId14" Type="http://schemas.openxmlformats.org/officeDocument/2006/relationships/hyperlink" Target="https://www.uowoajournals.org/aabfj/article/id/941/download/pdf/" TargetMode="External"/><Relationship Id="rId15" Type="http://schemas.openxmlformats.org/officeDocument/2006/relationships/hyperlink" Target="https://digitalcommons.newhaven.edu/cgi/viewcontent.cgi?article=2016&amp;context=americanbusinessreview" TargetMode="External"/><Relationship Id="rId16" Type="http://schemas.openxmlformats.org/officeDocument/2006/relationships/hyperlink" Target="https://ojs.sgsci.org/journals/emi/article/download/223/225" TargetMode="External"/><Relationship Id="rId17" Type="http://schemas.openxmlformats.org/officeDocument/2006/relationships/hyperlink" Target="https://journals.plos.org/plosone/article/file?id=10.1371/journal.pone.0328563&amp;type=printable" TargetMode="External"/><Relationship Id="rId18" Type="http://schemas.openxmlformats.org/officeDocument/2006/relationships/hyperlink" Target="https://lup.lub.lu.se/luur/download?func=downloadFile&amp;recordOId=9083585&amp;fileOId=9083591" TargetMode="External"/><Relationship Id="rId19" Type="http://schemas.openxmlformats.org/officeDocument/2006/relationships/hyperlink" Target="https://bibliotekanauki.pl/articles/58908628.pdf" TargetMode="External"/><Relationship Id="rId20" Type="http://schemas.openxmlformats.org/officeDocument/2006/relationships/hyperlink" Target="https://www.emerald.com/cg/article-pdf/22/7/1567/110838/cg-12-2021-0440.pdf" TargetMode="External"/><Relationship Id="rId21" Type="http://schemas.openxmlformats.org/officeDocument/2006/relationships/hyperlink" Target="https://eu-opensci.org/index.php/ejbmr/article/download/51760/7585" TargetMode="External"/><Relationship Id="rId22" Type="http://schemas.openxmlformats.org/officeDocument/2006/relationships/hyperlink" Target="https://www.theseus.fi/bitstream/handle/10024/858213/Kelka_Heaven.pdf?sequence=2" TargetMode="External"/><Relationship Id="rId23" Type="http://schemas.openxmlformats.org/officeDocument/2006/relationships/hyperlink" Target="https://papers.ssrn.com/sol3/Delivery.cfm?abstractid=5019144" TargetMode="External"/><Relationship Id="rId24" Type="http://schemas.openxmlformats.org/officeDocument/2006/relationships/hyperlink" Target="https://www.tandfonline.com/doi/pdf/10.1080/0023656X.2026.2634081" TargetMode="External"/><Relationship Id="rId25" Type="http://schemas.openxmlformats.org/officeDocument/2006/relationships/hyperlink" Target="https://resdojournals.com/index.php/jpo/article/download/380/614" TargetMode="External"/><Relationship Id="rId26" Type="http://schemas.openxmlformats.org/officeDocument/2006/relationships/hyperlink" Target="https://www.researchgate.net/profile/Breno-Niero/publication/376203954_Charging_Innovation_A_global_business_analysis_of_Hyundai&apos;s_electric_future/links/656e7333b832b6599df2b67c/Charging-Innovation-A-global-business-analysis-of-Hyundais-electric-future.pdf" TargetMode="External"/><Relationship Id="rId27" Type="http://schemas.openxmlformats.org/officeDocument/2006/relationships/hyperlink" Target="https://www.multiresearchjournal.com/admin/uploads/archives/archive-1742807323.pdf" TargetMode="External"/><Relationship Id="rId28" Type="http://schemas.openxmlformats.org/officeDocument/2006/relationships/hyperlink" Target="https://elibrary.tucl.edu.np/bitstreams/2434a4c8-4bed-4c00-ab76-1e81cc0a5d88/download" TargetMode="External"/><Relationship Id="rId29" Type="http://schemas.openxmlformats.org/officeDocument/2006/relationships/hyperlink" Target="https://www.cell.com/heliyon/pdf/S2405-8440(24)08987-4.pdf" TargetMode="External"/><Relationship Id="rId30" Type="http://schemas.openxmlformats.org/officeDocument/2006/relationships/hyperlink" Target="https://www.researchgate.net/profile/Ani-Grigoryan-10/publication/397956529_AI-driven_capital_structure_forecasting_for_automotive_giants_Enhancing_stability_liquidity_and_solvency/links/6925e5da71855517106352a8/AI-driven-capital-structure-forecasting-for-automotive-giants-Enhancing-stability-liquidity-and-solvency.pdf" TargetMode="External"/><Relationship Id="rId31" Type="http://schemas.openxmlformats.org/officeDocument/2006/relationships/hyperlink" Target="https://mail.newinera.com/index.php/JournalLaBisecoman/article/download/1970/1958" TargetMode="External"/><Relationship Id="rId32" Type="http://schemas.openxmlformats.org/officeDocument/2006/relationships/hyperlink" Target="https://papers.ssrn.com/sol3/Delivery.cfm?abstractid=5261816" TargetMode="External"/><Relationship Id="rId33" Type="http://schemas.openxmlformats.org/officeDocument/2006/relationships/hyperlink" Target="https://eduvest.greenvest.co.id/index.php/edv/article/download/51625/4307" TargetMode="External"/><Relationship Id="rId34" Type="http://schemas.openxmlformats.org/officeDocument/2006/relationships/hyperlink" Target="http://marivanioscollegejournals.com/index.php/innovatous/article/download/67/124" TargetMode="External"/><Relationship Id="rId35" Type="http://schemas.openxmlformats.org/officeDocument/2006/relationships/hyperlink" Target="https://www.hyundai.com/in/en/investor-relations/financial-information/reports/annual-report-digital-summary" TargetMode="External"/><Relationship Id="rId36" Type="http://schemas.openxmlformats.org/officeDocument/2006/relationships/hyperlink" Target="https://www.annualreports.com/Company/hyundai-motor-company" TargetMode="External"/></Relationships>
</file>

<file path=word/_rels/endnotes.xml.rels><?xml version="1.0" encoding="UTF-8" standalone="yes"?>
<Relationships xmlns="http://schemas.openxmlformats.org/package/2006/relationships"></Relationships>
</file>

<file path=word/_rels/footer1.xml.rels><?xml version="1.0" encoding="UTF-8" standalone="yes"?>
<Relationships xmlns="http://schemas.openxmlformats.org/package/2006/relationships"></Relationships>
</file>

<file path=word/_rels/footnotes.xml.rels><?xml version="1.0" encoding="UTF-8" standalone="yes"?>
<Relationships xmlns="http://schemas.openxmlformats.org/package/2006/relationships"></Relationships>
</file>

<file path=word/_rels/numbering.xml.rels><?xml version="1.0" encoding="UTF-8" standalone="yes"?>
<Relationships xmlns="http://schemas.openxmlformats.org/package/2006/relationships"></Relationships>
</file>

<file path=word/charts/_rels/chart1.xml.rels><?xml version="1.0" encoding="UTF-8" standalone="yes"?>
<Relationships xmlns="http://schemas.openxmlformats.org/package/2006/relationships"><Relationship Id="rId1" Type="http://schemas.microsoft.com/office/2011/relationships/chartColorStyle" Target="colors1.xml"/><Relationship Id="rId2" Type="http://schemas.microsoft.com/office/2011/relationships/chartStyle" Target="style1.xml"/><Relationship Id="rId3" Type="http://schemas.openxmlformats.org/officeDocument/2006/relationships/oleObject" Target="https://d.docs.live.net/7bacbf3f2fff4ee7/Documents/ASFIYA.xlsx" TargetMode="External"/></Relationships>
</file>

<file path=word/charts/_rels/chart2.xml.rels><?xml version="1.0" encoding="UTF-8" standalone="yes"?>
<Relationships xmlns="http://schemas.openxmlformats.org/package/2006/relationships"><Relationship Id="rId1" Type="http://schemas.microsoft.com/office/2011/relationships/chartColorStyle" Target="colors2.xml"/><Relationship Id="rId2" Type="http://schemas.microsoft.com/office/2011/relationships/chartStyle" Target="style2.xml"/><Relationship Id="rId3" Type="http://schemas.openxmlformats.org/officeDocument/2006/relationships/oleObject" Target="https://d.docs.live.net/7bacbf3f2fff4ee7/Documents/ASFIYA.xlsx" TargetMode="External"/></Relationships>
</file>

<file path=word/charts/_rels/chart3.xml.rels><?xml version="1.0" encoding="UTF-8" standalone="yes"?>
<Relationships xmlns="http://schemas.openxmlformats.org/package/2006/relationships"><Relationship Id="rId1" Type="http://schemas.microsoft.com/office/2011/relationships/chartColorStyle" Target="colors3.xml"/><Relationship Id="rId2" Type="http://schemas.microsoft.com/office/2011/relationships/chartStyle" Target="style3.xml"/><Relationship Id="rId3" Type="http://schemas.openxmlformats.org/officeDocument/2006/relationships/oleObject" Target="https://d.docs.live.net/7bacbf3f2fff4ee7/Documents/ASFIYA.xlsx" TargetMode="External"/></Relationships>
</file>

<file path=word/charts/_rels/chart4.xml.rels><?xml version="1.0" encoding="UTF-8" standalone="yes"?>
<Relationships xmlns="http://schemas.openxmlformats.org/package/2006/relationships"><Relationship Id="rId1" Type="http://schemas.microsoft.com/office/2011/relationships/chartColorStyle" Target="colors4.xml"/><Relationship Id="rId2" Type="http://schemas.microsoft.com/office/2011/relationships/chartStyle" Target="style4.xml"/><Relationship Id="rId3" Type="http://schemas.openxmlformats.org/officeDocument/2006/relationships/oleObject" Target="https://d.docs.live.net/7bacbf3f2fff4ee7/Documents/ASFIYA.xlsx" TargetMode="External"/></Relationships>
</file>

<file path=word/charts/_rels/chart5.xml.rels><?xml version="1.0" encoding="UTF-8" standalone="yes"?>
<Relationships xmlns="http://schemas.openxmlformats.org/package/2006/relationships"><Relationship Id="rId1" Type="http://schemas.microsoft.com/office/2011/relationships/chartColorStyle" Target="colors5.xml"/><Relationship Id="rId2" Type="http://schemas.microsoft.com/office/2011/relationships/chartStyle" Target="style5.xml"/><Relationship Id="rId3" Type="http://schemas.openxmlformats.org/officeDocument/2006/relationships/oleObject" Target="https://d.docs.live.net/7bacbf3f2fff4ee7/Documents/ASFIYA.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1">
                    <a:lumMod val="65000"/>
                    <a:lumOff val="35000"/>
                  </a:schemeClr>
                </a:solidFill>
                <a:latin typeface="Arial" pitchFamily="34" charset="0" panose="020B0604020202020204"/>
                <a:ea typeface="+mn-ea"/>
                <a:cs typeface="Arial" pitchFamily="34" charset="0" panose="020B0604020202020204"/>
              </a:defRPr>
            </a:pPr>
            <a:r>
              <a:rPr lang="en-IN"/>
              <a:t>Hyundai Revenue  (2021–2025)</a:t>
            </a:r>
            <a:endParaRPr lang="en-US"/>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Arial" pitchFamily="34" charset="0" panose="020B0604020202020204"/>
              <a:ea typeface="+mn-ea"/>
              <a:cs typeface="Arial" pitchFamily="34" charset="0" panose="020B0604020202020204"/>
            </a:defRPr>
          </a:pPr>
          <a:endParaRPr lang="en-US"/>
        </a:p>
      </c:txPr>
    </c:title>
    <c:autoTitleDeleted val="0"/>
    <c:plotArea>
      <c:layout/>
      <c:lineChart>
        <c:grouping val="standard"/>
        <c:varyColors val="0"/>
        <c:ser>
          <c:idx val="0"/>
          <c:order val="0"/>
          <c:tx>
            <c:strRef>
              <c:f>Data!$A$3</c:f>
              <c:strCache>
                <c:ptCount val="1"/>
                <c:pt idx="0">
                  <c:v>Revenue (Sales)</c:v>
                </c:pt>
              </c:strCache>
            </c:strRef>
          </c:tx>
          <c:spPr>
            <a:ln w="34925" cap="rnd">
              <a:solidFill>
                <a:schemeClr val="accent1"/>
              </a:solidFill>
              <a:round/>
            </a:ln>
            <a:effectLst>
              <a:outerShdw blurRad="57150" dist="19050" dir="5400000" algn="ctr" rotWithShape="0">
                <a:srgbClr val="000000">
                  <a:alpha val="63000"/>
                </a:srgbClr>
              </a:outerShdw>
            </a:effectLst>
          </c:spPr>
          <c:marker>
            <c:symbol val="none"/>
          </c:marker>
          <c:dLbls>
            <c:spPr>
              <a:noFill/>
              <a:ln>
                <a:noFill/>
              </a:ln>
              <a:effectLst/>
            </c:spPr>
            <c:txPr>
              <a:bodyPr rot="0" spcFirstLastPara="1" vertOverflow="ellipsis" vert="horz" wrap="square" anchor="ctr" anchorCtr="1"/>
              <a:lstStyle/>
              <a:p>
                <a:pPr>
                  <a:defRPr sz="900" b="0" i="0" u="none" strike="noStrike" kern="1200" baseline="0">
                    <a:solidFill>
                      <a:schemeClr val="tx1">
                        <a:lumMod val="75000"/>
                        <a:lumOff val="25000"/>
                      </a:schemeClr>
                    </a:solidFill>
                    <a:latin typeface="Arial" pitchFamily="34" charset="0" panose="020B0604020202020204"/>
                    <a:ea typeface="+mn-ea"/>
                    <a:cs typeface="Arial" pitchFamily="34" charset="0" panose="020B0604020202020204"/>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Data!$B$2:$F$2</c:f>
              <c:numCache>
                <c:formatCode>General</c:formatCode>
                <c:ptCount val="5"/>
                <c:pt idx="0">
                  <c:v>2021</c:v>
                </c:pt>
                <c:pt idx="1">
                  <c:v>2022</c:v>
                </c:pt>
                <c:pt idx="2">
                  <c:v>2023</c:v>
                </c:pt>
                <c:pt idx="3">
                  <c:v>2024</c:v>
                </c:pt>
                <c:pt idx="4">
                  <c:v>2025</c:v>
                </c:pt>
              </c:numCache>
            </c:numRef>
          </c:cat>
          <c:val>
            <c:numRef>
              <c:f>Data!$B$3:$F$3</c:f>
              <c:numCache>
                <c:formatCode>#,##0</c:formatCode>
                <c:ptCount val="5"/>
                <c:pt idx="0">
                  <c:v>117610626</c:v>
                </c:pt>
                <c:pt idx="1">
                  <c:v>142527535</c:v>
                </c:pt>
                <c:pt idx="2">
                  <c:v>162663579</c:v>
                </c:pt>
                <c:pt idx="3">
                  <c:v>175231153</c:v>
                </c:pt>
                <c:pt idx="4">
                  <c:v>186254472</c:v>
                </c:pt>
              </c:numCache>
            </c:numRef>
          </c:val>
          <c:smooth val="0"/>
          <c:extLst>
            <c:ext xmlns:c16="http://schemas.microsoft.com/office/drawing/2014/chart" uri="{C3380CC4-5D6E-409C-BE32-E72D297353CC}">
              <c16:uniqueId val="{00000000-B4E9-4306-9B08-810CAB618D7A}"/>
            </c:ext>
          </c:extLst>
        </c:ser>
        <c:dLbls>
          <c:dLblPos val="ctr"/>
          <c:showLegendKey val="0"/>
          <c:showVal val="1"/>
          <c:showCatName val="0"/>
          <c:showSerName val="0"/>
          <c:showPercent val="0"/>
          <c:showBubbleSize val="0"/>
        </c:dLbls>
        <c:smooth val="0"/>
        <c:axId val="1429565759"/>
        <c:axId val="1429566239"/>
      </c:lineChart>
      <c:catAx>
        <c:axId val="1429565759"/>
        <c:scaling>
          <c:orientation val="minMax"/>
        </c:scaling>
        <c:delete val="0"/>
        <c:axPos val="b"/>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Arial" pitchFamily="34" charset="0" panose="020B0604020202020204"/>
                <a:ea typeface="+mn-ea"/>
                <a:cs typeface="Arial" pitchFamily="34" charset="0" panose="020B0604020202020204"/>
              </a:defRPr>
            </a:pPr>
            <a:endParaRPr lang="en-US"/>
          </a:p>
        </c:txPr>
        <c:crossAx val="1429566239"/>
        <c:crosses val="autoZero"/>
        <c:auto val="1"/>
        <c:lblAlgn val="ctr"/>
        <c:lblOffset val="100"/>
        <c:noMultiLvlLbl val="0"/>
      </c:catAx>
      <c:valAx>
        <c:axId val="1429566239"/>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900" b="0" i="0" u="none" strike="noStrike" kern="1200" baseline="0">
                    <a:solidFill>
                      <a:schemeClr val="tx1">
                        <a:lumMod val="65000"/>
                        <a:lumOff val="35000"/>
                      </a:schemeClr>
                    </a:solidFill>
                    <a:latin typeface="Arial" pitchFamily="34" charset="0" panose="020B0604020202020204"/>
                    <a:ea typeface="+mn-ea"/>
                    <a:cs typeface="Arial" pitchFamily="34" charset="0" panose="020B0604020202020204"/>
                  </a:defRPr>
                </a:pPr>
                <a:r>
                  <a:rPr lang="en-IN"/>
                  <a:t>(₩ million)</a:t>
                </a:r>
                <a:endParaRPr lang="en-US"/>
              </a:p>
            </c:rich>
          </c:tx>
          <c:overlay val="0"/>
          <c:spPr>
            <a:noFill/>
            <a:ln>
              <a:noFill/>
            </a:ln>
            <a:effectLst/>
          </c:spPr>
          <c:txPr>
            <a:bodyPr rot="-5400000" spcFirstLastPara="1" vertOverflow="ellipsis" vert="horz" wrap="square" anchor="ctr" anchorCtr="1"/>
            <a:lstStyle/>
            <a:p>
              <a:pPr>
                <a:defRPr sz="900" b="0" i="0" u="none" strike="noStrike" kern="1200" baseline="0">
                  <a:solidFill>
                    <a:schemeClr val="tx1">
                      <a:lumMod val="65000"/>
                      <a:lumOff val="35000"/>
                    </a:schemeClr>
                  </a:solidFill>
                  <a:latin typeface="Arial" pitchFamily="34" charset="0" panose="020B0604020202020204"/>
                  <a:ea typeface="+mn-ea"/>
                  <a:cs typeface="Arial" pitchFamily="34" charset="0" panose="020B0604020202020204"/>
                </a:defRPr>
              </a:pPr>
              <a:endParaRPr lang="en-US"/>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Arial" pitchFamily="34" charset="0" panose="020B0604020202020204"/>
                <a:ea typeface="+mn-ea"/>
                <a:cs typeface="Arial" pitchFamily="34" charset="0" panose="020B0604020202020204"/>
              </a:defRPr>
            </a:pPr>
            <a:endParaRPr lang="en-US"/>
          </a:p>
        </c:txPr>
        <c:crossAx val="1429565759"/>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latin typeface="Arial" pitchFamily="34" charset="0" panose="020B0604020202020204"/>
          <a:cs typeface="Arial" pitchFamily="34" charset="0" panose="020B0604020202020204"/>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Arial" pitchFamily="34" charset="0" panose="020B0604020202020204"/>
              <a:ea typeface="+mn-ea"/>
              <a:cs typeface="Arial" pitchFamily="34" charset="0" panose="020B0604020202020204"/>
            </a:defRPr>
          </a:pPr>
          <a:endParaRPr lang="en-US"/>
        </a:p>
      </c:txPr>
    </c:title>
    <c:autoTitleDeleted val="0"/>
    <c:plotArea>
      <c:layout/>
      <c:lineChart>
        <c:grouping val="standard"/>
        <c:varyColors val="0"/>
        <c:ser>
          <c:idx val="0"/>
          <c:order val="0"/>
          <c:tx>
            <c:strRef>
              <c:f>Data!$A$14</c:f>
              <c:strCache>
                <c:ptCount val="1"/>
                <c:pt idx="0">
                  <c:v>Net Profit</c:v>
                </c:pt>
              </c:strCache>
            </c:strRef>
          </c:tx>
          <c:spPr>
            <a:ln w="34925" cap="rnd">
              <a:solidFill>
                <a:schemeClr val="accent1"/>
              </a:solidFill>
              <a:round/>
            </a:ln>
            <a:effectLst>
              <a:outerShdw blurRad="57150" dist="19050" dir="5400000" algn="ctr" rotWithShape="0">
                <a:srgbClr val="000000">
                  <a:alpha val="63000"/>
                </a:srgbClr>
              </a:outerShdw>
            </a:effectLst>
          </c:spPr>
          <c:marker>
            <c:symbol val="none"/>
          </c:marker>
          <c:dLbls>
            <c:spPr>
              <a:noFill/>
              <a:ln>
                <a:noFill/>
              </a:ln>
              <a:effectLst/>
            </c:spPr>
            <c:txPr>
              <a:bodyPr rot="0" spcFirstLastPara="1" vertOverflow="ellipsis" vert="horz" wrap="square" anchor="ctr" anchorCtr="1"/>
              <a:lstStyle/>
              <a:p>
                <a:pPr>
                  <a:defRPr sz="900" b="0" i="0" u="none" strike="noStrike" kern="1200" baseline="0">
                    <a:solidFill>
                      <a:schemeClr val="tx1">
                        <a:lumMod val="75000"/>
                        <a:lumOff val="25000"/>
                      </a:schemeClr>
                    </a:solidFill>
                    <a:latin typeface="Arial" pitchFamily="34" charset="0" panose="020B0604020202020204"/>
                    <a:ea typeface="+mn-ea"/>
                    <a:cs typeface="Arial" pitchFamily="34" charset="0" panose="020B0604020202020204"/>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Data!$B$2:$F$2</c:f>
              <c:numCache>
                <c:formatCode>General</c:formatCode>
                <c:ptCount val="5"/>
                <c:pt idx="0">
                  <c:v>2021</c:v>
                </c:pt>
                <c:pt idx="1">
                  <c:v>2022</c:v>
                </c:pt>
                <c:pt idx="2">
                  <c:v>2023</c:v>
                </c:pt>
                <c:pt idx="3">
                  <c:v>2024</c:v>
                </c:pt>
                <c:pt idx="4">
                  <c:v>2025</c:v>
                </c:pt>
              </c:numCache>
            </c:numRef>
          </c:cat>
          <c:val>
            <c:numRef>
              <c:f>Data!$B$14:$F$14</c:f>
              <c:numCache>
                <c:formatCode>#,##0</c:formatCode>
                <c:ptCount val="5"/>
                <c:pt idx="0">
                  <c:v>5693077</c:v>
                </c:pt>
                <c:pt idx="1">
                  <c:v>7983614</c:v>
                </c:pt>
                <c:pt idx="2">
                  <c:v>12272301</c:v>
                </c:pt>
                <c:pt idx="3">
                  <c:v>13229908</c:v>
                </c:pt>
                <c:pt idx="4">
                  <c:v>10364775</c:v>
                </c:pt>
              </c:numCache>
            </c:numRef>
          </c:val>
          <c:smooth val="0"/>
          <c:extLst>
            <c:ext xmlns:c16="http://schemas.microsoft.com/office/drawing/2014/chart" uri="{C3380CC4-5D6E-409C-BE32-E72D297353CC}">
              <c16:uniqueId val="{00000000-1A03-433E-9167-6E55080B729F}"/>
            </c:ext>
          </c:extLst>
        </c:ser>
        <c:dLbls>
          <c:dLblPos val="ctr"/>
          <c:showLegendKey val="0"/>
          <c:showVal val="1"/>
          <c:showCatName val="0"/>
          <c:showSerName val="0"/>
          <c:showPercent val="0"/>
          <c:showBubbleSize val="0"/>
        </c:dLbls>
        <c:smooth val="0"/>
        <c:axId val="1119467951"/>
        <c:axId val="1119468431"/>
      </c:lineChart>
      <c:catAx>
        <c:axId val="1119467951"/>
        <c:scaling>
          <c:orientation val="minMax"/>
        </c:scaling>
        <c:delete val="0"/>
        <c:axPos val="b"/>
        <c:title>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Arial" pitchFamily="34" charset="0" panose="020B0604020202020204"/>
                  <a:ea typeface="+mn-ea"/>
                  <a:cs typeface="Arial" pitchFamily="34" charset="0" panose="020B0604020202020204"/>
                </a:defRPr>
              </a:pPr>
              <a:endParaRPr lang="en-US"/>
            </a:p>
          </c:txPr>
        </c:title>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Arial" pitchFamily="34" charset="0" panose="020B0604020202020204"/>
                <a:ea typeface="+mn-ea"/>
                <a:cs typeface="Arial" pitchFamily="34" charset="0" panose="020B0604020202020204"/>
              </a:defRPr>
            </a:pPr>
            <a:endParaRPr lang="en-US"/>
          </a:p>
        </c:txPr>
        <c:crossAx val="1119468431"/>
        <c:crosses val="autoZero"/>
        <c:auto val="1"/>
        <c:lblAlgn val="ctr"/>
        <c:lblOffset val="100"/>
        <c:noMultiLvlLbl val="0"/>
      </c:catAx>
      <c:valAx>
        <c:axId val="1119468431"/>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900" b="0" i="0" u="none" strike="noStrike" kern="1200" baseline="0">
                    <a:solidFill>
                      <a:schemeClr val="tx1">
                        <a:lumMod val="65000"/>
                        <a:lumOff val="35000"/>
                      </a:schemeClr>
                    </a:solidFill>
                    <a:latin typeface="Arial" pitchFamily="34" charset="0" panose="020B0604020202020204"/>
                    <a:ea typeface="+mn-ea"/>
                    <a:cs typeface="Arial" pitchFamily="34" charset="0" panose="020B0604020202020204"/>
                  </a:defRPr>
                </a:pPr>
                <a:r>
                  <a:rPr lang="en-IN"/>
                  <a:t>(₩ million)</a:t>
                </a:r>
                <a:endParaRPr lang="en-US"/>
              </a:p>
            </c:rich>
          </c:tx>
          <c:overlay val="0"/>
          <c:spPr>
            <a:noFill/>
            <a:ln>
              <a:noFill/>
            </a:ln>
            <a:effectLst/>
          </c:spPr>
          <c:txPr>
            <a:bodyPr rot="-5400000" spcFirstLastPara="1" vertOverflow="ellipsis" vert="horz" wrap="square" anchor="ctr" anchorCtr="1"/>
            <a:lstStyle/>
            <a:p>
              <a:pPr>
                <a:defRPr sz="900" b="0" i="0" u="none" strike="noStrike" kern="1200" baseline="0">
                  <a:solidFill>
                    <a:schemeClr val="tx1">
                      <a:lumMod val="65000"/>
                      <a:lumOff val="35000"/>
                    </a:schemeClr>
                  </a:solidFill>
                  <a:latin typeface="Arial" pitchFamily="34" charset="0" panose="020B0604020202020204"/>
                  <a:ea typeface="+mn-ea"/>
                  <a:cs typeface="Arial" pitchFamily="34" charset="0" panose="020B0604020202020204"/>
                </a:defRPr>
              </a:pPr>
              <a:endParaRPr lang="en-US"/>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Arial" pitchFamily="34" charset="0" panose="020B0604020202020204"/>
                <a:ea typeface="+mn-ea"/>
                <a:cs typeface="Arial" pitchFamily="34" charset="0" panose="020B0604020202020204"/>
              </a:defRPr>
            </a:pPr>
            <a:endParaRPr lang="en-US"/>
          </a:p>
        </c:txPr>
        <c:crossAx val="1119467951"/>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latin typeface="Arial" pitchFamily="34" charset="0" panose="020B0604020202020204"/>
          <a:cs typeface="Arial" pitchFamily="34" charset="0" panose="020B0604020202020204"/>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cap="none" spc="20" baseline="0">
                <a:solidFill>
                  <a:schemeClr val="tx1">
                    <a:lumMod val="50000"/>
                    <a:lumOff val="50000"/>
                  </a:schemeClr>
                </a:solidFill>
                <a:latin typeface="Arial" pitchFamily="34" charset="0" panose="020B0604020202020204"/>
                <a:ea typeface="+mn-ea"/>
                <a:cs typeface="Arial" pitchFamily="34" charset="0" panose="020B0604020202020204"/>
              </a:defRPr>
            </a:pPr>
            <a:r>
              <a:rPr lang="en-IN"/>
              <a:t>Hyundai Profitability Ratios (2021–2025)</a:t>
            </a:r>
          </a:p>
        </c:rich>
      </c:tx>
      <c:overlay val="0"/>
      <c:spPr>
        <a:noFill/>
        <a:ln>
          <a:noFill/>
        </a:ln>
        <a:effectLst/>
      </c:spPr>
      <c:txPr>
        <a:bodyPr rot="0" spcFirstLastPara="1" vertOverflow="ellipsis" vert="horz" wrap="square" anchor="ctr" anchorCtr="1"/>
        <a:lstStyle/>
        <a:p>
          <a:pPr>
            <a:defRPr sz="1400" b="0" i="0" u="none" strike="noStrike" kern="1200" cap="none" spc="20" baseline="0">
              <a:solidFill>
                <a:schemeClr val="tx1">
                  <a:lumMod val="50000"/>
                  <a:lumOff val="50000"/>
                </a:schemeClr>
              </a:solidFill>
              <a:latin typeface="Arial" pitchFamily="34" charset="0" panose="020B0604020202020204"/>
              <a:ea typeface="+mn-ea"/>
              <a:cs typeface="Arial" pitchFamily="34" charset="0" panose="020B0604020202020204"/>
            </a:defRPr>
          </a:pPr>
          <a:endParaRPr lang="en-US"/>
        </a:p>
      </c:txPr>
    </c:title>
    <c:autoTitleDeleted val="0"/>
    <c:plotArea>
      <c:layout/>
      <c:barChart>
        <c:barDir val="bar"/>
        <c:grouping val="clustered"/>
        <c:varyColors val="0"/>
        <c:ser>
          <c:idx val="0"/>
          <c:order val="0"/>
          <c:tx>
            <c:strRef>
              <c:f>ratio!$C$3</c:f>
              <c:strCache>
                <c:ptCount val="1"/>
                <c:pt idx="0">
                  <c:v>2021</c:v>
                </c:pt>
              </c:strCache>
            </c:strRef>
          </c:tx>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invertIfNegative val="0"/>
          <c:cat>
            <c:strRef>
              <c:f>ratio!$A$4:$A$8</c:f>
              <c:strCache>
                <c:ptCount val="5"/>
                <c:pt idx="0">
                  <c:v>Gross Profit Margin</c:v>
                </c:pt>
                <c:pt idx="1">
                  <c:v>Operating Margin</c:v>
                </c:pt>
                <c:pt idx="2">
                  <c:v>Net Profit Margin</c:v>
                </c:pt>
                <c:pt idx="3">
                  <c:v>ROA</c:v>
                </c:pt>
                <c:pt idx="4">
                  <c:v>ROE</c:v>
                </c:pt>
              </c:strCache>
            </c:strRef>
          </c:cat>
          <c:val>
            <c:numRef>
              <c:f>ratio!$C$4:$C$8</c:f>
              <c:numCache>
                <c:formatCode>0.00%</c:formatCode>
                <c:ptCount val="5"/>
                <c:pt idx="0">
                  <c:v>0.18646695239935207</c:v>
                </c:pt>
                <c:pt idx="1">
                  <c:v>5.678865275319596E-2</c:v>
                </c:pt>
                <c:pt idx="2">
                  <c:v>4.8406144866536126E-2</c:v>
                </c:pt>
                <c:pt idx="3">
                  <c:v>2.4334961491074784E-2</c:v>
                </c:pt>
                <c:pt idx="4">
                  <c:v>6.891027815518411E-2</c:v>
                </c:pt>
              </c:numCache>
            </c:numRef>
          </c:val>
          <c:extLst>
            <c:ext xmlns:c16="http://schemas.microsoft.com/office/drawing/2014/chart" uri="{C3380CC4-5D6E-409C-BE32-E72D297353CC}">
              <c16:uniqueId val="{00000000-10EB-44F9-A8F7-8E06FF5623DE}"/>
            </c:ext>
          </c:extLst>
        </c:ser>
        <c:ser>
          <c:idx val="1"/>
          <c:order val="1"/>
          <c:tx>
            <c:strRef>
              <c:f>ratio!$D$3</c:f>
              <c:strCache>
                <c:ptCount val="1"/>
                <c:pt idx="0">
                  <c:v>2022</c:v>
                </c:pt>
              </c:strCache>
            </c:strRef>
          </c:tx>
          <c:spPr>
            <a:gradFill rotWithShape="1">
              <a:gsLst>
                <a:gs pos="0">
                  <a:schemeClr val="accent2">
                    <a:lumMod val="110000"/>
                    <a:satMod val="105000"/>
                    <a:tint val="67000"/>
                  </a:schemeClr>
                </a:gs>
                <a:gs pos="50000">
                  <a:schemeClr val="accent2">
                    <a:lumMod val="105000"/>
                    <a:satMod val="103000"/>
                    <a:tint val="73000"/>
                  </a:schemeClr>
                </a:gs>
                <a:gs pos="100000">
                  <a:schemeClr val="accent2">
                    <a:lumMod val="105000"/>
                    <a:satMod val="109000"/>
                    <a:tint val="81000"/>
                  </a:schemeClr>
                </a:gs>
              </a:gsLst>
              <a:lin ang="5400000" scaled="0"/>
            </a:gradFill>
            <a:ln w="9525" cap="flat" cmpd="sng" algn="ctr">
              <a:solidFill>
                <a:schemeClr val="accent2">
                  <a:shade val="95000"/>
                </a:schemeClr>
              </a:solidFill>
              <a:round/>
            </a:ln>
            <a:effectLst/>
          </c:spPr>
          <c:invertIfNegative val="0"/>
          <c:cat>
            <c:strRef>
              <c:f>ratio!$A$4:$A$8</c:f>
              <c:strCache>
                <c:ptCount val="5"/>
                <c:pt idx="0">
                  <c:v>Gross Profit Margin</c:v>
                </c:pt>
                <c:pt idx="1">
                  <c:v>Operating Margin</c:v>
                </c:pt>
                <c:pt idx="2">
                  <c:v>Net Profit Margin</c:v>
                </c:pt>
                <c:pt idx="3">
                  <c:v>ROA</c:v>
                </c:pt>
                <c:pt idx="4">
                  <c:v>ROE</c:v>
                </c:pt>
              </c:strCache>
            </c:strRef>
          </c:cat>
          <c:val>
            <c:numRef>
              <c:f>ratio!$D$4:$D$8</c:f>
              <c:numCache>
                <c:formatCode>0.00%</c:formatCode>
                <c:ptCount val="5"/>
                <c:pt idx="0">
                  <c:v>0.19868478045312438</c:v>
                </c:pt>
                <c:pt idx="1">
                  <c:v>6.889734674777052E-2</c:v>
                </c:pt>
                <c:pt idx="2">
                  <c:v>5.6014537822463566E-2</c:v>
                </c:pt>
                <c:pt idx="3">
                  <c:v>3.1217397132901614E-2</c:v>
                </c:pt>
                <c:pt idx="4">
                  <c:v>8.783187523794221E-2</c:v>
                </c:pt>
              </c:numCache>
            </c:numRef>
          </c:val>
          <c:extLst>
            <c:ext xmlns:c16="http://schemas.microsoft.com/office/drawing/2014/chart" uri="{C3380CC4-5D6E-409C-BE32-E72D297353CC}">
              <c16:uniqueId val="{00000001-10EB-44F9-A8F7-8E06FF5623DE}"/>
            </c:ext>
          </c:extLst>
        </c:ser>
        <c:ser>
          <c:idx val="2"/>
          <c:order val="2"/>
          <c:tx>
            <c:strRef>
              <c:f>ratio!$E$3</c:f>
              <c:strCache>
                <c:ptCount val="1"/>
                <c:pt idx="0">
                  <c:v>2023</c:v>
                </c:pt>
              </c:strCache>
            </c:strRef>
          </c:tx>
          <c:spPr>
            <a:gradFill rotWithShape="1">
              <a:gsLst>
                <a:gs pos="0">
                  <a:schemeClr val="accent3">
                    <a:lumMod val="110000"/>
                    <a:satMod val="105000"/>
                    <a:tint val="67000"/>
                  </a:schemeClr>
                </a:gs>
                <a:gs pos="50000">
                  <a:schemeClr val="accent3">
                    <a:lumMod val="105000"/>
                    <a:satMod val="103000"/>
                    <a:tint val="73000"/>
                  </a:schemeClr>
                </a:gs>
                <a:gs pos="100000">
                  <a:schemeClr val="accent3">
                    <a:lumMod val="105000"/>
                    <a:satMod val="109000"/>
                    <a:tint val="81000"/>
                  </a:schemeClr>
                </a:gs>
              </a:gsLst>
              <a:lin ang="5400000" scaled="0"/>
            </a:gradFill>
            <a:ln w="9525" cap="flat" cmpd="sng" algn="ctr">
              <a:solidFill>
                <a:schemeClr val="accent3">
                  <a:shade val="95000"/>
                </a:schemeClr>
              </a:solidFill>
              <a:round/>
            </a:ln>
            <a:effectLst/>
          </c:spPr>
          <c:invertIfNegative val="0"/>
          <c:cat>
            <c:strRef>
              <c:f>ratio!$A$4:$A$8</c:f>
              <c:strCache>
                <c:ptCount val="5"/>
                <c:pt idx="0">
                  <c:v>Gross Profit Margin</c:v>
                </c:pt>
                <c:pt idx="1">
                  <c:v>Operating Margin</c:v>
                </c:pt>
                <c:pt idx="2">
                  <c:v>Net Profit Margin</c:v>
                </c:pt>
                <c:pt idx="3">
                  <c:v>ROA</c:v>
                </c:pt>
                <c:pt idx="4">
                  <c:v>ROE</c:v>
                </c:pt>
              </c:strCache>
            </c:strRef>
          </c:cat>
          <c:val>
            <c:numRef>
              <c:f>ratio!$E$4:$E$8</c:f>
              <c:numCache>
                <c:formatCode>0.00%</c:formatCode>
                <c:ptCount val="5"/>
                <c:pt idx="0">
                  <c:v>0.20585060408636405</c:v>
                </c:pt>
                <c:pt idx="1">
                  <c:v>9.299500904255893E-2</c:v>
                </c:pt>
                <c:pt idx="2">
                  <c:v>7.544590544143874E-2</c:v>
                </c:pt>
                <c:pt idx="3">
                  <c:v>4.344740931084671E-2</c:v>
                </c:pt>
                <c:pt idx="4">
                  <c:v>0.12054187705973042</c:v>
                </c:pt>
              </c:numCache>
            </c:numRef>
          </c:val>
          <c:extLst>
            <c:ext xmlns:c16="http://schemas.microsoft.com/office/drawing/2014/chart" uri="{C3380CC4-5D6E-409C-BE32-E72D297353CC}">
              <c16:uniqueId val="{00000002-10EB-44F9-A8F7-8E06FF5623DE}"/>
            </c:ext>
          </c:extLst>
        </c:ser>
        <c:ser>
          <c:idx val="3"/>
          <c:order val="3"/>
          <c:tx>
            <c:strRef>
              <c:f>ratio!$F$3</c:f>
              <c:strCache>
                <c:ptCount val="1"/>
                <c:pt idx="0">
                  <c:v>2024</c:v>
                </c:pt>
              </c:strCache>
            </c:strRef>
          </c:tx>
          <c:spPr>
            <a:gradFill rotWithShape="1">
              <a:gsLst>
                <a:gs pos="0">
                  <a:schemeClr val="accent4">
                    <a:lumMod val="110000"/>
                    <a:satMod val="105000"/>
                    <a:tint val="67000"/>
                  </a:schemeClr>
                </a:gs>
                <a:gs pos="50000">
                  <a:schemeClr val="accent4">
                    <a:lumMod val="105000"/>
                    <a:satMod val="103000"/>
                    <a:tint val="73000"/>
                  </a:schemeClr>
                </a:gs>
                <a:gs pos="100000">
                  <a:schemeClr val="accent4">
                    <a:lumMod val="105000"/>
                    <a:satMod val="109000"/>
                    <a:tint val="81000"/>
                  </a:schemeClr>
                </a:gs>
              </a:gsLst>
              <a:lin ang="5400000" scaled="0"/>
            </a:gradFill>
            <a:ln w="9525" cap="flat" cmpd="sng" algn="ctr">
              <a:solidFill>
                <a:schemeClr val="accent4">
                  <a:shade val="95000"/>
                </a:schemeClr>
              </a:solidFill>
              <a:round/>
            </a:ln>
            <a:effectLst/>
          </c:spPr>
          <c:invertIfNegative val="0"/>
          <c:cat>
            <c:strRef>
              <c:f>ratio!$A$4:$A$8</c:f>
              <c:strCache>
                <c:ptCount val="5"/>
                <c:pt idx="0">
                  <c:v>Gross Profit Margin</c:v>
                </c:pt>
                <c:pt idx="1">
                  <c:v>Operating Margin</c:v>
                </c:pt>
                <c:pt idx="2">
                  <c:v>Net Profit Margin</c:v>
                </c:pt>
                <c:pt idx="3">
                  <c:v>ROA</c:v>
                </c:pt>
                <c:pt idx="4">
                  <c:v>ROE</c:v>
                </c:pt>
              </c:strCache>
            </c:strRef>
          </c:cat>
          <c:val>
            <c:numRef>
              <c:f>ratio!$F$4:$F$8</c:f>
              <c:numCache>
                <c:formatCode>0.00%</c:formatCode>
                <c:ptCount val="5"/>
                <c:pt idx="0">
                  <c:v>0.20401170903669166</c:v>
                </c:pt>
                <c:pt idx="1">
                  <c:v>8.126176057290452E-2</c:v>
                </c:pt>
                <c:pt idx="2">
                  <c:v>7.54997486091985E-2</c:v>
                </c:pt>
                <c:pt idx="3">
                  <c:v>3.893457671047679E-2</c:v>
                </c:pt>
                <c:pt idx="4">
                  <c:v>0.10999630325045992</c:v>
                </c:pt>
              </c:numCache>
            </c:numRef>
          </c:val>
          <c:extLst>
            <c:ext xmlns:c16="http://schemas.microsoft.com/office/drawing/2014/chart" uri="{C3380CC4-5D6E-409C-BE32-E72D297353CC}">
              <c16:uniqueId val="{00000003-10EB-44F9-A8F7-8E06FF5623DE}"/>
            </c:ext>
          </c:extLst>
        </c:ser>
        <c:ser>
          <c:idx val="4"/>
          <c:order val="4"/>
          <c:tx>
            <c:strRef>
              <c:f>ratio!$G$3</c:f>
              <c:strCache>
                <c:ptCount val="1"/>
                <c:pt idx="0">
                  <c:v>2025</c:v>
                </c:pt>
              </c:strCache>
            </c:strRef>
          </c:tx>
          <c:spPr>
            <a:gradFill rotWithShape="1">
              <a:gsLst>
                <a:gs pos="0">
                  <a:schemeClr val="accent5">
                    <a:lumMod val="110000"/>
                    <a:satMod val="105000"/>
                    <a:tint val="67000"/>
                  </a:schemeClr>
                </a:gs>
                <a:gs pos="50000">
                  <a:schemeClr val="accent5">
                    <a:lumMod val="105000"/>
                    <a:satMod val="103000"/>
                    <a:tint val="73000"/>
                  </a:schemeClr>
                </a:gs>
                <a:gs pos="100000">
                  <a:schemeClr val="accent5">
                    <a:lumMod val="105000"/>
                    <a:satMod val="109000"/>
                    <a:tint val="81000"/>
                  </a:schemeClr>
                </a:gs>
              </a:gsLst>
              <a:lin ang="5400000" scaled="0"/>
            </a:gradFill>
            <a:ln w="9525" cap="flat" cmpd="sng" algn="ctr">
              <a:solidFill>
                <a:schemeClr val="accent5">
                  <a:shade val="95000"/>
                </a:schemeClr>
              </a:solidFill>
              <a:round/>
            </a:ln>
            <a:effectLst/>
          </c:spPr>
          <c:invertIfNegative val="0"/>
          <c:cat>
            <c:strRef>
              <c:f>ratio!$A$4:$A$8</c:f>
              <c:strCache>
                <c:ptCount val="5"/>
                <c:pt idx="0">
                  <c:v>Gross Profit Margin</c:v>
                </c:pt>
                <c:pt idx="1">
                  <c:v>Operating Margin</c:v>
                </c:pt>
                <c:pt idx="2">
                  <c:v>Net Profit Margin</c:v>
                </c:pt>
                <c:pt idx="3">
                  <c:v>ROA</c:v>
                </c:pt>
                <c:pt idx="4">
                  <c:v>ROE</c:v>
                </c:pt>
              </c:strCache>
            </c:strRef>
          </c:cat>
          <c:val>
            <c:numRef>
              <c:f>ratio!$G$4:$G$8</c:f>
              <c:numCache>
                <c:formatCode>0.00%</c:formatCode>
                <c:ptCount val="5"/>
                <c:pt idx="0">
                  <c:v>0.18371014468849908</c:v>
                </c:pt>
                <c:pt idx="1">
                  <c:v>6.1570876000228335E-2</c:v>
                </c:pt>
                <c:pt idx="2">
                  <c:v>5.5648462497050806E-2</c:v>
                </c:pt>
                <c:pt idx="3">
                  <c:v>2.810063642775719E-2</c:v>
                </c:pt>
                <c:pt idx="4">
                  <c:v>8.119794870335734E-2</c:v>
                </c:pt>
              </c:numCache>
            </c:numRef>
          </c:val>
          <c:extLst>
            <c:ext xmlns:c16="http://schemas.microsoft.com/office/drawing/2014/chart" uri="{C3380CC4-5D6E-409C-BE32-E72D297353CC}">
              <c16:uniqueId val="{00000004-10EB-44F9-A8F7-8E06FF5623DE}"/>
            </c:ext>
          </c:extLst>
        </c:ser>
        <c:dLbls>
          <c:showLegendKey val="0"/>
          <c:showVal val="0"/>
          <c:showCatName val="0"/>
          <c:showSerName val="0"/>
          <c:showPercent val="0"/>
          <c:showBubbleSize val="0"/>
        </c:dLbls>
        <c:gapWidth val="100"/>
        <c:axId val="1240675503"/>
        <c:axId val="1240675983"/>
      </c:barChart>
      <c:catAx>
        <c:axId val="1240675503"/>
        <c:scaling>
          <c:orientation val="minMax"/>
        </c:scaling>
        <c:delete val="0"/>
        <c:axPos val="l"/>
        <c:title>
          <c:tx>
            <c:rich>
              <a:bodyPr rot="-5400000" spcFirstLastPara="1" vertOverflow="ellipsis" vert="horz" wrap="square" anchor="ctr" anchorCtr="1"/>
              <a:lstStyle/>
              <a:p>
                <a:pPr>
                  <a:defRPr sz="900" b="0" i="0" u="none" strike="noStrike" kern="1200" cap="all" baseline="0">
                    <a:solidFill>
                      <a:schemeClr val="tx1">
                        <a:lumMod val="50000"/>
                        <a:lumOff val="50000"/>
                      </a:schemeClr>
                    </a:solidFill>
                    <a:latin typeface="Arial" pitchFamily="34" charset="0" panose="020B0604020202020204"/>
                    <a:ea typeface="+mn-ea"/>
                    <a:cs typeface="Arial" pitchFamily="34" charset="0" panose="020B0604020202020204"/>
                  </a:defRPr>
                </a:pPr>
                <a:r>
                  <a:rPr lang="en-IN"/>
                  <a:t>Ratios</a:t>
                </a:r>
              </a:p>
            </c:rich>
          </c:tx>
          <c:overlay val="0"/>
          <c:spPr>
            <a:noFill/>
            <a:ln>
              <a:noFill/>
            </a:ln>
            <a:effectLst/>
          </c:spPr>
          <c:txPr>
            <a:bodyPr rot="-5400000" spcFirstLastPara="1" vertOverflow="ellipsis" vert="horz" wrap="square" anchor="ctr" anchorCtr="1"/>
            <a:lstStyle/>
            <a:p>
              <a:pPr>
                <a:defRPr sz="900" b="0" i="0" u="none" strike="noStrike" kern="1200" cap="all" baseline="0">
                  <a:solidFill>
                    <a:schemeClr val="tx1">
                      <a:lumMod val="50000"/>
                      <a:lumOff val="50000"/>
                    </a:schemeClr>
                  </a:solidFill>
                  <a:latin typeface="Arial" pitchFamily="34" charset="0" panose="020B0604020202020204"/>
                  <a:ea typeface="+mn-ea"/>
                  <a:cs typeface="Arial" pitchFamily="34" charset="0" panose="020B0604020202020204"/>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Arial" pitchFamily="34" charset="0" panose="020B0604020202020204"/>
                <a:ea typeface="+mn-ea"/>
                <a:cs typeface="Arial" pitchFamily="34" charset="0" panose="020B0604020202020204"/>
              </a:defRPr>
            </a:pPr>
            <a:endParaRPr lang="en-US"/>
          </a:p>
        </c:txPr>
        <c:crossAx val="1240675983"/>
        <c:crosses val="autoZero"/>
        <c:auto val="1"/>
        <c:lblAlgn val="ctr"/>
        <c:lblOffset val="100"/>
        <c:noMultiLvlLbl val="0"/>
      </c:catAx>
      <c:valAx>
        <c:axId val="1240675983"/>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900" b="0" i="0" u="none" strike="noStrike" kern="1200" cap="all" baseline="0">
                    <a:solidFill>
                      <a:schemeClr val="tx1">
                        <a:lumMod val="50000"/>
                        <a:lumOff val="50000"/>
                      </a:schemeClr>
                    </a:solidFill>
                    <a:latin typeface="Arial" pitchFamily="34" charset="0" panose="020B0604020202020204"/>
                    <a:ea typeface="+mn-ea"/>
                    <a:cs typeface="Arial" pitchFamily="34" charset="0" panose="020B0604020202020204"/>
                  </a:defRPr>
                </a:pPr>
                <a:r>
                  <a:rPr lang="en-IN"/>
                  <a:t>Percentage (%)</a:t>
                </a:r>
              </a:p>
            </c:rich>
          </c:tx>
          <c:overlay val="0"/>
          <c:spPr>
            <a:noFill/>
            <a:ln>
              <a:noFill/>
            </a:ln>
            <a:effectLst/>
          </c:spPr>
          <c:txPr>
            <a:bodyPr rot="0" spcFirstLastPara="1" vertOverflow="ellipsis" vert="horz" wrap="square" anchor="ctr" anchorCtr="1"/>
            <a:lstStyle/>
            <a:p>
              <a:pPr>
                <a:defRPr sz="900" b="0" i="0" u="none" strike="noStrike" kern="1200" cap="all" baseline="0">
                  <a:solidFill>
                    <a:schemeClr val="tx1">
                      <a:lumMod val="50000"/>
                      <a:lumOff val="50000"/>
                    </a:schemeClr>
                  </a:solidFill>
                  <a:latin typeface="Arial" pitchFamily="34" charset="0" panose="020B0604020202020204"/>
                  <a:ea typeface="+mn-ea"/>
                  <a:cs typeface="Arial" pitchFamily="34" charset="0" panose="020B0604020202020204"/>
                </a:defRPr>
              </a:pPr>
              <a:endParaRPr lang="en-US"/>
            </a:p>
          </c:tx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Arial" pitchFamily="34" charset="0" panose="020B0604020202020204"/>
                <a:ea typeface="+mn-ea"/>
                <a:cs typeface="Arial" pitchFamily="34" charset="0" panose="020B0604020202020204"/>
              </a:defRPr>
            </a:pPr>
            <a:endParaRPr lang="en-US"/>
          </a:p>
        </c:txPr>
        <c:crossAx val="1240675503"/>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50000"/>
                  <a:lumOff val="50000"/>
                </a:schemeClr>
              </a:solidFill>
              <a:latin typeface="Arial" pitchFamily="34" charset="0" panose="020B0604020202020204"/>
              <a:ea typeface="+mn-ea"/>
              <a:cs typeface="Arial" pitchFamily="34" charset="0" panose="020B0604020202020204"/>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latin typeface="Arial" pitchFamily="34" charset="0" panose="020B0604020202020204"/>
          <a:cs typeface="Arial" pitchFamily="34" charset="0" panose="020B0604020202020204"/>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Arial" pitchFamily="34" charset="0" panose="020B0604020202020204"/>
                <a:ea typeface="+mn-ea"/>
                <a:cs typeface="Arial" pitchFamily="34" charset="0" panose="020B0604020202020204"/>
              </a:defRPr>
            </a:pPr>
            <a:r>
              <a:rPr lang="en-IN"/>
              <a:t>LIQUIDITY RATIOS (2021-2025)</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Arial" pitchFamily="34" charset="0" panose="020B0604020202020204"/>
              <a:ea typeface="+mn-ea"/>
              <a:cs typeface="Arial" pitchFamily="34" charset="0" panose="020B0604020202020204"/>
            </a:defRPr>
          </a:pPr>
          <a:endParaRPr lang="en-US"/>
        </a:p>
      </c:txPr>
    </c:title>
    <c:autoTitleDeleted val="0"/>
    <c:plotArea>
      <c:layout/>
      <c:lineChart>
        <c:grouping val="standard"/>
        <c:varyColors val="0"/>
        <c:ser>
          <c:idx val="0"/>
          <c:order val="0"/>
          <c:tx>
            <c:strRef>
              <c:f>ratio!$A$13</c:f>
              <c:strCache>
                <c:ptCount val="1"/>
                <c:pt idx="0">
                  <c:v>Current Ratio</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dLbls>
            <c:spPr>
              <a:noFill/>
              <a:ln>
                <a:noFill/>
              </a:ln>
              <a:effectLst/>
            </c:spPr>
            <c:txPr>
              <a:bodyPr rot="0" spcFirstLastPara="1" vertOverflow="ellipsis" vert="horz" wrap="square" anchor="ctr" anchorCtr="1"/>
              <a:lstStyle/>
              <a:p>
                <a:pPr>
                  <a:defRPr sz="900" b="0" i="0" u="none" strike="noStrike" kern="1200" baseline="0">
                    <a:solidFill>
                      <a:schemeClr val="tx1">
                        <a:lumMod val="75000"/>
                        <a:lumOff val="25000"/>
                      </a:schemeClr>
                    </a:solidFill>
                    <a:latin typeface="Arial" pitchFamily="34" charset="0" panose="020B0604020202020204"/>
                    <a:ea typeface="+mn-ea"/>
                    <a:cs typeface="Arial" pitchFamily="34" charset="0" panose="020B0604020202020204"/>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ratio!$C$12:$G$12</c:f>
              <c:numCache>
                <c:formatCode>General</c:formatCode>
                <c:ptCount val="5"/>
                <c:pt idx="0">
                  <c:v>2021</c:v>
                </c:pt>
                <c:pt idx="1">
                  <c:v>2022</c:v>
                </c:pt>
                <c:pt idx="2">
                  <c:v>2023</c:v>
                </c:pt>
                <c:pt idx="3">
                  <c:v>2024</c:v>
                </c:pt>
                <c:pt idx="4">
                  <c:v>2025</c:v>
                </c:pt>
              </c:numCache>
            </c:numRef>
          </c:cat>
          <c:val>
            <c:numRef>
              <c:f>ratio!$C$13:$G$13</c:f>
              <c:numCache>
                <c:formatCode>0.00</c:formatCode>
                <c:ptCount val="5"/>
                <c:pt idx="0">
                  <c:v>1.3787328123992253</c:v>
                </c:pt>
                <c:pt idx="1">
                  <c:v>1.2984085908608372</c:v>
                </c:pt>
                <c:pt idx="2">
                  <c:v>1.3866112453183084</c:v>
                </c:pt>
                <c:pt idx="3">
                  <c:v>1.4559779497437815</c:v>
                </c:pt>
                <c:pt idx="4">
                  <c:v>1.3634943675886315</c:v>
                </c:pt>
              </c:numCache>
            </c:numRef>
          </c:val>
          <c:smooth val="0"/>
          <c:extLst>
            <c:ext xmlns:c16="http://schemas.microsoft.com/office/drawing/2014/chart" uri="{C3380CC4-5D6E-409C-BE32-E72D297353CC}">
              <c16:uniqueId val="{00000000-BC4D-4024-8958-D88BD00507A9}"/>
            </c:ext>
          </c:extLst>
        </c:ser>
        <c:ser>
          <c:idx val="1"/>
          <c:order val="1"/>
          <c:tx>
            <c:strRef>
              <c:f>ratio!$A$14</c:f>
              <c:strCache>
                <c:ptCount val="1"/>
                <c:pt idx="0">
                  <c:v>Quick Ratio</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dLbls>
            <c:spPr>
              <a:noFill/>
              <a:ln>
                <a:noFill/>
              </a:ln>
              <a:effectLst/>
            </c:spPr>
            <c:txPr>
              <a:bodyPr rot="0" spcFirstLastPara="1" vertOverflow="ellipsis" vert="horz" wrap="square" anchor="ctr" anchorCtr="1"/>
              <a:lstStyle/>
              <a:p>
                <a:pPr>
                  <a:defRPr sz="900" b="0" i="0" u="none" strike="noStrike" kern="1200" baseline="0">
                    <a:solidFill>
                      <a:schemeClr val="tx1">
                        <a:lumMod val="75000"/>
                        <a:lumOff val="25000"/>
                      </a:schemeClr>
                    </a:solidFill>
                    <a:latin typeface="Arial" pitchFamily="34" charset="0" panose="020B0604020202020204"/>
                    <a:ea typeface="+mn-ea"/>
                    <a:cs typeface="Arial" pitchFamily="34" charset="0" panose="020B0604020202020204"/>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ratio!$C$12:$G$12</c:f>
              <c:numCache>
                <c:formatCode>General</c:formatCode>
                <c:ptCount val="5"/>
                <c:pt idx="0">
                  <c:v>2021</c:v>
                </c:pt>
                <c:pt idx="1">
                  <c:v>2022</c:v>
                </c:pt>
                <c:pt idx="2">
                  <c:v>2023</c:v>
                </c:pt>
                <c:pt idx="3">
                  <c:v>2024</c:v>
                </c:pt>
                <c:pt idx="4">
                  <c:v>2025</c:v>
                </c:pt>
              </c:numCache>
            </c:numRef>
          </c:cat>
          <c:val>
            <c:numRef>
              <c:f>ratio!$C$14:$G$14</c:f>
              <c:numCache>
                <c:formatCode>0.00</c:formatCode>
                <c:ptCount val="5"/>
                <c:pt idx="0">
                  <c:v>1.197440416812877</c:v>
                </c:pt>
                <c:pt idx="1">
                  <c:v>1.1058992269999037</c:v>
                </c:pt>
                <c:pt idx="2">
                  <c:v>1.1494268505361684</c:v>
                </c:pt>
                <c:pt idx="3">
                  <c:v>1.2070646575535497</c:v>
                </c:pt>
                <c:pt idx="4">
                  <c:v>1.130237225879774</c:v>
                </c:pt>
              </c:numCache>
            </c:numRef>
          </c:val>
          <c:smooth val="0"/>
          <c:extLst>
            <c:ext xmlns:c16="http://schemas.microsoft.com/office/drawing/2014/chart" uri="{C3380CC4-5D6E-409C-BE32-E72D297353CC}">
              <c16:uniqueId val="{00000001-BC4D-4024-8958-D88BD00507A9}"/>
            </c:ext>
          </c:extLst>
        </c:ser>
        <c:dLbls>
          <c:dLblPos val="ctr"/>
          <c:showLegendKey val="0"/>
          <c:showVal val="1"/>
          <c:showCatName val="0"/>
          <c:showSerName val="0"/>
          <c:showPercent val="0"/>
          <c:showBubbleSize val="0"/>
        </c:dLbls>
        <c:marker val="1"/>
        <c:smooth val="0"/>
        <c:axId val="1454908479"/>
        <c:axId val="1454914239"/>
      </c:lineChart>
      <c:catAx>
        <c:axId val="1454908479"/>
        <c:scaling>
          <c:orientation val="minMax"/>
        </c:scaling>
        <c:delete val="0"/>
        <c:axPos val="b"/>
        <c:title>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Arial" pitchFamily="34" charset="0" panose="020B0604020202020204"/>
                  <a:ea typeface="+mn-ea"/>
                  <a:cs typeface="Arial" pitchFamily="34" charset="0" panose="020B0604020202020204"/>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Arial" pitchFamily="34" charset="0" panose="020B0604020202020204"/>
                <a:ea typeface="+mn-ea"/>
                <a:cs typeface="Arial" pitchFamily="34" charset="0" panose="020B0604020202020204"/>
              </a:defRPr>
            </a:pPr>
            <a:endParaRPr lang="en-US"/>
          </a:p>
        </c:txPr>
        <c:crossAx val="1454914239"/>
        <c:crosses val="autoZero"/>
        <c:auto val="1"/>
        <c:lblAlgn val="ctr"/>
        <c:lblOffset val="100"/>
        <c:noMultiLvlLbl val="0"/>
      </c:catAx>
      <c:valAx>
        <c:axId val="1454914239"/>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Arial" pitchFamily="34" charset="0" panose="020B0604020202020204"/>
                    <a:ea typeface="+mn-ea"/>
                    <a:cs typeface="Arial" pitchFamily="34" charset="0" panose="020B0604020202020204"/>
                  </a:defRPr>
                </a:pPr>
                <a:r>
                  <a:rPr lang="en-IN"/>
                  <a:t>Ratio (Times)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Arial" pitchFamily="34" charset="0" panose="020B0604020202020204"/>
                  <a:ea typeface="+mn-ea"/>
                  <a:cs typeface="Arial" pitchFamily="34" charset="0" panose="020B0604020202020204"/>
                </a:defRPr>
              </a:pPr>
              <a:endParaRPr lang="en-US"/>
            </a:p>
          </c:tx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Arial" pitchFamily="34" charset="0" panose="020B0604020202020204"/>
                <a:ea typeface="+mn-ea"/>
                <a:cs typeface="Arial" pitchFamily="34" charset="0" panose="020B0604020202020204"/>
              </a:defRPr>
            </a:pPr>
            <a:endParaRPr lang="en-US"/>
          </a:p>
        </c:txPr>
        <c:crossAx val="1454908479"/>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Arial" pitchFamily="34" charset="0" panose="020B0604020202020204"/>
              <a:ea typeface="+mn-ea"/>
              <a:cs typeface="Arial" pitchFamily="34" charset="0" panose="020B0604020202020204"/>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latin typeface="Arial" pitchFamily="34" charset="0" panose="020B0604020202020204"/>
          <a:cs typeface="Arial" pitchFamily="34" charset="0" panose="020B0604020202020204"/>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Arial" pitchFamily="34" charset="0" panose="020B0604020202020204"/>
                <a:ea typeface="+mn-ea"/>
                <a:cs typeface="Arial" pitchFamily="34" charset="0" panose="020B0604020202020204"/>
              </a:defRPr>
            </a:pPr>
            <a:r>
              <a:rPr lang="en-IN"/>
              <a:t>Hyundai Cash Conversion Cycle (2021–2025)</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Arial" pitchFamily="34" charset="0" panose="020B0604020202020204"/>
              <a:ea typeface="+mn-ea"/>
              <a:cs typeface="Arial" pitchFamily="34" charset="0" panose="020B0604020202020204"/>
            </a:defRPr>
          </a:pPr>
          <a:endParaRPr lang="en-US"/>
        </a:p>
      </c:txPr>
    </c:title>
    <c:autoTitleDeleted val="0"/>
    <c:plotArea>
      <c:layout/>
      <c:barChart>
        <c:barDir val="col"/>
        <c:grouping val="clustered"/>
        <c:varyColors val="0"/>
        <c:ser>
          <c:idx val="0"/>
          <c:order val="0"/>
          <c:tx>
            <c:strRef>
              <c:f>ratio!$A$25</c:f>
              <c:strCache>
                <c:ptCount val="1"/>
                <c:pt idx="0">
                  <c:v>Days Inventory Outstanding</c:v>
                </c:pt>
              </c:strCache>
            </c:strRef>
          </c:tx>
          <c:spPr>
            <a:solidFill>
              <a:schemeClr val="accent1"/>
            </a:solidFill>
            <a:ln>
              <a:noFill/>
            </a:ln>
            <a:effectLst/>
          </c:spPr>
          <c:invertIfNegative val="0"/>
          <c:cat>
            <c:numRef>
              <c:f>ratio!$C$24:$G$24</c:f>
              <c:numCache>
                <c:formatCode>General</c:formatCode>
                <c:ptCount val="5"/>
                <c:pt idx="0">
                  <c:v>2021</c:v>
                </c:pt>
                <c:pt idx="1">
                  <c:v>2022</c:v>
                </c:pt>
                <c:pt idx="2">
                  <c:v>2023</c:v>
                </c:pt>
                <c:pt idx="3">
                  <c:v>2024</c:v>
                </c:pt>
                <c:pt idx="4">
                  <c:v>2025</c:v>
                </c:pt>
              </c:numCache>
            </c:numRef>
          </c:cat>
          <c:val>
            <c:numRef>
              <c:f>ratio!$C$25:$G$25</c:f>
              <c:numCache>
                <c:formatCode>0</c:formatCode>
                <c:ptCount val="5"/>
                <c:pt idx="0">
                  <c:v>44.42572267172168</c:v>
                </c:pt>
                <c:pt idx="1">
                  <c:v>45.67303609981318</c:v>
                </c:pt>
                <c:pt idx="2">
                  <c:v>49.16524584305507</c:v>
                </c:pt>
                <c:pt idx="3">
                  <c:v>51.789624120959715</c:v>
                </c:pt>
                <c:pt idx="4">
                  <c:v>49.603109324851644</c:v>
                </c:pt>
              </c:numCache>
            </c:numRef>
          </c:val>
          <c:extLst>
            <c:ext xmlns:c16="http://schemas.microsoft.com/office/drawing/2014/chart" uri="{C3380CC4-5D6E-409C-BE32-E72D297353CC}">
              <c16:uniqueId val="{00000000-D493-4AF0-81C7-812FDC0E1F17}"/>
            </c:ext>
          </c:extLst>
        </c:ser>
        <c:ser>
          <c:idx val="1"/>
          <c:order val="1"/>
          <c:tx>
            <c:strRef>
              <c:f>ratio!$A$26</c:f>
              <c:strCache>
                <c:ptCount val="1"/>
                <c:pt idx="0">
                  <c:v>Days Sales Outstanding</c:v>
                </c:pt>
              </c:strCache>
            </c:strRef>
          </c:tx>
          <c:spPr>
            <a:solidFill>
              <a:schemeClr val="accent2"/>
            </a:solidFill>
            <a:ln>
              <a:noFill/>
            </a:ln>
            <a:effectLst/>
          </c:spPr>
          <c:invertIfNegative val="0"/>
          <c:cat>
            <c:numRef>
              <c:f>ratio!$C$24:$G$24</c:f>
              <c:numCache>
                <c:formatCode>General</c:formatCode>
                <c:ptCount val="5"/>
                <c:pt idx="0">
                  <c:v>2021</c:v>
                </c:pt>
                <c:pt idx="1">
                  <c:v>2022</c:v>
                </c:pt>
                <c:pt idx="2">
                  <c:v>2023</c:v>
                </c:pt>
                <c:pt idx="3">
                  <c:v>2024</c:v>
                </c:pt>
                <c:pt idx="4">
                  <c:v>2025</c:v>
                </c:pt>
              </c:numCache>
            </c:numRef>
          </c:cat>
          <c:val>
            <c:numRef>
              <c:f>ratio!$C$26:$G$26</c:f>
              <c:numCache>
                <c:formatCode>0</c:formatCode>
                <c:ptCount val="5"/>
                <c:pt idx="0">
                  <c:v>9.767510632925294</c:v>
                </c:pt>
                <c:pt idx="1">
                  <c:v>10.958274167865177</c:v>
                </c:pt>
                <c:pt idx="2">
                  <c:v>10.506325020673497</c:v>
                </c:pt>
                <c:pt idx="3">
                  <c:v>12.30630968341571</c:v>
                </c:pt>
                <c:pt idx="4">
                  <c:v>16.8541077231155</c:v>
                </c:pt>
              </c:numCache>
            </c:numRef>
          </c:val>
          <c:extLst>
            <c:ext xmlns:c16="http://schemas.microsoft.com/office/drawing/2014/chart" uri="{C3380CC4-5D6E-409C-BE32-E72D297353CC}">
              <c16:uniqueId val="{00000001-D493-4AF0-81C7-812FDC0E1F17}"/>
            </c:ext>
          </c:extLst>
        </c:ser>
        <c:dLbls>
          <c:showLegendKey val="0"/>
          <c:showVal val="0"/>
          <c:showCatName val="0"/>
          <c:showSerName val="0"/>
          <c:showPercent val="0"/>
          <c:showBubbleSize val="0"/>
        </c:dLbls>
        <c:gapWidth val="219"/>
        <c:overlap val="-27"/>
        <c:axId val="1252870639"/>
        <c:axId val="1252869679"/>
      </c:barChart>
      <c:lineChart>
        <c:grouping val="standard"/>
        <c:varyColors val="0"/>
        <c:ser>
          <c:idx val="2"/>
          <c:order val="2"/>
          <c:tx>
            <c:strRef>
              <c:f>ratio!$A$27</c:f>
              <c:strCache>
                <c:ptCount val="1"/>
                <c:pt idx="0">
                  <c:v>Cash Conversion Cycle</c:v>
                </c:pt>
              </c:strCache>
            </c:strRef>
          </c:tx>
          <c:spPr>
            <a:ln w="28575" cap="rnd">
              <a:solidFill>
                <a:schemeClr val="accent3"/>
              </a:solidFill>
              <a:round/>
            </a:ln>
            <a:effectLst/>
          </c:spPr>
          <c:marker>
            <c:symbol val="none"/>
          </c:marker>
          <c:dPt>
            <c:idx val="1"/>
            <c:marker>
              <c:symbol val="none"/>
            </c:marker>
            <c:bubble3D val="0"/>
            <c:spPr>
              <a:ln w="28575" cap="rnd">
                <a:solidFill>
                  <a:schemeClr val="tx1"/>
                </a:solidFill>
                <a:round/>
              </a:ln>
              <a:effectLst/>
            </c:spPr>
            <c:extLst>
              <c:ext xmlns:c16="http://schemas.microsoft.com/office/drawing/2014/chart" uri="{C3380CC4-5D6E-409C-BE32-E72D297353CC}">
                <c16:uniqueId val="{00000003-D493-4AF0-81C7-812FDC0E1F17}"/>
              </c:ext>
            </c:extLst>
          </c:dPt>
          <c:dPt>
            <c:idx val="2"/>
            <c:marker>
              <c:symbol val="none"/>
            </c:marker>
            <c:bubble3D val="0"/>
            <c:spPr>
              <a:ln w="28575" cap="rnd">
                <a:solidFill>
                  <a:schemeClr val="tx1"/>
                </a:solidFill>
                <a:round/>
              </a:ln>
              <a:effectLst/>
            </c:spPr>
            <c:extLst>
              <c:ext xmlns:c16="http://schemas.microsoft.com/office/drawing/2014/chart" uri="{C3380CC4-5D6E-409C-BE32-E72D297353CC}">
                <c16:uniqueId val="{00000005-D493-4AF0-81C7-812FDC0E1F17}"/>
              </c:ext>
            </c:extLst>
          </c:dPt>
          <c:dPt>
            <c:idx val="3"/>
            <c:marker>
              <c:symbol val="none"/>
            </c:marker>
            <c:bubble3D val="0"/>
            <c:spPr>
              <a:ln w="28575" cap="rnd">
                <a:solidFill>
                  <a:schemeClr val="tx1"/>
                </a:solidFill>
                <a:round/>
              </a:ln>
              <a:effectLst/>
            </c:spPr>
            <c:extLst>
              <c:ext xmlns:c16="http://schemas.microsoft.com/office/drawing/2014/chart" uri="{C3380CC4-5D6E-409C-BE32-E72D297353CC}">
                <c16:uniqueId val="{00000007-D493-4AF0-81C7-812FDC0E1F17}"/>
              </c:ext>
            </c:extLst>
          </c:dPt>
          <c:dPt>
            <c:idx val="4"/>
            <c:marker>
              <c:symbol val="none"/>
            </c:marker>
            <c:bubble3D val="0"/>
            <c:spPr>
              <a:ln w="28575" cap="rnd">
                <a:solidFill>
                  <a:schemeClr val="tx1"/>
                </a:solidFill>
                <a:round/>
              </a:ln>
              <a:effectLst/>
            </c:spPr>
            <c:extLst>
              <c:ext xmlns:c16="http://schemas.microsoft.com/office/drawing/2014/chart" uri="{C3380CC4-5D6E-409C-BE32-E72D297353CC}">
                <c16:uniqueId val="{00000009-D493-4AF0-81C7-812FDC0E1F17}"/>
              </c:ext>
            </c:extLst>
          </c:dPt>
          <c:cat>
            <c:numRef>
              <c:f>ratio!$C$24:$G$24</c:f>
              <c:numCache>
                <c:formatCode>General</c:formatCode>
                <c:ptCount val="5"/>
                <c:pt idx="0">
                  <c:v>2021</c:v>
                </c:pt>
                <c:pt idx="1">
                  <c:v>2022</c:v>
                </c:pt>
                <c:pt idx="2">
                  <c:v>2023</c:v>
                </c:pt>
                <c:pt idx="3">
                  <c:v>2024</c:v>
                </c:pt>
                <c:pt idx="4">
                  <c:v>2025</c:v>
                </c:pt>
              </c:numCache>
            </c:numRef>
          </c:cat>
          <c:val>
            <c:numRef>
              <c:f>ratio!$C$27:$G$27</c:f>
              <c:numCache>
                <c:formatCode>0</c:formatCode>
                <c:ptCount val="5"/>
                <c:pt idx="0">
                  <c:v>54.193233304646974</c:v>
                </c:pt>
                <c:pt idx="1">
                  <c:v>56.63131026767836</c:v>
                </c:pt>
                <c:pt idx="2">
                  <c:v>59.67157086372856</c:v>
                </c:pt>
                <c:pt idx="3">
                  <c:v>64.09593380437542</c:v>
                </c:pt>
                <c:pt idx="4">
                  <c:v>66.45721704796715</c:v>
                </c:pt>
              </c:numCache>
            </c:numRef>
          </c:val>
          <c:smooth val="0"/>
          <c:extLst>
            <c:ext xmlns:c16="http://schemas.microsoft.com/office/drawing/2014/chart" uri="{C3380CC4-5D6E-409C-BE32-E72D297353CC}">
              <c16:uniqueId val="{0000000A-D493-4AF0-81C7-812FDC0E1F17}"/>
            </c:ext>
          </c:extLst>
        </c:ser>
        <c:dLbls>
          <c:showLegendKey val="0"/>
          <c:showVal val="0"/>
          <c:showCatName val="0"/>
          <c:showSerName val="0"/>
          <c:showPercent val="0"/>
          <c:showBubbleSize val="0"/>
        </c:dLbls>
        <c:marker val="1"/>
        <c:smooth val="0"/>
        <c:axId val="1252870639"/>
        <c:axId val="1252869679"/>
      </c:lineChart>
      <c:catAx>
        <c:axId val="125287063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Arial" pitchFamily="34" charset="0" panose="020B0604020202020204"/>
                <a:ea typeface="+mn-ea"/>
                <a:cs typeface="Arial" pitchFamily="34" charset="0" panose="020B0604020202020204"/>
              </a:defRPr>
            </a:pPr>
            <a:endParaRPr lang="en-US"/>
          </a:p>
        </c:txPr>
        <c:crossAx val="1252869679"/>
        <c:crosses val="autoZero"/>
        <c:auto val="1"/>
        <c:lblAlgn val="ctr"/>
        <c:lblOffset val="100"/>
        <c:noMultiLvlLbl val="0"/>
      </c:catAx>
      <c:valAx>
        <c:axId val="1252869679"/>
        <c:scaling>
          <c:orientation val="minMax"/>
          <c:max val="8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Arial" pitchFamily="34" charset="0" panose="020B0604020202020204"/>
                    <a:ea typeface="+mn-ea"/>
                    <a:cs typeface="Arial" pitchFamily="34" charset="0" panose="020B0604020202020204"/>
                  </a:defRPr>
                </a:pPr>
                <a:r>
                  <a:rPr lang="en-IN"/>
                  <a:t>Days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Arial" pitchFamily="34" charset="0" panose="020B0604020202020204"/>
                  <a:ea typeface="+mn-ea"/>
                  <a:cs typeface="Arial" pitchFamily="34" charset="0" panose="020B0604020202020204"/>
                </a:defRPr>
              </a:pPr>
              <a:endParaRPr lang="en-US"/>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Arial" pitchFamily="34" charset="0" panose="020B0604020202020204"/>
                <a:ea typeface="+mn-ea"/>
                <a:cs typeface="Arial" pitchFamily="34" charset="0" panose="020B0604020202020204"/>
              </a:defRPr>
            </a:pPr>
            <a:endParaRPr lang="en-US"/>
          </a:p>
        </c:txPr>
        <c:crossAx val="1252870639"/>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Arial" pitchFamily="34" charset="0" panose="020B0604020202020204"/>
              <a:ea typeface="+mn-ea"/>
              <a:cs typeface="Arial" pitchFamily="34" charset="0" panose="020B0604020202020204"/>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latin typeface="Arial" pitchFamily="34" charset="0" panose="020B0604020202020204"/>
          <a:cs typeface="Arial" pitchFamily="34" charset="0" panose="020B0604020202020204"/>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42">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2.xml><?xml version="1.0" encoding="utf-8"?>
<cs:chartStyle xmlns:cs="http://schemas.microsoft.com/office/drawing/2012/chartStyle" xmlns:a="http://schemas.openxmlformats.org/drawingml/2006/main" id="342">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3.xml><?xml version="1.0" encoding="utf-8"?>
<cs:chartStyle xmlns:cs="http://schemas.microsoft.com/office/drawing/2012/chartStyle" xmlns:a="http://schemas.openxmlformats.org/drawingml/2006/main" id="219">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4"/>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prstDash val="dash"/>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Arab" typeface="Times New Roman"/>
        <a:font script="Armn" typeface="Arial"/>
        <a:font script="Beng" typeface="Vrinda"/>
        <a:font script="Bopo" typeface="Microsoft JhengHei"/>
        <a:font script="Cher" typeface="Plantagenet Cherokee"/>
        <a:font script="Deva" typeface="Mangal"/>
        <a:font script="Ethi" typeface="Nyala"/>
        <a:font script="Geor" typeface="Sylfaen"/>
        <a:font script="Gujr" typeface="Shruti"/>
        <a:font script="Guru" typeface="Raavi"/>
        <a:font script="Hang" typeface="맑은 고딕"/>
        <a:font script="Hebr" typeface="Times New Roman"/>
        <a:font script="Knda" typeface="Tunga"/>
        <a:font script="Khmr" typeface="MoolBoran"/>
        <a:font script="Laoo" typeface="DokChampa"/>
        <a:font script="Mlym" typeface="Kartika"/>
        <a:font script="Mong" typeface="Mongolian Baiti"/>
        <a:font script="Mymr" typeface="Myanmar Text"/>
        <a:font script="Orya" typeface="Kalinga"/>
        <a:font script="Sinh" typeface="Iskoola Pota"/>
        <a:font script="Syrc" typeface="Estrangelo Edessa"/>
        <a:font script="Taml" typeface="Latha"/>
        <a:font script="Telu" typeface="Gautami"/>
        <a:font script="Thaa" typeface="MV Boli"/>
        <a:font script="Thai" typeface="Angsana New"/>
        <a:font script="Tibt" typeface="Microsoft Himalaya"/>
        <a:font script="Cans" typeface="Euphemia"/>
        <a:font script="Yiii" typeface="Microsoft Yi Baiti"/>
        <a:font script="Osma" typeface="Ebrima"/>
        <a:font script="Tale" typeface="Microsoft Tai Le"/>
        <a:font script="Bugi" typeface="Leelawadee UI"/>
        <a:font script="Talu" typeface="Microsoft New Tai Lue"/>
        <a:font script="Tfng" typeface="Ebrima"/>
        <a:font script="Hans" typeface="等线 Light"/>
        <a:font script="Hant" typeface="新細明體"/>
        <a:font script="Java" typeface="Javanese Text"/>
        <a:font script="Nkoo" typeface="Ebrima"/>
        <a:font script="Phag" typeface="Phagspa"/>
        <a:font script="Syre" typeface="Estrangelo Edessa"/>
        <a:font script="Syrj" typeface="Estrangelo Edessa"/>
        <a:font script="Syrn" typeface="Estrangelo Edessa"/>
        <a:font script="Jpan" typeface="游ゴシック Light"/>
        <a:font script="Olck" typeface="Nirmala UI"/>
        <a:font script="Lisu" typeface="Segoe UI"/>
        <a:font script="Sora" typeface="Nirmala UI"/>
      </a:majorFont>
      <a:minorFont>
        <a:latin typeface="Aptos" panose="02110004020202020204"/>
        <a:ea typeface=""/>
        <a:cs typeface=""/>
        <a:font script="Arab" typeface="Arial"/>
        <a:font script="Armn" typeface="Arial"/>
        <a:font script="Beng" typeface="Vrinda"/>
        <a:font script="Bopo" typeface="Microsoft JhengHei"/>
        <a:font script="Cher" typeface="Plantagenet Cherokee"/>
        <a:font script="Deva" typeface="Mangal"/>
        <a:font script="Ethi" typeface="Nyala"/>
        <a:font script="Geor" typeface="Sylfaen"/>
        <a:font script="Gujr" typeface="Shruti"/>
        <a:font script="Guru" typeface="Raavi"/>
        <a:font script="Hang" typeface="맑은 고딕"/>
        <a:font script="Hebr" typeface="Arial"/>
        <a:font script="Knda" typeface="Tunga"/>
        <a:font script="Khmr" typeface="DaunPenh"/>
        <a:font script="Laoo" typeface="DokChampa"/>
        <a:font script="Mlym" typeface="Kartika"/>
        <a:font script="Mong" typeface="Mongolian Baiti"/>
        <a:font script="Mymr" typeface="Myanmar Text"/>
        <a:font script="Orya" typeface="Kalinga"/>
        <a:font script="Sinh" typeface="Iskoola Pota"/>
        <a:font script="Syrc" typeface="Estrangelo Edessa"/>
        <a:font script="Taml" typeface="Latha"/>
        <a:font script="Telu" typeface="Gautami"/>
        <a:font script="Thaa" typeface="MV Boli"/>
        <a:font script="Thai" typeface="Cordia New"/>
        <a:font script="Tibt" typeface="Microsoft Himalaya"/>
        <a:font script="Cans" typeface="Euphemia"/>
        <a:font script="Yiii" typeface="Microsoft Yi Baiti"/>
        <a:font script="Osma" typeface="Ebrima"/>
        <a:font script="Tale" typeface="Microsoft Tai Le"/>
        <a:font script="Bugi" typeface="Leelawadee UI"/>
        <a:font script="Talu" typeface="Microsoft New Tai Lue"/>
        <a:font script="Tfng" typeface="Ebrima"/>
        <a:font script="Hans" typeface="等线"/>
        <a:font script="Hant" typeface="新細明體"/>
        <a:font script="Java" typeface="Javanese Text"/>
        <a:font script="Nkoo" typeface="Ebrima"/>
        <a:font script="Phag" typeface="Phagspa"/>
        <a:font script="Syre" typeface="Estrangelo Edessa"/>
        <a:font script="Syrj" typeface="Estrangelo Edessa"/>
        <a:font script="Syrn" typeface="Estrangelo Edessa"/>
        <a:font script="Jpan" typeface="游ゴシック"/>
        <a:font script="Olck" typeface="Nirmala UI"/>
        <a:font script="Lisu" typeface="Segoe UI"/>
        <a:font script="Sora" typeface="Nirmala UI"/>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9BC9D8-69D4-44E7-B1C2-D0850C706C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26</Pages>
  <Words>7303</Words>
  <Characters>41630</Characters>
  <DocSecurity>0</DocSecurity>
  <Lines>346</Lines>
  <Paragraphs>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Raj Patel</dc:creator>
  <cp:lastModifiedBy>Raj Patel</cp:lastModifiedBy>
</cp:coreProperties>
</file>