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7A5F9" w14:textId="086FAD04" w:rsidR="007A157E" w:rsidRPr="008F1F0A" w:rsidRDefault="007A157E" w:rsidP="008F1F0A">
      <w:pPr>
        <w:pStyle w:val="Default"/>
        <w:jc w:val="center"/>
        <w:rPr>
          <w:sz w:val="36"/>
          <w:szCs w:val="36"/>
        </w:rPr>
      </w:pPr>
      <w:r w:rsidRPr="008F1F0A">
        <w:rPr>
          <w:b/>
          <w:bCs/>
          <w:sz w:val="36"/>
          <w:szCs w:val="36"/>
        </w:rPr>
        <w:t>BA International Hotel Management</w:t>
      </w:r>
    </w:p>
    <w:p w14:paraId="6B4391C8" w14:textId="3F4D184B" w:rsidR="007A157E" w:rsidRPr="008F1F0A" w:rsidRDefault="007A157E" w:rsidP="008F1F0A">
      <w:pPr>
        <w:pStyle w:val="Default"/>
        <w:jc w:val="center"/>
        <w:rPr>
          <w:b/>
          <w:bCs/>
          <w:sz w:val="36"/>
          <w:szCs w:val="36"/>
        </w:rPr>
      </w:pPr>
      <w:r w:rsidRPr="008F1F0A">
        <w:rPr>
          <w:b/>
          <w:bCs/>
          <w:sz w:val="36"/>
          <w:szCs w:val="36"/>
        </w:rPr>
        <w:t>BMIH5007 Financial Management for the Hotel Industry</w:t>
      </w:r>
    </w:p>
    <w:p w14:paraId="350BB700" w14:textId="48A7B7FD" w:rsidR="007A157E" w:rsidRPr="008F1F0A" w:rsidRDefault="007A157E" w:rsidP="008F1F0A">
      <w:pPr>
        <w:pStyle w:val="Default"/>
        <w:jc w:val="center"/>
        <w:rPr>
          <w:sz w:val="36"/>
          <w:szCs w:val="36"/>
        </w:rPr>
      </w:pPr>
      <w:r w:rsidRPr="008F1F0A">
        <w:rPr>
          <w:b/>
          <w:bCs/>
          <w:sz w:val="36"/>
          <w:szCs w:val="36"/>
        </w:rPr>
        <w:t>Business Report - Comparison of Corinthia Hotels and Ibis Hotels</w:t>
      </w:r>
    </w:p>
    <w:p w14:paraId="6F9EE048" w14:textId="77777777" w:rsidR="007A157E" w:rsidRDefault="007A157E" w:rsidP="007A157E">
      <w:pPr>
        <w:pStyle w:val="Default"/>
        <w:rPr>
          <w:sz w:val="22"/>
          <w:szCs w:val="22"/>
        </w:rPr>
      </w:pPr>
    </w:p>
    <w:p w14:paraId="7A351C9B" w14:textId="77777777" w:rsidR="007A157E" w:rsidRDefault="007A157E" w:rsidP="007A157E">
      <w:pPr>
        <w:pStyle w:val="Default"/>
        <w:rPr>
          <w:sz w:val="22"/>
          <w:szCs w:val="22"/>
        </w:rPr>
      </w:pPr>
    </w:p>
    <w:p w14:paraId="66CB6FBF" w14:textId="77777777" w:rsidR="007A157E" w:rsidRDefault="007A157E" w:rsidP="007A157E">
      <w:pPr>
        <w:pStyle w:val="Default"/>
        <w:rPr>
          <w:sz w:val="22"/>
          <w:szCs w:val="22"/>
        </w:rPr>
      </w:pPr>
    </w:p>
    <w:p w14:paraId="5C0299A0" w14:textId="77777777" w:rsidR="007A157E" w:rsidRDefault="007A157E" w:rsidP="007A157E">
      <w:pPr>
        <w:pStyle w:val="Default"/>
        <w:rPr>
          <w:sz w:val="22"/>
          <w:szCs w:val="22"/>
        </w:rPr>
      </w:pPr>
    </w:p>
    <w:p w14:paraId="3FCC72ED" w14:textId="77777777" w:rsidR="007A157E" w:rsidRDefault="007A157E" w:rsidP="007A157E">
      <w:pPr>
        <w:pStyle w:val="Default"/>
        <w:rPr>
          <w:sz w:val="22"/>
          <w:szCs w:val="22"/>
        </w:rPr>
      </w:pPr>
    </w:p>
    <w:p w14:paraId="40E980B8" w14:textId="77777777" w:rsidR="007A157E" w:rsidRDefault="007A157E" w:rsidP="007A157E">
      <w:pPr>
        <w:pStyle w:val="Default"/>
        <w:rPr>
          <w:sz w:val="22"/>
          <w:szCs w:val="22"/>
        </w:rPr>
      </w:pPr>
    </w:p>
    <w:p w14:paraId="5438014C" w14:textId="50123E03" w:rsidR="007A157E" w:rsidRDefault="008F1F0A" w:rsidP="007A157E">
      <w:pPr>
        <w:pStyle w:val="Default"/>
        <w:rPr>
          <w:sz w:val="22"/>
          <w:szCs w:val="22"/>
        </w:rPr>
      </w:pPr>
      <w:r>
        <w:rPr>
          <w:sz w:val="22"/>
          <w:szCs w:val="22"/>
        </w:rPr>
        <w:t>Word count: 2,1</w:t>
      </w:r>
      <w:r w:rsidR="00E01645">
        <w:rPr>
          <w:sz w:val="22"/>
          <w:szCs w:val="22"/>
        </w:rPr>
        <w:t>62</w:t>
      </w:r>
    </w:p>
    <w:p w14:paraId="7998FE1D" w14:textId="10D62A5D" w:rsidR="00BA1C45" w:rsidRDefault="00BA1C45" w:rsidP="007A157E">
      <w:pPr>
        <w:pStyle w:val="Default"/>
        <w:rPr>
          <w:sz w:val="22"/>
          <w:szCs w:val="22"/>
        </w:rPr>
      </w:pPr>
      <w:r>
        <w:rPr>
          <w:sz w:val="22"/>
          <w:szCs w:val="22"/>
        </w:rPr>
        <w:t>Student : Roxana-Maria Burlacu (2014302)</w:t>
      </w:r>
    </w:p>
    <w:p w14:paraId="0D4DF332" w14:textId="4BA7D4DD" w:rsidR="00C67524" w:rsidRDefault="00C67524" w:rsidP="007A157E">
      <w:pPr>
        <w:pStyle w:val="Default"/>
        <w:rPr>
          <w:sz w:val="22"/>
          <w:szCs w:val="22"/>
        </w:rPr>
      </w:pPr>
      <w:r>
        <w:rPr>
          <w:sz w:val="22"/>
          <w:szCs w:val="22"/>
        </w:rPr>
        <w:t>Module : Financial Management for the Hotel Industry (BMIH5007</w:t>
      </w:r>
      <w:r w:rsidR="00FA58E3">
        <w:rPr>
          <w:sz w:val="22"/>
          <w:szCs w:val="22"/>
        </w:rPr>
        <w:t>)</w:t>
      </w:r>
    </w:p>
    <w:p w14:paraId="14723DC1" w14:textId="3B038B45" w:rsidR="00BA1C45" w:rsidRDefault="00BA1C45" w:rsidP="007A157E">
      <w:pPr>
        <w:pStyle w:val="Default"/>
        <w:rPr>
          <w:sz w:val="22"/>
          <w:szCs w:val="22"/>
        </w:rPr>
      </w:pPr>
      <w:r>
        <w:rPr>
          <w:sz w:val="22"/>
          <w:szCs w:val="22"/>
        </w:rPr>
        <w:t>Lecturer : Tristan Hawkins</w:t>
      </w:r>
    </w:p>
    <w:p w14:paraId="2045A8AA" w14:textId="77777777" w:rsidR="00476AAA" w:rsidRDefault="00476AAA" w:rsidP="007A157E">
      <w:pPr>
        <w:pStyle w:val="Default"/>
        <w:rPr>
          <w:sz w:val="22"/>
          <w:szCs w:val="22"/>
        </w:rPr>
      </w:pPr>
    </w:p>
    <w:p w14:paraId="4199CB18" w14:textId="77777777" w:rsidR="00476AAA" w:rsidRDefault="00476AAA" w:rsidP="007A157E">
      <w:pPr>
        <w:pStyle w:val="Default"/>
        <w:rPr>
          <w:sz w:val="22"/>
          <w:szCs w:val="22"/>
        </w:rPr>
      </w:pPr>
    </w:p>
    <w:p w14:paraId="6253B05F" w14:textId="77777777" w:rsidR="00476AAA" w:rsidRDefault="00476AAA" w:rsidP="007A157E">
      <w:pPr>
        <w:pStyle w:val="Default"/>
        <w:rPr>
          <w:sz w:val="22"/>
          <w:szCs w:val="22"/>
        </w:rPr>
      </w:pPr>
    </w:p>
    <w:p w14:paraId="4672D583" w14:textId="77777777" w:rsidR="00476AAA" w:rsidRDefault="00476AAA" w:rsidP="007A157E">
      <w:pPr>
        <w:pStyle w:val="Default"/>
        <w:rPr>
          <w:sz w:val="22"/>
          <w:szCs w:val="22"/>
        </w:rPr>
      </w:pPr>
    </w:p>
    <w:p w14:paraId="4C48461B" w14:textId="77777777" w:rsidR="00476AAA" w:rsidRDefault="00476AAA" w:rsidP="007A157E">
      <w:pPr>
        <w:pStyle w:val="Default"/>
        <w:rPr>
          <w:sz w:val="22"/>
          <w:szCs w:val="22"/>
        </w:rPr>
      </w:pPr>
    </w:p>
    <w:p w14:paraId="6B5DC85D" w14:textId="77777777" w:rsidR="00476AAA" w:rsidRDefault="00476AAA" w:rsidP="007A157E">
      <w:pPr>
        <w:pStyle w:val="Default"/>
        <w:rPr>
          <w:sz w:val="22"/>
          <w:szCs w:val="22"/>
        </w:rPr>
      </w:pPr>
    </w:p>
    <w:p w14:paraId="336F45DD" w14:textId="77777777" w:rsidR="00476AAA" w:rsidRDefault="00476AAA" w:rsidP="007A157E">
      <w:pPr>
        <w:pStyle w:val="Default"/>
        <w:rPr>
          <w:sz w:val="22"/>
          <w:szCs w:val="22"/>
        </w:rPr>
      </w:pPr>
    </w:p>
    <w:p w14:paraId="506D0799" w14:textId="77777777" w:rsidR="00476AAA" w:rsidRDefault="00476AAA" w:rsidP="007A157E">
      <w:pPr>
        <w:pStyle w:val="Default"/>
        <w:rPr>
          <w:sz w:val="22"/>
          <w:szCs w:val="22"/>
        </w:rPr>
      </w:pPr>
    </w:p>
    <w:p w14:paraId="25AD90EA" w14:textId="77777777" w:rsidR="00476AAA" w:rsidRDefault="00476AAA" w:rsidP="007A157E">
      <w:pPr>
        <w:pStyle w:val="Default"/>
        <w:rPr>
          <w:sz w:val="22"/>
          <w:szCs w:val="22"/>
        </w:rPr>
      </w:pPr>
    </w:p>
    <w:p w14:paraId="3D6F4778" w14:textId="77777777" w:rsidR="00476AAA" w:rsidRDefault="00476AAA" w:rsidP="007A157E">
      <w:pPr>
        <w:pStyle w:val="Default"/>
        <w:rPr>
          <w:sz w:val="22"/>
          <w:szCs w:val="22"/>
        </w:rPr>
      </w:pPr>
    </w:p>
    <w:p w14:paraId="6568179E" w14:textId="77777777" w:rsidR="00476AAA" w:rsidRDefault="00476AAA" w:rsidP="007A157E">
      <w:pPr>
        <w:pStyle w:val="Default"/>
        <w:rPr>
          <w:sz w:val="22"/>
          <w:szCs w:val="22"/>
        </w:rPr>
      </w:pPr>
    </w:p>
    <w:p w14:paraId="041A0FD6" w14:textId="77777777" w:rsidR="00476AAA" w:rsidRDefault="00476AAA" w:rsidP="007A157E">
      <w:pPr>
        <w:pStyle w:val="Default"/>
        <w:rPr>
          <w:sz w:val="22"/>
          <w:szCs w:val="22"/>
        </w:rPr>
      </w:pPr>
    </w:p>
    <w:p w14:paraId="460E4ECB" w14:textId="77777777" w:rsidR="00476AAA" w:rsidRDefault="00476AAA" w:rsidP="007A157E">
      <w:pPr>
        <w:pStyle w:val="Default"/>
        <w:rPr>
          <w:sz w:val="22"/>
          <w:szCs w:val="22"/>
        </w:rPr>
      </w:pPr>
    </w:p>
    <w:p w14:paraId="26CE337B" w14:textId="77777777" w:rsidR="00476AAA" w:rsidRDefault="00476AAA" w:rsidP="007A157E">
      <w:pPr>
        <w:pStyle w:val="Default"/>
        <w:rPr>
          <w:sz w:val="22"/>
          <w:szCs w:val="22"/>
        </w:rPr>
      </w:pPr>
    </w:p>
    <w:p w14:paraId="56098F69" w14:textId="77777777" w:rsidR="00476AAA" w:rsidRDefault="00476AAA" w:rsidP="007A157E">
      <w:pPr>
        <w:pStyle w:val="Default"/>
        <w:rPr>
          <w:sz w:val="22"/>
          <w:szCs w:val="22"/>
        </w:rPr>
      </w:pPr>
    </w:p>
    <w:p w14:paraId="7F260475" w14:textId="77777777" w:rsidR="00476AAA" w:rsidRDefault="00476AAA" w:rsidP="007A157E">
      <w:pPr>
        <w:pStyle w:val="Default"/>
        <w:rPr>
          <w:sz w:val="22"/>
          <w:szCs w:val="22"/>
        </w:rPr>
      </w:pPr>
    </w:p>
    <w:p w14:paraId="5F423D3E" w14:textId="77777777" w:rsidR="00476AAA" w:rsidRDefault="00476AAA" w:rsidP="007A157E">
      <w:pPr>
        <w:pStyle w:val="Default"/>
        <w:rPr>
          <w:sz w:val="22"/>
          <w:szCs w:val="22"/>
        </w:rPr>
      </w:pPr>
    </w:p>
    <w:p w14:paraId="70497D4D" w14:textId="77777777" w:rsidR="00476AAA" w:rsidRDefault="00476AAA" w:rsidP="007A157E">
      <w:pPr>
        <w:pStyle w:val="Default"/>
        <w:rPr>
          <w:sz w:val="22"/>
          <w:szCs w:val="22"/>
        </w:rPr>
      </w:pPr>
    </w:p>
    <w:p w14:paraId="41BB8208" w14:textId="77777777" w:rsidR="00476AAA" w:rsidRDefault="00476AAA" w:rsidP="007A157E">
      <w:pPr>
        <w:pStyle w:val="Default"/>
        <w:rPr>
          <w:sz w:val="22"/>
          <w:szCs w:val="22"/>
        </w:rPr>
      </w:pPr>
    </w:p>
    <w:p w14:paraId="0D4A8A0E" w14:textId="77777777" w:rsidR="00476AAA" w:rsidRDefault="00476AAA" w:rsidP="007A157E">
      <w:pPr>
        <w:pStyle w:val="Default"/>
        <w:rPr>
          <w:sz w:val="22"/>
          <w:szCs w:val="22"/>
        </w:rPr>
      </w:pPr>
    </w:p>
    <w:p w14:paraId="0FE23419" w14:textId="77777777" w:rsidR="00476AAA" w:rsidRDefault="00476AAA" w:rsidP="007A157E">
      <w:pPr>
        <w:pStyle w:val="Default"/>
        <w:rPr>
          <w:sz w:val="22"/>
          <w:szCs w:val="22"/>
        </w:rPr>
      </w:pPr>
    </w:p>
    <w:p w14:paraId="288A60A7" w14:textId="77777777" w:rsidR="00476AAA" w:rsidRDefault="00476AAA" w:rsidP="007A157E">
      <w:pPr>
        <w:pStyle w:val="Default"/>
        <w:rPr>
          <w:sz w:val="22"/>
          <w:szCs w:val="22"/>
        </w:rPr>
      </w:pPr>
    </w:p>
    <w:p w14:paraId="3440918E" w14:textId="77777777" w:rsidR="00476AAA" w:rsidRDefault="00476AAA" w:rsidP="007A157E">
      <w:pPr>
        <w:pStyle w:val="Default"/>
        <w:rPr>
          <w:sz w:val="22"/>
          <w:szCs w:val="22"/>
        </w:rPr>
      </w:pPr>
    </w:p>
    <w:p w14:paraId="675346D6" w14:textId="77777777" w:rsidR="00476AAA" w:rsidRDefault="00476AAA" w:rsidP="007A157E">
      <w:pPr>
        <w:pStyle w:val="Default"/>
        <w:rPr>
          <w:sz w:val="22"/>
          <w:szCs w:val="22"/>
        </w:rPr>
      </w:pPr>
    </w:p>
    <w:p w14:paraId="7FCA3CB9" w14:textId="77777777" w:rsidR="00476AAA" w:rsidRDefault="00476AAA" w:rsidP="007A157E">
      <w:pPr>
        <w:pStyle w:val="Default"/>
        <w:rPr>
          <w:sz w:val="22"/>
          <w:szCs w:val="22"/>
        </w:rPr>
      </w:pPr>
    </w:p>
    <w:p w14:paraId="6925D073" w14:textId="77777777" w:rsidR="00476AAA" w:rsidRDefault="00476AAA" w:rsidP="007A157E">
      <w:pPr>
        <w:pStyle w:val="Default"/>
        <w:rPr>
          <w:sz w:val="22"/>
          <w:szCs w:val="22"/>
        </w:rPr>
      </w:pPr>
    </w:p>
    <w:p w14:paraId="199AE018" w14:textId="77777777" w:rsidR="00476AAA" w:rsidRDefault="00476AAA" w:rsidP="007A157E">
      <w:pPr>
        <w:pStyle w:val="Default"/>
        <w:rPr>
          <w:sz w:val="22"/>
          <w:szCs w:val="22"/>
        </w:rPr>
      </w:pPr>
    </w:p>
    <w:p w14:paraId="6E0822E9" w14:textId="77777777" w:rsidR="00476AAA" w:rsidRDefault="00476AAA" w:rsidP="007A157E">
      <w:pPr>
        <w:pStyle w:val="Default"/>
        <w:rPr>
          <w:sz w:val="22"/>
          <w:szCs w:val="22"/>
        </w:rPr>
      </w:pPr>
    </w:p>
    <w:p w14:paraId="595E46B7" w14:textId="77777777" w:rsidR="00476AAA" w:rsidRDefault="00476AAA" w:rsidP="007A157E">
      <w:pPr>
        <w:pStyle w:val="Default"/>
        <w:rPr>
          <w:sz w:val="22"/>
          <w:szCs w:val="22"/>
        </w:rPr>
      </w:pPr>
    </w:p>
    <w:p w14:paraId="759FF39E" w14:textId="77777777" w:rsidR="00476AAA" w:rsidRDefault="00476AAA" w:rsidP="007A157E">
      <w:pPr>
        <w:pStyle w:val="Default"/>
        <w:rPr>
          <w:sz w:val="22"/>
          <w:szCs w:val="22"/>
        </w:rPr>
      </w:pPr>
    </w:p>
    <w:p w14:paraId="24AC05F1" w14:textId="77777777" w:rsidR="00476AAA" w:rsidRDefault="00476AAA" w:rsidP="007A157E">
      <w:pPr>
        <w:pStyle w:val="Default"/>
        <w:rPr>
          <w:sz w:val="22"/>
          <w:szCs w:val="22"/>
        </w:rPr>
      </w:pPr>
    </w:p>
    <w:p w14:paraId="4384B634" w14:textId="77777777" w:rsidR="00476AAA" w:rsidRDefault="00476AAA" w:rsidP="007A157E">
      <w:pPr>
        <w:pStyle w:val="Default"/>
        <w:rPr>
          <w:sz w:val="22"/>
          <w:szCs w:val="22"/>
        </w:rPr>
      </w:pPr>
    </w:p>
    <w:p w14:paraId="481022EF" w14:textId="77777777" w:rsidR="00476AAA" w:rsidRDefault="00476AAA" w:rsidP="007A157E">
      <w:pPr>
        <w:pStyle w:val="Default"/>
        <w:rPr>
          <w:sz w:val="22"/>
          <w:szCs w:val="22"/>
        </w:rPr>
      </w:pPr>
    </w:p>
    <w:p w14:paraId="13082616" w14:textId="77777777" w:rsidR="00476AAA" w:rsidRDefault="00476AAA" w:rsidP="007A157E">
      <w:pPr>
        <w:pStyle w:val="Default"/>
        <w:rPr>
          <w:sz w:val="22"/>
          <w:szCs w:val="22"/>
        </w:rPr>
      </w:pPr>
    </w:p>
    <w:p w14:paraId="1EDA8AAA" w14:textId="77777777" w:rsidR="00476AAA" w:rsidRDefault="00476AAA" w:rsidP="007A157E">
      <w:pPr>
        <w:pStyle w:val="Default"/>
        <w:rPr>
          <w:sz w:val="22"/>
          <w:szCs w:val="22"/>
        </w:rPr>
      </w:pPr>
    </w:p>
    <w:p w14:paraId="2DC9580D" w14:textId="77777777" w:rsidR="00476AAA" w:rsidRDefault="00476AAA" w:rsidP="007A157E">
      <w:pPr>
        <w:pStyle w:val="Default"/>
        <w:rPr>
          <w:sz w:val="22"/>
          <w:szCs w:val="22"/>
        </w:rPr>
      </w:pPr>
    </w:p>
    <w:p w14:paraId="616E6A47" w14:textId="77777777" w:rsidR="00476AAA" w:rsidRDefault="00476AAA" w:rsidP="007A157E">
      <w:pPr>
        <w:pStyle w:val="Default"/>
        <w:rPr>
          <w:sz w:val="22"/>
          <w:szCs w:val="22"/>
        </w:rPr>
      </w:pPr>
    </w:p>
    <w:p w14:paraId="0C3118DE" w14:textId="77777777" w:rsidR="00476AAA" w:rsidRDefault="00476AAA" w:rsidP="007A157E">
      <w:pPr>
        <w:pStyle w:val="Default"/>
        <w:rPr>
          <w:sz w:val="22"/>
          <w:szCs w:val="22"/>
        </w:rPr>
      </w:pPr>
    </w:p>
    <w:p w14:paraId="07FDC01C" w14:textId="77777777" w:rsidR="00476AAA" w:rsidRDefault="00476AAA" w:rsidP="007A157E">
      <w:pPr>
        <w:pStyle w:val="Default"/>
        <w:rPr>
          <w:sz w:val="22"/>
          <w:szCs w:val="22"/>
        </w:rPr>
      </w:pPr>
    </w:p>
    <w:p w14:paraId="4F70A0E8" w14:textId="294F513B" w:rsidR="00476AAA" w:rsidRDefault="00476AAA" w:rsidP="00476AAA">
      <w:pPr>
        <w:pStyle w:val="Heading1"/>
      </w:pPr>
      <w:bookmarkStart w:id="0" w:name="_Toc157176139"/>
      <w:r>
        <w:t>Executive Summary</w:t>
      </w:r>
      <w:bookmarkEnd w:id="0"/>
    </w:p>
    <w:p w14:paraId="43F4FC58" w14:textId="77777777" w:rsidR="007A157E" w:rsidRDefault="007A157E" w:rsidP="007A157E">
      <w:pPr>
        <w:pStyle w:val="Default"/>
        <w:rPr>
          <w:sz w:val="22"/>
          <w:szCs w:val="22"/>
        </w:rPr>
      </w:pPr>
    </w:p>
    <w:p w14:paraId="10B89CB7" w14:textId="77777777" w:rsidR="007A157E" w:rsidRDefault="007A157E" w:rsidP="007A157E">
      <w:pPr>
        <w:pStyle w:val="Default"/>
        <w:rPr>
          <w:sz w:val="22"/>
          <w:szCs w:val="22"/>
        </w:rPr>
      </w:pPr>
    </w:p>
    <w:p w14:paraId="4846FBBA" w14:textId="77777777" w:rsidR="00E01645" w:rsidRPr="00E01645" w:rsidRDefault="00E01645" w:rsidP="00E01645">
      <w:pPr>
        <w:pStyle w:val="Default"/>
        <w:rPr>
          <w:rFonts w:cstheme="minorBidi"/>
          <w:color w:val="auto"/>
          <w:kern w:val="2"/>
        </w:rPr>
      </w:pPr>
      <w:r w:rsidRPr="00E01645">
        <w:rPr>
          <w:rFonts w:cstheme="minorBidi"/>
          <w:color w:val="auto"/>
          <w:kern w:val="2"/>
        </w:rPr>
        <w:t>The report conducts a critical assessment and comparison between the approaches to financial management (FM) of two leading brands in the hospitality business, Corinthia Hotels and Ibis Hotels, by assessing their FM strategies and practices and considering key areas that influence their financial performance and sustainability.</w:t>
      </w:r>
    </w:p>
    <w:p w14:paraId="6633E2A3" w14:textId="77777777" w:rsidR="00E01645" w:rsidRPr="00E01645" w:rsidRDefault="00E01645" w:rsidP="00E01645">
      <w:pPr>
        <w:pStyle w:val="Default"/>
        <w:rPr>
          <w:rFonts w:cstheme="minorBidi"/>
          <w:color w:val="auto"/>
          <w:kern w:val="2"/>
        </w:rPr>
      </w:pPr>
    </w:p>
    <w:p w14:paraId="6F8A7FC6" w14:textId="77777777" w:rsidR="00E01645" w:rsidRPr="00E01645" w:rsidRDefault="00E01645" w:rsidP="00E01645">
      <w:pPr>
        <w:pStyle w:val="Default"/>
        <w:rPr>
          <w:rFonts w:cstheme="minorBidi"/>
          <w:color w:val="auto"/>
          <w:kern w:val="2"/>
        </w:rPr>
      </w:pPr>
      <w:r w:rsidRPr="00E01645">
        <w:rPr>
          <w:rFonts w:cstheme="minorBidi"/>
          <w:color w:val="auto"/>
          <w:kern w:val="2"/>
        </w:rPr>
        <w:t>The investigation found significant similarities and differences regarding total revenue, market positioning, growth potential, and financial commitment to corporate social responsibility.</w:t>
      </w:r>
    </w:p>
    <w:p w14:paraId="2F54B2BC" w14:textId="77777777" w:rsidR="00E01645" w:rsidRPr="00E01645" w:rsidRDefault="00E01645" w:rsidP="00E01645">
      <w:pPr>
        <w:pStyle w:val="Default"/>
        <w:rPr>
          <w:rFonts w:cstheme="minorBidi"/>
          <w:color w:val="auto"/>
          <w:kern w:val="2"/>
        </w:rPr>
      </w:pPr>
    </w:p>
    <w:p w14:paraId="5F59AE09" w14:textId="77777777" w:rsidR="00E01645" w:rsidRPr="00E01645" w:rsidRDefault="00E01645" w:rsidP="00E01645">
      <w:pPr>
        <w:pStyle w:val="Default"/>
        <w:rPr>
          <w:rFonts w:cstheme="minorBidi"/>
          <w:color w:val="auto"/>
          <w:kern w:val="2"/>
        </w:rPr>
      </w:pPr>
      <w:r w:rsidRPr="00E01645">
        <w:rPr>
          <w:rFonts w:cstheme="minorBidi"/>
          <w:color w:val="auto"/>
          <w:kern w:val="2"/>
        </w:rPr>
        <w:t>Ibis Hotels is recommended to continue to expand their international network to address the increasing demand and also by innovating, using digital technologies, and corporate responsibility based on triple bottom line. Enhancing the sustainability of operations with ambitious goals that can be achieved involving employees, guests, partners, and local communities, based on sustainable food and buildings.</w:t>
      </w:r>
    </w:p>
    <w:p w14:paraId="0E768403" w14:textId="77777777" w:rsidR="00E01645" w:rsidRPr="00E01645" w:rsidRDefault="00E01645" w:rsidP="00E01645">
      <w:pPr>
        <w:pStyle w:val="Default"/>
        <w:rPr>
          <w:rFonts w:cstheme="minorBidi"/>
          <w:color w:val="auto"/>
          <w:kern w:val="2"/>
        </w:rPr>
      </w:pPr>
    </w:p>
    <w:p w14:paraId="1C3D3498" w14:textId="73B31A6A" w:rsidR="00AB6C63" w:rsidRDefault="00E01645" w:rsidP="00E01645">
      <w:pPr>
        <w:pStyle w:val="Default"/>
        <w:rPr>
          <w:sz w:val="22"/>
          <w:szCs w:val="22"/>
        </w:rPr>
      </w:pPr>
      <w:r w:rsidRPr="00E01645">
        <w:rPr>
          <w:rFonts w:cstheme="minorBidi"/>
          <w:color w:val="auto"/>
          <w:kern w:val="2"/>
        </w:rPr>
        <w:t>Corinthia Hotels is recommended to continue to seize opportunities, such as partnerships with like-minded parties in key locations in Europe, the USA, and the Middle East. Moreover, the company should increase the sustainability of its operations according to the UN Sustainability Goals by investing in more CSR programmes based on the triple bottom line.</w:t>
      </w:r>
    </w:p>
    <w:p w14:paraId="4CEC8BFE" w14:textId="77777777" w:rsidR="007A157E" w:rsidRDefault="007A157E" w:rsidP="007A157E">
      <w:pPr>
        <w:pStyle w:val="Default"/>
        <w:rPr>
          <w:sz w:val="22"/>
          <w:szCs w:val="22"/>
        </w:rPr>
      </w:pPr>
    </w:p>
    <w:p w14:paraId="4B28323D" w14:textId="77777777" w:rsidR="007A157E" w:rsidRDefault="007A157E" w:rsidP="007A157E">
      <w:pPr>
        <w:pStyle w:val="Default"/>
        <w:rPr>
          <w:sz w:val="22"/>
          <w:szCs w:val="22"/>
        </w:rPr>
      </w:pPr>
    </w:p>
    <w:p w14:paraId="32CA1E96" w14:textId="77777777" w:rsidR="007A157E" w:rsidRDefault="007A157E" w:rsidP="007A157E">
      <w:pPr>
        <w:pStyle w:val="Default"/>
        <w:rPr>
          <w:sz w:val="22"/>
          <w:szCs w:val="22"/>
        </w:rPr>
      </w:pPr>
    </w:p>
    <w:p w14:paraId="30A61BE5" w14:textId="77777777" w:rsidR="007A157E" w:rsidRDefault="007A157E" w:rsidP="007A157E">
      <w:pPr>
        <w:pStyle w:val="Default"/>
        <w:rPr>
          <w:sz w:val="22"/>
          <w:szCs w:val="22"/>
        </w:rPr>
      </w:pPr>
    </w:p>
    <w:p w14:paraId="759F0E8F" w14:textId="77777777" w:rsidR="007A157E" w:rsidRDefault="007A157E" w:rsidP="007A157E">
      <w:pPr>
        <w:pStyle w:val="Default"/>
        <w:rPr>
          <w:sz w:val="22"/>
          <w:szCs w:val="22"/>
        </w:rPr>
      </w:pPr>
    </w:p>
    <w:p w14:paraId="4843CA67" w14:textId="77777777" w:rsidR="007A157E" w:rsidRDefault="007A157E" w:rsidP="007A157E">
      <w:pPr>
        <w:pStyle w:val="Default"/>
        <w:rPr>
          <w:sz w:val="22"/>
          <w:szCs w:val="22"/>
        </w:rPr>
      </w:pPr>
    </w:p>
    <w:p w14:paraId="2746CC60" w14:textId="77777777" w:rsidR="007A157E" w:rsidRDefault="007A157E" w:rsidP="007A157E">
      <w:pPr>
        <w:pStyle w:val="Default"/>
        <w:rPr>
          <w:sz w:val="22"/>
          <w:szCs w:val="22"/>
        </w:rPr>
      </w:pPr>
    </w:p>
    <w:p w14:paraId="4913F09B" w14:textId="77777777" w:rsidR="007A157E" w:rsidRDefault="007A157E" w:rsidP="007A157E">
      <w:pPr>
        <w:pStyle w:val="Default"/>
        <w:rPr>
          <w:sz w:val="22"/>
          <w:szCs w:val="22"/>
        </w:rPr>
      </w:pPr>
    </w:p>
    <w:p w14:paraId="7E1C5385" w14:textId="77777777" w:rsidR="007A157E" w:rsidRDefault="007A157E" w:rsidP="007A157E">
      <w:pPr>
        <w:pStyle w:val="Default"/>
        <w:rPr>
          <w:sz w:val="22"/>
          <w:szCs w:val="22"/>
        </w:rPr>
      </w:pPr>
    </w:p>
    <w:p w14:paraId="34A758CA" w14:textId="77777777" w:rsidR="007A157E" w:rsidRDefault="007A157E" w:rsidP="007A157E">
      <w:pPr>
        <w:pStyle w:val="Default"/>
        <w:rPr>
          <w:sz w:val="22"/>
          <w:szCs w:val="22"/>
        </w:rPr>
      </w:pPr>
    </w:p>
    <w:p w14:paraId="67A80610" w14:textId="77777777" w:rsidR="007A157E" w:rsidRDefault="007A157E" w:rsidP="007A157E">
      <w:pPr>
        <w:pStyle w:val="Default"/>
        <w:rPr>
          <w:sz w:val="22"/>
          <w:szCs w:val="22"/>
        </w:rPr>
      </w:pPr>
    </w:p>
    <w:p w14:paraId="20CE1E84" w14:textId="77777777" w:rsidR="007A157E" w:rsidRDefault="007A157E" w:rsidP="007A157E">
      <w:pPr>
        <w:pStyle w:val="Default"/>
        <w:rPr>
          <w:sz w:val="22"/>
          <w:szCs w:val="22"/>
        </w:rPr>
      </w:pPr>
    </w:p>
    <w:p w14:paraId="1C96F78D" w14:textId="77777777" w:rsidR="007A157E" w:rsidRDefault="007A157E" w:rsidP="007A157E">
      <w:pPr>
        <w:pStyle w:val="Default"/>
        <w:rPr>
          <w:sz w:val="22"/>
          <w:szCs w:val="22"/>
        </w:rPr>
      </w:pPr>
    </w:p>
    <w:p w14:paraId="2EFFD2D8" w14:textId="77777777" w:rsidR="007A157E" w:rsidRDefault="007A157E" w:rsidP="007A157E">
      <w:pPr>
        <w:pStyle w:val="Default"/>
        <w:rPr>
          <w:sz w:val="22"/>
          <w:szCs w:val="22"/>
        </w:rPr>
      </w:pPr>
    </w:p>
    <w:p w14:paraId="20212BE3" w14:textId="77777777" w:rsidR="007A157E" w:rsidRDefault="007A157E" w:rsidP="007A157E">
      <w:pPr>
        <w:pStyle w:val="Default"/>
        <w:rPr>
          <w:sz w:val="22"/>
          <w:szCs w:val="22"/>
        </w:rPr>
      </w:pPr>
    </w:p>
    <w:p w14:paraId="38D1EE0E" w14:textId="77777777" w:rsidR="007A157E" w:rsidRDefault="007A157E" w:rsidP="007A157E">
      <w:pPr>
        <w:pStyle w:val="Default"/>
        <w:rPr>
          <w:sz w:val="22"/>
          <w:szCs w:val="22"/>
        </w:rPr>
      </w:pPr>
    </w:p>
    <w:p w14:paraId="53A6B72C" w14:textId="77777777" w:rsidR="007A157E" w:rsidRDefault="007A157E" w:rsidP="007A157E">
      <w:pPr>
        <w:pStyle w:val="Default"/>
        <w:rPr>
          <w:sz w:val="22"/>
          <w:szCs w:val="22"/>
        </w:rPr>
      </w:pPr>
    </w:p>
    <w:p w14:paraId="22F16A92" w14:textId="77777777" w:rsidR="007A157E" w:rsidRDefault="007A157E" w:rsidP="007A157E">
      <w:pPr>
        <w:pStyle w:val="Default"/>
        <w:rPr>
          <w:sz w:val="22"/>
          <w:szCs w:val="22"/>
        </w:rPr>
      </w:pPr>
    </w:p>
    <w:p w14:paraId="5EEE78A4" w14:textId="77777777" w:rsidR="007A157E" w:rsidRDefault="007A157E" w:rsidP="007A157E">
      <w:pPr>
        <w:pStyle w:val="Default"/>
        <w:rPr>
          <w:sz w:val="22"/>
          <w:szCs w:val="22"/>
        </w:rPr>
      </w:pPr>
    </w:p>
    <w:p w14:paraId="29975EED" w14:textId="77777777" w:rsidR="007A157E" w:rsidRDefault="007A157E" w:rsidP="007A157E">
      <w:pPr>
        <w:pStyle w:val="Default"/>
        <w:rPr>
          <w:sz w:val="22"/>
          <w:szCs w:val="22"/>
        </w:rPr>
      </w:pPr>
    </w:p>
    <w:p w14:paraId="3367E484" w14:textId="77777777" w:rsidR="007A157E" w:rsidRDefault="007A157E" w:rsidP="007A157E">
      <w:pPr>
        <w:pStyle w:val="Default"/>
        <w:rPr>
          <w:sz w:val="22"/>
          <w:szCs w:val="22"/>
        </w:rPr>
      </w:pPr>
    </w:p>
    <w:p w14:paraId="78FD07FC" w14:textId="77777777" w:rsidR="007A157E" w:rsidRDefault="007A157E" w:rsidP="007A157E">
      <w:pPr>
        <w:pStyle w:val="Default"/>
        <w:rPr>
          <w:sz w:val="22"/>
          <w:szCs w:val="22"/>
        </w:rPr>
      </w:pPr>
    </w:p>
    <w:p w14:paraId="0B05F1A4" w14:textId="77777777" w:rsidR="007A157E" w:rsidRDefault="007A157E" w:rsidP="007A157E">
      <w:pPr>
        <w:pStyle w:val="Default"/>
        <w:rPr>
          <w:sz w:val="22"/>
          <w:szCs w:val="22"/>
        </w:rPr>
      </w:pPr>
    </w:p>
    <w:p w14:paraId="577928C0" w14:textId="77777777" w:rsidR="007A157E" w:rsidRDefault="007A157E" w:rsidP="007A157E">
      <w:pPr>
        <w:pStyle w:val="Default"/>
        <w:rPr>
          <w:sz w:val="22"/>
          <w:szCs w:val="22"/>
        </w:rPr>
      </w:pPr>
    </w:p>
    <w:p w14:paraId="22DD36FE" w14:textId="77777777" w:rsidR="007A157E" w:rsidRDefault="007A157E" w:rsidP="007A157E">
      <w:pPr>
        <w:pStyle w:val="Default"/>
        <w:rPr>
          <w:sz w:val="22"/>
          <w:szCs w:val="22"/>
        </w:rPr>
      </w:pPr>
    </w:p>
    <w:p w14:paraId="7FF755F8" w14:textId="77777777" w:rsidR="007A157E" w:rsidRDefault="007A157E" w:rsidP="007A157E">
      <w:pPr>
        <w:pStyle w:val="Default"/>
        <w:rPr>
          <w:sz w:val="22"/>
          <w:szCs w:val="22"/>
        </w:rPr>
      </w:pPr>
    </w:p>
    <w:p w14:paraId="6E1861FD" w14:textId="77777777" w:rsidR="007A157E" w:rsidRDefault="007A157E" w:rsidP="007A157E">
      <w:pPr>
        <w:pStyle w:val="Default"/>
        <w:rPr>
          <w:sz w:val="22"/>
          <w:szCs w:val="22"/>
        </w:rPr>
      </w:pPr>
    </w:p>
    <w:p w14:paraId="5A91BAC4" w14:textId="77777777" w:rsidR="007A157E" w:rsidRDefault="007A157E" w:rsidP="007A157E">
      <w:pPr>
        <w:pStyle w:val="Default"/>
        <w:rPr>
          <w:sz w:val="22"/>
          <w:szCs w:val="22"/>
        </w:rPr>
      </w:pPr>
    </w:p>
    <w:p w14:paraId="3A162E73" w14:textId="77777777" w:rsidR="007A157E" w:rsidRDefault="007A157E" w:rsidP="007A157E">
      <w:pPr>
        <w:pStyle w:val="Default"/>
        <w:rPr>
          <w:sz w:val="22"/>
          <w:szCs w:val="22"/>
        </w:rPr>
      </w:pPr>
    </w:p>
    <w:sdt>
      <w:sdtPr>
        <w:rPr>
          <w:rFonts w:eastAsiaTheme="minorHAnsi" w:cstheme="minorBidi"/>
          <w:color w:val="auto"/>
          <w:sz w:val="24"/>
          <w:szCs w:val="24"/>
        </w:rPr>
        <w:id w:val="1092812612"/>
        <w:docPartObj>
          <w:docPartGallery w:val="Table of Contents"/>
          <w:docPartUnique/>
        </w:docPartObj>
      </w:sdtPr>
      <w:sdtEndPr>
        <w:rPr>
          <w:b/>
          <w:bCs/>
          <w:noProof/>
        </w:rPr>
      </w:sdtEndPr>
      <w:sdtContent>
        <w:p w14:paraId="569FC9C9" w14:textId="7491B30A" w:rsidR="001B56BB" w:rsidRDefault="001B56BB">
          <w:pPr>
            <w:pStyle w:val="TOCHeading"/>
          </w:pPr>
          <w:r>
            <w:t>Table of Contents</w:t>
          </w:r>
        </w:p>
        <w:p w14:paraId="3E6A8E92" w14:textId="55C69BB2" w:rsidR="00E530BF" w:rsidRDefault="001B56BB">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57176139" w:history="1">
            <w:r w:rsidR="00E530BF" w:rsidRPr="00A506B1">
              <w:rPr>
                <w:rStyle w:val="Hyperlink"/>
                <w:noProof/>
              </w:rPr>
              <w:t>Executive Summary</w:t>
            </w:r>
            <w:r w:rsidR="00E530BF">
              <w:rPr>
                <w:noProof/>
                <w:webHidden/>
              </w:rPr>
              <w:tab/>
            </w:r>
            <w:r w:rsidR="00E530BF">
              <w:rPr>
                <w:noProof/>
                <w:webHidden/>
              </w:rPr>
              <w:fldChar w:fldCharType="begin"/>
            </w:r>
            <w:r w:rsidR="00E530BF">
              <w:rPr>
                <w:noProof/>
                <w:webHidden/>
              </w:rPr>
              <w:instrText xml:space="preserve"> PAGEREF _Toc157176139 \h </w:instrText>
            </w:r>
            <w:r w:rsidR="00E530BF">
              <w:rPr>
                <w:noProof/>
                <w:webHidden/>
              </w:rPr>
            </w:r>
            <w:r w:rsidR="00E530BF">
              <w:rPr>
                <w:noProof/>
                <w:webHidden/>
              </w:rPr>
              <w:fldChar w:fldCharType="separate"/>
            </w:r>
            <w:r w:rsidR="00E530BF">
              <w:rPr>
                <w:noProof/>
                <w:webHidden/>
              </w:rPr>
              <w:t>2</w:t>
            </w:r>
            <w:r w:rsidR="00E530BF">
              <w:rPr>
                <w:noProof/>
                <w:webHidden/>
              </w:rPr>
              <w:fldChar w:fldCharType="end"/>
            </w:r>
          </w:hyperlink>
        </w:p>
        <w:p w14:paraId="18EC3DB3" w14:textId="0AF285B4" w:rsidR="00E530BF" w:rsidRDefault="00FA58E3">
          <w:pPr>
            <w:pStyle w:val="TOC1"/>
            <w:tabs>
              <w:tab w:val="left" w:pos="480"/>
              <w:tab w:val="right" w:leader="dot" w:pos="9016"/>
            </w:tabs>
            <w:rPr>
              <w:rFonts w:asciiTheme="minorHAnsi" w:eastAsiaTheme="minorEastAsia" w:hAnsiTheme="minorHAnsi"/>
              <w:noProof/>
              <w:lang w:eastAsia="en-GB"/>
            </w:rPr>
          </w:pPr>
          <w:hyperlink w:anchor="_Toc157176140" w:history="1">
            <w:r w:rsidR="00E530BF" w:rsidRPr="00A506B1">
              <w:rPr>
                <w:rStyle w:val="Hyperlink"/>
                <w:noProof/>
              </w:rPr>
              <w:t>1.</w:t>
            </w:r>
            <w:r w:rsidR="00E530BF">
              <w:rPr>
                <w:rFonts w:asciiTheme="minorHAnsi" w:eastAsiaTheme="minorEastAsia" w:hAnsiTheme="minorHAnsi"/>
                <w:noProof/>
                <w:lang w:eastAsia="en-GB"/>
              </w:rPr>
              <w:tab/>
            </w:r>
            <w:r w:rsidR="00E530BF" w:rsidRPr="00A506B1">
              <w:rPr>
                <w:rStyle w:val="Hyperlink"/>
                <w:noProof/>
              </w:rPr>
              <w:t>Introduction</w:t>
            </w:r>
            <w:r w:rsidR="00E530BF">
              <w:rPr>
                <w:noProof/>
                <w:webHidden/>
              </w:rPr>
              <w:tab/>
            </w:r>
            <w:r w:rsidR="00E530BF">
              <w:rPr>
                <w:noProof/>
                <w:webHidden/>
              </w:rPr>
              <w:fldChar w:fldCharType="begin"/>
            </w:r>
            <w:r w:rsidR="00E530BF">
              <w:rPr>
                <w:noProof/>
                <w:webHidden/>
              </w:rPr>
              <w:instrText xml:space="preserve"> PAGEREF _Toc157176140 \h </w:instrText>
            </w:r>
            <w:r w:rsidR="00E530BF">
              <w:rPr>
                <w:noProof/>
                <w:webHidden/>
              </w:rPr>
            </w:r>
            <w:r w:rsidR="00E530BF">
              <w:rPr>
                <w:noProof/>
                <w:webHidden/>
              </w:rPr>
              <w:fldChar w:fldCharType="separate"/>
            </w:r>
            <w:r w:rsidR="00E530BF">
              <w:rPr>
                <w:noProof/>
                <w:webHidden/>
              </w:rPr>
              <w:t>4</w:t>
            </w:r>
            <w:r w:rsidR="00E530BF">
              <w:rPr>
                <w:noProof/>
                <w:webHidden/>
              </w:rPr>
              <w:fldChar w:fldCharType="end"/>
            </w:r>
          </w:hyperlink>
        </w:p>
        <w:p w14:paraId="3A07BA85" w14:textId="58AF02AE" w:rsidR="00E530BF" w:rsidRDefault="00FA58E3">
          <w:pPr>
            <w:pStyle w:val="TOC1"/>
            <w:tabs>
              <w:tab w:val="left" w:pos="480"/>
              <w:tab w:val="right" w:leader="dot" w:pos="9016"/>
            </w:tabs>
            <w:rPr>
              <w:rFonts w:asciiTheme="minorHAnsi" w:eastAsiaTheme="minorEastAsia" w:hAnsiTheme="minorHAnsi"/>
              <w:noProof/>
              <w:lang w:eastAsia="en-GB"/>
            </w:rPr>
          </w:pPr>
          <w:hyperlink w:anchor="_Toc157176141" w:history="1">
            <w:r w:rsidR="00E530BF" w:rsidRPr="00A506B1">
              <w:rPr>
                <w:rStyle w:val="Hyperlink"/>
                <w:noProof/>
              </w:rPr>
              <w:t>2.</w:t>
            </w:r>
            <w:r w:rsidR="00E530BF">
              <w:rPr>
                <w:rFonts w:asciiTheme="minorHAnsi" w:eastAsiaTheme="minorEastAsia" w:hAnsiTheme="minorHAnsi"/>
                <w:noProof/>
                <w:lang w:eastAsia="en-GB"/>
              </w:rPr>
              <w:tab/>
            </w:r>
            <w:r w:rsidR="00E530BF" w:rsidRPr="00A506B1">
              <w:rPr>
                <w:rStyle w:val="Hyperlink"/>
                <w:noProof/>
                <w:shd w:val="clear" w:color="auto" w:fill="F8F8F7"/>
              </w:rPr>
              <w:t>Total Revenue</w:t>
            </w:r>
            <w:r w:rsidR="00E530BF">
              <w:rPr>
                <w:noProof/>
                <w:webHidden/>
              </w:rPr>
              <w:tab/>
            </w:r>
            <w:r w:rsidR="00E530BF">
              <w:rPr>
                <w:noProof/>
                <w:webHidden/>
              </w:rPr>
              <w:fldChar w:fldCharType="begin"/>
            </w:r>
            <w:r w:rsidR="00E530BF">
              <w:rPr>
                <w:noProof/>
                <w:webHidden/>
              </w:rPr>
              <w:instrText xml:space="preserve"> PAGEREF _Toc157176141 \h </w:instrText>
            </w:r>
            <w:r w:rsidR="00E530BF">
              <w:rPr>
                <w:noProof/>
                <w:webHidden/>
              </w:rPr>
            </w:r>
            <w:r w:rsidR="00E530BF">
              <w:rPr>
                <w:noProof/>
                <w:webHidden/>
              </w:rPr>
              <w:fldChar w:fldCharType="separate"/>
            </w:r>
            <w:r w:rsidR="00E530BF">
              <w:rPr>
                <w:noProof/>
                <w:webHidden/>
              </w:rPr>
              <w:t>4</w:t>
            </w:r>
            <w:r w:rsidR="00E530BF">
              <w:rPr>
                <w:noProof/>
                <w:webHidden/>
              </w:rPr>
              <w:fldChar w:fldCharType="end"/>
            </w:r>
          </w:hyperlink>
        </w:p>
        <w:p w14:paraId="558B4686" w14:textId="44756089" w:rsidR="00E530BF" w:rsidRDefault="00FA58E3">
          <w:pPr>
            <w:pStyle w:val="TOC1"/>
            <w:tabs>
              <w:tab w:val="left" w:pos="480"/>
              <w:tab w:val="right" w:leader="dot" w:pos="9016"/>
            </w:tabs>
            <w:rPr>
              <w:rFonts w:asciiTheme="minorHAnsi" w:eastAsiaTheme="minorEastAsia" w:hAnsiTheme="minorHAnsi"/>
              <w:noProof/>
              <w:lang w:eastAsia="en-GB"/>
            </w:rPr>
          </w:pPr>
          <w:hyperlink w:anchor="_Toc157176142" w:history="1">
            <w:r w:rsidR="00E530BF" w:rsidRPr="00A506B1">
              <w:rPr>
                <w:rStyle w:val="Hyperlink"/>
                <w:noProof/>
              </w:rPr>
              <w:t>3.</w:t>
            </w:r>
            <w:r w:rsidR="00E530BF">
              <w:rPr>
                <w:rFonts w:asciiTheme="minorHAnsi" w:eastAsiaTheme="minorEastAsia" w:hAnsiTheme="minorHAnsi"/>
                <w:noProof/>
                <w:lang w:eastAsia="en-GB"/>
              </w:rPr>
              <w:tab/>
            </w:r>
            <w:r w:rsidR="00E530BF" w:rsidRPr="00A506B1">
              <w:rPr>
                <w:rStyle w:val="Hyperlink"/>
                <w:noProof/>
              </w:rPr>
              <w:t>Market Position</w:t>
            </w:r>
            <w:r w:rsidR="00E530BF">
              <w:rPr>
                <w:noProof/>
                <w:webHidden/>
              </w:rPr>
              <w:tab/>
            </w:r>
            <w:r w:rsidR="00E530BF">
              <w:rPr>
                <w:noProof/>
                <w:webHidden/>
              </w:rPr>
              <w:fldChar w:fldCharType="begin"/>
            </w:r>
            <w:r w:rsidR="00E530BF">
              <w:rPr>
                <w:noProof/>
                <w:webHidden/>
              </w:rPr>
              <w:instrText xml:space="preserve"> PAGEREF _Toc157176142 \h </w:instrText>
            </w:r>
            <w:r w:rsidR="00E530BF">
              <w:rPr>
                <w:noProof/>
                <w:webHidden/>
              </w:rPr>
            </w:r>
            <w:r w:rsidR="00E530BF">
              <w:rPr>
                <w:noProof/>
                <w:webHidden/>
              </w:rPr>
              <w:fldChar w:fldCharType="separate"/>
            </w:r>
            <w:r w:rsidR="00E530BF">
              <w:rPr>
                <w:noProof/>
                <w:webHidden/>
              </w:rPr>
              <w:t>6</w:t>
            </w:r>
            <w:r w:rsidR="00E530BF">
              <w:rPr>
                <w:noProof/>
                <w:webHidden/>
              </w:rPr>
              <w:fldChar w:fldCharType="end"/>
            </w:r>
          </w:hyperlink>
        </w:p>
        <w:p w14:paraId="5B1D6416" w14:textId="51077692"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43" w:history="1">
            <w:r w:rsidR="00E530BF" w:rsidRPr="00A506B1">
              <w:rPr>
                <w:rStyle w:val="Hyperlink"/>
                <w:noProof/>
              </w:rPr>
              <w:t>3.1.</w:t>
            </w:r>
            <w:r w:rsidR="00E530BF">
              <w:rPr>
                <w:rFonts w:asciiTheme="minorHAnsi" w:eastAsiaTheme="minorEastAsia" w:hAnsiTheme="minorHAnsi"/>
                <w:noProof/>
                <w:lang w:eastAsia="en-GB"/>
              </w:rPr>
              <w:tab/>
            </w:r>
            <w:r w:rsidR="00E530BF" w:rsidRPr="00A506B1">
              <w:rPr>
                <w:rStyle w:val="Hyperlink"/>
                <w:noProof/>
              </w:rPr>
              <w:t>Market share</w:t>
            </w:r>
            <w:r w:rsidR="00E530BF">
              <w:rPr>
                <w:noProof/>
                <w:webHidden/>
              </w:rPr>
              <w:tab/>
            </w:r>
            <w:r w:rsidR="00E530BF">
              <w:rPr>
                <w:noProof/>
                <w:webHidden/>
              </w:rPr>
              <w:fldChar w:fldCharType="begin"/>
            </w:r>
            <w:r w:rsidR="00E530BF">
              <w:rPr>
                <w:noProof/>
                <w:webHidden/>
              </w:rPr>
              <w:instrText xml:space="preserve"> PAGEREF _Toc157176143 \h </w:instrText>
            </w:r>
            <w:r w:rsidR="00E530BF">
              <w:rPr>
                <w:noProof/>
                <w:webHidden/>
              </w:rPr>
            </w:r>
            <w:r w:rsidR="00E530BF">
              <w:rPr>
                <w:noProof/>
                <w:webHidden/>
              </w:rPr>
              <w:fldChar w:fldCharType="separate"/>
            </w:r>
            <w:r w:rsidR="00E530BF">
              <w:rPr>
                <w:noProof/>
                <w:webHidden/>
              </w:rPr>
              <w:t>7</w:t>
            </w:r>
            <w:r w:rsidR="00E530BF">
              <w:rPr>
                <w:noProof/>
                <w:webHidden/>
              </w:rPr>
              <w:fldChar w:fldCharType="end"/>
            </w:r>
          </w:hyperlink>
        </w:p>
        <w:p w14:paraId="11957EEE" w14:textId="0AC8B27C"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44" w:history="1">
            <w:r w:rsidR="00E530BF" w:rsidRPr="00A506B1">
              <w:rPr>
                <w:rStyle w:val="Hyperlink"/>
                <w:noProof/>
              </w:rPr>
              <w:t>3.2.</w:t>
            </w:r>
            <w:r w:rsidR="00E530BF">
              <w:rPr>
                <w:rFonts w:asciiTheme="minorHAnsi" w:eastAsiaTheme="minorEastAsia" w:hAnsiTheme="minorHAnsi"/>
                <w:noProof/>
                <w:lang w:eastAsia="en-GB"/>
              </w:rPr>
              <w:tab/>
            </w:r>
            <w:r w:rsidR="00E530BF" w:rsidRPr="00A506B1">
              <w:rPr>
                <w:rStyle w:val="Hyperlink"/>
                <w:noProof/>
              </w:rPr>
              <w:t>Customer demographics</w:t>
            </w:r>
            <w:r w:rsidR="00E530BF">
              <w:rPr>
                <w:noProof/>
                <w:webHidden/>
              </w:rPr>
              <w:tab/>
            </w:r>
            <w:r w:rsidR="00E530BF">
              <w:rPr>
                <w:noProof/>
                <w:webHidden/>
              </w:rPr>
              <w:fldChar w:fldCharType="begin"/>
            </w:r>
            <w:r w:rsidR="00E530BF">
              <w:rPr>
                <w:noProof/>
                <w:webHidden/>
              </w:rPr>
              <w:instrText xml:space="preserve"> PAGEREF _Toc157176144 \h </w:instrText>
            </w:r>
            <w:r w:rsidR="00E530BF">
              <w:rPr>
                <w:noProof/>
                <w:webHidden/>
              </w:rPr>
            </w:r>
            <w:r w:rsidR="00E530BF">
              <w:rPr>
                <w:noProof/>
                <w:webHidden/>
              </w:rPr>
              <w:fldChar w:fldCharType="separate"/>
            </w:r>
            <w:r w:rsidR="00E530BF">
              <w:rPr>
                <w:noProof/>
                <w:webHidden/>
              </w:rPr>
              <w:t>7</w:t>
            </w:r>
            <w:r w:rsidR="00E530BF">
              <w:rPr>
                <w:noProof/>
                <w:webHidden/>
              </w:rPr>
              <w:fldChar w:fldCharType="end"/>
            </w:r>
          </w:hyperlink>
        </w:p>
        <w:p w14:paraId="2F332942" w14:textId="232A38B9"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45" w:history="1">
            <w:r w:rsidR="00E530BF" w:rsidRPr="00A506B1">
              <w:rPr>
                <w:rStyle w:val="Hyperlink"/>
                <w:noProof/>
              </w:rPr>
              <w:t>3.3.</w:t>
            </w:r>
            <w:r w:rsidR="00E530BF">
              <w:rPr>
                <w:rFonts w:asciiTheme="minorHAnsi" w:eastAsiaTheme="minorEastAsia" w:hAnsiTheme="minorHAnsi"/>
                <w:noProof/>
                <w:lang w:eastAsia="en-GB"/>
              </w:rPr>
              <w:tab/>
            </w:r>
            <w:r w:rsidR="00E530BF" w:rsidRPr="00A506B1">
              <w:rPr>
                <w:rStyle w:val="Hyperlink"/>
                <w:noProof/>
              </w:rPr>
              <w:t>Brand perception</w:t>
            </w:r>
            <w:r w:rsidR="00E530BF">
              <w:rPr>
                <w:noProof/>
                <w:webHidden/>
              </w:rPr>
              <w:tab/>
            </w:r>
            <w:r w:rsidR="00E530BF">
              <w:rPr>
                <w:noProof/>
                <w:webHidden/>
              </w:rPr>
              <w:fldChar w:fldCharType="begin"/>
            </w:r>
            <w:r w:rsidR="00E530BF">
              <w:rPr>
                <w:noProof/>
                <w:webHidden/>
              </w:rPr>
              <w:instrText xml:space="preserve"> PAGEREF _Toc157176145 \h </w:instrText>
            </w:r>
            <w:r w:rsidR="00E530BF">
              <w:rPr>
                <w:noProof/>
                <w:webHidden/>
              </w:rPr>
            </w:r>
            <w:r w:rsidR="00E530BF">
              <w:rPr>
                <w:noProof/>
                <w:webHidden/>
              </w:rPr>
              <w:fldChar w:fldCharType="separate"/>
            </w:r>
            <w:r w:rsidR="00E530BF">
              <w:rPr>
                <w:noProof/>
                <w:webHidden/>
              </w:rPr>
              <w:t>8</w:t>
            </w:r>
            <w:r w:rsidR="00E530BF">
              <w:rPr>
                <w:noProof/>
                <w:webHidden/>
              </w:rPr>
              <w:fldChar w:fldCharType="end"/>
            </w:r>
          </w:hyperlink>
        </w:p>
        <w:p w14:paraId="58C296AD" w14:textId="04533D74" w:rsidR="00E530BF" w:rsidRDefault="00FA58E3">
          <w:pPr>
            <w:pStyle w:val="TOC1"/>
            <w:tabs>
              <w:tab w:val="left" w:pos="480"/>
              <w:tab w:val="right" w:leader="dot" w:pos="9016"/>
            </w:tabs>
            <w:rPr>
              <w:rFonts w:asciiTheme="minorHAnsi" w:eastAsiaTheme="minorEastAsia" w:hAnsiTheme="minorHAnsi"/>
              <w:noProof/>
              <w:lang w:eastAsia="en-GB"/>
            </w:rPr>
          </w:pPr>
          <w:hyperlink w:anchor="_Toc157176146" w:history="1">
            <w:r w:rsidR="00E530BF" w:rsidRPr="00A506B1">
              <w:rPr>
                <w:rStyle w:val="Hyperlink"/>
                <w:noProof/>
              </w:rPr>
              <w:t>4.</w:t>
            </w:r>
            <w:r w:rsidR="00E530BF">
              <w:rPr>
                <w:rFonts w:asciiTheme="minorHAnsi" w:eastAsiaTheme="minorEastAsia" w:hAnsiTheme="minorHAnsi"/>
                <w:noProof/>
                <w:lang w:eastAsia="en-GB"/>
              </w:rPr>
              <w:tab/>
            </w:r>
            <w:r w:rsidR="00E530BF" w:rsidRPr="00A506B1">
              <w:rPr>
                <w:rStyle w:val="Hyperlink"/>
                <w:noProof/>
              </w:rPr>
              <w:t>Growth Potential</w:t>
            </w:r>
            <w:r w:rsidR="00E530BF">
              <w:rPr>
                <w:noProof/>
                <w:webHidden/>
              </w:rPr>
              <w:tab/>
            </w:r>
            <w:r w:rsidR="00E530BF">
              <w:rPr>
                <w:noProof/>
                <w:webHidden/>
              </w:rPr>
              <w:fldChar w:fldCharType="begin"/>
            </w:r>
            <w:r w:rsidR="00E530BF">
              <w:rPr>
                <w:noProof/>
                <w:webHidden/>
              </w:rPr>
              <w:instrText xml:space="preserve"> PAGEREF _Toc157176146 \h </w:instrText>
            </w:r>
            <w:r w:rsidR="00E530BF">
              <w:rPr>
                <w:noProof/>
                <w:webHidden/>
              </w:rPr>
            </w:r>
            <w:r w:rsidR="00E530BF">
              <w:rPr>
                <w:noProof/>
                <w:webHidden/>
              </w:rPr>
              <w:fldChar w:fldCharType="separate"/>
            </w:r>
            <w:r w:rsidR="00E530BF">
              <w:rPr>
                <w:noProof/>
                <w:webHidden/>
              </w:rPr>
              <w:t>8</w:t>
            </w:r>
            <w:r w:rsidR="00E530BF">
              <w:rPr>
                <w:noProof/>
                <w:webHidden/>
              </w:rPr>
              <w:fldChar w:fldCharType="end"/>
            </w:r>
          </w:hyperlink>
        </w:p>
        <w:p w14:paraId="3C1B528D" w14:textId="618270AB"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47" w:history="1">
            <w:r w:rsidR="00E530BF" w:rsidRPr="00A506B1">
              <w:rPr>
                <w:rStyle w:val="Hyperlink"/>
                <w:noProof/>
              </w:rPr>
              <w:t>4.1.</w:t>
            </w:r>
            <w:r w:rsidR="00E530BF">
              <w:rPr>
                <w:rFonts w:asciiTheme="minorHAnsi" w:eastAsiaTheme="minorEastAsia" w:hAnsiTheme="minorHAnsi"/>
                <w:noProof/>
                <w:lang w:eastAsia="en-GB"/>
              </w:rPr>
              <w:tab/>
            </w:r>
            <w:r w:rsidR="00E530BF" w:rsidRPr="00A506B1">
              <w:rPr>
                <w:rStyle w:val="Hyperlink"/>
                <w:noProof/>
              </w:rPr>
              <w:t>Expansion strategy</w:t>
            </w:r>
            <w:r w:rsidR="00E530BF">
              <w:rPr>
                <w:noProof/>
                <w:webHidden/>
              </w:rPr>
              <w:tab/>
            </w:r>
            <w:r w:rsidR="00E530BF">
              <w:rPr>
                <w:noProof/>
                <w:webHidden/>
              </w:rPr>
              <w:fldChar w:fldCharType="begin"/>
            </w:r>
            <w:r w:rsidR="00E530BF">
              <w:rPr>
                <w:noProof/>
                <w:webHidden/>
              </w:rPr>
              <w:instrText xml:space="preserve"> PAGEREF _Toc157176147 \h </w:instrText>
            </w:r>
            <w:r w:rsidR="00E530BF">
              <w:rPr>
                <w:noProof/>
                <w:webHidden/>
              </w:rPr>
            </w:r>
            <w:r w:rsidR="00E530BF">
              <w:rPr>
                <w:noProof/>
                <w:webHidden/>
              </w:rPr>
              <w:fldChar w:fldCharType="separate"/>
            </w:r>
            <w:r w:rsidR="00E530BF">
              <w:rPr>
                <w:noProof/>
                <w:webHidden/>
              </w:rPr>
              <w:t>8</w:t>
            </w:r>
            <w:r w:rsidR="00E530BF">
              <w:rPr>
                <w:noProof/>
                <w:webHidden/>
              </w:rPr>
              <w:fldChar w:fldCharType="end"/>
            </w:r>
          </w:hyperlink>
        </w:p>
        <w:p w14:paraId="7F3AADAE" w14:textId="58E09AA7" w:rsidR="00E530BF" w:rsidRDefault="00FA58E3">
          <w:pPr>
            <w:pStyle w:val="TOC2"/>
            <w:tabs>
              <w:tab w:val="right" w:leader="dot" w:pos="9016"/>
            </w:tabs>
            <w:rPr>
              <w:rFonts w:asciiTheme="minorHAnsi" w:eastAsiaTheme="minorEastAsia" w:hAnsiTheme="minorHAnsi"/>
              <w:noProof/>
              <w:lang w:eastAsia="en-GB"/>
            </w:rPr>
          </w:pPr>
          <w:hyperlink w:anchor="_Toc157176148" w:history="1">
            <w:r w:rsidR="00E530BF" w:rsidRPr="00A506B1">
              <w:rPr>
                <w:rStyle w:val="Hyperlink"/>
                <w:noProof/>
              </w:rPr>
              <w:t>4.2. Market opportunities</w:t>
            </w:r>
            <w:r w:rsidR="00E530BF">
              <w:rPr>
                <w:noProof/>
                <w:webHidden/>
              </w:rPr>
              <w:tab/>
            </w:r>
            <w:r w:rsidR="00E530BF">
              <w:rPr>
                <w:noProof/>
                <w:webHidden/>
              </w:rPr>
              <w:fldChar w:fldCharType="begin"/>
            </w:r>
            <w:r w:rsidR="00E530BF">
              <w:rPr>
                <w:noProof/>
                <w:webHidden/>
              </w:rPr>
              <w:instrText xml:space="preserve"> PAGEREF _Toc157176148 \h </w:instrText>
            </w:r>
            <w:r w:rsidR="00E530BF">
              <w:rPr>
                <w:noProof/>
                <w:webHidden/>
              </w:rPr>
            </w:r>
            <w:r w:rsidR="00E530BF">
              <w:rPr>
                <w:noProof/>
                <w:webHidden/>
              </w:rPr>
              <w:fldChar w:fldCharType="separate"/>
            </w:r>
            <w:r w:rsidR="00E530BF">
              <w:rPr>
                <w:noProof/>
                <w:webHidden/>
              </w:rPr>
              <w:t>9</w:t>
            </w:r>
            <w:r w:rsidR="00E530BF">
              <w:rPr>
                <w:noProof/>
                <w:webHidden/>
              </w:rPr>
              <w:fldChar w:fldCharType="end"/>
            </w:r>
          </w:hyperlink>
        </w:p>
        <w:p w14:paraId="0925F0D6" w14:textId="50985E07"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49" w:history="1">
            <w:r w:rsidR="00E530BF" w:rsidRPr="00A506B1">
              <w:rPr>
                <w:rStyle w:val="Hyperlink"/>
                <w:noProof/>
              </w:rPr>
              <w:t>4.2.</w:t>
            </w:r>
            <w:r w:rsidR="00E530BF">
              <w:rPr>
                <w:rFonts w:asciiTheme="minorHAnsi" w:eastAsiaTheme="minorEastAsia" w:hAnsiTheme="minorHAnsi"/>
                <w:noProof/>
                <w:lang w:eastAsia="en-GB"/>
              </w:rPr>
              <w:tab/>
            </w:r>
            <w:r w:rsidR="00E530BF" w:rsidRPr="00A506B1">
              <w:rPr>
                <w:rStyle w:val="Hyperlink"/>
                <w:noProof/>
              </w:rPr>
              <w:t>Potential barriers to growth</w:t>
            </w:r>
            <w:r w:rsidR="00E530BF">
              <w:rPr>
                <w:noProof/>
                <w:webHidden/>
              </w:rPr>
              <w:tab/>
            </w:r>
            <w:r w:rsidR="00E530BF">
              <w:rPr>
                <w:noProof/>
                <w:webHidden/>
              </w:rPr>
              <w:fldChar w:fldCharType="begin"/>
            </w:r>
            <w:r w:rsidR="00E530BF">
              <w:rPr>
                <w:noProof/>
                <w:webHidden/>
              </w:rPr>
              <w:instrText xml:space="preserve"> PAGEREF _Toc157176149 \h </w:instrText>
            </w:r>
            <w:r w:rsidR="00E530BF">
              <w:rPr>
                <w:noProof/>
                <w:webHidden/>
              </w:rPr>
            </w:r>
            <w:r w:rsidR="00E530BF">
              <w:rPr>
                <w:noProof/>
                <w:webHidden/>
              </w:rPr>
              <w:fldChar w:fldCharType="separate"/>
            </w:r>
            <w:r w:rsidR="00E530BF">
              <w:rPr>
                <w:noProof/>
                <w:webHidden/>
              </w:rPr>
              <w:t>9</w:t>
            </w:r>
            <w:r w:rsidR="00E530BF">
              <w:rPr>
                <w:noProof/>
                <w:webHidden/>
              </w:rPr>
              <w:fldChar w:fldCharType="end"/>
            </w:r>
          </w:hyperlink>
        </w:p>
        <w:p w14:paraId="0F9508B4" w14:textId="04D2862D" w:rsidR="00E530BF" w:rsidRDefault="00FA58E3">
          <w:pPr>
            <w:pStyle w:val="TOC1"/>
            <w:tabs>
              <w:tab w:val="left" w:pos="480"/>
              <w:tab w:val="right" w:leader="dot" w:pos="9016"/>
            </w:tabs>
            <w:rPr>
              <w:rFonts w:asciiTheme="minorHAnsi" w:eastAsiaTheme="minorEastAsia" w:hAnsiTheme="minorHAnsi"/>
              <w:noProof/>
              <w:lang w:eastAsia="en-GB"/>
            </w:rPr>
          </w:pPr>
          <w:hyperlink w:anchor="_Toc157176150" w:history="1">
            <w:r w:rsidR="00E530BF" w:rsidRPr="00A506B1">
              <w:rPr>
                <w:rStyle w:val="Hyperlink"/>
                <w:noProof/>
              </w:rPr>
              <w:t>5.</w:t>
            </w:r>
            <w:r w:rsidR="00E530BF">
              <w:rPr>
                <w:rFonts w:asciiTheme="minorHAnsi" w:eastAsiaTheme="minorEastAsia" w:hAnsiTheme="minorHAnsi"/>
                <w:noProof/>
                <w:lang w:eastAsia="en-GB"/>
              </w:rPr>
              <w:tab/>
            </w:r>
            <w:r w:rsidR="00E530BF" w:rsidRPr="00A506B1">
              <w:rPr>
                <w:rStyle w:val="Hyperlink"/>
                <w:noProof/>
              </w:rPr>
              <w:t>Financial Commitment to CSR</w:t>
            </w:r>
            <w:r w:rsidR="00E530BF">
              <w:rPr>
                <w:noProof/>
                <w:webHidden/>
              </w:rPr>
              <w:tab/>
            </w:r>
            <w:r w:rsidR="00E530BF">
              <w:rPr>
                <w:noProof/>
                <w:webHidden/>
              </w:rPr>
              <w:fldChar w:fldCharType="begin"/>
            </w:r>
            <w:r w:rsidR="00E530BF">
              <w:rPr>
                <w:noProof/>
                <w:webHidden/>
              </w:rPr>
              <w:instrText xml:space="preserve"> PAGEREF _Toc157176150 \h </w:instrText>
            </w:r>
            <w:r w:rsidR="00E530BF">
              <w:rPr>
                <w:noProof/>
                <w:webHidden/>
              </w:rPr>
            </w:r>
            <w:r w:rsidR="00E530BF">
              <w:rPr>
                <w:noProof/>
                <w:webHidden/>
              </w:rPr>
              <w:fldChar w:fldCharType="separate"/>
            </w:r>
            <w:r w:rsidR="00E530BF">
              <w:rPr>
                <w:noProof/>
                <w:webHidden/>
              </w:rPr>
              <w:t>10</w:t>
            </w:r>
            <w:r w:rsidR="00E530BF">
              <w:rPr>
                <w:noProof/>
                <w:webHidden/>
              </w:rPr>
              <w:fldChar w:fldCharType="end"/>
            </w:r>
          </w:hyperlink>
        </w:p>
        <w:p w14:paraId="637B9564" w14:textId="4C2E8E37"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51" w:history="1">
            <w:r w:rsidR="00E530BF" w:rsidRPr="00A506B1">
              <w:rPr>
                <w:rStyle w:val="Hyperlink"/>
                <w:noProof/>
              </w:rPr>
              <w:t>5.1.</w:t>
            </w:r>
            <w:r w:rsidR="00E530BF">
              <w:rPr>
                <w:rFonts w:asciiTheme="minorHAnsi" w:eastAsiaTheme="minorEastAsia" w:hAnsiTheme="minorHAnsi"/>
                <w:noProof/>
                <w:lang w:eastAsia="en-GB"/>
              </w:rPr>
              <w:tab/>
            </w:r>
            <w:r w:rsidR="00E530BF" w:rsidRPr="00A506B1">
              <w:rPr>
                <w:rStyle w:val="Hyperlink"/>
                <w:noProof/>
              </w:rPr>
              <w:t>Sustainability practices</w:t>
            </w:r>
            <w:r w:rsidR="00E530BF">
              <w:rPr>
                <w:noProof/>
                <w:webHidden/>
              </w:rPr>
              <w:tab/>
            </w:r>
            <w:r w:rsidR="00E530BF">
              <w:rPr>
                <w:noProof/>
                <w:webHidden/>
              </w:rPr>
              <w:fldChar w:fldCharType="begin"/>
            </w:r>
            <w:r w:rsidR="00E530BF">
              <w:rPr>
                <w:noProof/>
                <w:webHidden/>
              </w:rPr>
              <w:instrText xml:space="preserve"> PAGEREF _Toc157176151 \h </w:instrText>
            </w:r>
            <w:r w:rsidR="00E530BF">
              <w:rPr>
                <w:noProof/>
                <w:webHidden/>
              </w:rPr>
            </w:r>
            <w:r w:rsidR="00E530BF">
              <w:rPr>
                <w:noProof/>
                <w:webHidden/>
              </w:rPr>
              <w:fldChar w:fldCharType="separate"/>
            </w:r>
            <w:r w:rsidR="00E530BF">
              <w:rPr>
                <w:noProof/>
                <w:webHidden/>
              </w:rPr>
              <w:t>10</w:t>
            </w:r>
            <w:r w:rsidR="00E530BF">
              <w:rPr>
                <w:noProof/>
                <w:webHidden/>
              </w:rPr>
              <w:fldChar w:fldCharType="end"/>
            </w:r>
          </w:hyperlink>
        </w:p>
        <w:p w14:paraId="171EF96B" w14:textId="22FF2811"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52" w:history="1">
            <w:r w:rsidR="00E530BF" w:rsidRPr="00A506B1">
              <w:rPr>
                <w:rStyle w:val="Hyperlink"/>
                <w:noProof/>
              </w:rPr>
              <w:t>5.2.</w:t>
            </w:r>
            <w:r w:rsidR="00E530BF">
              <w:rPr>
                <w:rFonts w:asciiTheme="minorHAnsi" w:eastAsiaTheme="minorEastAsia" w:hAnsiTheme="minorHAnsi"/>
                <w:noProof/>
                <w:lang w:eastAsia="en-GB"/>
              </w:rPr>
              <w:tab/>
            </w:r>
            <w:r w:rsidR="00E530BF" w:rsidRPr="00A506B1">
              <w:rPr>
                <w:rStyle w:val="Hyperlink"/>
                <w:noProof/>
              </w:rPr>
              <w:t>Community engagement</w:t>
            </w:r>
            <w:r w:rsidR="00E530BF">
              <w:rPr>
                <w:noProof/>
                <w:webHidden/>
              </w:rPr>
              <w:tab/>
            </w:r>
            <w:r w:rsidR="00E530BF">
              <w:rPr>
                <w:noProof/>
                <w:webHidden/>
              </w:rPr>
              <w:fldChar w:fldCharType="begin"/>
            </w:r>
            <w:r w:rsidR="00E530BF">
              <w:rPr>
                <w:noProof/>
                <w:webHidden/>
              </w:rPr>
              <w:instrText xml:space="preserve"> PAGEREF _Toc157176152 \h </w:instrText>
            </w:r>
            <w:r w:rsidR="00E530BF">
              <w:rPr>
                <w:noProof/>
                <w:webHidden/>
              </w:rPr>
            </w:r>
            <w:r w:rsidR="00E530BF">
              <w:rPr>
                <w:noProof/>
                <w:webHidden/>
              </w:rPr>
              <w:fldChar w:fldCharType="separate"/>
            </w:r>
            <w:r w:rsidR="00E530BF">
              <w:rPr>
                <w:noProof/>
                <w:webHidden/>
              </w:rPr>
              <w:t>10</w:t>
            </w:r>
            <w:r w:rsidR="00E530BF">
              <w:rPr>
                <w:noProof/>
                <w:webHidden/>
              </w:rPr>
              <w:fldChar w:fldCharType="end"/>
            </w:r>
          </w:hyperlink>
        </w:p>
        <w:p w14:paraId="1A533A6A" w14:textId="621C8184" w:rsidR="00E530BF" w:rsidRDefault="00FA58E3">
          <w:pPr>
            <w:pStyle w:val="TOC2"/>
            <w:tabs>
              <w:tab w:val="left" w:pos="960"/>
              <w:tab w:val="right" w:leader="dot" w:pos="9016"/>
            </w:tabs>
            <w:rPr>
              <w:rFonts w:asciiTheme="minorHAnsi" w:eastAsiaTheme="minorEastAsia" w:hAnsiTheme="minorHAnsi"/>
              <w:noProof/>
              <w:lang w:eastAsia="en-GB"/>
            </w:rPr>
          </w:pPr>
          <w:hyperlink w:anchor="_Toc157176153" w:history="1">
            <w:r w:rsidR="00E530BF" w:rsidRPr="00A506B1">
              <w:rPr>
                <w:rStyle w:val="Hyperlink"/>
                <w:noProof/>
              </w:rPr>
              <w:t>5.3.</w:t>
            </w:r>
            <w:r w:rsidR="00E530BF">
              <w:rPr>
                <w:rFonts w:asciiTheme="minorHAnsi" w:eastAsiaTheme="minorEastAsia" w:hAnsiTheme="minorHAnsi"/>
                <w:noProof/>
                <w:lang w:eastAsia="en-GB"/>
              </w:rPr>
              <w:tab/>
            </w:r>
            <w:r w:rsidR="00E530BF" w:rsidRPr="00A506B1">
              <w:rPr>
                <w:rStyle w:val="Hyperlink"/>
                <w:noProof/>
              </w:rPr>
              <w:t>Ethical business practices</w:t>
            </w:r>
            <w:r w:rsidR="00E530BF">
              <w:rPr>
                <w:noProof/>
                <w:webHidden/>
              </w:rPr>
              <w:tab/>
            </w:r>
            <w:r w:rsidR="00E530BF">
              <w:rPr>
                <w:noProof/>
                <w:webHidden/>
              </w:rPr>
              <w:fldChar w:fldCharType="begin"/>
            </w:r>
            <w:r w:rsidR="00E530BF">
              <w:rPr>
                <w:noProof/>
                <w:webHidden/>
              </w:rPr>
              <w:instrText xml:space="preserve"> PAGEREF _Toc157176153 \h </w:instrText>
            </w:r>
            <w:r w:rsidR="00E530BF">
              <w:rPr>
                <w:noProof/>
                <w:webHidden/>
              </w:rPr>
            </w:r>
            <w:r w:rsidR="00E530BF">
              <w:rPr>
                <w:noProof/>
                <w:webHidden/>
              </w:rPr>
              <w:fldChar w:fldCharType="separate"/>
            </w:r>
            <w:r w:rsidR="00E530BF">
              <w:rPr>
                <w:noProof/>
                <w:webHidden/>
              </w:rPr>
              <w:t>11</w:t>
            </w:r>
            <w:r w:rsidR="00E530BF">
              <w:rPr>
                <w:noProof/>
                <w:webHidden/>
              </w:rPr>
              <w:fldChar w:fldCharType="end"/>
            </w:r>
          </w:hyperlink>
        </w:p>
        <w:p w14:paraId="05F4C55C" w14:textId="16A799CD" w:rsidR="00E530BF" w:rsidRDefault="00FA58E3">
          <w:pPr>
            <w:pStyle w:val="TOC1"/>
            <w:tabs>
              <w:tab w:val="left" w:pos="480"/>
              <w:tab w:val="right" w:leader="dot" w:pos="9016"/>
            </w:tabs>
            <w:rPr>
              <w:rFonts w:asciiTheme="minorHAnsi" w:eastAsiaTheme="minorEastAsia" w:hAnsiTheme="minorHAnsi"/>
              <w:noProof/>
              <w:lang w:eastAsia="en-GB"/>
            </w:rPr>
          </w:pPr>
          <w:hyperlink w:anchor="_Toc157176154" w:history="1">
            <w:r w:rsidR="00E530BF" w:rsidRPr="00A506B1">
              <w:rPr>
                <w:rStyle w:val="Hyperlink"/>
                <w:noProof/>
              </w:rPr>
              <w:t>6.</w:t>
            </w:r>
            <w:r w:rsidR="00E530BF">
              <w:rPr>
                <w:rFonts w:asciiTheme="minorHAnsi" w:eastAsiaTheme="minorEastAsia" w:hAnsiTheme="minorHAnsi"/>
                <w:noProof/>
                <w:lang w:eastAsia="en-GB"/>
              </w:rPr>
              <w:tab/>
            </w:r>
            <w:r w:rsidR="00E530BF" w:rsidRPr="00A506B1">
              <w:rPr>
                <w:rStyle w:val="Hyperlink"/>
                <w:noProof/>
              </w:rPr>
              <w:t>Conclusions and Recommendations</w:t>
            </w:r>
            <w:r w:rsidR="00E530BF">
              <w:rPr>
                <w:noProof/>
                <w:webHidden/>
              </w:rPr>
              <w:tab/>
            </w:r>
            <w:r w:rsidR="00E530BF">
              <w:rPr>
                <w:noProof/>
                <w:webHidden/>
              </w:rPr>
              <w:fldChar w:fldCharType="begin"/>
            </w:r>
            <w:r w:rsidR="00E530BF">
              <w:rPr>
                <w:noProof/>
                <w:webHidden/>
              </w:rPr>
              <w:instrText xml:space="preserve"> PAGEREF _Toc157176154 \h </w:instrText>
            </w:r>
            <w:r w:rsidR="00E530BF">
              <w:rPr>
                <w:noProof/>
                <w:webHidden/>
              </w:rPr>
            </w:r>
            <w:r w:rsidR="00E530BF">
              <w:rPr>
                <w:noProof/>
                <w:webHidden/>
              </w:rPr>
              <w:fldChar w:fldCharType="separate"/>
            </w:r>
            <w:r w:rsidR="00E530BF">
              <w:rPr>
                <w:noProof/>
                <w:webHidden/>
              </w:rPr>
              <w:t>11</w:t>
            </w:r>
            <w:r w:rsidR="00E530BF">
              <w:rPr>
                <w:noProof/>
                <w:webHidden/>
              </w:rPr>
              <w:fldChar w:fldCharType="end"/>
            </w:r>
          </w:hyperlink>
        </w:p>
        <w:p w14:paraId="1A440D87" w14:textId="0E0FF04A" w:rsidR="00E530BF" w:rsidRDefault="00FA58E3">
          <w:pPr>
            <w:pStyle w:val="TOC1"/>
            <w:tabs>
              <w:tab w:val="left" w:pos="480"/>
              <w:tab w:val="right" w:leader="dot" w:pos="9016"/>
            </w:tabs>
            <w:rPr>
              <w:rFonts w:asciiTheme="minorHAnsi" w:eastAsiaTheme="minorEastAsia" w:hAnsiTheme="minorHAnsi"/>
              <w:noProof/>
              <w:lang w:eastAsia="en-GB"/>
            </w:rPr>
          </w:pPr>
          <w:hyperlink w:anchor="_Toc157176155" w:history="1">
            <w:r w:rsidR="00E530BF" w:rsidRPr="00A506B1">
              <w:rPr>
                <w:rStyle w:val="Hyperlink"/>
                <w:noProof/>
              </w:rPr>
              <w:t>7.</w:t>
            </w:r>
            <w:r w:rsidR="00E530BF">
              <w:rPr>
                <w:rFonts w:asciiTheme="minorHAnsi" w:eastAsiaTheme="minorEastAsia" w:hAnsiTheme="minorHAnsi"/>
                <w:noProof/>
                <w:lang w:eastAsia="en-GB"/>
              </w:rPr>
              <w:tab/>
            </w:r>
            <w:r w:rsidR="00E530BF" w:rsidRPr="00A506B1">
              <w:rPr>
                <w:rStyle w:val="Hyperlink"/>
                <w:noProof/>
              </w:rPr>
              <w:t>References</w:t>
            </w:r>
            <w:r w:rsidR="00E530BF">
              <w:rPr>
                <w:noProof/>
                <w:webHidden/>
              </w:rPr>
              <w:tab/>
            </w:r>
            <w:r w:rsidR="00E530BF">
              <w:rPr>
                <w:noProof/>
                <w:webHidden/>
              </w:rPr>
              <w:fldChar w:fldCharType="begin"/>
            </w:r>
            <w:r w:rsidR="00E530BF">
              <w:rPr>
                <w:noProof/>
                <w:webHidden/>
              </w:rPr>
              <w:instrText xml:space="preserve"> PAGEREF _Toc157176155 \h </w:instrText>
            </w:r>
            <w:r w:rsidR="00E530BF">
              <w:rPr>
                <w:noProof/>
                <w:webHidden/>
              </w:rPr>
            </w:r>
            <w:r w:rsidR="00E530BF">
              <w:rPr>
                <w:noProof/>
                <w:webHidden/>
              </w:rPr>
              <w:fldChar w:fldCharType="separate"/>
            </w:r>
            <w:r w:rsidR="00E530BF">
              <w:rPr>
                <w:noProof/>
                <w:webHidden/>
              </w:rPr>
              <w:t>12</w:t>
            </w:r>
            <w:r w:rsidR="00E530BF">
              <w:rPr>
                <w:noProof/>
                <w:webHidden/>
              </w:rPr>
              <w:fldChar w:fldCharType="end"/>
            </w:r>
          </w:hyperlink>
        </w:p>
        <w:p w14:paraId="4B0D129D" w14:textId="3FC7A2E0" w:rsidR="001B56BB" w:rsidRDefault="001B56BB">
          <w:r>
            <w:rPr>
              <w:b/>
              <w:bCs/>
              <w:noProof/>
            </w:rPr>
            <w:fldChar w:fldCharType="end"/>
          </w:r>
        </w:p>
      </w:sdtContent>
    </w:sdt>
    <w:p w14:paraId="30AE267E" w14:textId="77777777" w:rsidR="001B56BB" w:rsidRDefault="001B56BB" w:rsidP="007A157E">
      <w:pPr>
        <w:pStyle w:val="Default"/>
        <w:rPr>
          <w:sz w:val="22"/>
          <w:szCs w:val="22"/>
        </w:rPr>
      </w:pPr>
    </w:p>
    <w:p w14:paraId="4CA226F6" w14:textId="77777777" w:rsidR="001B56BB" w:rsidRDefault="001B56BB" w:rsidP="007A157E">
      <w:pPr>
        <w:pStyle w:val="Default"/>
        <w:rPr>
          <w:sz w:val="22"/>
          <w:szCs w:val="22"/>
        </w:rPr>
      </w:pPr>
    </w:p>
    <w:p w14:paraId="01A9C677" w14:textId="77777777" w:rsidR="001B56BB" w:rsidRDefault="001B56BB" w:rsidP="007A157E">
      <w:pPr>
        <w:pStyle w:val="Default"/>
        <w:rPr>
          <w:sz w:val="22"/>
          <w:szCs w:val="22"/>
        </w:rPr>
      </w:pPr>
    </w:p>
    <w:p w14:paraId="239B9DDB" w14:textId="67D2E9E4" w:rsidR="00777C2A" w:rsidRDefault="00777C2A">
      <w:pPr>
        <w:pStyle w:val="TableofFigures"/>
        <w:tabs>
          <w:tab w:val="right" w:leader="dot" w:pos="9016"/>
        </w:tabs>
        <w:rPr>
          <w:rFonts w:asciiTheme="minorHAnsi" w:eastAsiaTheme="minorEastAsia" w:hAnsiTheme="minorHAnsi"/>
          <w:noProof/>
          <w:lang w:eastAsia="en-GB"/>
        </w:rPr>
      </w:pPr>
      <w:r>
        <w:rPr>
          <w:sz w:val="22"/>
          <w:szCs w:val="22"/>
        </w:rPr>
        <w:fldChar w:fldCharType="begin"/>
      </w:r>
      <w:r>
        <w:rPr>
          <w:sz w:val="22"/>
          <w:szCs w:val="22"/>
        </w:rPr>
        <w:instrText xml:space="preserve"> TOC \h \z \c "Figure" </w:instrText>
      </w:r>
      <w:r>
        <w:rPr>
          <w:sz w:val="22"/>
          <w:szCs w:val="22"/>
        </w:rPr>
        <w:fldChar w:fldCharType="separate"/>
      </w:r>
      <w:hyperlink w:anchor="_Toc157175921" w:history="1">
        <w:r w:rsidRPr="00F14DBE">
          <w:rPr>
            <w:rStyle w:val="Hyperlink"/>
            <w:noProof/>
          </w:rPr>
          <w:t xml:space="preserve">Figure </w:t>
        </w:r>
        <w:r w:rsidR="00F74484">
          <w:rPr>
            <w:rStyle w:val="Hyperlink"/>
            <w:noProof/>
          </w:rPr>
          <w:t>1</w:t>
        </w:r>
        <w:r w:rsidRPr="00F14DBE">
          <w:rPr>
            <w:rStyle w:val="Hyperlink"/>
            <w:noProof/>
          </w:rPr>
          <w:t>. Accor</w:t>
        </w:r>
        <w:r w:rsidR="00F74484">
          <w:rPr>
            <w:rStyle w:val="Hyperlink"/>
            <w:noProof/>
          </w:rPr>
          <w:t>’s</w:t>
        </w:r>
        <w:r w:rsidRPr="00F14DBE">
          <w:rPr>
            <w:rStyle w:val="Hyperlink"/>
            <w:noProof/>
          </w:rPr>
          <w:t xml:space="preserve"> market share</w:t>
        </w:r>
        <w:r>
          <w:rPr>
            <w:noProof/>
            <w:webHidden/>
          </w:rPr>
          <w:tab/>
        </w:r>
        <w:r>
          <w:rPr>
            <w:noProof/>
            <w:webHidden/>
          </w:rPr>
          <w:fldChar w:fldCharType="begin"/>
        </w:r>
        <w:r>
          <w:rPr>
            <w:noProof/>
            <w:webHidden/>
          </w:rPr>
          <w:instrText xml:space="preserve"> PAGEREF _Toc157175921 \h </w:instrText>
        </w:r>
        <w:r>
          <w:rPr>
            <w:noProof/>
            <w:webHidden/>
          </w:rPr>
        </w:r>
        <w:r>
          <w:rPr>
            <w:noProof/>
            <w:webHidden/>
          </w:rPr>
          <w:fldChar w:fldCharType="separate"/>
        </w:r>
        <w:r>
          <w:rPr>
            <w:noProof/>
            <w:webHidden/>
          </w:rPr>
          <w:t>7</w:t>
        </w:r>
        <w:r>
          <w:rPr>
            <w:noProof/>
            <w:webHidden/>
          </w:rPr>
          <w:fldChar w:fldCharType="end"/>
        </w:r>
      </w:hyperlink>
    </w:p>
    <w:p w14:paraId="54E29F46" w14:textId="2403B200" w:rsidR="00E01645" w:rsidRDefault="00777C2A" w:rsidP="007A157E">
      <w:pPr>
        <w:pStyle w:val="Default"/>
        <w:rPr>
          <w:sz w:val="22"/>
          <w:szCs w:val="22"/>
        </w:rPr>
      </w:pPr>
      <w:r>
        <w:rPr>
          <w:sz w:val="22"/>
          <w:szCs w:val="22"/>
        </w:rPr>
        <w:fldChar w:fldCharType="end"/>
      </w:r>
    </w:p>
    <w:p w14:paraId="0193C64F" w14:textId="77777777" w:rsidR="00E01645" w:rsidRDefault="00E01645" w:rsidP="007A157E">
      <w:pPr>
        <w:pStyle w:val="Default"/>
        <w:rPr>
          <w:sz w:val="22"/>
          <w:szCs w:val="22"/>
        </w:rPr>
      </w:pPr>
    </w:p>
    <w:p w14:paraId="41147FEA" w14:textId="7C939E9C" w:rsidR="00F74484" w:rsidRDefault="00F74484">
      <w:pPr>
        <w:pStyle w:val="TableofFigures"/>
        <w:tabs>
          <w:tab w:val="right" w:leader="dot" w:pos="9016"/>
        </w:tabs>
        <w:rPr>
          <w:rFonts w:asciiTheme="minorHAnsi" w:eastAsiaTheme="minorEastAsia" w:hAnsiTheme="minorHAnsi"/>
          <w:noProof/>
          <w:lang w:eastAsia="en-GB"/>
        </w:rPr>
      </w:pPr>
      <w:r>
        <w:rPr>
          <w:sz w:val="22"/>
          <w:szCs w:val="22"/>
        </w:rPr>
        <w:fldChar w:fldCharType="begin"/>
      </w:r>
      <w:r>
        <w:rPr>
          <w:sz w:val="22"/>
          <w:szCs w:val="22"/>
        </w:rPr>
        <w:instrText xml:space="preserve"> TOC \h \z \c "Table" </w:instrText>
      </w:r>
      <w:r>
        <w:rPr>
          <w:sz w:val="22"/>
          <w:szCs w:val="22"/>
        </w:rPr>
        <w:fldChar w:fldCharType="separate"/>
      </w:r>
      <w:hyperlink w:anchor="_Toc157175999" w:history="1">
        <w:r w:rsidRPr="00C142E6">
          <w:rPr>
            <w:rStyle w:val="Hyperlink"/>
            <w:noProof/>
          </w:rPr>
          <w:t>Table 1. Accor vs Corinthia Hotel Group – total revenues</w:t>
        </w:r>
        <w:r>
          <w:rPr>
            <w:noProof/>
            <w:webHidden/>
          </w:rPr>
          <w:tab/>
        </w:r>
        <w:r>
          <w:rPr>
            <w:noProof/>
            <w:webHidden/>
          </w:rPr>
          <w:fldChar w:fldCharType="begin"/>
        </w:r>
        <w:r>
          <w:rPr>
            <w:noProof/>
            <w:webHidden/>
          </w:rPr>
          <w:instrText xml:space="preserve"> PAGEREF _Toc157175999 \h </w:instrText>
        </w:r>
        <w:r>
          <w:rPr>
            <w:noProof/>
            <w:webHidden/>
          </w:rPr>
        </w:r>
        <w:r>
          <w:rPr>
            <w:noProof/>
            <w:webHidden/>
          </w:rPr>
          <w:fldChar w:fldCharType="separate"/>
        </w:r>
        <w:r>
          <w:rPr>
            <w:noProof/>
            <w:webHidden/>
          </w:rPr>
          <w:t>5</w:t>
        </w:r>
        <w:r>
          <w:rPr>
            <w:noProof/>
            <w:webHidden/>
          </w:rPr>
          <w:fldChar w:fldCharType="end"/>
        </w:r>
      </w:hyperlink>
    </w:p>
    <w:p w14:paraId="27C526FD" w14:textId="4A7C0262" w:rsidR="00E01645" w:rsidRDefault="00F74484" w:rsidP="007A157E">
      <w:pPr>
        <w:pStyle w:val="Default"/>
        <w:rPr>
          <w:sz w:val="22"/>
          <w:szCs w:val="22"/>
        </w:rPr>
      </w:pPr>
      <w:r>
        <w:rPr>
          <w:sz w:val="22"/>
          <w:szCs w:val="22"/>
        </w:rPr>
        <w:fldChar w:fldCharType="end"/>
      </w:r>
    </w:p>
    <w:p w14:paraId="231C7A40" w14:textId="77777777" w:rsidR="00E01645" w:rsidRDefault="00E01645" w:rsidP="007A157E">
      <w:pPr>
        <w:pStyle w:val="Default"/>
        <w:rPr>
          <w:sz w:val="22"/>
          <w:szCs w:val="22"/>
        </w:rPr>
      </w:pPr>
    </w:p>
    <w:p w14:paraId="63E4011B" w14:textId="77777777" w:rsidR="00E01645" w:rsidRDefault="00E01645" w:rsidP="007A157E">
      <w:pPr>
        <w:pStyle w:val="Default"/>
        <w:rPr>
          <w:sz w:val="22"/>
          <w:szCs w:val="22"/>
        </w:rPr>
      </w:pPr>
    </w:p>
    <w:p w14:paraId="743F4984" w14:textId="77777777" w:rsidR="00E01645" w:rsidRDefault="00E01645" w:rsidP="007A157E">
      <w:pPr>
        <w:pStyle w:val="Default"/>
        <w:rPr>
          <w:sz w:val="22"/>
          <w:szCs w:val="22"/>
        </w:rPr>
      </w:pPr>
    </w:p>
    <w:p w14:paraId="5D850871" w14:textId="77777777" w:rsidR="001B56BB" w:rsidRDefault="001B56BB" w:rsidP="007A157E">
      <w:pPr>
        <w:pStyle w:val="Default"/>
        <w:rPr>
          <w:sz w:val="22"/>
          <w:szCs w:val="22"/>
        </w:rPr>
      </w:pPr>
    </w:p>
    <w:p w14:paraId="7FD7AC4B" w14:textId="77777777" w:rsidR="001B56BB" w:rsidRDefault="001B56BB" w:rsidP="007A157E">
      <w:pPr>
        <w:pStyle w:val="Default"/>
        <w:rPr>
          <w:sz w:val="22"/>
          <w:szCs w:val="22"/>
        </w:rPr>
      </w:pPr>
    </w:p>
    <w:p w14:paraId="7DD7C0A1" w14:textId="77777777" w:rsidR="001B56BB" w:rsidRDefault="001B56BB" w:rsidP="007A157E">
      <w:pPr>
        <w:pStyle w:val="Default"/>
        <w:rPr>
          <w:sz w:val="22"/>
          <w:szCs w:val="22"/>
        </w:rPr>
      </w:pPr>
    </w:p>
    <w:p w14:paraId="2E8FDD5D" w14:textId="38E82BEB" w:rsidR="001B56BB" w:rsidRDefault="001B56BB" w:rsidP="001B56BB">
      <w:pPr>
        <w:pStyle w:val="Heading1"/>
        <w:numPr>
          <w:ilvl w:val="0"/>
          <w:numId w:val="4"/>
        </w:numPr>
      </w:pPr>
      <w:bookmarkStart w:id="1" w:name="_Toc157176140"/>
      <w:r>
        <w:t>Introduction</w:t>
      </w:r>
      <w:bookmarkEnd w:id="1"/>
    </w:p>
    <w:p w14:paraId="12BDE9C6" w14:textId="77777777" w:rsidR="00DE7A55" w:rsidRDefault="00DE7A55" w:rsidP="00DE7A55">
      <w:r>
        <w:t>The purpose of the report is to conduct a critical assessment and comparison between the approaches to financial management (FM) of two leading brands in the hospitality business, Corinthia Hotels and Ibis Hotels, including their FM strategies and practices. The investigation encompasses key areas such as total revenue, market positioning, growth potential, and financial commitment to corporate social responsibility (CSR), while the findings are used to propose recommendations for each company.</w:t>
      </w:r>
    </w:p>
    <w:p w14:paraId="1ABDF952" w14:textId="77777777" w:rsidR="00DE7A55" w:rsidRDefault="00DE7A55" w:rsidP="00DE7A55">
      <w:r>
        <w:t>Financial management is the business function related to planning, investing, deciding, managing capital market operations, and controlling the finances of an organisation (</w:t>
      </w:r>
      <w:proofErr w:type="spellStart"/>
      <w:r>
        <w:t>Atrill</w:t>
      </w:r>
      <w:proofErr w:type="spellEnd"/>
      <w:r>
        <w:t>, 2006), aiming to achieve its financial objectives.</w:t>
      </w:r>
    </w:p>
    <w:p w14:paraId="05126E99" w14:textId="77777777" w:rsidR="00DE7A55" w:rsidRDefault="00DE7A55" w:rsidP="00DE7A55">
      <w:r>
        <w:t>Corinthia was founded in Malta in 1962, and it is a luxury brand integrated into a group of multinational investments in the development and operation of hotels and real estate (Corinthia Group, 2023a).</w:t>
      </w:r>
    </w:p>
    <w:p w14:paraId="0C6F2C70" w14:textId="2F2992B7" w:rsidR="00196F4A" w:rsidRDefault="00DE7A55" w:rsidP="00DE7A55">
      <w:r>
        <w:t>Ibis Hotel is a brand encompassing Ibis, Ibis Styles, and Ibis Budget, owned by the French hospitality provider Accor (2023a).</w:t>
      </w:r>
    </w:p>
    <w:p w14:paraId="6C1041BD" w14:textId="77777777" w:rsidR="00DE7A55" w:rsidRPr="009B6BB1" w:rsidRDefault="00DE7A55" w:rsidP="00DE7A55">
      <w:pPr>
        <w:rPr>
          <w:rFonts w:cs="Arial"/>
          <w:color w:val="000000"/>
          <w:shd w:val="clear" w:color="auto" w:fill="F8F8F7"/>
        </w:rPr>
      </w:pPr>
    </w:p>
    <w:p w14:paraId="0791AC1C" w14:textId="2264AD2F" w:rsidR="00697AD6" w:rsidRDefault="005802C5" w:rsidP="005802C5">
      <w:pPr>
        <w:pStyle w:val="Heading1"/>
        <w:numPr>
          <w:ilvl w:val="0"/>
          <w:numId w:val="4"/>
        </w:numPr>
        <w:rPr>
          <w:shd w:val="clear" w:color="auto" w:fill="F8F8F7"/>
        </w:rPr>
      </w:pPr>
      <w:bookmarkStart w:id="2" w:name="_Toc157176141"/>
      <w:r>
        <w:rPr>
          <w:shd w:val="clear" w:color="auto" w:fill="F8F8F7"/>
        </w:rPr>
        <w:t>Total Revenue</w:t>
      </w:r>
      <w:bookmarkEnd w:id="2"/>
    </w:p>
    <w:p w14:paraId="2E8DE505" w14:textId="77777777" w:rsidR="00DE7A55" w:rsidRDefault="00DE7A55" w:rsidP="00925F1C">
      <w:r w:rsidRPr="00DE7A55">
        <w:t>Income is a key aspect of FM from the perspective of achieving organisational objectives and maximising the profit of investors by effectively managing the firm’s finances.</w:t>
      </w:r>
    </w:p>
    <w:p w14:paraId="5B3FCD00" w14:textId="713A8A50" w:rsidR="00925F1C" w:rsidRDefault="00925F1C" w:rsidP="00925F1C">
      <w:r w:rsidRPr="00925F1C">
        <w:rPr>
          <w:b/>
          <w:bCs/>
        </w:rPr>
        <w:t>Corporate finance</w:t>
      </w:r>
      <w:r>
        <w:t xml:space="preserve"> is related to short-term and long-term operations, using the available capital to increase profits, and mitigating risks to support the continuation of operations (Levy and </w:t>
      </w:r>
      <w:proofErr w:type="spellStart"/>
      <w:r>
        <w:t>Sarnat</w:t>
      </w:r>
      <w:proofErr w:type="spellEnd"/>
      <w:r>
        <w:t>, 1994)</w:t>
      </w:r>
      <w:r w:rsidR="00DE7A55">
        <w:t xml:space="preserve">, and it </w:t>
      </w:r>
      <w:r>
        <w:t xml:space="preserve">encompasses </w:t>
      </w:r>
      <w:r w:rsidR="00DE7A55">
        <w:t xml:space="preserve">the </w:t>
      </w:r>
      <w:r>
        <w:t>devising and maintenance of financial statements (Pike and Neale, 2006).</w:t>
      </w:r>
    </w:p>
    <w:p w14:paraId="3AB7ACDE" w14:textId="7CE3B1E4" w:rsidR="00196F4A" w:rsidRDefault="00196F4A" w:rsidP="00925F1C">
      <w:pPr>
        <w:rPr>
          <w:rFonts w:ascii="Times New Roman" w:hAnsi="Times New Roman"/>
        </w:rPr>
      </w:pPr>
      <w:r>
        <w:t xml:space="preserve">The </w:t>
      </w:r>
      <w:r w:rsidRPr="00925F1C">
        <w:rPr>
          <w:b/>
          <w:bCs/>
        </w:rPr>
        <w:t>income statement</w:t>
      </w:r>
      <w:r>
        <w:t xml:space="preserve"> is </w:t>
      </w:r>
      <w:r w:rsidR="00E75CDD">
        <w:t>the FM</w:t>
      </w:r>
      <w:r>
        <w:t xml:space="preserve"> document that summarises organisational earnings, demonstrates the correlation between stock returns and earning elements, and can be used to forecast future earnings (Bartov and Mohanram, 2014). </w:t>
      </w:r>
      <w:r w:rsidR="00E75CDD">
        <w:t>It</w:t>
      </w:r>
      <w:r>
        <w:t xml:space="preserve"> reveals </w:t>
      </w:r>
      <w:r w:rsidR="00E75CDD">
        <w:t>the</w:t>
      </w:r>
      <w:r>
        <w:t xml:space="preserve"> financial performance during a specific reporting period and includes the balance sheet and cash flow summary (Robinson, 2020)</w:t>
      </w:r>
      <w:r w:rsidR="00E75CDD">
        <w:t xml:space="preserve"> and</w:t>
      </w:r>
      <w:r w:rsidR="00024FBF">
        <w:t xml:space="preserve"> an assessment of income and expenditure encompassing turnover, expenditure on salaries and non-pay costs, gross profit, and net profit</w:t>
      </w:r>
      <w:r w:rsidR="00616DB3">
        <w:t xml:space="preserve"> (</w:t>
      </w:r>
      <w:r w:rsidR="00616DB3" w:rsidRPr="00616DB3">
        <w:t>Marshall and Lennard, 2016</w:t>
      </w:r>
      <w:r w:rsidR="00616DB3">
        <w:t>).</w:t>
      </w:r>
    </w:p>
    <w:p w14:paraId="59223AA1" w14:textId="462C69B8" w:rsidR="00196F4A" w:rsidRDefault="00196F4A" w:rsidP="00196F4A">
      <w:r w:rsidRPr="00925F1C">
        <w:rPr>
          <w:b/>
          <w:bCs/>
        </w:rPr>
        <w:t>Total revenue</w:t>
      </w:r>
      <w:r>
        <w:t xml:space="preserve"> is the total income resulted from selling the products and services during a specific reporting period</w:t>
      </w:r>
      <w:r w:rsidR="00BD7364">
        <w:t>. In hospitality, the revenue streams are managed using the revenue management system (</w:t>
      </w:r>
      <w:r>
        <w:t>Ivanov and Zhechev</w:t>
      </w:r>
      <w:r w:rsidR="00BD7364">
        <w:t xml:space="preserve">, </w:t>
      </w:r>
      <w:r>
        <w:t>2012)</w:t>
      </w:r>
      <w:r w:rsidR="00BD7364">
        <w:t>.</w:t>
      </w:r>
    </w:p>
    <w:p w14:paraId="4081AE08" w14:textId="77777777" w:rsidR="00BA1702" w:rsidRDefault="0055569B" w:rsidP="005676F0">
      <w:r>
        <w:t xml:space="preserve">Ibis Hotels is owned by Accor (2023b), and the financial results </w:t>
      </w:r>
      <w:r w:rsidR="00E75CDD">
        <w:t xml:space="preserve">of this brand </w:t>
      </w:r>
      <w:r>
        <w:t xml:space="preserve">are not distinctively reported in </w:t>
      </w:r>
      <w:r w:rsidR="00E75CDD">
        <w:t>Accor’s</w:t>
      </w:r>
      <w:r>
        <w:t xml:space="preserve"> income statement. </w:t>
      </w:r>
    </w:p>
    <w:p w14:paraId="4E3C904B" w14:textId="6768F4BC" w:rsidR="00196F4A" w:rsidRDefault="00E75CDD" w:rsidP="005676F0">
      <w:r>
        <w:t xml:space="preserve">Please see the following </w:t>
      </w:r>
      <w:r w:rsidR="0055569B">
        <w:t xml:space="preserve">table </w:t>
      </w:r>
      <w:r>
        <w:t xml:space="preserve">that </w:t>
      </w:r>
      <w:r w:rsidR="0055569B">
        <w:t>summarises the total income and sources of revenue of Accor and Corinthia Hotel Group in 2022.</w:t>
      </w:r>
    </w:p>
    <w:p w14:paraId="5E64AC39" w14:textId="77777777" w:rsidR="00BA1702" w:rsidRDefault="00BA1702" w:rsidP="005676F0"/>
    <w:tbl>
      <w:tblPr>
        <w:tblStyle w:val="TableGrid"/>
        <w:tblW w:w="0" w:type="auto"/>
        <w:tblLook w:val="04A0" w:firstRow="1" w:lastRow="0" w:firstColumn="1" w:lastColumn="0" w:noHBand="0" w:noVBand="1"/>
      </w:tblPr>
      <w:tblGrid>
        <w:gridCol w:w="4508"/>
        <w:gridCol w:w="4508"/>
      </w:tblGrid>
      <w:tr w:rsidR="009B6BB1" w14:paraId="7C1C6DB4" w14:textId="77777777" w:rsidTr="009B6BB1">
        <w:tc>
          <w:tcPr>
            <w:tcW w:w="4508" w:type="dxa"/>
          </w:tcPr>
          <w:p w14:paraId="617C6555" w14:textId="6AC50CCE" w:rsidR="009B6BB1" w:rsidRPr="0055569B" w:rsidRDefault="009B6BB1" w:rsidP="003C2514">
            <w:pPr>
              <w:jc w:val="center"/>
              <w:rPr>
                <w:b/>
                <w:bCs/>
              </w:rPr>
            </w:pPr>
            <w:r w:rsidRPr="0055569B">
              <w:rPr>
                <w:b/>
                <w:bCs/>
              </w:rPr>
              <w:t>Accor, 2022</w:t>
            </w:r>
          </w:p>
        </w:tc>
        <w:tc>
          <w:tcPr>
            <w:tcW w:w="4508" w:type="dxa"/>
          </w:tcPr>
          <w:p w14:paraId="7C4848C3" w14:textId="44C11B25" w:rsidR="009B6BB1" w:rsidRPr="0055569B" w:rsidRDefault="009B6BB1" w:rsidP="003C2514">
            <w:pPr>
              <w:jc w:val="center"/>
              <w:rPr>
                <w:b/>
                <w:bCs/>
              </w:rPr>
            </w:pPr>
            <w:r w:rsidRPr="0055569B">
              <w:rPr>
                <w:rFonts w:cs="Arial"/>
                <w:b/>
                <w:bCs/>
                <w:color w:val="000000"/>
                <w:shd w:val="clear" w:color="auto" w:fill="F8F8F7"/>
              </w:rPr>
              <w:t>Corinthia Hotel Group, 2022</w:t>
            </w:r>
          </w:p>
        </w:tc>
      </w:tr>
      <w:tr w:rsidR="009B6BB1" w14:paraId="1C008AF5" w14:textId="77777777" w:rsidTr="009B6BB1">
        <w:tc>
          <w:tcPr>
            <w:tcW w:w="4508" w:type="dxa"/>
          </w:tcPr>
          <w:p w14:paraId="69A97ECF" w14:textId="1AC14C3E" w:rsidR="009B6BB1" w:rsidRDefault="009B6BB1" w:rsidP="005676F0">
            <w:r>
              <w:rPr>
                <w:rFonts w:cs="Arial"/>
              </w:rPr>
              <w:t>€</w:t>
            </w:r>
            <w:r w:rsidRPr="009B6BB1">
              <w:t>4,224</w:t>
            </w:r>
            <w:r>
              <w:t xml:space="preserve"> million</w:t>
            </w:r>
            <w:r w:rsidR="00FA55FE">
              <w:t xml:space="preserve"> (Accor, 2023</w:t>
            </w:r>
            <w:r w:rsidR="00007E35">
              <w:t>b</w:t>
            </w:r>
            <w:r w:rsidR="00FA55FE">
              <w:t>, p. 292)</w:t>
            </w:r>
          </w:p>
        </w:tc>
        <w:tc>
          <w:tcPr>
            <w:tcW w:w="4508" w:type="dxa"/>
          </w:tcPr>
          <w:p w14:paraId="2672C51C" w14:textId="1C3501E1" w:rsidR="009B6BB1" w:rsidRDefault="00BA4971" w:rsidP="005676F0">
            <w:r>
              <w:rPr>
                <w:rFonts w:cs="Arial"/>
              </w:rPr>
              <w:t>€</w:t>
            </w:r>
            <w:r w:rsidRPr="00FA55FE">
              <w:t>238,207</w:t>
            </w:r>
            <w:r>
              <w:t xml:space="preserve">,000 </w:t>
            </w:r>
            <w:r w:rsidR="003C2514">
              <w:t>(Corinthia Group, 2023</w:t>
            </w:r>
            <w:r w:rsidR="00260CCC">
              <w:t>b</w:t>
            </w:r>
            <w:r w:rsidR="003C2514">
              <w:t>, p. 19)</w:t>
            </w:r>
          </w:p>
        </w:tc>
      </w:tr>
      <w:tr w:rsidR="00BC5B6D" w14:paraId="5DAC562E" w14:textId="77777777" w:rsidTr="009B6BB1">
        <w:tc>
          <w:tcPr>
            <w:tcW w:w="4508" w:type="dxa"/>
          </w:tcPr>
          <w:p w14:paraId="1C593222" w14:textId="77777777" w:rsidR="00BC5B6D" w:rsidRDefault="00BC5B6D" w:rsidP="005676F0">
            <w:pPr>
              <w:rPr>
                <w:rFonts w:cs="Arial"/>
              </w:rPr>
            </w:pPr>
            <w:r>
              <w:rPr>
                <w:rFonts w:cs="Arial"/>
              </w:rPr>
              <w:t xml:space="preserve">Sources of revenue: </w:t>
            </w:r>
            <w:r w:rsidR="00761B21">
              <w:rPr>
                <w:rFonts w:cs="Arial"/>
              </w:rPr>
              <w:t xml:space="preserve">global </w:t>
            </w:r>
            <w:r w:rsidR="00371576">
              <w:rPr>
                <w:rFonts w:cs="Arial"/>
              </w:rPr>
              <w:t>segments (economy, midscale, luxury and upscale)</w:t>
            </w:r>
          </w:p>
          <w:p w14:paraId="3E60F03F" w14:textId="0F233865" w:rsidR="00761B21" w:rsidRDefault="00761B21" w:rsidP="005676F0">
            <w:pPr>
              <w:rPr>
                <w:rFonts w:cs="Arial"/>
              </w:rPr>
            </w:pPr>
            <w:r>
              <w:t>(Accor, 2023b, p. 8)</w:t>
            </w:r>
          </w:p>
        </w:tc>
        <w:tc>
          <w:tcPr>
            <w:tcW w:w="4508" w:type="dxa"/>
          </w:tcPr>
          <w:p w14:paraId="27ED824C" w14:textId="00F80668" w:rsidR="00BC5B6D" w:rsidRDefault="00BC5B6D" w:rsidP="005676F0">
            <w:pPr>
              <w:rPr>
                <w:rFonts w:cs="Arial"/>
              </w:rPr>
            </w:pPr>
            <w:r>
              <w:rPr>
                <w:rFonts w:cs="Arial"/>
              </w:rPr>
              <w:t>Sources of revenue:</w:t>
            </w:r>
            <w:r w:rsidR="00761B21">
              <w:rPr>
                <w:rFonts w:cs="Arial"/>
              </w:rPr>
              <w:t xml:space="preserve"> Corinthia Hotels Limited, Corinthia Developments International Limited, QPM Limited </w:t>
            </w:r>
            <w:r w:rsidR="00761B21">
              <w:t>(Corinthia Group, 2023b, p. 5)</w:t>
            </w:r>
          </w:p>
        </w:tc>
      </w:tr>
    </w:tbl>
    <w:p w14:paraId="45328F6C" w14:textId="77777777" w:rsidR="00770139" w:rsidRDefault="00770139" w:rsidP="001B56BB">
      <w:pPr>
        <w:rPr>
          <w:sz w:val="23"/>
          <w:szCs w:val="23"/>
        </w:rPr>
      </w:pPr>
    </w:p>
    <w:p w14:paraId="21FF91A0" w14:textId="6280E8E2" w:rsidR="00196F4A" w:rsidRDefault="00196F4A" w:rsidP="00196F4A">
      <w:pPr>
        <w:pStyle w:val="Caption"/>
        <w:jc w:val="center"/>
      </w:pPr>
      <w:bookmarkStart w:id="3" w:name="_Toc156766465"/>
      <w:bookmarkStart w:id="4" w:name="_Toc157175999"/>
      <w:r>
        <w:t xml:space="preserve">Table </w:t>
      </w:r>
      <w:r w:rsidR="00FA58E3">
        <w:fldChar w:fldCharType="begin"/>
      </w:r>
      <w:r w:rsidR="00FA58E3">
        <w:instrText xml:space="preserve"> SEQ Table \* ARABIC </w:instrText>
      </w:r>
      <w:r w:rsidR="00FA58E3">
        <w:fldChar w:fldCharType="separate"/>
      </w:r>
      <w:r>
        <w:rPr>
          <w:noProof/>
        </w:rPr>
        <w:t>1</w:t>
      </w:r>
      <w:r w:rsidR="00FA58E3">
        <w:rPr>
          <w:noProof/>
        </w:rPr>
        <w:fldChar w:fldCharType="end"/>
      </w:r>
      <w:r>
        <w:t xml:space="preserve">. </w:t>
      </w:r>
      <w:r w:rsidRPr="004D4216">
        <w:t>Accor vs Corinthia Hotel Group</w:t>
      </w:r>
      <w:bookmarkEnd w:id="3"/>
      <w:r w:rsidR="00BA1702">
        <w:t xml:space="preserve"> – total revenues</w:t>
      </w:r>
      <w:bookmarkEnd w:id="4"/>
    </w:p>
    <w:p w14:paraId="358E91CA" w14:textId="77777777" w:rsidR="00BA1702" w:rsidRPr="00BA1702" w:rsidRDefault="00BA1702" w:rsidP="00BA1702"/>
    <w:p w14:paraId="55C54F94" w14:textId="35529398" w:rsidR="00196F4A" w:rsidRDefault="0055569B" w:rsidP="00EA764C">
      <w:r>
        <w:t>Accor’s</w:t>
      </w:r>
      <w:r w:rsidR="00196F4A">
        <w:t xml:space="preserve"> total revenue of </w:t>
      </w:r>
      <w:r>
        <w:t>over €4.22 trillion for FY 2022</w:t>
      </w:r>
      <w:r w:rsidR="00196F4A">
        <w:t xml:space="preserve"> is significantly superior </w:t>
      </w:r>
      <w:r>
        <w:t xml:space="preserve">to Corinthia’s Hotel Group revenue of over €238.20 million, </w:t>
      </w:r>
      <w:r w:rsidR="00196F4A">
        <w:t xml:space="preserve">considering the size of </w:t>
      </w:r>
      <w:r>
        <w:t>Accor’s</w:t>
      </w:r>
      <w:r w:rsidR="00196F4A">
        <w:t xml:space="preserve"> network, which comprises more than 5,400 hotels and over 802,000 rooms (Accor, 2023b, p. 9), while Corinthia’s network includes twelve owned and managed hotels, nine managed hotels, and five land and commercial properties in Europe and the Middle East (Corinthia Group, 2023b, p. 6).</w:t>
      </w:r>
    </w:p>
    <w:p w14:paraId="16FFE56A" w14:textId="77777777" w:rsidR="00E84355" w:rsidRDefault="00E84355" w:rsidP="0055569B">
      <w:r>
        <w:t>Both Accor and Corinthia have reported superior revenues compared to the previous FY, when the negative effects of the COVID-19 pandemic restrictions had diminished revenues in the global hospitality industry (Gursoy and Chi, 2020). Thus, according to the supply law, when demand increases, supply increases as well.</w:t>
      </w:r>
    </w:p>
    <w:p w14:paraId="1D3CE02D" w14:textId="0F9F7779" w:rsidR="0055569B" w:rsidRPr="00196F4A" w:rsidRDefault="0055569B" w:rsidP="00BA1702">
      <w:r w:rsidRPr="00196F4A">
        <w:t xml:space="preserve">According to Harrison et al. (2020), cited by Harrison et al. (2021), </w:t>
      </w:r>
      <w:r>
        <w:t xml:space="preserve">in general, </w:t>
      </w:r>
      <w:r w:rsidRPr="00196F4A">
        <w:t xml:space="preserve">there are four key controls for </w:t>
      </w:r>
      <w:r w:rsidRPr="00BA1702">
        <w:t>revenue management:</w:t>
      </w:r>
      <w:r w:rsidR="00BA1702" w:rsidRPr="00BA1702">
        <w:t xml:space="preserve"> pr</w:t>
      </w:r>
      <w:r w:rsidRPr="00BA1702">
        <w:t>icing basis</w:t>
      </w:r>
      <w:r w:rsidR="00BA1702" w:rsidRPr="00BA1702">
        <w:t>, i</w:t>
      </w:r>
      <w:r w:rsidRPr="00BA1702">
        <w:t>nventory allocation</w:t>
      </w:r>
      <w:r w:rsidR="00BA1702" w:rsidRPr="00BA1702">
        <w:t>, p</w:t>
      </w:r>
      <w:r w:rsidRPr="00BA1702">
        <w:t>roduct configuration</w:t>
      </w:r>
      <w:r w:rsidR="00BA1702" w:rsidRPr="00BA1702">
        <w:t>, and d</w:t>
      </w:r>
      <w:r w:rsidRPr="00BA1702">
        <w:t>uration control</w:t>
      </w:r>
      <w:r w:rsidR="00BA1702" w:rsidRPr="00BA1702">
        <w:t>.</w:t>
      </w:r>
    </w:p>
    <w:p w14:paraId="3E8B62F6" w14:textId="77777777" w:rsidR="00AB6C63" w:rsidRDefault="001770D1" w:rsidP="001770D1">
      <w:r w:rsidRPr="001770D1">
        <w:t xml:space="preserve">Accor controls revenue management on a pricing basis, while Corinthia Hotel Group uses a product configuration basis. </w:t>
      </w:r>
    </w:p>
    <w:p w14:paraId="7E79EB86" w14:textId="77777777" w:rsidR="00AB6C63" w:rsidRDefault="001770D1" w:rsidP="001770D1">
      <w:r w:rsidRPr="001770D1">
        <w:t xml:space="preserve">Accor has a pricing strategy founded on how buyer segments distinguish specific value from the offering rather than on costs or by responding to rival prices. </w:t>
      </w:r>
    </w:p>
    <w:p w14:paraId="0651E09C" w14:textId="77777777" w:rsidR="00AB6C63" w:rsidRDefault="001770D1" w:rsidP="001770D1">
      <w:r w:rsidRPr="001770D1">
        <w:t>Corinthia Hotel Group customises or innovates offerings to meet the expectations of distinct consumer segments while adjusting prices for each segment.</w:t>
      </w:r>
      <w:r w:rsidR="00E226BA">
        <w:t xml:space="preserve"> </w:t>
      </w:r>
    </w:p>
    <w:p w14:paraId="564975FA" w14:textId="264D80C6" w:rsidR="00E226BA" w:rsidRDefault="00E226BA" w:rsidP="001770D1">
      <w:r>
        <w:t>Moreover, both companies apply market based pricing focused on customer and considering demand and psychological pricing</w:t>
      </w:r>
      <w:r w:rsidR="00984038">
        <w:t xml:space="preserve">. This is an advantage for Ibis, which is an economy hotel brand with a cost advantage in the market, while for Corinthia it is advantageous considering customers’ willingness to pay (Revenue Management Labs, 2024). </w:t>
      </w:r>
    </w:p>
    <w:p w14:paraId="16ABE0E8" w14:textId="77777777" w:rsidR="001770D1" w:rsidRDefault="001770D1" w:rsidP="001770D1">
      <w:pPr>
        <w:rPr>
          <w:sz w:val="23"/>
          <w:szCs w:val="23"/>
        </w:rPr>
      </w:pPr>
    </w:p>
    <w:p w14:paraId="4B827D23" w14:textId="19B8D221" w:rsidR="005802C5" w:rsidRDefault="005802C5" w:rsidP="00146609">
      <w:pPr>
        <w:pStyle w:val="Heading1"/>
        <w:numPr>
          <w:ilvl w:val="0"/>
          <w:numId w:val="4"/>
        </w:numPr>
      </w:pPr>
      <w:bookmarkStart w:id="5" w:name="_Toc157176142"/>
      <w:r w:rsidRPr="00146609">
        <w:t>Market</w:t>
      </w:r>
      <w:r>
        <w:t xml:space="preserve"> Position</w:t>
      </w:r>
      <w:bookmarkEnd w:id="5"/>
    </w:p>
    <w:p w14:paraId="63A1B7C3" w14:textId="77777777" w:rsidR="00196F4A" w:rsidRPr="00196F4A" w:rsidRDefault="00196F4A" w:rsidP="00196F4A"/>
    <w:p w14:paraId="19917262" w14:textId="77777777" w:rsidR="00196F4A" w:rsidRPr="00196F4A" w:rsidRDefault="00196F4A" w:rsidP="00196F4A">
      <w:r w:rsidRPr="00196F4A">
        <w:t>According to Oghojafor et al. (2013), market position is a key marketing concept that refers to the manner in which customers perceive a brand’s quality, attributes, value, price, and image. Marketers aim to build the equity of their brands to increase and positively influence long-term purchasing behaviour, using positioning as a core branding pursuit (Oghojafor et al., 2013).</w:t>
      </w:r>
    </w:p>
    <w:p w14:paraId="7BDDC894" w14:textId="77777777" w:rsidR="00196F4A" w:rsidRDefault="00196F4A" w:rsidP="00196F4A">
      <w:r w:rsidRPr="00196F4A">
        <w:t>According to CFI Education (2024), positioning strategies include the focus on the offering’s attributes and benefits, pricing, quality, the offering’s use and application, or on competition.</w:t>
      </w:r>
    </w:p>
    <w:p w14:paraId="6298F691" w14:textId="2EF1E338" w:rsidR="00196F4A" w:rsidRDefault="00BE06E5" w:rsidP="00146609">
      <w:r>
        <w:t xml:space="preserve">Considering </w:t>
      </w:r>
      <w:r>
        <w:rPr>
          <w:rStyle w:val="Strong"/>
          <w:color w:val="252525"/>
        </w:rPr>
        <w:t>Porter’s Generic Strategies</w:t>
      </w:r>
      <w:r>
        <w:t xml:space="preserve"> model (Porter, 1985) that assesses competitive positioning, Ibis Hotels has a broad target and obtains competitive advantage by </w:t>
      </w:r>
      <w:r>
        <w:rPr>
          <w:rStyle w:val="Strong"/>
          <w:color w:val="252525"/>
        </w:rPr>
        <w:t>cost leadership</w:t>
      </w:r>
      <w:r>
        <w:t xml:space="preserve"> as an economy brand, while Corinthia Hotels has a narrow target and obtains competitive advantage by </w:t>
      </w:r>
      <w:r>
        <w:rPr>
          <w:rStyle w:val="Strong"/>
          <w:color w:val="252525"/>
        </w:rPr>
        <w:t>differentiation</w:t>
      </w:r>
      <w:r>
        <w:t xml:space="preserve"> as a luxury brand. According to Bowman’s strategy clock (Bowman and Faulkner, 1996), Ibis Hotels employs a </w:t>
      </w:r>
      <w:r>
        <w:rPr>
          <w:rStyle w:val="Strong"/>
          <w:color w:val="252525"/>
        </w:rPr>
        <w:t>hybrid strategy</w:t>
      </w:r>
      <w:r>
        <w:t xml:space="preserve"> that combines low prices and differentiation for the Ibis Styles brand and a low-priced ‘no frills’ strategy for the Ibis Budget and Ibis (Accor, 2023b). On the other hand, Corinthia Hotels combines differentiation and differentiation focus depending on the hotel and location (Corinthia Group, 2023b). Considering that demand has increased in the last two years, consequently, the revenues of the hotels have increased.</w:t>
      </w:r>
    </w:p>
    <w:p w14:paraId="4D3D7111" w14:textId="77777777" w:rsidR="00BE06E5" w:rsidRDefault="00BE06E5" w:rsidP="00146609"/>
    <w:p w14:paraId="1E993801" w14:textId="1D3E3947" w:rsidR="00094BD8" w:rsidRDefault="00B46857" w:rsidP="00B46857">
      <w:pPr>
        <w:pStyle w:val="Heading2"/>
        <w:numPr>
          <w:ilvl w:val="1"/>
          <w:numId w:val="4"/>
        </w:numPr>
      </w:pPr>
      <w:bookmarkStart w:id="6" w:name="_Toc157176143"/>
      <w:r>
        <w:t>Market share</w:t>
      </w:r>
      <w:bookmarkEnd w:id="6"/>
    </w:p>
    <w:p w14:paraId="0FCE06C5" w14:textId="77777777" w:rsidR="00196F4A" w:rsidRPr="00196F4A" w:rsidRDefault="00196F4A" w:rsidP="00196F4A"/>
    <w:p w14:paraId="6DD80C90" w14:textId="4DBCB7E3" w:rsidR="00585FBB" w:rsidRDefault="00585FBB" w:rsidP="00585FBB">
      <w:r>
        <w:t>According to Patrizi (2023), Accor SA is t</w:t>
      </w:r>
      <w:r w:rsidRPr="00585FBB">
        <w:t xml:space="preserve">he largest </w:t>
      </w:r>
      <w:r>
        <w:t xml:space="preserve">European </w:t>
      </w:r>
      <w:r w:rsidRPr="00585FBB">
        <w:t xml:space="preserve">hospitality corporation and the sixth </w:t>
      </w:r>
      <w:r>
        <w:t xml:space="preserve">at </w:t>
      </w:r>
      <w:r w:rsidR="00196F4A">
        <w:t xml:space="preserve">the </w:t>
      </w:r>
      <w:r>
        <w:t>global level</w:t>
      </w:r>
      <w:r w:rsidR="004E0F13">
        <w:t xml:space="preserve"> with 9.6% market share, while it is surpassed by Marriott, Hilton, and Hyatt.</w:t>
      </w:r>
    </w:p>
    <w:p w14:paraId="35618E44" w14:textId="51E3424B" w:rsidR="00B071A6" w:rsidRDefault="00B071A6" w:rsidP="00585FBB">
      <w:r>
        <w:rPr>
          <w:noProof/>
        </w:rPr>
        <w:drawing>
          <wp:inline distT="0" distB="0" distL="0" distR="0" wp14:anchorId="51D9081F" wp14:editId="014F7F98">
            <wp:extent cx="5731510" cy="3546475"/>
            <wp:effectExtent l="0" t="0" r="2540" b="0"/>
            <wp:docPr id="1077768063" name="Picture 3" descr="Market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 Sh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46475"/>
                    </a:xfrm>
                    <a:prstGeom prst="rect">
                      <a:avLst/>
                    </a:prstGeom>
                    <a:noFill/>
                    <a:ln>
                      <a:noFill/>
                    </a:ln>
                  </pic:spPr>
                </pic:pic>
              </a:graphicData>
            </a:graphic>
          </wp:inline>
        </w:drawing>
      </w:r>
    </w:p>
    <w:p w14:paraId="155613C9" w14:textId="77777777" w:rsidR="00777C2A" w:rsidRDefault="00777C2A" w:rsidP="00777C2A">
      <w:pPr>
        <w:pStyle w:val="Caption"/>
        <w:jc w:val="center"/>
      </w:pPr>
      <w:r>
        <w:t xml:space="preserve">Figure </w:t>
      </w:r>
      <w:r w:rsidR="00FA58E3">
        <w:fldChar w:fldCharType="begin"/>
      </w:r>
      <w:r w:rsidR="00FA58E3">
        <w:instrText xml:space="preserve"> SEQ Figure \* ARABIC </w:instrText>
      </w:r>
      <w:r w:rsidR="00FA58E3">
        <w:fldChar w:fldCharType="separate"/>
      </w:r>
      <w:r>
        <w:rPr>
          <w:noProof/>
        </w:rPr>
        <w:t>1</w:t>
      </w:r>
      <w:r w:rsidR="00FA58E3">
        <w:rPr>
          <w:noProof/>
        </w:rPr>
        <w:fldChar w:fldCharType="end"/>
      </w:r>
      <w:r>
        <w:t>.</w:t>
      </w:r>
      <w:r w:rsidRPr="00A56EAD">
        <w:t>Accor</w:t>
      </w:r>
      <w:r>
        <w:t>'s</w:t>
      </w:r>
      <w:r w:rsidRPr="00A56EAD">
        <w:t xml:space="preserve"> market share</w:t>
      </w:r>
    </w:p>
    <w:p w14:paraId="57822811" w14:textId="17AE5095" w:rsidR="004E0F13" w:rsidRDefault="004E0F13" w:rsidP="00777C2A">
      <w:pPr>
        <w:jc w:val="center"/>
      </w:pPr>
      <w:r>
        <w:t>Source: Patrizi, 2023</w:t>
      </w:r>
    </w:p>
    <w:p w14:paraId="0607FA52" w14:textId="77777777" w:rsidR="00343DBA" w:rsidRDefault="00343DBA" w:rsidP="008814FB">
      <w:pPr>
        <w:jc w:val="center"/>
      </w:pPr>
    </w:p>
    <w:p w14:paraId="328372B3" w14:textId="77777777" w:rsidR="00343DBA" w:rsidRDefault="00343DBA" w:rsidP="00343DBA">
      <w:r>
        <w:t>As measured by Future Market Insights and cited by Accor (2023c), the global market of extended stay hotels is estimated at $54.5 billion in 2023, and it is predicted to extend to $166.5 billion by 2032.</w:t>
      </w:r>
    </w:p>
    <w:p w14:paraId="77D40721" w14:textId="77777777" w:rsidR="00343DBA" w:rsidRDefault="00343DBA" w:rsidP="00343DBA">
      <w:r>
        <w:t>Considering this information and Corinthia’s revenues of €238,207,000 (around 259 million USD) in 2023, it means that Corinthia has a market share of 0.47%.</w:t>
      </w:r>
    </w:p>
    <w:p w14:paraId="33CD6D6B" w14:textId="24A77A9D" w:rsidR="00B071A6" w:rsidRDefault="00343DBA" w:rsidP="00343DBA">
      <w:r>
        <w:t>It can be summarised that Accor has a market share that is twenty times bigger than Corinthia’s</w:t>
      </w:r>
      <w:r w:rsidR="00E20696">
        <w:t xml:space="preserve"> market share</w:t>
      </w:r>
      <w:r>
        <w:t>.</w:t>
      </w:r>
    </w:p>
    <w:p w14:paraId="20D540F2" w14:textId="77777777" w:rsidR="00F74484" w:rsidRDefault="00F74484" w:rsidP="00343DBA"/>
    <w:p w14:paraId="486EBC04" w14:textId="75E275BC" w:rsidR="00B071A6" w:rsidRDefault="00B071A6" w:rsidP="00B071A6">
      <w:pPr>
        <w:pStyle w:val="Heading2"/>
        <w:numPr>
          <w:ilvl w:val="1"/>
          <w:numId w:val="4"/>
        </w:numPr>
      </w:pPr>
      <w:bookmarkStart w:id="7" w:name="_Toc157176144"/>
      <w:r>
        <w:t>Customer demographics</w:t>
      </w:r>
      <w:bookmarkEnd w:id="7"/>
      <w:r>
        <w:t xml:space="preserve"> </w:t>
      </w:r>
    </w:p>
    <w:p w14:paraId="42140AD8" w14:textId="4638C91F" w:rsidR="001A1525" w:rsidRDefault="001A1525" w:rsidP="001A1525">
      <w:r>
        <w:t>Ibis is a brand that targets the economic segment of customers (Accor, 2023b, p. 8). On the other hand, Corinthia is a brand that targets the luxury customer segment (Corinthia Group, 2023a).</w:t>
      </w:r>
    </w:p>
    <w:p w14:paraId="15F0DA76" w14:textId="77777777" w:rsidR="001A1525" w:rsidRDefault="001A1525" w:rsidP="001A1525">
      <w:r>
        <w:t>From a geographical perspective, Ibis Hotels is targeting customers all over the world, while Corinthia targets European and Middle Eastern countries (Corinthia Group, 2023b, p. 6).</w:t>
      </w:r>
    </w:p>
    <w:p w14:paraId="53F99A1D" w14:textId="38C87D66" w:rsidR="001A1525" w:rsidRDefault="001A1525" w:rsidP="001A1525">
      <w:r>
        <w:t>From a demographic segmentation perspective, each brand has a target audience with specific levels of income, professional achievement, and social status. Ibis targets low-budget customers who need accommodation (Cheng, 2019), while Corinthia targets the luxury customer segment with high income and social status</w:t>
      </w:r>
      <w:r w:rsidR="00D76141">
        <w:t xml:space="preserve"> through differentiation</w:t>
      </w:r>
      <w:r>
        <w:t>.</w:t>
      </w:r>
    </w:p>
    <w:p w14:paraId="299A1BAF" w14:textId="77777777" w:rsidR="001A1525" w:rsidRDefault="001A1525" w:rsidP="001A1525">
      <w:r>
        <w:t>From the psychographic segmentation perspective, each brand focuses on activities such as travel and business-positioned luxuries. Hence, Ibis offers basic accommodation services, while Corinthia offers extended luxury accommodation services.</w:t>
      </w:r>
    </w:p>
    <w:p w14:paraId="74C6F947" w14:textId="1CE91972" w:rsidR="00A57C25" w:rsidRDefault="001A1525" w:rsidP="001A1525">
      <w:pPr>
        <w:rPr>
          <w:rFonts w:cs="Arial"/>
        </w:rPr>
      </w:pPr>
      <w:r>
        <w:t xml:space="preserve">Moreover, the Ibis brand offers the maximum quality of budget accommodation; Ibis styles target customers who appreciate creativity and design, while Ibis budget targets price-conscious tourists </w:t>
      </w:r>
      <w:r w:rsidR="00D76141">
        <w:t xml:space="preserve">through cost leadership </w:t>
      </w:r>
      <w:r>
        <w:t>(MBA School Team, 2024).</w:t>
      </w:r>
    </w:p>
    <w:p w14:paraId="1C102AA3" w14:textId="77777777" w:rsidR="00B071A6" w:rsidRDefault="00B071A6" w:rsidP="00B071A6"/>
    <w:p w14:paraId="48E5E8A9" w14:textId="5A76A960" w:rsidR="00B071A6" w:rsidRDefault="00B071A6" w:rsidP="00B071A6">
      <w:pPr>
        <w:pStyle w:val="Heading2"/>
        <w:numPr>
          <w:ilvl w:val="1"/>
          <w:numId w:val="4"/>
        </w:numPr>
      </w:pPr>
      <w:bookmarkStart w:id="8" w:name="_Toc157176145"/>
      <w:r>
        <w:t>Brand perception</w:t>
      </w:r>
      <w:bookmarkEnd w:id="8"/>
    </w:p>
    <w:p w14:paraId="0F2699F5" w14:textId="77777777" w:rsidR="001A1525" w:rsidRPr="001A1525" w:rsidRDefault="001A1525" w:rsidP="001A1525"/>
    <w:p w14:paraId="70D39570" w14:textId="331F0180" w:rsidR="00F05E59" w:rsidRDefault="00F05E59" w:rsidP="00F05E59">
      <w:pPr>
        <w:rPr>
          <w:rFonts w:cs="Arial"/>
        </w:rPr>
      </w:pPr>
      <w:r>
        <w:t xml:space="preserve">Ibis is perceived as offering </w:t>
      </w:r>
      <w:r>
        <w:rPr>
          <w:rFonts w:cs="Arial"/>
        </w:rPr>
        <w:t>basic accommodation services (</w:t>
      </w:r>
      <w:r w:rsidRPr="00D30727">
        <w:rPr>
          <w:rFonts w:cs="Arial"/>
        </w:rPr>
        <w:t>Cheng, 2019</w:t>
      </w:r>
      <w:r>
        <w:rPr>
          <w:rFonts w:cs="Arial"/>
        </w:rPr>
        <w:t>), while Corinthia is perceived as a luxury hotel brand.</w:t>
      </w:r>
    </w:p>
    <w:p w14:paraId="4B397477" w14:textId="77777777" w:rsidR="0020013F" w:rsidRPr="00F05E59" w:rsidRDefault="0020013F" w:rsidP="00F05E59"/>
    <w:p w14:paraId="1FE25D63" w14:textId="545C1948" w:rsidR="005802C5" w:rsidRDefault="005802C5" w:rsidP="000E3E7A">
      <w:pPr>
        <w:pStyle w:val="Heading1"/>
        <w:numPr>
          <w:ilvl w:val="0"/>
          <w:numId w:val="4"/>
        </w:numPr>
      </w:pPr>
      <w:bookmarkStart w:id="9" w:name="_Toc157176146"/>
      <w:r>
        <w:t>Growth Potential</w:t>
      </w:r>
      <w:bookmarkEnd w:id="9"/>
    </w:p>
    <w:p w14:paraId="45C38A83" w14:textId="77777777" w:rsidR="0017457F" w:rsidRPr="0017457F" w:rsidRDefault="0017457F" w:rsidP="0017457F"/>
    <w:p w14:paraId="0A67E5C8" w14:textId="0BB74947" w:rsidR="0020013F" w:rsidRDefault="00DB0DDB" w:rsidP="0017457F">
      <w:pPr>
        <w:pStyle w:val="Heading2"/>
        <w:numPr>
          <w:ilvl w:val="1"/>
          <w:numId w:val="4"/>
        </w:numPr>
      </w:pPr>
      <w:bookmarkStart w:id="10" w:name="_Toc157176147"/>
      <w:r>
        <w:t>Expansion strategy</w:t>
      </w:r>
      <w:bookmarkEnd w:id="10"/>
    </w:p>
    <w:p w14:paraId="62810C07" w14:textId="77777777" w:rsidR="0017457F" w:rsidRPr="0017457F" w:rsidRDefault="0017457F" w:rsidP="0017457F">
      <w:pPr>
        <w:pStyle w:val="ListParagraph"/>
        <w:ind w:left="1080"/>
      </w:pPr>
    </w:p>
    <w:p w14:paraId="590D83D8" w14:textId="77777777" w:rsidR="0041626E" w:rsidRDefault="0041626E" w:rsidP="0041626E">
      <w:r>
        <w:t>Accor has an expansion strategy based on increasing the network around the world for each segment, including the economy hotels under his brand. Hence, in 2022, Accor opened 43,362 rooms in 299 new hotels, of which 34% were in the economy segment, considering that, at the global level, it accounts for three-fifths of the company’s growth (Accor, 2023b, p. 57). The strategy is recognised by Accor as a development driven by organic growth (Accor, 2023b, p. 57). In 2022, the Ibis network grew by two percent, including openings in Asia-Pacific and the Americas (Accor, 2023b, p. 57).</w:t>
      </w:r>
    </w:p>
    <w:p w14:paraId="76003B7A" w14:textId="44D61005" w:rsidR="001719B0" w:rsidRDefault="0041626E" w:rsidP="0041626E">
      <w:r>
        <w:t>In the case of Corinthia, the growth strategy is based on diversification of the portfolio, and through strategic partnership agreements, the group will launch in 2024 a new brand included in the upscale segment (Corinthia Group, 2023b, p. 21).</w:t>
      </w:r>
    </w:p>
    <w:p w14:paraId="7733E048" w14:textId="77777777" w:rsidR="0041626E" w:rsidRDefault="0041626E" w:rsidP="0041626E"/>
    <w:p w14:paraId="764C428C" w14:textId="557BC122" w:rsidR="006D43D5" w:rsidRDefault="00194B69" w:rsidP="00194B69">
      <w:pPr>
        <w:pStyle w:val="Heading2"/>
      </w:pPr>
      <w:bookmarkStart w:id="11" w:name="_Toc157176148"/>
      <w:r>
        <w:t xml:space="preserve">4.2. </w:t>
      </w:r>
      <w:r w:rsidR="00F17D23">
        <w:t>Market opportunities</w:t>
      </w:r>
      <w:bookmarkEnd w:id="11"/>
    </w:p>
    <w:p w14:paraId="6CC99104" w14:textId="77777777" w:rsidR="001719B0" w:rsidRPr="001719B0" w:rsidRDefault="001719B0" w:rsidP="001719B0"/>
    <w:p w14:paraId="636E258D" w14:textId="77777777" w:rsidR="0041626E" w:rsidRPr="0041626E" w:rsidRDefault="0041626E" w:rsidP="0041626E">
      <w:r w:rsidRPr="0041626E">
        <w:t>Accor (2023b) emphasises that the organisation has the opportunity to grow organically by addressing the demand and trends on the market and also by innovating, using digital technologies, and corporate responsibility. The hospitality global market increases constantly by an annual growth rate of 4–7% in non-crisis contexts (Accor, 2023b). Moreover, the Ibis brand has a strong focus on the sustainability of operations, with ambitious goals that can be achieved involving employees, guests, partners, and local communities (Ibis Accor, 2020). There are two pillars of the programme, namely sustainable food and buildings (Ibis Accor, 2020).</w:t>
      </w:r>
    </w:p>
    <w:p w14:paraId="13A38FBB" w14:textId="77777777" w:rsidR="0041626E" w:rsidRPr="0041626E" w:rsidRDefault="0041626E" w:rsidP="0041626E">
      <w:r w:rsidRPr="0041626E">
        <w:t>In the case of Corinthia, their last reporting statement emphasises opportunities such as partnerships with like-minded parties in key locations. In Europe, the USA, Oman, UAE, Qatar, and Saudi Arabia (Corinthia Group, 2023b). Similar to Ibis and Accor, Corinthia focuses on increasing the sustainability of operations according to the UN Sustainability Goals (Corinthia Group, 2023c).</w:t>
      </w:r>
    </w:p>
    <w:p w14:paraId="7D464F11" w14:textId="77777777" w:rsidR="0041626E" w:rsidRDefault="0041626E" w:rsidP="005910BA"/>
    <w:p w14:paraId="7F996CF8" w14:textId="76C8782D" w:rsidR="002D4FE7" w:rsidRDefault="00553531" w:rsidP="0041626E">
      <w:pPr>
        <w:pStyle w:val="Heading2"/>
        <w:numPr>
          <w:ilvl w:val="1"/>
          <w:numId w:val="4"/>
        </w:numPr>
      </w:pPr>
      <w:bookmarkStart w:id="12" w:name="_Toc157176149"/>
      <w:r>
        <w:t>Potential barriers to growth</w:t>
      </w:r>
      <w:bookmarkEnd w:id="12"/>
    </w:p>
    <w:p w14:paraId="4E0D7EDB" w14:textId="77777777" w:rsidR="0041626E" w:rsidRPr="0041626E" w:rsidRDefault="0041626E" w:rsidP="0041626E">
      <w:pPr>
        <w:pStyle w:val="ListParagraph"/>
        <w:ind w:left="1080"/>
      </w:pPr>
    </w:p>
    <w:p w14:paraId="065D9C33" w14:textId="77777777" w:rsidR="00625DDE" w:rsidRDefault="00625DDE" w:rsidP="00625DDE">
      <w:r>
        <w:t>Both companies emphasise risks that can affect their organisational growth, such as disruptions in the global economy caused by geopolitical instability, pandemics, economic recession, changing social trends, environmental issues caused by climate change, changing regulatory and legal frameworks, etc.</w:t>
      </w:r>
    </w:p>
    <w:p w14:paraId="503E0F04" w14:textId="77777777" w:rsidR="00625DDE" w:rsidRDefault="00625DDE" w:rsidP="00625DDE">
      <w:r>
        <w:t>Moreover, they identify financial risks related to financing operations, including the financing of expansion plans.</w:t>
      </w:r>
    </w:p>
    <w:p w14:paraId="1829256E" w14:textId="1087E466" w:rsidR="00625DDE" w:rsidRDefault="00625DDE" w:rsidP="00625DDE">
      <w:r>
        <w:t>Moreover, from a legal perspective, it is essential to comply with different legal frameworks in different countries.</w:t>
      </w:r>
    </w:p>
    <w:p w14:paraId="0826A726" w14:textId="77777777" w:rsidR="00AC78BF" w:rsidRDefault="00AC78BF" w:rsidP="00625DDE"/>
    <w:p w14:paraId="332C3A0E" w14:textId="77777777" w:rsidR="00AC78BF" w:rsidRDefault="00AC78BF" w:rsidP="00625DDE"/>
    <w:p w14:paraId="7A9D6FD2" w14:textId="364C0095" w:rsidR="005802C5" w:rsidRDefault="005802C5" w:rsidP="000E3E7A">
      <w:pPr>
        <w:pStyle w:val="Heading1"/>
        <w:numPr>
          <w:ilvl w:val="0"/>
          <w:numId w:val="4"/>
        </w:numPr>
      </w:pPr>
      <w:bookmarkStart w:id="13" w:name="_Toc157176150"/>
      <w:r>
        <w:t>Financial Commitment to CSR</w:t>
      </w:r>
      <w:bookmarkEnd w:id="13"/>
    </w:p>
    <w:p w14:paraId="292A2860" w14:textId="77777777" w:rsidR="00BE06E5" w:rsidRPr="00BE06E5" w:rsidRDefault="00BE06E5" w:rsidP="00BE06E5"/>
    <w:p w14:paraId="3C70852D" w14:textId="0E257193" w:rsidR="009F251B" w:rsidRDefault="00BE06E5" w:rsidP="009F251B">
      <w:r>
        <w:t xml:space="preserve">CSR is a concept related to the organisational commitment to ethical business conduct. According to </w:t>
      </w:r>
      <w:r w:rsidRPr="00BE06E5">
        <w:t>Elkington (199</w:t>
      </w:r>
      <w:r w:rsidR="00DF38A3">
        <w:t>7</w:t>
      </w:r>
      <w:r w:rsidRPr="00BE06E5">
        <w:t>)</w:t>
      </w:r>
      <w:r w:rsidR="0054690C">
        <w:t xml:space="preserve">, there are three pillars of CSR, namely people, planet and profit or the ‘Tripple Bottom Line’. </w:t>
      </w:r>
    </w:p>
    <w:p w14:paraId="637AF7FB" w14:textId="77777777" w:rsidR="00BE06E5" w:rsidRPr="009F251B" w:rsidRDefault="00BE06E5" w:rsidP="009F251B"/>
    <w:p w14:paraId="283CCC84" w14:textId="452C06ED" w:rsidR="00FA4DF2" w:rsidRDefault="001719B0" w:rsidP="001719B0">
      <w:pPr>
        <w:pStyle w:val="Heading2"/>
        <w:numPr>
          <w:ilvl w:val="1"/>
          <w:numId w:val="4"/>
        </w:numPr>
      </w:pPr>
      <w:bookmarkStart w:id="14" w:name="_Toc157176151"/>
      <w:r>
        <w:t>Sustainability practices</w:t>
      </w:r>
      <w:bookmarkEnd w:id="14"/>
    </w:p>
    <w:p w14:paraId="1A4BD39F" w14:textId="080F0017" w:rsidR="009F251B" w:rsidRPr="009F251B" w:rsidRDefault="00DF38A3" w:rsidP="009F251B">
      <w:r>
        <w:t>Both Accor (2023b) and Corinthia Hotels (2023b) emphasise the importance of</w:t>
      </w:r>
      <w:r w:rsidRPr="00DF38A3">
        <w:t xml:space="preserve"> </w:t>
      </w:r>
      <w:r>
        <w:t>the ‘Tripple Bottom Line’ in their financial statements, focusing on people, planet and profit.</w:t>
      </w:r>
    </w:p>
    <w:p w14:paraId="6AD31555" w14:textId="36804A03" w:rsidR="00260A8E" w:rsidRDefault="00260A8E" w:rsidP="00260A8E">
      <w:r>
        <w:t>Accor (2023b) emphasises that the organisation has the opportunity to grow organically by enhancing their corporate responsibility to increase brand equity as a responsible business. Ibis hotels implement</w:t>
      </w:r>
      <w:r w:rsidR="007A4EDE">
        <w:t>ed</w:t>
      </w:r>
      <w:r>
        <w:t xml:space="preserve"> the programme ‘Plant for the Planet’, which asks the customers to reuse their towels in order to decrease the costs related to water and energy consumption, while the money saved is used to finance tree planting (Ibis Accor, 2020). Moreover, Ibis hotels provide eco-certified toiletries for guests and use environmentally friendly and eco-certified substances for cleaning (Ibis Accor, 2020).</w:t>
      </w:r>
    </w:p>
    <w:p w14:paraId="6DD20807" w14:textId="3EE65C49" w:rsidR="008C69C1" w:rsidRDefault="00260A8E" w:rsidP="00260A8E">
      <w:r>
        <w:t>Corinthia Group has a strong CSR strategy that aims to nurture a positive organisational culture in which employees can develop and reach their potential, uplifting communities, creating outstanding guest experiences, and enhancing environmental innovation, according to UN Sustainability Goals (Corinthia Group, 2023c).</w:t>
      </w:r>
    </w:p>
    <w:p w14:paraId="103DDEDC" w14:textId="77777777" w:rsidR="00260A8E" w:rsidRPr="001719B0" w:rsidRDefault="00260A8E" w:rsidP="00260A8E"/>
    <w:p w14:paraId="17490E6D" w14:textId="6E75176B" w:rsidR="001719B0" w:rsidRDefault="001719B0" w:rsidP="001719B0">
      <w:pPr>
        <w:pStyle w:val="Heading2"/>
        <w:numPr>
          <w:ilvl w:val="1"/>
          <w:numId w:val="4"/>
        </w:numPr>
      </w:pPr>
      <w:bookmarkStart w:id="15" w:name="_Toc157176152"/>
      <w:r>
        <w:t>Community engagement</w:t>
      </w:r>
      <w:bookmarkEnd w:id="15"/>
      <w:r>
        <w:t xml:space="preserve"> </w:t>
      </w:r>
    </w:p>
    <w:p w14:paraId="5399B030" w14:textId="77777777" w:rsidR="00260A8E" w:rsidRPr="00260A8E" w:rsidRDefault="00260A8E" w:rsidP="00260A8E"/>
    <w:p w14:paraId="6920A183" w14:textId="77777777" w:rsidR="00260A8E" w:rsidRDefault="00260A8E" w:rsidP="00260A8E">
      <w:r>
        <w:t>Both brands have CSR practices that aim to increase community engagement and make a positive impact on local communities.</w:t>
      </w:r>
    </w:p>
    <w:p w14:paraId="23E11E32" w14:textId="77777777" w:rsidR="00260A8E" w:rsidRDefault="00260A8E" w:rsidP="00260A8E">
      <w:r>
        <w:t>Ibis has a policy of sourcing healthy and sustainable food in their restaurants from local communities, with a reduced impact on the environment by reducing food waste and banning the consumption of overfished species (Ibis Accor, 2020). Moreover, the budget chain is committed to fighting child sexual exploitation by raising awareness among customers about this concern (Ibis Accor, 2020).</w:t>
      </w:r>
    </w:p>
    <w:p w14:paraId="2555040D" w14:textId="0E502475" w:rsidR="00BE287A" w:rsidRDefault="00260A8E" w:rsidP="00260A8E">
      <w:r>
        <w:t>Corinthia Group has a focus on its obligation towards humanity by practicing sound principles of CSR that translate into several initiatives to support local communities, cultures, sports, and the arts in the locations where it operates (Corinthia Group, 2023b, p. 68).</w:t>
      </w:r>
    </w:p>
    <w:p w14:paraId="348FEBF2" w14:textId="77777777" w:rsidR="00260A8E" w:rsidRDefault="00260A8E" w:rsidP="00260A8E"/>
    <w:p w14:paraId="188A3AC0" w14:textId="5DCE691A" w:rsidR="001719B0" w:rsidRDefault="001719B0" w:rsidP="001719B0">
      <w:pPr>
        <w:pStyle w:val="Heading2"/>
        <w:numPr>
          <w:ilvl w:val="1"/>
          <w:numId w:val="4"/>
        </w:numPr>
      </w:pPr>
      <w:bookmarkStart w:id="16" w:name="_Toc157176153"/>
      <w:r>
        <w:t>Ethical business practices</w:t>
      </w:r>
      <w:bookmarkEnd w:id="16"/>
    </w:p>
    <w:p w14:paraId="1D2A73B0" w14:textId="77777777" w:rsidR="00260A8E" w:rsidRPr="00260A8E" w:rsidRDefault="00260A8E" w:rsidP="00260A8E"/>
    <w:p w14:paraId="3A6DF2A2" w14:textId="77777777" w:rsidR="00260A8E" w:rsidRPr="00260A8E" w:rsidRDefault="00260A8E" w:rsidP="00260A8E">
      <w:r w:rsidRPr="00260A8E">
        <w:t>Corinthia Group emphasises the importance of ethical business practices based on the firm’s values, which underpin its high standards of ethical conduct, by respecting human rights, diversity, and fighting firmly against corruption (Corinthia Group, 2023b, p. 52).</w:t>
      </w:r>
    </w:p>
    <w:p w14:paraId="270209F1" w14:textId="77777777" w:rsidR="00260A8E" w:rsidRPr="00260A8E" w:rsidRDefault="00260A8E" w:rsidP="00260A8E">
      <w:r w:rsidRPr="00260A8E">
        <w:t>Accor (2023b) founded its ethical business practices on legal and regulatory compliance, loyal practices, fighting against corruption, and responsible lobbying.</w:t>
      </w:r>
    </w:p>
    <w:p w14:paraId="7BF929C7" w14:textId="77777777" w:rsidR="00FA4DF2" w:rsidRDefault="00FA4DF2" w:rsidP="00094BD8"/>
    <w:p w14:paraId="27699104" w14:textId="43B6071F" w:rsidR="00770139" w:rsidRDefault="005802C5" w:rsidP="000E3E7A">
      <w:pPr>
        <w:pStyle w:val="Heading1"/>
        <w:numPr>
          <w:ilvl w:val="0"/>
          <w:numId w:val="4"/>
        </w:numPr>
      </w:pPr>
      <w:bookmarkStart w:id="17" w:name="_Toc157176154"/>
      <w:r>
        <w:t>Conclusions and Recommendations</w:t>
      </w:r>
      <w:bookmarkEnd w:id="17"/>
    </w:p>
    <w:p w14:paraId="6FFF05D2" w14:textId="77777777" w:rsidR="00260A8E" w:rsidRPr="00260A8E" w:rsidRDefault="00260A8E" w:rsidP="00260A8E"/>
    <w:p w14:paraId="68E9A9EF" w14:textId="77777777" w:rsidR="00E01645" w:rsidRDefault="00E01645" w:rsidP="00E01645">
      <w:r>
        <w:t>The report has critically assessed and compared the approaches to financial management of two leading brands in the hospitality business, Corinthia Hotels and Ibis Hotels. Their FM strategies and practices were analysed, considering key areas that influence their financial performance and sustainability. The analysis included key areas such as total revenue, market positioning, growth potential, and financial commitment to CSR.</w:t>
      </w:r>
    </w:p>
    <w:p w14:paraId="67292BFC" w14:textId="77777777" w:rsidR="00E01645" w:rsidRDefault="00E01645" w:rsidP="00E01645">
      <w:r>
        <w:t>To Ibis Hotels, it is recommended to continue to expand their international network to address the increasing demand (Accor, 2023b) and to develop growth by innovating, using digital technologies, and corporate responsibility based on triple bottom line (Elkington, 1997). Effectively enhancing the sustainability of operations can be achieved by involving employees, guests, partners, and local communities based on sustainable food and buildings (Ibis Accor, 2020).</w:t>
      </w:r>
    </w:p>
    <w:p w14:paraId="31894D8C" w14:textId="77777777" w:rsidR="00E01645" w:rsidRDefault="00E01645" w:rsidP="00E01645">
      <w:r>
        <w:t>Corinthia Hotels should continue to seize opportunities, such as partnerships with like-minded parties in key locations in Europe, the USA, and the Middle East (Corinthia Group, 2023b). Moreover, the company should increase the sustainability of its operations according to the UN Sustainability Goals (Corinthia Group, 2023c) by investing in CSR programmes based on triple bottom line (Elkington, 1997).</w:t>
      </w:r>
    </w:p>
    <w:p w14:paraId="77C171AC" w14:textId="53266B53" w:rsidR="006D76B8" w:rsidRDefault="00E01645" w:rsidP="006D76B8">
      <w:pPr>
        <w:rPr>
          <w:sz w:val="23"/>
          <w:szCs w:val="23"/>
        </w:rPr>
      </w:pPr>
      <w:r>
        <w:t> </w:t>
      </w:r>
      <w:r w:rsidR="00260A8E" w:rsidRPr="00260A8E">
        <w:t> </w:t>
      </w:r>
    </w:p>
    <w:p w14:paraId="5EED2452" w14:textId="7A09F6D8" w:rsidR="006D76B8" w:rsidRDefault="006D76B8" w:rsidP="000E3E7A">
      <w:pPr>
        <w:pStyle w:val="Heading1"/>
        <w:numPr>
          <w:ilvl w:val="0"/>
          <w:numId w:val="4"/>
        </w:numPr>
      </w:pPr>
      <w:bookmarkStart w:id="18" w:name="_Toc157176155"/>
      <w:r>
        <w:t>References</w:t>
      </w:r>
      <w:bookmarkEnd w:id="18"/>
    </w:p>
    <w:p w14:paraId="14634206" w14:textId="77777777" w:rsidR="005910BA" w:rsidRPr="00146609" w:rsidRDefault="005910BA" w:rsidP="00F23CBA"/>
    <w:p w14:paraId="29EB88DE" w14:textId="77777777" w:rsidR="00E530BF" w:rsidRPr="00146609" w:rsidRDefault="00E530BF" w:rsidP="006D76B8">
      <w:pPr>
        <w:rPr>
          <w:rFonts w:cs="Arial"/>
          <w:color w:val="000000"/>
          <w:shd w:val="clear" w:color="auto" w:fill="F8F8F7"/>
        </w:rPr>
      </w:pPr>
      <w:r w:rsidRPr="00146609">
        <w:rPr>
          <w:rFonts w:cs="Arial"/>
          <w:color w:val="000000"/>
          <w:shd w:val="clear" w:color="auto" w:fill="F8F8F7"/>
        </w:rPr>
        <w:t xml:space="preserve">Accor (2023a) </w:t>
      </w:r>
      <w:r w:rsidRPr="00146609">
        <w:rPr>
          <w:rFonts w:cs="Arial"/>
          <w:i/>
          <w:iCs/>
          <w:color w:val="000000"/>
          <w:shd w:val="clear" w:color="auto" w:fill="F8F8F7"/>
        </w:rPr>
        <w:t>Accor At a Glance</w:t>
      </w:r>
      <w:r w:rsidRPr="00146609">
        <w:rPr>
          <w:rFonts w:cs="Arial"/>
          <w:color w:val="000000"/>
          <w:shd w:val="clear" w:color="auto" w:fill="F8F8F7"/>
        </w:rPr>
        <w:t xml:space="preserve">. Available at: </w:t>
      </w:r>
      <w:hyperlink r:id="rId9" w:history="1">
        <w:r w:rsidRPr="00146609">
          <w:rPr>
            <w:rStyle w:val="Hyperlink"/>
            <w:rFonts w:cs="Arial"/>
            <w:shd w:val="clear" w:color="auto" w:fill="F8F8F7"/>
          </w:rPr>
          <w:t>https://group.accor.com/-/media/Corporate/Home/Documents/Publications/PDF-for-pages/Accor_AtAGlance_2023.pdf</w:t>
        </w:r>
      </w:hyperlink>
      <w:r w:rsidRPr="00146609">
        <w:rPr>
          <w:rFonts w:cs="Arial"/>
          <w:color w:val="000000"/>
          <w:shd w:val="clear" w:color="auto" w:fill="F8F8F7"/>
        </w:rPr>
        <w:t xml:space="preserve"> (Accessed 15 January 2024)</w:t>
      </w:r>
    </w:p>
    <w:p w14:paraId="4BEE757A" w14:textId="77777777" w:rsidR="00E530BF" w:rsidRDefault="00E530BF" w:rsidP="006D76B8">
      <w:pPr>
        <w:rPr>
          <w:rFonts w:cs="Arial"/>
          <w:color w:val="000000"/>
          <w:shd w:val="clear" w:color="auto" w:fill="F8F8F7"/>
        </w:rPr>
      </w:pPr>
      <w:r w:rsidRPr="00146609">
        <w:t xml:space="preserve">Accor (2023b) </w:t>
      </w:r>
      <w:r w:rsidRPr="00146609">
        <w:rPr>
          <w:i/>
          <w:iCs/>
        </w:rPr>
        <w:t>Financial Report</w:t>
      </w:r>
      <w:r w:rsidRPr="00146609">
        <w:t xml:space="preserve">. Available at: </w:t>
      </w:r>
      <w:hyperlink r:id="rId10" w:history="1">
        <w:r w:rsidRPr="00146609">
          <w:rPr>
            <w:rStyle w:val="Hyperlink"/>
          </w:rPr>
          <w:t>https://group.accor.com/-/media/Corporate/Investors/Documents-financiers/2023/07-27-H1/Interim_Financial_Report_2023_Accor_vDef.pdf</w:t>
        </w:r>
      </w:hyperlink>
      <w:r w:rsidRPr="00146609">
        <w:t xml:space="preserve"> </w:t>
      </w:r>
      <w:r w:rsidRPr="00146609">
        <w:rPr>
          <w:rFonts w:cs="Arial"/>
          <w:color w:val="000000"/>
          <w:shd w:val="clear" w:color="auto" w:fill="F8F8F7"/>
        </w:rPr>
        <w:t>(Accessed 15 January 2024)</w:t>
      </w:r>
    </w:p>
    <w:p w14:paraId="161DB871" w14:textId="77777777" w:rsidR="00E530BF" w:rsidRDefault="00E530BF" w:rsidP="008814FB">
      <w:pPr>
        <w:rPr>
          <w:rFonts w:cs="Arial"/>
          <w:color w:val="000000"/>
          <w:shd w:val="clear" w:color="auto" w:fill="F8F8F7"/>
        </w:rPr>
      </w:pPr>
      <w:r w:rsidRPr="00146609">
        <w:t>Accor (2023</w:t>
      </w:r>
      <w:r>
        <w:t>c</w:t>
      </w:r>
      <w:r w:rsidRPr="00146609">
        <w:t>)</w:t>
      </w:r>
      <w:r>
        <w:t xml:space="preserve"> </w:t>
      </w:r>
      <w:r w:rsidRPr="008814FB">
        <w:rPr>
          <w:i/>
          <w:iCs/>
        </w:rPr>
        <w:t>Accor’s global leadership position in the increasingly popular extended stay market continues to accelerate</w:t>
      </w:r>
      <w:r>
        <w:t xml:space="preserve">. Available at: </w:t>
      </w:r>
      <w:hyperlink r:id="rId11" w:history="1">
        <w:r w:rsidRPr="001716BA">
          <w:rPr>
            <w:rStyle w:val="Hyperlink"/>
          </w:rPr>
          <w:t>https://press.accor.com/accors-global-leadership-position-in-the-increasingly-popular-extended-stay-market-continues-to-accelerate/?lang=en</w:t>
        </w:r>
      </w:hyperlink>
      <w:r>
        <w:t xml:space="preserve"> </w:t>
      </w:r>
      <w:r w:rsidRPr="00146609">
        <w:rPr>
          <w:rFonts w:cs="Arial"/>
          <w:color w:val="000000"/>
          <w:shd w:val="clear" w:color="auto" w:fill="F8F8F7"/>
        </w:rPr>
        <w:t>(Accessed 15 January 2024)</w:t>
      </w:r>
    </w:p>
    <w:p w14:paraId="0D3988D7" w14:textId="77777777" w:rsidR="00E530BF" w:rsidRPr="00146609" w:rsidRDefault="00E530BF" w:rsidP="006D76B8">
      <w:r w:rsidRPr="00146609">
        <w:t xml:space="preserve">Atrill, P. (2006) </w:t>
      </w:r>
      <w:r w:rsidRPr="00146609">
        <w:rPr>
          <w:i/>
          <w:iCs/>
        </w:rPr>
        <w:t>Financial management for decision makers</w:t>
      </w:r>
      <w:r w:rsidRPr="00146609">
        <w:t>. London: Pearson Education.</w:t>
      </w:r>
    </w:p>
    <w:p w14:paraId="73436603" w14:textId="77777777" w:rsidR="00E530BF" w:rsidRDefault="00E530BF" w:rsidP="006D76B8">
      <w:r w:rsidRPr="00146609">
        <w:t xml:space="preserve">Bartov, E. and Mohanram, P.S. (2014) ‘Does income statement placement matter to investors? The case of gains/losses from early debt extinguishment’. </w:t>
      </w:r>
      <w:r w:rsidRPr="00146609">
        <w:rPr>
          <w:i/>
          <w:iCs/>
        </w:rPr>
        <w:t>The Accounting Review</w:t>
      </w:r>
      <w:r w:rsidRPr="00146609">
        <w:t>, 89(6), pp. 2021-2055.</w:t>
      </w:r>
    </w:p>
    <w:p w14:paraId="7BAD6CFC" w14:textId="77777777" w:rsidR="00E530BF" w:rsidRPr="00146609" w:rsidRDefault="00E530BF" w:rsidP="006D76B8">
      <w:r w:rsidRPr="000B3290">
        <w:t xml:space="preserve">Bowman, C. and Faulkner, D. </w:t>
      </w:r>
      <w:r>
        <w:t>(</w:t>
      </w:r>
      <w:r w:rsidRPr="000B3290">
        <w:t>1996</w:t>
      </w:r>
      <w:r>
        <w:t>)</w:t>
      </w:r>
      <w:r w:rsidRPr="000B3290">
        <w:t xml:space="preserve"> </w:t>
      </w:r>
      <w:r w:rsidRPr="000B3290">
        <w:rPr>
          <w:i/>
          <w:iCs/>
        </w:rPr>
        <w:t>Competitive and Corporate Strategy</w:t>
      </w:r>
      <w:r w:rsidRPr="000B3290">
        <w:t xml:space="preserve">. </w:t>
      </w:r>
      <w:r>
        <w:t xml:space="preserve">Burr Ridge, Il: </w:t>
      </w:r>
      <w:r w:rsidRPr="000B3290">
        <w:t>Irwin.</w:t>
      </w:r>
    </w:p>
    <w:p w14:paraId="473AEEF7" w14:textId="77777777" w:rsidR="00E530BF" w:rsidRPr="00DF3A2A" w:rsidRDefault="00E530BF" w:rsidP="006D76B8">
      <w:r w:rsidRPr="00DF3A2A">
        <w:t xml:space="preserve">CFI Education (2024) </w:t>
      </w:r>
      <w:r w:rsidRPr="00DF3A2A">
        <w:rPr>
          <w:i/>
          <w:iCs/>
        </w:rPr>
        <w:t>Market Positioning</w:t>
      </w:r>
      <w:r>
        <w:t xml:space="preserve">. </w:t>
      </w:r>
      <w:r w:rsidRPr="00146609">
        <w:t>Available at:</w:t>
      </w:r>
      <w:r>
        <w:t xml:space="preserve"> </w:t>
      </w:r>
      <w:hyperlink r:id="rId12" w:anchor=":~:text=What%20is%20Market%20Positioning%3F,it%20in%20a%20certain%20way" w:history="1">
        <w:r w:rsidRPr="001716BA">
          <w:rPr>
            <w:rStyle w:val="Hyperlink"/>
          </w:rPr>
          <w:t>https://corporatefinanceinstitute.com/resources/management/market-positioning/#:~:text=What%20is%20Market%20Positioning%3F,it%20in%20a%20certain%20way</w:t>
        </w:r>
      </w:hyperlink>
      <w:r w:rsidRPr="00DF3A2A">
        <w:t>.</w:t>
      </w:r>
      <w:r>
        <w:t xml:space="preserve"> (</w:t>
      </w:r>
      <w:r w:rsidRPr="00146609">
        <w:rPr>
          <w:rFonts w:cs="Arial"/>
          <w:color w:val="000000"/>
          <w:shd w:val="clear" w:color="auto" w:fill="F8F8F7"/>
        </w:rPr>
        <w:t>Accessed 1</w:t>
      </w:r>
      <w:r>
        <w:rPr>
          <w:rFonts w:cs="Arial"/>
          <w:color w:val="000000"/>
          <w:shd w:val="clear" w:color="auto" w:fill="F8F8F7"/>
        </w:rPr>
        <w:t>7</w:t>
      </w:r>
      <w:r w:rsidRPr="00146609">
        <w:rPr>
          <w:rFonts w:cs="Arial"/>
          <w:color w:val="000000"/>
          <w:shd w:val="clear" w:color="auto" w:fill="F8F8F7"/>
        </w:rPr>
        <w:t xml:space="preserve"> January 2024)</w:t>
      </w:r>
    </w:p>
    <w:p w14:paraId="3AEE5777" w14:textId="77777777" w:rsidR="00E530BF" w:rsidRPr="00DF3A2A" w:rsidRDefault="00E530BF" w:rsidP="006D76B8">
      <w:r w:rsidRPr="00ED406A">
        <w:t>Cheng, J.</w:t>
      </w:r>
      <w:r>
        <w:t xml:space="preserve"> (</w:t>
      </w:r>
      <w:r w:rsidRPr="00ED406A">
        <w:t>2019</w:t>
      </w:r>
      <w:r>
        <w:t>)</w:t>
      </w:r>
      <w:r w:rsidRPr="00ED406A">
        <w:t xml:space="preserve"> </w:t>
      </w:r>
      <w:r>
        <w:t>‘</w:t>
      </w:r>
      <w:r w:rsidRPr="00ED406A">
        <w:t>Research and Suggestions on Declining Market Shares of Ibis Budget Hotels</w:t>
      </w:r>
      <w:r>
        <w:t>’</w:t>
      </w:r>
      <w:r w:rsidRPr="00ED406A">
        <w:t xml:space="preserve">. </w:t>
      </w:r>
      <w:r w:rsidRPr="00ED406A">
        <w:rPr>
          <w:i/>
          <w:iCs/>
        </w:rPr>
        <w:t>Open Journal of Social Sciences</w:t>
      </w:r>
      <w:r w:rsidRPr="00ED406A">
        <w:t>, 8(1), pp.</w:t>
      </w:r>
      <w:r>
        <w:t xml:space="preserve"> </w:t>
      </w:r>
      <w:r w:rsidRPr="00ED406A">
        <w:t>253-261.</w:t>
      </w:r>
    </w:p>
    <w:p w14:paraId="649E52FC" w14:textId="77777777" w:rsidR="00E530BF" w:rsidRPr="00146609" w:rsidRDefault="00E530BF" w:rsidP="006D76B8">
      <w:pPr>
        <w:rPr>
          <w:rFonts w:cs="Arial"/>
          <w:color w:val="000000"/>
          <w:shd w:val="clear" w:color="auto" w:fill="F8F8F7"/>
        </w:rPr>
      </w:pPr>
      <w:r w:rsidRPr="00146609">
        <w:rPr>
          <w:rFonts w:cs="Arial"/>
          <w:color w:val="000000"/>
          <w:shd w:val="clear" w:color="auto" w:fill="F8F8F7"/>
        </w:rPr>
        <w:t xml:space="preserve">Corinthia Group (2023a) </w:t>
      </w:r>
      <w:r w:rsidRPr="00146609">
        <w:rPr>
          <w:rFonts w:cs="Arial"/>
          <w:i/>
          <w:iCs/>
          <w:color w:val="000000"/>
          <w:shd w:val="clear" w:color="auto" w:fill="F8F8F7"/>
        </w:rPr>
        <w:t>About Corinthia Hotels</w:t>
      </w:r>
      <w:r w:rsidRPr="00146609">
        <w:rPr>
          <w:rFonts w:cs="Arial"/>
          <w:color w:val="000000"/>
          <w:shd w:val="clear" w:color="auto" w:fill="F8F8F7"/>
        </w:rPr>
        <w:t xml:space="preserve">. Available at: </w:t>
      </w:r>
      <w:hyperlink r:id="rId13" w:history="1">
        <w:r w:rsidRPr="00146609">
          <w:rPr>
            <w:rStyle w:val="Hyperlink"/>
            <w:rFonts w:cs="Arial"/>
            <w:shd w:val="clear" w:color="auto" w:fill="F8F8F7"/>
          </w:rPr>
          <w:t>https://www.corinthia.com/en-gb/latest-news/carlo-cracco-teams-up-with-corinthia-in-rome/</w:t>
        </w:r>
      </w:hyperlink>
      <w:r w:rsidRPr="00146609">
        <w:rPr>
          <w:rFonts w:cs="Arial"/>
          <w:color w:val="000000"/>
          <w:shd w:val="clear" w:color="auto" w:fill="F8F8F7"/>
        </w:rPr>
        <w:t xml:space="preserve"> (Accessed 15 January 2024)</w:t>
      </w:r>
    </w:p>
    <w:p w14:paraId="28E276D3" w14:textId="77777777" w:rsidR="00E530BF" w:rsidRDefault="00E530BF" w:rsidP="006D76B8">
      <w:pPr>
        <w:rPr>
          <w:rFonts w:cs="Arial"/>
          <w:color w:val="000000"/>
          <w:shd w:val="clear" w:color="auto" w:fill="F8F8F7"/>
        </w:rPr>
      </w:pPr>
      <w:r w:rsidRPr="00146609">
        <w:rPr>
          <w:rFonts w:cs="Arial"/>
          <w:color w:val="000000"/>
          <w:shd w:val="clear" w:color="auto" w:fill="F8F8F7"/>
        </w:rPr>
        <w:t xml:space="preserve">Corinthia Group (2023b) </w:t>
      </w:r>
      <w:r w:rsidRPr="00146609">
        <w:rPr>
          <w:rFonts w:cs="Arial"/>
          <w:i/>
          <w:iCs/>
          <w:color w:val="000000"/>
          <w:shd w:val="clear" w:color="auto" w:fill="F8F8F7"/>
        </w:rPr>
        <w:t>Financial Statement for the year ended 2022</w:t>
      </w:r>
      <w:r w:rsidRPr="00146609">
        <w:rPr>
          <w:rFonts w:cs="Arial"/>
          <w:color w:val="000000"/>
          <w:shd w:val="clear" w:color="auto" w:fill="F8F8F7"/>
        </w:rPr>
        <w:t xml:space="preserve">. Available at: </w:t>
      </w:r>
      <w:hyperlink r:id="rId14" w:history="1">
        <w:r w:rsidRPr="00146609">
          <w:rPr>
            <w:rStyle w:val="Hyperlink"/>
            <w:rFonts w:cs="Arial"/>
            <w:shd w:val="clear" w:color="auto" w:fill="F8F8F7"/>
          </w:rPr>
          <w:t>https://www.corinthiagroup.com/wp-content/uploads/2023/06/37547-CORINTHIA-ANNUAL-REPORT-2022_WEB-min.pdf</w:t>
        </w:r>
      </w:hyperlink>
      <w:r w:rsidRPr="00146609">
        <w:rPr>
          <w:rFonts w:cs="Arial"/>
          <w:color w:val="000000"/>
          <w:shd w:val="clear" w:color="auto" w:fill="F8F8F7"/>
        </w:rPr>
        <w:t xml:space="preserve"> (Accessed 15 January 2024)</w:t>
      </w:r>
    </w:p>
    <w:p w14:paraId="12F53800" w14:textId="77777777" w:rsidR="00E530BF" w:rsidRDefault="00E530BF" w:rsidP="006D76B8">
      <w:pPr>
        <w:rPr>
          <w:rFonts w:cs="Arial"/>
          <w:color w:val="000000"/>
          <w:shd w:val="clear" w:color="auto" w:fill="F8F8F7"/>
        </w:rPr>
      </w:pPr>
      <w:r w:rsidRPr="00146609">
        <w:rPr>
          <w:rFonts w:cs="Arial"/>
          <w:color w:val="000000"/>
          <w:shd w:val="clear" w:color="auto" w:fill="F8F8F7"/>
        </w:rPr>
        <w:t>Corinthia Group (2023</w:t>
      </w:r>
      <w:r>
        <w:rPr>
          <w:rFonts w:cs="Arial"/>
          <w:color w:val="000000"/>
          <w:shd w:val="clear" w:color="auto" w:fill="F8F8F7"/>
        </w:rPr>
        <w:t>c</w:t>
      </w:r>
      <w:r w:rsidRPr="00146609">
        <w:rPr>
          <w:rFonts w:cs="Arial"/>
          <w:color w:val="000000"/>
          <w:shd w:val="clear" w:color="auto" w:fill="F8F8F7"/>
        </w:rPr>
        <w:t>)</w:t>
      </w:r>
      <w:r>
        <w:rPr>
          <w:rFonts w:cs="Arial"/>
          <w:color w:val="000000"/>
          <w:shd w:val="clear" w:color="auto" w:fill="F8F8F7"/>
        </w:rPr>
        <w:t xml:space="preserve"> Sustainable development goals. Available at: </w:t>
      </w:r>
      <w:hyperlink r:id="rId15" w:history="1">
        <w:r w:rsidRPr="001716BA">
          <w:rPr>
            <w:rStyle w:val="Hyperlink"/>
            <w:rFonts w:cs="Arial"/>
            <w:shd w:val="clear" w:color="auto" w:fill="F8F8F7"/>
          </w:rPr>
          <w:t>https://www.corinthia.com/en-gb/sustainability/</w:t>
        </w:r>
      </w:hyperlink>
      <w:r>
        <w:rPr>
          <w:rFonts w:cs="Arial"/>
          <w:color w:val="000000"/>
          <w:shd w:val="clear" w:color="auto" w:fill="F8F8F7"/>
        </w:rPr>
        <w:t xml:space="preserve"> </w:t>
      </w:r>
      <w:r w:rsidRPr="00146609">
        <w:rPr>
          <w:rFonts w:cs="Arial"/>
          <w:color w:val="000000"/>
          <w:shd w:val="clear" w:color="auto" w:fill="F8F8F7"/>
        </w:rPr>
        <w:t xml:space="preserve">(Accessed </w:t>
      </w:r>
      <w:r>
        <w:rPr>
          <w:rFonts w:cs="Arial"/>
          <w:color w:val="000000"/>
          <w:shd w:val="clear" w:color="auto" w:fill="F8F8F7"/>
        </w:rPr>
        <w:t>2</w:t>
      </w:r>
      <w:r w:rsidRPr="00146609">
        <w:rPr>
          <w:rFonts w:cs="Arial"/>
          <w:color w:val="000000"/>
          <w:shd w:val="clear" w:color="auto" w:fill="F8F8F7"/>
        </w:rPr>
        <w:t>1 January 2024)</w:t>
      </w:r>
    </w:p>
    <w:p w14:paraId="64720614" w14:textId="77777777" w:rsidR="00E530BF" w:rsidRPr="00146609" w:rsidRDefault="00E530BF" w:rsidP="006D76B8">
      <w:pPr>
        <w:rPr>
          <w:rFonts w:cs="Arial"/>
          <w:color w:val="000000"/>
          <w:shd w:val="clear" w:color="auto" w:fill="F8F8F7"/>
        </w:rPr>
      </w:pPr>
      <w:r w:rsidRPr="00DF38A3">
        <w:rPr>
          <w:rFonts w:cs="Arial"/>
          <w:color w:val="000000"/>
          <w:shd w:val="clear" w:color="auto" w:fill="F8F8F7"/>
        </w:rPr>
        <w:t xml:space="preserve">Elkington, J. </w:t>
      </w:r>
      <w:r>
        <w:rPr>
          <w:rFonts w:cs="Arial"/>
          <w:color w:val="000000"/>
          <w:shd w:val="clear" w:color="auto" w:fill="F8F8F7"/>
        </w:rPr>
        <w:t>(</w:t>
      </w:r>
      <w:r w:rsidRPr="00DF38A3">
        <w:rPr>
          <w:rFonts w:cs="Arial"/>
          <w:color w:val="000000"/>
          <w:shd w:val="clear" w:color="auto" w:fill="F8F8F7"/>
        </w:rPr>
        <w:t>1997</w:t>
      </w:r>
      <w:r>
        <w:rPr>
          <w:rFonts w:cs="Arial"/>
          <w:color w:val="000000"/>
          <w:shd w:val="clear" w:color="auto" w:fill="F8F8F7"/>
        </w:rPr>
        <w:t>)</w:t>
      </w:r>
      <w:r w:rsidRPr="00DF38A3">
        <w:rPr>
          <w:rFonts w:cs="Arial"/>
          <w:color w:val="000000"/>
          <w:shd w:val="clear" w:color="auto" w:fill="F8F8F7"/>
        </w:rPr>
        <w:t xml:space="preserve"> </w:t>
      </w:r>
      <w:r>
        <w:rPr>
          <w:rFonts w:cs="Arial"/>
          <w:color w:val="000000"/>
          <w:shd w:val="clear" w:color="auto" w:fill="F8F8F7"/>
        </w:rPr>
        <w:t>‘</w:t>
      </w:r>
      <w:r w:rsidRPr="00DF38A3">
        <w:rPr>
          <w:rFonts w:cs="Arial"/>
          <w:color w:val="000000"/>
          <w:shd w:val="clear" w:color="auto" w:fill="F8F8F7"/>
        </w:rPr>
        <w:t>The triple bottom line</w:t>
      </w:r>
      <w:r>
        <w:rPr>
          <w:rFonts w:cs="Arial"/>
          <w:color w:val="000000"/>
          <w:shd w:val="clear" w:color="auto" w:fill="F8F8F7"/>
        </w:rPr>
        <w:t>’</w:t>
      </w:r>
      <w:r w:rsidRPr="00DF38A3">
        <w:rPr>
          <w:rFonts w:cs="Arial"/>
          <w:color w:val="000000"/>
          <w:shd w:val="clear" w:color="auto" w:fill="F8F8F7"/>
        </w:rPr>
        <w:t xml:space="preserve">. </w:t>
      </w:r>
      <w:r w:rsidRPr="00DF38A3">
        <w:rPr>
          <w:rFonts w:cs="Arial"/>
          <w:i/>
          <w:iCs/>
          <w:color w:val="000000"/>
          <w:shd w:val="clear" w:color="auto" w:fill="F8F8F7"/>
        </w:rPr>
        <w:t>Environmental management: Readings and cases</w:t>
      </w:r>
      <w:r w:rsidRPr="00DF38A3">
        <w:rPr>
          <w:rFonts w:cs="Arial"/>
          <w:color w:val="000000"/>
          <w:shd w:val="clear" w:color="auto" w:fill="F8F8F7"/>
        </w:rPr>
        <w:t>, 2, pp.</w:t>
      </w:r>
      <w:r>
        <w:rPr>
          <w:rFonts w:cs="Arial"/>
          <w:color w:val="000000"/>
          <w:shd w:val="clear" w:color="auto" w:fill="F8F8F7"/>
        </w:rPr>
        <w:t xml:space="preserve"> </w:t>
      </w:r>
      <w:r w:rsidRPr="00DF38A3">
        <w:rPr>
          <w:rFonts w:cs="Arial"/>
          <w:color w:val="000000"/>
          <w:shd w:val="clear" w:color="auto" w:fill="F8F8F7"/>
        </w:rPr>
        <w:t>49-66.</w:t>
      </w:r>
    </w:p>
    <w:p w14:paraId="0560224F" w14:textId="77777777" w:rsidR="00E530BF" w:rsidRPr="00146609" w:rsidRDefault="00E530BF" w:rsidP="006D76B8">
      <w:r w:rsidRPr="00146609">
        <w:t xml:space="preserve">Gursoy, D. and Chi, C.G. (2020) ‘Effects of COVID-19 pandemic on hospitality industry: review of the current situations and a research agenda’. </w:t>
      </w:r>
      <w:r w:rsidRPr="00146609">
        <w:rPr>
          <w:i/>
          <w:iCs/>
        </w:rPr>
        <w:t>Journal of Hospitality Marketing &amp; Management</w:t>
      </w:r>
      <w:r w:rsidRPr="00146609">
        <w:t>, 29(5), pp. 527-529.</w:t>
      </w:r>
    </w:p>
    <w:p w14:paraId="5410D989" w14:textId="77777777" w:rsidR="00E530BF" w:rsidRPr="00146609" w:rsidRDefault="00E530BF" w:rsidP="006D76B8">
      <w:pPr>
        <w:rPr>
          <w:rFonts w:cs="Arial"/>
          <w:color w:val="000000"/>
          <w:shd w:val="clear" w:color="auto" w:fill="F8F8F7"/>
        </w:rPr>
      </w:pPr>
      <w:r w:rsidRPr="00146609">
        <w:t xml:space="preserve">Harrison, J., Ng, F., Rouse, P., and Swain, M.R. (2020) </w:t>
      </w:r>
      <w:r w:rsidRPr="00146609">
        <w:rPr>
          <w:i/>
          <w:iCs/>
        </w:rPr>
        <w:t>Revenue Management Fundamentals</w:t>
      </w:r>
      <w:r w:rsidRPr="00146609">
        <w:t xml:space="preserve">. Research publications. Available at: </w:t>
      </w:r>
      <w:hyperlink r:id="rId16" w:history="1">
        <w:r w:rsidRPr="00146609">
          <w:rPr>
            <w:rStyle w:val="Hyperlink"/>
          </w:rPr>
          <w:t>https://eu.imanet.org/api/sitecore/CallToAction/CallToActionClick?itemId=FA070B58BC18447D9EF6ED857B8FEEB7</w:t>
        </w:r>
      </w:hyperlink>
      <w:r w:rsidRPr="00146609">
        <w:t xml:space="preserve"> </w:t>
      </w:r>
      <w:r w:rsidRPr="00146609">
        <w:rPr>
          <w:rFonts w:cs="Arial"/>
          <w:color w:val="000000"/>
          <w:shd w:val="clear" w:color="auto" w:fill="F8F8F7"/>
        </w:rPr>
        <w:t>(Accessed 15 January 2024)</w:t>
      </w:r>
    </w:p>
    <w:p w14:paraId="25763663" w14:textId="77777777" w:rsidR="00E530BF" w:rsidRPr="00146609" w:rsidRDefault="00E530BF" w:rsidP="006D76B8">
      <w:r w:rsidRPr="00146609">
        <w:t xml:space="preserve">Harrison, J., Ng, F., Rouse, P., and Swain, M.R. (2021) </w:t>
      </w:r>
      <w:r w:rsidRPr="00146609">
        <w:rPr>
          <w:i/>
          <w:iCs/>
        </w:rPr>
        <w:t>The Four Levers of Revenue Management.</w:t>
      </w:r>
      <w:r w:rsidRPr="00146609">
        <w:t xml:space="preserve"> Available at: </w:t>
      </w:r>
      <w:hyperlink r:id="rId17" w:anchor=":~:text=Pricing%20basis%20and%20inventory%20allocation,to%20support%20the%20volume%20of" w:history="1">
        <w:r w:rsidRPr="00146609">
          <w:rPr>
            <w:rStyle w:val="Hyperlink"/>
          </w:rPr>
          <w:t>https://www.sfmagazine.com/articles/2021/november/the-four-levers-of-revenue-management/#:~:text=Pricing%20basis%20and%20inventory%20allocation,to%20support%20the%20volume%20of</w:t>
        </w:r>
      </w:hyperlink>
      <w:r w:rsidRPr="00146609">
        <w:t xml:space="preserve"> </w:t>
      </w:r>
      <w:r w:rsidRPr="00146609">
        <w:rPr>
          <w:rFonts w:cs="Arial"/>
          <w:color w:val="000000"/>
          <w:shd w:val="clear" w:color="auto" w:fill="F8F8F7"/>
        </w:rPr>
        <w:t>(Accessed 15 January 2024)</w:t>
      </w:r>
    </w:p>
    <w:p w14:paraId="431130BB" w14:textId="77777777" w:rsidR="00E530BF" w:rsidRDefault="00E530BF" w:rsidP="008622C1">
      <w:pPr>
        <w:rPr>
          <w:rFonts w:cs="Arial"/>
          <w:color w:val="000000"/>
          <w:shd w:val="clear" w:color="auto" w:fill="F8F8F7"/>
        </w:rPr>
      </w:pPr>
      <w:r>
        <w:rPr>
          <w:rFonts w:cs="Arial"/>
          <w:color w:val="000000"/>
          <w:shd w:val="clear" w:color="auto" w:fill="F8F8F7"/>
        </w:rPr>
        <w:t xml:space="preserve">Ibis Accor (2020) With Planet 21, Accor aims to provide a positive hospitality experience. Available at: </w:t>
      </w:r>
      <w:hyperlink r:id="rId18" w:history="1">
        <w:r w:rsidRPr="001716BA">
          <w:rPr>
            <w:rStyle w:val="Hyperlink"/>
            <w:rFonts w:cs="Arial"/>
            <w:shd w:val="clear" w:color="auto" w:fill="F8F8F7"/>
          </w:rPr>
          <w:t>https://ibis.accor.com/sustainable-development/index.en.shtml</w:t>
        </w:r>
      </w:hyperlink>
      <w:r>
        <w:rPr>
          <w:rFonts w:cs="Arial"/>
          <w:color w:val="000000"/>
          <w:shd w:val="clear" w:color="auto" w:fill="F8F8F7"/>
        </w:rPr>
        <w:t xml:space="preserve"> </w:t>
      </w:r>
      <w:r>
        <w:t>(</w:t>
      </w:r>
      <w:r w:rsidRPr="00146609">
        <w:rPr>
          <w:rFonts w:cs="Arial"/>
          <w:color w:val="000000"/>
          <w:shd w:val="clear" w:color="auto" w:fill="F8F8F7"/>
        </w:rPr>
        <w:t>Accessed</w:t>
      </w:r>
      <w:r>
        <w:rPr>
          <w:rFonts w:cs="Arial"/>
          <w:color w:val="000000"/>
          <w:shd w:val="clear" w:color="auto" w:fill="F8F8F7"/>
        </w:rPr>
        <w:t xml:space="preserve"> 20</w:t>
      </w:r>
      <w:r w:rsidRPr="00146609">
        <w:rPr>
          <w:rFonts w:cs="Arial"/>
          <w:color w:val="000000"/>
          <w:shd w:val="clear" w:color="auto" w:fill="F8F8F7"/>
        </w:rPr>
        <w:t xml:space="preserve"> January 2024)</w:t>
      </w:r>
    </w:p>
    <w:p w14:paraId="05875BB1" w14:textId="77777777" w:rsidR="00E530BF" w:rsidRDefault="00E530BF" w:rsidP="006D76B8">
      <w:r w:rsidRPr="00146609">
        <w:t xml:space="preserve">Ivanov, S. and Zhechev, V. (2012) ‘Hotel revenue management–a critical literature review’. </w:t>
      </w:r>
      <w:r w:rsidRPr="00146609">
        <w:rPr>
          <w:i/>
          <w:iCs/>
        </w:rPr>
        <w:t>Tourism: an international interdisciplinary journal</w:t>
      </w:r>
      <w:r w:rsidRPr="00146609">
        <w:t>, 60(2), pp. 175-197.</w:t>
      </w:r>
    </w:p>
    <w:p w14:paraId="34D53C0A" w14:textId="77777777" w:rsidR="00E530BF" w:rsidRDefault="00E530BF" w:rsidP="006D76B8">
      <w:r w:rsidRPr="00BF1703">
        <w:t xml:space="preserve">Levy, H. and Sarnat, M. </w:t>
      </w:r>
      <w:r>
        <w:t>(</w:t>
      </w:r>
      <w:r w:rsidRPr="00BF1703">
        <w:t>1994</w:t>
      </w:r>
      <w:r>
        <w:t>)</w:t>
      </w:r>
      <w:r w:rsidRPr="00BF1703">
        <w:t xml:space="preserve"> </w:t>
      </w:r>
      <w:r w:rsidRPr="00BF1703">
        <w:rPr>
          <w:i/>
          <w:iCs/>
        </w:rPr>
        <w:t>Capital investment and financial decisions</w:t>
      </w:r>
      <w:r w:rsidRPr="00BF1703">
        <w:t>.</w:t>
      </w:r>
      <w:r>
        <w:t xml:space="preserve"> Fifth Edition.</w:t>
      </w:r>
      <w:r w:rsidRPr="00BF1703">
        <w:t xml:space="preserve"> </w:t>
      </w:r>
      <w:r>
        <w:t xml:space="preserve">London: </w:t>
      </w:r>
      <w:r w:rsidRPr="00BF1703">
        <w:t>Pearson Education.</w:t>
      </w:r>
    </w:p>
    <w:p w14:paraId="736D21F3" w14:textId="77777777" w:rsidR="00E530BF" w:rsidRPr="00146609" w:rsidRDefault="00E530BF" w:rsidP="006D76B8">
      <w:r w:rsidRPr="008846FF">
        <w:t xml:space="preserve">Marshall, R. and Lennard, A. </w:t>
      </w:r>
      <w:r>
        <w:t>(</w:t>
      </w:r>
      <w:r w:rsidRPr="008846FF">
        <w:t>2016</w:t>
      </w:r>
      <w:r>
        <w:t>)</w:t>
      </w:r>
      <w:r w:rsidRPr="008846FF">
        <w:t xml:space="preserve"> </w:t>
      </w:r>
      <w:r>
        <w:t>‘</w:t>
      </w:r>
      <w:r w:rsidRPr="008846FF">
        <w:t>The reporting of income and expense and the choice of measurement bases</w:t>
      </w:r>
      <w:r>
        <w:t>’</w:t>
      </w:r>
      <w:r w:rsidRPr="008846FF">
        <w:t xml:space="preserve">. </w:t>
      </w:r>
      <w:r w:rsidRPr="008846FF">
        <w:rPr>
          <w:i/>
          <w:iCs/>
        </w:rPr>
        <w:t>Accounting Horizons</w:t>
      </w:r>
      <w:r w:rsidRPr="008846FF">
        <w:t>, 30(4), pp.</w:t>
      </w:r>
      <w:r>
        <w:t xml:space="preserve"> </w:t>
      </w:r>
      <w:r w:rsidRPr="008846FF">
        <w:t>499-510.</w:t>
      </w:r>
    </w:p>
    <w:p w14:paraId="3CBC4AB5" w14:textId="77777777" w:rsidR="00E530BF" w:rsidRDefault="00E530BF" w:rsidP="006D76B8">
      <w:pPr>
        <w:rPr>
          <w:rFonts w:cs="Arial"/>
          <w:color w:val="000000"/>
          <w:shd w:val="clear" w:color="auto" w:fill="F8F8F7"/>
        </w:rPr>
      </w:pPr>
      <w:r>
        <w:rPr>
          <w:rFonts w:cs="Arial"/>
          <w:color w:val="000000"/>
          <w:shd w:val="clear" w:color="auto" w:fill="F8F8F7"/>
        </w:rPr>
        <w:t xml:space="preserve">MBA School Team (2024) </w:t>
      </w:r>
      <w:r w:rsidRPr="00837AC3">
        <w:rPr>
          <w:rFonts w:cs="Arial"/>
          <w:i/>
          <w:iCs/>
          <w:color w:val="000000"/>
          <w:shd w:val="clear" w:color="auto" w:fill="F8F8F7"/>
        </w:rPr>
        <w:t>Ibis Marketing Strategy &amp; Marketing Mix (4Ps)</w:t>
      </w:r>
      <w:r>
        <w:rPr>
          <w:rFonts w:cs="Arial"/>
          <w:color w:val="000000"/>
          <w:shd w:val="clear" w:color="auto" w:fill="F8F8F7"/>
        </w:rPr>
        <w:t xml:space="preserve">. Available at: </w:t>
      </w:r>
      <w:hyperlink r:id="rId19" w:history="1">
        <w:r w:rsidRPr="001716BA">
          <w:rPr>
            <w:rStyle w:val="Hyperlink"/>
            <w:rFonts w:cs="Arial"/>
            <w:shd w:val="clear" w:color="auto" w:fill="F8F8F7"/>
          </w:rPr>
          <w:t>https://www.mbaskool.com/marketing-mix/services/17538-ibis.html</w:t>
        </w:r>
      </w:hyperlink>
      <w:r>
        <w:rPr>
          <w:rFonts w:cs="Arial"/>
          <w:color w:val="000000"/>
          <w:shd w:val="clear" w:color="auto" w:fill="F8F8F7"/>
        </w:rPr>
        <w:t xml:space="preserve"> </w:t>
      </w:r>
      <w:r>
        <w:t>(</w:t>
      </w:r>
      <w:r w:rsidRPr="00146609">
        <w:rPr>
          <w:rFonts w:cs="Arial"/>
          <w:color w:val="000000"/>
          <w:shd w:val="clear" w:color="auto" w:fill="F8F8F7"/>
        </w:rPr>
        <w:t>Accessed</w:t>
      </w:r>
      <w:r>
        <w:rPr>
          <w:rFonts w:cs="Arial"/>
          <w:color w:val="000000"/>
          <w:shd w:val="clear" w:color="auto" w:fill="F8F8F7"/>
        </w:rPr>
        <w:t xml:space="preserve"> 20</w:t>
      </w:r>
      <w:r w:rsidRPr="00146609">
        <w:rPr>
          <w:rFonts w:cs="Arial"/>
          <w:color w:val="000000"/>
          <w:shd w:val="clear" w:color="auto" w:fill="F8F8F7"/>
        </w:rPr>
        <w:t xml:space="preserve"> January 2024)</w:t>
      </w:r>
    </w:p>
    <w:p w14:paraId="1E8ADD18" w14:textId="77777777" w:rsidR="00E530BF" w:rsidRPr="00146609" w:rsidRDefault="00E530BF" w:rsidP="006D76B8">
      <w:r w:rsidRPr="00146609">
        <w:t xml:space="preserve">Oghojafor, B.A., Ladipo, P.K. and Rahim, A.G. (2013) ‘Approaches for generating and evaluating product positioning strategy’. </w:t>
      </w:r>
      <w:r w:rsidRPr="00146609">
        <w:rPr>
          <w:i/>
          <w:iCs/>
        </w:rPr>
        <w:t>International Journal of Business Administration</w:t>
      </w:r>
      <w:r>
        <w:t>, 4(1), pp. 46-52.</w:t>
      </w:r>
    </w:p>
    <w:p w14:paraId="5050A54E" w14:textId="77777777" w:rsidR="00E530BF" w:rsidRDefault="00E530BF" w:rsidP="006D76B8">
      <w:pPr>
        <w:rPr>
          <w:rFonts w:cs="Arial"/>
          <w:color w:val="000000"/>
          <w:shd w:val="clear" w:color="auto" w:fill="F8F8F7"/>
        </w:rPr>
      </w:pPr>
      <w:r>
        <w:t xml:space="preserve">Patrizi, L. (2023) </w:t>
      </w:r>
      <w:r w:rsidRPr="00674583">
        <w:rPr>
          <w:i/>
          <w:iCs/>
        </w:rPr>
        <w:t>Accor: A European Hospitality Giant With A Promising Potential</w:t>
      </w:r>
      <w:r>
        <w:t xml:space="preserve">. Available at: </w:t>
      </w:r>
      <w:hyperlink r:id="rId20" w:history="1">
        <w:r w:rsidRPr="001716BA">
          <w:rPr>
            <w:rStyle w:val="Hyperlink"/>
          </w:rPr>
          <w:t>https://seekingalpha.com/article/4583297-accor-european-hospitality-giant-promising-potential</w:t>
        </w:r>
      </w:hyperlink>
      <w:r>
        <w:t xml:space="preserve"> (</w:t>
      </w:r>
      <w:r w:rsidRPr="00146609">
        <w:rPr>
          <w:rFonts w:cs="Arial"/>
          <w:color w:val="000000"/>
          <w:shd w:val="clear" w:color="auto" w:fill="F8F8F7"/>
        </w:rPr>
        <w:t>Accessed 1</w:t>
      </w:r>
      <w:r>
        <w:rPr>
          <w:rFonts w:cs="Arial"/>
          <w:color w:val="000000"/>
          <w:shd w:val="clear" w:color="auto" w:fill="F8F8F7"/>
        </w:rPr>
        <w:t>7</w:t>
      </w:r>
      <w:r w:rsidRPr="00146609">
        <w:rPr>
          <w:rFonts w:cs="Arial"/>
          <w:color w:val="000000"/>
          <w:shd w:val="clear" w:color="auto" w:fill="F8F8F7"/>
        </w:rPr>
        <w:t xml:space="preserve"> January 2024)</w:t>
      </w:r>
    </w:p>
    <w:p w14:paraId="40E27508" w14:textId="77777777" w:rsidR="00E530BF" w:rsidRDefault="00E530BF" w:rsidP="006D76B8">
      <w:pPr>
        <w:rPr>
          <w:rFonts w:cs="Arial"/>
          <w:color w:val="000000"/>
          <w:shd w:val="clear" w:color="auto" w:fill="F8F8F7"/>
        </w:rPr>
      </w:pPr>
      <w:r w:rsidRPr="00CA1CA6">
        <w:rPr>
          <w:rFonts w:cs="Arial"/>
          <w:color w:val="000000"/>
          <w:shd w:val="clear" w:color="auto" w:fill="F8F8F7"/>
        </w:rPr>
        <w:t>Pike, R. and Neale, B.</w:t>
      </w:r>
      <w:r>
        <w:rPr>
          <w:rFonts w:cs="Arial"/>
          <w:color w:val="000000"/>
          <w:shd w:val="clear" w:color="auto" w:fill="F8F8F7"/>
        </w:rPr>
        <w:t xml:space="preserve"> (</w:t>
      </w:r>
      <w:r w:rsidRPr="00CA1CA6">
        <w:rPr>
          <w:rFonts w:cs="Arial"/>
          <w:color w:val="000000"/>
          <w:shd w:val="clear" w:color="auto" w:fill="F8F8F7"/>
        </w:rPr>
        <w:t>2006</w:t>
      </w:r>
      <w:r>
        <w:rPr>
          <w:rFonts w:cs="Arial"/>
          <w:color w:val="000000"/>
          <w:shd w:val="clear" w:color="auto" w:fill="F8F8F7"/>
        </w:rPr>
        <w:t>)</w:t>
      </w:r>
      <w:r w:rsidRPr="00CA1CA6">
        <w:rPr>
          <w:rFonts w:cs="Arial"/>
          <w:color w:val="000000"/>
          <w:shd w:val="clear" w:color="auto" w:fill="F8F8F7"/>
        </w:rPr>
        <w:t xml:space="preserve"> </w:t>
      </w:r>
      <w:r w:rsidRPr="00CA1CA6">
        <w:rPr>
          <w:rFonts w:cs="Arial"/>
          <w:i/>
          <w:iCs/>
          <w:color w:val="000000"/>
          <w:shd w:val="clear" w:color="auto" w:fill="F8F8F7"/>
        </w:rPr>
        <w:t>Corporate finance and investment: decisions &amp; strategies</w:t>
      </w:r>
      <w:r w:rsidRPr="00CA1CA6">
        <w:rPr>
          <w:rFonts w:cs="Arial"/>
          <w:color w:val="000000"/>
          <w:shd w:val="clear" w:color="auto" w:fill="F8F8F7"/>
        </w:rPr>
        <w:t>.</w:t>
      </w:r>
      <w:r>
        <w:rPr>
          <w:rFonts w:cs="Arial"/>
          <w:color w:val="000000"/>
          <w:shd w:val="clear" w:color="auto" w:fill="F8F8F7"/>
        </w:rPr>
        <w:t xml:space="preserve"> Fifth Edition.</w:t>
      </w:r>
      <w:r w:rsidRPr="00CA1CA6">
        <w:rPr>
          <w:rFonts w:cs="Arial"/>
          <w:color w:val="000000"/>
          <w:shd w:val="clear" w:color="auto" w:fill="F8F8F7"/>
        </w:rPr>
        <w:t xml:space="preserve"> </w:t>
      </w:r>
      <w:r>
        <w:rPr>
          <w:rFonts w:cs="Arial"/>
          <w:color w:val="000000"/>
          <w:shd w:val="clear" w:color="auto" w:fill="F8F8F7"/>
        </w:rPr>
        <w:t xml:space="preserve">London: </w:t>
      </w:r>
      <w:r w:rsidRPr="00CA1CA6">
        <w:rPr>
          <w:rFonts w:cs="Arial"/>
          <w:color w:val="000000"/>
          <w:shd w:val="clear" w:color="auto" w:fill="F8F8F7"/>
        </w:rPr>
        <w:t>Pearson Education.</w:t>
      </w:r>
    </w:p>
    <w:p w14:paraId="4AB089A0" w14:textId="77777777" w:rsidR="00E530BF" w:rsidRDefault="00E530BF" w:rsidP="006D76B8">
      <w:pPr>
        <w:rPr>
          <w:rFonts w:cs="Arial"/>
          <w:color w:val="000000"/>
          <w:shd w:val="clear" w:color="auto" w:fill="F8F8F7"/>
        </w:rPr>
      </w:pPr>
      <w:r>
        <w:rPr>
          <w:rFonts w:cs="Arial"/>
          <w:color w:val="000000"/>
          <w:shd w:val="clear" w:color="auto" w:fill="F8F8F7"/>
        </w:rPr>
        <w:t xml:space="preserve">Porter, M.E. (1985) </w:t>
      </w:r>
      <w:r w:rsidRPr="007C58BC">
        <w:rPr>
          <w:rFonts w:cs="Arial"/>
          <w:i/>
          <w:iCs/>
          <w:color w:val="000000"/>
          <w:shd w:val="clear" w:color="auto" w:fill="F8F8F7"/>
        </w:rPr>
        <w:t>Competitive advantage: creating and sustaining superior performance</w:t>
      </w:r>
      <w:r w:rsidRPr="007C58BC">
        <w:rPr>
          <w:rFonts w:cs="Arial"/>
          <w:color w:val="000000"/>
          <w:shd w:val="clear" w:color="auto" w:fill="F8F8F7"/>
        </w:rPr>
        <w:t>. New York: Free</w:t>
      </w:r>
      <w:r>
        <w:rPr>
          <w:rFonts w:cs="Arial"/>
          <w:color w:val="000000"/>
          <w:shd w:val="clear" w:color="auto" w:fill="F8F8F7"/>
        </w:rPr>
        <w:t xml:space="preserve"> </w:t>
      </w:r>
      <w:r w:rsidRPr="007C58BC">
        <w:rPr>
          <w:rFonts w:cs="Arial"/>
          <w:color w:val="000000"/>
          <w:shd w:val="clear" w:color="auto" w:fill="F8F8F7"/>
        </w:rPr>
        <w:t>Press.</w:t>
      </w:r>
    </w:p>
    <w:p w14:paraId="719C912B" w14:textId="77777777" w:rsidR="00E530BF" w:rsidRDefault="00E530BF" w:rsidP="00984038">
      <w:pPr>
        <w:rPr>
          <w:rFonts w:cs="Arial"/>
          <w:color w:val="000000"/>
          <w:shd w:val="clear" w:color="auto" w:fill="F8F8F7"/>
        </w:rPr>
      </w:pPr>
      <w:r>
        <w:t xml:space="preserve">Revenue Management Labs (2020) </w:t>
      </w:r>
      <w:r w:rsidRPr="00984038">
        <w:rPr>
          <w:i/>
          <w:iCs/>
        </w:rPr>
        <w:t>Pricing Strategy Examples and Guide: Cost-Based Pricing</w:t>
      </w:r>
      <w:r>
        <w:t xml:space="preserve">. Available at: </w:t>
      </w:r>
      <w:hyperlink r:id="rId21" w:history="1">
        <w:r w:rsidRPr="0064431A">
          <w:rPr>
            <w:rStyle w:val="Hyperlink"/>
          </w:rPr>
          <w:t>https://revenueml.com/2020/03/a-guide-to-pricing-3-key-pricing-strategies-including-examples</w:t>
        </w:r>
      </w:hyperlink>
      <w:r>
        <w:t xml:space="preserve"> (</w:t>
      </w:r>
      <w:r w:rsidRPr="00146609">
        <w:rPr>
          <w:rFonts w:cs="Arial"/>
          <w:color w:val="000000"/>
          <w:shd w:val="clear" w:color="auto" w:fill="F8F8F7"/>
        </w:rPr>
        <w:t>Accessed</w:t>
      </w:r>
      <w:r>
        <w:rPr>
          <w:rFonts w:cs="Arial"/>
          <w:color w:val="000000"/>
          <w:shd w:val="clear" w:color="auto" w:fill="F8F8F7"/>
        </w:rPr>
        <w:t xml:space="preserve"> 20</w:t>
      </w:r>
      <w:r w:rsidRPr="00146609">
        <w:rPr>
          <w:rFonts w:cs="Arial"/>
          <w:color w:val="000000"/>
          <w:shd w:val="clear" w:color="auto" w:fill="F8F8F7"/>
        </w:rPr>
        <w:t xml:space="preserve"> January 2024)</w:t>
      </w:r>
    </w:p>
    <w:p w14:paraId="1E7A1ADB" w14:textId="77777777" w:rsidR="00E530BF" w:rsidRPr="00146609" w:rsidRDefault="00E530BF" w:rsidP="006D76B8">
      <w:r w:rsidRPr="00146609">
        <w:t xml:space="preserve">Robinson, T.R. (2020) </w:t>
      </w:r>
      <w:r w:rsidRPr="00146609">
        <w:rPr>
          <w:i/>
          <w:iCs/>
        </w:rPr>
        <w:t>International financial statement analysis</w:t>
      </w:r>
      <w:r w:rsidRPr="00146609">
        <w:t>. Hoboken, New Jersey: John Wiley &amp; Sons.</w:t>
      </w:r>
    </w:p>
    <w:sectPr w:rsidR="00E530BF" w:rsidRPr="00146609" w:rsidSect="00615445">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4D0F" w14:textId="77777777" w:rsidR="00615445" w:rsidRDefault="00615445" w:rsidP="00E530BF">
      <w:pPr>
        <w:spacing w:after="0" w:line="240" w:lineRule="auto"/>
      </w:pPr>
      <w:r>
        <w:separator/>
      </w:r>
    </w:p>
  </w:endnote>
  <w:endnote w:type="continuationSeparator" w:id="0">
    <w:p w14:paraId="36C96E4E" w14:textId="77777777" w:rsidR="00615445" w:rsidRDefault="00615445" w:rsidP="00E53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936319"/>
      <w:docPartObj>
        <w:docPartGallery w:val="Page Numbers (Bottom of Page)"/>
        <w:docPartUnique/>
      </w:docPartObj>
    </w:sdtPr>
    <w:sdtEndPr>
      <w:rPr>
        <w:noProof/>
      </w:rPr>
    </w:sdtEndPr>
    <w:sdtContent>
      <w:p w14:paraId="50CDE7DE" w14:textId="2D5F1651" w:rsidR="00E530BF" w:rsidRDefault="00E530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EDA71A" w14:textId="77777777" w:rsidR="00E530BF" w:rsidRDefault="00E53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8802F" w14:textId="77777777" w:rsidR="00615445" w:rsidRDefault="00615445" w:rsidP="00E530BF">
      <w:pPr>
        <w:spacing w:after="0" w:line="240" w:lineRule="auto"/>
      </w:pPr>
      <w:r>
        <w:separator/>
      </w:r>
    </w:p>
  </w:footnote>
  <w:footnote w:type="continuationSeparator" w:id="0">
    <w:p w14:paraId="2BB6856D" w14:textId="77777777" w:rsidR="00615445" w:rsidRDefault="00615445" w:rsidP="00E53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E28ACA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6B73C6"/>
    <w:multiLevelType w:val="hybridMultilevel"/>
    <w:tmpl w:val="0BF03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65C49"/>
    <w:multiLevelType w:val="multilevel"/>
    <w:tmpl w:val="3184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D14BB"/>
    <w:multiLevelType w:val="hybridMultilevel"/>
    <w:tmpl w:val="15501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05BDA"/>
    <w:multiLevelType w:val="hybridMultilevel"/>
    <w:tmpl w:val="041C1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03B37"/>
    <w:multiLevelType w:val="hybridMultilevel"/>
    <w:tmpl w:val="6FDE3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E656E3"/>
    <w:multiLevelType w:val="multilevel"/>
    <w:tmpl w:val="1AF0B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3C6791"/>
    <w:multiLevelType w:val="hybridMultilevel"/>
    <w:tmpl w:val="01FEE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BC4BA9"/>
    <w:multiLevelType w:val="multilevel"/>
    <w:tmpl w:val="A12A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554306">
    <w:abstractNumId w:val="0"/>
  </w:num>
  <w:num w:numId="2" w16cid:durableId="1947540646">
    <w:abstractNumId w:val="5"/>
  </w:num>
  <w:num w:numId="3" w16cid:durableId="832719005">
    <w:abstractNumId w:val="1"/>
  </w:num>
  <w:num w:numId="4" w16cid:durableId="1316186704">
    <w:abstractNumId w:val="6"/>
  </w:num>
  <w:num w:numId="5" w16cid:durableId="251428416">
    <w:abstractNumId w:val="3"/>
  </w:num>
  <w:num w:numId="6" w16cid:durableId="461384188">
    <w:abstractNumId w:val="7"/>
  </w:num>
  <w:num w:numId="7" w16cid:durableId="2135245846">
    <w:abstractNumId w:val="4"/>
  </w:num>
  <w:num w:numId="8" w16cid:durableId="961811600">
    <w:abstractNumId w:val="8"/>
  </w:num>
  <w:num w:numId="9" w16cid:durableId="3909327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38A"/>
    <w:rsid w:val="00005D0A"/>
    <w:rsid w:val="00007E35"/>
    <w:rsid w:val="00024FBF"/>
    <w:rsid w:val="00026E6B"/>
    <w:rsid w:val="00056572"/>
    <w:rsid w:val="00080D3D"/>
    <w:rsid w:val="00094BD8"/>
    <w:rsid w:val="000A369A"/>
    <w:rsid w:val="000B3290"/>
    <w:rsid w:val="000B725A"/>
    <w:rsid w:val="000C618A"/>
    <w:rsid w:val="000C7936"/>
    <w:rsid w:val="000D3582"/>
    <w:rsid w:val="000E3E7A"/>
    <w:rsid w:val="00104AC7"/>
    <w:rsid w:val="00105BAB"/>
    <w:rsid w:val="00110C75"/>
    <w:rsid w:val="00146609"/>
    <w:rsid w:val="00153ED6"/>
    <w:rsid w:val="00155C35"/>
    <w:rsid w:val="00171927"/>
    <w:rsid w:val="001719B0"/>
    <w:rsid w:val="0017457F"/>
    <w:rsid w:val="00174762"/>
    <w:rsid w:val="001770D1"/>
    <w:rsid w:val="00194B69"/>
    <w:rsid w:val="00196F4A"/>
    <w:rsid w:val="001A1525"/>
    <w:rsid w:val="001B56BB"/>
    <w:rsid w:val="0020013F"/>
    <w:rsid w:val="00240BCD"/>
    <w:rsid w:val="00252E87"/>
    <w:rsid w:val="0025759D"/>
    <w:rsid w:val="00260A8E"/>
    <w:rsid w:val="00260CCC"/>
    <w:rsid w:val="0026541B"/>
    <w:rsid w:val="00267F3A"/>
    <w:rsid w:val="002907D9"/>
    <w:rsid w:val="002C2314"/>
    <w:rsid w:val="002D4FE7"/>
    <w:rsid w:val="002D5A0E"/>
    <w:rsid w:val="002E1E68"/>
    <w:rsid w:val="00303876"/>
    <w:rsid w:val="00343DBA"/>
    <w:rsid w:val="00371576"/>
    <w:rsid w:val="003832DE"/>
    <w:rsid w:val="003B10BD"/>
    <w:rsid w:val="003C2514"/>
    <w:rsid w:val="003E2740"/>
    <w:rsid w:val="003E3AC8"/>
    <w:rsid w:val="0040168D"/>
    <w:rsid w:val="004070D8"/>
    <w:rsid w:val="00415EDB"/>
    <w:rsid w:val="0041626E"/>
    <w:rsid w:val="004334B6"/>
    <w:rsid w:val="00444568"/>
    <w:rsid w:val="00465887"/>
    <w:rsid w:val="00476AAA"/>
    <w:rsid w:val="004975FD"/>
    <w:rsid w:val="004D7ED2"/>
    <w:rsid w:val="004E0F13"/>
    <w:rsid w:val="004E7C44"/>
    <w:rsid w:val="004F24F0"/>
    <w:rsid w:val="00544E2B"/>
    <w:rsid w:val="0054690C"/>
    <w:rsid w:val="00553531"/>
    <w:rsid w:val="0055569B"/>
    <w:rsid w:val="005676F0"/>
    <w:rsid w:val="005802C5"/>
    <w:rsid w:val="00585FBB"/>
    <w:rsid w:val="005872F8"/>
    <w:rsid w:val="005910BA"/>
    <w:rsid w:val="005A7621"/>
    <w:rsid w:val="005D6463"/>
    <w:rsid w:val="005E1824"/>
    <w:rsid w:val="005E3878"/>
    <w:rsid w:val="00615445"/>
    <w:rsid w:val="00616DB3"/>
    <w:rsid w:val="00625DDE"/>
    <w:rsid w:val="00631C2C"/>
    <w:rsid w:val="00654CF3"/>
    <w:rsid w:val="00674583"/>
    <w:rsid w:val="00680DDD"/>
    <w:rsid w:val="006852C3"/>
    <w:rsid w:val="00697AD6"/>
    <w:rsid w:val="006A0332"/>
    <w:rsid w:val="006B5BC2"/>
    <w:rsid w:val="006D43D5"/>
    <w:rsid w:val="006D76B8"/>
    <w:rsid w:val="006F12B5"/>
    <w:rsid w:val="006F3843"/>
    <w:rsid w:val="00746BFD"/>
    <w:rsid w:val="00761B21"/>
    <w:rsid w:val="00770139"/>
    <w:rsid w:val="00775AAA"/>
    <w:rsid w:val="00777C2A"/>
    <w:rsid w:val="007A0173"/>
    <w:rsid w:val="007A157E"/>
    <w:rsid w:val="007A4EDE"/>
    <w:rsid w:val="007C58BC"/>
    <w:rsid w:val="00837AC3"/>
    <w:rsid w:val="008622C1"/>
    <w:rsid w:val="00876270"/>
    <w:rsid w:val="008814FB"/>
    <w:rsid w:val="00882410"/>
    <w:rsid w:val="008846FF"/>
    <w:rsid w:val="008927D3"/>
    <w:rsid w:val="008A5C7B"/>
    <w:rsid w:val="008C69C1"/>
    <w:rsid w:val="008F08AA"/>
    <w:rsid w:val="008F1F0A"/>
    <w:rsid w:val="00925F1C"/>
    <w:rsid w:val="00974057"/>
    <w:rsid w:val="00984038"/>
    <w:rsid w:val="009B5034"/>
    <w:rsid w:val="009B6BB1"/>
    <w:rsid w:val="009C3A0D"/>
    <w:rsid w:val="009E5ABE"/>
    <w:rsid w:val="009F251B"/>
    <w:rsid w:val="00A0425F"/>
    <w:rsid w:val="00A134DC"/>
    <w:rsid w:val="00A41956"/>
    <w:rsid w:val="00A50455"/>
    <w:rsid w:val="00A53525"/>
    <w:rsid w:val="00A57C25"/>
    <w:rsid w:val="00A80A39"/>
    <w:rsid w:val="00A93FEE"/>
    <w:rsid w:val="00AB6C63"/>
    <w:rsid w:val="00AC78BF"/>
    <w:rsid w:val="00AF7A83"/>
    <w:rsid w:val="00B05E19"/>
    <w:rsid w:val="00B071A6"/>
    <w:rsid w:val="00B1290F"/>
    <w:rsid w:val="00B14185"/>
    <w:rsid w:val="00B21C90"/>
    <w:rsid w:val="00B46857"/>
    <w:rsid w:val="00B64331"/>
    <w:rsid w:val="00BA1702"/>
    <w:rsid w:val="00BA1C45"/>
    <w:rsid w:val="00BA4971"/>
    <w:rsid w:val="00BA4C5C"/>
    <w:rsid w:val="00BB3587"/>
    <w:rsid w:val="00BC5B6D"/>
    <w:rsid w:val="00BD7364"/>
    <w:rsid w:val="00BE06E5"/>
    <w:rsid w:val="00BE287A"/>
    <w:rsid w:val="00BF1703"/>
    <w:rsid w:val="00BF238A"/>
    <w:rsid w:val="00C04F99"/>
    <w:rsid w:val="00C65AEF"/>
    <w:rsid w:val="00C67524"/>
    <w:rsid w:val="00C76A03"/>
    <w:rsid w:val="00C77D9A"/>
    <w:rsid w:val="00C81116"/>
    <w:rsid w:val="00CA1CA6"/>
    <w:rsid w:val="00CA5AAB"/>
    <w:rsid w:val="00CB4DF8"/>
    <w:rsid w:val="00CE09FE"/>
    <w:rsid w:val="00CE39CA"/>
    <w:rsid w:val="00D01F3B"/>
    <w:rsid w:val="00D152B1"/>
    <w:rsid w:val="00D30727"/>
    <w:rsid w:val="00D56E57"/>
    <w:rsid w:val="00D76141"/>
    <w:rsid w:val="00D80129"/>
    <w:rsid w:val="00D852E9"/>
    <w:rsid w:val="00D87B74"/>
    <w:rsid w:val="00DB0DDB"/>
    <w:rsid w:val="00DC0EEE"/>
    <w:rsid w:val="00DE7A55"/>
    <w:rsid w:val="00DF38A3"/>
    <w:rsid w:val="00DF3A2A"/>
    <w:rsid w:val="00DF7EAF"/>
    <w:rsid w:val="00E01645"/>
    <w:rsid w:val="00E20696"/>
    <w:rsid w:val="00E226BA"/>
    <w:rsid w:val="00E405D7"/>
    <w:rsid w:val="00E530BF"/>
    <w:rsid w:val="00E62155"/>
    <w:rsid w:val="00E75CDD"/>
    <w:rsid w:val="00E84355"/>
    <w:rsid w:val="00E917C6"/>
    <w:rsid w:val="00E96938"/>
    <w:rsid w:val="00EA764C"/>
    <w:rsid w:val="00ED406A"/>
    <w:rsid w:val="00ED52D0"/>
    <w:rsid w:val="00EE1433"/>
    <w:rsid w:val="00EE6249"/>
    <w:rsid w:val="00F01ABD"/>
    <w:rsid w:val="00F05E59"/>
    <w:rsid w:val="00F17D23"/>
    <w:rsid w:val="00F23759"/>
    <w:rsid w:val="00F23CBA"/>
    <w:rsid w:val="00F329A6"/>
    <w:rsid w:val="00F74484"/>
    <w:rsid w:val="00F776A0"/>
    <w:rsid w:val="00F81E3E"/>
    <w:rsid w:val="00FA03D2"/>
    <w:rsid w:val="00FA4DF2"/>
    <w:rsid w:val="00FA55FE"/>
    <w:rsid w:val="00FA58E3"/>
    <w:rsid w:val="00FB7A5D"/>
    <w:rsid w:val="00FC699A"/>
    <w:rsid w:val="00FF64B0"/>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E1DDF"/>
  <w15:chartTrackingRefBased/>
  <w15:docId w15:val="{ED63D244-B8F3-4655-AF4C-D324793B9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139"/>
    <w:pPr>
      <w:spacing w:line="360" w:lineRule="auto"/>
      <w:jc w:val="both"/>
    </w:pPr>
    <w:rPr>
      <w:rFonts w:ascii="Arial" w:hAnsi="Arial"/>
    </w:rPr>
  </w:style>
  <w:style w:type="paragraph" w:styleId="Heading1">
    <w:name w:val="heading 1"/>
    <w:basedOn w:val="Normal"/>
    <w:next w:val="Normal"/>
    <w:link w:val="Heading1Char"/>
    <w:uiPriority w:val="9"/>
    <w:qFormat/>
    <w:rsid w:val="00770139"/>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770139"/>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BF2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F2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2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139"/>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770139"/>
    <w:rPr>
      <w:rFonts w:ascii="Arial" w:eastAsiaTheme="majorEastAsia" w:hAnsi="Arial"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BF238A"/>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BF2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38A"/>
    <w:rPr>
      <w:rFonts w:eastAsiaTheme="majorEastAsia" w:cstheme="majorBidi"/>
      <w:color w:val="272727" w:themeColor="text1" w:themeTint="D8"/>
    </w:rPr>
  </w:style>
  <w:style w:type="paragraph" w:styleId="Title">
    <w:name w:val="Title"/>
    <w:basedOn w:val="Normal"/>
    <w:next w:val="Normal"/>
    <w:link w:val="TitleChar"/>
    <w:uiPriority w:val="10"/>
    <w:qFormat/>
    <w:rsid w:val="00BF2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38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3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238A"/>
    <w:rPr>
      <w:i/>
      <w:iCs/>
      <w:color w:val="404040" w:themeColor="text1" w:themeTint="BF"/>
    </w:rPr>
  </w:style>
  <w:style w:type="character" w:styleId="IntenseEmphasis">
    <w:name w:val="Intense Emphasis"/>
    <w:basedOn w:val="DefaultParagraphFont"/>
    <w:uiPriority w:val="21"/>
    <w:qFormat/>
    <w:rsid w:val="00BF238A"/>
    <w:rPr>
      <w:i/>
      <w:iCs/>
      <w:color w:val="0F4761" w:themeColor="accent1" w:themeShade="BF"/>
    </w:rPr>
  </w:style>
  <w:style w:type="paragraph" w:styleId="IntenseQuote">
    <w:name w:val="Intense Quote"/>
    <w:basedOn w:val="Normal"/>
    <w:next w:val="Normal"/>
    <w:link w:val="IntenseQuoteChar"/>
    <w:uiPriority w:val="30"/>
    <w:qFormat/>
    <w:rsid w:val="00BF2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38A"/>
    <w:rPr>
      <w:i/>
      <w:iCs/>
      <w:color w:val="0F4761" w:themeColor="accent1" w:themeShade="BF"/>
    </w:rPr>
  </w:style>
  <w:style w:type="character" w:styleId="IntenseReference">
    <w:name w:val="Intense Reference"/>
    <w:basedOn w:val="DefaultParagraphFont"/>
    <w:uiPriority w:val="32"/>
    <w:qFormat/>
    <w:rsid w:val="00BF238A"/>
    <w:rPr>
      <w:b/>
      <w:bCs/>
      <w:smallCaps/>
      <w:color w:val="0F4761" w:themeColor="accent1" w:themeShade="BF"/>
      <w:spacing w:val="5"/>
    </w:rPr>
  </w:style>
  <w:style w:type="paragraph" w:customStyle="1" w:styleId="Default">
    <w:name w:val="Default"/>
    <w:rsid w:val="007A157E"/>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155C35"/>
    <w:rPr>
      <w:color w:val="467886" w:themeColor="hyperlink"/>
      <w:u w:val="single"/>
    </w:rPr>
  </w:style>
  <w:style w:type="character" w:styleId="UnresolvedMention">
    <w:name w:val="Unresolved Mention"/>
    <w:basedOn w:val="DefaultParagraphFont"/>
    <w:uiPriority w:val="99"/>
    <w:semiHidden/>
    <w:unhideWhenUsed/>
    <w:rsid w:val="00155C35"/>
    <w:rPr>
      <w:color w:val="605E5C"/>
      <w:shd w:val="clear" w:color="auto" w:fill="E1DFDD"/>
    </w:rPr>
  </w:style>
  <w:style w:type="table" w:styleId="TableGrid">
    <w:name w:val="Table Grid"/>
    <w:basedOn w:val="TableNormal"/>
    <w:uiPriority w:val="59"/>
    <w:rsid w:val="009B6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6F4A"/>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ED52D0"/>
    <w:pPr>
      <w:spacing w:after="100"/>
    </w:pPr>
  </w:style>
  <w:style w:type="paragraph" w:styleId="TOC2">
    <w:name w:val="toc 2"/>
    <w:basedOn w:val="Normal"/>
    <w:next w:val="Normal"/>
    <w:autoRedefine/>
    <w:uiPriority w:val="39"/>
    <w:unhideWhenUsed/>
    <w:rsid w:val="00ED52D0"/>
    <w:pPr>
      <w:spacing w:after="100"/>
      <w:ind w:left="240"/>
    </w:pPr>
  </w:style>
  <w:style w:type="paragraph" w:styleId="TableofFigures">
    <w:name w:val="table of figures"/>
    <w:basedOn w:val="Normal"/>
    <w:next w:val="Normal"/>
    <w:uiPriority w:val="99"/>
    <w:unhideWhenUsed/>
    <w:rsid w:val="00ED52D0"/>
    <w:pPr>
      <w:spacing w:after="0"/>
    </w:pPr>
  </w:style>
  <w:style w:type="character" w:styleId="Strong">
    <w:name w:val="Strong"/>
    <w:basedOn w:val="DefaultParagraphFont"/>
    <w:uiPriority w:val="22"/>
    <w:qFormat/>
    <w:rsid w:val="00BE06E5"/>
    <w:rPr>
      <w:b/>
      <w:bCs/>
    </w:rPr>
  </w:style>
  <w:style w:type="paragraph" w:styleId="Header">
    <w:name w:val="header"/>
    <w:basedOn w:val="Normal"/>
    <w:link w:val="HeaderChar"/>
    <w:uiPriority w:val="99"/>
    <w:unhideWhenUsed/>
    <w:rsid w:val="00E53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0BF"/>
    <w:rPr>
      <w:rFonts w:ascii="Arial" w:hAnsi="Arial"/>
    </w:rPr>
  </w:style>
  <w:style w:type="paragraph" w:styleId="Footer">
    <w:name w:val="footer"/>
    <w:basedOn w:val="Normal"/>
    <w:link w:val="FooterChar"/>
    <w:uiPriority w:val="99"/>
    <w:unhideWhenUsed/>
    <w:rsid w:val="00E53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0B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3590">
      <w:bodyDiv w:val="1"/>
      <w:marLeft w:val="0"/>
      <w:marRight w:val="0"/>
      <w:marTop w:val="0"/>
      <w:marBottom w:val="0"/>
      <w:divBdr>
        <w:top w:val="none" w:sz="0" w:space="0" w:color="auto"/>
        <w:left w:val="none" w:sz="0" w:space="0" w:color="auto"/>
        <w:bottom w:val="none" w:sz="0" w:space="0" w:color="auto"/>
        <w:right w:val="none" w:sz="0" w:space="0" w:color="auto"/>
      </w:divBdr>
    </w:div>
    <w:div w:id="140734877">
      <w:bodyDiv w:val="1"/>
      <w:marLeft w:val="0"/>
      <w:marRight w:val="0"/>
      <w:marTop w:val="0"/>
      <w:marBottom w:val="0"/>
      <w:divBdr>
        <w:top w:val="none" w:sz="0" w:space="0" w:color="auto"/>
        <w:left w:val="none" w:sz="0" w:space="0" w:color="auto"/>
        <w:bottom w:val="none" w:sz="0" w:space="0" w:color="auto"/>
        <w:right w:val="none" w:sz="0" w:space="0" w:color="auto"/>
      </w:divBdr>
    </w:div>
    <w:div w:id="177744305">
      <w:bodyDiv w:val="1"/>
      <w:marLeft w:val="0"/>
      <w:marRight w:val="0"/>
      <w:marTop w:val="0"/>
      <w:marBottom w:val="0"/>
      <w:divBdr>
        <w:top w:val="none" w:sz="0" w:space="0" w:color="auto"/>
        <w:left w:val="none" w:sz="0" w:space="0" w:color="auto"/>
        <w:bottom w:val="none" w:sz="0" w:space="0" w:color="auto"/>
        <w:right w:val="none" w:sz="0" w:space="0" w:color="auto"/>
      </w:divBdr>
    </w:div>
    <w:div w:id="182593330">
      <w:bodyDiv w:val="1"/>
      <w:marLeft w:val="0"/>
      <w:marRight w:val="0"/>
      <w:marTop w:val="0"/>
      <w:marBottom w:val="0"/>
      <w:divBdr>
        <w:top w:val="none" w:sz="0" w:space="0" w:color="auto"/>
        <w:left w:val="none" w:sz="0" w:space="0" w:color="auto"/>
        <w:bottom w:val="none" w:sz="0" w:space="0" w:color="auto"/>
        <w:right w:val="none" w:sz="0" w:space="0" w:color="auto"/>
      </w:divBdr>
    </w:div>
    <w:div w:id="189344882">
      <w:bodyDiv w:val="1"/>
      <w:marLeft w:val="0"/>
      <w:marRight w:val="0"/>
      <w:marTop w:val="0"/>
      <w:marBottom w:val="0"/>
      <w:divBdr>
        <w:top w:val="none" w:sz="0" w:space="0" w:color="auto"/>
        <w:left w:val="none" w:sz="0" w:space="0" w:color="auto"/>
        <w:bottom w:val="none" w:sz="0" w:space="0" w:color="auto"/>
        <w:right w:val="none" w:sz="0" w:space="0" w:color="auto"/>
      </w:divBdr>
    </w:div>
    <w:div w:id="227810867">
      <w:bodyDiv w:val="1"/>
      <w:marLeft w:val="0"/>
      <w:marRight w:val="0"/>
      <w:marTop w:val="0"/>
      <w:marBottom w:val="0"/>
      <w:divBdr>
        <w:top w:val="none" w:sz="0" w:space="0" w:color="auto"/>
        <w:left w:val="none" w:sz="0" w:space="0" w:color="auto"/>
        <w:bottom w:val="none" w:sz="0" w:space="0" w:color="auto"/>
        <w:right w:val="none" w:sz="0" w:space="0" w:color="auto"/>
      </w:divBdr>
    </w:div>
    <w:div w:id="301351697">
      <w:bodyDiv w:val="1"/>
      <w:marLeft w:val="0"/>
      <w:marRight w:val="0"/>
      <w:marTop w:val="0"/>
      <w:marBottom w:val="0"/>
      <w:divBdr>
        <w:top w:val="none" w:sz="0" w:space="0" w:color="auto"/>
        <w:left w:val="none" w:sz="0" w:space="0" w:color="auto"/>
        <w:bottom w:val="none" w:sz="0" w:space="0" w:color="auto"/>
        <w:right w:val="none" w:sz="0" w:space="0" w:color="auto"/>
      </w:divBdr>
    </w:div>
    <w:div w:id="307780542">
      <w:bodyDiv w:val="1"/>
      <w:marLeft w:val="0"/>
      <w:marRight w:val="0"/>
      <w:marTop w:val="0"/>
      <w:marBottom w:val="0"/>
      <w:divBdr>
        <w:top w:val="none" w:sz="0" w:space="0" w:color="auto"/>
        <w:left w:val="none" w:sz="0" w:space="0" w:color="auto"/>
        <w:bottom w:val="none" w:sz="0" w:space="0" w:color="auto"/>
        <w:right w:val="none" w:sz="0" w:space="0" w:color="auto"/>
      </w:divBdr>
    </w:div>
    <w:div w:id="351608307">
      <w:bodyDiv w:val="1"/>
      <w:marLeft w:val="0"/>
      <w:marRight w:val="0"/>
      <w:marTop w:val="0"/>
      <w:marBottom w:val="0"/>
      <w:divBdr>
        <w:top w:val="none" w:sz="0" w:space="0" w:color="auto"/>
        <w:left w:val="none" w:sz="0" w:space="0" w:color="auto"/>
        <w:bottom w:val="none" w:sz="0" w:space="0" w:color="auto"/>
        <w:right w:val="none" w:sz="0" w:space="0" w:color="auto"/>
      </w:divBdr>
    </w:div>
    <w:div w:id="369844867">
      <w:bodyDiv w:val="1"/>
      <w:marLeft w:val="0"/>
      <w:marRight w:val="0"/>
      <w:marTop w:val="0"/>
      <w:marBottom w:val="0"/>
      <w:divBdr>
        <w:top w:val="none" w:sz="0" w:space="0" w:color="auto"/>
        <w:left w:val="none" w:sz="0" w:space="0" w:color="auto"/>
        <w:bottom w:val="none" w:sz="0" w:space="0" w:color="auto"/>
        <w:right w:val="none" w:sz="0" w:space="0" w:color="auto"/>
      </w:divBdr>
    </w:div>
    <w:div w:id="370150484">
      <w:bodyDiv w:val="1"/>
      <w:marLeft w:val="0"/>
      <w:marRight w:val="0"/>
      <w:marTop w:val="0"/>
      <w:marBottom w:val="0"/>
      <w:divBdr>
        <w:top w:val="none" w:sz="0" w:space="0" w:color="auto"/>
        <w:left w:val="none" w:sz="0" w:space="0" w:color="auto"/>
        <w:bottom w:val="none" w:sz="0" w:space="0" w:color="auto"/>
        <w:right w:val="none" w:sz="0" w:space="0" w:color="auto"/>
      </w:divBdr>
      <w:divsChild>
        <w:div w:id="1660380463">
          <w:marLeft w:val="0"/>
          <w:marRight w:val="0"/>
          <w:marTop w:val="0"/>
          <w:marBottom w:val="0"/>
          <w:divBdr>
            <w:top w:val="none" w:sz="0" w:space="0" w:color="auto"/>
            <w:left w:val="none" w:sz="0" w:space="0" w:color="auto"/>
            <w:bottom w:val="none" w:sz="0" w:space="0" w:color="auto"/>
            <w:right w:val="none" w:sz="0" w:space="0" w:color="auto"/>
          </w:divBdr>
        </w:div>
      </w:divsChild>
    </w:div>
    <w:div w:id="393092817">
      <w:bodyDiv w:val="1"/>
      <w:marLeft w:val="0"/>
      <w:marRight w:val="0"/>
      <w:marTop w:val="0"/>
      <w:marBottom w:val="0"/>
      <w:divBdr>
        <w:top w:val="none" w:sz="0" w:space="0" w:color="auto"/>
        <w:left w:val="none" w:sz="0" w:space="0" w:color="auto"/>
        <w:bottom w:val="none" w:sz="0" w:space="0" w:color="auto"/>
        <w:right w:val="none" w:sz="0" w:space="0" w:color="auto"/>
      </w:divBdr>
    </w:div>
    <w:div w:id="396511920">
      <w:bodyDiv w:val="1"/>
      <w:marLeft w:val="0"/>
      <w:marRight w:val="0"/>
      <w:marTop w:val="0"/>
      <w:marBottom w:val="0"/>
      <w:divBdr>
        <w:top w:val="none" w:sz="0" w:space="0" w:color="auto"/>
        <w:left w:val="none" w:sz="0" w:space="0" w:color="auto"/>
        <w:bottom w:val="none" w:sz="0" w:space="0" w:color="auto"/>
        <w:right w:val="none" w:sz="0" w:space="0" w:color="auto"/>
      </w:divBdr>
    </w:div>
    <w:div w:id="416901647">
      <w:bodyDiv w:val="1"/>
      <w:marLeft w:val="0"/>
      <w:marRight w:val="0"/>
      <w:marTop w:val="0"/>
      <w:marBottom w:val="0"/>
      <w:divBdr>
        <w:top w:val="none" w:sz="0" w:space="0" w:color="auto"/>
        <w:left w:val="none" w:sz="0" w:space="0" w:color="auto"/>
        <w:bottom w:val="none" w:sz="0" w:space="0" w:color="auto"/>
        <w:right w:val="none" w:sz="0" w:space="0" w:color="auto"/>
      </w:divBdr>
    </w:div>
    <w:div w:id="456992713">
      <w:bodyDiv w:val="1"/>
      <w:marLeft w:val="0"/>
      <w:marRight w:val="0"/>
      <w:marTop w:val="0"/>
      <w:marBottom w:val="0"/>
      <w:divBdr>
        <w:top w:val="none" w:sz="0" w:space="0" w:color="auto"/>
        <w:left w:val="none" w:sz="0" w:space="0" w:color="auto"/>
        <w:bottom w:val="none" w:sz="0" w:space="0" w:color="auto"/>
        <w:right w:val="none" w:sz="0" w:space="0" w:color="auto"/>
      </w:divBdr>
    </w:div>
    <w:div w:id="460925623">
      <w:bodyDiv w:val="1"/>
      <w:marLeft w:val="0"/>
      <w:marRight w:val="0"/>
      <w:marTop w:val="0"/>
      <w:marBottom w:val="0"/>
      <w:divBdr>
        <w:top w:val="none" w:sz="0" w:space="0" w:color="auto"/>
        <w:left w:val="none" w:sz="0" w:space="0" w:color="auto"/>
        <w:bottom w:val="none" w:sz="0" w:space="0" w:color="auto"/>
        <w:right w:val="none" w:sz="0" w:space="0" w:color="auto"/>
      </w:divBdr>
    </w:div>
    <w:div w:id="466750337">
      <w:bodyDiv w:val="1"/>
      <w:marLeft w:val="0"/>
      <w:marRight w:val="0"/>
      <w:marTop w:val="0"/>
      <w:marBottom w:val="0"/>
      <w:divBdr>
        <w:top w:val="none" w:sz="0" w:space="0" w:color="auto"/>
        <w:left w:val="none" w:sz="0" w:space="0" w:color="auto"/>
        <w:bottom w:val="none" w:sz="0" w:space="0" w:color="auto"/>
        <w:right w:val="none" w:sz="0" w:space="0" w:color="auto"/>
      </w:divBdr>
    </w:div>
    <w:div w:id="479271159">
      <w:bodyDiv w:val="1"/>
      <w:marLeft w:val="0"/>
      <w:marRight w:val="0"/>
      <w:marTop w:val="0"/>
      <w:marBottom w:val="0"/>
      <w:divBdr>
        <w:top w:val="none" w:sz="0" w:space="0" w:color="auto"/>
        <w:left w:val="none" w:sz="0" w:space="0" w:color="auto"/>
        <w:bottom w:val="none" w:sz="0" w:space="0" w:color="auto"/>
        <w:right w:val="none" w:sz="0" w:space="0" w:color="auto"/>
      </w:divBdr>
    </w:div>
    <w:div w:id="483618906">
      <w:bodyDiv w:val="1"/>
      <w:marLeft w:val="0"/>
      <w:marRight w:val="0"/>
      <w:marTop w:val="0"/>
      <w:marBottom w:val="0"/>
      <w:divBdr>
        <w:top w:val="none" w:sz="0" w:space="0" w:color="auto"/>
        <w:left w:val="none" w:sz="0" w:space="0" w:color="auto"/>
        <w:bottom w:val="none" w:sz="0" w:space="0" w:color="auto"/>
        <w:right w:val="none" w:sz="0" w:space="0" w:color="auto"/>
      </w:divBdr>
    </w:div>
    <w:div w:id="510263298">
      <w:bodyDiv w:val="1"/>
      <w:marLeft w:val="0"/>
      <w:marRight w:val="0"/>
      <w:marTop w:val="0"/>
      <w:marBottom w:val="0"/>
      <w:divBdr>
        <w:top w:val="none" w:sz="0" w:space="0" w:color="auto"/>
        <w:left w:val="none" w:sz="0" w:space="0" w:color="auto"/>
        <w:bottom w:val="none" w:sz="0" w:space="0" w:color="auto"/>
        <w:right w:val="none" w:sz="0" w:space="0" w:color="auto"/>
      </w:divBdr>
    </w:div>
    <w:div w:id="513154375">
      <w:bodyDiv w:val="1"/>
      <w:marLeft w:val="0"/>
      <w:marRight w:val="0"/>
      <w:marTop w:val="0"/>
      <w:marBottom w:val="0"/>
      <w:divBdr>
        <w:top w:val="none" w:sz="0" w:space="0" w:color="auto"/>
        <w:left w:val="none" w:sz="0" w:space="0" w:color="auto"/>
        <w:bottom w:val="none" w:sz="0" w:space="0" w:color="auto"/>
        <w:right w:val="none" w:sz="0" w:space="0" w:color="auto"/>
      </w:divBdr>
      <w:divsChild>
        <w:div w:id="1311014412">
          <w:marLeft w:val="0"/>
          <w:marRight w:val="0"/>
          <w:marTop w:val="0"/>
          <w:marBottom w:val="0"/>
          <w:divBdr>
            <w:top w:val="none" w:sz="0" w:space="0" w:color="auto"/>
            <w:left w:val="none" w:sz="0" w:space="0" w:color="auto"/>
            <w:bottom w:val="none" w:sz="0" w:space="0" w:color="auto"/>
            <w:right w:val="none" w:sz="0" w:space="0" w:color="auto"/>
          </w:divBdr>
        </w:div>
      </w:divsChild>
    </w:div>
    <w:div w:id="566187574">
      <w:bodyDiv w:val="1"/>
      <w:marLeft w:val="0"/>
      <w:marRight w:val="0"/>
      <w:marTop w:val="0"/>
      <w:marBottom w:val="0"/>
      <w:divBdr>
        <w:top w:val="none" w:sz="0" w:space="0" w:color="auto"/>
        <w:left w:val="none" w:sz="0" w:space="0" w:color="auto"/>
        <w:bottom w:val="none" w:sz="0" w:space="0" w:color="auto"/>
        <w:right w:val="none" w:sz="0" w:space="0" w:color="auto"/>
      </w:divBdr>
    </w:div>
    <w:div w:id="567114733">
      <w:bodyDiv w:val="1"/>
      <w:marLeft w:val="0"/>
      <w:marRight w:val="0"/>
      <w:marTop w:val="0"/>
      <w:marBottom w:val="0"/>
      <w:divBdr>
        <w:top w:val="none" w:sz="0" w:space="0" w:color="auto"/>
        <w:left w:val="none" w:sz="0" w:space="0" w:color="auto"/>
        <w:bottom w:val="none" w:sz="0" w:space="0" w:color="auto"/>
        <w:right w:val="none" w:sz="0" w:space="0" w:color="auto"/>
      </w:divBdr>
    </w:div>
    <w:div w:id="570774646">
      <w:bodyDiv w:val="1"/>
      <w:marLeft w:val="0"/>
      <w:marRight w:val="0"/>
      <w:marTop w:val="0"/>
      <w:marBottom w:val="0"/>
      <w:divBdr>
        <w:top w:val="none" w:sz="0" w:space="0" w:color="auto"/>
        <w:left w:val="none" w:sz="0" w:space="0" w:color="auto"/>
        <w:bottom w:val="none" w:sz="0" w:space="0" w:color="auto"/>
        <w:right w:val="none" w:sz="0" w:space="0" w:color="auto"/>
      </w:divBdr>
      <w:divsChild>
        <w:div w:id="474178598">
          <w:marLeft w:val="0"/>
          <w:marRight w:val="0"/>
          <w:marTop w:val="0"/>
          <w:marBottom w:val="0"/>
          <w:divBdr>
            <w:top w:val="none" w:sz="0" w:space="0" w:color="auto"/>
            <w:left w:val="none" w:sz="0" w:space="0" w:color="auto"/>
            <w:bottom w:val="none" w:sz="0" w:space="0" w:color="auto"/>
            <w:right w:val="none" w:sz="0" w:space="0" w:color="auto"/>
          </w:divBdr>
        </w:div>
      </w:divsChild>
    </w:div>
    <w:div w:id="575746139">
      <w:bodyDiv w:val="1"/>
      <w:marLeft w:val="0"/>
      <w:marRight w:val="0"/>
      <w:marTop w:val="0"/>
      <w:marBottom w:val="0"/>
      <w:divBdr>
        <w:top w:val="none" w:sz="0" w:space="0" w:color="auto"/>
        <w:left w:val="none" w:sz="0" w:space="0" w:color="auto"/>
        <w:bottom w:val="none" w:sz="0" w:space="0" w:color="auto"/>
        <w:right w:val="none" w:sz="0" w:space="0" w:color="auto"/>
      </w:divBdr>
    </w:div>
    <w:div w:id="577518736">
      <w:bodyDiv w:val="1"/>
      <w:marLeft w:val="0"/>
      <w:marRight w:val="0"/>
      <w:marTop w:val="0"/>
      <w:marBottom w:val="0"/>
      <w:divBdr>
        <w:top w:val="none" w:sz="0" w:space="0" w:color="auto"/>
        <w:left w:val="none" w:sz="0" w:space="0" w:color="auto"/>
        <w:bottom w:val="none" w:sz="0" w:space="0" w:color="auto"/>
        <w:right w:val="none" w:sz="0" w:space="0" w:color="auto"/>
      </w:divBdr>
    </w:div>
    <w:div w:id="657030692">
      <w:bodyDiv w:val="1"/>
      <w:marLeft w:val="0"/>
      <w:marRight w:val="0"/>
      <w:marTop w:val="0"/>
      <w:marBottom w:val="0"/>
      <w:divBdr>
        <w:top w:val="none" w:sz="0" w:space="0" w:color="auto"/>
        <w:left w:val="none" w:sz="0" w:space="0" w:color="auto"/>
        <w:bottom w:val="none" w:sz="0" w:space="0" w:color="auto"/>
        <w:right w:val="none" w:sz="0" w:space="0" w:color="auto"/>
      </w:divBdr>
    </w:div>
    <w:div w:id="683439410">
      <w:bodyDiv w:val="1"/>
      <w:marLeft w:val="0"/>
      <w:marRight w:val="0"/>
      <w:marTop w:val="0"/>
      <w:marBottom w:val="0"/>
      <w:divBdr>
        <w:top w:val="none" w:sz="0" w:space="0" w:color="auto"/>
        <w:left w:val="none" w:sz="0" w:space="0" w:color="auto"/>
        <w:bottom w:val="none" w:sz="0" w:space="0" w:color="auto"/>
        <w:right w:val="none" w:sz="0" w:space="0" w:color="auto"/>
      </w:divBdr>
    </w:div>
    <w:div w:id="705175740">
      <w:bodyDiv w:val="1"/>
      <w:marLeft w:val="0"/>
      <w:marRight w:val="0"/>
      <w:marTop w:val="0"/>
      <w:marBottom w:val="0"/>
      <w:divBdr>
        <w:top w:val="none" w:sz="0" w:space="0" w:color="auto"/>
        <w:left w:val="none" w:sz="0" w:space="0" w:color="auto"/>
        <w:bottom w:val="none" w:sz="0" w:space="0" w:color="auto"/>
        <w:right w:val="none" w:sz="0" w:space="0" w:color="auto"/>
      </w:divBdr>
    </w:div>
    <w:div w:id="839387893">
      <w:bodyDiv w:val="1"/>
      <w:marLeft w:val="0"/>
      <w:marRight w:val="0"/>
      <w:marTop w:val="0"/>
      <w:marBottom w:val="0"/>
      <w:divBdr>
        <w:top w:val="none" w:sz="0" w:space="0" w:color="auto"/>
        <w:left w:val="none" w:sz="0" w:space="0" w:color="auto"/>
        <w:bottom w:val="none" w:sz="0" w:space="0" w:color="auto"/>
        <w:right w:val="none" w:sz="0" w:space="0" w:color="auto"/>
      </w:divBdr>
    </w:div>
    <w:div w:id="868756797">
      <w:bodyDiv w:val="1"/>
      <w:marLeft w:val="0"/>
      <w:marRight w:val="0"/>
      <w:marTop w:val="0"/>
      <w:marBottom w:val="0"/>
      <w:divBdr>
        <w:top w:val="none" w:sz="0" w:space="0" w:color="auto"/>
        <w:left w:val="none" w:sz="0" w:space="0" w:color="auto"/>
        <w:bottom w:val="none" w:sz="0" w:space="0" w:color="auto"/>
        <w:right w:val="none" w:sz="0" w:space="0" w:color="auto"/>
      </w:divBdr>
    </w:div>
    <w:div w:id="953636276">
      <w:bodyDiv w:val="1"/>
      <w:marLeft w:val="0"/>
      <w:marRight w:val="0"/>
      <w:marTop w:val="0"/>
      <w:marBottom w:val="0"/>
      <w:divBdr>
        <w:top w:val="none" w:sz="0" w:space="0" w:color="auto"/>
        <w:left w:val="none" w:sz="0" w:space="0" w:color="auto"/>
        <w:bottom w:val="none" w:sz="0" w:space="0" w:color="auto"/>
        <w:right w:val="none" w:sz="0" w:space="0" w:color="auto"/>
      </w:divBdr>
    </w:div>
    <w:div w:id="1009912366">
      <w:bodyDiv w:val="1"/>
      <w:marLeft w:val="0"/>
      <w:marRight w:val="0"/>
      <w:marTop w:val="0"/>
      <w:marBottom w:val="0"/>
      <w:divBdr>
        <w:top w:val="none" w:sz="0" w:space="0" w:color="auto"/>
        <w:left w:val="none" w:sz="0" w:space="0" w:color="auto"/>
        <w:bottom w:val="none" w:sz="0" w:space="0" w:color="auto"/>
        <w:right w:val="none" w:sz="0" w:space="0" w:color="auto"/>
      </w:divBdr>
      <w:divsChild>
        <w:div w:id="262148212">
          <w:marLeft w:val="0"/>
          <w:marRight w:val="0"/>
          <w:marTop w:val="0"/>
          <w:marBottom w:val="0"/>
          <w:divBdr>
            <w:top w:val="none" w:sz="0" w:space="0" w:color="auto"/>
            <w:left w:val="none" w:sz="0" w:space="0" w:color="auto"/>
            <w:bottom w:val="none" w:sz="0" w:space="0" w:color="auto"/>
            <w:right w:val="none" w:sz="0" w:space="0" w:color="auto"/>
          </w:divBdr>
        </w:div>
      </w:divsChild>
    </w:div>
    <w:div w:id="1028682878">
      <w:bodyDiv w:val="1"/>
      <w:marLeft w:val="0"/>
      <w:marRight w:val="0"/>
      <w:marTop w:val="0"/>
      <w:marBottom w:val="0"/>
      <w:divBdr>
        <w:top w:val="none" w:sz="0" w:space="0" w:color="auto"/>
        <w:left w:val="none" w:sz="0" w:space="0" w:color="auto"/>
        <w:bottom w:val="none" w:sz="0" w:space="0" w:color="auto"/>
        <w:right w:val="none" w:sz="0" w:space="0" w:color="auto"/>
      </w:divBdr>
    </w:div>
    <w:div w:id="1051925095">
      <w:bodyDiv w:val="1"/>
      <w:marLeft w:val="0"/>
      <w:marRight w:val="0"/>
      <w:marTop w:val="0"/>
      <w:marBottom w:val="0"/>
      <w:divBdr>
        <w:top w:val="none" w:sz="0" w:space="0" w:color="auto"/>
        <w:left w:val="none" w:sz="0" w:space="0" w:color="auto"/>
        <w:bottom w:val="none" w:sz="0" w:space="0" w:color="auto"/>
        <w:right w:val="none" w:sz="0" w:space="0" w:color="auto"/>
      </w:divBdr>
    </w:div>
    <w:div w:id="1076854601">
      <w:bodyDiv w:val="1"/>
      <w:marLeft w:val="0"/>
      <w:marRight w:val="0"/>
      <w:marTop w:val="0"/>
      <w:marBottom w:val="0"/>
      <w:divBdr>
        <w:top w:val="none" w:sz="0" w:space="0" w:color="auto"/>
        <w:left w:val="none" w:sz="0" w:space="0" w:color="auto"/>
        <w:bottom w:val="none" w:sz="0" w:space="0" w:color="auto"/>
        <w:right w:val="none" w:sz="0" w:space="0" w:color="auto"/>
      </w:divBdr>
      <w:divsChild>
        <w:div w:id="519902180">
          <w:marLeft w:val="0"/>
          <w:marRight w:val="0"/>
          <w:marTop w:val="0"/>
          <w:marBottom w:val="0"/>
          <w:divBdr>
            <w:top w:val="none" w:sz="0" w:space="0" w:color="auto"/>
            <w:left w:val="none" w:sz="0" w:space="0" w:color="auto"/>
            <w:bottom w:val="none" w:sz="0" w:space="0" w:color="auto"/>
            <w:right w:val="none" w:sz="0" w:space="0" w:color="auto"/>
          </w:divBdr>
        </w:div>
      </w:divsChild>
    </w:div>
    <w:div w:id="1189753356">
      <w:bodyDiv w:val="1"/>
      <w:marLeft w:val="0"/>
      <w:marRight w:val="0"/>
      <w:marTop w:val="0"/>
      <w:marBottom w:val="0"/>
      <w:divBdr>
        <w:top w:val="none" w:sz="0" w:space="0" w:color="auto"/>
        <w:left w:val="none" w:sz="0" w:space="0" w:color="auto"/>
        <w:bottom w:val="none" w:sz="0" w:space="0" w:color="auto"/>
        <w:right w:val="none" w:sz="0" w:space="0" w:color="auto"/>
      </w:divBdr>
      <w:divsChild>
        <w:div w:id="773668886">
          <w:marLeft w:val="0"/>
          <w:marRight w:val="0"/>
          <w:marTop w:val="0"/>
          <w:marBottom w:val="0"/>
          <w:divBdr>
            <w:top w:val="none" w:sz="0" w:space="0" w:color="auto"/>
            <w:left w:val="none" w:sz="0" w:space="0" w:color="auto"/>
            <w:bottom w:val="none" w:sz="0" w:space="0" w:color="auto"/>
            <w:right w:val="none" w:sz="0" w:space="0" w:color="auto"/>
          </w:divBdr>
        </w:div>
      </w:divsChild>
    </w:div>
    <w:div w:id="1377389835">
      <w:bodyDiv w:val="1"/>
      <w:marLeft w:val="0"/>
      <w:marRight w:val="0"/>
      <w:marTop w:val="0"/>
      <w:marBottom w:val="0"/>
      <w:divBdr>
        <w:top w:val="none" w:sz="0" w:space="0" w:color="auto"/>
        <w:left w:val="none" w:sz="0" w:space="0" w:color="auto"/>
        <w:bottom w:val="none" w:sz="0" w:space="0" w:color="auto"/>
        <w:right w:val="none" w:sz="0" w:space="0" w:color="auto"/>
      </w:divBdr>
    </w:div>
    <w:div w:id="1434860518">
      <w:bodyDiv w:val="1"/>
      <w:marLeft w:val="0"/>
      <w:marRight w:val="0"/>
      <w:marTop w:val="0"/>
      <w:marBottom w:val="0"/>
      <w:divBdr>
        <w:top w:val="none" w:sz="0" w:space="0" w:color="auto"/>
        <w:left w:val="none" w:sz="0" w:space="0" w:color="auto"/>
        <w:bottom w:val="none" w:sz="0" w:space="0" w:color="auto"/>
        <w:right w:val="none" w:sz="0" w:space="0" w:color="auto"/>
      </w:divBdr>
      <w:divsChild>
        <w:div w:id="464616191">
          <w:marLeft w:val="0"/>
          <w:marRight w:val="0"/>
          <w:marTop w:val="0"/>
          <w:marBottom w:val="0"/>
          <w:divBdr>
            <w:top w:val="none" w:sz="0" w:space="0" w:color="auto"/>
            <w:left w:val="none" w:sz="0" w:space="0" w:color="auto"/>
            <w:bottom w:val="none" w:sz="0" w:space="0" w:color="auto"/>
            <w:right w:val="none" w:sz="0" w:space="0" w:color="auto"/>
          </w:divBdr>
        </w:div>
      </w:divsChild>
    </w:div>
    <w:div w:id="1470201489">
      <w:bodyDiv w:val="1"/>
      <w:marLeft w:val="0"/>
      <w:marRight w:val="0"/>
      <w:marTop w:val="0"/>
      <w:marBottom w:val="0"/>
      <w:divBdr>
        <w:top w:val="none" w:sz="0" w:space="0" w:color="auto"/>
        <w:left w:val="none" w:sz="0" w:space="0" w:color="auto"/>
        <w:bottom w:val="none" w:sz="0" w:space="0" w:color="auto"/>
        <w:right w:val="none" w:sz="0" w:space="0" w:color="auto"/>
      </w:divBdr>
    </w:div>
    <w:div w:id="1529445225">
      <w:bodyDiv w:val="1"/>
      <w:marLeft w:val="0"/>
      <w:marRight w:val="0"/>
      <w:marTop w:val="0"/>
      <w:marBottom w:val="0"/>
      <w:divBdr>
        <w:top w:val="none" w:sz="0" w:space="0" w:color="auto"/>
        <w:left w:val="none" w:sz="0" w:space="0" w:color="auto"/>
        <w:bottom w:val="none" w:sz="0" w:space="0" w:color="auto"/>
        <w:right w:val="none" w:sz="0" w:space="0" w:color="auto"/>
      </w:divBdr>
    </w:div>
    <w:div w:id="1695688810">
      <w:bodyDiv w:val="1"/>
      <w:marLeft w:val="0"/>
      <w:marRight w:val="0"/>
      <w:marTop w:val="0"/>
      <w:marBottom w:val="0"/>
      <w:divBdr>
        <w:top w:val="none" w:sz="0" w:space="0" w:color="auto"/>
        <w:left w:val="none" w:sz="0" w:space="0" w:color="auto"/>
        <w:bottom w:val="none" w:sz="0" w:space="0" w:color="auto"/>
        <w:right w:val="none" w:sz="0" w:space="0" w:color="auto"/>
      </w:divBdr>
      <w:divsChild>
        <w:div w:id="1839419657">
          <w:marLeft w:val="0"/>
          <w:marRight w:val="0"/>
          <w:marTop w:val="0"/>
          <w:marBottom w:val="0"/>
          <w:divBdr>
            <w:top w:val="none" w:sz="0" w:space="0" w:color="auto"/>
            <w:left w:val="none" w:sz="0" w:space="0" w:color="auto"/>
            <w:bottom w:val="none" w:sz="0" w:space="0" w:color="auto"/>
            <w:right w:val="none" w:sz="0" w:space="0" w:color="auto"/>
          </w:divBdr>
        </w:div>
      </w:divsChild>
    </w:div>
    <w:div w:id="1706714435">
      <w:bodyDiv w:val="1"/>
      <w:marLeft w:val="0"/>
      <w:marRight w:val="0"/>
      <w:marTop w:val="0"/>
      <w:marBottom w:val="0"/>
      <w:divBdr>
        <w:top w:val="none" w:sz="0" w:space="0" w:color="auto"/>
        <w:left w:val="none" w:sz="0" w:space="0" w:color="auto"/>
        <w:bottom w:val="none" w:sz="0" w:space="0" w:color="auto"/>
        <w:right w:val="none" w:sz="0" w:space="0" w:color="auto"/>
      </w:divBdr>
    </w:div>
    <w:div w:id="1767186603">
      <w:bodyDiv w:val="1"/>
      <w:marLeft w:val="0"/>
      <w:marRight w:val="0"/>
      <w:marTop w:val="0"/>
      <w:marBottom w:val="0"/>
      <w:divBdr>
        <w:top w:val="none" w:sz="0" w:space="0" w:color="auto"/>
        <w:left w:val="none" w:sz="0" w:space="0" w:color="auto"/>
        <w:bottom w:val="none" w:sz="0" w:space="0" w:color="auto"/>
        <w:right w:val="none" w:sz="0" w:space="0" w:color="auto"/>
      </w:divBdr>
    </w:div>
    <w:div w:id="1797916877">
      <w:bodyDiv w:val="1"/>
      <w:marLeft w:val="0"/>
      <w:marRight w:val="0"/>
      <w:marTop w:val="0"/>
      <w:marBottom w:val="0"/>
      <w:divBdr>
        <w:top w:val="none" w:sz="0" w:space="0" w:color="auto"/>
        <w:left w:val="none" w:sz="0" w:space="0" w:color="auto"/>
        <w:bottom w:val="none" w:sz="0" w:space="0" w:color="auto"/>
        <w:right w:val="none" w:sz="0" w:space="0" w:color="auto"/>
      </w:divBdr>
    </w:div>
    <w:div w:id="1895460878">
      <w:bodyDiv w:val="1"/>
      <w:marLeft w:val="0"/>
      <w:marRight w:val="0"/>
      <w:marTop w:val="0"/>
      <w:marBottom w:val="0"/>
      <w:divBdr>
        <w:top w:val="none" w:sz="0" w:space="0" w:color="auto"/>
        <w:left w:val="none" w:sz="0" w:space="0" w:color="auto"/>
        <w:bottom w:val="none" w:sz="0" w:space="0" w:color="auto"/>
        <w:right w:val="none" w:sz="0" w:space="0" w:color="auto"/>
      </w:divBdr>
    </w:div>
    <w:div w:id="1978997119">
      <w:bodyDiv w:val="1"/>
      <w:marLeft w:val="0"/>
      <w:marRight w:val="0"/>
      <w:marTop w:val="0"/>
      <w:marBottom w:val="0"/>
      <w:divBdr>
        <w:top w:val="none" w:sz="0" w:space="0" w:color="auto"/>
        <w:left w:val="none" w:sz="0" w:space="0" w:color="auto"/>
        <w:bottom w:val="none" w:sz="0" w:space="0" w:color="auto"/>
        <w:right w:val="none" w:sz="0" w:space="0" w:color="auto"/>
      </w:divBdr>
    </w:div>
    <w:div w:id="2038193040">
      <w:bodyDiv w:val="1"/>
      <w:marLeft w:val="0"/>
      <w:marRight w:val="0"/>
      <w:marTop w:val="0"/>
      <w:marBottom w:val="0"/>
      <w:divBdr>
        <w:top w:val="none" w:sz="0" w:space="0" w:color="auto"/>
        <w:left w:val="none" w:sz="0" w:space="0" w:color="auto"/>
        <w:bottom w:val="none" w:sz="0" w:space="0" w:color="auto"/>
        <w:right w:val="none" w:sz="0" w:space="0" w:color="auto"/>
      </w:divBdr>
    </w:div>
    <w:div w:id="208969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rinthia.com/en-gb/latest-news/carlo-cracco-teams-up-with-corinthia-in-rome/" TargetMode="External"/><Relationship Id="rId18" Type="http://schemas.openxmlformats.org/officeDocument/2006/relationships/hyperlink" Target="https://ibis.accor.com/sustainable-development/index.en.shtml" TargetMode="External"/><Relationship Id="rId3" Type="http://schemas.openxmlformats.org/officeDocument/2006/relationships/styles" Target="styles.xml"/><Relationship Id="rId21" Type="http://schemas.openxmlformats.org/officeDocument/2006/relationships/hyperlink" Target="https://revenueml.com/2020/03/a-guide-to-pricing-3-key-pricing-strategies-including-examples" TargetMode="External"/><Relationship Id="rId7" Type="http://schemas.openxmlformats.org/officeDocument/2006/relationships/endnotes" Target="endnotes.xml"/><Relationship Id="rId12" Type="http://schemas.openxmlformats.org/officeDocument/2006/relationships/hyperlink" Target="https://corporatefinanceinstitute.com/resources/management/market-positioning/" TargetMode="External"/><Relationship Id="rId17" Type="http://schemas.openxmlformats.org/officeDocument/2006/relationships/hyperlink" Target="https://www.sfmagazine.com/articles/2021/november/the-four-levers-of-revenue-management/" TargetMode="External"/><Relationship Id="rId2" Type="http://schemas.openxmlformats.org/officeDocument/2006/relationships/numbering" Target="numbering.xml"/><Relationship Id="rId16" Type="http://schemas.openxmlformats.org/officeDocument/2006/relationships/hyperlink" Target="https://eu.imanet.org/api/sitecore/CallToAction/CallToActionClick?itemId=FA070B58BC18447D9EF6ED857B8FEEB7" TargetMode="External"/><Relationship Id="rId20" Type="http://schemas.openxmlformats.org/officeDocument/2006/relationships/hyperlink" Target="https://seekingalpha.com/article/4583297-accor-european-hospitality-giant-promising-potent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accor.com/accors-global-leadership-position-in-the-increasingly-popular-extended-stay-market-continues-to-accelerate/?lang=e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rinthia.com/en-gb/sustainability/" TargetMode="External"/><Relationship Id="rId23" Type="http://schemas.openxmlformats.org/officeDocument/2006/relationships/fontTable" Target="fontTable.xml"/><Relationship Id="rId10" Type="http://schemas.openxmlformats.org/officeDocument/2006/relationships/hyperlink" Target="https://group.accor.com/-/media/Corporate/Investors/Documents-financiers/2023/07-27-H1/Interim_Financial_Report_2023_Accor_vDef.pdf" TargetMode="External"/><Relationship Id="rId19" Type="http://schemas.openxmlformats.org/officeDocument/2006/relationships/hyperlink" Target="https://www.mbaskool.com/marketing-mix/services/17538-ibis.html" TargetMode="External"/><Relationship Id="rId4" Type="http://schemas.openxmlformats.org/officeDocument/2006/relationships/settings" Target="settings.xml"/><Relationship Id="rId9" Type="http://schemas.openxmlformats.org/officeDocument/2006/relationships/hyperlink" Target="https://group.accor.com/-/media/Corporate/Home/Documents/Publications/PDF-for-pages/Accor_AtAGlance_2023.pdf" TargetMode="External"/><Relationship Id="rId14" Type="http://schemas.openxmlformats.org/officeDocument/2006/relationships/hyperlink" Target="https://www.corinthiagroup.com/wp-content/uploads/2023/06/37547-CORINTHIA-ANNUAL-REPORT-2022_WEB-mi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26DE0-03F4-4208-8E76-0D348FF395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Pages>
  <Words>3671</Words>
  <Characters>20930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Roxana-Maria Burlacu</dc:creator>
  <cp:keywords/>
  <dc:description/>
  <cp:lastModifiedBy>Roxana Maria Burlacu (2014302)</cp:lastModifiedBy>
  <cp:revision>168</cp:revision>
  <dcterms:created xsi:type="dcterms:W3CDTF">2024-01-21T11:14:00Z</dcterms:created>
  <dcterms:modified xsi:type="dcterms:W3CDTF">2024-02-01T19:06:00Z</dcterms:modified>
</cp:coreProperties>
</file>