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51401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2AF42B3F"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E15FD9">
        <w:rPr>
          <w:rFonts w:ascii="Arial" w:hAnsi="Arial" w:cs="Arial"/>
          <w:sz w:val="28"/>
          <w:szCs w:val="28"/>
          <w:lang w:val="nl-NL"/>
        </w:rPr>
        <w:t>Introduction to health and social care</w:t>
      </w:r>
    </w:p>
    <w:p w14:paraId="537571AF" w14:textId="0167EB26"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 xml:space="preserve">Module </w:t>
      </w:r>
      <w:proofErr w:type="gramStart"/>
      <w:r w:rsidRPr="00CD33A8">
        <w:rPr>
          <w:rFonts w:ascii="Arial" w:hAnsi="Arial" w:cs="Arial"/>
          <w:b/>
          <w:bCs/>
          <w:sz w:val="28"/>
          <w:szCs w:val="28"/>
        </w:rPr>
        <w:t>code</w:t>
      </w:r>
      <w:r w:rsidRPr="00CD33A8">
        <w:rPr>
          <w:rFonts w:ascii="Arial" w:hAnsi="Arial" w:cs="Arial"/>
          <w:sz w:val="28"/>
          <w:szCs w:val="28"/>
        </w:rPr>
        <w:t>:</w:t>
      </w:r>
      <w:r w:rsidR="00E15FD9">
        <w:rPr>
          <w:rFonts w:ascii="Arial" w:hAnsi="Arial" w:cs="Arial"/>
          <w:sz w:val="28"/>
          <w:szCs w:val="28"/>
        </w:rPr>
        <w:t>LCHS</w:t>
      </w:r>
      <w:proofErr w:type="gramEnd"/>
      <w:r w:rsidR="00E15FD9">
        <w:rPr>
          <w:rFonts w:ascii="Arial" w:hAnsi="Arial" w:cs="Arial"/>
          <w:sz w:val="28"/>
          <w:szCs w:val="28"/>
        </w:rPr>
        <w:t>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08000A02"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E15FD9">
        <w:rPr>
          <w:rFonts w:ascii="Arial" w:hAnsi="Arial" w:cs="Arial"/>
          <w:sz w:val="28"/>
          <w:szCs w:val="28"/>
          <w:lang w:val="nl-NL"/>
        </w:rPr>
        <w:t>Saumu  Hoadley</w:t>
      </w:r>
    </w:p>
    <w:p w14:paraId="39AA4413" w14:textId="2B01C2DA"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E15FD9">
        <w:rPr>
          <w:rFonts w:ascii="Arial" w:hAnsi="Arial" w:cs="Arial"/>
          <w:sz w:val="28"/>
          <w:szCs w:val="28"/>
          <w:lang w:val="nl-NL"/>
        </w:rPr>
        <w:t>2525132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10C40488"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 xml:space="preserve">Lecturer’s </w:t>
      </w:r>
      <w:proofErr w:type="spellStart"/>
      <w:r>
        <w:rPr>
          <w:rFonts w:ascii="Arial" w:hAnsi="Arial" w:cs="Arial"/>
          <w:b/>
          <w:bCs/>
          <w:sz w:val="28"/>
          <w:szCs w:val="28"/>
        </w:rPr>
        <w:t>name</w:t>
      </w:r>
      <w:r w:rsidR="00074402" w:rsidRPr="00CD33A8">
        <w:rPr>
          <w:rFonts w:ascii="Arial" w:hAnsi="Arial" w:cs="Arial"/>
          <w:sz w:val="28"/>
          <w:szCs w:val="28"/>
        </w:rPr>
        <w:t>:</w:t>
      </w:r>
      <w:r w:rsidR="00E15FD9">
        <w:rPr>
          <w:rFonts w:ascii="Arial" w:hAnsi="Arial" w:cs="Arial"/>
          <w:sz w:val="28"/>
          <w:szCs w:val="28"/>
        </w:rPr>
        <w:t>Sam</w:t>
      </w:r>
      <w:proofErr w:type="spellEnd"/>
      <w:r w:rsidR="00E15FD9">
        <w:rPr>
          <w:rFonts w:ascii="Arial" w:hAnsi="Arial" w:cs="Arial"/>
          <w:sz w:val="28"/>
          <w:szCs w:val="28"/>
        </w:rPr>
        <w:t xml:space="preserve"> Parker</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bookmarkStart w:id="0" w:name="_Toc237262613"/>
      <w:r w:rsidRPr="00CD33A8">
        <w:lastRenderedPageBreak/>
        <w:t>Table of contents</w:t>
      </w:r>
      <w:bookmarkEnd w:id="0"/>
    </w:p>
    <w:sdt>
      <w:sdtPr>
        <w:rPr>
          <w:rFonts w:ascii="Times New Roman" w:eastAsiaTheme="minorHAnsi" w:hAnsi="Times New Roman" w:cstheme="minorBidi"/>
          <w:color w:val="auto"/>
          <w:sz w:val="24"/>
          <w:szCs w:val="22"/>
          <w:lang w:eastAsia="en-US"/>
        </w:rPr>
        <w:id w:val="-659622670"/>
        <w:docPartObj>
          <w:docPartGallery w:val="Table of Contents"/>
          <w:docPartUnique/>
        </w:docPartObj>
      </w:sdtPr>
      <w:sdtEndPr>
        <w:rPr>
          <w:b/>
          <w:bCs/>
        </w:rPr>
      </w:sdtEndPr>
      <w:sdtContent>
        <w:p w14:paraId="18D875FD" w14:textId="2851FCB0" w:rsidR="00E15FD9" w:rsidRDefault="00E15FD9">
          <w:pPr>
            <w:pStyle w:val="TOCHeading"/>
          </w:pPr>
          <w:r>
            <w:t>Contents</w:t>
          </w:r>
        </w:p>
        <w:p w14:paraId="2F1A2B0E" w14:textId="79F0D0E7" w:rsidR="00E15FD9" w:rsidRDefault="00E15FD9">
          <w:pPr>
            <w:pStyle w:val="TOC1"/>
            <w:tabs>
              <w:tab w:val="right" w:leader="dot" w:pos="9016"/>
            </w:tabs>
            <w:rPr>
              <w:noProof/>
            </w:rPr>
          </w:pPr>
          <w:r>
            <w:fldChar w:fldCharType="begin"/>
          </w:r>
          <w:r>
            <w:instrText xml:space="preserve"> TOC \o "1-3" \h \z \u </w:instrText>
          </w:r>
          <w:r>
            <w:fldChar w:fldCharType="separate"/>
          </w:r>
          <w:hyperlink w:anchor="_Toc237262613" w:history="1">
            <w:r w:rsidRPr="002D3BE3">
              <w:rPr>
                <w:rStyle w:val="Hyperlink"/>
                <w:noProof/>
              </w:rPr>
              <w:t>Table of contents</w:t>
            </w:r>
            <w:r>
              <w:rPr>
                <w:noProof/>
                <w:webHidden/>
              </w:rPr>
              <w:tab/>
            </w:r>
            <w:r>
              <w:rPr>
                <w:noProof/>
                <w:webHidden/>
              </w:rPr>
              <w:fldChar w:fldCharType="begin"/>
            </w:r>
            <w:r>
              <w:rPr>
                <w:noProof/>
                <w:webHidden/>
              </w:rPr>
              <w:instrText xml:space="preserve"> PAGEREF _Toc237262613 \h </w:instrText>
            </w:r>
            <w:r>
              <w:rPr>
                <w:noProof/>
                <w:webHidden/>
              </w:rPr>
            </w:r>
            <w:r>
              <w:rPr>
                <w:noProof/>
                <w:webHidden/>
              </w:rPr>
              <w:fldChar w:fldCharType="separate"/>
            </w:r>
            <w:r>
              <w:rPr>
                <w:noProof/>
                <w:webHidden/>
              </w:rPr>
              <w:t>2</w:t>
            </w:r>
            <w:r>
              <w:rPr>
                <w:noProof/>
                <w:webHidden/>
              </w:rPr>
              <w:fldChar w:fldCharType="end"/>
            </w:r>
          </w:hyperlink>
        </w:p>
        <w:p w14:paraId="19F28830" w14:textId="45D6BD2D" w:rsidR="00E15FD9" w:rsidRDefault="00E15FD9">
          <w:pPr>
            <w:pStyle w:val="TOC1"/>
            <w:tabs>
              <w:tab w:val="right" w:leader="dot" w:pos="9016"/>
            </w:tabs>
            <w:rPr>
              <w:noProof/>
            </w:rPr>
          </w:pPr>
          <w:hyperlink w:anchor="_Toc237262614" w:history="1">
            <w:r w:rsidRPr="002D3BE3">
              <w:rPr>
                <w:rStyle w:val="Hyperlink"/>
                <w:noProof/>
              </w:rPr>
              <w:t>1. Introduction</w:t>
            </w:r>
            <w:r>
              <w:rPr>
                <w:noProof/>
                <w:webHidden/>
              </w:rPr>
              <w:tab/>
            </w:r>
            <w:r>
              <w:rPr>
                <w:noProof/>
                <w:webHidden/>
              </w:rPr>
              <w:fldChar w:fldCharType="begin"/>
            </w:r>
            <w:r>
              <w:rPr>
                <w:noProof/>
                <w:webHidden/>
              </w:rPr>
              <w:instrText xml:space="preserve"> PAGEREF _Toc237262614 \h </w:instrText>
            </w:r>
            <w:r>
              <w:rPr>
                <w:noProof/>
                <w:webHidden/>
              </w:rPr>
            </w:r>
            <w:r>
              <w:rPr>
                <w:noProof/>
                <w:webHidden/>
              </w:rPr>
              <w:fldChar w:fldCharType="separate"/>
            </w:r>
            <w:r>
              <w:rPr>
                <w:noProof/>
                <w:webHidden/>
              </w:rPr>
              <w:t>3</w:t>
            </w:r>
            <w:r>
              <w:rPr>
                <w:noProof/>
                <w:webHidden/>
              </w:rPr>
              <w:fldChar w:fldCharType="end"/>
            </w:r>
          </w:hyperlink>
        </w:p>
        <w:p w14:paraId="085F5396" w14:textId="3CB1B6ED" w:rsidR="00E15FD9" w:rsidRDefault="00E15FD9">
          <w:pPr>
            <w:pStyle w:val="TOC1"/>
            <w:tabs>
              <w:tab w:val="right" w:leader="dot" w:pos="9016"/>
            </w:tabs>
            <w:rPr>
              <w:noProof/>
            </w:rPr>
          </w:pPr>
          <w:hyperlink w:anchor="_Toc237262615" w:history="1">
            <w:r w:rsidRPr="002D3BE3">
              <w:rPr>
                <w:rStyle w:val="Hyperlink"/>
                <w:noProof/>
              </w:rPr>
              <w:t>2. Importance of effective communication</w:t>
            </w:r>
            <w:r>
              <w:rPr>
                <w:noProof/>
                <w:webHidden/>
              </w:rPr>
              <w:tab/>
            </w:r>
            <w:r>
              <w:rPr>
                <w:noProof/>
                <w:webHidden/>
              </w:rPr>
              <w:fldChar w:fldCharType="begin"/>
            </w:r>
            <w:r>
              <w:rPr>
                <w:noProof/>
                <w:webHidden/>
              </w:rPr>
              <w:instrText xml:space="preserve"> PAGEREF _Toc237262615 \h </w:instrText>
            </w:r>
            <w:r>
              <w:rPr>
                <w:noProof/>
                <w:webHidden/>
              </w:rPr>
            </w:r>
            <w:r>
              <w:rPr>
                <w:noProof/>
                <w:webHidden/>
              </w:rPr>
              <w:fldChar w:fldCharType="separate"/>
            </w:r>
            <w:r>
              <w:rPr>
                <w:noProof/>
                <w:webHidden/>
              </w:rPr>
              <w:t>3</w:t>
            </w:r>
            <w:r>
              <w:rPr>
                <w:noProof/>
                <w:webHidden/>
              </w:rPr>
              <w:fldChar w:fldCharType="end"/>
            </w:r>
          </w:hyperlink>
        </w:p>
        <w:p w14:paraId="4C16532B" w14:textId="508A3FEF" w:rsidR="00E15FD9" w:rsidRDefault="00E15FD9">
          <w:pPr>
            <w:pStyle w:val="TOC1"/>
            <w:tabs>
              <w:tab w:val="right" w:leader="dot" w:pos="9016"/>
            </w:tabs>
            <w:rPr>
              <w:noProof/>
            </w:rPr>
          </w:pPr>
          <w:hyperlink w:anchor="_Toc237262616" w:history="1">
            <w:r w:rsidRPr="002D3BE3">
              <w:rPr>
                <w:rStyle w:val="Hyperlink"/>
                <w:noProof/>
              </w:rPr>
              <w:t>3. Importance of good administrative skills</w:t>
            </w:r>
            <w:r>
              <w:rPr>
                <w:noProof/>
                <w:webHidden/>
              </w:rPr>
              <w:tab/>
            </w:r>
            <w:r>
              <w:rPr>
                <w:noProof/>
                <w:webHidden/>
              </w:rPr>
              <w:fldChar w:fldCharType="begin"/>
            </w:r>
            <w:r>
              <w:rPr>
                <w:noProof/>
                <w:webHidden/>
              </w:rPr>
              <w:instrText xml:space="preserve"> PAGEREF _Toc237262616 \h </w:instrText>
            </w:r>
            <w:r>
              <w:rPr>
                <w:noProof/>
                <w:webHidden/>
              </w:rPr>
            </w:r>
            <w:r>
              <w:rPr>
                <w:noProof/>
                <w:webHidden/>
              </w:rPr>
              <w:fldChar w:fldCharType="separate"/>
            </w:r>
            <w:r>
              <w:rPr>
                <w:noProof/>
                <w:webHidden/>
              </w:rPr>
              <w:t>4</w:t>
            </w:r>
            <w:r>
              <w:rPr>
                <w:noProof/>
                <w:webHidden/>
              </w:rPr>
              <w:fldChar w:fldCharType="end"/>
            </w:r>
          </w:hyperlink>
        </w:p>
        <w:p w14:paraId="0F8182DF" w14:textId="03C81CCE" w:rsidR="00E15FD9" w:rsidRDefault="00E15FD9">
          <w:pPr>
            <w:pStyle w:val="TOC1"/>
            <w:tabs>
              <w:tab w:val="right" w:leader="dot" w:pos="9016"/>
            </w:tabs>
            <w:rPr>
              <w:noProof/>
            </w:rPr>
          </w:pPr>
          <w:hyperlink w:anchor="_Toc237262617" w:history="1">
            <w:r w:rsidRPr="002D3BE3">
              <w:rPr>
                <w:rStyle w:val="Hyperlink"/>
                <w:noProof/>
              </w:rPr>
              <w:t>4. Importance of working collaboratively</w:t>
            </w:r>
            <w:r>
              <w:rPr>
                <w:noProof/>
                <w:webHidden/>
              </w:rPr>
              <w:tab/>
            </w:r>
            <w:r>
              <w:rPr>
                <w:noProof/>
                <w:webHidden/>
              </w:rPr>
              <w:fldChar w:fldCharType="begin"/>
            </w:r>
            <w:r>
              <w:rPr>
                <w:noProof/>
                <w:webHidden/>
              </w:rPr>
              <w:instrText xml:space="preserve"> PAGEREF _Toc237262617 \h </w:instrText>
            </w:r>
            <w:r>
              <w:rPr>
                <w:noProof/>
                <w:webHidden/>
              </w:rPr>
            </w:r>
            <w:r>
              <w:rPr>
                <w:noProof/>
                <w:webHidden/>
              </w:rPr>
              <w:fldChar w:fldCharType="separate"/>
            </w:r>
            <w:r>
              <w:rPr>
                <w:noProof/>
                <w:webHidden/>
              </w:rPr>
              <w:t>5</w:t>
            </w:r>
            <w:r>
              <w:rPr>
                <w:noProof/>
                <w:webHidden/>
              </w:rPr>
              <w:fldChar w:fldCharType="end"/>
            </w:r>
          </w:hyperlink>
        </w:p>
        <w:p w14:paraId="76866E37" w14:textId="08604BE3" w:rsidR="00E15FD9" w:rsidRDefault="00E15FD9">
          <w:pPr>
            <w:pStyle w:val="TOC1"/>
            <w:tabs>
              <w:tab w:val="right" w:leader="dot" w:pos="9016"/>
            </w:tabs>
            <w:rPr>
              <w:noProof/>
            </w:rPr>
          </w:pPr>
          <w:hyperlink w:anchor="_Toc237262618" w:history="1">
            <w:r w:rsidRPr="002D3BE3">
              <w:rPr>
                <w:rStyle w:val="Hyperlink"/>
                <w:noProof/>
              </w:rPr>
              <w:t>5. Conclusion</w:t>
            </w:r>
            <w:r>
              <w:rPr>
                <w:noProof/>
                <w:webHidden/>
              </w:rPr>
              <w:tab/>
            </w:r>
            <w:r>
              <w:rPr>
                <w:noProof/>
                <w:webHidden/>
              </w:rPr>
              <w:fldChar w:fldCharType="begin"/>
            </w:r>
            <w:r>
              <w:rPr>
                <w:noProof/>
                <w:webHidden/>
              </w:rPr>
              <w:instrText xml:space="preserve"> PAGEREF _Toc237262618 \h </w:instrText>
            </w:r>
            <w:r>
              <w:rPr>
                <w:noProof/>
                <w:webHidden/>
              </w:rPr>
            </w:r>
            <w:r>
              <w:rPr>
                <w:noProof/>
                <w:webHidden/>
              </w:rPr>
              <w:fldChar w:fldCharType="separate"/>
            </w:r>
            <w:r>
              <w:rPr>
                <w:noProof/>
                <w:webHidden/>
              </w:rPr>
              <w:t>6</w:t>
            </w:r>
            <w:r>
              <w:rPr>
                <w:noProof/>
                <w:webHidden/>
              </w:rPr>
              <w:fldChar w:fldCharType="end"/>
            </w:r>
          </w:hyperlink>
        </w:p>
        <w:p w14:paraId="1E3F1F94" w14:textId="0B8C5EDF" w:rsidR="00E15FD9" w:rsidRDefault="00E15FD9">
          <w:pPr>
            <w:pStyle w:val="TOC1"/>
            <w:tabs>
              <w:tab w:val="right" w:leader="dot" w:pos="9016"/>
            </w:tabs>
            <w:rPr>
              <w:noProof/>
            </w:rPr>
          </w:pPr>
          <w:hyperlink w:anchor="_Toc237262619" w:history="1">
            <w:r w:rsidRPr="002D3BE3">
              <w:rPr>
                <w:rStyle w:val="Hyperlink"/>
                <w:noProof/>
              </w:rPr>
              <w:t>References</w:t>
            </w:r>
            <w:r>
              <w:rPr>
                <w:noProof/>
                <w:webHidden/>
              </w:rPr>
              <w:tab/>
            </w:r>
            <w:r>
              <w:rPr>
                <w:noProof/>
                <w:webHidden/>
              </w:rPr>
              <w:fldChar w:fldCharType="begin"/>
            </w:r>
            <w:r>
              <w:rPr>
                <w:noProof/>
                <w:webHidden/>
              </w:rPr>
              <w:instrText xml:space="preserve"> PAGEREF _Toc237262619 \h </w:instrText>
            </w:r>
            <w:r>
              <w:rPr>
                <w:noProof/>
                <w:webHidden/>
              </w:rPr>
            </w:r>
            <w:r>
              <w:rPr>
                <w:noProof/>
                <w:webHidden/>
              </w:rPr>
              <w:fldChar w:fldCharType="separate"/>
            </w:r>
            <w:r>
              <w:rPr>
                <w:noProof/>
                <w:webHidden/>
              </w:rPr>
              <w:t>7</w:t>
            </w:r>
            <w:r>
              <w:rPr>
                <w:noProof/>
                <w:webHidden/>
              </w:rPr>
              <w:fldChar w:fldCharType="end"/>
            </w:r>
          </w:hyperlink>
        </w:p>
        <w:p w14:paraId="433324FB" w14:textId="23204709" w:rsidR="00E15FD9" w:rsidRDefault="00E15FD9">
          <w:r>
            <w:rPr>
              <w:b/>
              <w:bCs/>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E620E7">
      <w:pPr>
        <w:pStyle w:val="Heading1"/>
      </w:pPr>
      <w:bookmarkStart w:id="1" w:name="_Toc237262614"/>
      <w:r w:rsidRPr="00CD33A8">
        <w:lastRenderedPageBreak/>
        <w:t>1. Introduction</w:t>
      </w:r>
      <w:bookmarkEnd w:id="1"/>
    </w:p>
    <w:p w14:paraId="52010A5E" w14:textId="642032F5" w:rsidR="0026393A" w:rsidRPr="00CD33A8" w:rsidRDefault="00E15FD9" w:rsidP="00CD33A8">
      <w:pPr>
        <w:tabs>
          <w:tab w:val="left" w:pos="6540"/>
        </w:tabs>
        <w:spacing w:line="360" w:lineRule="auto"/>
        <w:rPr>
          <w:rFonts w:ascii="Arial" w:hAnsi="Arial" w:cs="Arial"/>
          <w:sz w:val="22"/>
        </w:rPr>
      </w:pPr>
      <w:r w:rsidRPr="00E15FD9">
        <w:rPr>
          <w:rFonts w:ascii="Arial" w:hAnsi="Arial" w:cs="Arial"/>
          <w:sz w:val="22"/>
        </w:rPr>
        <w:t xml:space="preserve">Mrs Thompson is an </w:t>
      </w:r>
      <w:proofErr w:type="gramStart"/>
      <w:r w:rsidRPr="00E15FD9">
        <w:rPr>
          <w:rFonts w:ascii="Arial" w:hAnsi="Arial" w:cs="Arial"/>
          <w:sz w:val="22"/>
        </w:rPr>
        <w:t>84 year old</w:t>
      </w:r>
      <w:proofErr w:type="gramEnd"/>
      <w:r w:rsidRPr="00E15FD9">
        <w:rPr>
          <w:rFonts w:ascii="Arial" w:hAnsi="Arial" w:cs="Arial"/>
          <w:sz w:val="22"/>
        </w:rPr>
        <w:t xml:space="preserve"> woman lately discharged from hospital following pneumonia. She stays alone in protected housing and receives twice a day home based care. Her moderate dementia influences her memory, leading to forgotten medication doses and increased confusion. A recent incident involving two days of missed medication has sparked a formal review, alongside a safeguarding concern after she was found outdoors without appropriate clothing in cold weather. This condition emphasizes the complicated interaction between communication, administrative responsibilities, and </w:t>
      </w:r>
      <w:proofErr w:type="spellStart"/>
      <w:r w:rsidRPr="00E15FD9">
        <w:rPr>
          <w:rFonts w:ascii="Arial" w:hAnsi="Arial" w:cs="Arial"/>
          <w:sz w:val="22"/>
        </w:rPr>
        <w:t>multi agency</w:t>
      </w:r>
      <w:proofErr w:type="spellEnd"/>
      <w:r w:rsidRPr="00E15FD9">
        <w:rPr>
          <w:rFonts w:ascii="Arial" w:hAnsi="Arial" w:cs="Arial"/>
          <w:sz w:val="22"/>
        </w:rPr>
        <w:t xml:space="preserve"> collaboration within health and social care routine. Older adults with cognitive impairment are particularly vulnerable, requiring coordinated, </w:t>
      </w:r>
      <w:proofErr w:type="gramStart"/>
      <w:r w:rsidRPr="00E15FD9">
        <w:rPr>
          <w:rFonts w:ascii="Arial" w:hAnsi="Arial" w:cs="Arial"/>
          <w:sz w:val="22"/>
        </w:rPr>
        <w:t>person centred</w:t>
      </w:r>
      <w:proofErr w:type="gramEnd"/>
      <w:r w:rsidRPr="00E15FD9">
        <w:rPr>
          <w:rFonts w:ascii="Arial" w:hAnsi="Arial" w:cs="Arial"/>
          <w:sz w:val="22"/>
        </w:rPr>
        <w:t xml:space="preserve"> support that harmonises with legal, ethical, and professional morals. This analyses three features of Mrs Thompson’s care: effective communication, robust administrative practice, and collaborative multi agency working. Each section draws on relevant legislation, professional frameworks, and academic work to prove how </w:t>
      </w:r>
      <w:proofErr w:type="gramStart"/>
      <w:r w:rsidRPr="00E15FD9">
        <w:rPr>
          <w:rFonts w:ascii="Arial" w:hAnsi="Arial" w:cs="Arial"/>
          <w:sz w:val="22"/>
        </w:rPr>
        <w:t>high quality</w:t>
      </w:r>
      <w:proofErr w:type="gramEnd"/>
      <w:r w:rsidRPr="00E15FD9">
        <w:rPr>
          <w:rFonts w:ascii="Arial" w:hAnsi="Arial" w:cs="Arial"/>
          <w:sz w:val="22"/>
        </w:rPr>
        <w:t xml:space="preserve"> care can be delivered within the setting of her needs. Effective communication is indispensable to safe, </w:t>
      </w:r>
      <w:proofErr w:type="gramStart"/>
      <w:r w:rsidRPr="00E15FD9">
        <w:rPr>
          <w:rFonts w:ascii="Arial" w:hAnsi="Arial" w:cs="Arial"/>
          <w:sz w:val="22"/>
        </w:rPr>
        <w:t>person centred</w:t>
      </w:r>
      <w:proofErr w:type="gramEnd"/>
      <w:r w:rsidRPr="00E15FD9">
        <w:rPr>
          <w:rFonts w:ascii="Arial" w:hAnsi="Arial" w:cs="Arial"/>
          <w:sz w:val="22"/>
        </w:rPr>
        <w:t xml:space="preserve"> care, especially for older adults with cognitive impairment such as dementia. Communication ensures that Mrs Thompson’s needs, preferences, and risks are understood and accepted by all specialists engaged. Poor communication can lead to medication errors, safeguarding incidents, and deterioration in health (NMC, 2018). For Mrs Thompson, </w:t>
      </w:r>
      <w:proofErr w:type="gramStart"/>
      <w:r w:rsidRPr="00E15FD9">
        <w:rPr>
          <w:rFonts w:ascii="Arial" w:hAnsi="Arial" w:cs="Arial"/>
          <w:sz w:val="22"/>
        </w:rPr>
        <w:t>effective  communication</w:t>
      </w:r>
      <w:proofErr w:type="gramEnd"/>
      <w:r w:rsidRPr="00E15FD9">
        <w:rPr>
          <w:rFonts w:ascii="Arial" w:hAnsi="Arial" w:cs="Arial"/>
          <w:sz w:val="22"/>
        </w:rPr>
        <w:t xml:space="preserve"> is essential to support her understanding of medication routines, ensure she feels safe, and maintain her dignity.</w:t>
      </w:r>
    </w:p>
    <w:p w14:paraId="73B07562" w14:textId="0E99FAFE" w:rsidR="008E3943" w:rsidRDefault="0026393A" w:rsidP="008E3943">
      <w:pPr>
        <w:pStyle w:val="Heading1"/>
      </w:pPr>
      <w:bookmarkStart w:id="2" w:name="_Toc237262615"/>
      <w:r w:rsidRPr="00CD33A8">
        <w:t xml:space="preserve">2. </w:t>
      </w:r>
      <w:r w:rsidR="008E3943">
        <w:t>I</w:t>
      </w:r>
      <w:r w:rsidR="008E3943" w:rsidRPr="008E3943">
        <w:t>mportance of effective communication</w:t>
      </w:r>
      <w:bookmarkEnd w:id="2"/>
    </w:p>
    <w:p w14:paraId="5C3DA5D1"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Considering Mrs Thompson’s moderate dementia, Effective communication should be adapted to her cognitive needs. The (Equality Act, 2010) requires reasonable alterations to ensure individuals with disabilities including cognitive impairments are not disadvantaged. This means using simple language, keeping eye contact, talking slowly, and checking whether the vulnerable individual is understanding. An approved communication structure in health and social care supports an empathetic communication scheme. It inspires experts to set up a proactively listen and provide the service user to voice concerns. Executing this model aids ascertain Mrs Thompson feels heard and supported and to manage her stress.</w:t>
      </w:r>
    </w:p>
    <w:p w14:paraId="440F1AF7"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Consultants should also use written reminders, visual indicators and consistent patterns to enhance medication compliance. Dementia friendly communication techniques such as avoiding complex questions, offering reassurance, and using calm tone are essential (Alzheimer’s Society, 2023). These approaches help reduce distress and support Mrs Thompson’s independence.</w:t>
      </w:r>
    </w:p>
    <w:p w14:paraId="128A5FFB"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lastRenderedPageBreak/>
        <w:t xml:space="preserve">Even though Mrs Thompson lives alone, family involvement is often crucial in care planning. Effective communication with relatives ensures they understand her needs, risks, and care arrangements. The (Care Act, 2014) emphasises the importance of involving carers in decision making. Communication should be </w:t>
      </w:r>
      <w:proofErr w:type="gramStart"/>
      <w:r w:rsidRPr="00E15FD9">
        <w:rPr>
          <w:rFonts w:asciiTheme="minorBidi" w:hAnsiTheme="minorBidi"/>
          <w:sz w:val="22"/>
        </w:rPr>
        <w:t xml:space="preserve">effective,   </w:t>
      </w:r>
      <w:proofErr w:type="gramEnd"/>
      <w:r w:rsidRPr="00E15FD9">
        <w:rPr>
          <w:rFonts w:asciiTheme="minorBidi" w:hAnsiTheme="minorBidi"/>
          <w:sz w:val="22"/>
        </w:rPr>
        <w:t>transparent, respectful, and aligned with confidentiality requirements under the (Data Protection Act, 2018). Family members may provide valuable insight into her routines, preferences, and early signs of deterioration.</w:t>
      </w:r>
    </w:p>
    <w:p w14:paraId="6190E963"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Effective communication between domiciliary carers, community nurses, and the GP is essential to prevent incidents such as missed medication. The recent incident must be communicated accurately through formal reporting systems to ensure timely intervention. The NMC Code requires nurses to “share information appropriately” to ensure continuity of care (NMC, 2018). Effective communication reduces duplication, prevents errors, and ensures that all professionals understand the risks associated with Mrs Thompson’s dementia and recent pneumonia recovery.</w:t>
      </w:r>
    </w:p>
    <w:p w14:paraId="3398AF2B" w14:textId="001B40B5" w:rsidR="008E3943" w:rsidRPr="00CD33A8" w:rsidRDefault="00E15FD9" w:rsidP="00CD33A8">
      <w:pPr>
        <w:tabs>
          <w:tab w:val="left" w:pos="6540"/>
        </w:tabs>
        <w:spacing w:line="360" w:lineRule="auto"/>
        <w:rPr>
          <w:rFonts w:asciiTheme="minorBidi" w:hAnsiTheme="minorBidi"/>
          <w:sz w:val="22"/>
        </w:rPr>
      </w:pPr>
      <w:r w:rsidRPr="00E15FD9">
        <w:rPr>
          <w:rFonts w:asciiTheme="minorBidi" w:hAnsiTheme="minorBidi"/>
          <w:sz w:val="22"/>
        </w:rPr>
        <w:t xml:space="preserve">Overall, Effective communication is vital for safeguarding, medication safety, emotional wellbeing, and coordinated care delivery. </w:t>
      </w:r>
      <w:proofErr w:type="spellStart"/>
      <w:r w:rsidRPr="00E15FD9">
        <w:rPr>
          <w:rFonts w:asciiTheme="minorBidi" w:hAnsiTheme="minorBidi"/>
          <w:sz w:val="22"/>
        </w:rPr>
        <w:t>Ialso</w:t>
      </w:r>
      <w:proofErr w:type="spellEnd"/>
      <w:r w:rsidRPr="00E15FD9">
        <w:rPr>
          <w:rFonts w:asciiTheme="minorBidi" w:hAnsiTheme="minorBidi"/>
          <w:sz w:val="22"/>
        </w:rPr>
        <w:t xml:space="preserve"> promotes person </w:t>
      </w:r>
      <w:proofErr w:type="spellStart"/>
      <w:r w:rsidRPr="00E15FD9">
        <w:rPr>
          <w:rFonts w:asciiTheme="minorBidi" w:hAnsiTheme="minorBidi"/>
          <w:sz w:val="22"/>
        </w:rPr>
        <w:t>centered</w:t>
      </w:r>
      <w:proofErr w:type="spellEnd"/>
      <w:r w:rsidRPr="00E15FD9">
        <w:rPr>
          <w:rFonts w:asciiTheme="minorBidi" w:hAnsiTheme="minorBidi"/>
          <w:sz w:val="22"/>
        </w:rPr>
        <w:t xml:space="preserve"> care by finding out what matters for the service user. It fosters collaboration and teamwork which help to </w:t>
      </w:r>
      <w:proofErr w:type="gramStart"/>
      <w:r w:rsidRPr="00E15FD9">
        <w:rPr>
          <w:rFonts w:asciiTheme="minorBidi" w:hAnsiTheme="minorBidi"/>
          <w:sz w:val="22"/>
        </w:rPr>
        <w:t>prevent  mistakes</w:t>
      </w:r>
      <w:proofErr w:type="gramEnd"/>
      <w:r w:rsidRPr="00E15FD9">
        <w:rPr>
          <w:rFonts w:asciiTheme="minorBidi" w:hAnsiTheme="minorBidi"/>
          <w:sz w:val="22"/>
        </w:rPr>
        <w:t xml:space="preserve">, increasing </w:t>
      </w:r>
      <w:proofErr w:type="gramStart"/>
      <w:r w:rsidRPr="00E15FD9">
        <w:rPr>
          <w:rFonts w:asciiTheme="minorBidi" w:hAnsiTheme="minorBidi"/>
          <w:sz w:val="22"/>
        </w:rPr>
        <w:t>patients</w:t>
      </w:r>
      <w:proofErr w:type="gramEnd"/>
      <w:r w:rsidRPr="00E15FD9">
        <w:rPr>
          <w:rFonts w:asciiTheme="minorBidi" w:hAnsiTheme="minorBidi"/>
          <w:sz w:val="22"/>
        </w:rPr>
        <w:t xml:space="preserve"> satisfaction. It also </w:t>
      </w:r>
      <w:proofErr w:type="gramStart"/>
      <w:r w:rsidRPr="00E15FD9">
        <w:rPr>
          <w:rFonts w:asciiTheme="minorBidi" w:hAnsiTheme="minorBidi"/>
          <w:sz w:val="22"/>
        </w:rPr>
        <w:t>improve</w:t>
      </w:r>
      <w:proofErr w:type="gramEnd"/>
      <w:r w:rsidRPr="00E15FD9">
        <w:rPr>
          <w:rFonts w:asciiTheme="minorBidi" w:hAnsiTheme="minorBidi"/>
          <w:sz w:val="22"/>
        </w:rPr>
        <w:t xml:space="preserve"> patient experience and reduce complaints (NHS,2021). Ensuring communication is inclusive, legally compliant, and person centred is essential for meeting Mrs Thompson’s needs.</w:t>
      </w:r>
    </w:p>
    <w:p w14:paraId="60B2CDC3" w14:textId="12EE5464" w:rsidR="00B87E75" w:rsidRPr="00CD33A8" w:rsidRDefault="0026393A" w:rsidP="00E620E7">
      <w:pPr>
        <w:pStyle w:val="Heading1"/>
      </w:pPr>
      <w:bookmarkStart w:id="3" w:name="_Toc237262616"/>
      <w:r w:rsidRPr="00CD33A8">
        <w:t>3</w:t>
      </w:r>
      <w:r w:rsidR="00B87E75" w:rsidRPr="00CD33A8">
        <w:t>.</w:t>
      </w:r>
      <w:r w:rsidR="008E3943">
        <w:t xml:space="preserve"> I</w:t>
      </w:r>
      <w:r w:rsidR="008E3943" w:rsidRPr="008E3943">
        <w:t>mportance of good administrative skills</w:t>
      </w:r>
      <w:bookmarkEnd w:id="3"/>
      <w:r w:rsidR="008E3943" w:rsidRPr="008E3943">
        <w:t xml:space="preserve"> </w:t>
      </w:r>
    </w:p>
    <w:p w14:paraId="5B6CA487"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Administrative skills are fundamental to safe and effective professional practice. In Mrs Thompson’s case, accurate record keeping, incident reporting, and compliance with data protection regulation (GDPR,2018) legislation are essential to ensure her safety and wellbeing.</w:t>
      </w:r>
    </w:p>
    <w:p w14:paraId="71F0AD60"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Record keeping is a core professional responsibility. The NMC Code states that records must be “clear, accurate and legible” and completed promptly (NMC, 2018). Good records support continuity of care, enable risk assessment, and provide evidence for decision making. For Mrs Thompson, records should include medication administration logs, incident reports, care plans, and observations of her cognitive status. The missed medication incident demonstrates the importance of precise documentation. Without accurate records, professionals cannot identify patterns of risk or intervene appropriately.</w:t>
      </w:r>
    </w:p>
    <w:p w14:paraId="39383004"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 xml:space="preserve">The incident where Mrs Thompson missed two days of medication must be recorded through the service’s formal incident process. Incident reporting ensures that risks are escalated and reviewed by appropriate professionals. It also supports organisational learning and helps </w:t>
      </w:r>
      <w:r w:rsidRPr="00E15FD9">
        <w:rPr>
          <w:rFonts w:asciiTheme="minorBidi" w:hAnsiTheme="minorBidi"/>
          <w:sz w:val="22"/>
        </w:rPr>
        <w:lastRenderedPageBreak/>
        <w:t>prevent future occurrences. The Health and Social Care Act 2008 (Regulated Activities) requires providers to maintain robust systems for reporting and responding to incidents. In this case, the incident triggered a medication review, demonstrating how administrative processes directly support clinical safety.</w:t>
      </w:r>
    </w:p>
    <w:p w14:paraId="3B96D1E9"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 xml:space="preserve">The Data Protection Act 2018 and UK GDPR set out strict requirements for handling personal data. Mrs Thompson’s records must be stored securely, shared only with relevant professionals, and processed lawfully. Confidentiality is essential to maintain trust and protect her rights. Information should be shared on a </w:t>
      </w:r>
      <w:proofErr w:type="gramStart"/>
      <w:r w:rsidRPr="00E15FD9">
        <w:rPr>
          <w:rFonts w:asciiTheme="minorBidi" w:hAnsiTheme="minorBidi"/>
          <w:sz w:val="22"/>
        </w:rPr>
        <w:t>need to know</w:t>
      </w:r>
      <w:proofErr w:type="gramEnd"/>
      <w:r w:rsidRPr="00E15FD9">
        <w:rPr>
          <w:rFonts w:asciiTheme="minorBidi" w:hAnsiTheme="minorBidi"/>
          <w:sz w:val="22"/>
        </w:rPr>
        <w:t xml:space="preserve"> basis, ensuring compliance with legal and ethical standards. For example, details of her confusion and missed medication should be shared with her GP and community nurse but not with individuals outside her care team.</w:t>
      </w:r>
    </w:p>
    <w:p w14:paraId="23FFA3EC"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Administrative practice in health and social care is guided by several policy frameworks. The Caldicott Principles emphasise the importance of protecting patient information while enabling appropriate information sharing for care. The Care Quality Commission (CQC) requires providers to maintain accurate records as part of regulatory compliance. The NHS Records Management Code of Practice outlines standards for storing, retaining, and disposing of records.</w:t>
      </w:r>
    </w:p>
    <w:p w14:paraId="2B008FF6" w14:textId="3F5A9506" w:rsidR="008E3943" w:rsidRPr="00CD33A8" w:rsidRDefault="00E15FD9" w:rsidP="00CD33A8">
      <w:pPr>
        <w:tabs>
          <w:tab w:val="left" w:pos="6540"/>
        </w:tabs>
        <w:spacing w:line="360" w:lineRule="auto"/>
        <w:rPr>
          <w:rFonts w:asciiTheme="minorBidi" w:hAnsiTheme="minorBidi"/>
          <w:sz w:val="22"/>
        </w:rPr>
      </w:pPr>
      <w:r w:rsidRPr="00E15FD9">
        <w:rPr>
          <w:rFonts w:asciiTheme="minorBidi" w:hAnsiTheme="minorBidi"/>
          <w:sz w:val="22"/>
        </w:rPr>
        <w:t xml:space="preserve">Good administrative skills ensure that Mrs Thompson’s care is safe, legally compliant, and </w:t>
      </w:r>
      <w:proofErr w:type="spellStart"/>
      <w:r w:rsidRPr="00E15FD9">
        <w:rPr>
          <w:rFonts w:asciiTheme="minorBidi" w:hAnsiTheme="minorBidi"/>
          <w:sz w:val="22"/>
        </w:rPr>
        <w:t>well coordinated</w:t>
      </w:r>
      <w:proofErr w:type="spellEnd"/>
      <w:r w:rsidRPr="00E15FD9">
        <w:rPr>
          <w:rFonts w:asciiTheme="minorBidi" w:hAnsiTheme="minorBidi"/>
          <w:sz w:val="22"/>
        </w:rPr>
        <w:t>. The support safeguarding, risk management, and professional accountability.</w:t>
      </w:r>
    </w:p>
    <w:p w14:paraId="581C99BF" w14:textId="264B49DF" w:rsidR="00B87E75" w:rsidRPr="00CD33A8" w:rsidRDefault="004A736E" w:rsidP="00E620E7">
      <w:pPr>
        <w:pStyle w:val="Heading1"/>
      </w:pPr>
      <w:bookmarkStart w:id="4" w:name="_Toc237262617"/>
      <w:r w:rsidRPr="00CD33A8">
        <w:t>4</w:t>
      </w:r>
      <w:r w:rsidR="00B87E75" w:rsidRPr="00CD33A8">
        <w:t xml:space="preserve">. </w:t>
      </w:r>
      <w:r w:rsidR="008E3943">
        <w:t>I</w:t>
      </w:r>
      <w:r w:rsidR="008E3943" w:rsidRPr="008E3943">
        <w:t>mportance of working collaboratively</w:t>
      </w:r>
      <w:bookmarkEnd w:id="4"/>
    </w:p>
    <w:p w14:paraId="1F297200"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Multi agency collaboration is essential for meeting the complex needs of older adults with dementia. Mrs Thompson’s care involves the GP, community nurse, domiciliary carers, and local council safeguarding teams. Effective collaboration ensures that her medical, cognitive, and social needs are addressed holistically.</w:t>
      </w:r>
    </w:p>
    <w:p w14:paraId="14072592"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Person centred care requires professionals to share information, coordinate interventions, and work towards shared goals. Regular communication—through handovers, multidisciplinary meetings, and digital care records—supports continuity of care. The (Care Act, 2014) emphasises integrated working to promote wellbeing and prevent deterioration. The GP oversees medical management, the community nurse monitors clinical status, and domiciliary carers support daily living. Collaborative care planning ensures that medication routines, safeguarding concerns, and cognitive needs are addressed consistently.</w:t>
      </w:r>
    </w:p>
    <w:p w14:paraId="3A742EE2" w14:textId="35E86FDB" w:rsidR="008E3943" w:rsidRPr="00CD33A8" w:rsidRDefault="00E15FD9" w:rsidP="00CD33A8">
      <w:pPr>
        <w:tabs>
          <w:tab w:val="left" w:pos="6540"/>
        </w:tabs>
        <w:spacing w:line="360" w:lineRule="auto"/>
        <w:rPr>
          <w:rFonts w:asciiTheme="minorBidi" w:hAnsiTheme="minorBidi"/>
          <w:sz w:val="22"/>
        </w:rPr>
      </w:pPr>
      <w:r w:rsidRPr="00E15FD9">
        <w:rPr>
          <w:rFonts w:asciiTheme="minorBidi" w:hAnsiTheme="minorBidi"/>
          <w:sz w:val="22"/>
        </w:rPr>
        <w:lastRenderedPageBreak/>
        <w:t>General challenges consider unclear roles, and organisational barriers along with failure to communicate effectively leading to duplicated tasks and missed medication. Suggestions to tackle these challenges include; shared electronic health records, clear role descriptions, effective leadership and accountability, and application of structured communication instruments such as Situation Background Assessment Recommendation. Effective communication ensures that risks such as medication errors and confusion are managed proactively. This is fundamental in sustaining and safeguarding, enabling prompt intervention by the local council when uncertainties arise.</w:t>
      </w:r>
    </w:p>
    <w:p w14:paraId="16FAF0EA" w14:textId="2F93A55A" w:rsidR="00B87E75" w:rsidRPr="00CD33A8" w:rsidRDefault="008E3943" w:rsidP="00E620E7">
      <w:pPr>
        <w:pStyle w:val="Heading1"/>
      </w:pPr>
      <w:bookmarkStart w:id="5" w:name="_Toc237262618"/>
      <w:r>
        <w:t>5</w:t>
      </w:r>
      <w:r w:rsidR="00B87E75" w:rsidRPr="00CD33A8">
        <w:t>. Conclusion</w:t>
      </w:r>
      <w:bookmarkEnd w:id="5"/>
      <w:r w:rsidR="00CD33A8">
        <w:t xml:space="preserve"> </w:t>
      </w:r>
    </w:p>
    <w:p w14:paraId="6812580D" w14:textId="01DAAD37" w:rsidR="0090040D" w:rsidRPr="00CD33A8" w:rsidRDefault="00E15FD9" w:rsidP="00CD33A8">
      <w:pPr>
        <w:tabs>
          <w:tab w:val="left" w:pos="6540"/>
        </w:tabs>
        <w:spacing w:line="360" w:lineRule="auto"/>
        <w:rPr>
          <w:rFonts w:asciiTheme="minorBidi" w:hAnsiTheme="minorBidi"/>
          <w:sz w:val="22"/>
        </w:rPr>
      </w:pPr>
      <w:r w:rsidRPr="00E15FD9">
        <w:rPr>
          <w:rFonts w:asciiTheme="minorBidi" w:hAnsiTheme="minorBidi"/>
          <w:sz w:val="22"/>
        </w:rPr>
        <w:t xml:space="preserve">Mrs Thompson’s case highlights the importance of effective communication, robust administrative practice, and collaborative multi agency working in health and social care. Communication must be person centred, legally compliant, and adapted to her dementia, ensuring she feels safe and understood. Administrative skills including accurate record keeping and adherence to data protection legislation are essential for maintaining safety, supporting decision making, and ensuring regulatory compliance. Collaborative working between the GP, community nurse, domiciliary carers, and safeguarding teams ensures holistic, coordinated care that addresses her medical, cognitive, and social needs. By integrating these three aspects, professionals can deliver </w:t>
      </w:r>
      <w:proofErr w:type="gramStart"/>
      <w:r w:rsidRPr="00E15FD9">
        <w:rPr>
          <w:rFonts w:asciiTheme="minorBidi" w:hAnsiTheme="minorBidi"/>
          <w:sz w:val="22"/>
        </w:rPr>
        <w:t>high quality</w:t>
      </w:r>
      <w:proofErr w:type="gramEnd"/>
      <w:r w:rsidRPr="00E15FD9">
        <w:rPr>
          <w:rFonts w:asciiTheme="minorBidi" w:hAnsiTheme="minorBidi"/>
          <w:sz w:val="22"/>
        </w:rPr>
        <w:t xml:space="preserve"> care that promotes Mrs Thompson’s wellbeing, protects her rights, and reduces risks associated with dementia and recent illness. This case demonstrates how legal frameworks, professional standards, and </w:t>
      </w:r>
      <w:proofErr w:type="gramStart"/>
      <w:r w:rsidRPr="00E15FD9">
        <w:rPr>
          <w:rFonts w:asciiTheme="minorBidi" w:hAnsiTheme="minorBidi"/>
          <w:sz w:val="22"/>
        </w:rPr>
        <w:t>evidence based</w:t>
      </w:r>
      <w:proofErr w:type="gramEnd"/>
      <w:r w:rsidRPr="00E15FD9">
        <w:rPr>
          <w:rFonts w:asciiTheme="minorBidi" w:hAnsiTheme="minorBidi"/>
          <w:sz w:val="22"/>
        </w:rPr>
        <w:t xml:space="preserve"> practice underpin safe and effective care for vulnerable adults.</w:t>
      </w: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112A54B1" w14:textId="2450DEFC" w:rsidR="00E15FD9" w:rsidRPr="00E15FD9" w:rsidRDefault="00B87E75" w:rsidP="00E15FD9">
      <w:pPr>
        <w:pStyle w:val="Heading1"/>
      </w:pPr>
      <w:bookmarkStart w:id="6" w:name="_Toc237262619"/>
      <w:r w:rsidRPr="00CD33A8">
        <w:lastRenderedPageBreak/>
        <w:t>References</w:t>
      </w:r>
      <w:bookmarkEnd w:id="6"/>
    </w:p>
    <w:p w14:paraId="1FFFBE61"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Alzheimer’s Society (2023) Communicating with people with dementia. London: Alzheimer’s Society.</w:t>
      </w:r>
    </w:p>
    <w:p w14:paraId="31374BEE"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Care Act (2014) Care Act 2014. London: HMSO.</w:t>
      </w:r>
    </w:p>
    <w:p w14:paraId="3168C83F"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CQC (2023) Guidance for Providers. London: Care Quality Commission.</w:t>
      </w:r>
    </w:p>
    <w:p w14:paraId="1BD6EA1D"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Data Protection Act (2018) Data Protection Act 2018. London: HMSO.</w:t>
      </w:r>
    </w:p>
    <w:p w14:paraId="1EE00A1E"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Equality Act (2010) Equality Act 2010. London: HMSO.</w:t>
      </w:r>
    </w:p>
    <w:p w14:paraId="13F0E17D"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NHS Digital (2022) Social Care Frameworks and Records Management. Leeds: NHS Digital.</w:t>
      </w:r>
    </w:p>
    <w:p w14:paraId="1B0741EB"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NHS England (2023) SBAR Communication Toolkit. London: NHS England.</w:t>
      </w:r>
    </w:p>
    <w:p w14:paraId="00788F1E" w14:textId="77777777" w:rsidR="00E15FD9" w:rsidRPr="00E15FD9" w:rsidRDefault="00E15FD9" w:rsidP="00E15FD9">
      <w:pPr>
        <w:tabs>
          <w:tab w:val="left" w:pos="6540"/>
        </w:tabs>
        <w:spacing w:line="360" w:lineRule="auto"/>
        <w:rPr>
          <w:rFonts w:asciiTheme="minorBidi" w:hAnsiTheme="minorBidi"/>
          <w:sz w:val="22"/>
        </w:rPr>
      </w:pPr>
      <w:r w:rsidRPr="00E15FD9">
        <w:rPr>
          <w:rFonts w:asciiTheme="minorBidi" w:hAnsiTheme="minorBidi"/>
          <w:sz w:val="22"/>
        </w:rPr>
        <w:t>NMC (2018) The Code: Professional Standards of Practice and Behaviour for Nurses and Midwives. London: Nursing and Midwifery Council.</w:t>
      </w:r>
    </w:p>
    <w:p w14:paraId="1425F4AC" w14:textId="2C1734F6" w:rsidR="001D7C03" w:rsidRPr="00CD33A8" w:rsidRDefault="00E15FD9" w:rsidP="00E15FD9">
      <w:pPr>
        <w:tabs>
          <w:tab w:val="left" w:pos="6540"/>
        </w:tabs>
        <w:spacing w:line="360" w:lineRule="auto"/>
        <w:rPr>
          <w:rFonts w:asciiTheme="minorBidi" w:hAnsiTheme="minorBidi"/>
          <w:sz w:val="22"/>
        </w:rPr>
      </w:pPr>
      <w:r w:rsidRPr="00E15FD9">
        <w:rPr>
          <w:rFonts w:asciiTheme="minorBidi" w:hAnsiTheme="minorBidi"/>
          <w:sz w:val="22"/>
        </w:rPr>
        <w:t>UK GDPR (2021) UK General Data Protection Regulation. London: HMSO.</w:t>
      </w:r>
    </w:p>
    <w:sectPr w:rsidR="001D7C03" w:rsidRPr="00CD33A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168B4" w14:textId="77777777" w:rsidR="00BD0280" w:rsidRDefault="00BD0280" w:rsidP="003E4ECF">
      <w:pPr>
        <w:spacing w:after="0" w:line="240" w:lineRule="auto"/>
      </w:pPr>
      <w:r>
        <w:separator/>
      </w:r>
    </w:p>
  </w:endnote>
  <w:endnote w:type="continuationSeparator" w:id="0">
    <w:p w14:paraId="24A4F730" w14:textId="77777777" w:rsidR="00BD0280" w:rsidRDefault="00BD028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F500C" w14:textId="77777777" w:rsidR="00BD0280" w:rsidRDefault="00BD0280" w:rsidP="003E4ECF">
      <w:pPr>
        <w:spacing w:after="0" w:line="240" w:lineRule="auto"/>
      </w:pPr>
      <w:r>
        <w:separator/>
      </w:r>
    </w:p>
  </w:footnote>
  <w:footnote w:type="continuationSeparator" w:id="0">
    <w:p w14:paraId="472163A5" w14:textId="77777777" w:rsidR="00BD0280" w:rsidRDefault="00BD0280"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0D0DA5"/>
    <w:rsid w:val="00172CC9"/>
    <w:rsid w:val="001D7C03"/>
    <w:rsid w:val="00216C85"/>
    <w:rsid w:val="0026393A"/>
    <w:rsid w:val="00273EDD"/>
    <w:rsid w:val="00286C4B"/>
    <w:rsid w:val="002C3965"/>
    <w:rsid w:val="00321C4C"/>
    <w:rsid w:val="00392BBC"/>
    <w:rsid w:val="003E4ECF"/>
    <w:rsid w:val="004A736E"/>
    <w:rsid w:val="00514015"/>
    <w:rsid w:val="005574D5"/>
    <w:rsid w:val="006925AA"/>
    <w:rsid w:val="00725177"/>
    <w:rsid w:val="007A1B8D"/>
    <w:rsid w:val="00814A9E"/>
    <w:rsid w:val="008E3943"/>
    <w:rsid w:val="0090040D"/>
    <w:rsid w:val="009D052C"/>
    <w:rsid w:val="009D1D1E"/>
    <w:rsid w:val="00A035FD"/>
    <w:rsid w:val="00AD23A0"/>
    <w:rsid w:val="00B87E75"/>
    <w:rsid w:val="00BD0280"/>
    <w:rsid w:val="00CD33A8"/>
    <w:rsid w:val="00E15FD9"/>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E15FD9"/>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E15FD9"/>
    <w:pPr>
      <w:spacing w:after="100"/>
    </w:pPr>
  </w:style>
  <w:style w:type="character" w:styleId="Hyperlink">
    <w:name w:val="Hyperlink"/>
    <w:basedOn w:val="DefaultParagraphFont"/>
    <w:uiPriority w:val="99"/>
    <w:unhideWhenUsed/>
    <w:rsid w:val="00E15F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2FB13-1887-48E2-B0B1-E3D1988C2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1696</Words>
  <Characters>9672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Saumu Coscar Hoadley (2525132)</cp:lastModifiedBy>
  <cp:revision>2</cp:revision>
  <dcterms:created xsi:type="dcterms:W3CDTF">2026-08-10T13:00:00Z</dcterms:created>
  <dcterms:modified xsi:type="dcterms:W3CDTF">2026-08-10T13:00:00Z</dcterms:modified>
</cp:coreProperties>
</file>