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11B70" w14:textId="77777777" w:rsidR="009B6C6E" w:rsidRPr="00F84BE8" w:rsidRDefault="009B6C6E" w:rsidP="00757F54">
      <w:pPr>
        <w:jc w:val="center"/>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Case Study: Barbara</w:t>
      </w:r>
    </w:p>
    <w:p w14:paraId="70D646AA" w14:textId="323FFDBC" w:rsidR="001E269D"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Humans have a high need for solid social interactions, and much of their everyday thoughts, feelings, and activities revolve around meeting that need (Wesselmann et al., 2016). This suggests that making and maintaining social ties with others is one of the most fundamental human needs (Abraham, 1943, as cited in Zhang et al., 2021).</w:t>
      </w:r>
      <w:r w:rsidR="00C67D21" w:rsidRPr="00F84BE8">
        <w:t xml:space="preserve"> </w:t>
      </w:r>
      <w:r w:rsidR="00C67D21" w:rsidRPr="00F84BE8">
        <w:rPr>
          <w:rFonts w:ascii="Times New Roman" w:eastAsia="Times New Roman" w:hAnsi="Times New Roman" w:cs="Times New Roman"/>
          <w:kern w:val="0"/>
          <w:sz w:val="24"/>
          <w:szCs w:val="24"/>
          <w14:ligatures w14:val="none"/>
        </w:rPr>
        <w:t>Genuine (or viewed) risks to social connections can be conveyed by a variety of unpleasant social experiences; many of these are subtle, ambiguous, and occasionally accidental, and those who are threatened suffer from poor psychological and physical effects, including pain and decreased satisfaction of psychological needs (such as belonging, authority, significant being, and self-esteem) (Wesselmann et al., 2016)</w:t>
      </w:r>
      <w:r w:rsidRPr="00F84BE8">
        <w:rPr>
          <w:rFonts w:ascii="Times New Roman" w:eastAsia="Times New Roman" w:hAnsi="Times New Roman" w:cs="Times New Roman"/>
          <w:kern w:val="0"/>
          <w:sz w:val="24"/>
          <w:szCs w:val="24"/>
          <w14:ligatures w14:val="none"/>
        </w:rPr>
        <w:t xml:space="preserve">. This phenomenon is called social exclusion. Iannone (2017) defines social exclusion as being left out by others or having social links or ties broken. </w:t>
      </w:r>
      <w:r w:rsidR="00A35AC5" w:rsidRPr="00F84BE8">
        <w:rPr>
          <w:rFonts w:ascii="Times New Roman" w:eastAsia="Times New Roman" w:hAnsi="Times New Roman" w:cs="Times New Roman"/>
          <w:kern w:val="0"/>
          <w:sz w:val="24"/>
          <w:szCs w:val="24"/>
          <w14:ligatures w14:val="none"/>
        </w:rPr>
        <w:t>It is often referred to as social rejection or exclusion (being ignored and excluded). Social discrimination can occur at many levels, including individual, communal and societal levels, and can have a negative impact on people’s well-being, sense of belonging and quality of life</w:t>
      </w:r>
    </w:p>
    <w:p w14:paraId="6761E3B0" w14:textId="041380A8" w:rsidR="001E269D" w:rsidRPr="00F84BE8" w:rsidRDefault="00254610" w:rsidP="00C67D21">
      <w:pPr>
        <w:ind w:firstLine="720"/>
        <w:jc w:val="both"/>
        <w:rPr>
          <w:rFonts w:ascii="Times New Roman" w:hAnsi="Times New Roman" w:cs="Times New Roman"/>
          <w:sz w:val="24"/>
          <w:szCs w:val="24"/>
        </w:rPr>
      </w:pPr>
      <w:r w:rsidRPr="00F84BE8">
        <w:rPr>
          <w:rFonts w:ascii="Times New Roman" w:hAnsi="Times New Roman" w:cs="Times New Roman"/>
          <w:sz w:val="24"/>
          <w:szCs w:val="24"/>
        </w:rPr>
        <w:t xml:space="preserve">The social exclusion of the elderly poses significant challenges to their ongoing human development, including cognitive, emotional, and social. Social discrimination has long been a topic of interest, especially with regard to its impact on older individuals. In the past, older people have been overlooked, marginalized, or even limited to traditional roles, which can have significant impacts on social, emotional, and psychological well-being This article will go into detail in the case of Barbara, who is seventy-six years old widow living in a rural village How it affected Life will explore its possibilities. Through Barbara’s story, we will explore the challenges she faced and the strategies she can use to manage and mitigate the negative consequences of social discrimination in later life. By researching psychology and its implications, we can gain a deeper understanding of this complex issue and explore effective ways to intervene to foster positive aging experiences encouraged to. </w:t>
      </w:r>
      <w:r w:rsidR="00D03238" w:rsidRPr="00F84BE8">
        <w:rPr>
          <w:rFonts w:ascii="Times New Roman" w:hAnsi="Times New Roman" w:cs="Times New Roman"/>
          <w:sz w:val="24"/>
          <w:szCs w:val="24"/>
        </w:rPr>
        <w:t>With the act of</w:t>
      </w:r>
      <w:r w:rsidR="001E269D" w:rsidRPr="00F84BE8">
        <w:rPr>
          <w:rFonts w:ascii="Times New Roman" w:hAnsi="Times New Roman" w:cs="Times New Roman"/>
          <w:sz w:val="24"/>
          <w:szCs w:val="24"/>
        </w:rPr>
        <w:t xml:space="preserve"> delving into Barbara's unique journey, we aim to deepen our understanding of the complexities of social exclusion in later life and generate insightful discussions on fostering social connectedness and enhancing the quality of life for older adults.</w:t>
      </w:r>
    </w:p>
    <w:p w14:paraId="3168C190" w14:textId="77777777" w:rsidR="001E269D" w:rsidRPr="00F84BE8" w:rsidRDefault="001E269D" w:rsidP="00C67D21">
      <w:pPr>
        <w:jc w:val="both"/>
        <w:rPr>
          <w:rFonts w:ascii="Times New Roman" w:hAnsi="Times New Roman" w:cs="Times New Roman"/>
          <w:b/>
          <w:bCs/>
          <w:u w:val="single"/>
        </w:rPr>
      </w:pPr>
      <w:r w:rsidRPr="00F84BE8">
        <w:rPr>
          <w:rFonts w:ascii="Times New Roman" w:hAnsi="Times New Roman" w:cs="Times New Roman"/>
          <w:b/>
          <w:bCs/>
          <w:u w:val="single"/>
        </w:rPr>
        <w:t>Potential Social Outcomes</w:t>
      </w:r>
    </w:p>
    <w:p w14:paraId="1AD67700" w14:textId="4C081864" w:rsidR="001E269D" w:rsidRPr="00F84BE8" w:rsidRDefault="001E269D" w:rsidP="00C67D21">
      <w:pPr>
        <w:jc w:val="both"/>
        <w:rPr>
          <w:rFonts w:ascii="Times New Roman" w:eastAsia="Times New Roman" w:hAnsi="Times New Roman" w:cs="Times New Roman"/>
          <w:kern w:val="0"/>
          <w:sz w:val="24"/>
          <w:szCs w:val="24"/>
          <w14:ligatures w14:val="none"/>
        </w:rPr>
      </w:pPr>
      <w:r w:rsidRPr="00F84BE8">
        <w:rPr>
          <w:rFonts w:ascii="Times New Roman" w:hAnsi="Times New Roman" w:cs="Times New Roman"/>
        </w:rPr>
        <w:tab/>
      </w:r>
      <w:r w:rsidRPr="00F84BE8">
        <w:rPr>
          <w:rFonts w:ascii="Times New Roman" w:eastAsia="Times New Roman" w:hAnsi="Times New Roman" w:cs="Times New Roman"/>
          <w:kern w:val="0"/>
          <w:sz w:val="24"/>
          <w:szCs w:val="24"/>
          <w14:ligatures w14:val="none"/>
        </w:rPr>
        <w:t xml:space="preserve">The first section of the essay will examine the likely social consequences of Barbara's social exclusion. One of the possible outcomes is loneliness. Barbara, the subject of the case study, lives alone in her village, and we observe that all of her family and people she knows live far away, particularly given that her husband died. All of these factors can certainly contribute to Barbara's loneliness. According to Maslow's hierarchy of needs, after satisfying their basic physiological and safety needs, individuals want to </w:t>
      </w:r>
      <w:r w:rsidR="003B1DD3" w:rsidRPr="00F84BE8">
        <w:rPr>
          <w:rFonts w:ascii="Times New Roman" w:eastAsia="Times New Roman" w:hAnsi="Times New Roman" w:cs="Times New Roman"/>
          <w:kern w:val="0"/>
          <w:sz w:val="24"/>
          <w:szCs w:val="24"/>
          <w14:ligatures w14:val="none"/>
        </w:rPr>
        <w:t>fulfil</w:t>
      </w:r>
      <w:r w:rsidRPr="00F84BE8">
        <w:rPr>
          <w:rFonts w:ascii="Times New Roman" w:eastAsia="Times New Roman" w:hAnsi="Times New Roman" w:cs="Times New Roman"/>
          <w:kern w:val="0"/>
          <w:sz w:val="24"/>
          <w:szCs w:val="24"/>
          <w14:ligatures w14:val="none"/>
        </w:rPr>
        <w:t xml:space="preserve"> higher-order needs, including the need for belongingness and love</w:t>
      </w:r>
      <w:r w:rsidRPr="00F84BE8">
        <w:rPr>
          <w:rFonts w:ascii="Times New Roman" w:hAnsi="Times New Roman" w:cs="Times New Roman"/>
        </w:rPr>
        <w:t xml:space="preserve">. </w:t>
      </w:r>
      <w:r w:rsidRPr="00F84BE8">
        <w:rPr>
          <w:rFonts w:ascii="Times New Roman" w:eastAsia="Times New Roman" w:hAnsi="Times New Roman" w:cs="Times New Roman"/>
          <w:kern w:val="0"/>
          <w:sz w:val="24"/>
          <w:szCs w:val="24"/>
          <w14:ligatures w14:val="none"/>
        </w:rPr>
        <w:t xml:space="preserve">The love and belongingness need encompasses the want to have a partner, spouse, and/or family, which provides companionship and attachment (Montag et al., 2020). </w:t>
      </w:r>
    </w:p>
    <w:p w14:paraId="309FEBA1" w14:textId="2DE464F5" w:rsidR="001E269D" w:rsidRPr="00F84BE8" w:rsidRDefault="001E269D" w:rsidP="00C67D21">
      <w:pPr>
        <w:jc w:val="both"/>
        <w:rPr>
          <w:rFonts w:ascii="Times New Roman" w:eastAsia="Times New Roman" w:hAnsi="Times New Roman" w:cs="Times New Roman"/>
          <w:kern w:val="0"/>
          <w:sz w:val="24"/>
          <w:szCs w:val="24"/>
          <w14:ligatures w14:val="none"/>
        </w:rPr>
      </w:pPr>
      <w:r w:rsidRPr="00F84BE8">
        <w:rPr>
          <w:rFonts w:ascii="Times New Roman" w:hAnsi="Times New Roman" w:cs="Times New Roman"/>
        </w:rPr>
        <w:t xml:space="preserve"> </w:t>
      </w:r>
      <w:r w:rsidR="00F9155A" w:rsidRPr="00F84BE8">
        <w:rPr>
          <w:rFonts w:ascii="Times New Roman" w:hAnsi="Times New Roman" w:cs="Times New Roman"/>
        </w:rPr>
        <w:tab/>
      </w:r>
      <w:r w:rsidRPr="00F84BE8">
        <w:rPr>
          <w:rFonts w:ascii="Times New Roman" w:eastAsia="Times New Roman" w:hAnsi="Times New Roman" w:cs="Times New Roman"/>
          <w:kern w:val="0"/>
          <w:sz w:val="24"/>
          <w:szCs w:val="24"/>
          <w14:ligatures w14:val="none"/>
        </w:rPr>
        <w:t xml:space="preserve">Maslow proposed that one of a person's basic needs is to feel a loving and caring connection to other people. </w:t>
      </w:r>
      <w:r w:rsidR="00F9155A" w:rsidRPr="00F84BE8">
        <w:rPr>
          <w:rFonts w:ascii="Times New Roman" w:eastAsia="Times New Roman" w:hAnsi="Times New Roman" w:cs="Times New Roman"/>
          <w:kern w:val="0"/>
          <w:sz w:val="24"/>
          <w:szCs w:val="24"/>
          <w14:ligatures w14:val="none"/>
        </w:rPr>
        <w:t xml:space="preserve">Loneliness is one of the important health markers that are similar to the predictor of early mortality that is lack of social engagement. The opposite of social connectedness, feelings of social isolation develop over time as a result of a prolonged lack of social interaction, </w:t>
      </w:r>
      <w:r w:rsidR="00F9155A" w:rsidRPr="00F84BE8">
        <w:rPr>
          <w:rFonts w:ascii="Times New Roman" w:eastAsia="Times New Roman" w:hAnsi="Times New Roman" w:cs="Times New Roman"/>
          <w:kern w:val="0"/>
          <w:sz w:val="24"/>
          <w:szCs w:val="24"/>
          <w14:ligatures w14:val="none"/>
        </w:rPr>
        <w:lastRenderedPageBreak/>
        <w:t xml:space="preserve">participation in social activities, communication, or confidants (Suragarn et al., 2021). </w:t>
      </w:r>
      <w:r w:rsidRPr="00F84BE8">
        <w:rPr>
          <w:rFonts w:ascii="Times New Roman" w:eastAsia="Times New Roman" w:hAnsi="Times New Roman" w:cs="Times New Roman"/>
          <w:kern w:val="0"/>
          <w:sz w:val="24"/>
          <w:szCs w:val="24"/>
          <w14:ligatures w14:val="none"/>
        </w:rPr>
        <w:t>This is why the need for belonging becomes especially important for elderly people who may be going through life upheavals such as retirement, the loss of loved ones, or a decrease in social networks.</w:t>
      </w:r>
    </w:p>
    <w:p w14:paraId="021F54E9" w14:textId="77777777" w:rsidR="001E269D"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W (2012) provide evidence that may be related to this, particularly through the concept of quality of life (QoL) among older adults in Sudan, focusing on Maslow's hierarchical levels, reported loneliness, and on the need for social support. The findings of the study indicate that loneliness is a significant factor affecting the well-being of the elderly in Sudan. The study found a significant association between quality of life and loneliness among elderly Sudanese using Maslow’s hierarchical levels. It emphasized the importance of basic human needs and religious beliefs as key factors affecting well-being in this demographic group.</w:t>
      </w:r>
    </w:p>
    <w:p w14:paraId="070924D2" w14:textId="3B0084A6" w:rsidR="001E269D" w:rsidRPr="00F84BE8" w:rsidRDefault="001E269D" w:rsidP="00C67D21">
      <w:pPr>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b/>
      </w:r>
      <w:r w:rsidR="00E62B77" w:rsidRPr="00F84BE8">
        <w:rPr>
          <w:rFonts w:ascii="Times New Roman" w:eastAsia="Times New Roman" w:hAnsi="Times New Roman" w:cs="Times New Roman"/>
          <w:kern w:val="0"/>
          <w:sz w:val="24"/>
          <w:szCs w:val="24"/>
          <w14:ligatures w14:val="none"/>
        </w:rPr>
        <w:t xml:space="preserve">Another possible lifestyle outcome is the negative impact on one’s mental health. </w:t>
      </w:r>
      <w:r w:rsidR="008A2587" w:rsidRPr="00F84BE8">
        <w:rPr>
          <w:rFonts w:ascii="Times New Roman" w:eastAsia="Times New Roman" w:hAnsi="Times New Roman" w:cs="Times New Roman"/>
          <w:kern w:val="0"/>
          <w:sz w:val="24"/>
          <w:szCs w:val="24"/>
          <w14:ligatures w14:val="none"/>
        </w:rPr>
        <w:t xml:space="preserve">Social exclusion has been linked to increased levels of depression, anxiety, and other mental health issues among the elderly. This increased risk applies to both physical and mental health issues, which can occur as a result of unhealthy isolating habits such as excessive drinking and smoking. Furthermore, social exclusion might exacerbate sleep difficulties, resulting in shorter sleep lengths and increased daytime weariness. Furthermore, it can exacerbate neurological problems and other physiological impacts associated with social isolation and </w:t>
      </w:r>
      <w:r w:rsidR="00E8283D" w:rsidRPr="00F84BE8">
        <w:rPr>
          <w:rFonts w:ascii="Times New Roman" w:eastAsia="Times New Roman" w:hAnsi="Times New Roman" w:cs="Times New Roman"/>
          <w:kern w:val="0"/>
          <w:sz w:val="24"/>
          <w:szCs w:val="24"/>
          <w14:ligatures w14:val="none"/>
        </w:rPr>
        <w:t>loneliness. This</w:t>
      </w:r>
      <w:r w:rsidRPr="00F84BE8">
        <w:rPr>
          <w:rFonts w:ascii="Times New Roman" w:eastAsia="Times New Roman" w:hAnsi="Times New Roman" w:cs="Times New Roman"/>
          <w:kern w:val="0"/>
          <w:sz w:val="24"/>
          <w:szCs w:val="24"/>
          <w14:ligatures w14:val="none"/>
        </w:rPr>
        <w:t xml:space="preserve"> risk may be especially high for physically and psychologically vulnerable populations, such as older adults (Brandt et al., 2022). The mutually reinforcing causal relationship between social isolation, loneliness, physical health, and mental health has been found to have a profound effect on older adults (Courtin &amp; Knapp, 2017). </w:t>
      </w:r>
    </w:p>
    <w:p w14:paraId="04D64C49" w14:textId="77777777" w:rsidR="001E269D"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According to a systematic review published in 2014, seniors living in long-term care facilities are found to be at the highest risk of suicide. Research on social exclusion and mental health in older individuals utilizing cross-sectional data from a population-based survey in India can be used as evidence for this. According to the study's findings, which are in line with other research, older adults who live alone are more likely to experience depressive symptoms as living with their children or another family member has been found to provide older persons with greater social support, which directly affects their materialistic requirements and caregiving responsibilities (Hossain et al. ,2022).</w:t>
      </w:r>
    </w:p>
    <w:p w14:paraId="2C393546" w14:textId="77777777" w:rsidR="001E269D" w:rsidRPr="00F84BE8" w:rsidRDefault="001E269D" w:rsidP="00C67D21">
      <w:pPr>
        <w:jc w:val="both"/>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Potential Emotional Outcomes</w:t>
      </w:r>
    </w:p>
    <w:p w14:paraId="29BD81D2" w14:textId="1BA7F46D" w:rsidR="001E269D" w:rsidRPr="00AE678E" w:rsidRDefault="001E269D" w:rsidP="00AE678E">
      <w:pPr>
        <w:jc w:val="both"/>
        <w:rPr>
          <w:rFonts w:ascii="Times New Roman" w:eastAsia="Times New Roman" w:hAnsi="Times New Roman" w:cs="Times New Roman"/>
          <w:kern w:val="0"/>
          <w:sz w:val="24"/>
          <w:szCs w:val="24"/>
          <w:lang w:val="en-US"/>
          <w14:ligatures w14:val="none"/>
        </w:rPr>
      </w:pPr>
      <w:r w:rsidRPr="00F84BE8">
        <w:rPr>
          <w:rFonts w:ascii="Times New Roman" w:eastAsia="Times New Roman" w:hAnsi="Times New Roman" w:cs="Times New Roman"/>
          <w:kern w:val="0"/>
          <w:sz w:val="24"/>
          <w:szCs w:val="24"/>
          <w14:ligatures w14:val="none"/>
        </w:rPr>
        <w:tab/>
        <w:t xml:space="preserve">In this section, we will look at the potential emotional outcomes that can be observed from the case study. One of the potential emotional outcomes could be reduced self-esteem. </w:t>
      </w:r>
      <w:r w:rsidR="00423449" w:rsidRPr="00F84BE8">
        <w:rPr>
          <w:rFonts w:ascii="Times New Roman" w:eastAsia="Times New Roman" w:hAnsi="Times New Roman" w:cs="Times New Roman"/>
          <w:kern w:val="0"/>
          <w:sz w:val="24"/>
          <w:szCs w:val="24"/>
          <w14:ligatures w14:val="none"/>
        </w:rPr>
        <w:t>This can be explained using Erik Erikson's theory of psychosocial development. Erikson and Erikson (1997) described eight stages of psychological crises. Successfully completing each step results in psychological strengths such as hope, will, purpose, competence, fidelity, love, care, and wisdom. In the context of the elderly, we shall specifically explore the stage of "Ego Integrity vs. Despair." According to Erikson, late life provides reasons for despair, such as past, present, and future components that are tough to incorporate into an adequate whole; hence, late life is defined by both integrity and despair as recurring states that must be balanced (Westerhof et al., 2017).</w:t>
      </w:r>
      <w:r w:rsidR="00AE678E">
        <w:rPr>
          <w:rFonts w:ascii="Times New Roman" w:eastAsia="Times New Roman" w:hAnsi="Times New Roman" w:cs="Times New Roman"/>
          <w:kern w:val="0"/>
          <w:sz w:val="24"/>
          <w:szCs w:val="24"/>
          <w14:ligatures w14:val="none"/>
        </w:rPr>
        <w:t xml:space="preserve"> </w:t>
      </w:r>
      <w:r w:rsidR="00AE678E" w:rsidRPr="00AE678E">
        <w:rPr>
          <w:rFonts w:ascii="Times New Roman" w:eastAsia="Times New Roman" w:hAnsi="Times New Roman" w:cs="Times New Roman"/>
          <w:kern w:val="0"/>
          <w:sz w:val="24"/>
          <w:szCs w:val="24"/>
          <w:lang w:val="en-US"/>
          <w14:ligatures w14:val="none"/>
        </w:rPr>
        <w:t xml:space="preserve">This can be traced back to Barbara in the case study, as we recognize her gradually receiving fewer </w:t>
      </w:r>
      <w:r w:rsidR="00AE678E" w:rsidRPr="00AE678E">
        <w:rPr>
          <w:rFonts w:ascii="Times New Roman" w:eastAsia="Times New Roman" w:hAnsi="Times New Roman" w:cs="Times New Roman"/>
          <w:kern w:val="0"/>
          <w:sz w:val="24"/>
          <w:szCs w:val="24"/>
          <w:lang w:val="en-US"/>
          <w14:ligatures w14:val="none"/>
        </w:rPr>
        <w:lastRenderedPageBreak/>
        <w:t>calls from her son, and we can also see that Barbara herself does not want to make the effort to call her son frequently because she is concerned that she would disturb her busy son. Barbara's action could be motivated by a belief that she is unworthy of disturbing her son's tranquility, indicating a lack of self-esteem.</w:t>
      </w:r>
    </w:p>
    <w:p w14:paraId="662A1B7F" w14:textId="0A499235" w:rsidR="001E269D"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 xml:space="preserve">People reflect on their lives at this point and are either satisfied or regretful (Chen et al., 2021). In this phase, elderly individuals contemplate their lives and assess the degree to which they have led purposeful and happy lives. This evaluation is </w:t>
      </w:r>
      <w:r w:rsidR="003B1DD3" w:rsidRPr="00F84BE8">
        <w:rPr>
          <w:rFonts w:ascii="Times New Roman" w:eastAsia="Times New Roman" w:hAnsi="Times New Roman" w:cs="Times New Roman"/>
          <w:kern w:val="0"/>
          <w:sz w:val="24"/>
          <w:szCs w:val="24"/>
          <w14:ligatures w14:val="none"/>
        </w:rPr>
        <w:t>centred</w:t>
      </w:r>
      <w:r w:rsidRPr="00F84BE8">
        <w:rPr>
          <w:rFonts w:ascii="Times New Roman" w:eastAsia="Times New Roman" w:hAnsi="Times New Roman" w:cs="Times New Roman"/>
          <w:kern w:val="0"/>
          <w:sz w:val="24"/>
          <w:szCs w:val="24"/>
          <w14:ligatures w14:val="none"/>
        </w:rPr>
        <w:t xml:space="preserve"> on their sense of social connectivity and acceptability throughout their lives. Social exclusion or solitude in late adulthood might impair older persons' ability to build ego integrity, leading to emotions of despair and low self-esteem. Older individuals who feel socially alienated may believe their lives to be devoid of purpose or value, as they struggle to maintain meaningful social connections and a sense of belonging in their communities as according to Erikson’s theory, not fulfilling any stage of development would present problems in the future and losing a sense of belonging which is under the stage 6, intimacy versus isolation can be the reason problems like reduced self-esteem occur in that late stage of life.</w:t>
      </w:r>
      <w:r w:rsidR="00925AFD">
        <w:rPr>
          <w:rFonts w:ascii="Times New Roman" w:eastAsia="Times New Roman" w:hAnsi="Times New Roman" w:cs="Times New Roman"/>
          <w:kern w:val="0"/>
          <w:sz w:val="24"/>
          <w:szCs w:val="24"/>
          <w14:ligatures w14:val="none"/>
        </w:rPr>
        <w:t xml:space="preserve"> </w:t>
      </w:r>
    </w:p>
    <w:p w14:paraId="786DB88A" w14:textId="27B6A704" w:rsidR="001E269D"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Social exclusion can damage older persons' sense of self-worth and self-esteem, leading to feelings of inadequacy and low confidence in their social skills. A study was conducted to look into cross-national disparities in loneliness among older persons throughout Europe. According to the study</w:t>
      </w:r>
      <w:r w:rsidR="001E0446" w:rsidRPr="00F84BE8">
        <w:rPr>
          <w:rFonts w:ascii="Times New Roman" w:eastAsia="Times New Roman" w:hAnsi="Times New Roman" w:cs="Times New Roman"/>
          <w:kern w:val="0"/>
          <w:sz w:val="24"/>
          <w:szCs w:val="24"/>
          <w14:ligatures w14:val="none"/>
        </w:rPr>
        <w:t xml:space="preserve"> by Fokkema, the</w:t>
      </w:r>
      <w:r w:rsidRPr="00F84BE8">
        <w:rPr>
          <w:rFonts w:ascii="Times New Roman" w:eastAsia="Times New Roman" w:hAnsi="Times New Roman" w:cs="Times New Roman"/>
          <w:kern w:val="0"/>
          <w:sz w:val="24"/>
          <w:szCs w:val="24"/>
          <w14:ligatures w14:val="none"/>
        </w:rPr>
        <w:t xml:space="preserve"> findings</w:t>
      </w:r>
      <w:r w:rsidR="001E0446" w:rsidRPr="00F84BE8">
        <w:rPr>
          <w:rFonts w:ascii="Times New Roman" w:eastAsia="Times New Roman" w:hAnsi="Times New Roman" w:cs="Times New Roman"/>
          <w:kern w:val="0"/>
          <w:sz w:val="24"/>
          <w:szCs w:val="24"/>
          <w14:ligatures w14:val="none"/>
        </w:rPr>
        <w:t xml:space="preserve"> show that</w:t>
      </w:r>
      <w:r w:rsidRPr="00F84BE8">
        <w:rPr>
          <w:rFonts w:ascii="Times New Roman" w:eastAsia="Times New Roman" w:hAnsi="Times New Roman" w:cs="Times New Roman"/>
          <w:kern w:val="0"/>
          <w:sz w:val="24"/>
          <w:szCs w:val="24"/>
          <w14:ligatures w14:val="none"/>
        </w:rPr>
        <w:t xml:space="preserve"> social exclusion, which includes variables like lack of social contact and feelings of loneliness, has a negative correlation with self-esteem and psychological well-being. Research from it concluded it has revealed a negative correlation between social exclusion and psychological well-being and self-esteem in the elderly population (Fokkema et al., 2012). People who are socially excluded may suffer from low self-esteem and an increase in risk-taking. Internal personal traits or other external environmental elements may counteract this </w:t>
      </w:r>
      <w:r w:rsidR="00F84BE8" w:rsidRPr="00F84BE8">
        <w:rPr>
          <w:rFonts w:ascii="Times New Roman" w:eastAsia="Times New Roman" w:hAnsi="Times New Roman" w:cs="Times New Roman"/>
          <w:kern w:val="0"/>
          <w:sz w:val="24"/>
          <w:szCs w:val="24"/>
          <w14:ligatures w14:val="none"/>
        </w:rPr>
        <w:t>unfavourable</w:t>
      </w:r>
      <w:r w:rsidRPr="00F84BE8">
        <w:rPr>
          <w:rFonts w:ascii="Times New Roman" w:eastAsia="Times New Roman" w:hAnsi="Times New Roman" w:cs="Times New Roman"/>
          <w:kern w:val="0"/>
          <w:sz w:val="24"/>
          <w:szCs w:val="24"/>
          <w14:ligatures w14:val="none"/>
        </w:rPr>
        <w:t xml:space="preserve"> influence. </w:t>
      </w:r>
    </w:p>
    <w:p w14:paraId="244D8B6F" w14:textId="429A8EFA" w:rsidR="001E269D" w:rsidRPr="00F84BE8" w:rsidRDefault="001E269D" w:rsidP="0097399B">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 xml:space="preserve">Another potential emotional outcome can be resentment and anger, or in other words, negative emotions, can also be caused by the social exclusion. Social exclusion can evoke anger and resentment in older adults against individuals who exclude them or the situation itself. Older people may feel frustrated and outraged by being excluded from social contacts and communal engagement. According to the need-threat paradigm, perceived social exclusion causes an instant reaction such as social pain, unpleasant emotions (e.g., grief, rage), and threatened intrapersonal needs such as the need to belong and maintain control (Brinker et al., 2022). Numerous research </w:t>
      </w:r>
      <w:r w:rsidR="00E8283D" w:rsidRPr="00F84BE8">
        <w:rPr>
          <w:rFonts w:ascii="Times New Roman" w:eastAsia="Times New Roman" w:hAnsi="Times New Roman" w:cs="Times New Roman"/>
          <w:kern w:val="0"/>
          <w:sz w:val="24"/>
          <w:szCs w:val="24"/>
          <w14:ligatures w14:val="none"/>
        </w:rPr>
        <w:t>has</w:t>
      </w:r>
      <w:r w:rsidRPr="00F84BE8">
        <w:rPr>
          <w:rFonts w:ascii="Times New Roman" w:eastAsia="Times New Roman" w:hAnsi="Times New Roman" w:cs="Times New Roman"/>
          <w:kern w:val="0"/>
          <w:sz w:val="24"/>
          <w:szCs w:val="24"/>
          <w14:ligatures w14:val="none"/>
        </w:rPr>
        <w:t xml:space="preserve"> demonstrated, according to Zou et al. (2022), that social exclusion affects people's emotions (Park, 2017), actions (Vrijhof et al., 2016), and cognition (Wyer, 2008). Compared to social acceptance, social exclusion has been linked to feelings of sadness, anger, anxiety, and depression, according to some research (Wesselmann, Grzybowski, Steakley-Freeman, Desouza, &amp; Williams, 2016 as referenced in Zou et al., 2022).</w:t>
      </w:r>
    </w:p>
    <w:p w14:paraId="4DEADA32" w14:textId="77777777" w:rsidR="001E269D"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 xml:space="preserve">Von Humboldt et al. (2022) conducted a cross-national qualitative study with an emphasis on the COVID-19 survey to examine the impact of negative emotions on the self-growth of older individuals. The study's conclusions suggest that the COVID-19 pandemic's unpleasant feelings aided in the self-improvement of older persons (von Humboldt et al., 2022). Older adults faced difficulties as a result of the COVID-19 pandemic, including having to spend more time at home, </w:t>
      </w:r>
      <w:r w:rsidRPr="00F84BE8">
        <w:rPr>
          <w:rFonts w:ascii="Times New Roman" w:eastAsia="Times New Roman" w:hAnsi="Times New Roman" w:cs="Times New Roman"/>
          <w:kern w:val="0"/>
          <w:sz w:val="24"/>
          <w:szCs w:val="24"/>
          <w14:ligatures w14:val="none"/>
        </w:rPr>
        <w:lastRenderedPageBreak/>
        <w:t>not being able to interact in person with friends, family, and coworkers, having to temporarily stop working and engaging in other activities, and experiencing anxiety and fear of getting sick or dying. (COVID-19 and the Elderly, 2020). In essence, negative emotions in response to social isolation in older individuals represent the emotional cost of feeling marginalized and ignored by others. This study's findings support the rationale and provide additional insight into why unpleasant feelings such as rage and resentment might be one of the emotional consequences of social isolation.</w:t>
      </w:r>
    </w:p>
    <w:p w14:paraId="45C184D5" w14:textId="77777777" w:rsidR="001E269D" w:rsidRPr="00F84BE8" w:rsidRDefault="001E269D" w:rsidP="00C67D21">
      <w:pPr>
        <w:jc w:val="both"/>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Potential Cognitive Outcomes</w:t>
      </w:r>
    </w:p>
    <w:p w14:paraId="2C11C2F6" w14:textId="6F069443" w:rsidR="001E269D" w:rsidRPr="009167EE" w:rsidRDefault="001E269D" w:rsidP="009167EE">
      <w:pPr>
        <w:ind w:firstLine="720"/>
        <w:jc w:val="both"/>
        <w:rPr>
          <w:rFonts w:ascii="Times New Roman" w:eastAsia="Times New Roman" w:hAnsi="Times New Roman" w:cs="Times New Roman"/>
          <w:kern w:val="0"/>
          <w:sz w:val="24"/>
          <w:szCs w:val="24"/>
          <w:lang w:val="en-US"/>
          <w14:ligatures w14:val="none"/>
        </w:rPr>
      </w:pPr>
      <w:r w:rsidRPr="00F84BE8">
        <w:rPr>
          <w:rFonts w:ascii="Times New Roman" w:eastAsia="Times New Roman" w:hAnsi="Times New Roman" w:cs="Times New Roman"/>
          <w:kern w:val="0"/>
          <w:sz w:val="24"/>
          <w:szCs w:val="24"/>
          <w14:ligatures w14:val="none"/>
        </w:rPr>
        <w:t>Social exclusion can have a significant impact on cognitive capacities in older persons via a variety of processes.</w:t>
      </w:r>
      <w:r w:rsidR="009167EE">
        <w:rPr>
          <w:rFonts w:ascii="Times New Roman" w:eastAsia="Times New Roman" w:hAnsi="Times New Roman" w:cs="Times New Roman"/>
          <w:kern w:val="0"/>
          <w:sz w:val="24"/>
          <w:szCs w:val="24"/>
          <w14:ligatures w14:val="none"/>
        </w:rPr>
        <w:t xml:space="preserve"> </w:t>
      </w:r>
      <w:r w:rsidR="009167EE" w:rsidRPr="009167EE">
        <w:rPr>
          <w:rFonts w:ascii="Times New Roman" w:eastAsia="Times New Roman" w:hAnsi="Times New Roman" w:cs="Times New Roman"/>
          <w:kern w:val="0"/>
          <w:sz w:val="24"/>
          <w:szCs w:val="24"/>
          <w:lang w:val="en-US"/>
          <w14:ligatures w14:val="none"/>
        </w:rPr>
        <w:t>Barbara's case study suggested that she frequently needs a sleep and feels more and more exhausted, which suggests that as she ages, her cognitive abilities may deteriorate.</w:t>
      </w:r>
      <w:r w:rsidR="00513BAC">
        <w:rPr>
          <w:rFonts w:ascii="Times New Roman" w:eastAsia="Times New Roman" w:hAnsi="Times New Roman" w:cs="Times New Roman"/>
          <w:kern w:val="0"/>
          <w:sz w:val="24"/>
          <w:szCs w:val="24"/>
          <w14:ligatures w14:val="none"/>
        </w:rPr>
        <w:t xml:space="preserve"> </w:t>
      </w:r>
      <w:r w:rsidRPr="00F84BE8">
        <w:rPr>
          <w:rFonts w:ascii="Times New Roman" w:eastAsia="Times New Roman" w:hAnsi="Times New Roman" w:cs="Times New Roman"/>
          <w:kern w:val="0"/>
          <w:sz w:val="24"/>
          <w:szCs w:val="24"/>
          <w14:ligatures w14:val="none"/>
        </w:rPr>
        <w:t xml:space="preserve">Research by Doll-Wilhelm (2021) sheds light on this relationship, revealing a noteworthy association between social isolation and cognitive impairment. </w:t>
      </w:r>
      <w:r w:rsidR="00C97B87" w:rsidRPr="00F84BE8">
        <w:rPr>
          <w:rFonts w:ascii="Times New Roman" w:eastAsia="Times New Roman" w:hAnsi="Times New Roman" w:cs="Times New Roman"/>
          <w:kern w:val="0"/>
          <w:sz w:val="24"/>
          <w:szCs w:val="24"/>
          <w14:ligatures w14:val="none"/>
        </w:rPr>
        <w:t xml:space="preserve">Engaging in mentally and socially difficult activities has been shown to prevent dementia and improve older persons' overall mental health. </w:t>
      </w:r>
      <w:r w:rsidRPr="00F84BE8">
        <w:rPr>
          <w:rFonts w:ascii="Times New Roman" w:eastAsia="Times New Roman" w:hAnsi="Times New Roman" w:cs="Times New Roman"/>
          <w:kern w:val="0"/>
          <w:sz w:val="24"/>
          <w:szCs w:val="24"/>
          <w14:ligatures w14:val="none"/>
        </w:rPr>
        <w:t>These results stress a range of life circumstances, with a particular focus on the impact of isolation on older adults' cognitive ability.</w:t>
      </w:r>
    </w:p>
    <w:p w14:paraId="40711A34" w14:textId="6A5FF4C6" w:rsidR="001E269D" w:rsidRPr="00F84BE8" w:rsidRDefault="001E269D" w:rsidP="00C67D21">
      <w:pPr>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b/>
        <w:t xml:space="preserve">One of the potential cognitive outcomes is reduced cognitive abilities. Extended periods of social seclusion may hasten cognitive impairment in older persons. Social exclusion, defined as the experience of being kept physically or emotionally apart from others, can break social ties and result in a variety of physical and psychological pains (Peng et al., 2023). Additionally, because social exclusion affects basic cognitive processes like cognitive control, it can impair one's ability to regulate one's emotions and increase impulsivity and risk-taking </w:t>
      </w:r>
      <w:r w:rsidR="00F84BE8" w:rsidRPr="00F84BE8">
        <w:rPr>
          <w:rFonts w:ascii="Times New Roman" w:eastAsia="Times New Roman" w:hAnsi="Times New Roman" w:cs="Times New Roman"/>
          <w:kern w:val="0"/>
          <w:sz w:val="24"/>
          <w:szCs w:val="24"/>
          <w14:ligatures w14:val="none"/>
        </w:rPr>
        <w:t>behaviours</w:t>
      </w:r>
      <w:r w:rsidRPr="00F84BE8">
        <w:rPr>
          <w:rFonts w:ascii="Times New Roman" w:eastAsia="Times New Roman" w:hAnsi="Times New Roman" w:cs="Times New Roman"/>
          <w:kern w:val="0"/>
          <w:sz w:val="24"/>
          <w:szCs w:val="24"/>
          <w14:ligatures w14:val="none"/>
        </w:rPr>
        <w:t xml:space="preserve"> (Peng et al., 2023).</w:t>
      </w:r>
    </w:p>
    <w:p w14:paraId="4E0717A1" w14:textId="1D04AE63" w:rsidR="001E269D"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 xml:space="preserve">According to a research, dementia prevalence increases by 50% when people are socially excluded (National Academies of Sciences, Engineering, and Medicine, 2020). Furthermore, a thorough systematic literature analysis discovered that a lack of social interaction and contact was connected with incident dementia in the general population (Wang et al., 2022). </w:t>
      </w:r>
      <w:r w:rsidR="00662AB2" w:rsidRPr="00F84BE8">
        <w:rPr>
          <w:rFonts w:ascii="Times New Roman" w:eastAsia="Times New Roman" w:hAnsi="Times New Roman" w:cs="Times New Roman"/>
          <w:kern w:val="0"/>
          <w:sz w:val="24"/>
          <w:szCs w:val="24"/>
          <w14:ligatures w14:val="none"/>
        </w:rPr>
        <w:t>Duan et al. (2023) investigated the reciprocal association between social isolation and cognitive function in middle-aged and older Chinese people. They discovered that, while lower cognitive performance predicted greater social isolation, higher baseline social isolation and its pace of increase over time contributed to a worsening of cognitive decline at follow-up.</w:t>
      </w:r>
    </w:p>
    <w:p w14:paraId="0122540F" w14:textId="77777777" w:rsidR="001E269D"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Another possible cognitive effect is memory decline. Social exclusion can impair working memory capacity in older adults, making it harder to store and process knowledge. Socially excluded older adults may experience cognitive load from negative thoughts and emotions, which interferes with working memory performance. Reasons for social isolation have some association with poor cognition and negative effects of social inactivity on the brain, which can lead to depletion of cognitive reserves, in the brain reduced flexibility, and decreased cognition (Evans et al., 2018). Evans found that being socially isolated in later life is connected with impaired cognitive performance, which has substantial implications for treatment options, implying that addressing isolation may be helpful to cognitive health.</w:t>
      </w:r>
    </w:p>
    <w:p w14:paraId="0DC787B1" w14:textId="6F111E88" w:rsidR="007337F2" w:rsidRPr="00F84BE8" w:rsidRDefault="001E269D" w:rsidP="00C67D21">
      <w:pPr>
        <w:ind w:firstLine="72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lastRenderedPageBreak/>
        <w:t xml:space="preserve">This conclusion can be supported by a few studies. </w:t>
      </w:r>
      <w:r w:rsidR="006375ED" w:rsidRPr="00F84BE8">
        <w:rPr>
          <w:rFonts w:ascii="Times New Roman" w:eastAsia="Times New Roman" w:hAnsi="Times New Roman" w:cs="Times New Roman"/>
          <w:kern w:val="0"/>
          <w:sz w:val="24"/>
          <w:szCs w:val="24"/>
          <w14:ligatures w14:val="none"/>
        </w:rPr>
        <w:t>For example, a study was done to evaluate correlations between levels and changes in social isolation and memory in older men and women, with 6,123 women and 5,110 men aged 50 and up from the English Longitudinal Study of Aging (ELSA).</w:t>
      </w:r>
      <w:r w:rsidR="00183B08" w:rsidRPr="00F84BE8">
        <w:rPr>
          <w:rFonts w:ascii="Times New Roman" w:eastAsia="Times New Roman" w:hAnsi="Times New Roman" w:cs="Times New Roman"/>
          <w:kern w:val="0"/>
          <w:sz w:val="24"/>
          <w:szCs w:val="24"/>
          <w14:ligatures w14:val="none"/>
        </w:rPr>
        <w:t>The results showed that social exclusion increased and memory lowered over time, implying that a link between social isolation and memory decline develops considering social exclusion correlates to increased memory decline versus poor memory resulting in increased social isolation (Read et al., 2020)</w:t>
      </w:r>
      <w:r w:rsidRPr="00F84BE8">
        <w:rPr>
          <w:rFonts w:ascii="Times New Roman" w:eastAsia="Times New Roman" w:hAnsi="Times New Roman" w:cs="Times New Roman"/>
          <w:kern w:val="0"/>
          <w:sz w:val="24"/>
          <w:szCs w:val="24"/>
          <w14:ligatures w14:val="none"/>
        </w:rPr>
        <w:t xml:space="preserve">. Another study looked at the relationship between social isolation and memory loss in Medicare enrollees. Mosen et al. (2022) self-reported decreased recall in people who created loneliness or social isolation compared to those who did not. </w:t>
      </w:r>
      <w:r w:rsidR="00205972" w:rsidRPr="00F84BE8">
        <w:rPr>
          <w:rFonts w:ascii="Times New Roman" w:eastAsia="Times New Roman" w:hAnsi="Times New Roman" w:cs="Times New Roman"/>
          <w:kern w:val="0"/>
          <w:sz w:val="24"/>
          <w:szCs w:val="24"/>
          <w14:ligatures w14:val="none"/>
        </w:rPr>
        <w:t>The revelation of a strong correlation between social isolation and memory loss emphasizes the importance of actions to reduce isolation and examine their impact on potential future memory loss.</w:t>
      </w:r>
    </w:p>
    <w:p w14:paraId="3AAD3E4C" w14:textId="77777777" w:rsidR="007337F2" w:rsidRPr="00F84BE8" w:rsidRDefault="007337F2" w:rsidP="00C67D21">
      <w:pPr>
        <w:jc w:val="both"/>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 xml:space="preserve">How These Effects Can Be </w:t>
      </w:r>
      <w:r w:rsidR="009B6C6E" w:rsidRPr="00F84BE8">
        <w:rPr>
          <w:rFonts w:ascii="Times New Roman" w:eastAsia="Times New Roman" w:hAnsi="Times New Roman" w:cs="Times New Roman"/>
          <w:b/>
          <w:bCs/>
          <w:kern w:val="0"/>
          <w:sz w:val="24"/>
          <w:szCs w:val="24"/>
          <w:u w:val="single"/>
          <w14:ligatures w14:val="none"/>
        </w:rPr>
        <w:t>A</w:t>
      </w:r>
      <w:r w:rsidRPr="00F84BE8">
        <w:rPr>
          <w:rFonts w:ascii="Times New Roman" w:eastAsia="Times New Roman" w:hAnsi="Times New Roman" w:cs="Times New Roman"/>
          <w:b/>
          <w:bCs/>
          <w:kern w:val="0"/>
          <w:sz w:val="24"/>
          <w:szCs w:val="24"/>
          <w:u w:val="single"/>
          <w14:ligatures w14:val="none"/>
        </w:rPr>
        <w:t>meliorated</w:t>
      </w:r>
    </w:p>
    <w:p w14:paraId="233BB327" w14:textId="70FC7635" w:rsidR="00A75A15" w:rsidRPr="00F84BE8" w:rsidRDefault="007337F2" w:rsidP="00C67D21">
      <w:pPr>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b/>
      </w:r>
      <w:r w:rsidR="001A621C" w:rsidRPr="00F84BE8">
        <w:rPr>
          <w:rFonts w:ascii="Times New Roman" w:eastAsia="Times New Roman" w:hAnsi="Times New Roman" w:cs="Times New Roman"/>
          <w:kern w:val="0"/>
          <w:sz w:val="24"/>
          <w:szCs w:val="24"/>
          <w14:ligatures w14:val="none"/>
        </w:rPr>
        <w:t>Addressing the negative effects of social exclusion for older adults requires a comprehensive approach that includes psychosocial environmental interventions. There are various strategies to mitigate these negative effects, with particular emphasis on enabling social inclusion</w:t>
      </w:r>
      <w:r w:rsidR="00865627" w:rsidRPr="00F84BE8">
        <w:rPr>
          <w:rFonts w:ascii="Times New Roman" w:eastAsia="Times New Roman" w:hAnsi="Times New Roman" w:cs="Times New Roman"/>
          <w:kern w:val="0"/>
          <w:sz w:val="24"/>
          <w:szCs w:val="24"/>
          <w14:ligatures w14:val="none"/>
        </w:rPr>
        <w:t>. Promoting inclusion in policy areas such as social protection, including retirement funds, health, and long-term care, mobility of services and products, and activities that encourage participation and combat ageism can all contribute to a more inclusive society (Zolymi, 2019).</w:t>
      </w:r>
    </w:p>
    <w:p w14:paraId="4454B08A" w14:textId="222A9ABE" w:rsidR="00F6684E" w:rsidRPr="00F84BE8" w:rsidRDefault="00A75A15" w:rsidP="00C67D21">
      <w:pPr>
        <w:spacing w:after="240"/>
        <w:jc w:val="both"/>
        <w:rPr>
          <w:rFonts w:ascii="Times New Roman" w:eastAsia="Times New Roman" w:hAnsi="Times New Roman" w:cs="Times New Roman"/>
          <w:kern w:val="0"/>
          <w:sz w:val="24"/>
          <w:szCs w:val="24"/>
          <w14:ligatures w14:val="none"/>
        </w:rPr>
      </w:pPr>
      <w:r w:rsidRPr="00F84BE8">
        <w:rPr>
          <w:rFonts w:ascii="Times New Roman" w:eastAsia="Times New Roman" w:hAnsi="Times New Roman" w:cs="Times New Roman"/>
          <w:kern w:val="0"/>
          <w:sz w:val="24"/>
          <w:szCs w:val="24"/>
          <w14:ligatures w14:val="none"/>
        </w:rPr>
        <w:tab/>
      </w:r>
      <w:r w:rsidR="00F6684E" w:rsidRPr="00F84BE8">
        <w:rPr>
          <w:rFonts w:ascii="Times New Roman" w:eastAsia="Times New Roman" w:hAnsi="Times New Roman" w:cs="Times New Roman"/>
          <w:kern w:val="0"/>
          <w:sz w:val="24"/>
          <w:szCs w:val="24"/>
          <w14:ligatures w14:val="none"/>
        </w:rPr>
        <w:t xml:space="preserve">Aside from that, we may encourage cognitive engagement among older persons who are victims of social exclusion, such as Barbara. For example, a study discovered that a tai chi qigong program facilitated by senior </w:t>
      </w:r>
      <w:r w:rsidR="003B1DD3" w:rsidRPr="00F84BE8">
        <w:rPr>
          <w:rFonts w:ascii="Times New Roman" w:eastAsia="Times New Roman" w:hAnsi="Times New Roman" w:cs="Times New Roman"/>
          <w:kern w:val="0"/>
          <w:sz w:val="24"/>
          <w:szCs w:val="24"/>
          <w14:ligatures w14:val="none"/>
        </w:rPr>
        <w:t>neighbourhood</w:t>
      </w:r>
      <w:r w:rsidR="00F6684E" w:rsidRPr="00F84BE8">
        <w:rPr>
          <w:rFonts w:ascii="Times New Roman" w:eastAsia="Times New Roman" w:hAnsi="Times New Roman" w:cs="Times New Roman"/>
          <w:kern w:val="0"/>
          <w:sz w:val="24"/>
          <w:szCs w:val="24"/>
          <w14:ligatures w14:val="none"/>
        </w:rPr>
        <w:t xml:space="preserve"> volunteers strengthens social networks and improves the psychosocial well-being of the hidden old (Chan et al., 2017). Peer support groups, such as those for people with the same illness or condition, can also be beneficial. Group interventions for social isolation and loneliness can be directed specifically at persons who are socially isolated or lonely (Interventions, 2020).</w:t>
      </w:r>
    </w:p>
    <w:p w14:paraId="00058204" w14:textId="77777777" w:rsidR="007337F2" w:rsidRPr="00F84BE8" w:rsidRDefault="00F6684E" w:rsidP="00C67D21">
      <w:pPr>
        <w:spacing w:after="240"/>
        <w:jc w:val="both"/>
        <w:rPr>
          <w:rFonts w:ascii="Times New Roman" w:eastAsia="Times New Roman" w:hAnsi="Times New Roman" w:cs="Times New Roman"/>
          <w:b/>
          <w:bCs/>
          <w:kern w:val="0"/>
          <w:sz w:val="24"/>
          <w:szCs w:val="24"/>
          <w:u w:val="single"/>
          <w14:ligatures w14:val="none"/>
        </w:rPr>
      </w:pPr>
      <w:r w:rsidRPr="00F84BE8">
        <w:rPr>
          <w:rFonts w:ascii="Times New Roman" w:eastAsia="Times New Roman" w:hAnsi="Times New Roman" w:cs="Times New Roman"/>
          <w:b/>
          <w:bCs/>
          <w:kern w:val="0"/>
          <w:sz w:val="24"/>
          <w:szCs w:val="24"/>
          <w:u w:val="single"/>
          <w14:ligatures w14:val="none"/>
        </w:rPr>
        <w:t>Conclusion</w:t>
      </w:r>
    </w:p>
    <w:p w14:paraId="6E598BCC" w14:textId="58C9FA27" w:rsidR="00A87AB4" w:rsidRPr="00F84BE8" w:rsidRDefault="00A87AB4" w:rsidP="00C67D21">
      <w:pPr>
        <w:pStyle w:val="NormalWeb"/>
        <w:shd w:val="clear" w:color="auto" w:fill="F7F7F8"/>
        <w:spacing w:before="0" w:beforeAutospacing="0" w:after="0" w:afterAutospacing="0"/>
        <w:jc w:val="both"/>
        <w:rPr>
          <w:rFonts w:ascii="Roboto" w:hAnsi="Roboto"/>
          <w:color w:val="374151"/>
          <w:lang w:val="en-GB"/>
        </w:rPr>
      </w:pPr>
      <w:r w:rsidRPr="00F84BE8">
        <w:rPr>
          <w:lang w:val="en-GB"/>
        </w:rPr>
        <w:tab/>
        <w:t xml:space="preserve">In summary, social isolation poses serious problems for older people in areas related to their overall well-being. </w:t>
      </w:r>
      <w:r w:rsidR="00751498" w:rsidRPr="00F84BE8">
        <w:rPr>
          <w:lang w:val="en-GB"/>
        </w:rPr>
        <w:t>This</w:t>
      </w:r>
      <w:r w:rsidRPr="00F84BE8">
        <w:rPr>
          <w:lang w:val="en-GB"/>
        </w:rPr>
        <w:t xml:space="preserve"> investigation of the potential impact of social </w:t>
      </w:r>
      <w:r w:rsidR="00751498" w:rsidRPr="00F84BE8">
        <w:rPr>
          <w:lang w:val="en-GB"/>
        </w:rPr>
        <w:t>exclusio</w:t>
      </w:r>
      <w:r w:rsidRPr="00F84BE8">
        <w:rPr>
          <w:lang w:val="en-GB"/>
        </w:rPr>
        <w:t xml:space="preserve">n has highlighted the complex interplay of social, emotional, and </w:t>
      </w:r>
      <w:r w:rsidR="00751498" w:rsidRPr="00F84BE8">
        <w:rPr>
          <w:lang w:val="en-GB"/>
        </w:rPr>
        <w:t xml:space="preserve">cognitive </w:t>
      </w:r>
      <w:r w:rsidRPr="00F84BE8">
        <w:rPr>
          <w:lang w:val="en-GB"/>
        </w:rPr>
        <w:t>factors that influence the experiences of older people. Just by reading Barbara’s case analysis, we can understand the negative impact of social discrimination and how important it is to maintain social connections throughout our lives, even into our adult years. It is imperative that communities, organizations and law enforcement agencies alike understand the importance of addressing social isolation among older adults and work together to create welcoming, well-being-enhancing spaces for all, that age careless. Doing so can help us deal with cases like Barbara’s and expand the general concept of social exclusion, especially among older adults.</w:t>
      </w:r>
    </w:p>
    <w:p w14:paraId="7C5501BA" w14:textId="77777777" w:rsidR="001E269D" w:rsidRPr="00F84BE8" w:rsidRDefault="001E269D" w:rsidP="00C67D21">
      <w:pPr>
        <w:spacing w:after="240" w:line="240" w:lineRule="auto"/>
        <w:jc w:val="both"/>
        <w:rPr>
          <w:rFonts w:ascii="Times New Roman" w:eastAsia="Times New Roman" w:hAnsi="Times New Roman" w:cs="Times New Roman"/>
          <w:kern w:val="0"/>
          <w:sz w:val="24"/>
          <w:szCs w:val="24"/>
          <w14:ligatures w14:val="none"/>
        </w:rPr>
      </w:pPr>
    </w:p>
    <w:p w14:paraId="56D19F27" w14:textId="77777777" w:rsidR="00E8283D" w:rsidRPr="00F84BE8" w:rsidRDefault="00E8283D" w:rsidP="00C67D21">
      <w:pPr>
        <w:spacing w:after="240" w:line="240" w:lineRule="auto"/>
        <w:jc w:val="both"/>
        <w:rPr>
          <w:rFonts w:ascii="Times New Roman" w:eastAsia="Times New Roman" w:hAnsi="Times New Roman" w:cs="Times New Roman"/>
          <w:kern w:val="0"/>
          <w:sz w:val="24"/>
          <w:szCs w:val="24"/>
          <w14:ligatures w14:val="none"/>
        </w:rPr>
      </w:pPr>
    </w:p>
    <w:p w14:paraId="1C3333D5" w14:textId="77777777" w:rsidR="00E8283D" w:rsidRPr="00F84BE8" w:rsidRDefault="00E8283D" w:rsidP="00C67D21">
      <w:pPr>
        <w:spacing w:after="240" w:line="240" w:lineRule="auto"/>
        <w:jc w:val="both"/>
        <w:rPr>
          <w:rFonts w:ascii="Times New Roman" w:eastAsia="Times New Roman" w:hAnsi="Times New Roman" w:cs="Times New Roman"/>
          <w:kern w:val="0"/>
          <w:sz w:val="24"/>
          <w:szCs w:val="24"/>
          <w14:ligatures w14:val="none"/>
        </w:rPr>
      </w:pPr>
    </w:p>
    <w:p w14:paraId="6A4B5F13" w14:textId="77777777" w:rsidR="00E8283D" w:rsidRPr="00F84BE8" w:rsidRDefault="00E8283D">
      <w:pPr>
        <w:widowControl w:val="0"/>
        <w:autoSpaceDE w:val="0"/>
        <w:autoSpaceDN w:val="0"/>
        <w:adjustRightInd w:val="0"/>
        <w:spacing w:after="0" w:line="480" w:lineRule="auto"/>
        <w:jc w:val="center"/>
        <w:rPr>
          <w:rFonts w:ascii="Times New Roman" w:hAnsi="Times New Roman" w:cs="Times New Roman"/>
          <w:b/>
          <w:bCs/>
          <w:kern w:val="0"/>
          <w:sz w:val="24"/>
          <w:szCs w:val="24"/>
          <w:u w:val="single"/>
        </w:rPr>
      </w:pPr>
      <w:r w:rsidRPr="00F84BE8">
        <w:rPr>
          <w:rFonts w:ascii="Times New Roman" w:hAnsi="Times New Roman" w:cs="Times New Roman"/>
          <w:b/>
          <w:bCs/>
          <w:kern w:val="0"/>
          <w:sz w:val="24"/>
          <w:szCs w:val="24"/>
          <w:u w:val="single"/>
        </w:rPr>
        <w:lastRenderedPageBreak/>
        <w:t>References</w:t>
      </w:r>
    </w:p>
    <w:p w14:paraId="688B4613" w14:textId="2E569781"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Brandt, L., Liu, S., Heim, C., &amp; Heinz, A. (2022). The effects of social isolation stress and discrimination on mental health. </w:t>
      </w:r>
      <w:r w:rsidRPr="00F84BE8">
        <w:rPr>
          <w:rFonts w:ascii="Times New Roman" w:hAnsi="Times New Roman" w:cs="Times New Roman"/>
          <w:i/>
          <w:iCs/>
          <w:kern w:val="0"/>
          <w:sz w:val="24"/>
          <w:szCs w:val="24"/>
        </w:rPr>
        <w:t>Translational Psychiatry</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12</w:t>
      </w:r>
      <w:r w:rsidRPr="00F84BE8">
        <w:rPr>
          <w:rFonts w:ascii="Times New Roman" w:hAnsi="Times New Roman" w:cs="Times New Roman"/>
          <w:kern w:val="0"/>
          <w:sz w:val="24"/>
          <w:szCs w:val="24"/>
        </w:rPr>
        <w:t xml:space="preserve">(1), 1–11. </w:t>
      </w:r>
      <w:hyperlink r:id="rId4" w:history="1">
        <w:r w:rsidRPr="00F84BE8">
          <w:rPr>
            <w:rStyle w:val="Hyperlink"/>
            <w:rFonts w:ascii="Times New Roman" w:hAnsi="Times New Roman" w:cs="Times New Roman"/>
            <w:kern w:val="0"/>
            <w:sz w:val="24"/>
            <w:szCs w:val="24"/>
          </w:rPr>
          <w:t>https://doi.org/10.1038/s41398-022-02178-4</w:t>
        </w:r>
      </w:hyperlink>
    </w:p>
    <w:p w14:paraId="420C2F81" w14:textId="77777777"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Brinker, V., Dewald-Kaufmann, J., Padberg, F., &amp; Reinhard, M. A. (2022). Aggressive intentions after social exclusion and their association with loneliness. </w:t>
      </w:r>
      <w:r w:rsidRPr="00F84BE8">
        <w:rPr>
          <w:rFonts w:ascii="Times New Roman" w:hAnsi="Times New Roman" w:cs="Times New Roman"/>
          <w:i/>
          <w:iCs/>
          <w:kern w:val="0"/>
          <w:sz w:val="24"/>
          <w:szCs w:val="24"/>
        </w:rPr>
        <w:t>European Archives of Psychiatry and Clinical Neuroscience</w:t>
      </w:r>
      <w:r w:rsidRPr="00F84BE8">
        <w:rPr>
          <w:rFonts w:ascii="Times New Roman" w:hAnsi="Times New Roman" w:cs="Times New Roman"/>
          <w:kern w:val="0"/>
          <w:sz w:val="24"/>
          <w:szCs w:val="24"/>
        </w:rPr>
        <w:t xml:space="preserve">. </w:t>
      </w:r>
      <w:hyperlink r:id="rId5" w:history="1">
        <w:r w:rsidRPr="00F84BE8">
          <w:rPr>
            <w:rFonts w:ascii="Times New Roman" w:hAnsi="Times New Roman" w:cs="Times New Roman"/>
            <w:kern w:val="0"/>
            <w:sz w:val="24"/>
            <w:szCs w:val="24"/>
          </w:rPr>
          <w:t>https://doi.org/10.1007/s00406-022-01503-8</w:t>
        </w:r>
      </w:hyperlink>
    </w:p>
    <w:p w14:paraId="68873137" w14:textId="24D434CC"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Chan, A., Yu, D., &amp; Choi, K. (2017). Effects of tai chi qigong on psychosocial well-being among hidden elderly, using elderly </w:t>
      </w:r>
      <w:r w:rsidR="003B1DD3" w:rsidRPr="00F84BE8">
        <w:rPr>
          <w:rFonts w:ascii="Times New Roman" w:hAnsi="Times New Roman" w:cs="Times New Roman"/>
          <w:kern w:val="0"/>
          <w:sz w:val="24"/>
          <w:szCs w:val="24"/>
        </w:rPr>
        <w:t>neighbourhood</w:t>
      </w:r>
      <w:r w:rsidRPr="00F84BE8">
        <w:rPr>
          <w:rFonts w:ascii="Times New Roman" w:hAnsi="Times New Roman" w:cs="Times New Roman"/>
          <w:kern w:val="0"/>
          <w:sz w:val="24"/>
          <w:szCs w:val="24"/>
        </w:rPr>
        <w:t xml:space="preserve"> volunteer approach: a pilot randomized controlled trial. </w:t>
      </w:r>
      <w:r w:rsidRPr="00F84BE8">
        <w:rPr>
          <w:rFonts w:ascii="Times New Roman" w:hAnsi="Times New Roman" w:cs="Times New Roman"/>
          <w:i/>
          <w:iCs/>
          <w:kern w:val="0"/>
          <w:sz w:val="24"/>
          <w:szCs w:val="24"/>
        </w:rPr>
        <w:t>Clinical Interventions in Aging</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Volume 12</w:t>
      </w:r>
      <w:r w:rsidRPr="00F84BE8">
        <w:rPr>
          <w:rFonts w:ascii="Times New Roman" w:hAnsi="Times New Roman" w:cs="Times New Roman"/>
          <w:kern w:val="0"/>
          <w:sz w:val="24"/>
          <w:szCs w:val="24"/>
        </w:rPr>
        <w:t xml:space="preserve">, 85–96. </w:t>
      </w:r>
      <w:hyperlink r:id="rId6" w:history="1">
        <w:r w:rsidRPr="00F84BE8">
          <w:rPr>
            <w:rStyle w:val="Hyperlink"/>
            <w:rFonts w:ascii="Times New Roman" w:hAnsi="Times New Roman" w:cs="Times New Roman"/>
            <w:kern w:val="0"/>
            <w:sz w:val="24"/>
            <w:szCs w:val="24"/>
          </w:rPr>
          <w:t>https://doi.org/10.2147/cia.s124604</w:t>
        </w:r>
      </w:hyperlink>
    </w:p>
    <w:p w14:paraId="25780484" w14:textId="618360C1"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Chen, P.-Y., Ho, W.-C., Lo, C., &amp; Yeh, T.-P. (2021). Predicting Ego Integrity Using Prior Ego Development Stages for Older Adults in the Community. </w:t>
      </w:r>
      <w:r w:rsidRPr="00F84BE8">
        <w:rPr>
          <w:rFonts w:ascii="Times New Roman" w:hAnsi="Times New Roman" w:cs="Times New Roman"/>
          <w:i/>
          <w:iCs/>
          <w:kern w:val="0"/>
          <w:sz w:val="24"/>
          <w:szCs w:val="24"/>
        </w:rPr>
        <w:t>International Journal of Environmental Research and Public Health</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18</w:t>
      </w:r>
      <w:r w:rsidRPr="00F84BE8">
        <w:rPr>
          <w:rFonts w:ascii="Times New Roman" w:hAnsi="Times New Roman" w:cs="Times New Roman"/>
          <w:kern w:val="0"/>
          <w:sz w:val="24"/>
          <w:szCs w:val="24"/>
        </w:rPr>
        <w:t xml:space="preserve">(18), 9490. </w:t>
      </w:r>
      <w:hyperlink r:id="rId7" w:history="1">
        <w:r w:rsidRPr="00F84BE8">
          <w:rPr>
            <w:rStyle w:val="Hyperlink"/>
            <w:rFonts w:ascii="Times New Roman" w:hAnsi="Times New Roman" w:cs="Times New Roman"/>
            <w:kern w:val="0"/>
            <w:sz w:val="24"/>
            <w:szCs w:val="24"/>
          </w:rPr>
          <w:t>https://doi.org/10.3390/ijerph18189490</w:t>
        </w:r>
      </w:hyperlink>
    </w:p>
    <w:p w14:paraId="08520743" w14:textId="7883B3B6"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Courtin, E., &amp; Knapp, M. (2017). Social isolation, loneliness and health in old age: A scoping review. </w:t>
      </w:r>
      <w:r w:rsidRPr="00F84BE8">
        <w:rPr>
          <w:rFonts w:ascii="Times New Roman" w:hAnsi="Times New Roman" w:cs="Times New Roman"/>
          <w:i/>
          <w:iCs/>
          <w:kern w:val="0"/>
          <w:sz w:val="24"/>
          <w:szCs w:val="24"/>
        </w:rPr>
        <w:t>Health &amp; Social Care in the Community</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25</w:t>
      </w:r>
      <w:r w:rsidRPr="00F84BE8">
        <w:rPr>
          <w:rFonts w:ascii="Times New Roman" w:hAnsi="Times New Roman" w:cs="Times New Roman"/>
          <w:kern w:val="0"/>
          <w:sz w:val="24"/>
          <w:szCs w:val="24"/>
        </w:rPr>
        <w:t xml:space="preserve">(3), 799–812.  </w:t>
      </w:r>
      <w:hyperlink r:id="rId8" w:history="1">
        <w:r w:rsidRPr="00F84BE8">
          <w:rPr>
            <w:rStyle w:val="Hyperlink"/>
            <w:rFonts w:ascii="Times New Roman" w:hAnsi="Times New Roman" w:cs="Times New Roman"/>
            <w:kern w:val="0"/>
            <w:sz w:val="24"/>
            <w:szCs w:val="24"/>
          </w:rPr>
          <w:t>https://doi.org/10.1111/hsc.12311</w:t>
        </w:r>
      </w:hyperlink>
    </w:p>
    <w:p w14:paraId="4DED3782" w14:textId="77777777"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Doll-Wilhelm, J. (2021). </w:t>
      </w:r>
      <w:r w:rsidRPr="00F84BE8">
        <w:rPr>
          <w:rFonts w:ascii="Times New Roman" w:hAnsi="Times New Roman" w:cs="Times New Roman"/>
          <w:i/>
          <w:iCs/>
          <w:kern w:val="0"/>
          <w:sz w:val="24"/>
          <w:szCs w:val="24"/>
        </w:rPr>
        <w:t>Cornerstone: A Collection of Scholarly Cornerstone: A Collection of Scholarly and Creative Works for Minnesota and Creative Works for The Impact of Social Isolation and Cognitive Decline in Older The Impact of Social Isolation and Cognitive Decline in Older Adults: A Systematic Literature Review Adults: A Systematic Literature Review</w:t>
      </w:r>
      <w:r w:rsidRPr="00F84BE8">
        <w:rPr>
          <w:rFonts w:ascii="Times New Roman" w:hAnsi="Times New Roman" w:cs="Times New Roman"/>
          <w:kern w:val="0"/>
          <w:sz w:val="24"/>
          <w:szCs w:val="24"/>
        </w:rPr>
        <w:t>.</w:t>
      </w:r>
    </w:p>
    <w:p w14:paraId="20774979" w14:textId="6C0133F2"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lastRenderedPageBreak/>
        <w:t xml:space="preserve">Duan, Y., Jiang, S., Yin, Z., Wang, S., Gao, J., Yang, M., Chen, C., Fu, H., &amp; Wang, C. (2023). Association of social isolation and cognitive performance: a longitudinal study using a four-wave nationwide survey. </w:t>
      </w:r>
      <w:r w:rsidRPr="00F84BE8">
        <w:rPr>
          <w:rFonts w:ascii="Times New Roman" w:hAnsi="Times New Roman" w:cs="Times New Roman"/>
          <w:i/>
          <w:iCs/>
          <w:kern w:val="0"/>
          <w:sz w:val="24"/>
          <w:szCs w:val="24"/>
        </w:rPr>
        <w:t>BMC Public Health</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23</w:t>
      </w:r>
      <w:r w:rsidRPr="00F84BE8">
        <w:rPr>
          <w:rFonts w:ascii="Times New Roman" w:hAnsi="Times New Roman" w:cs="Times New Roman"/>
          <w:kern w:val="0"/>
          <w:sz w:val="24"/>
          <w:szCs w:val="24"/>
        </w:rPr>
        <w:t xml:space="preserve">(1). </w:t>
      </w:r>
      <w:hyperlink r:id="rId9" w:history="1">
        <w:r w:rsidRPr="00F84BE8">
          <w:rPr>
            <w:rStyle w:val="Hyperlink"/>
            <w:rFonts w:ascii="Times New Roman" w:hAnsi="Times New Roman" w:cs="Times New Roman"/>
            <w:kern w:val="0"/>
            <w:sz w:val="24"/>
            <w:szCs w:val="24"/>
          </w:rPr>
          <w:t>https://doi.org/10.1186/s12889-023-16274-7</w:t>
        </w:r>
      </w:hyperlink>
    </w:p>
    <w:p w14:paraId="1B4A793B" w14:textId="338ADE2F"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Evans, I. E. M., Llewellyn, D. J., Matthews, F. E., Woods, R. T., Brayne, C., &amp; Clare, L. (2018). Social isolation, cognitive reserve, and cognition in healthy older people. </w:t>
      </w:r>
      <w:r w:rsidRPr="00F84BE8">
        <w:rPr>
          <w:rFonts w:ascii="Times New Roman" w:hAnsi="Times New Roman" w:cs="Times New Roman"/>
          <w:i/>
          <w:iCs/>
          <w:kern w:val="0"/>
          <w:sz w:val="24"/>
          <w:szCs w:val="24"/>
        </w:rPr>
        <w:t>PLOS ONE</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13</w:t>
      </w:r>
      <w:r w:rsidRPr="00F84BE8">
        <w:rPr>
          <w:rFonts w:ascii="Times New Roman" w:hAnsi="Times New Roman" w:cs="Times New Roman"/>
          <w:kern w:val="0"/>
          <w:sz w:val="24"/>
          <w:szCs w:val="24"/>
        </w:rPr>
        <w:t xml:space="preserve">(8), e0201008. </w:t>
      </w:r>
      <w:hyperlink r:id="rId10" w:history="1">
        <w:r w:rsidRPr="00F84BE8">
          <w:rPr>
            <w:rStyle w:val="Hyperlink"/>
            <w:rFonts w:ascii="Times New Roman" w:hAnsi="Times New Roman" w:cs="Times New Roman"/>
            <w:kern w:val="0"/>
            <w:sz w:val="24"/>
            <w:szCs w:val="24"/>
          </w:rPr>
          <w:t>https://doi.org/10.1371/journal.pone.0201008</w:t>
        </w:r>
      </w:hyperlink>
    </w:p>
    <w:p w14:paraId="131990D9" w14:textId="5755AA82"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Fokkema, T., De Jong Gierveld, J., &amp; Dykstra, P. A. (2012). Cross-National Differences in Older Adult Loneliness. </w:t>
      </w:r>
      <w:r w:rsidRPr="00F84BE8">
        <w:rPr>
          <w:rFonts w:ascii="Times New Roman" w:hAnsi="Times New Roman" w:cs="Times New Roman"/>
          <w:i/>
          <w:iCs/>
          <w:kern w:val="0"/>
          <w:sz w:val="24"/>
          <w:szCs w:val="24"/>
        </w:rPr>
        <w:t>The Journal of Psychology</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146</w:t>
      </w:r>
      <w:r w:rsidRPr="00F84BE8">
        <w:rPr>
          <w:rFonts w:ascii="Times New Roman" w:hAnsi="Times New Roman" w:cs="Times New Roman"/>
          <w:kern w:val="0"/>
          <w:sz w:val="24"/>
          <w:szCs w:val="24"/>
        </w:rPr>
        <w:t xml:space="preserve">(1-2), 201–228. </w:t>
      </w:r>
      <w:hyperlink r:id="rId11" w:history="1">
        <w:r w:rsidRPr="00F84BE8">
          <w:rPr>
            <w:rStyle w:val="Hyperlink"/>
            <w:rFonts w:ascii="Times New Roman" w:hAnsi="Times New Roman" w:cs="Times New Roman"/>
            <w:kern w:val="0"/>
            <w:sz w:val="24"/>
            <w:szCs w:val="24"/>
          </w:rPr>
          <w:t>https://doi.org/10.1080/00223980.2011.631612</w:t>
        </w:r>
      </w:hyperlink>
    </w:p>
    <w:p w14:paraId="56D68216" w14:textId="77777777"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Hossain, B., Nagargoje, V. P., Sk, M. I. K., &amp; Das, J. (2022). Social exclusion and mental health among older adults: cross-sectional evidence from a population-based survey in India. </w:t>
      </w:r>
      <w:r w:rsidRPr="00F84BE8">
        <w:rPr>
          <w:rFonts w:ascii="Times New Roman" w:hAnsi="Times New Roman" w:cs="Times New Roman"/>
          <w:i/>
          <w:iCs/>
          <w:kern w:val="0"/>
          <w:sz w:val="24"/>
          <w:szCs w:val="24"/>
        </w:rPr>
        <w:t>BMC Psychiatry</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22</w:t>
      </w:r>
      <w:r w:rsidRPr="00F84BE8">
        <w:rPr>
          <w:rFonts w:ascii="Times New Roman" w:hAnsi="Times New Roman" w:cs="Times New Roman"/>
          <w:kern w:val="0"/>
          <w:sz w:val="24"/>
          <w:szCs w:val="24"/>
        </w:rPr>
        <w:t xml:space="preserve">(1). </w:t>
      </w:r>
      <w:hyperlink r:id="rId12" w:history="1">
        <w:r w:rsidRPr="00F84BE8">
          <w:rPr>
            <w:rFonts w:ascii="Times New Roman" w:hAnsi="Times New Roman" w:cs="Times New Roman"/>
            <w:kern w:val="0"/>
            <w:sz w:val="24"/>
            <w:szCs w:val="24"/>
          </w:rPr>
          <w:t>https://doi.org/10.1186/s12888-022-04064-1</w:t>
        </w:r>
      </w:hyperlink>
    </w:p>
    <w:p w14:paraId="7E497B1A" w14:textId="4A2CDBCA"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Iannone, N. E. (2017). Social Exclusion. </w:t>
      </w:r>
      <w:r w:rsidRPr="00F84BE8">
        <w:rPr>
          <w:rFonts w:ascii="Times New Roman" w:hAnsi="Times New Roman" w:cs="Times New Roman"/>
          <w:i/>
          <w:iCs/>
          <w:kern w:val="0"/>
          <w:sz w:val="24"/>
          <w:szCs w:val="24"/>
        </w:rPr>
        <w:t>Encyclopedia of Personality and Individual Differences</w:t>
      </w:r>
      <w:r w:rsidRPr="00F84BE8">
        <w:rPr>
          <w:rFonts w:ascii="Times New Roman" w:hAnsi="Times New Roman" w:cs="Times New Roman"/>
          <w:kern w:val="0"/>
          <w:sz w:val="24"/>
          <w:szCs w:val="24"/>
        </w:rPr>
        <w:t xml:space="preserve">, 1–7. </w:t>
      </w:r>
      <w:hyperlink r:id="rId13" w:history="1">
        <w:r w:rsidRPr="00F84BE8">
          <w:rPr>
            <w:rStyle w:val="Hyperlink"/>
            <w:rFonts w:ascii="Times New Roman" w:hAnsi="Times New Roman" w:cs="Times New Roman"/>
            <w:kern w:val="0"/>
            <w:sz w:val="24"/>
            <w:szCs w:val="24"/>
          </w:rPr>
          <w:t>https://doi.org/10.1007/978-3-319-28099-8_1831-1</w:t>
        </w:r>
      </w:hyperlink>
    </w:p>
    <w:p w14:paraId="640490F9" w14:textId="276E87F5"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i/>
          <w:iCs/>
          <w:kern w:val="0"/>
          <w:sz w:val="24"/>
          <w:szCs w:val="24"/>
        </w:rPr>
        <w:t>Interventions</w:t>
      </w:r>
      <w:r w:rsidRPr="00F84BE8">
        <w:rPr>
          <w:rFonts w:ascii="Times New Roman" w:hAnsi="Times New Roman" w:cs="Times New Roman"/>
          <w:kern w:val="0"/>
          <w:sz w:val="24"/>
          <w:szCs w:val="24"/>
        </w:rPr>
        <w:t xml:space="preserve">. (2020, February 27). Nih.gov; National Academies Press (US). </w:t>
      </w:r>
      <w:hyperlink r:id="rId14" w:history="1">
        <w:r w:rsidRPr="00F84BE8">
          <w:rPr>
            <w:rStyle w:val="Hyperlink"/>
            <w:rFonts w:ascii="Times New Roman" w:hAnsi="Times New Roman" w:cs="Times New Roman"/>
            <w:kern w:val="0"/>
            <w:sz w:val="24"/>
            <w:szCs w:val="24"/>
          </w:rPr>
          <w:t>https://www.ncbi.nlm.nih.gov/books/NBK557966/</w:t>
        </w:r>
      </w:hyperlink>
    </w:p>
    <w:p w14:paraId="1E3A9C77" w14:textId="354499D0"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Meng, P. (2020). The Psychological Mechanism of the Influence of Social Exclusion on Risk-Taking Behavior. </w:t>
      </w:r>
      <w:r w:rsidRPr="00F84BE8">
        <w:rPr>
          <w:rFonts w:ascii="Times New Roman" w:hAnsi="Times New Roman" w:cs="Times New Roman"/>
          <w:i/>
          <w:iCs/>
          <w:kern w:val="0"/>
          <w:sz w:val="24"/>
          <w:szCs w:val="24"/>
        </w:rPr>
        <w:t>Open Journal of Social Sciences</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08</w:t>
      </w:r>
      <w:r w:rsidRPr="00F84BE8">
        <w:rPr>
          <w:rFonts w:ascii="Times New Roman" w:hAnsi="Times New Roman" w:cs="Times New Roman"/>
          <w:kern w:val="0"/>
          <w:sz w:val="24"/>
          <w:szCs w:val="24"/>
        </w:rPr>
        <w:t xml:space="preserve">(03), 146–164. </w:t>
      </w:r>
      <w:hyperlink r:id="rId15" w:history="1">
        <w:r w:rsidRPr="00F84BE8">
          <w:rPr>
            <w:rStyle w:val="Hyperlink"/>
            <w:rFonts w:ascii="Times New Roman" w:hAnsi="Times New Roman" w:cs="Times New Roman"/>
            <w:kern w:val="0"/>
            <w:sz w:val="24"/>
            <w:szCs w:val="24"/>
          </w:rPr>
          <w:t>https://doi.org/10.4236/jss.2020.83014</w:t>
        </w:r>
      </w:hyperlink>
    </w:p>
    <w:p w14:paraId="49914C4F" w14:textId="0195DC7D"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Montag, C., Sindermann, C., Lester, D., &amp; Davis, K. L. (2020). Linking individual differences in satisfaction with each of Maslow’s needs to the Big Five personality traits and Panksepp’s primary emotional systems. </w:t>
      </w:r>
      <w:r w:rsidRPr="00F84BE8">
        <w:rPr>
          <w:rFonts w:ascii="Times New Roman" w:hAnsi="Times New Roman" w:cs="Times New Roman"/>
          <w:i/>
          <w:iCs/>
          <w:kern w:val="0"/>
          <w:sz w:val="24"/>
          <w:szCs w:val="24"/>
        </w:rPr>
        <w:t>Heliyon</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6</w:t>
      </w:r>
      <w:r w:rsidRPr="00F84BE8">
        <w:rPr>
          <w:rFonts w:ascii="Times New Roman" w:hAnsi="Times New Roman" w:cs="Times New Roman"/>
          <w:kern w:val="0"/>
          <w:sz w:val="24"/>
          <w:szCs w:val="24"/>
        </w:rPr>
        <w:t xml:space="preserve">(7), e04325. </w:t>
      </w:r>
      <w:hyperlink r:id="rId16" w:history="1">
        <w:r w:rsidRPr="00F84BE8">
          <w:rPr>
            <w:rStyle w:val="Hyperlink"/>
            <w:rFonts w:ascii="Times New Roman" w:hAnsi="Times New Roman" w:cs="Times New Roman"/>
            <w:kern w:val="0"/>
            <w:sz w:val="24"/>
            <w:szCs w:val="24"/>
          </w:rPr>
          <w:t>https://doi.org/10.1016/j.heliyon.2020.e04325</w:t>
        </w:r>
      </w:hyperlink>
    </w:p>
    <w:p w14:paraId="66294CB0" w14:textId="5344CE4D"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Mosen, D. M., Banegas, M. P., Keast, E. M., &amp; Ertz-Berger, B. L. (2022). The Association Between Social Isolation and Memory Loss Among Older Adults. </w:t>
      </w:r>
      <w:r w:rsidRPr="00F84BE8">
        <w:rPr>
          <w:rFonts w:ascii="Times New Roman" w:hAnsi="Times New Roman" w:cs="Times New Roman"/>
          <w:i/>
          <w:iCs/>
          <w:kern w:val="0"/>
          <w:sz w:val="24"/>
          <w:szCs w:val="24"/>
        </w:rPr>
        <w:t>The Journal of the American Board of Family Medicine</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35</w:t>
      </w:r>
      <w:r w:rsidRPr="00F84BE8">
        <w:rPr>
          <w:rFonts w:ascii="Times New Roman" w:hAnsi="Times New Roman" w:cs="Times New Roman"/>
          <w:kern w:val="0"/>
          <w:sz w:val="24"/>
          <w:szCs w:val="24"/>
        </w:rPr>
        <w:t xml:space="preserve">(6), 1168–1173. </w:t>
      </w:r>
      <w:hyperlink r:id="rId17" w:history="1">
        <w:r w:rsidRPr="00F84BE8">
          <w:rPr>
            <w:rStyle w:val="Hyperlink"/>
            <w:rFonts w:ascii="Times New Roman" w:hAnsi="Times New Roman" w:cs="Times New Roman"/>
            <w:kern w:val="0"/>
            <w:sz w:val="24"/>
            <w:szCs w:val="24"/>
          </w:rPr>
          <w:t>https://doi.org/10.3122/jabfm.2022.210497R2</w:t>
        </w:r>
      </w:hyperlink>
    </w:p>
    <w:p w14:paraId="596FDB8B" w14:textId="77777777"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National Academies of Sciences, Engineering, and Medicine. (2020). </w:t>
      </w:r>
      <w:r w:rsidRPr="00F84BE8">
        <w:rPr>
          <w:rFonts w:ascii="Times New Roman" w:hAnsi="Times New Roman" w:cs="Times New Roman"/>
          <w:i/>
          <w:iCs/>
          <w:kern w:val="0"/>
          <w:sz w:val="24"/>
          <w:szCs w:val="24"/>
        </w:rPr>
        <w:t>Social Isolation and Loneliness in Older Adults</w:t>
      </w:r>
      <w:r w:rsidRPr="00F84BE8">
        <w:rPr>
          <w:rFonts w:ascii="Times New Roman" w:hAnsi="Times New Roman" w:cs="Times New Roman"/>
          <w:kern w:val="0"/>
          <w:sz w:val="24"/>
          <w:szCs w:val="24"/>
        </w:rPr>
        <w:t xml:space="preserve">. National Academies Press. </w:t>
      </w:r>
      <w:hyperlink r:id="rId18" w:history="1">
        <w:r w:rsidRPr="00F84BE8">
          <w:rPr>
            <w:rFonts w:ascii="Times New Roman" w:hAnsi="Times New Roman" w:cs="Times New Roman"/>
            <w:kern w:val="0"/>
            <w:sz w:val="24"/>
            <w:szCs w:val="24"/>
          </w:rPr>
          <w:t>https://doi.org/10.17226/25663</w:t>
        </w:r>
      </w:hyperlink>
    </w:p>
    <w:p w14:paraId="33465B02" w14:textId="7EE37150"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i/>
          <w:iCs/>
          <w:kern w:val="0"/>
          <w:sz w:val="24"/>
          <w:szCs w:val="24"/>
        </w:rPr>
        <w:t>Older people and COVID-19</w:t>
      </w:r>
      <w:r w:rsidRPr="00F84BE8">
        <w:rPr>
          <w:rFonts w:ascii="Times New Roman" w:hAnsi="Times New Roman" w:cs="Times New Roman"/>
          <w:kern w:val="0"/>
          <w:sz w:val="24"/>
          <w:szCs w:val="24"/>
        </w:rPr>
        <w:t xml:space="preserve">. (2020). </w:t>
      </w:r>
      <w:hyperlink r:id="rId19" w:history="1">
        <w:r w:rsidRPr="00F84BE8">
          <w:rPr>
            <w:rStyle w:val="Hyperlink"/>
            <w:rFonts w:ascii="Times New Roman" w:hAnsi="Times New Roman" w:cs="Times New Roman"/>
            <w:kern w:val="0"/>
            <w:sz w:val="24"/>
            <w:szCs w:val="24"/>
          </w:rPr>
          <w:t>Www.who.int</w:t>
        </w:r>
      </w:hyperlink>
      <w:r w:rsidRPr="00F84BE8">
        <w:rPr>
          <w:rFonts w:ascii="Times New Roman" w:hAnsi="Times New Roman" w:cs="Times New Roman"/>
          <w:kern w:val="0"/>
          <w:sz w:val="24"/>
          <w:szCs w:val="24"/>
        </w:rPr>
        <w:t xml:space="preserve"> </w:t>
      </w:r>
      <w:hyperlink r:id="rId20" w:history="1">
        <w:r w:rsidRPr="00F84BE8">
          <w:rPr>
            <w:rStyle w:val="Hyperlink"/>
            <w:rFonts w:ascii="Times New Roman" w:hAnsi="Times New Roman" w:cs="Times New Roman"/>
            <w:kern w:val="0"/>
            <w:sz w:val="24"/>
            <w:szCs w:val="24"/>
          </w:rPr>
          <w:t>https://www.who.int/teams/social-determinants-of-health/demographic-change-and-healthy-ageing/covid-19</w:t>
        </w:r>
      </w:hyperlink>
    </w:p>
    <w:p w14:paraId="2D1E2AB4" w14:textId="0EFF58F7"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Park, J.-Y. (2017). Negative emotion and purchase behavior following social exclusion. </w:t>
      </w:r>
      <w:r w:rsidRPr="00F84BE8">
        <w:rPr>
          <w:rFonts w:ascii="Times New Roman" w:hAnsi="Times New Roman" w:cs="Times New Roman"/>
          <w:i/>
          <w:iCs/>
          <w:kern w:val="0"/>
          <w:sz w:val="24"/>
          <w:szCs w:val="24"/>
        </w:rPr>
        <w:t>Journal of Global Scholars of Marketing Science</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27</w:t>
      </w:r>
      <w:r w:rsidRPr="00F84BE8">
        <w:rPr>
          <w:rFonts w:ascii="Times New Roman" w:hAnsi="Times New Roman" w:cs="Times New Roman"/>
          <w:kern w:val="0"/>
          <w:sz w:val="24"/>
          <w:szCs w:val="24"/>
        </w:rPr>
        <w:t xml:space="preserve">(2), 111–122.  </w:t>
      </w:r>
      <w:hyperlink r:id="rId21" w:history="1">
        <w:r w:rsidRPr="00F84BE8">
          <w:rPr>
            <w:rStyle w:val="Hyperlink"/>
            <w:rFonts w:ascii="Times New Roman" w:hAnsi="Times New Roman" w:cs="Times New Roman"/>
            <w:kern w:val="0"/>
            <w:sz w:val="24"/>
            <w:szCs w:val="24"/>
          </w:rPr>
          <w:t>https://doi.org/10.1080/21639159.2016.1265319</w:t>
        </w:r>
      </w:hyperlink>
    </w:p>
    <w:p w14:paraId="79590019" w14:textId="28C6FA2C"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Peng, S., Tang, D., &amp; Xuan, B. (2023). Social Rejection but Not Ostracism Increases Cognitive Effort Avoidance. </w:t>
      </w:r>
      <w:r w:rsidRPr="00F84BE8">
        <w:rPr>
          <w:rFonts w:ascii="Times New Roman" w:hAnsi="Times New Roman" w:cs="Times New Roman"/>
          <w:i/>
          <w:iCs/>
          <w:kern w:val="0"/>
          <w:sz w:val="24"/>
          <w:szCs w:val="24"/>
        </w:rPr>
        <w:t>Psychology Research and Behavior Management</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Volume 16</w:t>
      </w:r>
      <w:r w:rsidRPr="00F84BE8">
        <w:rPr>
          <w:rFonts w:ascii="Times New Roman" w:hAnsi="Times New Roman" w:cs="Times New Roman"/>
          <w:kern w:val="0"/>
          <w:sz w:val="24"/>
          <w:szCs w:val="24"/>
        </w:rPr>
        <w:t xml:space="preserve">, 2829–2839. </w:t>
      </w:r>
      <w:hyperlink r:id="rId22" w:history="1">
        <w:r w:rsidRPr="00F84BE8">
          <w:rPr>
            <w:rStyle w:val="Hyperlink"/>
            <w:rFonts w:ascii="Times New Roman" w:hAnsi="Times New Roman" w:cs="Times New Roman"/>
            <w:kern w:val="0"/>
            <w:sz w:val="24"/>
            <w:szCs w:val="24"/>
          </w:rPr>
          <w:t>https://doi.org/10.2147/prbm.s414450</w:t>
        </w:r>
      </w:hyperlink>
    </w:p>
    <w:p w14:paraId="6665AE93" w14:textId="0A8FCD5C"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Perry, T. E., Ruggiano, N., Shtompel, N., &amp; Hassevoort, L. (2015). Applying Erikson’s Wisdom to Self-Management Practices of Older Adults. </w:t>
      </w:r>
      <w:r w:rsidRPr="00F84BE8">
        <w:rPr>
          <w:rFonts w:ascii="Times New Roman" w:hAnsi="Times New Roman" w:cs="Times New Roman"/>
          <w:i/>
          <w:iCs/>
          <w:kern w:val="0"/>
          <w:sz w:val="24"/>
          <w:szCs w:val="24"/>
        </w:rPr>
        <w:t>Research on Aging</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37</w:t>
      </w:r>
      <w:r w:rsidRPr="00F84BE8">
        <w:rPr>
          <w:rFonts w:ascii="Times New Roman" w:hAnsi="Times New Roman" w:cs="Times New Roman"/>
          <w:kern w:val="0"/>
          <w:sz w:val="24"/>
          <w:szCs w:val="24"/>
        </w:rPr>
        <w:t xml:space="preserve">(3), 253–274. </w:t>
      </w:r>
      <w:hyperlink r:id="rId23" w:history="1">
        <w:r w:rsidRPr="00F84BE8">
          <w:rPr>
            <w:rStyle w:val="Hyperlink"/>
            <w:rFonts w:ascii="Times New Roman" w:hAnsi="Times New Roman" w:cs="Times New Roman"/>
            <w:kern w:val="0"/>
            <w:sz w:val="24"/>
            <w:szCs w:val="24"/>
          </w:rPr>
          <w:t>https://doi.org/10.1177/0164027514527974</w:t>
        </w:r>
      </w:hyperlink>
    </w:p>
    <w:p w14:paraId="65E72207" w14:textId="60227F43"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Read, S., Comas-Herrera, A., &amp; Grundy, E. (2020). Social Isolation and Memory Decline in Later-life. </w:t>
      </w:r>
      <w:r w:rsidRPr="00F84BE8">
        <w:rPr>
          <w:rFonts w:ascii="Times New Roman" w:hAnsi="Times New Roman" w:cs="Times New Roman"/>
          <w:i/>
          <w:iCs/>
          <w:kern w:val="0"/>
          <w:sz w:val="24"/>
          <w:szCs w:val="24"/>
        </w:rPr>
        <w:t>The Journals of Gerontology: Series B</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75</w:t>
      </w:r>
      <w:r w:rsidRPr="00F84BE8">
        <w:rPr>
          <w:rFonts w:ascii="Times New Roman" w:hAnsi="Times New Roman" w:cs="Times New Roman"/>
          <w:kern w:val="0"/>
          <w:sz w:val="24"/>
          <w:szCs w:val="24"/>
        </w:rPr>
        <w:t xml:space="preserve">(2), 367–376.  </w:t>
      </w:r>
      <w:hyperlink r:id="rId24" w:history="1">
        <w:r w:rsidRPr="00F84BE8">
          <w:rPr>
            <w:rStyle w:val="Hyperlink"/>
            <w:rFonts w:ascii="Times New Roman" w:hAnsi="Times New Roman" w:cs="Times New Roman"/>
            <w:kern w:val="0"/>
            <w:sz w:val="24"/>
            <w:szCs w:val="24"/>
          </w:rPr>
          <w:t>https://doi.org/10.1093/geronb/gbz152</w:t>
        </w:r>
      </w:hyperlink>
    </w:p>
    <w:p w14:paraId="6F116492" w14:textId="6338324A"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Suragarn, U., Hain, D., &amp; Pfaff, G. (2021). Approaches to enhance social connection in older adults: an integrative review of literature. </w:t>
      </w:r>
      <w:r w:rsidRPr="00F84BE8">
        <w:rPr>
          <w:rFonts w:ascii="Times New Roman" w:hAnsi="Times New Roman" w:cs="Times New Roman"/>
          <w:i/>
          <w:iCs/>
          <w:kern w:val="0"/>
          <w:sz w:val="24"/>
          <w:szCs w:val="24"/>
        </w:rPr>
        <w:t>Aging and Health Research</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1</w:t>
      </w:r>
      <w:r w:rsidRPr="00F84BE8">
        <w:rPr>
          <w:rFonts w:ascii="Times New Roman" w:hAnsi="Times New Roman" w:cs="Times New Roman"/>
          <w:kern w:val="0"/>
          <w:sz w:val="24"/>
          <w:szCs w:val="24"/>
        </w:rPr>
        <w:t xml:space="preserve">(3), 100029. </w:t>
      </w:r>
      <w:hyperlink r:id="rId25" w:history="1">
        <w:r w:rsidRPr="00F84BE8">
          <w:rPr>
            <w:rStyle w:val="Hyperlink"/>
            <w:rFonts w:ascii="Times New Roman" w:hAnsi="Times New Roman" w:cs="Times New Roman"/>
            <w:kern w:val="0"/>
            <w:sz w:val="24"/>
            <w:szCs w:val="24"/>
          </w:rPr>
          <w:t>https://doi.org/10.1016/j.ahr.2021.100029</w:t>
        </w:r>
      </w:hyperlink>
    </w:p>
    <w:p w14:paraId="094C22D0" w14:textId="5CB4C348"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von Humboldt, S., Mendoza-Ruvalcaba, N. Ma., Arias-Merino, E. D., Ribeiro-Gonçalves, J. A., Cabras, E., Low, G., &amp; Leal, I. (2022). The Upside of Negative Emotions: How Do Older Adults From Different Cultures Challenge Their Self-Growth During the COVID-19 Pandemic? </w:t>
      </w:r>
      <w:r w:rsidRPr="00F84BE8">
        <w:rPr>
          <w:rFonts w:ascii="Times New Roman" w:hAnsi="Times New Roman" w:cs="Times New Roman"/>
          <w:i/>
          <w:iCs/>
          <w:kern w:val="0"/>
          <w:sz w:val="24"/>
          <w:szCs w:val="24"/>
        </w:rPr>
        <w:t>Frontiers in Psychology</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13</w:t>
      </w:r>
      <w:r w:rsidRPr="00F84BE8">
        <w:rPr>
          <w:rFonts w:ascii="Times New Roman" w:hAnsi="Times New Roman" w:cs="Times New Roman"/>
          <w:kern w:val="0"/>
          <w:sz w:val="24"/>
          <w:szCs w:val="24"/>
        </w:rPr>
        <w:t xml:space="preserve">. </w:t>
      </w:r>
      <w:hyperlink r:id="rId26" w:history="1">
        <w:r w:rsidRPr="00F84BE8">
          <w:rPr>
            <w:rStyle w:val="Hyperlink"/>
            <w:rFonts w:ascii="Times New Roman" w:hAnsi="Times New Roman" w:cs="Times New Roman"/>
            <w:kern w:val="0"/>
            <w:sz w:val="24"/>
            <w:szCs w:val="24"/>
          </w:rPr>
          <w:t>https://doi.org/10.3389/fpsyg.2022.648078</w:t>
        </w:r>
      </w:hyperlink>
    </w:p>
    <w:p w14:paraId="48E03D16" w14:textId="00EAD627"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Vrijhof, C. I., van den Bulk, B. G., Overgaauw, S., Lelieveld, G.-J., Engels, R. C. M. E., &amp; van IJzendoorn, M. H. (2016). The Prosocial Cyberball Game: Compensating for social exclusion and its associations with empathic concern and bullying in adolescents. </w:t>
      </w:r>
      <w:r w:rsidRPr="00F84BE8">
        <w:rPr>
          <w:rFonts w:ascii="Times New Roman" w:hAnsi="Times New Roman" w:cs="Times New Roman"/>
          <w:i/>
          <w:iCs/>
          <w:kern w:val="0"/>
          <w:sz w:val="24"/>
          <w:szCs w:val="24"/>
        </w:rPr>
        <w:t>Journal of Adolescence</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52</w:t>
      </w:r>
      <w:r w:rsidRPr="00F84BE8">
        <w:rPr>
          <w:rFonts w:ascii="Times New Roman" w:hAnsi="Times New Roman" w:cs="Times New Roman"/>
          <w:kern w:val="0"/>
          <w:sz w:val="24"/>
          <w:szCs w:val="24"/>
        </w:rPr>
        <w:t xml:space="preserve">, 27–36. </w:t>
      </w:r>
      <w:hyperlink r:id="rId27" w:history="1">
        <w:r w:rsidRPr="00F84BE8">
          <w:rPr>
            <w:rStyle w:val="Hyperlink"/>
            <w:rFonts w:ascii="Times New Roman" w:hAnsi="Times New Roman" w:cs="Times New Roman"/>
            <w:kern w:val="0"/>
            <w:sz w:val="24"/>
            <w:szCs w:val="24"/>
          </w:rPr>
          <w:t>https://doi.org/10.1016/j.adolescence.2016.07.005</w:t>
        </w:r>
      </w:hyperlink>
    </w:p>
    <w:p w14:paraId="5D943F52" w14:textId="5EECED71"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W, E. (2012). Quality of Life in the Older Population in Sudan-Illustrated by Maslow’s Hierarchical Levels, Experienced Loneliness, and the Importance of Social Support. </w:t>
      </w:r>
      <w:r w:rsidRPr="00F84BE8">
        <w:rPr>
          <w:rFonts w:ascii="Times New Roman" w:hAnsi="Times New Roman" w:cs="Times New Roman"/>
          <w:i/>
          <w:iCs/>
          <w:kern w:val="0"/>
          <w:sz w:val="24"/>
          <w:szCs w:val="24"/>
        </w:rPr>
        <w:t>Journal of Gerontology &amp; Geriatric Research</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01</w:t>
      </w:r>
      <w:r w:rsidRPr="00F84BE8">
        <w:rPr>
          <w:rFonts w:ascii="Times New Roman" w:hAnsi="Times New Roman" w:cs="Times New Roman"/>
          <w:kern w:val="0"/>
          <w:sz w:val="24"/>
          <w:szCs w:val="24"/>
        </w:rPr>
        <w:t xml:space="preserve">(05). </w:t>
      </w:r>
      <w:hyperlink r:id="rId28" w:history="1">
        <w:r w:rsidRPr="00F84BE8">
          <w:rPr>
            <w:rStyle w:val="Hyperlink"/>
            <w:rFonts w:ascii="Times New Roman" w:hAnsi="Times New Roman" w:cs="Times New Roman"/>
            <w:kern w:val="0"/>
            <w:sz w:val="24"/>
            <w:szCs w:val="24"/>
          </w:rPr>
          <w:t>https://doi.org/10.4172/2167-7182.1000113</w:t>
        </w:r>
      </w:hyperlink>
    </w:p>
    <w:p w14:paraId="1B4E0DD3" w14:textId="22B3DE92"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Wang, S., Molassiotis, A., Guo, C., Leung, I. S. H., &amp; Leung, A. Y. M. (2022). Association between social integration and risk of dementia: A systematic review and meta‐analysis of longitudinal studies. </w:t>
      </w:r>
      <w:r w:rsidRPr="00F84BE8">
        <w:rPr>
          <w:rFonts w:ascii="Times New Roman" w:hAnsi="Times New Roman" w:cs="Times New Roman"/>
          <w:i/>
          <w:iCs/>
          <w:kern w:val="0"/>
          <w:sz w:val="24"/>
          <w:szCs w:val="24"/>
        </w:rPr>
        <w:t>Journal of the American Geriatrics Society</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71</w:t>
      </w:r>
      <w:r w:rsidRPr="00F84BE8">
        <w:rPr>
          <w:rFonts w:ascii="Times New Roman" w:hAnsi="Times New Roman" w:cs="Times New Roman"/>
          <w:kern w:val="0"/>
          <w:sz w:val="24"/>
          <w:szCs w:val="24"/>
        </w:rPr>
        <w:t xml:space="preserve">(2), 632–645. </w:t>
      </w:r>
      <w:hyperlink r:id="rId29" w:history="1">
        <w:r w:rsidRPr="00F84BE8">
          <w:rPr>
            <w:rStyle w:val="Hyperlink"/>
            <w:rFonts w:ascii="Times New Roman" w:hAnsi="Times New Roman" w:cs="Times New Roman"/>
            <w:kern w:val="0"/>
            <w:sz w:val="24"/>
            <w:szCs w:val="24"/>
          </w:rPr>
          <w:t>https://doi.org/10.1111/jgs.18094</w:t>
        </w:r>
      </w:hyperlink>
    </w:p>
    <w:p w14:paraId="1C7513BF" w14:textId="0692A532"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Wesselmann, E. D., Grzybowski, M. R., Steakley-Freeman, D. M., DeSouza, E. R., Nezlek, J. B., &amp; Williams, K. D. (2016). Social Exclusion in Everyday Life. </w:t>
      </w:r>
      <w:r w:rsidRPr="00F84BE8">
        <w:rPr>
          <w:rFonts w:ascii="Times New Roman" w:hAnsi="Times New Roman" w:cs="Times New Roman"/>
          <w:i/>
          <w:iCs/>
          <w:kern w:val="0"/>
          <w:sz w:val="24"/>
          <w:szCs w:val="24"/>
        </w:rPr>
        <w:t>Social Exclusion</w:t>
      </w:r>
      <w:r w:rsidRPr="00F84BE8">
        <w:rPr>
          <w:rFonts w:ascii="Times New Roman" w:hAnsi="Times New Roman" w:cs="Times New Roman"/>
          <w:kern w:val="0"/>
          <w:sz w:val="24"/>
          <w:szCs w:val="24"/>
        </w:rPr>
        <w:t xml:space="preserve">, 3–23. </w:t>
      </w:r>
      <w:hyperlink r:id="rId30" w:history="1">
        <w:r w:rsidRPr="00F84BE8">
          <w:rPr>
            <w:rStyle w:val="Hyperlink"/>
            <w:rFonts w:ascii="Times New Roman" w:hAnsi="Times New Roman" w:cs="Times New Roman"/>
            <w:kern w:val="0"/>
            <w:sz w:val="24"/>
            <w:szCs w:val="24"/>
          </w:rPr>
          <w:t>https://doi.org/10.1007/978-3-319-33033-4_1</w:t>
        </w:r>
      </w:hyperlink>
    </w:p>
    <w:p w14:paraId="528353C9" w14:textId="355AFE48"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Westerhof, G. J., Bohlmeijer, E. T., &amp; McAdams, D. P. (2017). The Relation of Ego Integrity and Despair to Personality Traits and Mental Health. </w:t>
      </w:r>
      <w:r w:rsidRPr="00F84BE8">
        <w:rPr>
          <w:rFonts w:ascii="Times New Roman" w:hAnsi="Times New Roman" w:cs="Times New Roman"/>
          <w:i/>
          <w:iCs/>
          <w:kern w:val="0"/>
          <w:sz w:val="24"/>
          <w:szCs w:val="24"/>
        </w:rPr>
        <w:t>The Journals of Gerontology Series B: Psychological Sciences and Social Sciences</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72</w:t>
      </w:r>
      <w:r w:rsidRPr="00F84BE8">
        <w:rPr>
          <w:rFonts w:ascii="Times New Roman" w:hAnsi="Times New Roman" w:cs="Times New Roman"/>
          <w:kern w:val="0"/>
          <w:sz w:val="24"/>
          <w:szCs w:val="24"/>
        </w:rPr>
        <w:t xml:space="preserve">(3), gbv062. </w:t>
      </w:r>
      <w:hyperlink r:id="rId31" w:history="1">
        <w:r w:rsidRPr="00F84BE8">
          <w:rPr>
            <w:rStyle w:val="Hyperlink"/>
            <w:rFonts w:ascii="Times New Roman" w:hAnsi="Times New Roman" w:cs="Times New Roman"/>
            <w:kern w:val="0"/>
            <w:sz w:val="24"/>
            <w:szCs w:val="24"/>
          </w:rPr>
          <w:t>https://doi.org/10.1093/geronb/gbv062</w:t>
        </w:r>
      </w:hyperlink>
    </w:p>
    <w:p w14:paraId="13323837" w14:textId="737482DE"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Wyer, N. A. (2008). Cognitive consequences of perceiving social exclusion. </w:t>
      </w:r>
      <w:r w:rsidRPr="00F84BE8">
        <w:rPr>
          <w:rFonts w:ascii="Times New Roman" w:hAnsi="Times New Roman" w:cs="Times New Roman"/>
          <w:i/>
          <w:iCs/>
          <w:kern w:val="0"/>
          <w:sz w:val="24"/>
          <w:szCs w:val="24"/>
        </w:rPr>
        <w:t>Journal of Experimental Social Psychology</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44</w:t>
      </w:r>
      <w:r w:rsidRPr="00F84BE8">
        <w:rPr>
          <w:rFonts w:ascii="Times New Roman" w:hAnsi="Times New Roman" w:cs="Times New Roman"/>
          <w:kern w:val="0"/>
          <w:sz w:val="24"/>
          <w:szCs w:val="24"/>
        </w:rPr>
        <w:t xml:space="preserve">(4), 1003–1012. </w:t>
      </w:r>
      <w:hyperlink r:id="rId32" w:history="1">
        <w:r w:rsidRPr="00F84BE8">
          <w:rPr>
            <w:rStyle w:val="Hyperlink"/>
            <w:rFonts w:ascii="Times New Roman" w:hAnsi="Times New Roman" w:cs="Times New Roman"/>
            <w:kern w:val="0"/>
            <w:sz w:val="24"/>
            <w:szCs w:val="24"/>
          </w:rPr>
          <w:t>https://doi.org/10.1016/j.jesp.2008.03.002</w:t>
        </w:r>
      </w:hyperlink>
    </w:p>
    <w:p w14:paraId="08A34291" w14:textId="53E6852B"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Zhang, S., Huang, J., Duan, H., Turel, O., &amp; He, Q. (2021). Almost Everyone Loses Meaning in Life From Social Exclusion, but Some More Than the Others: A Comparison Among Victims, Voluntary, and Forced Rejecters. </w:t>
      </w:r>
      <w:r w:rsidRPr="00F84BE8">
        <w:rPr>
          <w:rFonts w:ascii="Times New Roman" w:hAnsi="Times New Roman" w:cs="Times New Roman"/>
          <w:i/>
          <w:iCs/>
          <w:kern w:val="0"/>
          <w:sz w:val="24"/>
          <w:szCs w:val="24"/>
        </w:rPr>
        <w:t>Frontiers in Psychology</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12</w:t>
      </w:r>
      <w:r w:rsidRPr="00F84BE8">
        <w:rPr>
          <w:rFonts w:ascii="Times New Roman" w:hAnsi="Times New Roman" w:cs="Times New Roman"/>
          <w:kern w:val="0"/>
          <w:sz w:val="24"/>
          <w:szCs w:val="24"/>
        </w:rPr>
        <w:t xml:space="preserve">. </w:t>
      </w:r>
      <w:hyperlink r:id="rId33" w:history="1">
        <w:r w:rsidRPr="00F84BE8">
          <w:rPr>
            <w:rStyle w:val="Hyperlink"/>
            <w:rFonts w:ascii="Times New Roman" w:hAnsi="Times New Roman" w:cs="Times New Roman"/>
            <w:kern w:val="0"/>
            <w:sz w:val="24"/>
            <w:szCs w:val="24"/>
          </w:rPr>
          <w:t>https://doi.org/10.3389/fpsyg.2021.658648</w:t>
        </w:r>
      </w:hyperlink>
    </w:p>
    <w:p w14:paraId="7A3D6B12" w14:textId="77777777"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Zolyomi, E. (2019). </w:t>
      </w:r>
      <w:r w:rsidRPr="00F84BE8">
        <w:rPr>
          <w:rFonts w:ascii="Times New Roman" w:hAnsi="Times New Roman" w:cs="Times New Roman"/>
          <w:i/>
          <w:iCs/>
          <w:kern w:val="0"/>
          <w:sz w:val="24"/>
          <w:szCs w:val="24"/>
        </w:rPr>
        <w:t xml:space="preserve"> Peer Review on “Strategies for supporting social inclusion at older age.”</w:t>
      </w:r>
    </w:p>
    <w:p w14:paraId="21418CCC" w14:textId="25CF1E6D" w:rsidR="00E8283D" w:rsidRPr="00F84BE8" w:rsidRDefault="00E8283D">
      <w:pPr>
        <w:widowControl w:val="0"/>
        <w:autoSpaceDE w:val="0"/>
        <w:autoSpaceDN w:val="0"/>
        <w:adjustRightInd w:val="0"/>
        <w:spacing w:after="0" w:line="480" w:lineRule="auto"/>
        <w:ind w:left="720" w:hanging="720"/>
        <w:rPr>
          <w:rFonts w:ascii="Times New Roman" w:hAnsi="Times New Roman" w:cs="Times New Roman"/>
          <w:kern w:val="0"/>
          <w:sz w:val="24"/>
          <w:szCs w:val="24"/>
        </w:rPr>
      </w:pPr>
      <w:r w:rsidRPr="00F84BE8">
        <w:rPr>
          <w:rFonts w:ascii="Times New Roman" w:hAnsi="Times New Roman" w:cs="Times New Roman"/>
          <w:kern w:val="0"/>
          <w:sz w:val="24"/>
          <w:szCs w:val="24"/>
        </w:rPr>
        <w:t xml:space="preserve">Zou, Y., Yang, X., Li, J., Li, Y., &amp; Wei, M. (2022). Differences in automatic emotion regulation after social exclusion in individuals with different attachment types. </w:t>
      </w:r>
      <w:r w:rsidRPr="00F84BE8">
        <w:rPr>
          <w:rFonts w:ascii="Times New Roman" w:hAnsi="Times New Roman" w:cs="Times New Roman"/>
          <w:i/>
          <w:iCs/>
          <w:kern w:val="0"/>
          <w:sz w:val="24"/>
          <w:szCs w:val="24"/>
        </w:rPr>
        <w:t>Personality and Individual Differences</w:t>
      </w:r>
      <w:r w:rsidRPr="00F84BE8">
        <w:rPr>
          <w:rFonts w:ascii="Times New Roman" w:hAnsi="Times New Roman" w:cs="Times New Roman"/>
          <w:kern w:val="0"/>
          <w:sz w:val="24"/>
          <w:szCs w:val="24"/>
        </w:rPr>
        <w:t xml:space="preserve">, </w:t>
      </w:r>
      <w:r w:rsidRPr="00F84BE8">
        <w:rPr>
          <w:rFonts w:ascii="Times New Roman" w:hAnsi="Times New Roman" w:cs="Times New Roman"/>
          <w:i/>
          <w:iCs/>
          <w:kern w:val="0"/>
          <w:sz w:val="24"/>
          <w:szCs w:val="24"/>
        </w:rPr>
        <w:t>185</w:t>
      </w:r>
      <w:r w:rsidRPr="00F84BE8">
        <w:rPr>
          <w:rFonts w:ascii="Times New Roman" w:hAnsi="Times New Roman" w:cs="Times New Roman"/>
          <w:kern w:val="0"/>
          <w:sz w:val="24"/>
          <w:szCs w:val="24"/>
        </w:rPr>
        <w:t xml:space="preserve">, 111296. </w:t>
      </w:r>
      <w:hyperlink r:id="rId34" w:history="1">
        <w:r w:rsidRPr="00F84BE8">
          <w:rPr>
            <w:rStyle w:val="Hyperlink"/>
            <w:rFonts w:ascii="Times New Roman" w:hAnsi="Times New Roman" w:cs="Times New Roman"/>
            <w:kern w:val="0"/>
            <w:sz w:val="24"/>
            <w:szCs w:val="24"/>
          </w:rPr>
          <w:t>https://doi.org/10.1016/j.paid.2021.111296</w:t>
        </w:r>
      </w:hyperlink>
    </w:p>
    <w:p w14:paraId="64AC32F3" w14:textId="77777777" w:rsidR="00E8283D" w:rsidRPr="00F84BE8" w:rsidRDefault="00E8283D" w:rsidP="00E8283D">
      <w:pPr>
        <w:spacing w:after="240" w:line="240" w:lineRule="auto"/>
        <w:rPr>
          <w:rFonts w:ascii="Times New Roman" w:eastAsia="Times New Roman" w:hAnsi="Times New Roman" w:cs="Times New Roman"/>
          <w:kern w:val="0"/>
          <w:sz w:val="24"/>
          <w:szCs w:val="24"/>
          <w14:ligatures w14:val="none"/>
        </w:rPr>
      </w:pPr>
    </w:p>
    <w:p w14:paraId="6430247E" w14:textId="77777777" w:rsidR="001E269D" w:rsidRPr="00F84BE8" w:rsidRDefault="001E269D" w:rsidP="00C67D21">
      <w:pPr>
        <w:jc w:val="both"/>
        <w:rPr>
          <w:rFonts w:ascii="Times New Roman" w:eastAsia="Times New Roman" w:hAnsi="Times New Roman" w:cs="Times New Roman"/>
          <w:kern w:val="0"/>
          <w:sz w:val="24"/>
          <w:szCs w:val="24"/>
          <w14:ligatures w14:val="none"/>
        </w:rPr>
      </w:pPr>
    </w:p>
    <w:p w14:paraId="25F4F394" w14:textId="77777777" w:rsidR="001E269D" w:rsidRPr="00F84BE8" w:rsidRDefault="001E269D" w:rsidP="00C67D21">
      <w:pPr>
        <w:ind w:firstLine="720"/>
        <w:jc w:val="both"/>
        <w:rPr>
          <w:rFonts w:ascii="Times New Roman" w:eastAsia="Times New Roman" w:hAnsi="Times New Roman" w:cs="Times New Roman"/>
          <w:kern w:val="0"/>
          <w:sz w:val="24"/>
          <w:szCs w:val="24"/>
          <w14:ligatures w14:val="none"/>
        </w:rPr>
      </w:pPr>
    </w:p>
    <w:p w14:paraId="41314DA1" w14:textId="77777777" w:rsidR="001E269D" w:rsidRPr="00F84BE8" w:rsidRDefault="001E269D" w:rsidP="00C67D21">
      <w:pPr>
        <w:jc w:val="both"/>
        <w:rPr>
          <w:rFonts w:ascii="Times New Roman" w:eastAsia="Times New Roman" w:hAnsi="Times New Roman" w:cs="Times New Roman"/>
          <w:kern w:val="0"/>
          <w:sz w:val="24"/>
          <w:szCs w:val="24"/>
          <w14:ligatures w14:val="none"/>
        </w:rPr>
      </w:pPr>
    </w:p>
    <w:p w14:paraId="1B7C03AA" w14:textId="77777777" w:rsidR="00066F1C" w:rsidRDefault="00066F1C" w:rsidP="00C67D21">
      <w:pPr>
        <w:jc w:val="both"/>
      </w:pPr>
    </w:p>
    <w:sectPr w:rsidR="00066F1C" w:rsidSect="00F746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69D"/>
    <w:rsid w:val="0000105B"/>
    <w:rsid w:val="00066F1C"/>
    <w:rsid w:val="00141816"/>
    <w:rsid w:val="00183B08"/>
    <w:rsid w:val="001A621C"/>
    <w:rsid w:val="001B2692"/>
    <w:rsid w:val="001C3EF7"/>
    <w:rsid w:val="001E0446"/>
    <w:rsid w:val="001E269D"/>
    <w:rsid w:val="00205972"/>
    <w:rsid w:val="002528DF"/>
    <w:rsid w:val="00254610"/>
    <w:rsid w:val="003278E4"/>
    <w:rsid w:val="0035205A"/>
    <w:rsid w:val="003B1DD3"/>
    <w:rsid w:val="003D4E7B"/>
    <w:rsid w:val="003E411D"/>
    <w:rsid w:val="003F6D42"/>
    <w:rsid w:val="00423449"/>
    <w:rsid w:val="00457520"/>
    <w:rsid w:val="00475302"/>
    <w:rsid w:val="004D1159"/>
    <w:rsid w:val="00513BAC"/>
    <w:rsid w:val="00522F52"/>
    <w:rsid w:val="0052345C"/>
    <w:rsid w:val="00574329"/>
    <w:rsid w:val="006375ED"/>
    <w:rsid w:val="00662AB2"/>
    <w:rsid w:val="007337F2"/>
    <w:rsid w:val="00751498"/>
    <w:rsid w:val="00757F54"/>
    <w:rsid w:val="00865627"/>
    <w:rsid w:val="008A2587"/>
    <w:rsid w:val="008C5DBC"/>
    <w:rsid w:val="008F57D0"/>
    <w:rsid w:val="009144A6"/>
    <w:rsid w:val="009167EE"/>
    <w:rsid w:val="00925AFD"/>
    <w:rsid w:val="00926C68"/>
    <w:rsid w:val="0097399B"/>
    <w:rsid w:val="0098513E"/>
    <w:rsid w:val="009B6C6E"/>
    <w:rsid w:val="00A2404C"/>
    <w:rsid w:val="00A35AC5"/>
    <w:rsid w:val="00A41EC8"/>
    <w:rsid w:val="00A54702"/>
    <w:rsid w:val="00A6561A"/>
    <w:rsid w:val="00A75A15"/>
    <w:rsid w:val="00A87AB4"/>
    <w:rsid w:val="00AE3BA1"/>
    <w:rsid w:val="00AE678E"/>
    <w:rsid w:val="00B110DF"/>
    <w:rsid w:val="00B152D4"/>
    <w:rsid w:val="00B43D48"/>
    <w:rsid w:val="00C67D21"/>
    <w:rsid w:val="00C97B87"/>
    <w:rsid w:val="00D03238"/>
    <w:rsid w:val="00E62B77"/>
    <w:rsid w:val="00E73B1D"/>
    <w:rsid w:val="00E8283D"/>
    <w:rsid w:val="00EA1931"/>
    <w:rsid w:val="00F028A8"/>
    <w:rsid w:val="00F6684E"/>
    <w:rsid w:val="00F7469C"/>
    <w:rsid w:val="00F84BE8"/>
    <w:rsid w:val="00F91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DE00B"/>
  <w15:chartTrackingRefBased/>
  <w15:docId w15:val="{E06E25F8-D316-4D9E-A953-670EA4552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69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7AB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E8283D"/>
    <w:rPr>
      <w:color w:val="0563C1" w:themeColor="hyperlink"/>
      <w:u w:val="single"/>
    </w:rPr>
  </w:style>
  <w:style w:type="character" w:styleId="UnresolvedMention">
    <w:name w:val="Unresolved Mention"/>
    <w:basedOn w:val="DefaultParagraphFont"/>
    <w:uiPriority w:val="99"/>
    <w:semiHidden/>
    <w:unhideWhenUsed/>
    <w:rsid w:val="00E82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4013">
      <w:bodyDiv w:val="1"/>
      <w:marLeft w:val="0"/>
      <w:marRight w:val="0"/>
      <w:marTop w:val="0"/>
      <w:marBottom w:val="0"/>
      <w:divBdr>
        <w:top w:val="none" w:sz="0" w:space="0" w:color="auto"/>
        <w:left w:val="none" w:sz="0" w:space="0" w:color="auto"/>
        <w:bottom w:val="none" w:sz="0" w:space="0" w:color="auto"/>
        <w:right w:val="none" w:sz="0" w:space="0" w:color="auto"/>
      </w:divBdr>
    </w:div>
    <w:div w:id="46342008">
      <w:bodyDiv w:val="1"/>
      <w:marLeft w:val="0"/>
      <w:marRight w:val="0"/>
      <w:marTop w:val="0"/>
      <w:marBottom w:val="0"/>
      <w:divBdr>
        <w:top w:val="none" w:sz="0" w:space="0" w:color="auto"/>
        <w:left w:val="none" w:sz="0" w:space="0" w:color="auto"/>
        <w:bottom w:val="none" w:sz="0" w:space="0" w:color="auto"/>
        <w:right w:val="none" w:sz="0" w:space="0" w:color="auto"/>
      </w:divBdr>
    </w:div>
    <w:div w:id="324822714">
      <w:bodyDiv w:val="1"/>
      <w:marLeft w:val="0"/>
      <w:marRight w:val="0"/>
      <w:marTop w:val="0"/>
      <w:marBottom w:val="0"/>
      <w:divBdr>
        <w:top w:val="none" w:sz="0" w:space="0" w:color="auto"/>
        <w:left w:val="none" w:sz="0" w:space="0" w:color="auto"/>
        <w:bottom w:val="none" w:sz="0" w:space="0" w:color="auto"/>
        <w:right w:val="none" w:sz="0" w:space="0" w:color="auto"/>
      </w:divBdr>
      <w:divsChild>
        <w:div w:id="1247807861">
          <w:marLeft w:val="0"/>
          <w:marRight w:val="0"/>
          <w:marTop w:val="0"/>
          <w:marBottom w:val="0"/>
          <w:divBdr>
            <w:top w:val="none" w:sz="0" w:space="0" w:color="auto"/>
            <w:left w:val="none" w:sz="0" w:space="0" w:color="auto"/>
            <w:bottom w:val="none" w:sz="0" w:space="0" w:color="auto"/>
            <w:right w:val="none" w:sz="0" w:space="0" w:color="auto"/>
          </w:divBdr>
          <w:divsChild>
            <w:div w:id="1473132973">
              <w:marLeft w:val="0"/>
              <w:marRight w:val="0"/>
              <w:marTop w:val="300"/>
              <w:marBottom w:val="0"/>
              <w:divBdr>
                <w:top w:val="single" w:sz="6" w:space="0" w:color="DEDEDF"/>
                <w:left w:val="single" w:sz="6" w:space="15" w:color="DEDEDF"/>
                <w:bottom w:val="single" w:sz="6" w:space="0" w:color="DEDEDF"/>
                <w:right w:val="single" w:sz="6" w:space="15" w:color="DEDEDF"/>
              </w:divBdr>
              <w:divsChild>
                <w:div w:id="2477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904322">
      <w:bodyDiv w:val="1"/>
      <w:marLeft w:val="0"/>
      <w:marRight w:val="0"/>
      <w:marTop w:val="0"/>
      <w:marBottom w:val="0"/>
      <w:divBdr>
        <w:top w:val="none" w:sz="0" w:space="0" w:color="auto"/>
        <w:left w:val="none" w:sz="0" w:space="0" w:color="auto"/>
        <w:bottom w:val="none" w:sz="0" w:space="0" w:color="auto"/>
        <w:right w:val="none" w:sz="0" w:space="0" w:color="auto"/>
      </w:divBdr>
    </w:div>
    <w:div w:id="536234355">
      <w:bodyDiv w:val="1"/>
      <w:marLeft w:val="0"/>
      <w:marRight w:val="0"/>
      <w:marTop w:val="0"/>
      <w:marBottom w:val="0"/>
      <w:divBdr>
        <w:top w:val="none" w:sz="0" w:space="0" w:color="auto"/>
        <w:left w:val="none" w:sz="0" w:space="0" w:color="auto"/>
        <w:bottom w:val="none" w:sz="0" w:space="0" w:color="auto"/>
        <w:right w:val="none" w:sz="0" w:space="0" w:color="auto"/>
      </w:divBdr>
    </w:div>
    <w:div w:id="607851211">
      <w:bodyDiv w:val="1"/>
      <w:marLeft w:val="0"/>
      <w:marRight w:val="0"/>
      <w:marTop w:val="0"/>
      <w:marBottom w:val="0"/>
      <w:divBdr>
        <w:top w:val="none" w:sz="0" w:space="0" w:color="auto"/>
        <w:left w:val="none" w:sz="0" w:space="0" w:color="auto"/>
        <w:bottom w:val="none" w:sz="0" w:space="0" w:color="auto"/>
        <w:right w:val="none" w:sz="0" w:space="0" w:color="auto"/>
      </w:divBdr>
    </w:div>
    <w:div w:id="880165145">
      <w:bodyDiv w:val="1"/>
      <w:marLeft w:val="0"/>
      <w:marRight w:val="0"/>
      <w:marTop w:val="0"/>
      <w:marBottom w:val="0"/>
      <w:divBdr>
        <w:top w:val="none" w:sz="0" w:space="0" w:color="auto"/>
        <w:left w:val="none" w:sz="0" w:space="0" w:color="auto"/>
        <w:bottom w:val="none" w:sz="0" w:space="0" w:color="auto"/>
        <w:right w:val="none" w:sz="0" w:space="0" w:color="auto"/>
      </w:divBdr>
    </w:div>
    <w:div w:id="1016735759">
      <w:bodyDiv w:val="1"/>
      <w:marLeft w:val="0"/>
      <w:marRight w:val="0"/>
      <w:marTop w:val="0"/>
      <w:marBottom w:val="0"/>
      <w:divBdr>
        <w:top w:val="none" w:sz="0" w:space="0" w:color="auto"/>
        <w:left w:val="none" w:sz="0" w:space="0" w:color="auto"/>
        <w:bottom w:val="none" w:sz="0" w:space="0" w:color="auto"/>
        <w:right w:val="none" w:sz="0" w:space="0" w:color="auto"/>
      </w:divBdr>
    </w:div>
    <w:div w:id="1048607313">
      <w:bodyDiv w:val="1"/>
      <w:marLeft w:val="0"/>
      <w:marRight w:val="0"/>
      <w:marTop w:val="0"/>
      <w:marBottom w:val="0"/>
      <w:divBdr>
        <w:top w:val="none" w:sz="0" w:space="0" w:color="auto"/>
        <w:left w:val="none" w:sz="0" w:space="0" w:color="auto"/>
        <w:bottom w:val="none" w:sz="0" w:space="0" w:color="auto"/>
        <w:right w:val="none" w:sz="0" w:space="0" w:color="auto"/>
      </w:divBdr>
    </w:div>
    <w:div w:id="1122501564">
      <w:bodyDiv w:val="1"/>
      <w:marLeft w:val="0"/>
      <w:marRight w:val="0"/>
      <w:marTop w:val="0"/>
      <w:marBottom w:val="0"/>
      <w:divBdr>
        <w:top w:val="none" w:sz="0" w:space="0" w:color="auto"/>
        <w:left w:val="none" w:sz="0" w:space="0" w:color="auto"/>
        <w:bottom w:val="none" w:sz="0" w:space="0" w:color="auto"/>
        <w:right w:val="none" w:sz="0" w:space="0" w:color="auto"/>
      </w:divBdr>
      <w:divsChild>
        <w:div w:id="55009305">
          <w:marLeft w:val="0"/>
          <w:marRight w:val="0"/>
          <w:marTop w:val="0"/>
          <w:marBottom w:val="0"/>
          <w:divBdr>
            <w:top w:val="none" w:sz="0" w:space="0" w:color="auto"/>
            <w:left w:val="none" w:sz="0" w:space="0" w:color="auto"/>
            <w:bottom w:val="none" w:sz="0" w:space="0" w:color="auto"/>
            <w:right w:val="none" w:sz="0" w:space="0" w:color="auto"/>
          </w:divBdr>
          <w:divsChild>
            <w:div w:id="206190119">
              <w:marLeft w:val="0"/>
              <w:marRight w:val="0"/>
              <w:marTop w:val="0"/>
              <w:marBottom w:val="0"/>
              <w:divBdr>
                <w:top w:val="none" w:sz="0" w:space="0" w:color="auto"/>
                <w:left w:val="none" w:sz="0" w:space="0" w:color="auto"/>
                <w:bottom w:val="none" w:sz="0" w:space="0" w:color="auto"/>
                <w:right w:val="none" w:sz="0" w:space="0" w:color="auto"/>
              </w:divBdr>
              <w:divsChild>
                <w:div w:id="1075392989">
                  <w:marLeft w:val="0"/>
                  <w:marRight w:val="0"/>
                  <w:marTop w:val="300"/>
                  <w:marBottom w:val="0"/>
                  <w:divBdr>
                    <w:top w:val="single" w:sz="6" w:space="0" w:color="DEDEDF"/>
                    <w:left w:val="single" w:sz="6" w:space="15" w:color="DEDEDF"/>
                    <w:bottom w:val="single" w:sz="6" w:space="0" w:color="DEDEDF"/>
                    <w:right w:val="single" w:sz="6" w:space="15" w:color="DEDEDF"/>
                  </w:divBdr>
                  <w:divsChild>
                    <w:div w:id="46813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608142">
      <w:bodyDiv w:val="1"/>
      <w:marLeft w:val="0"/>
      <w:marRight w:val="0"/>
      <w:marTop w:val="0"/>
      <w:marBottom w:val="0"/>
      <w:divBdr>
        <w:top w:val="none" w:sz="0" w:space="0" w:color="auto"/>
        <w:left w:val="none" w:sz="0" w:space="0" w:color="auto"/>
        <w:bottom w:val="none" w:sz="0" w:space="0" w:color="auto"/>
        <w:right w:val="none" w:sz="0" w:space="0" w:color="auto"/>
      </w:divBdr>
    </w:div>
    <w:div w:id="1360087022">
      <w:bodyDiv w:val="1"/>
      <w:marLeft w:val="0"/>
      <w:marRight w:val="0"/>
      <w:marTop w:val="0"/>
      <w:marBottom w:val="0"/>
      <w:divBdr>
        <w:top w:val="none" w:sz="0" w:space="0" w:color="auto"/>
        <w:left w:val="none" w:sz="0" w:space="0" w:color="auto"/>
        <w:bottom w:val="none" w:sz="0" w:space="0" w:color="auto"/>
        <w:right w:val="none" w:sz="0" w:space="0" w:color="auto"/>
      </w:divBdr>
    </w:div>
    <w:div w:id="1397439926">
      <w:bodyDiv w:val="1"/>
      <w:marLeft w:val="0"/>
      <w:marRight w:val="0"/>
      <w:marTop w:val="0"/>
      <w:marBottom w:val="0"/>
      <w:divBdr>
        <w:top w:val="none" w:sz="0" w:space="0" w:color="auto"/>
        <w:left w:val="none" w:sz="0" w:space="0" w:color="auto"/>
        <w:bottom w:val="none" w:sz="0" w:space="0" w:color="auto"/>
        <w:right w:val="none" w:sz="0" w:space="0" w:color="auto"/>
      </w:divBdr>
    </w:div>
    <w:div w:id="1428112477">
      <w:bodyDiv w:val="1"/>
      <w:marLeft w:val="0"/>
      <w:marRight w:val="0"/>
      <w:marTop w:val="0"/>
      <w:marBottom w:val="0"/>
      <w:divBdr>
        <w:top w:val="none" w:sz="0" w:space="0" w:color="auto"/>
        <w:left w:val="none" w:sz="0" w:space="0" w:color="auto"/>
        <w:bottom w:val="none" w:sz="0" w:space="0" w:color="auto"/>
        <w:right w:val="none" w:sz="0" w:space="0" w:color="auto"/>
      </w:divBdr>
    </w:div>
    <w:div w:id="1553614511">
      <w:bodyDiv w:val="1"/>
      <w:marLeft w:val="0"/>
      <w:marRight w:val="0"/>
      <w:marTop w:val="0"/>
      <w:marBottom w:val="0"/>
      <w:divBdr>
        <w:top w:val="none" w:sz="0" w:space="0" w:color="auto"/>
        <w:left w:val="none" w:sz="0" w:space="0" w:color="auto"/>
        <w:bottom w:val="none" w:sz="0" w:space="0" w:color="auto"/>
        <w:right w:val="none" w:sz="0" w:space="0" w:color="auto"/>
      </w:divBdr>
    </w:div>
    <w:div w:id="1704016533">
      <w:bodyDiv w:val="1"/>
      <w:marLeft w:val="0"/>
      <w:marRight w:val="0"/>
      <w:marTop w:val="0"/>
      <w:marBottom w:val="0"/>
      <w:divBdr>
        <w:top w:val="none" w:sz="0" w:space="0" w:color="auto"/>
        <w:left w:val="none" w:sz="0" w:space="0" w:color="auto"/>
        <w:bottom w:val="none" w:sz="0" w:space="0" w:color="auto"/>
        <w:right w:val="none" w:sz="0" w:space="0" w:color="auto"/>
      </w:divBdr>
    </w:div>
    <w:div w:id="1783719917">
      <w:bodyDiv w:val="1"/>
      <w:marLeft w:val="0"/>
      <w:marRight w:val="0"/>
      <w:marTop w:val="0"/>
      <w:marBottom w:val="0"/>
      <w:divBdr>
        <w:top w:val="none" w:sz="0" w:space="0" w:color="auto"/>
        <w:left w:val="none" w:sz="0" w:space="0" w:color="auto"/>
        <w:bottom w:val="none" w:sz="0" w:space="0" w:color="auto"/>
        <w:right w:val="none" w:sz="0" w:space="0" w:color="auto"/>
      </w:divBdr>
    </w:div>
    <w:div w:id="1967345813">
      <w:bodyDiv w:val="1"/>
      <w:marLeft w:val="0"/>
      <w:marRight w:val="0"/>
      <w:marTop w:val="0"/>
      <w:marBottom w:val="0"/>
      <w:divBdr>
        <w:top w:val="none" w:sz="0" w:space="0" w:color="auto"/>
        <w:left w:val="none" w:sz="0" w:space="0" w:color="auto"/>
        <w:bottom w:val="none" w:sz="0" w:space="0" w:color="auto"/>
        <w:right w:val="none" w:sz="0" w:space="0" w:color="auto"/>
      </w:divBdr>
    </w:div>
    <w:div w:id="210495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978-3-319-28099-8_1831-1" TargetMode="External"/><Relationship Id="rId18" Type="http://schemas.openxmlformats.org/officeDocument/2006/relationships/hyperlink" Target="https://doi.org/10.17226/25663" TargetMode="External"/><Relationship Id="rId26" Type="http://schemas.openxmlformats.org/officeDocument/2006/relationships/hyperlink" Target="https://doi.org/10.3389/fpsyg.2022.648078" TargetMode="External"/><Relationship Id="rId3" Type="http://schemas.openxmlformats.org/officeDocument/2006/relationships/webSettings" Target="webSettings.xml"/><Relationship Id="rId21" Type="http://schemas.openxmlformats.org/officeDocument/2006/relationships/hyperlink" Target="https://doi.org/10.1080/21639159.2016.1265319" TargetMode="External"/><Relationship Id="rId34" Type="http://schemas.openxmlformats.org/officeDocument/2006/relationships/hyperlink" Target="https://doi.org/10.1016/j.paid.2021.111296" TargetMode="External"/><Relationship Id="rId7" Type="http://schemas.openxmlformats.org/officeDocument/2006/relationships/hyperlink" Target="https://doi.org/10.3390/ijerph18189490" TargetMode="External"/><Relationship Id="rId12" Type="http://schemas.openxmlformats.org/officeDocument/2006/relationships/hyperlink" Target="https://doi.org/10.1186/s12888-022-04064-1" TargetMode="External"/><Relationship Id="rId17" Type="http://schemas.openxmlformats.org/officeDocument/2006/relationships/hyperlink" Target="https://doi.org/10.3122/jabfm.2022.210497R2" TargetMode="External"/><Relationship Id="rId25" Type="http://schemas.openxmlformats.org/officeDocument/2006/relationships/hyperlink" Target="https://doi.org/10.1016/j.ahr.2021.100029" TargetMode="External"/><Relationship Id="rId33" Type="http://schemas.openxmlformats.org/officeDocument/2006/relationships/hyperlink" Target="https://doi.org/10.3389/fpsyg.2021.658648" TargetMode="External"/><Relationship Id="rId2" Type="http://schemas.openxmlformats.org/officeDocument/2006/relationships/settings" Target="settings.xml"/><Relationship Id="rId16" Type="http://schemas.openxmlformats.org/officeDocument/2006/relationships/hyperlink" Target="https://doi.org/10.1016/j.heliyon.2020.e04325" TargetMode="External"/><Relationship Id="rId20" Type="http://schemas.openxmlformats.org/officeDocument/2006/relationships/hyperlink" Target="https://www.who.int/teams/social-determinants-of-health/demographic-change-and-healthy-ageing/covid-19" TargetMode="External"/><Relationship Id="rId29" Type="http://schemas.openxmlformats.org/officeDocument/2006/relationships/hyperlink" Target="https://doi.org/10.1111/jgs.18094" TargetMode="External"/><Relationship Id="rId1" Type="http://schemas.openxmlformats.org/officeDocument/2006/relationships/styles" Target="styles.xml"/><Relationship Id="rId6" Type="http://schemas.openxmlformats.org/officeDocument/2006/relationships/hyperlink" Target="https://doi.org/10.2147/cia.s124604" TargetMode="External"/><Relationship Id="rId11" Type="http://schemas.openxmlformats.org/officeDocument/2006/relationships/hyperlink" Target="https://doi.org/10.1080/00223980.2011.631612" TargetMode="External"/><Relationship Id="rId24" Type="http://schemas.openxmlformats.org/officeDocument/2006/relationships/hyperlink" Target="https://doi.org/10.1093/geronb/gbz152" TargetMode="External"/><Relationship Id="rId32" Type="http://schemas.openxmlformats.org/officeDocument/2006/relationships/hyperlink" Target="https://doi.org/10.1016/j.jesp.2008.03.002" TargetMode="External"/><Relationship Id="rId5" Type="http://schemas.openxmlformats.org/officeDocument/2006/relationships/hyperlink" Target="https://doi.org/10.1007/s00406-022-01503-8" TargetMode="External"/><Relationship Id="rId15" Type="http://schemas.openxmlformats.org/officeDocument/2006/relationships/hyperlink" Target="https://doi.org/10.4236/jss.2020.83014" TargetMode="External"/><Relationship Id="rId23" Type="http://schemas.openxmlformats.org/officeDocument/2006/relationships/hyperlink" Target="https://doi.org/10.1177/0164027514527974" TargetMode="External"/><Relationship Id="rId28" Type="http://schemas.openxmlformats.org/officeDocument/2006/relationships/hyperlink" Target="https://doi.org/10.4172/2167-7182.1000113" TargetMode="External"/><Relationship Id="rId36" Type="http://schemas.openxmlformats.org/officeDocument/2006/relationships/theme" Target="theme/theme1.xml"/><Relationship Id="rId10" Type="http://schemas.openxmlformats.org/officeDocument/2006/relationships/hyperlink" Target="https://doi.org/10.1371/journal.pone.0201008" TargetMode="External"/><Relationship Id="rId19" Type="http://schemas.openxmlformats.org/officeDocument/2006/relationships/hyperlink" Target="http://Www.who.int" TargetMode="External"/><Relationship Id="rId31" Type="http://schemas.openxmlformats.org/officeDocument/2006/relationships/hyperlink" Target="https://doi.org/10.1093/geronb/gbv062" TargetMode="External"/><Relationship Id="rId4" Type="http://schemas.openxmlformats.org/officeDocument/2006/relationships/hyperlink" Target="https://doi.org/10.1038/s41398-022-02178-4" TargetMode="External"/><Relationship Id="rId9" Type="http://schemas.openxmlformats.org/officeDocument/2006/relationships/hyperlink" Target="https://doi.org/10.1186/s12889-023-16274-7" TargetMode="External"/><Relationship Id="rId14" Type="http://schemas.openxmlformats.org/officeDocument/2006/relationships/hyperlink" Target="https://www.ncbi.nlm.nih.gov/books/NBK557966/" TargetMode="External"/><Relationship Id="rId22" Type="http://schemas.openxmlformats.org/officeDocument/2006/relationships/hyperlink" Target="https://doi.org/10.2147/prbm.s414450" TargetMode="External"/><Relationship Id="rId27" Type="http://schemas.openxmlformats.org/officeDocument/2006/relationships/hyperlink" Target="https://doi.org/10.1016/j.adolescence.2016.07.005" TargetMode="External"/><Relationship Id="rId30" Type="http://schemas.openxmlformats.org/officeDocument/2006/relationships/hyperlink" Target="https://doi.org/10.1007/978-3-319-33033-4_1" TargetMode="External"/><Relationship Id="rId35" Type="http://schemas.openxmlformats.org/officeDocument/2006/relationships/fontTable" Target="fontTable.xml"/><Relationship Id="rId8" Type="http://schemas.openxmlformats.org/officeDocument/2006/relationships/hyperlink" Target="https://doi.org/10.1111/hsc.12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4028</Words>
  <Characters>22961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Niessa Azmir</dc:creator>
  <cp:keywords/>
  <dc:description/>
  <cp:lastModifiedBy>Niessa Azmir</cp:lastModifiedBy>
  <cp:revision>29</cp:revision>
  <dcterms:created xsi:type="dcterms:W3CDTF">2024-04-12T02:11:00Z</dcterms:created>
  <dcterms:modified xsi:type="dcterms:W3CDTF">2024-04-15T21:47:00Z</dcterms:modified>
</cp:coreProperties>
</file>