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570577486"/>
        <w:docPartObj>
          <w:docPartGallery w:val="Cover Pages"/>
          <w:docPartUnique/>
        </w:docPartObj>
      </w:sdtPr>
      <w:sdtContent>
        <w:p w:rsidR="00D6658D" w:rsidRDefault="000213DB">
          <w:r w:rsidRPr="000213DB">
            <w:rPr>
              <w:noProof/>
            </w:rPr>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D6658D" w:rsidRDefault="00D6658D">
                            <w:pPr>
                              <w:pStyle w:val="NoSpacing"/>
                              <w:rPr>
                                <w:color w:val="FFFFFF" w:themeColor="background1"/>
                                <w:sz w:val="32"/>
                                <w:szCs w:val="32"/>
                              </w:rPr>
                            </w:pPr>
                            <w:r>
                              <w:rPr>
                                <w:color w:val="FFFFFF" w:themeColor="background1"/>
                                <w:sz w:val="32"/>
                                <w:szCs w:val="32"/>
                              </w:rPr>
                              <w:t>Student Name:</w:t>
                            </w:r>
                            <w:r w:rsidR="002D40DD">
                              <w:rPr>
                                <w:color w:val="FFFFFF" w:themeColor="background1"/>
                                <w:sz w:val="32"/>
                                <w:szCs w:val="32"/>
                              </w:rPr>
                              <w:t xml:space="preserve"> Elena Toneva</w:t>
                            </w:r>
                          </w:p>
                        </w:sdtContent>
                      </w:sdt>
                      <w:p w:rsidR="00D6658D" w:rsidRDefault="00D6658D">
                        <w:pPr>
                          <w:pStyle w:val="NoSpacing"/>
                          <w:rPr>
                            <w:caps/>
                            <w:color w:val="FFFFFF" w:themeColor="background1"/>
                          </w:rPr>
                        </w:pPr>
                        <w:r>
                          <w:rPr>
                            <w:caps/>
                            <w:color w:val="FFFFFF" w:themeColor="background1"/>
                          </w:rPr>
                          <w:t>sTUDENT ID:</w:t>
                        </w:r>
                        <w:r w:rsidR="002D40DD">
                          <w:rPr>
                            <w:caps/>
                            <w:color w:val="FFFFFF" w:themeColor="background1"/>
                          </w:rPr>
                          <w:t xml:space="preserve"> 1915168</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rsidR="00BE384C" w:rsidRDefault="00BE384C">
                        <w:pPr>
                          <w:pStyle w:val="NoSpacing"/>
                          <w:spacing w:before="240"/>
                          <w:rPr>
                            <w:rFonts w:asciiTheme="majorHAnsi" w:eastAsiaTheme="majorEastAsia" w:hAnsiTheme="majorHAnsi" w:cstheme="majorBidi"/>
                            <w:color w:val="595959" w:themeColor="text1" w:themeTint="A6"/>
                            <w:sz w:val="108"/>
                            <w:szCs w:val="108"/>
                          </w:rPr>
                        </w:pPr>
                        <w:r w:rsidRPr="00BE384C">
                          <w:rPr>
                            <w:rFonts w:asciiTheme="majorHAnsi" w:eastAsiaTheme="majorEastAsia" w:hAnsiTheme="majorHAnsi" w:cstheme="majorBidi"/>
                            <w:color w:val="595959" w:themeColor="text1" w:themeTint="A6"/>
                            <w:sz w:val="108"/>
                            <w:szCs w:val="108"/>
                          </w:rPr>
                          <w:t>ACADEMIC AND EMPLOYABILITY SKILLS</w:t>
                        </w:r>
                      </w:p>
                      <w:p w:rsidR="00D6658D" w:rsidRDefault="000213DB">
                        <w:pPr>
                          <w:pStyle w:val="NoSpacing"/>
                          <w:spacing w:before="240"/>
                          <w:rPr>
                            <w:caps/>
                            <w:color w:val="44546A" w:themeColor="text2"/>
                            <w:sz w:val="36"/>
                            <w:szCs w:val="36"/>
                          </w:rPr>
                        </w:pPr>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r w:rsidR="00BE384C" w:rsidRPr="00BE384C">
                              <w:rPr>
                                <w:caps/>
                                <w:color w:val="44546A" w:themeColor="text2"/>
                                <w:sz w:val="36"/>
                                <w:szCs w:val="36"/>
                              </w:rPr>
                              <w:t>BMSW4001</w:t>
                            </w:r>
                            <w:r w:rsidR="00BE384C">
                              <w:rPr>
                                <w:caps/>
                                <w:color w:val="44546A" w:themeColor="text2"/>
                                <w:sz w:val="36"/>
                                <w:szCs w:val="36"/>
                              </w:rPr>
                              <w:t xml:space="preserve"> – Component 1</w:t>
                            </w:r>
                          </w:sdtContent>
                        </w:sdt>
                      </w:p>
                      <w:p w:rsidR="002D40DD" w:rsidRDefault="002D40DD">
                        <w:pPr>
                          <w:pStyle w:val="NoSpacing"/>
                          <w:spacing w:before="240"/>
                          <w:rPr>
                            <w:caps/>
                            <w:color w:val="44546A" w:themeColor="text2"/>
                            <w:sz w:val="36"/>
                            <w:szCs w:val="36"/>
                          </w:rPr>
                        </w:pPr>
                        <w:r>
                          <w:rPr>
                            <w:caps/>
                            <w:color w:val="44546A" w:themeColor="text2"/>
                            <w:sz w:val="36"/>
                            <w:szCs w:val="36"/>
                          </w:rPr>
                          <w:t>Lector -  Nadeem mirza</w:t>
                        </w:r>
                      </w:p>
                    </w:txbxContent>
                  </v:textbox>
                </v:shape>
                <w10:wrap anchorx="page" anchory="page"/>
              </v:group>
            </w:pict>
          </w:r>
        </w:p>
        <w:p w:rsidR="00D6658D" w:rsidRDefault="00D6658D">
          <w:pPr>
            <w:spacing w:after="160" w:line="259" w:lineRule="auto"/>
          </w:pPr>
          <w:r>
            <w:br w:type="page"/>
          </w:r>
        </w:p>
      </w:sdtContent>
    </w:sdt>
    <w:sdt>
      <w:sdtPr>
        <w:rPr>
          <w:rFonts w:ascii="Arial" w:eastAsiaTheme="minorHAnsi" w:hAnsi="Arial" w:cstheme="minorBidi"/>
          <w:color w:val="auto"/>
          <w:sz w:val="22"/>
          <w:szCs w:val="22"/>
          <w:lang w:val="en-GB"/>
        </w:rPr>
        <w:id w:val="-267618799"/>
        <w:docPartObj>
          <w:docPartGallery w:val="Table of Contents"/>
          <w:docPartUnique/>
        </w:docPartObj>
      </w:sdtPr>
      <w:sdtEndPr>
        <w:rPr>
          <w:b/>
          <w:bCs/>
          <w:noProof/>
        </w:rPr>
      </w:sdtEndPr>
      <w:sdtContent>
        <w:p w:rsidR="00CD0838" w:rsidRDefault="00CD0838">
          <w:pPr>
            <w:pStyle w:val="TOCHeading"/>
          </w:pPr>
          <w:r>
            <w:t>Table of Contents</w:t>
          </w:r>
        </w:p>
        <w:p w:rsidR="00CD0838" w:rsidRDefault="000213DB">
          <w:pPr>
            <w:pStyle w:val="TOC1"/>
            <w:tabs>
              <w:tab w:val="right" w:leader="dot" w:pos="9016"/>
            </w:tabs>
            <w:rPr>
              <w:noProof/>
            </w:rPr>
          </w:pPr>
          <w:r w:rsidRPr="000213DB">
            <w:fldChar w:fldCharType="begin"/>
          </w:r>
          <w:r w:rsidR="00CD0838">
            <w:instrText xml:space="preserve"> TOC \o "1-3" \h \z \u </w:instrText>
          </w:r>
          <w:r w:rsidRPr="000213DB">
            <w:fldChar w:fldCharType="separate"/>
          </w:r>
          <w:hyperlink w:anchor="_Toc49075155" w:history="1">
            <w:r w:rsidR="00CD0838" w:rsidRPr="00FF4181">
              <w:rPr>
                <w:rStyle w:val="Hyperlink"/>
                <w:noProof/>
              </w:rPr>
              <w:t>Introduction</w:t>
            </w:r>
            <w:r w:rsidR="00CD0838">
              <w:rPr>
                <w:noProof/>
                <w:webHidden/>
              </w:rPr>
              <w:tab/>
            </w:r>
            <w:r>
              <w:rPr>
                <w:noProof/>
                <w:webHidden/>
              </w:rPr>
              <w:fldChar w:fldCharType="begin"/>
            </w:r>
            <w:r w:rsidR="00CD0838">
              <w:rPr>
                <w:noProof/>
                <w:webHidden/>
              </w:rPr>
              <w:instrText xml:space="preserve"> PAGEREF _Toc49075155 \h </w:instrText>
            </w:r>
            <w:r>
              <w:rPr>
                <w:noProof/>
                <w:webHidden/>
              </w:rPr>
            </w:r>
            <w:r>
              <w:rPr>
                <w:noProof/>
                <w:webHidden/>
              </w:rPr>
              <w:fldChar w:fldCharType="separate"/>
            </w:r>
            <w:r w:rsidR="00CD0838">
              <w:rPr>
                <w:noProof/>
                <w:webHidden/>
              </w:rPr>
              <w:t>2</w:t>
            </w:r>
            <w:r>
              <w:rPr>
                <w:noProof/>
                <w:webHidden/>
              </w:rPr>
              <w:fldChar w:fldCharType="end"/>
            </w:r>
          </w:hyperlink>
        </w:p>
        <w:p w:rsidR="00CD0838" w:rsidRDefault="000213DB">
          <w:pPr>
            <w:pStyle w:val="TOC1"/>
            <w:tabs>
              <w:tab w:val="right" w:leader="dot" w:pos="9016"/>
            </w:tabs>
            <w:rPr>
              <w:noProof/>
            </w:rPr>
          </w:pPr>
          <w:hyperlink w:anchor="_Toc49075156" w:history="1">
            <w:r w:rsidR="00CD0838" w:rsidRPr="00FF4181">
              <w:rPr>
                <w:rStyle w:val="Hyperlink"/>
                <w:noProof/>
              </w:rPr>
              <w:t>Opportunities for ability and workability Emphasized in Business Projects and Colleges</w:t>
            </w:r>
            <w:r w:rsidR="00CD0838">
              <w:rPr>
                <w:noProof/>
                <w:webHidden/>
              </w:rPr>
              <w:tab/>
            </w:r>
            <w:r>
              <w:rPr>
                <w:noProof/>
                <w:webHidden/>
              </w:rPr>
              <w:fldChar w:fldCharType="begin"/>
            </w:r>
            <w:r w:rsidR="00CD0838">
              <w:rPr>
                <w:noProof/>
                <w:webHidden/>
              </w:rPr>
              <w:instrText xml:space="preserve"> PAGEREF _Toc49075156 \h </w:instrText>
            </w:r>
            <w:r>
              <w:rPr>
                <w:noProof/>
                <w:webHidden/>
              </w:rPr>
            </w:r>
            <w:r>
              <w:rPr>
                <w:noProof/>
                <w:webHidden/>
              </w:rPr>
              <w:fldChar w:fldCharType="separate"/>
            </w:r>
            <w:r w:rsidR="00CD0838">
              <w:rPr>
                <w:noProof/>
                <w:webHidden/>
              </w:rPr>
              <w:t>2</w:t>
            </w:r>
            <w:r>
              <w:rPr>
                <w:noProof/>
                <w:webHidden/>
              </w:rPr>
              <w:fldChar w:fldCharType="end"/>
            </w:r>
          </w:hyperlink>
        </w:p>
        <w:p w:rsidR="00CD0838" w:rsidRDefault="000213DB">
          <w:pPr>
            <w:pStyle w:val="TOC1"/>
            <w:tabs>
              <w:tab w:val="right" w:leader="dot" w:pos="9016"/>
            </w:tabs>
            <w:rPr>
              <w:noProof/>
            </w:rPr>
          </w:pPr>
          <w:hyperlink w:anchor="_Toc49075157" w:history="1">
            <w:r w:rsidR="00CD0838" w:rsidRPr="00FF4181">
              <w:rPr>
                <w:rStyle w:val="Hyperlink"/>
                <w:noProof/>
              </w:rPr>
              <w:t>Connecting higher education and industry</w:t>
            </w:r>
            <w:r w:rsidR="00CD0838">
              <w:rPr>
                <w:noProof/>
                <w:webHidden/>
              </w:rPr>
              <w:tab/>
            </w:r>
            <w:r>
              <w:rPr>
                <w:noProof/>
                <w:webHidden/>
              </w:rPr>
              <w:fldChar w:fldCharType="begin"/>
            </w:r>
            <w:r w:rsidR="00CD0838">
              <w:rPr>
                <w:noProof/>
                <w:webHidden/>
              </w:rPr>
              <w:instrText xml:space="preserve"> PAGEREF _Toc49075157 \h </w:instrText>
            </w:r>
            <w:r>
              <w:rPr>
                <w:noProof/>
                <w:webHidden/>
              </w:rPr>
            </w:r>
            <w:r>
              <w:rPr>
                <w:noProof/>
                <w:webHidden/>
              </w:rPr>
              <w:fldChar w:fldCharType="separate"/>
            </w:r>
            <w:r w:rsidR="00CD0838">
              <w:rPr>
                <w:noProof/>
                <w:webHidden/>
              </w:rPr>
              <w:t>4</w:t>
            </w:r>
            <w:r>
              <w:rPr>
                <w:noProof/>
                <w:webHidden/>
              </w:rPr>
              <w:fldChar w:fldCharType="end"/>
            </w:r>
          </w:hyperlink>
        </w:p>
        <w:p w:rsidR="00CD0838" w:rsidRDefault="000213DB">
          <w:pPr>
            <w:pStyle w:val="TOC1"/>
            <w:tabs>
              <w:tab w:val="right" w:leader="dot" w:pos="9016"/>
            </w:tabs>
            <w:rPr>
              <w:noProof/>
            </w:rPr>
          </w:pPr>
          <w:hyperlink w:anchor="_Toc49075158" w:history="1">
            <w:r w:rsidR="00CD0838" w:rsidRPr="00FF4181">
              <w:rPr>
                <w:rStyle w:val="Hyperlink"/>
                <w:noProof/>
              </w:rPr>
              <w:t>Skill Evaluation</w:t>
            </w:r>
            <w:r w:rsidR="00CD0838">
              <w:rPr>
                <w:noProof/>
                <w:webHidden/>
              </w:rPr>
              <w:tab/>
            </w:r>
            <w:r>
              <w:rPr>
                <w:noProof/>
                <w:webHidden/>
              </w:rPr>
              <w:fldChar w:fldCharType="begin"/>
            </w:r>
            <w:r w:rsidR="00CD0838">
              <w:rPr>
                <w:noProof/>
                <w:webHidden/>
              </w:rPr>
              <w:instrText xml:space="preserve"> PAGEREF _Toc49075158 \h </w:instrText>
            </w:r>
            <w:r>
              <w:rPr>
                <w:noProof/>
                <w:webHidden/>
              </w:rPr>
            </w:r>
            <w:r>
              <w:rPr>
                <w:noProof/>
                <w:webHidden/>
              </w:rPr>
              <w:fldChar w:fldCharType="separate"/>
            </w:r>
            <w:r w:rsidR="00CD0838">
              <w:rPr>
                <w:noProof/>
                <w:webHidden/>
              </w:rPr>
              <w:t>5</w:t>
            </w:r>
            <w:r>
              <w:rPr>
                <w:noProof/>
                <w:webHidden/>
              </w:rPr>
              <w:fldChar w:fldCharType="end"/>
            </w:r>
          </w:hyperlink>
        </w:p>
        <w:p w:rsidR="00CD0838" w:rsidRDefault="000213DB">
          <w:pPr>
            <w:pStyle w:val="TOC1"/>
            <w:tabs>
              <w:tab w:val="right" w:leader="dot" w:pos="9016"/>
            </w:tabs>
            <w:rPr>
              <w:noProof/>
            </w:rPr>
          </w:pPr>
          <w:hyperlink w:anchor="_Toc49075159" w:history="1">
            <w:r w:rsidR="00CD0838" w:rsidRPr="00FF4181">
              <w:rPr>
                <w:rStyle w:val="Hyperlink"/>
                <w:noProof/>
              </w:rPr>
              <w:t>Graduate Prospects</w:t>
            </w:r>
            <w:r w:rsidR="00CD0838">
              <w:rPr>
                <w:noProof/>
                <w:webHidden/>
              </w:rPr>
              <w:tab/>
            </w:r>
            <w:r>
              <w:rPr>
                <w:noProof/>
                <w:webHidden/>
              </w:rPr>
              <w:fldChar w:fldCharType="begin"/>
            </w:r>
            <w:r w:rsidR="00CD0838">
              <w:rPr>
                <w:noProof/>
                <w:webHidden/>
              </w:rPr>
              <w:instrText xml:space="preserve"> PAGEREF _Toc49075159 \h </w:instrText>
            </w:r>
            <w:r>
              <w:rPr>
                <w:noProof/>
                <w:webHidden/>
              </w:rPr>
            </w:r>
            <w:r>
              <w:rPr>
                <w:noProof/>
                <w:webHidden/>
              </w:rPr>
              <w:fldChar w:fldCharType="separate"/>
            </w:r>
            <w:r w:rsidR="00CD0838">
              <w:rPr>
                <w:noProof/>
                <w:webHidden/>
              </w:rPr>
              <w:t>5</w:t>
            </w:r>
            <w:r>
              <w:rPr>
                <w:noProof/>
                <w:webHidden/>
              </w:rPr>
              <w:fldChar w:fldCharType="end"/>
            </w:r>
          </w:hyperlink>
        </w:p>
        <w:p w:rsidR="00CD0838" w:rsidRDefault="000213DB">
          <w:pPr>
            <w:pStyle w:val="TOC1"/>
            <w:tabs>
              <w:tab w:val="right" w:leader="dot" w:pos="9016"/>
            </w:tabs>
            <w:rPr>
              <w:noProof/>
            </w:rPr>
          </w:pPr>
          <w:hyperlink w:anchor="_Toc49075160" w:history="1">
            <w:r w:rsidR="00CD0838" w:rsidRPr="00FF4181">
              <w:rPr>
                <w:rStyle w:val="Hyperlink"/>
                <w:noProof/>
              </w:rPr>
              <w:t>Recommendations</w:t>
            </w:r>
            <w:r w:rsidR="00CD0838">
              <w:rPr>
                <w:noProof/>
                <w:webHidden/>
              </w:rPr>
              <w:tab/>
            </w:r>
            <w:r>
              <w:rPr>
                <w:noProof/>
                <w:webHidden/>
              </w:rPr>
              <w:fldChar w:fldCharType="begin"/>
            </w:r>
            <w:r w:rsidR="00CD0838">
              <w:rPr>
                <w:noProof/>
                <w:webHidden/>
              </w:rPr>
              <w:instrText xml:space="preserve"> PAGEREF _Toc49075160 \h </w:instrText>
            </w:r>
            <w:r>
              <w:rPr>
                <w:noProof/>
                <w:webHidden/>
              </w:rPr>
            </w:r>
            <w:r>
              <w:rPr>
                <w:noProof/>
                <w:webHidden/>
              </w:rPr>
              <w:fldChar w:fldCharType="separate"/>
            </w:r>
            <w:r w:rsidR="00CD0838">
              <w:rPr>
                <w:noProof/>
                <w:webHidden/>
              </w:rPr>
              <w:t>5</w:t>
            </w:r>
            <w:r>
              <w:rPr>
                <w:noProof/>
                <w:webHidden/>
              </w:rPr>
              <w:fldChar w:fldCharType="end"/>
            </w:r>
          </w:hyperlink>
        </w:p>
        <w:p w:rsidR="00CD0838" w:rsidRDefault="000213DB">
          <w:pPr>
            <w:pStyle w:val="TOC1"/>
            <w:tabs>
              <w:tab w:val="right" w:leader="dot" w:pos="9016"/>
            </w:tabs>
            <w:rPr>
              <w:noProof/>
            </w:rPr>
          </w:pPr>
          <w:hyperlink w:anchor="_Toc49075161" w:history="1">
            <w:r w:rsidR="00CD0838" w:rsidRPr="00FF4181">
              <w:rPr>
                <w:rStyle w:val="Hyperlink"/>
                <w:noProof/>
              </w:rPr>
              <w:t>Conclusion</w:t>
            </w:r>
            <w:r w:rsidR="00CD0838">
              <w:rPr>
                <w:noProof/>
                <w:webHidden/>
              </w:rPr>
              <w:tab/>
            </w:r>
            <w:r>
              <w:rPr>
                <w:noProof/>
                <w:webHidden/>
              </w:rPr>
              <w:fldChar w:fldCharType="begin"/>
            </w:r>
            <w:r w:rsidR="00CD0838">
              <w:rPr>
                <w:noProof/>
                <w:webHidden/>
              </w:rPr>
              <w:instrText xml:space="preserve"> PAGEREF _Toc49075161 \h </w:instrText>
            </w:r>
            <w:r>
              <w:rPr>
                <w:noProof/>
                <w:webHidden/>
              </w:rPr>
            </w:r>
            <w:r>
              <w:rPr>
                <w:noProof/>
                <w:webHidden/>
              </w:rPr>
              <w:fldChar w:fldCharType="separate"/>
            </w:r>
            <w:r w:rsidR="00CD0838">
              <w:rPr>
                <w:noProof/>
                <w:webHidden/>
              </w:rPr>
              <w:t>6</w:t>
            </w:r>
            <w:r>
              <w:rPr>
                <w:noProof/>
                <w:webHidden/>
              </w:rPr>
              <w:fldChar w:fldCharType="end"/>
            </w:r>
          </w:hyperlink>
        </w:p>
        <w:p w:rsidR="00CD0838" w:rsidRDefault="000213DB">
          <w:pPr>
            <w:pStyle w:val="TOC1"/>
            <w:tabs>
              <w:tab w:val="right" w:leader="dot" w:pos="9016"/>
            </w:tabs>
            <w:rPr>
              <w:noProof/>
            </w:rPr>
          </w:pPr>
          <w:hyperlink w:anchor="_Toc49075162" w:history="1">
            <w:r w:rsidR="00CD0838" w:rsidRPr="00FF4181">
              <w:rPr>
                <w:rStyle w:val="Hyperlink"/>
                <w:noProof/>
              </w:rPr>
              <w:t>References</w:t>
            </w:r>
            <w:r w:rsidR="00CD0838">
              <w:rPr>
                <w:noProof/>
                <w:webHidden/>
              </w:rPr>
              <w:tab/>
            </w:r>
            <w:r>
              <w:rPr>
                <w:noProof/>
                <w:webHidden/>
              </w:rPr>
              <w:fldChar w:fldCharType="begin"/>
            </w:r>
            <w:r w:rsidR="00CD0838">
              <w:rPr>
                <w:noProof/>
                <w:webHidden/>
              </w:rPr>
              <w:instrText xml:space="preserve"> PAGEREF _Toc49075162 \h </w:instrText>
            </w:r>
            <w:r>
              <w:rPr>
                <w:noProof/>
                <w:webHidden/>
              </w:rPr>
            </w:r>
            <w:r>
              <w:rPr>
                <w:noProof/>
                <w:webHidden/>
              </w:rPr>
              <w:fldChar w:fldCharType="separate"/>
            </w:r>
            <w:r w:rsidR="00CD0838">
              <w:rPr>
                <w:noProof/>
                <w:webHidden/>
              </w:rPr>
              <w:t>7</w:t>
            </w:r>
            <w:r>
              <w:rPr>
                <w:noProof/>
                <w:webHidden/>
              </w:rPr>
              <w:fldChar w:fldCharType="end"/>
            </w:r>
          </w:hyperlink>
        </w:p>
        <w:p w:rsidR="00CD0838" w:rsidRDefault="000213DB">
          <w:r>
            <w:rPr>
              <w:b/>
              <w:bCs/>
              <w:noProof/>
            </w:rPr>
            <w:fldChar w:fldCharType="end"/>
          </w:r>
        </w:p>
      </w:sdtContent>
    </w:sdt>
    <w:p w:rsidR="00844443" w:rsidRDefault="00844443"/>
    <w:p w:rsidR="00D6658D" w:rsidRDefault="00D6658D"/>
    <w:p w:rsidR="00D6658D" w:rsidRDefault="00D6658D"/>
    <w:p w:rsidR="00D6658D" w:rsidRDefault="00D6658D"/>
    <w:p w:rsidR="00D6658D" w:rsidRDefault="00D6658D"/>
    <w:p w:rsidR="00D6658D" w:rsidRDefault="00D6658D"/>
    <w:p w:rsidR="00034A95" w:rsidRDefault="00034A95"/>
    <w:p w:rsidR="00034A95" w:rsidRDefault="00034A95"/>
    <w:p w:rsidR="00034A95" w:rsidRDefault="00034A95"/>
    <w:p w:rsidR="00034A95" w:rsidRDefault="00034A95"/>
    <w:p w:rsidR="00034A95" w:rsidRDefault="00034A95"/>
    <w:p w:rsidR="00034A95" w:rsidRDefault="00034A95"/>
    <w:p w:rsidR="00034A95" w:rsidRDefault="00034A95"/>
    <w:p w:rsidR="00034A95" w:rsidRDefault="00034A95"/>
    <w:p w:rsidR="00034A95" w:rsidRDefault="00034A95"/>
    <w:p w:rsidR="00034A95" w:rsidRDefault="00034A95"/>
    <w:p w:rsidR="00034A95" w:rsidRDefault="00034A95"/>
    <w:p w:rsidR="00034A95" w:rsidRDefault="00034A95"/>
    <w:p w:rsidR="00034A95" w:rsidRDefault="00034A95"/>
    <w:p w:rsidR="00034A95" w:rsidRDefault="00034A95" w:rsidP="00034A95">
      <w:pPr>
        <w:pStyle w:val="Heading1"/>
      </w:pPr>
      <w:bookmarkStart w:id="0" w:name="_Toc49075155"/>
      <w:r>
        <w:lastRenderedPageBreak/>
        <w:t>Introduction</w:t>
      </w:r>
      <w:bookmarkEnd w:id="0"/>
    </w:p>
    <w:p w:rsidR="00034A95" w:rsidRDefault="00034A95" w:rsidP="00034A95">
      <w:r>
        <w:t>One of the main difficulties, to the extent of insight among universities and expert foundations (eg TAFE), is the constant state of work of a graduate class of qualified foundations. In general, schools have focused on students' academic development within the speculative arrangement of a region of study, but qualified foundations look at the progress of the specific skills and competencies needed for useful business. Nevertheless, there is direct confirmation that it is not satisfactory for students to graduate without the secret sauce and credit, they must be valuable people of affiliation. This is particularly the case in an investigation other than the one tightly held by Knight in addition to the Yorker. with "non-exclusive performances of graduates".</w:t>
      </w:r>
    </w:p>
    <w:p w:rsidR="00034A95" w:rsidRDefault="00034A95" w:rsidP="00034A95">
      <w:r>
        <w:t>While school leadership is often associated with improved insight, fixation that starts late expands to decide on the possibility of master's information. The requirement for college graduates to be a vocation and prepared work was very much recorded. I'm finishing</w:t>
      </w:r>
    </w:p>
    <w:p w:rsidR="00034A95" w:rsidRDefault="00034A95" w:rsidP="00034A95">
      <w:pPr>
        <w:pStyle w:val="Heading1"/>
      </w:pPr>
      <w:bookmarkStart w:id="1" w:name="_Toc49075156"/>
      <w:r>
        <w:t>Opportunities for ability and workability Emphasized in Business Projects and Colleges</w:t>
      </w:r>
      <w:bookmarkEnd w:id="1"/>
    </w:p>
    <w:p w:rsidR="00034A95" w:rsidRDefault="00034A95" w:rsidP="00034A95">
      <w:r>
        <w:t>Progressively pay attention that the change of graduates in conscripts must be supported by a number of preliminary activities in the curriculum. This paper will argue that such academic capacity and employment opportunities in addition to qualities survive on comparable criticality, as the legitimacy residing in the improvement of educational projects can both be created simultaneously.</w:t>
      </w:r>
    </w:p>
    <w:p w:rsidR="00034A95" w:rsidRDefault="00034A95" w:rsidP="00034A95">
      <w:r>
        <w:t>Attitudes and characteristics for working capacity:</w:t>
      </w:r>
    </w:p>
    <w:p w:rsidR="00034A95" w:rsidRDefault="00034A95" w:rsidP="00034A95">
      <w:r>
        <w:t>According to DEST, which reports on the ability to work (2002), managers have special characteristics:</w:t>
      </w:r>
    </w:p>
    <w:p w:rsidR="00034A95" w:rsidRDefault="00034A95" w:rsidP="00034A95">
      <w:r>
        <w:t>• reliability and decency</w:t>
      </w:r>
    </w:p>
    <w:p w:rsidR="00034A95" w:rsidRDefault="00034A95" w:rsidP="00034A95">
      <w:r>
        <w:t>• excitement</w:t>
      </w:r>
    </w:p>
    <w:p w:rsidR="00034A95" w:rsidRDefault="00034A95" w:rsidP="00034A95">
      <w:r>
        <w:t>• positive security</w:t>
      </w:r>
    </w:p>
    <w:p w:rsidR="00034A95" w:rsidRDefault="00034A95" w:rsidP="00034A95">
      <w:r>
        <w:t>They remain not abilities that have the opportunity to be instructed in separation. We believe that they need anomalous measures of use, similarity and niceness, as in the same way both students (remembering the ultimate goal to be able to attract with them) and the teacher (to be able to make open entrances for demonstration and opportunity to study them). Similarly, here the obligation is a segment of bewilderment and self-justification of the teacher. Without confidence in a person's ability to meet the requests of a class, it is insignificant, given that graduates will stimulate these abilities. "Perceived self-sufficiency affects the degree of objective test individuals set for themselves, the measure of stress they activate, and their perseverance despite challenges.</w:t>
      </w:r>
    </w:p>
    <w:p w:rsidR="00034A95" w:rsidRDefault="00034A95" w:rsidP="00034A95">
      <w:r>
        <w:t>Hypothetical occasions and qualities</w:t>
      </w:r>
    </w:p>
    <w:p w:rsidR="00034A95" w:rsidRDefault="00034A95" w:rsidP="00034A95">
      <w:r>
        <w:t xml:space="preserve">I hoped to develop a summary of educational abilities and qualities that could be linked to employment opportunities. At present, no one determines the importance of what creates a </w:t>
      </w:r>
      <w:r>
        <w:lastRenderedPageBreak/>
        <w:t>social event of capacity and attributes organized as "insightful" in relation to a tertiary circumstance. Some official studies remain understood there, for example, by Enright and Gitomer (1989), which recognizes the transition with seven abilities into viable alumni in the general course: correspondence; ingenuity; explanation; motivation; organizing; cleaning ability; and stir.</w:t>
      </w:r>
    </w:p>
    <w:p w:rsidR="00034A95" w:rsidRDefault="00034A95" w:rsidP="00034A95">
      <w:r>
        <w:t>Miles, Cairns, and Houston (2002) surveyed students in addition to their data revealed seven tendencies for powerful students: energy (the course of action of individual bonuses with a view to necessity, achieving materiality, and motivation); creating consistent frameworks and associations; making requests; screening and time administration; be indispensable and intelligent and use open resources wisely; preserving changes in work and life, and focus on purpose.</w:t>
      </w:r>
    </w:p>
    <w:p w:rsidR="00034A95" w:rsidRDefault="00CD0838" w:rsidP="00034A95">
      <w:r>
        <w:t>Grant et al. (2004)</w:t>
      </w:r>
      <w:r w:rsidR="00034A95">
        <w:t xml:space="preserve"> explored the association of personal qualities and enthusiastic understanding of former students' performance in the university and on the field. This review makes it clear that the energy understanding was at a very basic level related to the assessment of security as ordinary, and that the inpatient information and the nature of the individual's reliability were inside and out compared to the volatile employment assessments.</w:t>
      </w:r>
    </w:p>
    <w:p w:rsidR="00034A95" w:rsidRDefault="00034A95" w:rsidP="00034A95">
      <w:r>
        <w:t>To be productive in university, the student needs:</w:t>
      </w:r>
    </w:p>
    <w:p w:rsidR="00034A95" w:rsidRDefault="00034A95" w:rsidP="00034A95">
      <w:r>
        <w:t>• Official limit for tertiary correspondence, including ICT capabilities.</w:t>
      </w:r>
    </w:p>
    <w:p w:rsidR="00034A95" w:rsidRDefault="00034A95" w:rsidP="00034A95">
      <w:r>
        <w:t>• Relative and participatory abilities, bearing in mind the limit and status to be used with different social procurements</w:t>
      </w:r>
    </w:p>
    <w:p w:rsidR="00034A95" w:rsidRDefault="00034A95" w:rsidP="00034A95">
      <w:r>
        <w:t>• Hypothetical and reasonable data and experience of the educator through the application of specific learning in the discipline</w:t>
      </w:r>
    </w:p>
    <w:p w:rsidR="00034A95" w:rsidRDefault="00034A95" w:rsidP="00034A95">
      <w:r>
        <w:t>Characteristics of graduates:</w:t>
      </w:r>
    </w:p>
    <w:p w:rsidR="00034A95" w:rsidRDefault="00034A95" w:rsidP="00034A95">
      <w:r>
        <w:t>The properties of ex-underdudy can be described as:</w:t>
      </w:r>
    </w:p>
    <w:p w:rsidR="00034A95" w:rsidRDefault="00034A95" w:rsidP="00034A95">
      <w:r>
        <w:t>"The opportunities, opportunities, administrations and sentiments that a civic fund chooses for its researchers must develop throughout their time with the college." (Bowden et al. 2002)</w:t>
      </w:r>
    </w:p>
    <w:p w:rsidR="00034A95" w:rsidRDefault="00034A95" w:rsidP="00034A95">
      <w:r>
        <w:t>Three main issues remain accepted to lead to results regarding the behavior of former unexplored properties; the well-known view that preparation is a deeply established technique; a more tangible focus on the association among the guidelines and business implications of the graduate class; and the progress of the results as an important part of value improvement. Which gave a structure of non-exclusive qualities that ideally every graduate should possess:</w:t>
      </w:r>
    </w:p>
    <w:p w:rsidR="00034A95" w:rsidRDefault="00034A95" w:rsidP="00034A95">
      <w:r>
        <w:t>• Capacity to explore, disclose and recover information and overall capacity to use information</w:t>
      </w:r>
    </w:p>
    <w:p w:rsidR="00034A95" w:rsidRDefault="00034A95" w:rsidP="00034A95">
      <w:r>
        <w:t>• Versatile basic thinking skills and breakpoint in a coordinated effort</w:t>
      </w:r>
    </w:p>
    <w:p w:rsidR="00034A95" w:rsidRDefault="00034A95" w:rsidP="00034A95">
      <w:r>
        <w:t>• Highly good rules in individual and master life, supported by a break in self-development. (DEETYA 1998, p. 47)</w:t>
      </w:r>
    </w:p>
    <w:p w:rsidR="00034A95" w:rsidRDefault="00034A95" w:rsidP="00034A95">
      <w:pPr>
        <w:pStyle w:val="Heading1"/>
      </w:pPr>
      <w:bookmarkStart w:id="2" w:name="_Toc49075157"/>
      <w:r>
        <w:lastRenderedPageBreak/>
        <w:t>Connecting higher education and industry</w:t>
      </w:r>
      <w:bookmarkEnd w:id="2"/>
    </w:p>
    <w:p w:rsidR="00034A95" w:rsidRDefault="00034A95" w:rsidP="00034A95">
      <w:r>
        <w:t>Dynamically, universities, adventures and organizations use all the additional tightly organized superficial common goals:</w:t>
      </w:r>
    </w:p>
    <w:p w:rsidR="00034A95" w:rsidRDefault="00034A95" w:rsidP="00034A95">
      <w:r>
        <w:t>• The academies hope to create additional associations with qualified structures and organizations in their place</w:t>
      </w:r>
    </w:p>
    <w:p w:rsidR="00034A95" w:rsidRDefault="00034A95" w:rsidP="00034A95">
      <w:r>
        <w:t>• Trade is included through gifted structures to enable the form and to illuminate cutting-edge educational plans and to group by technique</w:t>
      </w:r>
    </w:p>
    <w:p w:rsidR="00034A95" w:rsidRDefault="00034A95" w:rsidP="00034A95">
      <w:r>
        <w:t>• Alumni administrations of work and services connect students with principals and applause to help managers</w:t>
      </w:r>
    </w:p>
    <w:p w:rsidR="00034A95" w:rsidRDefault="00034A95" w:rsidP="00034A95">
      <w:r>
        <w:t>• Academies are heartfelt business agents who are productively enthusiastic about legitimate developments and boards.</w:t>
      </w:r>
    </w:p>
    <w:p w:rsidR="00034A95" w:rsidRDefault="00034A95" w:rsidP="00034A95">
      <w:r>
        <w:t>Tools and techniques</w:t>
      </w:r>
    </w:p>
    <w:p w:rsidR="00034A95" w:rsidRDefault="00034A95" w:rsidP="00034A95">
      <w:r>
        <w:t>Graduate Skills Assessment (GSA)</w:t>
      </w:r>
    </w:p>
    <w:p w:rsidR="00034A95" w:rsidRDefault="00034A95" w:rsidP="00034A95">
      <w:r>
        <w:t>The admission of GSA to schools gives the impression that it is limited, and principals have not yet been informed. The assessment is intentional for students and universities do not promise to use it. As the GSA has remained open for some time today, it appears that the GSA is unlikely to grow in reputation.</w:t>
      </w:r>
    </w:p>
    <w:p w:rsidR="00034A95" w:rsidRDefault="00034A95" w:rsidP="00034A95">
      <w:r>
        <w:t>One of the crucial answers of the GSA is that as an assessment is formed, it is obliged to assess the course in which the abilities will be related in the exercise of a circumstance. Schools confirm that it is expensive to monitor and that because the organizations are different, they do not use the news.</w:t>
      </w:r>
    </w:p>
    <w:p w:rsidR="00034A95" w:rsidRDefault="00034A95" w:rsidP="00034A95">
      <w:r>
        <w:t>Performance Skills Profiler (ESP)</w:t>
      </w:r>
    </w:p>
    <w:p w:rsidR="00034A95" w:rsidRDefault="00034A95" w:rsidP="00034A95">
      <w:r>
        <w:t>ESP is a related study that cultivates three news items - a history of job options, a suitable profession and a history of improvement and a form of fitness for work. It was used as part of the basic model in the division of failures.</w:t>
      </w:r>
    </w:p>
    <w:p w:rsidR="00034A95" w:rsidRDefault="00034A95" w:rsidP="00034A95">
      <w:r>
        <w:t>Self-awareness plan:</w:t>
      </w:r>
    </w:p>
    <w:p w:rsidR="00034A95" w:rsidRDefault="00034A95" w:rsidP="00034A95">
      <w:r>
        <w:t>There are some major points of interest when each graduate builds their own arrangement. There are some basic points that can help you in creating. They are:</w:t>
      </w:r>
    </w:p>
    <w:p w:rsidR="00034A95" w:rsidRDefault="00034A95" w:rsidP="00034A95">
      <w:r>
        <w:t>Describe the goal: Each graduate must recognize the need he must make after completing the instruction. For example, each demonstrating graduate must become the head or administrator of an organization's promotional unit. So choose what you need to be.</w:t>
      </w:r>
    </w:p>
    <w:p w:rsidR="00034A95" w:rsidRDefault="00034A95" w:rsidP="00034A95">
      <w:r>
        <w:t>Realize your quality: In what area you practice to cover up, you have to admit. In case you find it, at this point, it will help you progress towards your goal.</w:t>
      </w:r>
    </w:p>
    <w:p w:rsidR="00034A95" w:rsidRDefault="00034A95" w:rsidP="00034A95">
      <w:r>
        <w:t>Perception of openings and dangers: Nothing can be achieved with hard work. To discover the chances and dangers that can make your way to your goal enjoyable and disturbing.</w:t>
      </w:r>
    </w:p>
    <w:p w:rsidR="00034A95" w:rsidRDefault="00034A95" w:rsidP="00034A95">
      <w:r>
        <w:lastRenderedPageBreak/>
        <w:t>Develop new abilities: This is important for each new graduate when they join any organization. Because just scholastic exercises are not enough to cope with the vocation. They need to build their current abilities just as they acquire new useful knowledge about new abilities. For example, if a graduate of the study realizes how to start any program or how to use the perspective of the Microsoft office, then the person in question should know by using how to talk to his partner.</w:t>
      </w:r>
    </w:p>
    <w:p w:rsidR="00034A95" w:rsidRDefault="00034A95" w:rsidP="00034A95">
      <w:r>
        <w:t>Initially, after continuing from college, following this focus, all graduates can create their own arrangement, which can be a great support for their professional life.</w:t>
      </w:r>
    </w:p>
    <w:p w:rsidR="00034A95" w:rsidRDefault="00034A95" w:rsidP="00034A95">
      <w:pPr>
        <w:pStyle w:val="Heading1"/>
      </w:pPr>
      <w:bookmarkStart w:id="3" w:name="_Toc49075158"/>
      <w:r>
        <w:t>Skill Evaluation</w:t>
      </w:r>
      <w:bookmarkEnd w:id="3"/>
    </w:p>
    <w:p w:rsidR="00034A95" w:rsidRDefault="00034A95" w:rsidP="00034A95">
      <w:r>
        <w:t>Just from the bat, take a look at my character. I am the touch of a contemplative individual person. This is the reason why I can't talk to people effectively and make my friends without a problem. So I have to make an upcoming attempt to talk to people and make friends. I have several abilities as part of my character that can help me in my professional life. They are:</w:t>
      </w:r>
    </w:p>
    <w:p w:rsidR="00034A95" w:rsidRDefault="00034A95" w:rsidP="00034A95">
      <w:r>
        <w:t>Authority: I can handle collaboration easily over a period of time. Sometimes I was worried, but I didn't destroy anything. I talked to all colleagues about their assessments of each endeavour we distributed.</w:t>
      </w:r>
    </w:p>
    <w:p w:rsidR="00034A95" w:rsidRDefault="00034A95" w:rsidP="00034A95">
      <w:r>
        <w:t>Leaders' Time: In order to accomplish any work, we need to focus on a period of time that I have carefully observed. My colleague and I dealt with the time frame of order.</w:t>
      </w:r>
    </w:p>
    <w:p w:rsidR="00034A95" w:rsidRDefault="00034A95" w:rsidP="00034A95">
      <w:r>
        <w:t>PC capabilities:</w:t>
      </w:r>
    </w:p>
    <w:p w:rsidR="00034A95" w:rsidRDefault="00034A95" w:rsidP="00034A95">
      <w:r>
        <w:t>I also have a famous computer. For example, how to run any program, how to use the Microsoft office suite. This can help me complete the product-based work.</w:t>
      </w:r>
    </w:p>
    <w:p w:rsidR="00034A95" w:rsidRDefault="00034A95" w:rsidP="00034A95">
      <w:r>
        <w:t>Arranging abilities:</w:t>
      </w:r>
    </w:p>
    <w:p w:rsidR="00034A95" w:rsidRDefault="00034A95" w:rsidP="00034A95">
      <w:r>
        <w:t>I also have the ability to arrange as part of my character. At any moment when I start a job, I make an appointment in order for everything to go according to needs.</w:t>
      </w:r>
    </w:p>
    <w:p w:rsidR="00034A95" w:rsidRDefault="00034A95" w:rsidP="00034A95">
      <w:pPr>
        <w:pStyle w:val="Heading1"/>
      </w:pPr>
      <w:bookmarkStart w:id="4" w:name="_Toc49075159"/>
      <w:r>
        <w:t>Graduate Prospects</w:t>
      </w:r>
      <w:bookmarkEnd w:id="4"/>
    </w:p>
    <w:p w:rsidR="00034A95" w:rsidRDefault="00034A95" w:rsidP="00034A95">
      <w:r>
        <w:t>While graduates obviously find occupations, organizations have every reservation to have greater difficulty in finding the right class. Finding the perfect people is a champion among the most basic things that the owner happens in the association. The opinions of the heads of the graduation classes are central for the universities, as they refer to a significant moment of the prosperity of the institution. Data from the 2006 underestimation angle show that organizations increase the academic capacity and achievements of candidates at a very basic level, higher than the estimate in areas tailored to employment opportunities.</w:t>
      </w:r>
    </w:p>
    <w:p w:rsidR="00034A95" w:rsidRDefault="00034A95" w:rsidP="00034A95">
      <w:pPr>
        <w:pStyle w:val="Heading1"/>
      </w:pPr>
      <w:bookmarkStart w:id="5" w:name="_Toc49075160"/>
      <w:r>
        <w:t>Recommendations</w:t>
      </w:r>
      <w:bookmarkEnd w:id="5"/>
    </w:p>
    <w:p w:rsidR="00034A95" w:rsidRDefault="00034A95" w:rsidP="00034A95">
      <w:r>
        <w:t xml:space="preserve">Future research considerations will join the study of the articulations and words used by supervisors while putting stoppers focused in place. Assessing these substantive disputes </w:t>
      </w:r>
      <w:r>
        <w:lastRenderedPageBreak/>
        <w:t>and articulations would allow for the creation of collaborators between these specific articulations and the associated academic opportunities and would subsequently broaden the idea of ​​a more stable idea of ​​what abilities have been mastered and how to verbalize this progress in the search for work. It is impressive to update the insufficient responses of the movements / components that unequivocally consolidate the capacity / characteristics of the working capacity in their reports and training of the training module. How do students see the thought of this information? Do students feel that their self-discipline supports them in terms of having extra strength in the action?</w:t>
      </w:r>
    </w:p>
    <w:p w:rsidR="00034A95" w:rsidRDefault="00034A95" w:rsidP="00034A95">
      <w:pPr>
        <w:pStyle w:val="Heading1"/>
      </w:pPr>
      <w:bookmarkStart w:id="6" w:name="_Toc49075161"/>
      <w:r>
        <w:t>Conclusion</w:t>
      </w:r>
      <w:bookmarkEnd w:id="6"/>
    </w:p>
    <w:p w:rsidR="00034A95" w:rsidRDefault="00034A95" w:rsidP="00034A95">
      <w:r>
        <w:t>The overall perception would be to communicate favourably with roughly graduated class teachers who have graduated and whether they were willing to verbalize the necessary capacity if they have completed a course that successfully develops both academic and employment skills. In this sense, the exchange would be useful in terms of whether it has improved the performance appraisal fees and influenced them to make them appear more attractive to supervisors.</w:t>
      </w:r>
    </w:p>
    <w:p w:rsidR="00034A95" w:rsidRDefault="00034A95" w:rsidP="00034A95">
      <w:r>
        <w:t>Students with a fixed belief in their knowledge are likely to be exhausted by disappointment, as disappointment is interpreted insofar as it is insufficient insight. These students can maintain a strategic distance from all more test work. On the other hand, students with flexible self-confidence are bound by creditworthiness to the point of lack of effort, this horrible display can encourage further learning and learning becomes a source of confidence. These students are required to profit from bots and apply this by figuring out how to be future ventures. In this way, this kind of self-confidence must be empowered and supported. Regardless of the under estimator’s beliefs about their own fixed / reliable self, students who have confidence in their own capacity to perform, arrange and perceive tasks (independence) will influence their exhibition. Assessment of development is important so that students can benefit from earlier work and take advantage of dangerous difficulties, as opposed to choosing "safer" bits of work, which may be less than a test.</w:t>
      </w:r>
    </w:p>
    <w:p w:rsidR="00034A95" w:rsidRDefault="00034A95" w:rsidP="00034A95"/>
    <w:p w:rsidR="00034A95" w:rsidRDefault="00034A95" w:rsidP="00034A95"/>
    <w:p w:rsidR="00034A95" w:rsidRDefault="00034A95" w:rsidP="00034A95"/>
    <w:p w:rsidR="00034A95" w:rsidRDefault="00034A95" w:rsidP="00034A95"/>
    <w:p w:rsidR="00034A95" w:rsidRDefault="00034A95" w:rsidP="00034A95"/>
    <w:p w:rsidR="00034A95" w:rsidRDefault="00034A95" w:rsidP="00034A95"/>
    <w:p w:rsidR="00034A95" w:rsidRDefault="00034A95" w:rsidP="00034A95"/>
    <w:p w:rsidR="00034A95" w:rsidRDefault="00034A95" w:rsidP="00034A95"/>
    <w:p w:rsidR="00034A95" w:rsidRDefault="00034A95" w:rsidP="00034A95"/>
    <w:p w:rsidR="00034A95" w:rsidRDefault="00034A95" w:rsidP="00034A95"/>
    <w:p w:rsidR="00034A95" w:rsidRDefault="00034A95" w:rsidP="00034A95">
      <w:pPr>
        <w:pStyle w:val="Heading1"/>
      </w:pPr>
      <w:bookmarkStart w:id="7" w:name="_Toc49075162"/>
      <w:r>
        <w:lastRenderedPageBreak/>
        <w:t>References</w:t>
      </w:r>
      <w:bookmarkEnd w:id="7"/>
    </w:p>
    <w:p w:rsidR="00CD0838" w:rsidRPr="00CD0838" w:rsidRDefault="00CD0838" w:rsidP="00CD0838">
      <w:pPr>
        <w:rPr>
          <w:lang w:val="en-US"/>
        </w:rPr>
      </w:pPr>
      <w:r w:rsidRPr="00CD0838">
        <w:rPr>
          <w:lang w:val="en-US"/>
        </w:rPr>
        <w:t xml:space="preserve">Bowden, J et al. 2002, </w:t>
      </w:r>
      <w:r w:rsidRPr="00CD0838">
        <w:rPr>
          <w:i/>
          <w:iCs/>
          <w:lang w:val="en-US"/>
        </w:rPr>
        <w:t xml:space="preserve">Generic capabilities of ATN university graduates </w:t>
      </w:r>
      <w:r w:rsidRPr="00CD0838">
        <w:rPr>
          <w:lang w:val="en-US"/>
        </w:rPr>
        <w:t xml:space="preserve">[http://www.clt.uts.edu.au/ATN.grad.cap.project.index.html]. </w:t>
      </w:r>
    </w:p>
    <w:p w:rsidR="00034A95" w:rsidRPr="00034A95" w:rsidRDefault="00034A95" w:rsidP="00034A95">
      <w:pPr>
        <w:rPr>
          <w:lang w:val="en-US"/>
        </w:rPr>
      </w:pPr>
      <w:r w:rsidRPr="00034A95">
        <w:rPr>
          <w:lang w:val="en-US"/>
        </w:rPr>
        <w:t xml:space="preserve">Candy, PC, Crebert, G, &amp; O’Leary, J 1994, </w:t>
      </w:r>
      <w:r w:rsidRPr="00034A95">
        <w:rPr>
          <w:i/>
          <w:iCs/>
          <w:lang w:val="en-US"/>
        </w:rPr>
        <w:t>Developing lifelong earners through undergraduate education</w:t>
      </w:r>
      <w:r w:rsidRPr="00034A95">
        <w:rPr>
          <w:lang w:val="en-US"/>
        </w:rPr>
        <w:t xml:space="preserve">, Commissioned Report 28, National Board of Education, Employment and Training. </w:t>
      </w:r>
    </w:p>
    <w:p w:rsidR="00034A95" w:rsidRPr="00034A95" w:rsidRDefault="00034A95" w:rsidP="00034A95">
      <w:pPr>
        <w:rPr>
          <w:lang w:val="en-US"/>
        </w:rPr>
      </w:pPr>
      <w:r w:rsidRPr="00034A95">
        <w:rPr>
          <w:lang w:val="en-US"/>
        </w:rPr>
        <w:t xml:space="preserve">DEST 2002a, </w:t>
      </w:r>
      <w:r w:rsidRPr="00034A95">
        <w:rPr>
          <w:i/>
          <w:iCs/>
          <w:lang w:val="en-US"/>
        </w:rPr>
        <w:t>Employability skills for the future</w:t>
      </w:r>
      <w:r w:rsidRPr="00034A95">
        <w:rPr>
          <w:lang w:val="en-US"/>
        </w:rPr>
        <w:t xml:space="preserve">, a report by the Australian Chamber of Commerce and Industry and the Business Council of Australia for the Department of Education, Science and Training, Canberra. </w:t>
      </w:r>
    </w:p>
    <w:p w:rsidR="00CD0838" w:rsidRPr="00CD0838" w:rsidRDefault="00CD0838" w:rsidP="00CD0838">
      <w:pPr>
        <w:rPr>
          <w:lang w:val="en-US"/>
        </w:rPr>
      </w:pPr>
      <w:r w:rsidRPr="00CD0838">
        <w:rPr>
          <w:lang w:val="en-US"/>
        </w:rPr>
        <w:t xml:space="preserve">DETYA 1998, </w:t>
      </w:r>
      <w:r w:rsidRPr="00CD0838">
        <w:rPr>
          <w:i/>
          <w:iCs/>
          <w:lang w:val="en-US"/>
        </w:rPr>
        <w:t>Learning for life: review of higher education financing and policy</w:t>
      </w:r>
      <w:r w:rsidRPr="00CD0838">
        <w:rPr>
          <w:lang w:val="en-US"/>
        </w:rPr>
        <w:t xml:space="preserve">, Higher Education Financing and Policy Reviewing Committee, known as the West Review, Department of Education, Science, Training and Youth Affairs, Canberra. </w:t>
      </w:r>
    </w:p>
    <w:p w:rsidR="00CD0838" w:rsidRPr="00CD0838" w:rsidRDefault="00CD0838" w:rsidP="00CD0838">
      <w:pPr>
        <w:rPr>
          <w:lang w:val="en-US"/>
        </w:rPr>
      </w:pPr>
      <w:r w:rsidRPr="00CD0838">
        <w:rPr>
          <w:lang w:val="en-US"/>
        </w:rPr>
        <w:t xml:space="preserve">Enright, M. K. &amp;Gitomer, D. (1989). </w:t>
      </w:r>
      <w:r w:rsidRPr="00CD0838">
        <w:rPr>
          <w:i/>
          <w:iCs/>
          <w:lang w:val="en-US"/>
        </w:rPr>
        <w:t>Toward a description of successful graduate students</w:t>
      </w:r>
      <w:r w:rsidRPr="00CD0838">
        <w:rPr>
          <w:lang w:val="en-US"/>
        </w:rPr>
        <w:t>. GRE</w:t>
      </w:r>
      <w:r>
        <w:rPr>
          <w:lang w:val="en-US"/>
        </w:rPr>
        <w:t>.</w:t>
      </w:r>
    </w:p>
    <w:p w:rsidR="00CD0838" w:rsidRPr="00CD0838" w:rsidRDefault="00CD0838" w:rsidP="00CD0838">
      <w:pPr>
        <w:rPr>
          <w:lang w:val="en-US"/>
        </w:rPr>
      </w:pPr>
      <w:r w:rsidRPr="00CD0838">
        <w:rPr>
          <w:lang w:val="en-US"/>
        </w:rPr>
        <w:t xml:space="preserve">Grant, S et al. 2004, </w:t>
      </w:r>
      <w:r w:rsidRPr="00CD0838">
        <w:rPr>
          <w:i/>
          <w:iCs/>
          <w:lang w:val="en-US"/>
        </w:rPr>
        <w:t xml:space="preserve">E-portfolio and its relationship to personal development planning: a view from the UK for Europe and beyond, </w:t>
      </w:r>
      <w:r w:rsidRPr="00CD0838">
        <w:rPr>
          <w:lang w:val="en-US"/>
        </w:rPr>
        <w:t xml:space="preserve">[http://www.inst.co.uk/clients/jisc/e-portfoliodef.html#origin]. </w:t>
      </w:r>
    </w:p>
    <w:p w:rsidR="00CD0838" w:rsidRPr="00CD0838" w:rsidRDefault="00CD0838" w:rsidP="00CD0838">
      <w:pPr>
        <w:rPr>
          <w:lang w:val="en-US"/>
        </w:rPr>
      </w:pPr>
      <w:r w:rsidRPr="00CD0838">
        <w:rPr>
          <w:lang w:val="en-US"/>
        </w:rPr>
        <w:t>Miles, J.J., Cairns, S. &amp; Huston, M. (2002). Seven Habits of Successful Students. Counselling Centre,</w:t>
      </w:r>
    </w:p>
    <w:p w:rsidR="00034A95" w:rsidRPr="00034A95" w:rsidRDefault="00034A95" w:rsidP="00034A95"/>
    <w:p w:rsidR="00034A95" w:rsidRDefault="00034A95" w:rsidP="00034A95"/>
    <w:p w:rsidR="00034A95" w:rsidRPr="00034A95" w:rsidRDefault="00034A95" w:rsidP="00034A95"/>
    <w:sectPr w:rsidR="00034A95" w:rsidRPr="00034A95" w:rsidSect="00D6658D">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5C09" w:rsidRDefault="00FE5C09" w:rsidP="00D6658D">
      <w:pPr>
        <w:spacing w:after="0" w:line="240" w:lineRule="auto"/>
      </w:pPr>
      <w:r>
        <w:separator/>
      </w:r>
    </w:p>
  </w:endnote>
  <w:endnote w:type="continuationSeparator" w:id="1">
    <w:p w:rsidR="00FE5C09" w:rsidRDefault="00FE5C09" w:rsidP="00D66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4757448"/>
      <w:docPartObj>
        <w:docPartGallery w:val="Page Numbers (Bottom of Page)"/>
        <w:docPartUnique/>
      </w:docPartObj>
    </w:sdtPr>
    <w:sdtEndPr>
      <w:rPr>
        <w:noProof/>
      </w:rPr>
    </w:sdtEndPr>
    <w:sdtContent>
      <w:p w:rsidR="00D6658D" w:rsidRDefault="000213DB">
        <w:pPr>
          <w:pStyle w:val="Footer"/>
          <w:jc w:val="right"/>
        </w:pPr>
        <w:r>
          <w:fldChar w:fldCharType="begin"/>
        </w:r>
        <w:r w:rsidR="00D6658D">
          <w:instrText xml:space="preserve"> PAGE   \* MERGEFORMAT </w:instrText>
        </w:r>
        <w:r>
          <w:fldChar w:fldCharType="separate"/>
        </w:r>
        <w:r w:rsidR="002D40DD">
          <w:rPr>
            <w:noProof/>
          </w:rPr>
          <w:t>1</w:t>
        </w:r>
        <w:r>
          <w:rPr>
            <w:noProof/>
          </w:rPr>
          <w:fldChar w:fldCharType="end"/>
        </w:r>
      </w:p>
    </w:sdtContent>
  </w:sdt>
  <w:p w:rsidR="00D6658D" w:rsidRDefault="00D665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5C09" w:rsidRDefault="00FE5C09" w:rsidP="00D6658D">
      <w:pPr>
        <w:spacing w:after="0" w:line="240" w:lineRule="auto"/>
      </w:pPr>
      <w:r>
        <w:separator/>
      </w:r>
    </w:p>
  </w:footnote>
  <w:footnote w:type="continuationSeparator" w:id="1">
    <w:p w:rsidR="00FE5C09" w:rsidRDefault="00FE5C09" w:rsidP="00D6658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8"/>
  <w:defaultTabStop w:val="720"/>
  <w:characterSpacingControl w:val="doNotCompress"/>
  <w:footnotePr>
    <w:footnote w:id="0"/>
    <w:footnote w:id="1"/>
  </w:footnotePr>
  <w:endnotePr>
    <w:endnote w:id="0"/>
    <w:endnote w:id="1"/>
  </w:endnotePr>
  <w:compat/>
  <w:rsids>
    <w:rsidRoot w:val="00CA3125"/>
    <w:rsid w:val="00014C0D"/>
    <w:rsid w:val="000213DB"/>
    <w:rsid w:val="00034A95"/>
    <w:rsid w:val="00106360"/>
    <w:rsid w:val="002D40DD"/>
    <w:rsid w:val="003A63CD"/>
    <w:rsid w:val="004B7FEA"/>
    <w:rsid w:val="00832EE0"/>
    <w:rsid w:val="00844443"/>
    <w:rsid w:val="00872981"/>
    <w:rsid w:val="0097139E"/>
    <w:rsid w:val="00BE384C"/>
    <w:rsid w:val="00CA3125"/>
    <w:rsid w:val="00CD0838"/>
    <w:rsid w:val="00D6658D"/>
    <w:rsid w:val="00DE5333"/>
    <w:rsid w:val="00E026CD"/>
    <w:rsid w:val="00FE5C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semiHidden/>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D66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58D"/>
    <w:rPr>
      <w:rFonts w:ascii="Arial" w:hAnsi="Arial"/>
    </w:rPr>
  </w:style>
  <w:style w:type="paragraph" w:styleId="Footer">
    <w:name w:val="footer"/>
    <w:basedOn w:val="Normal"/>
    <w:link w:val="FooterChar"/>
    <w:uiPriority w:val="99"/>
    <w:unhideWhenUsed/>
    <w:rsid w:val="00D66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58D"/>
    <w:rPr>
      <w:rFonts w:ascii="Arial" w:hAnsi="Arial"/>
    </w:rPr>
  </w:style>
  <w:style w:type="paragraph" w:styleId="NoSpacing">
    <w:name w:val="No Spacing"/>
    <w:link w:val="NoSpacingChar"/>
    <w:uiPriority w:val="1"/>
    <w:qFormat/>
    <w:rsid w:val="00D665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6658D"/>
    <w:rPr>
      <w:rFonts w:eastAsiaTheme="minorEastAsia"/>
      <w:lang w:val="en-US"/>
    </w:rPr>
  </w:style>
  <w:style w:type="paragraph" w:styleId="TOCHeading">
    <w:name w:val="TOC Heading"/>
    <w:basedOn w:val="Heading1"/>
    <w:next w:val="Normal"/>
    <w:uiPriority w:val="39"/>
    <w:unhideWhenUsed/>
    <w:qFormat/>
    <w:rsid w:val="00CD0838"/>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CD0838"/>
    <w:pPr>
      <w:spacing w:after="100"/>
    </w:pPr>
  </w:style>
  <w:style w:type="character" w:styleId="Hyperlink">
    <w:name w:val="Hyperlink"/>
    <w:basedOn w:val="DefaultParagraphFont"/>
    <w:uiPriority w:val="99"/>
    <w:unhideWhenUsed/>
    <w:rsid w:val="00CD0838"/>
    <w:rPr>
      <w:color w:val="0563C1" w:themeColor="hyperlink"/>
      <w:u w:val="single"/>
    </w:rPr>
  </w:style>
  <w:style w:type="paragraph" w:styleId="BalloonText">
    <w:name w:val="Balloon Text"/>
    <w:basedOn w:val="Normal"/>
    <w:link w:val="BalloonTextChar"/>
    <w:uiPriority w:val="99"/>
    <w:semiHidden/>
    <w:unhideWhenUsed/>
    <w:rsid w:val="002D40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0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825121">
      <w:bodyDiv w:val="1"/>
      <w:marLeft w:val="0"/>
      <w:marRight w:val="0"/>
      <w:marTop w:val="0"/>
      <w:marBottom w:val="0"/>
      <w:divBdr>
        <w:top w:val="none" w:sz="0" w:space="0" w:color="auto"/>
        <w:left w:val="none" w:sz="0" w:space="0" w:color="auto"/>
        <w:bottom w:val="none" w:sz="0" w:space="0" w:color="auto"/>
        <w:right w:val="none" w:sz="0" w:space="0" w:color="auto"/>
      </w:divBdr>
    </w:div>
    <w:div w:id="309486756">
      <w:bodyDiv w:val="1"/>
      <w:marLeft w:val="0"/>
      <w:marRight w:val="0"/>
      <w:marTop w:val="0"/>
      <w:marBottom w:val="0"/>
      <w:divBdr>
        <w:top w:val="none" w:sz="0" w:space="0" w:color="auto"/>
        <w:left w:val="none" w:sz="0" w:space="0" w:color="auto"/>
        <w:bottom w:val="none" w:sz="0" w:space="0" w:color="auto"/>
        <w:right w:val="none" w:sz="0" w:space="0" w:color="auto"/>
      </w:divBdr>
    </w:div>
    <w:div w:id="994919407">
      <w:bodyDiv w:val="1"/>
      <w:marLeft w:val="0"/>
      <w:marRight w:val="0"/>
      <w:marTop w:val="0"/>
      <w:marBottom w:val="0"/>
      <w:divBdr>
        <w:top w:val="none" w:sz="0" w:space="0" w:color="auto"/>
        <w:left w:val="none" w:sz="0" w:space="0" w:color="auto"/>
        <w:bottom w:val="none" w:sz="0" w:space="0" w:color="auto"/>
        <w:right w:val="none" w:sz="0" w:space="0" w:color="auto"/>
      </w:divBdr>
    </w:div>
    <w:div w:id="1375154222">
      <w:bodyDiv w:val="1"/>
      <w:marLeft w:val="0"/>
      <w:marRight w:val="0"/>
      <w:marTop w:val="0"/>
      <w:marBottom w:val="0"/>
      <w:divBdr>
        <w:top w:val="none" w:sz="0" w:space="0" w:color="auto"/>
        <w:left w:val="none" w:sz="0" w:space="0" w:color="auto"/>
        <w:bottom w:val="none" w:sz="0" w:space="0" w:color="auto"/>
        <w:right w:val="none" w:sz="0" w:space="0" w:color="auto"/>
      </w:divBdr>
    </w:div>
    <w:div w:id="1420254425">
      <w:bodyDiv w:val="1"/>
      <w:marLeft w:val="0"/>
      <w:marRight w:val="0"/>
      <w:marTop w:val="0"/>
      <w:marBottom w:val="0"/>
      <w:divBdr>
        <w:top w:val="none" w:sz="0" w:space="0" w:color="auto"/>
        <w:left w:val="none" w:sz="0" w:space="0" w:color="auto"/>
        <w:bottom w:val="none" w:sz="0" w:space="0" w:color="auto"/>
        <w:right w:val="none" w:sz="0" w:space="0" w:color="auto"/>
      </w:divBdr>
    </w:div>
    <w:div w:id="1510828964">
      <w:bodyDiv w:val="1"/>
      <w:marLeft w:val="0"/>
      <w:marRight w:val="0"/>
      <w:marTop w:val="0"/>
      <w:marBottom w:val="0"/>
      <w:divBdr>
        <w:top w:val="none" w:sz="0" w:space="0" w:color="auto"/>
        <w:left w:val="none" w:sz="0" w:space="0" w:color="auto"/>
        <w:bottom w:val="none" w:sz="0" w:space="0" w:color="auto"/>
        <w:right w:val="none" w:sz="0" w:space="0" w:color="auto"/>
      </w:divBdr>
    </w:div>
    <w:div w:id="190135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60B42E-4330-4A85-BA3C-9C4453D67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2180</Words>
  <Characters>12428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
  <LinksUpToDate>false</LinksUpToDate>
  <CharactersWithSpaces>14579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BMSW4001 – Component 1</dc:subject>
  <dc:creator>Student Name: Elena Toneva</dc:creator>
  <cp:lastModifiedBy>Reni</cp:lastModifiedBy>
  <cp:revision>2</cp:revision>
  <dcterms:created xsi:type="dcterms:W3CDTF">2020-08-28T18:30:00Z</dcterms:created>
  <dcterms:modified xsi:type="dcterms:W3CDTF">2020-08-28T18:30:00Z</dcterms:modified>
</cp:coreProperties>
</file>