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5C0923" w14:textId="77777777" w:rsidR="003517F4" w:rsidRDefault="003517F4" w:rsidP="003517F4">
      <w:pPr>
        <w:jc w:val="center"/>
        <w:rPr>
          <w:rFonts w:ascii="Arial" w:hAnsi="Arial" w:cs="Arial"/>
          <w:sz w:val="32"/>
          <w:szCs w:val="32"/>
        </w:rPr>
      </w:pPr>
      <w:r>
        <w:rPr>
          <w:rFonts w:ascii="Arial" w:hAnsi="Arial" w:cs="Arial"/>
          <w:sz w:val="32"/>
          <w:szCs w:val="32"/>
        </w:rPr>
        <w:t>University of Wales St Trinity David</w:t>
      </w:r>
    </w:p>
    <w:p w14:paraId="62D75682" w14:textId="77777777" w:rsidR="003517F4" w:rsidRDefault="003517F4" w:rsidP="003517F4">
      <w:pPr>
        <w:jc w:val="center"/>
        <w:rPr>
          <w:rFonts w:ascii="Arial" w:hAnsi="Arial" w:cs="Arial"/>
          <w:sz w:val="32"/>
          <w:szCs w:val="32"/>
        </w:rPr>
      </w:pPr>
      <w:proofErr w:type="spellStart"/>
      <w:r>
        <w:rPr>
          <w:rFonts w:ascii="Arial" w:hAnsi="Arial" w:cs="Arial"/>
          <w:sz w:val="32"/>
          <w:szCs w:val="32"/>
        </w:rPr>
        <w:t>CertHE</w:t>
      </w:r>
      <w:proofErr w:type="spellEnd"/>
      <w:r>
        <w:rPr>
          <w:rFonts w:ascii="Arial" w:hAnsi="Arial" w:cs="Arial"/>
          <w:sz w:val="32"/>
          <w:szCs w:val="32"/>
        </w:rPr>
        <w:t xml:space="preserve"> Professional Policing</w:t>
      </w:r>
    </w:p>
    <w:p w14:paraId="7A1EAE69" w14:textId="77777777" w:rsidR="003517F4" w:rsidRDefault="003517F4" w:rsidP="003517F4">
      <w:pPr>
        <w:jc w:val="center"/>
        <w:rPr>
          <w:rFonts w:ascii="Arial" w:hAnsi="Arial" w:cs="Arial"/>
          <w:sz w:val="32"/>
          <w:szCs w:val="32"/>
        </w:rPr>
      </w:pPr>
    </w:p>
    <w:p w14:paraId="0615F5A6" w14:textId="77777777" w:rsidR="003517F4" w:rsidRDefault="003517F4" w:rsidP="003517F4">
      <w:pPr>
        <w:jc w:val="center"/>
        <w:rPr>
          <w:rFonts w:ascii="Arial" w:hAnsi="Arial" w:cs="Arial"/>
          <w:sz w:val="32"/>
          <w:szCs w:val="32"/>
        </w:rPr>
      </w:pPr>
    </w:p>
    <w:p w14:paraId="137D8C64" w14:textId="77777777" w:rsidR="003517F4" w:rsidRDefault="003517F4" w:rsidP="003517F4">
      <w:pPr>
        <w:jc w:val="center"/>
        <w:rPr>
          <w:rFonts w:ascii="Arial" w:hAnsi="Arial" w:cs="Arial"/>
          <w:sz w:val="32"/>
          <w:szCs w:val="32"/>
        </w:rPr>
      </w:pPr>
    </w:p>
    <w:p w14:paraId="527F9CD0" w14:textId="77777777" w:rsidR="003517F4" w:rsidRDefault="003517F4" w:rsidP="003517F4">
      <w:pPr>
        <w:jc w:val="center"/>
        <w:rPr>
          <w:rFonts w:ascii="Arial" w:hAnsi="Arial" w:cs="Arial"/>
          <w:sz w:val="32"/>
          <w:szCs w:val="32"/>
        </w:rPr>
      </w:pPr>
    </w:p>
    <w:p w14:paraId="04AFB228" w14:textId="77777777" w:rsidR="003517F4" w:rsidRDefault="003517F4" w:rsidP="003517F4">
      <w:pPr>
        <w:jc w:val="center"/>
        <w:rPr>
          <w:rFonts w:ascii="Arial" w:hAnsi="Arial" w:cs="Arial"/>
          <w:sz w:val="32"/>
          <w:szCs w:val="32"/>
        </w:rPr>
      </w:pPr>
    </w:p>
    <w:p w14:paraId="63524CCB" w14:textId="77777777" w:rsidR="003517F4" w:rsidRDefault="003517F4" w:rsidP="003517F4">
      <w:pPr>
        <w:jc w:val="center"/>
        <w:rPr>
          <w:rFonts w:ascii="Arial" w:hAnsi="Arial" w:cs="Arial"/>
          <w:sz w:val="32"/>
          <w:szCs w:val="32"/>
        </w:rPr>
      </w:pPr>
      <w:r>
        <w:rPr>
          <w:rFonts w:ascii="Arial" w:hAnsi="Arial" w:cs="Arial"/>
          <w:sz w:val="32"/>
          <w:szCs w:val="32"/>
        </w:rPr>
        <w:t>Module: Criminal Law BMPL4009</w:t>
      </w:r>
    </w:p>
    <w:p w14:paraId="675904A6" w14:textId="77777777" w:rsidR="003517F4" w:rsidRDefault="003517F4" w:rsidP="003517F4">
      <w:pPr>
        <w:jc w:val="center"/>
        <w:rPr>
          <w:rFonts w:ascii="Arial" w:hAnsi="Arial" w:cs="Arial"/>
          <w:sz w:val="32"/>
          <w:szCs w:val="32"/>
        </w:rPr>
      </w:pPr>
    </w:p>
    <w:p w14:paraId="5D144CA3" w14:textId="77777777" w:rsidR="003517F4" w:rsidRDefault="003517F4" w:rsidP="003517F4">
      <w:pPr>
        <w:jc w:val="center"/>
        <w:rPr>
          <w:rFonts w:ascii="Arial" w:hAnsi="Arial" w:cs="Arial"/>
          <w:sz w:val="32"/>
          <w:szCs w:val="32"/>
        </w:rPr>
      </w:pPr>
    </w:p>
    <w:p w14:paraId="6ECCFE7A" w14:textId="77777777" w:rsidR="003517F4" w:rsidRDefault="003517F4" w:rsidP="003517F4">
      <w:pPr>
        <w:jc w:val="center"/>
        <w:rPr>
          <w:rFonts w:ascii="Arial" w:hAnsi="Arial" w:cs="Arial"/>
          <w:sz w:val="32"/>
          <w:szCs w:val="32"/>
        </w:rPr>
      </w:pPr>
    </w:p>
    <w:p w14:paraId="494B726D" w14:textId="77777777" w:rsidR="003517F4" w:rsidRDefault="003517F4" w:rsidP="003517F4">
      <w:pPr>
        <w:jc w:val="center"/>
        <w:rPr>
          <w:rFonts w:ascii="Arial" w:hAnsi="Arial" w:cs="Arial"/>
          <w:sz w:val="32"/>
          <w:szCs w:val="32"/>
        </w:rPr>
      </w:pPr>
    </w:p>
    <w:p w14:paraId="6E718CD9" w14:textId="77777777" w:rsidR="003517F4" w:rsidRDefault="003517F4" w:rsidP="003517F4">
      <w:pPr>
        <w:jc w:val="center"/>
        <w:rPr>
          <w:rFonts w:ascii="Arial" w:hAnsi="Arial" w:cs="Arial"/>
          <w:sz w:val="32"/>
          <w:szCs w:val="32"/>
        </w:rPr>
      </w:pPr>
    </w:p>
    <w:p w14:paraId="15354517" w14:textId="77777777" w:rsidR="003517F4" w:rsidRDefault="003517F4" w:rsidP="003517F4">
      <w:pPr>
        <w:jc w:val="center"/>
        <w:rPr>
          <w:rFonts w:ascii="Arial" w:hAnsi="Arial" w:cs="Arial"/>
          <w:sz w:val="32"/>
          <w:szCs w:val="32"/>
        </w:rPr>
      </w:pPr>
      <w:r>
        <w:rPr>
          <w:rFonts w:ascii="Arial" w:hAnsi="Arial" w:cs="Arial"/>
          <w:sz w:val="32"/>
          <w:szCs w:val="32"/>
        </w:rPr>
        <w:t>Lecturer: Sadie France</w:t>
      </w:r>
    </w:p>
    <w:p w14:paraId="37A83855" w14:textId="77777777" w:rsidR="003517F4" w:rsidRDefault="003517F4" w:rsidP="003517F4">
      <w:pPr>
        <w:jc w:val="center"/>
        <w:rPr>
          <w:rFonts w:ascii="Arial" w:hAnsi="Arial" w:cs="Arial"/>
          <w:sz w:val="32"/>
          <w:szCs w:val="32"/>
        </w:rPr>
      </w:pPr>
    </w:p>
    <w:p w14:paraId="4B85D877" w14:textId="77777777" w:rsidR="003517F4" w:rsidRDefault="003517F4" w:rsidP="003517F4">
      <w:pPr>
        <w:jc w:val="center"/>
        <w:rPr>
          <w:rFonts w:ascii="Arial" w:hAnsi="Arial" w:cs="Arial"/>
          <w:sz w:val="32"/>
          <w:szCs w:val="32"/>
        </w:rPr>
      </w:pPr>
    </w:p>
    <w:p w14:paraId="68CE20EC" w14:textId="77777777" w:rsidR="003517F4" w:rsidRDefault="003517F4" w:rsidP="003517F4">
      <w:pPr>
        <w:jc w:val="center"/>
        <w:rPr>
          <w:rFonts w:ascii="Arial" w:hAnsi="Arial" w:cs="Arial"/>
          <w:sz w:val="32"/>
          <w:szCs w:val="32"/>
        </w:rPr>
      </w:pPr>
    </w:p>
    <w:p w14:paraId="46D1F9D1" w14:textId="77777777" w:rsidR="003517F4" w:rsidRDefault="003517F4" w:rsidP="003517F4">
      <w:pPr>
        <w:jc w:val="center"/>
        <w:rPr>
          <w:rFonts w:ascii="Arial" w:hAnsi="Arial" w:cs="Arial"/>
          <w:sz w:val="32"/>
          <w:szCs w:val="32"/>
        </w:rPr>
      </w:pPr>
    </w:p>
    <w:p w14:paraId="006998FA" w14:textId="257DA970" w:rsidR="003517F4" w:rsidRDefault="003517F4" w:rsidP="003517F4">
      <w:pPr>
        <w:jc w:val="center"/>
        <w:rPr>
          <w:rFonts w:ascii="Arial" w:hAnsi="Arial" w:cs="Arial"/>
          <w:sz w:val="32"/>
          <w:szCs w:val="32"/>
        </w:rPr>
      </w:pPr>
      <w:r>
        <w:rPr>
          <w:rFonts w:ascii="Arial" w:hAnsi="Arial" w:cs="Arial"/>
          <w:sz w:val="32"/>
          <w:szCs w:val="32"/>
        </w:rPr>
        <w:t>Assignment: Scenario questions</w:t>
      </w:r>
    </w:p>
    <w:p w14:paraId="6E1E5E53" w14:textId="77777777" w:rsidR="003517F4" w:rsidRDefault="003517F4" w:rsidP="003517F4">
      <w:pPr>
        <w:jc w:val="center"/>
        <w:rPr>
          <w:rFonts w:ascii="Arial" w:hAnsi="Arial" w:cs="Arial"/>
          <w:sz w:val="32"/>
          <w:szCs w:val="32"/>
        </w:rPr>
      </w:pPr>
    </w:p>
    <w:p w14:paraId="1E157624" w14:textId="77777777" w:rsidR="003517F4" w:rsidRDefault="003517F4" w:rsidP="003517F4">
      <w:pPr>
        <w:jc w:val="center"/>
        <w:rPr>
          <w:rFonts w:ascii="Arial" w:hAnsi="Arial" w:cs="Arial"/>
          <w:sz w:val="32"/>
          <w:szCs w:val="32"/>
        </w:rPr>
      </w:pPr>
    </w:p>
    <w:p w14:paraId="3861F8CD" w14:textId="77777777" w:rsidR="003517F4" w:rsidRDefault="003517F4" w:rsidP="003517F4">
      <w:pPr>
        <w:jc w:val="center"/>
        <w:rPr>
          <w:rFonts w:ascii="Arial" w:hAnsi="Arial" w:cs="Arial"/>
          <w:sz w:val="32"/>
          <w:szCs w:val="32"/>
        </w:rPr>
      </w:pPr>
    </w:p>
    <w:p w14:paraId="2192B361" w14:textId="77777777" w:rsidR="003517F4" w:rsidRDefault="003517F4" w:rsidP="003517F4">
      <w:pPr>
        <w:jc w:val="center"/>
        <w:rPr>
          <w:rFonts w:ascii="Arial" w:hAnsi="Arial" w:cs="Arial"/>
          <w:sz w:val="32"/>
          <w:szCs w:val="32"/>
        </w:rPr>
      </w:pPr>
    </w:p>
    <w:p w14:paraId="13F86117" w14:textId="77777777" w:rsidR="003517F4" w:rsidRDefault="003517F4" w:rsidP="003517F4">
      <w:pPr>
        <w:jc w:val="center"/>
        <w:rPr>
          <w:rFonts w:ascii="Arial" w:hAnsi="Arial" w:cs="Arial"/>
          <w:sz w:val="32"/>
          <w:szCs w:val="32"/>
        </w:rPr>
      </w:pPr>
    </w:p>
    <w:p w14:paraId="3AB16275" w14:textId="77777777" w:rsidR="003517F4" w:rsidRDefault="003517F4" w:rsidP="003517F4">
      <w:pPr>
        <w:jc w:val="center"/>
        <w:rPr>
          <w:rFonts w:ascii="Arial" w:hAnsi="Arial" w:cs="Arial"/>
          <w:sz w:val="32"/>
          <w:szCs w:val="32"/>
        </w:rPr>
      </w:pPr>
    </w:p>
    <w:p w14:paraId="421AF7B3" w14:textId="77777777" w:rsidR="003517F4" w:rsidRDefault="003517F4" w:rsidP="003517F4">
      <w:pPr>
        <w:jc w:val="center"/>
        <w:rPr>
          <w:rFonts w:ascii="Arial" w:hAnsi="Arial" w:cs="Arial"/>
          <w:sz w:val="32"/>
          <w:szCs w:val="32"/>
        </w:rPr>
      </w:pPr>
      <w:r>
        <w:rPr>
          <w:rFonts w:ascii="Arial" w:hAnsi="Arial" w:cs="Arial"/>
          <w:sz w:val="32"/>
          <w:szCs w:val="32"/>
        </w:rPr>
        <w:t xml:space="preserve">By: Roxana L. </w:t>
      </w:r>
      <w:proofErr w:type="spellStart"/>
      <w:r>
        <w:rPr>
          <w:rFonts w:ascii="Arial" w:hAnsi="Arial" w:cs="Arial"/>
          <w:sz w:val="32"/>
          <w:szCs w:val="32"/>
        </w:rPr>
        <w:t>Scurtu</w:t>
      </w:r>
      <w:proofErr w:type="spellEnd"/>
      <w:r>
        <w:rPr>
          <w:rFonts w:ascii="Arial" w:hAnsi="Arial" w:cs="Arial"/>
          <w:sz w:val="32"/>
          <w:szCs w:val="32"/>
        </w:rPr>
        <w:t xml:space="preserve"> 2133149</w:t>
      </w:r>
    </w:p>
    <w:p w14:paraId="1F9D55A9" w14:textId="77777777" w:rsidR="003517F4" w:rsidRDefault="003517F4" w:rsidP="003517F4">
      <w:pPr>
        <w:jc w:val="center"/>
        <w:rPr>
          <w:rFonts w:ascii="Arial" w:hAnsi="Arial" w:cs="Arial"/>
          <w:sz w:val="32"/>
          <w:szCs w:val="32"/>
        </w:rPr>
      </w:pPr>
    </w:p>
    <w:p w14:paraId="25E4CC16" w14:textId="679AF155" w:rsidR="00D14EA2" w:rsidRDefault="00D14EA2"/>
    <w:p w14:paraId="3E2941EA" w14:textId="4FD28766" w:rsidR="003517F4" w:rsidRDefault="003517F4"/>
    <w:p w14:paraId="5AA12247" w14:textId="72ACEFE8" w:rsidR="003517F4" w:rsidRDefault="003517F4"/>
    <w:p w14:paraId="6F7C899F" w14:textId="17B879CC" w:rsidR="003517F4" w:rsidRDefault="003517F4"/>
    <w:p w14:paraId="1B254348" w14:textId="7F92CF29" w:rsidR="003517F4" w:rsidRDefault="003517F4"/>
    <w:p w14:paraId="3E2245F7" w14:textId="43E2E820" w:rsidR="003517F4" w:rsidRDefault="003517F4"/>
    <w:p w14:paraId="72EFF3D5" w14:textId="7A6A14E8" w:rsidR="003517F4" w:rsidRDefault="003517F4"/>
    <w:p w14:paraId="52B10317" w14:textId="6BD0581A" w:rsidR="003517F4" w:rsidRDefault="003517F4"/>
    <w:p w14:paraId="7FA9C149" w14:textId="7288DAD9" w:rsidR="003517F4" w:rsidRDefault="003517F4"/>
    <w:p w14:paraId="0740B730" w14:textId="77777777" w:rsidR="00281BBC" w:rsidRDefault="00281BBC"/>
    <w:p w14:paraId="763CD494" w14:textId="16B42DC6" w:rsidR="003517F4" w:rsidRDefault="003517F4"/>
    <w:p w14:paraId="194CD016" w14:textId="7E26E715" w:rsidR="003517F4" w:rsidRPr="001221F6" w:rsidRDefault="003517F4" w:rsidP="001221F6">
      <w:pPr>
        <w:spacing w:line="360" w:lineRule="auto"/>
        <w:ind w:firstLine="720"/>
        <w:rPr>
          <w:rFonts w:ascii="Arial" w:hAnsi="Arial" w:cs="Arial"/>
          <w:sz w:val="24"/>
          <w:szCs w:val="24"/>
        </w:rPr>
      </w:pPr>
      <w:r w:rsidRPr="001221F6">
        <w:rPr>
          <w:rFonts w:ascii="Arial" w:hAnsi="Arial" w:cs="Arial"/>
          <w:sz w:val="24"/>
          <w:szCs w:val="24"/>
        </w:rPr>
        <w:lastRenderedPageBreak/>
        <w:t>Scenario A- Which offences Hadley could be criminally liable for</w:t>
      </w:r>
    </w:p>
    <w:p w14:paraId="357C0299" w14:textId="717C65B2" w:rsidR="003517F4" w:rsidRPr="001221F6" w:rsidRDefault="003517F4" w:rsidP="001221F6">
      <w:pPr>
        <w:spacing w:line="360" w:lineRule="auto"/>
        <w:ind w:firstLine="720"/>
        <w:rPr>
          <w:rFonts w:ascii="Arial" w:hAnsi="Arial" w:cs="Arial"/>
          <w:sz w:val="24"/>
          <w:szCs w:val="24"/>
        </w:rPr>
      </w:pPr>
    </w:p>
    <w:p w14:paraId="65DE4425" w14:textId="77777777" w:rsidR="00D40262" w:rsidRPr="00D40262" w:rsidRDefault="00D40262" w:rsidP="00D40262">
      <w:pPr>
        <w:spacing w:line="360" w:lineRule="auto"/>
        <w:ind w:firstLine="720"/>
        <w:rPr>
          <w:rFonts w:ascii="Arial" w:hAnsi="Arial" w:cs="Arial"/>
          <w:color w:val="333333"/>
          <w:sz w:val="24"/>
          <w:szCs w:val="24"/>
          <w:shd w:val="clear" w:color="auto" w:fill="FFFFFF"/>
        </w:rPr>
      </w:pPr>
      <w:r w:rsidRPr="00D40262">
        <w:rPr>
          <w:rFonts w:ascii="Arial" w:hAnsi="Arial" w:cs="Arial"/>
          <w:color w:val="333333"/>
          <w:sz w:val="24"/>
          <w:szCs w:val="24"/>
          <w:shd w:val="clear" w:color="auto" w:fill="FFFFFF"/>
        </w:rPr>
        <w:t>To begin with, I will be addressing Hadley’s Criminal liability by breaking them down into 5 offences as follows: Criminal damage, Aggravated Criminal Damage by Arson, Burglary by extension of arm and Theft and by explaining each with relevant case law that applies to the situation given.</w:t>
      </w:r>
    </w:p>
    <w:p w14:paraId="1AE926B2" w14:textId="77777777" w:rsidR="00D40262" w:rsidRPr="00D40262" w:rsidRDefault="00D40262" w:rsidP="00D40262">
      <w:pPr>
        <w:spacing w:line="360" w:lineRule="auto"/>
        <w:ind w:firstLine="720"/>
        <w:rPr>
          <w:rFonts w:ascii="Arial" w:hAnsi="Arial" w:cs="Arial"/>
          <w:color w:val="333333"/>
          <w:sz w:val="24"/>
          <w:szCs w:val="24"/>
          <w:shd w:val="clear" w:color="auto" w:fill="FFFFFF"/>
        </w:rPr>
      </w:pPr>
    </w:p>
    <w:p w14:paraId="7D7E39AD" w14:textId="77777777" w:rsidR="00D40262" w:rsidRPr="00D40262" w:rsidRDefault="00D40262" w:rsidP="00D40262">
      <w:pPr>
        <w:spacing w:line="360" w:lineRule="auto"/>
        <w:ind w:firstLine="720"/>
        <w:rPr>
          <w:rFonts w:ascii="Arial" w:hAnsi="Arial" w:cs="Arial"/>
          <w:color w:val="333333"/>
          <w:sz w:val="24"/>
          <w:szCs w:val="24"/>
          <w:shd w:val="clear" w:color="auto" w:fill="FFFFFF"/>
        </w:rPr>
      </w:pPr>
      <w:r w:rsidRPr="00D40262">
        <w:rPr>
          <w:rFonts w:ascii="Arial" w:hAnsi="Arial" w:cs="Arial"/>
          <w:color w:val="333333"/>
          <w:sz w:val="24"/>
          <w:szCs w:val="24"/>
          <w:shd w:val="clear" w:color="auto" w:fill="FFFFFF"/>
        </w:rPr>
        <w:t xml:space="preserve">Pursuing this further, I believe Hadley might be liable for Criminal Damage by destroying the wooden bench. The reason I believe this is because under s.1 (1) of the Criminal Damage Act 1971 states the following ‘A person who without lawful excuse destroys or damages any property belonging to another, intending to destroy or damage any such property, or being reckless as to whether any such property would be destroyed or damaged, shall be guilty of an offence.’ Due to the Actus Reus element in which Hadley knew that he was entering a property, Ronan by jumping onto the back fence and landed on the wooden bench which snapped in half, damaging Ronan’s property. In law, the property is defined in s10 of the Criminal Damage Act 1971 as ‘of a tangible nature, whether real or personal, including money and wild creatures which had been tamed or kept in captivity’ (Herring, 2020). As well as the </w:t>
      </w:r>
      <w:proofErr w:type="spellStart"/>
      <w:r w:rsidRPr="00D40262">
        <w:rPr>
          <w:rFonts w:ascii="Arial" w:hAnsi="Arial" w:cs="Arial"/>
          <w:color w:val="333333"/>
          <w:sz w:val="24"/>
          <w:szCs w:val="24"/>
          <w:shd w:val="clear" w:color="auto" w:fill="FFFFFF"/>
        </w:rPr>
        <w:t>Mens</w:t>
      </w:r>
      <w:proofErr w:type="spellEnd"/>
      <w:r w:rsidRPr="00D40262">
        <w:rPr>
          <w:rFonts w:ascii="Arial" w:hAnsi="Arial" w:cs="Arial"/>
          <w:color w:val="333333"/>
          <w:sz w:val="24"/>
          <w:szCs w:val="24"/>
          <w:shd w:val="clear" w:color="auto" w:fill="FFFFFF"/>
        </w:rPr>
        <w:t xml:space="preserve"> Rea element which includes his recklessness in entering Ronan’s property and by being aware he didn’t have a lawful excuse to be there. </w:t>
      </w:r>
    </w:p>
    <w:p w14:paraId="6E7798D5" w14:textId="77777777" w:rsidR="00D40262" w:rsidRPr="00D40262" w:rsidRDefault="00D40262" w:rsidP="00D40262">
      <w:pPr>
        <w:spacing w:line="360" w:lineRule="auto"/>
        <w:ind w:firstLine="720"/>
        <w:rPr>
          <w:rFonts w:ascii="Arial" w:hAnsi="Arial" w:cs="Arial"/>
          <w:color w:val="333333"/>
          <w:sz w:val="24"/>
          <w:szCs w:val="24"/>
          <w:shd w:val="clear" w:color="auto" w:fill="FFFFFF"/>
        </w:rPr>
      </w:pPr>
      <w:r w:rsidRPr="00D40262">
        <w:rPr>
          <w:rFonts w:ascii="Arial" w:hAnsi="Arial" w:cs="Arial"/>
          <w:color w:val="333333"/>
          <w:sz w:val="24"/>
          <w:szCs w:val="24"/>
          <w:shd w:val="clear" w:color="auto" w:fill="FFFFFF"/>
        </w:rPr>
        <w:t xml:space="preserve"> Hadley might as well be liable of Criminal Damage by arson because he has poured aftershave into the bin and set it on fire, although arson is not a separate offence, it is part of criminal damage, the difference being that the actual damage is caused by fire. By pouring aftershave into the bin and setting it on fire, Hadley is liable of this offence as the actus reus- setting the bin on fire and </w:t>
      </w:r>
      <w:proofErr w:type="spellStart"/>
      <w:r w:rsidRPr="00D40262">
        <w:rPr>
          <w:rFonts w:ascii="Arial" w:hAnsi="Arial" w:cs="Arial"/>
          <w:color w:val="333333"/>
          <w:sz w:val="24"/>
          <w:szCs w:val="24"/>
          <w:shd w:val="clear" w:color="auto" w:fill="FFFFFF"/>
        </w:rPr>
        <w:t>mens</w:t>
      </w:r>
      <w:proofErr w:type="spellEnd"/>
      <w:r w:rsidRPr="00D40262">
        <w:rPr>
          <w:rFonts w:ascii="Arial" w:hAnsi="Arial" w:cs="Arial"/>
          <w:color w:val="333333"/>
          <w:sz w:val="24"/>
          <w:szCs w:val="24"/>
          <w:shd w:val="clear" w:color="auto" w:fill="FFFFFF"/>
        </w:rPr>
        <w:t xml:space="preserve"> rea- being reckless about this, these elements are present as required by the s1 (3) of the Criminal Damage Act 1971 ‘an offence committed under this section by destroying or damaging property by fire shall be charged as arson’ as seen in the case of Sangha (1988) where the defendant was charged of aggravated criminal damage after setting fire to a mattress in a block of flats or Hardie (1985) where the defendant purposely set fire to the victim’s wardrobe. Under s.1 (2) of the Criminal Damage Act 1971, which requires that the </w:t>
      </w:r>
      <w:r w:rsidRPr="00D40262">
        <w:rPr>
          <w:rFonts w:ascii="Arial" w:hAnsi="Arial" w:cs="Arial"/>
          <w:color w:val="333333"/>
          <w:sz w:val="24"/>
          <w:szCs w:val="24"/>
          <w:shd w:val="clear" w:color="auto" w:fill="FFFFFF"/>
        </w:rPr>
        <w:lastRenderedPageBreak/>
        <w:t>defendant ‘intends to destroy or damage the property or being reckless as to whether any property would be destroyed or damaged’ even if it did not cause endangering the life of Ronan, Hadley might be criminally liable of Aggravated Criminal Damage.</w:t>
      </w:r>
    </w:p>
    <w:p w14:paraId="7D2F0E4C" w14:textId="77777777" w:rsidR="00D40262" w:rsidRPr="00D40262" w:rsidRDefault="00D40262" w:rsidP="00D40262">
      <w:pPr>
        <w:spacing w:line="360" w:lineRule="auto"/>
        <w:ind w:firstLine="720"/>
        <w:rPr>
          <w:rFonts w:ascii="Arial" w:hAnsi="Arial" w:cs="Arial"/>
          <w:color w:val="333333"/>
          <w:sz w:val="24"/>
          <w:szCs w:val="24"/>
          <w:shd w:val="clear" w:color="auto" w:fill="FFFFFF"/>
        </w:rPr>
      </w:pPr>
    </w:p>
    <w:p w14:paraId="1144819B" w14:textId="77777777" w:rsidR="00D40262" w:rsidRPr="00D40262" w:rsidRDefault="00D40262" w:rsidP="00D40262">
      <w:pPr>
        <w:spacing w:line="360" w:lineRule="auto"/>
        <w:ind w:firstLine="720"/>
        <w:rPr>
          <w:rFonts w:ascii="Arial" w:hAnsi="Arial" w:cs="Arial"/>
          <w:color w:val="333333"/>
          <w:sz w:val="24"/>
          <w:szCs w:val="24"/>
          <w:shd w:val="clear" w:color="auto" w:fill="FFFFFF"/>
        </w:rPr>
      </w:pPr>
      <w:r w:rsidRPr="00D40262">
        <w:rPr>
          <w:rFonts w:ascii="Arial" w:hAnsi="Arial" w:cs="Arial"/>
          <w:color w:val="333333"/>
          <w:sz w:val="24"/>
          <w:szCs w:val="24"/>
          <w:shd w:val="clear" w:color="auto" w:fill="FFFFFF"/>
        </w:rPr>
        <w:t>In the same way, Hadley might be liable of Burglary by using an extension of his arm, the bamboo stick to put through the cat flat to hook on the keys from inside to open the door as in the case of Brown (1985) whereas the defendant was found with the top half of his body in the shop which he broke into or in Ryan (1996) where the defendant got stuck into a window with his head and arm. The requirement for burglary is not only limited to theft but it is required to enter with intent, which in Hadley’s case he gained entry because he wanted to steal the ‘</w:t>
      </w:r>
      <w:proofErr w:type="spellStart"/>
      <w:r w:rsidRPr="00D40262">
        <w:rPr>
          <w:rFonts w:ascii="Arial" w:hAnsi="Arial" w:cs="Arial"/>
          <w:color w:val="333333"/>
          <w:sz w:val="24"/>
          <w:szCs w:val="24"/>
          <w:shd w:val="clear" w:color="auto" w:fill="FFFFFF"/>
        </w:rPr>
        <w:t>bucci</w:t>
      </w:r>
      <w:proofErr w:type="spellEnd"/>
      <w:r w:rsidRPr="00D40262">
        <w:rPr>
          <w:rFonts w:ascii="Arial" w:hAnsi="Arial" w:cs="Arial"/>
          <w:color w:val="333333"/>
          <w:sz w:val="24"/>
          <w:szCs w:val="24"/>
          <w:shd w:val="clear" w:color="auto" w:fill="FFFFFF"/>
        </w:rPr>
        <w:t>’ trainers. The s.9 (b) of the Theft Act 1968 states that ‘a person is guilty of burglary if He enters any building or part of a building as a trespasser with intent to commit any such offence as mentioned in subsection (2) below: Stealing anything in the building or part of a building, Inflicting GBH on any person inside, Doing unlawful criminal damage to the building or anything inside.’ The fact he could not find the ‘</w:t>
      </w:r>
      <w:proofErr w:type="spellStart"/>
      <w:r w:rsidRPr="00D40262">
        <w:rPr>
          <w:rFonts w:ascii="Arial" w:hAnsi="Arial" w:cs="Arial"/>
          <w:color w:val="333333"/>
          <w:sz w:val="24"/>
          <w:szCs w:val="24"/>
          <w:shd w:val="clear" w:color="auto" w:fill="FFFFFF"/>
        </w:rPr>
        <w:t>bucci</w:t>
      </w:r>
      <w:proofErr w:type="spellEnd"/>
      <w:r w:rsidRPr="00D40262">
        <w:rPr>
          <w:rFonts w:ascii="Arial" w:hAnsi="Arial" w:cs="Arial"/>
          <w:color w:val="333333"/>
          <w:sz w:val="24"/>
          <w:szCs w:val="24"/>
          <w:shd w:val="clear" w:color="auto" w:fill="FFFFFF"/>
        </w:rPr>
        <w:t>’ trainers but decided to steal the ‘</w:t>
      </w:r>
      <w:proofErr w:type="spellStart"/>
      <w:r w:rsidRPr="00D40262">
        <w:rPr>
          <w:rFonts w:ascii="Arial" w:hAnsi="Arial" w:cs="Arial"/>
          <w:color w:val="333333"/>
          <w:sz w:val="24"/>
          <w:szCs w:val="24"/>
          <w:shd w:val="clear" w:color="auto" w:fill="FFFFFF"/>
        </w:rPr>
        <w:t>kolex</w:t>
      </w:r>
      <w:proofErr w:type="spellEnd"/>
      <w:r w:rsidRPr="00D40262">
        <w:rPr>
          <w:rFonts w:ascii="Arial" w:hAnsi="Arial" w:cs="Arial"/>
          <w:color w:val="333333"/>
          <w:sz w:val="24"/>
          <w:szCs w:val="24"/>
          <w:shd w:val="clear" w:color="auto" w:fill="FFFFFF"/>
        </w:rPr>
        <w:t xml:space="preserve">’ watch made him criminally liable for theft as seen in the s.1 of the Theft Act 1968 which defines theft as ‘a person who dishonestly appropriates property belonging to another with the intention to of permanently depriving the other of it’. Hadley went into Ronan’s property with the intent to steal, and although the item he was looking for was not there, he still deprived Ronan permanently of the watch. The actus reus is the appropriation of another’s property and the </w:t>
      </w:r>
      <w:proofErr w:type="spellStart"/>
      <w:r w:rsidRPr="00D40262">
        <w:rPr>
          <w:rFonts w:ascii="Arial" w:hAnsi="Arial" w:cs="Arial"/>
          <w:color w:val="333333"/>
          <w:sz w:val="24"/>
          <w:szCs w:val="24"/>
          <w:shd w:val="clear" w:color="auto" w:fill="FFFFFF"/>
        </w:rPr>
        <w:t>mens</w:t>
      </w:r>
      <w:proofErr w:type="spellEnd"/>
      <w:r w:rsidRPr="00D40262">
        <w:rPr>
          <w:rFonts w:ascii="Arial" w:hAnsi="Arial" w:cs="Arial"/>
          <w:color w:val="333333"/>
          <w:sz w:val="24"/>
          <w:szCs w:val="24"/>
          <w:shd w:val="clear" w:color="auto" w:fill="FFFFFF"/>
        </w:rPr>
        <w:t xml:space="preserve"> rea is the intention to steal the trainers and the dishonest appropriation of the watch.</w:t>
      </w:r>
    </w:p>
    <w:p w14:paraId="63FC5AFC" w14:textId="0C2CE4DD" w:rsidR="00281BBC" w:rsidRDefault="00D40262" w:rsidP="00D40262">
      <w:pPr>
        <w:spacing w:line="360" w:lineRule="auto"/>
        <w:ind w:firstLine="720"/>
        <w:rPr>
          <w:rFonts w:ascii="Arial" w:hAnsi="Arial" w:cs="Arial"/>
          <w:color w:val="333333"/>
          <w:sz w:val="24"/>
          <w:szCs w:val="24"/>
          <w:shd w:val="clear" w:color="auto" w:fill="FFFFFF"/>
        </w:rPr>
      </w:pPr>
      <w:r w:rsidRPr="00D40262">
        <w:rPr>
          <w:rFonts w:ascii="Arial" w:hAnsi="Arial" w:cs="Arial"/>
          <w:color w:val="333333"/>
          <w:sz w:val="24"/>
          <w:szCs w:val="24"/>
          <w:shd w:val="clear" w:color="auto" w:fill="FFFFFF"/>
        </w:rPr>
        <w:t>Therefore, as explained above, my judgement is that Hadley could be liable for s.1 (1) of the Criminal Damage Act 1971, s.1 (2) of the Criminal Damage Act 1971, s.9 (b) of the Theft Act 1968 and s.1 of the Theft Act 1968</w:t>
      </w:r>
    </w:p>
    <w:p w14:paraId="7818FB56" w14:textId="716F1224" w:rsidR="00281BBC" w:rsidRDefault="00281BBC" w:rsidP="00521A57">
      <w:pPr>
        <w:spacing w:line="360" w:lineRule="auto"/>
        <w:ind w:firstLine="720"/>
        <w:rPr>
          <w:rFonts w:ascii="Arial" w:hAnsi="Arial" w:cs="Arial"/>
          <w:color w:val="333333"/>
          <w:sz w:val="24"/>
          <w:szCs w:val="24"/>
          <w:shd w:val="clear" w:color="auto" w:fill="FFFFFF"/>
        </w:rPr>
      </w:pPr>
    </w:p>
    <w:p w14:paraId="02D51D95" w14:textId="0053431A" w:rsidR="00281BBC" w:rsidRDefault="00281BBC" w:rsidP="00521A57">
      <w:pPr>
        <w:spacing w:line="360" w:lineRule="auto"/>
        <w:ind w:firstLine="720"/>
        <w:rPr>
          <w:rFonts w:ascii="Arial" w:hAnsi="Arial" w:cs="Arial"/>
          <w:color w:val="333333"/>
          <w:sz w:val="24"/>
          <w:szCs w:val="24"/>
          <w:shd w:val="clear" w:color="auto" w:fill="FFFFFF"/>
        </w:rPr>
      </w:pPr>
    </w:p>
    <w:p w14:paraId="380A948E" w14:textId="78E74A87" w:rsidR="00281BBC" w:rsidRDefault="00281BBC" w:rsidP="00D40262">
      <w:pPr>
        <w:spacing w:line="360" w:lineRule="auto"/>
        <w:rPr>
          <w:rFonts w:ascii="Arial" w:hAnsi="Arial" w:cs="Arial"/>
          <w:color w:val="333333"/>
          <w:sz w:val="24"/>
          <w:szCs w:val="24"/>
          <w:shd w:val="clear" w:color="auto" w:fill="FFFFFF"/>
        </w:rPr>
      </w:pPr>
    </w:p>
    <w:p w14:paraId="5C2325F0" w14:textId="77777777" w:rsidR="00D40262" w:rsidRDefault="00D40262" w:rsidP="00D40262">
      <w:pPr>
        <w:spacing w:line="360" w:lineRule="auto"/>
        <w:rPr>
          <w:rFonts w:ascii="Arial" w:hAnsi="Arial" w:cs="Arial"/>
          <w:color w:val="333333"/>
          <w:sz w:val="24"/>
          <w:szCs w:val="24"/>
          <w:shd w:val="clear" w:color="auto" w:fill="FFFFFF"/>
        </w:rPr>
      </w:pPr>
    </w:p>
    <w:p w14:paraId="3EF086D4" w14:textId="739BA1A5" w:rsidR="00281BBC" w:rsidRDefault="00281BBC" w:rsidP="00521A57">
      <w:pPr>
        <w:spacing w:line="360" w:lineRule="auto"/>
        <w:ind w:firstLine="720"/>
        <w:rPr>
          <w:rFonts w:ascii="Arial" w:hAnsi="Arial" w:cs="Arial"/>
          <w:color w:val="333333"/>
          <w:sz w:val="24"/>
          <w:szCs w:val="24"/>
          <w:shd w:val="clear" w:color="auto" w:fill="FFFFFF"/>
        </w:rPr>
      </w:pPr>
      <w:r>
        <w:rPr>
          <w:rFonts w:ascii="Arial" w:hAnsi="Arial" w:cs="Arial"/>
          <w:color w:val="333333"/>
          <w:sz w:val="24"/>
          <w:szCs w:val="24"/>
          <w:shd w:val="clear" w:color="auto" w:fill="FFFFFF"/>
        </w:rPr>
        <w:lastRenderedPageBreak/>
        <w:t>B- Would Freya be able to rely on the defences of intoxication and automatism in the event of being charged under S.47 Offences Against the Person Act 1861</w:t>
      </w:r>
    </w:p>
    <w:p w14:paraId="17115099" w14:textId="548F49E2" w:rsidR="00281BBC" w:rsidRDefault="00281BBC" w:rsidP="00521A57">
      <w:pPr>
        <w:spacing w:line="360" w:lineRule="auto"/>
        <w:ind w:firstLine="720"/>
        <w:rPr>
          <w:rFonts w:ascii="Arial" w:hAnsi="Arial" w:cs="Arial"/>
          <w:color w:val="333333"/>
          <w:sz w:val="24"/>
          <w:szCs w:val="24"/>
          <w:shd w:val="clear" w:color="auto" w:fill="FFFFFF"/>
        </w:rPr>
      </w:pPr>
    </w:p>
    <w:p w14:paraId="30012701" w14:textId="77777777" w:rsidR="00D40262" w:rsidRPr="00D40262" w:rsidRDefault="00D40262" w:rsidP="00D40262">
      <w:pPr>
        <w:spacing w:line="360" w:lineRule="auto"/>
        <w:ind w:firstLine="720"/>
        <w:rPr>
          <w:rFonts w:ascii="Arial" w:hAnsi="Arial" w:cs="Arial"/>
          <w:color w:val="333333"/>
          <w:sz w:val="24"/>
          <w:szCs w:val="24"/>
          <w:shd w:val="clear" w:color="auto" w:fill="FFFFFF"/>
        </w:rPr>
      </w:pPr>
      <w:r w:rsidRPr="00D40262">
        <w:rPr>
          <w:rFonts w:ascii="Arial" w:hAnsi="Arial" w:cs="Arial"/>
          <w:color w:val="333333"/>
          <w:sz w:val="24"/>
          <w:szCs w:val="24"/>
          <w:shd w:val="clear" w:color="auto" w:fill="FFFFFF"/>
        </w:rPr>
        <w:t>S.47 Offences Against the Person Act 1861 legally states that ‘the offence is committed when a person intentionally or recklessly assaults another, thereby causing Actual bodily harm’ (Crime Prosecution Service, 2018) as seen in Donovan (1934) case where the defendant was convicted of assault of a 17 years old as he had the intention to inflict bodily harm.</w:t>
      </w:r>
    </w:p>
    <w:p w14:paraId="37420E22" w14:textId="77777777" w:rsidR="00D40262" w:rsidRPr="00D40262" w:rsidRDefault="00D40262" w:rsidP="00D40262">
      <w:pPr>
        <w:spacing w:line="360" w:lineRule="auto"/>
        <w:ind w:firstLine="720"/>
        <w:rPr>
          <w:rFonts w:ascii="Arial" w:hAnsi="Arial" w:cs="Arial"/>
          <w:color w:val="333333"/>
          <w:sz w:val="24"/>
          <w:szCs w:val="24"/>
          <w:shd w:val="clear" w:color="auto" w:fill="FFFFFF"/>
        </w:rPr>
      </w:pPr>
      <w:r w:rsidRPr="00D40262">
        <w:rPr>
          <w:rFonts w:ascii="Arial" w:hAnsi="Arial" w:cs="Arial"/>
          <w:color w:val="333333"/>
          <w:sz w:val="24"/>
          <w:szCs w:val="24"/>
          <w:shd w:val="clear" w:color="auto" w:fill="FFFFFF"/>
        </w:rPr>
        <w:t xml:space="preserve">In order to plead automatism, the defendant, Freya, needs to show she had suffered a complete loss of voluntary control due to her seizure as an external factor and was not at fault in losing capacity, which the latter can be easily arguable since she voluntarily drank with her friend, Nikki previous to the seizure. One of the seizure triggers is alcohol intake, although it is difficult to establish in Freya’s case if her seizure was an alcohol-induced seizure or if she had a seizure due to her known epilepsy condition even if she didn’t have an episode for 10 years. (Schachter SC, </w:t>
      </w:r>
      <w:proofErr w:type="spellStart"/>
      <w:r w:rsidRPr="00D40262">
        <w:rPr>
          <w:rFonts w:ascii="Arial" w:hAnsi="Arial" w:cs="Arial"/>
          <w:color w:val="333333"/>
          <w:sz w:val="24"/>
          <w:szCs w:val="24"/>
          <w:shd w:val="clear" w:color="auto" w:fill="FFFFFF"/>
        </w:rPr>
        <w:t>nd</w:t>
      </w:r>
      <w:proofErr w:type="spellEnd"/>
      <w:r w:rsidRPr="00D40262">
        <w:rPr>
          <w:rFonts w:ascii="Arial" w:hAnsi="Arial" w:cs="Arial"/>
          <w:color w:val="333333"/>
          <w:sz w:val="24"/>
          <w:szCs w:val="24"/>
          <w:shd w:val="clear" w:color="auto" w:fill="FFFFFF"/>
        </w:rPr>
        <w:t xml:space="preserve">) </w:t>
      </w:r>
    </w:p>
    <w:p w14:paraId="7C24EDBD" w14:textId="77777777" w:rsidR="00D40262" w:rsidRPr="00D40262" w:rsidRDefault="00D40262" w:rsidP="00D40262">
      <w:pPr>
        <w:spacing w:line="360" w:lineRule="auto"/>
        <w:ind w:firstLine="720"/>
        <w:rPr>
          <w:rFonts w:ascii="Arial" w:hAnsi="Arial" w:cs="Arial"/>
          <w:color w:val="333333"/>
          <w:sz w:val="24"/>
          <w:szCs w:val="24"/>
          <w:shd w:val="clear" w:color="auto" w:fill="FFFFFF"/>
        </w:rPr>
      </w:pPr>
      <w:r w:rsidRPr="00D40262">
        <w:rPr>
          <w:rFonts w:ascii="Arial" w:hAnsi="Arial" w:cs="Arial"/>
          <w:color w:val="333333"/>
          <w:sz w:val="24"/>
          <w:szCs w:val="24"/>
          <w:shd w:val="clear" w:color="auto" w:fill="FFFFFF"/>
        </w:rPr>
        <w:t xml:space="preserve">However, Freya can argue she did not have the </w:t>
      </w:r>
      <w:proofErr w:type="spellStart"/>
      <w:r w:rsidRPr="00D40262">
        <w:rPr>
          <w:rFonts w:ascii="Arial" w:hAnsi="Arial" w:cs="Arial"/>
          <w:color w:val="333333"/>
          <w:sz w:val="24"/>
          <w:szCs w:val="24"/>
          <w:shd w:val="clear" w:color="auto" w:fill="FFFFFF"/>
        </w:rPr>
        <w:t>mens</w:t>
      </w:r>
      <w:proofErr w:type="spellEnd"/>
      <w:r w:rsidRPr="00D40262">
        <w:rPr>
          <w:rFonts w:ascii="Arial" w:hAnsi="Arial" w:cs="Arial"/>
          <w:color w:val="333333"/>
          <w:sz w:val="24"/>
          <w:szCs w:val="24"/>
          <w:shd w:val="clear" w:color="auto" w:fill="FFFFFF"/>
        </w:rPr>
        <w:t xml:space="preserve"> rea at the time she hit Mike, no intent was there but an involuntary act, she needs to prove she had a complete loss of voluntary control, as established in the case of Quick (1973) where the defendant attacked a nurse due to his hypoglycaemia which was not induced by diabetes itself but by the external factor- the insulin prescribed by the doctor. The </w:t>
      </w:r>
      <w:proofErr w:type="spellStart"/>
      <w:r w:rsidRPr="00D40262">
        <w:rPr>
          <w:rFonts w:ascii="Arial" w:hAnsi="Arial" w:cs="Arial"/>
          <w:color w:val="333333"/>
          <w:sz w:val="24"/>
          <w:szCs w:val="24"/>
          <w:shd w:val="clear" w:color="auto" w:fill="FFFFFF"/>
        </w:rPr>
        <w:t>M’Naghten</w:t>
      </w:r>
      <w:proofErr w:type="spellEnd"/>
      <w:r w:rsidRPr="00D40262">
        <w:rPr>
          <w:rFonts w:ascii="Arial" w:hAnsi="Arial" w:cs="Arial"/>
          <w:color w:val="333333"/>
          <w:sz w:val="24"/>
          <w:szCs w:val="24"/>
          <w:shd w:val="clear" w:color="auto" w:fill="FFFFFF"/>
        </w:rPr>
        <w:t xml:space="preserve"> rule is a tool that establishes criminal insanity; in the R v </w:t>
      </w:r>
      <w:proofErr w:type="spellStart"/>
      <w:r w:rsidRPr="00D40262">
        <w:rPr>
          <w:rFonts w:ascii="Arial" w:hAnsi="Arial" w:cs="Arial"/>
          <w:color w:val="333333"/>
          <w:sz w:val="24"/>
          <w:szCs w:val="24"/>
          <w:shd w:val="clear" w:color="auto" w:fill="FFFFFF"/>
        </w:rPr>
        <w:t>M’Naghten</w:t>
      </w:r>
      <w:proofErr w:type="spellEnd"/>
      <w:r w:rsidRPr="00D40262">
        <w:rPr>
          <w:rFonts w:ascii="Arial" w:hAnsi="Arial" w:cs="Arial"/>
          <w:color w:val="333333"/>
          <w:sz w:val="24"/>
          <w:szCs w:val="24"/>
          <w:shd w:val="clear" w:color="auto" w:fill="FFFFFF"/>
        </w:rPr>
        <w:t xml:space="preserve"> (1843) case, the defendant attempted to kill the president but instead, he shot and kill the prime minister whilst suffering from an insane delusion at the time of the killing. The House of Lords formulated then these rules which apply in determining if a person should be acquitted on the bases of insanity. Until 1991, most of the offenders who suffered from epilepsy were hospitalised or committed to a mental hospital even if there was no </w:t>
      </w:r>
      <w:proofErr w:type="gramStart"/>
      <w:r w:rsidRPr="00D40262">
        <w:rPr>
          <w:rFonts w:ascii="Arial" w:hAnsi="Arial" w:cs="Arial"/>
          <w:color w:val="333333"/>
          <w:sz w:val="24"/>
          <w:szCs w:val="24"/>
          <w:shd w:val="clear" w:color="auto" w:fill="FFFFFF"/>
        </w:rPr>
        <w:t>need;  nowadays</w:t>
      </w:r>
      <w:proofErr w:type="gramEnd"/>
      <w:r w:rsidRPr="00D40262">
        <w:rPr>
          <w:rFonts w:ascii="Arial" w:hAnsi="Arial" w:cs="Arial"/>
          <w:color w:val="333333"/>
          <w:sz w:val="24"/>
          <w:szCs w:val="24"/>
          <w:shd w:val="clear" w:color="auto" w:fill="FFFFFF"/>
        </w:rPr>
        <w:t>, the verdict of ‘not guilty by reason of insanity’ means that the defendant is ‘legally insane’. (</w:t>
      </w:r>
      <w:proofErr w:type="spellStart"/>
      <w:r w:rsidRPr="00D40262">
        <w:rPr>
          <w:rFonts w:ascii="Arial" w:hAnsi="Arial" w:cs="Arial"/>
          <w:color w:val="333333"/>
          <w:sz w:val="24"/>
          <w:szCs w:val="24"/>
          <w:shd w:val="clear" w:color="auto" w:fill="FFFFFF"/>
        </w:rPr>
        <w:t>Reuber</w:t>
      </w:r>
      <w:proofErr w:type="spellEnd"/>
      <w:r w:rsidRPr="00D40262">
        <w:rPr>
          <w:rFonts w:ascii="Arial" w:hAnsi="Arial" w:cs="Arial"/>
          <w:color w:val="333333"/>
          <w:sz w:val="24"/>
          <w:szCs w:val="24"/>
          <w:shd w:val="clear" w:color="auto" w:fill="FFFFFF"/>
        </w:rPr>
        <w:t xml:space="preserve"> and Mackay, 2008) Some conditions can be easily described as a disease of the mind </w:t>
      </w:r>
      <w:proofErr w:type="spellStart"/>
      <w:r w:rsidRPr="00D40262">
        <w:rPr>
          <w:rFonts w:ascii="Arial" w:hAnsi="Arial" w:cs="Arial"/>
          <w:color w:val="333333"/>
          <w:sz w:val="24"/>
          <w:szCs w:val="24"/>
          <w:shd w:val="clear" w:color="auto" w:fill="FFFFFF"/>
        </w:rPr>
        <w:t>I.e</w:t>
      </w:r>
      <w:proofErr w:type="spellEnd"/>
      <w:r w:rsidRPr="00D40262">
        <w:rPr>
          <w:rFonts w:ascii="Arial" w:hAnsi="Arial" w:cs="Arial"/>
          <w:color w:val="333333"/>
          <w:sz w:val="24"/>
          <w:szCs w:val="24"/>
          <w:shd w:val="clear" w:color="auto" w:fill="FFFFFF"/>
        </w:rPr>
        <w:t xml:space="preserve"> schizophrenia, the broad interpretation of this includes other mental disorders such as epilepsy, </w:t>
      </w:r>
      <w:proofErr w:type="gramStart"/>
      <w:r w:rsidRPr="00D40262">
        <w:rPr>
          <w:rFonts w:ascii="Arial" w:hAnsi="Arial" w:cs="Arial"/>
          <w:color w:val="333333"/>
          <w:sz w:val="24"/>
          <w:szCs w:val="24"/>
          <w:shd w:val="clear" w:color="auto" w:fill="FFFFFF"/>
        </w:rPr>
        <w:t>diabetes</w:t>
      </w:r>
      <w:proofErr w:type="gramEnd"/>
      <w:r w:rsidRPr="00D40262">
        <w:rPr>
          <w:rFonts w:ascii="Arial" w:hAnsi="Arial" w:cs="Arial"/>
          <w:color w:val="333333"/>
          <w:sz w:val="24"/>
          <w:szCs w:val="24"/>
          <w:shd w:val="clear" w:color="auto" w:fill="FFFFFF"/>
        </w:rPr>
        <w:t xml:space="preserve"> and sleepwalking. The defendant, Freya, might be able then to rely on the fact that the defect of reason element was </w:t>
      </w:r>
      <w:r w:rsidRPr="00D40262">
        <w:rPr>
          <w:rFonts w:ascii="Arial" w:hAnsi="Arial" w:cs="Arial"/>
          <w:color w:val="333333"/>
          <w:sz w:val="24"/>
          <w:szCs w:val="24"/>
          <w:shd w:val="clear" w:color="auto" w:fill="FFFFFF"/>
        </w:rPr>
        <w:lastRenderedPageBreak/>
        <w:t xml:space="preserve">caused by a disease of the mind as seen in the Sullivan (1984) case where the defendant suffered from epilepsy and kicked a man; the court ruled that the appropriate defence was insanity, not automatism. In Freya’s case, the fact that she drank alcohol before having the seizure indicates non-insane automatism, therefore an external factor, alcohol consumption, the plea is not guilty because of insanity at the time of the offence. </w:t>
      </w:r>
    </w:p>
    <w:p w14:paraId="2FC15F20" w14:textId="77777777" w:rsidR="00D40262" w:rsidRPr="00D40262" w:rsidRDefault="00D40262" w:rsidP="00D40262">
      <w:pPr>
        <w:spacing w:line="360" w:lineRule="auto"/>
        <w:ind w:firstLine="720"/>
        <w:rPr>
          <w:rFonts w:ascii="Arial" w:hAnsi="Arial" w:cs="Arial"/>
          <w:color w:val="333333"/>
          <w:sz w:val="24"/>
          <w:szCs w:val="24"/>
          <w:shd w:val="clear" w:color="auto" w:fill="FFFFFF"/>
        </w:rPr>
      </w:pPr>
    </w:p>
    <w:p w14:paraId="286B2505" w14:textId="77777777" w:rsidR="00D40262" w:rsidRPr="00D40262" w:rsidRDefault="00D40262" w:rsidP="00D40262">
      <w:pPr>
        <w:spacing w:line="360" w:lineRule="auto"/>
        <w:ind w:firstLine="720"/>
        <w:rPr>
          <w:rFonts w:ascii="Arial" w:hAnsi="Arial" w:cs="Arial"/>
          <w:color w:val="333333"/>
          <w:sz w:val="24"/>
          <w:szCs w:val="24"/>
          <w:shd w:val="clear" w:color="auto" w:fill="FFFFFF"/>
        </w:rPr>
      </w:pPr>
      <w:r w:rsidRPr="00D40262">
        <w:rPr>
          <w:rFonts w:ascii="Arial" w:hAnsi="Arial" w:cs="Arial"/>
          <w:color w:val="333333"/>
          <w:sz w:val="24"/>
          <w:szCs w:val="24"/>
          <w:shd w:val="clear" w:color="auto" w:fill="FFFFFF"/>
        </w:rPr>
        <w:t xml:space="preserve">The interaction of insanity, automatism and intoxication was addressed by Lord Justice Hughes which stated that “the law refuses a matter of policy to afford a general defence to an offender on the basis of his own voluntary intoxication”. (Law </w:t>
      </w:r>
      <w:proofErr w:type="spellStart"/>
      <w:r w:rsidRPr="00D40262">
        <w:rPr>
          <w:rFonts w:ascii="Arial" w:hAnsi="Arial" w:cs="Arial"/>
          <w:color w:val="333333"/>
          <w:sz w:val="24"/>
          <w:szCs w:val="24"/>
          <w:shd w:val="clear" w:color="auto" w:fill="FFFFFF"/>
        </w:rPr>
        <w:t>Comission</w:t>
      </w:r>
      <w:proofErr w:type="spellEnd"/>
      <w:r w:rsidRPr="00D40262">
        <w:rPr>
          <w:rFonts w:ascii="Arial" w:hAnsi="Arial" w:cs="Arial"/>
          <w:color w:val="333333"/>
          <w:sz w:val="24"/>
          <w:szCs w:val="24"/>
          <w:shd w:val="clear" w:color="auto" w:fill="FFFFFF"/>
        </w:rPr>
        <w:t xml:space="preserve">, 2009) In </w:t>
      </w:r>
      <w:proofErr w:type="spellStart"/>
      <w:r w:rsidRPr="00D40262">
        <w:rPr>
          <w:rFonts w:ascii="Arial" w:hAnsi="Arial" w:cs="Arial"/>
          <w:color w:val="333333"/>
          <w:sz w:val="24"/>
          <w:szCs w:val="24"/>
          <w:shd w:val="clear" w:color="auto" w:fill="FFFFFF"/>
        </w:rPr>
        <w:t>DDPv</w:t>
      </w:r>
      <w:proofErr w:type="spellEnd"/>
      <w:r w:rsidRPr="00D40262">
        <w:rPr>
          <w:rFonts w:ascii="Arial" w:hAnsi="Arial" w:cs="Arial"/>
          <w:color w:val="333333"/>
          <w:sz w:val="24"/>
          <w:szCs w:val="24"/>
          <w:shd w:val="clear" w:color="auto" w:fill="FFFFFF"/>
        </w:rPr>
        <w:t xml:space="preserve"> Majewski (1977) the defendant has consumed a large </w:t>
      </w:r>
      <w:proofErr w:type="gramStart"/>
      <w:r w:rsidRPr="00D40262">
        <w:rPr>
          <w:rFonts w:ascii="Arial" w:hAnsi="Arial" w:cs="Arial"/>
          <w:color w:val="333333"/>
          <w:sz w:val="24"/>
          <w:szCs w:val="24"/>
          <w:shd w:val="clear" w:color="auto" w:fill="FFFFFF"/>
        </w:rPr>
        <w:t>amount</w:t>
      </w:r>
      <w:proofErr w:type="gramEnd"/>
      <w:r w:rsidRPr="00D40262">
        <w:rPr>
          <w:rFonts w:ascii="Arial" w:hAnsi="Arial" w:cs="Arial"/>
          <w:color w:val="333333"/>
          <w:sz w:val="24"/>
          <w:szCs w:val="24"/>
          <w:shd w:val="clear" w:color="auto" w:fill="FFFFFF"/>
        </w:rPr>
        <w:t xml:space="preserve"> of drugs over a 48 hour period, went to a pub to have a drink then got into a fight and assaulted the arresting officer, the defendant stated he had no recollection of the event due to intoxication. His crime was a basic intent </w:t>
      </w:r>
      <w:proofErr w:type="gramStart"/>
      <w:r w:rsidRPr="00D40262">
        <w:rPr>
          <w:rFonts w:ascii="Arial" w:hAnsi="Arial" w:cs="Arial"/>
          <w:color w:val="333333"/>
          <w:sz w:val="24"/>
          <w:szCs w:val="24"/>
          <w:shd w:val="clear" w:color="auto" w:fill="FFFFFF"/>
        </w:rPr>
        <w:t>crime</w:t>
      </w:r>
      <w:proofErr w:type="gramEnd"/>
      <w:r w:rsidRPr="00D40262">
        <w:rPr>
          <w:rFonts w:ascii="Arial" w:hAnsi="Arial" w:cs="Arial"/>
          <w:color w:val="333333"/>
          <w:sz w:val="24"/>
          <w:szCs w:val="24"/>
          <w:shd w:val="clear" w:color="auto" w:fill="FFFFFF"/>
        </w:rPr>
        <w:t xml:space="preserve"> and he could not form a defence pleading intoxication. Voluntary intoxication is never a defence to a crime of basic intent. (The Crown Prosecution Service, 2018) </w:t>
      </w:r>
    </w:p>
    <w:p w14:paraId="3177F4DA" w14:textId="77777777" w:rsidR="00D40262" w:rsidRPr="00D40262" w:rsidRDefault="00D40262" w:rsidP="00D40262">
      <w:pPr>
        <w:spacing w:line="360" w:lineRule="auto"/>
        <w:ind w:firstLine="720"/>
        <w:rPr>
          <w:rFonts w:ascii="Arial" w:hAnsi="Arial" w:cs="Arial"/>
          <w:color w:val="333333"/>
          <w:sz w:val="24"/>
          <w:szCs w:val="24"/>
          <w:shd w:val="clear" w:color="auto" w:fill="FFFFFF"/>
        </w:rPr>
      </w:pPr>
    </w:p>
    <w:p w14:paraId="2C70F460" w14:textId="61F92656" w:rsidR="00436708" w:rsidRDefault="00D40262" w:rsidP="00D40262">
      <w:pPr>
        <w:spacing w:line="360" w:lineRule="auto"/>
        <w:ind w:firstLine="720"/>
        <w:rPr>
          <w:rFonts w:ascii="Arial" w:hAnsi="Arial" w:cs="Arial"/>
          <w:color w:val="333333"/>
          <w:sz w:val="24"/>
          <w:szCs w:val="24"/>
          <w:shd w:val="clear" w:color="auto" w:fill="FFFFFF"/>
        </w:rPr>
      </w:pPr>
      <w:r w:rsidRPr="00D40262">
        <w:rPr>
          <w:rFonts w:ascii="Arial" w:hAnsi="Arial" w:cs="Arial"/>
          <w:color w:val="333333"/>
          <w:sz w:val="24"/>
          <w:szCs w:val="24"/>
          <w:shd w:val="clear" w:color="auto" w:fill="FFFFFF"/>
        </w:rPr>
        <w:t>To sum it all up, Freya could rely on the defence of non-insane automatism due to alcohol consumption and not on intoxication as her intoxication resulted in assault occasioning Actual Bodily Harm under s.47 Offences Against the Person Act 1861.</w:t>
      </w:r>
    </w:p>
    <w:p w14:paraId="50F15EDF" w14:textId="56D17138" w:rsidR="00436708" w:rsidRDefault="00436708" w:rsidP="00281BBC">
      <w:pPr>
        <w:spacing w:line="360" w:lineRule="auto"/>
        <w:ind w:firstLine="720"/>
        <w:rPr>
          <w:rFonts w:ascii="Arial" w:hAnsi="Arial" w:cs="Arial"/>
          <w:color w:val="333333"/>
          <w:sz w:val="24"/>
          <w:szCs w:val="24"/>
          <w:shd w:val="clear" w:color="auto" w:fill="FFFFFF"/>
        </w:rPr>
      </w:pPr>
    </w:p>
    <w:p w14:paraId="3BF153E0" w14:textId="342B8CBF" w:rsidR="00436708" w:rsidRDefault="00436708" w:rsidP="00281BBC">
      <w:pPr>
        <w:spacing w:line="360" w:lineRule="auto"/>
        <w:ind w:firstLine="720"/>
        <w:rPr>
          <w:rFonts w:ascii="Arial" w:hAnsi="Arial" w:cs="Arial"/>
          <w:color w:val="333333"/>
          <w:sz w:val="24"/>
          <w:szCs w:val="24"/>
          <w:shd w:val="clear" w:color="auto" w:fill="FFFFFF"/>
        </w:rPr>
      </w:pPr>
    </w:p>
    <w:p w14:paraId="05C34319" w14:textId="2EF1C30A" w:rsidR="00436708" w:rsidRDefault="00436708" w:rsidP="00281BBC">
      <w:pPr>
        <w:spacing w:line="360" w:lineRule="auto"/>
        <w:ind w:firstLine="720"/>
        <w:rPr>
          <w:rFonts w:ascii="Arial" w:hAnsi="Arial" w:cs="Arial"/>
          <w:color w:val="333333"/>
          <w:sz w:val="24"/>
          <w:szCs w:val="24"/>
          <w:shd w:val="clear" w:color="auto" w:fill="FFFFFF"/>
        </w:rPr>
      </w:pPr>
    </w:p>
    <w:p w14:paraId="0BD42FE0" w14:textId="663D64A9" w:rsidR="00436708" w:rsidRDefault="00436708" w:rsidP="00281BBC">
      <w:pPr>
        <w:spacing w:line="360" w:lineRule="auto"/>
        <w:ind w:firstLine="720"/>
        <w:rPr>
          <w:rFonts w:ascii="Arial" w:hAnsi="Arial" w:cs="Arial"/>
          <w:color w:val="333333"/>
          <w:sz w:val="24"/>
          <w:szCs w:val="24"/>
          <w:shd w:val="clear" w:color="auto" w:fill="FFFFFF"/>
        </w:rPr>
      </w:pPr>
    </w:p>
    <w:p w14:paraId="5C4BA1C0" w14:textId="5C893457" w:rsidR="00436708" w:rsidRDefault="00436708" w:rsidP="00281BBC">
      <w:pPr>
        <w:spacing w:line="360" w:lineRule="auto"/>
        <w:ind w:firstLine="720"/>
        <w:rPr>
          <w:rFonts w:ascii="Arial" w:hAnsi="Arial" w:cs="Arial"/>
          <w:color w:val="333333"/>
          <w:sz w:val="24"/>
          <w:szCs w:val="24"/>
          <w:shd w:val="clear" w:color="auto" w:fill="FFFFFF"/>
        </w:rPr>
      </w:pPr>
    </w:p>
    <w:p w14:paraId="16A9D589" w14:textId="0C7199C7" w:rsidR="00436708" w:rsidRDefault="00436708" w:rsidP="00281BBC">
      <w:pPr>
        <w:spacing w:line="360" w:lineRule="auto"/>
        <w:ind w:firstLine="720"/>
        <w:rPr>
          <w:rFonts w:ascii="Arial" w:hAnsi="Arial" w:cs="Arial"/>
          <w:color w:val="333333"/>
          <w:sz w:val="24"/>
          <w:szCs w:val="24"/>
          <w:shd w:val="clear" w:color="auto" w:fill="FFFFFF"/>
        </w:rPr>
      </w:pPr>
    </w:p>
    <w:p w14:paraId="7D2512D3" w14:textId="3E48211F" w:rsidR="00436708" w:rsidRDefault="00436708" w:rsidP="00281BBC">
      <w:pPr>
        <w:spacing w:line="360" w:lineRule="auto"/>
        <w:ind w:firstLine="720"/>
        <w:rPr>
          <w:rFonts w:ascii="Arial" w:hAnsi="Arial" w:cs="Arial"/>
          <w:color w:val="333333"/>
          <w:sz w:val="24"/>
          <w:szCs w:val="24"/>
          <w:shd w:val="clear" w:color="auto" w:fill="FFFFFF"/>
        </w:rPr>
      </w:pPr>
    </w:p>
    <w:p w14:paraId="702B78A7" w14:textId="4B733CA2" w:rsidR="00D40262" w:rsidRDefault="00D40262" w:rsidP="00281BBC">
      <w:pPr>
        <w:spacing w:line="360" w:lineRule="auto"/>
        <w:ind w:firstLine="720"/>
        <w:rPr>
          <w:rFonts w:ascii="Arial" w:hAnsi="Arial" w:cs="Arial"/>
          <w:color w:val="333333"/>
          <w:sz w:val="24"/>
          <w:szCs w:val="24"/>
          <w:shd w:val="clear" w:color="auto" w:fill="FFFFFF"/>
        </w:rPr>
      </w:pPr>
    </w:p>
    <w:p w14:paraId="1EE9E187" w14:textId="0D7DC73F" w:rsidR="00D40262" w:rsidRDefault="00D40262" w:rsidP="00281BBC">
      <w:pPr>
        <w:spacing w:line="360" w:lineRule="auto"/>
        <w:ind w:firstLine="720"/>
        <w:rPr>
          <w:rFonts w:ascii="Arial" w:hAnsi="Arial" w:cs="Arial"/>
          <w:color w:val="333333"/>
          <w:sz w:val="24"/>
          <w:szCs w:val="24"/>
          <w:shd w:val="clear" w:color="auto" w:fill="FFFFFF"/>
        </w:rPr>
      </w:pPr>
    </w:p>
    <w:p w14:paraId="2D516F24" w14:textId="282174D9" w:rsidR="00D40262" w:rsidRDefault="00D40262" w:rsidP="00281BBC">
      <w:pPr>
        <w:spacing w:line="360" w:lineRule="auto"/>
        <w:ind w:firstLine="720"/>
        <w:rPr>
          <w:rFonts w:ascii="Arial" w:hAnsi="Arial" w:cs="Arial"/>
          <w:color w:val="333333"/>
          <w:sz w:val="24"/>
          <w:szCs w:val="24"/>
          <w:shd w:val="clear" w:color="auto" w:fill="FFFFFF"/>
        </w:rPr>
      </w:pPr>
    </w:p>
    <w:p w14:paraId="268C6839" w14:textId="77777777" w:rsidR="00D40262" w:rsidRDefault="00D40262" w:rsidP="00281BBC">
      <w:pPr>
        <w:spacing w:line="360" w:lineRule="auto"/>
        <w:ind w:firstLine="720"/>
        <w:rPr>
          <w:rFonts w:ascii="Arial" w:hAnsi="Arial" w:cs="Arial"/>
          <w:color w:val="333333"/>
          <w:sz w:val="24"/>
          <w:szCs w:val="24"/>
          <w:shd w:val="clear" w:color="auto" w:fill="FFFFFF"/>
        </w:rPr>
      </w:pPr>
    </w:p>
    <w:p w14:paraId="258D2A24" w14:textId="339673F5" w:rsidR="00436708" w:rsidRDefault="00436708" w:rsidP="00281BBC">
      <w:pPr>
        <w:spacing w:line="360" w:lineRule="auto"/>
        <w:ind w:firstLine="720"/>
        <w:rPr>
          <w:rFonts w:ascii="Arial" w:hAnsi="Arial" w:cs="Arial"/>
          <w:color w:val="333333"/>
          <w:sz w:val="24"/>
          <w:szCs w:val="24"/>
          <w:shd w:val="clear" w:color="auto" w:fill="FFFFFF"/>
        </w:rPr>
      </w:pPr>
    </w:p>
    <w:p w14:paraId="77F4251C" w14:textId="2420D13C" w:rsidR="00436708" w:rsidRDefault="009179FF" w:rsidP="00A35176">
      <w:pPr>
        <w:spacing w:line="360" w:lineRule="auto"/>
        <w:rPr>
          <w:rFonts w:ascii="Arial" w:hAnsi="Arial" w:cs="Arial"/>
          <w:color w:val="333333"/>
          <w:sz w:val="24"/>
          <w:szCs w:val="24"/>
          <w:shd w:val="clear" w:color="auto" w:fill="FFFFFF"/>
        </w:rPr>
      </w:pPr>
      <w:r>
        <w:rPr>
          <w:rFonts w:ascii="Arial" w:hAnsi="Arial" w:cs="Arial"/>
          <w:color w:val="333333"/>
          <w:sz w:val="24"/>
          <w:szCs w:val="24"/>
          <w:shd w:val="clear" w:color="auto" w:fill="FFFFFF"/>
        </w:rPr>
        <w:lastRenderedPageBreak/>
        <w:t>Reference List:</w:t>
      </w:r>
    </w:p>
    <w:p w14:paraId="2A89E723" w14:textId="168CB550" w:rsidR="00436708" w:rsidRDefault="00436708" w:rsidP="00281BBC">
      <w:pPr>
        <w:spacing w:line="360" w:lineRule="auto"/>
        <w:ind w:firstLine="720"/>
        <w:rPr>
          <w:rFonts w:ascii="Arial" w:hAnsi="Arial" w:cs="Arial"/>
          <w:color w:val="333333"/>
          <w:sz w:val="24"/>
          <w:szCs w:val="24"/>
          <w:shd w:val="clear" w:color="auto" w:fill="FFFFFF"/>
        </w:rPr>
      </w:pPr>
    </w:p>
    <w:p w14:paraId="3682E9F1" w14:textId="77777777" w:rsidR="009179FF" w:rsidRPr="009179FF" w:rsidRDefault="009179FF" w:rsidP="009179FF">
      <w:pPr>
        <w:pStyle w:val="ListParagraph"/>
        <w:spacing w:line="360" w:lineRule="auto"/>
        <w:ind w:left="1440"/>
        <w:rPr>
          <w:rFonts w:ascii="Arial" w:hAnsi="Arial" w:cs="Arial"/>
          <w:color w:val="333333"/>
          <w:sz w:val="24"/>
          <w:szCs w:val="24"/>
          <w:shd w:val="clear" w:color="auto" w:fill="FFFFFF"/>
        </w:rPr>
      </w:pPr>
    </w:p>
    <w:p w14:paraId="2B2DDD44" w14:textId="64A310D5" w:rsidR="00436708" w:rsidRPr="00A35176" w:rsidRDefault="009179FF" w:rsidP="00A35176">
      <w:pPr>
        <w:pStyle w:val="ListParagraph"/>
        <w:numPr>
          <w:ilvl w:val="0"/>
          <w:numId w:val="4"/>
        </w:numPr>
        <w:spacing w:line="360" w:lineRule="auto"/>
        <w:rPr>
          <w:rFonts w:ascii="Arial" w:hAnsi="Arial" w:cs="Arial"/>
          <w:color w:val="333333"/>
          <w:sz w:val="24"/>
          <w:szCs w:val="24"/>
          <w:shd w:val="clear" w:color="auto" w:fill="FFFFFF"/>
        </w:rPr>
      </w:pPr>
      <w:r w:rsidRPr="00A35176">
        <w:rPr>
          <w:rFonts w:ascii="Arial" w:hAnsi="Arial" w:cs="Arial"/>
          <w:color w:val="333333"/>
          <w:sz w:val="24"/>
          <w:szCs w:val="24"/>
          <w:shd w:val="clear" w:color="auto" w:fill="FFFFFF"/>
        </w:rPr>
        <w:t xml:space="preserve">Herring, J. (2020). CRIMINAL </w:t>
      </w:r>
      <w:proofErr w:type="gramStart"/>
      <w:r w:rsidRPr="00A35176">
        <w:rPr>
          <w:rFonts w:ascii="Arial" w:hAnsi="Arial" w:cs="Arial"/>
          <w:color w:val="333333"/>
          <w:sz w:val="24"/>
          <w:szCs w:val="24"/>
          <w:shd w:val="clear" w:color="auto" w:fill="FFFFFF"/>
        </w:rPr>
        <w:t>LAW :</w:t>
      </w:r>
      <w:proofErr w:type="gramEnd"/>
      <w:r w:rsidRPr="00A35176">
        <w:rPr>
          <w:rFonts w:ascii="Arial" w:hAnsi="Arial" w:cs="Arial"/>
          <w:color w:val="333333"/>
          <w:sz w:val="24"/>
          <w:szCs w:val="24"/>
          <w:shd w:val="clear" w:color="auto" w:fill="FFFFFF"/>
        </w:rPr>
        <w:t xml:space="preserve"> text, cases, and materials. 9th ed. S.L.: Oxford </w:t>
      </w:r>
      <w:proofErr w:type="spellStart"/>
      <w:r w:rsidRPr="00A35176">
        <w:rPr>
          <w:rFonts w:ascii="Arial" w:hAnsi="Arial" w:cs="Arial"/>
          <w:color w:val="333333"/>
          <w:sz w:val="24"/>
          <w:szCs w:val="24"/>
          <w:shd w:val="clear" w:color="auto" w:fill="FFFFFF"/>
        </w:rPr>
        <w:t>Univ</w:t>
      </w:r>
      <w:proofErr w:type="spellEnd"/>
      <w:r w:rsidRPr="00A35176">
        <w:rPr>
          <w:rFonts w:ascii="Arial" w:hAnsi="Arial" w:cs="Arial"/>
          <w:color w:val="333333"/>
          <w:sz w:val="24"/>
          <w:szCs w:val="24"/>
          <w:shd w:val="clear" w:color="auto" w:fill="FFFFFF"/>
        </w:rPr>
        <w:t xml:space="preserve"> Press, pp.640–701.</w:t>
      </w:r>
      <w:r w:rsidRPr="00A35176">
        <w:rPr>
          <w:rFonts w:ascii="Arial" w:hAnsi="Arial" w:cs="Arial"/>
          <w:color w:val="333333"/>
          <w:sz w:val="24"/>
          <w:szCs w:val="24"/>
          <w:shd w:val="clear" w:color="auto" w:fill="FFFFFF"/>
        </w:rPr>
        <w:t xml:space="preserve">, ISBN </w:t>
      </w:r>
      <w:r w:rsidRPr="00A35176">
        <w:rPr>
          <w:rFonts w:ascii="Arial" w:hAnsi="Arial" w:cs="Arial"/>
          <w:color w:val="333333"/>
          <w:sz w:val="24"/>
          <w:szCs w:val="24"/>
          <w:shd w:val="clear" w:color="auto" w:fill="FFFFFF"/>
        </w:rPr>
        <w:t>9780198848479</w:t>
      </w:r>
    </w:p>
    <w:p w14:paraId="72560489" w14:textId="0441FBC7" w:rsidR="00F361AD" w:rsidRPr="00F361AD" w:rsidRDefault="00F361AD" w:rsidP="00A35176">
      <w:pPr>
        <w:pStyle w:val="ListParagraph"/>
        <w:numPr>
          <w:ilvl w:val="0"/>
          <w:numId w:val="4"/>
        </w:numPr>
        <w:spacing w:line="360" w:lineRule="auto"/>
        <w:rPr>
          <w:rFonts w:ascii="Arial" w:hAnsi="Arial" w:cs="Arial"/>
          <w:color w:val="333333"/>
          <w:sz w:val="24"/>
          <w:szCs w:val="24"/>
          <w:shd w:val="clear" w:color="auto" w:fill="FFFFFF"/>
        </w:rPr>
      </w:pPr>
      <w:r w:rsidRPr="00F361AD">
        <w:rPr>
          <w:rFonts w:ascii="Arial" w:hAnsi="Arial" w:cs="Arial"/>
          <w:color w:val="333333"/>
          <w:sz w:val="24"/>
          <w:szCs w:val="24"/>
          <w:shd w:val="clear" w:color="auto" w:fill="FFFFFF"/>
        </w:rPr>
        <w:t xml:space="preserve">Criminal Liability: Insanity and Automatism A Discussion Paper. (2013). [online] Available at: </w:t>
      </w:r>
      <w:hyperlink r:id="rId5" w:history="1">
        <w:r w:rsidRPr="0010429C">
          <w:rPr>
            <w:rStyle w:val="Hyperlink"/>
            <w:rFonts w:ascii="Arial" w:hAnsi="Arial" w:cs="Arial"/>
            <w:sz w:val="24"/>
            <w:szCs w:val="24"/>
            <w:shd w:val="clear" w:color="auto" w:fill="FFFFFF"/>
          </w:rPr>
          <w:t>https://www.lawcom.gov.uk/app/uploads/2015/06/insanity_discussion.pdf</w:t>
        </w:r>
      </w:hyperlink>
      <w:r w:rsidRPr="00F361AD">
        <w:rPr>
          <w:rFonts w:ascii="Arial" w:hAnsi="Arial" w:cs="Arial"/>
          <w:color w:val="333333"/>
          <w:sz w:val="24"/>
          <w:szCs w:val="24"/>
          <w:shd w:val="clear" w:color="auto" w:fill="FFFFFF"/>
        </w:rPr>
        <w:t>.</w:t>
      </w:r>
      <w:r>
        <w:rPr>
          <w:rFonts w:ascii="Arial" w:hAnsi="Arial" w:cs="Arial"/>
          <w:color w:val="333333"/>
          <w:sz w:val="24"/>
          <w:szCs w:val="24"/>
          <w:shd w:val="clear" w:color="auto" w:fill="FFFFFF"/>
        </w:rPr>
        <w:t xml:space="preserve"> Accessed 08/01/23</w:t>
      </w:r>
    </w:p>
    <w:p w14:paraId="30692DEA" w14:textId="3BFFACD2" w:rsidR="00F361AD" w:rsidRPr="00F361AD" w:rsidRDefault="00F361AD" w:rsidP="00A35176">
      <w:pPr>
        <w:pStyle w:val="ListParagraph"/>
        <w:numPr>
          <w:ilvl w:val="0"/>
          <w:numId w:val="4"/>
        </w:numPr>
        <w:spacing w:line="360" w:lineRule="auto"/>
        <w:rPr>
          <w:rFonts w:ascii="Arial" w:hAnsi="Arial" w:cs="Arial"/>
          <w:color w:val="333333"/>
          <w:sz w:val="24"/>
          <w:szCs w:val="24"/>
          <w:shd w:val="clear" w:color="auto" w:fill="FFFFFF"/>
        </w:rPr>
      </w:pPr>
      <w:r w:rsidRPr="00F361AD">
        <w:rPr>
          <w:rFonts w:ascii="Arial" w:hAnsi="Arial" w:cs="Arial"/>
          <w:color w:val="333333"/>
          <w:sz w:val="24"/>
          <w:szCs w:val="24"/>
          <w:shd w:val="clear" w:color="auto" w:fill="FFFFFF"/>
        </w:rPr>
        <w:t xml:space="preserve">Steven C. Schachter, MD (n.d.). Alcohol as a Seizure Trigger. [online] Epilepsy Foundation. Available at: </w:t>
      </w:r>
      <w:hyperlink r:id="rId6" w:history="1">
        <w:r w:rsidRPr="0010429C">
          <w:rPr>
            <w:rStyle w:val="Hyperlink"/>
            <w:rFonts w:ascii="Arial" w:hAnsi="Arial" w:cs="Arial"/>
            <w:sz w:val="24"/>
            <w:szCs w:val="24"/>
            <w:shd w:val="clear" w:color="auto" w:fill="FFFFFF"/>
          </w:rPr>
          <w:t>https://www.epilepsy.com/what-is-epilepsy/seizure-triggers/alcohol</w:t>
        </w:r>
      </w:hyperlink>
      <w:r w:rsidRPr="00F361AD">
        <w:rPr>
          <w:rFonts w:ascii="Arial" w:hAnsi="Arial" w:cs="Arial"/>
          <w:color w:val="333333"/>
          <w:sz w:val="24"/>
          <w:szCs w:val="24"/>
          <w:shd w:val="clear" w:color="auto" w:fill="FFFFFF"/>
        </w:rPr>
        <w:t>.</w:t>
      </w:r>
      <w:r>
        <w:rPr>
          <w:rFonts w:ascii="Arial" w:hAnsi="Arial" w:cs="Arial"/>
          <w:color w:val="333333"/>
          <w:sz w:val="24"/>
          <w:szCs w:val="24"/>
          <w:shd w:val="clear" w:color="auto" w:fill="FFFFFF"/>
        </w:rPr>
        <w:t xml:space="preserve"> Accessed 07/08/23</w:t>
      </w:r>
    </w:p>
    <w:p w14:paraId="5EC9AFBE" w14:textId="3DBDE92C" w:rsidR="009179FF" w:rsidRDefault="00F361AD" w:rsidP="00A35176">
      <w:pPr>
        <w:pStyle w:val="ListParagraph"/>
        <w:numPr>
          <w:ilvl w:val="0"/>
          <w:numId w:val="4"/>
        </w:numPr>
        <w:spacing w:line="360" w:lineRule="auto"/>
        <w:rPr>
          <w:rFonts w:ascii="Arial" w:hAnsi="Arial" w:cs="Arial"/>
          <w:color w:val="333333"/>
          <w:sz w:val="24"/>
          <w:szCs w:val="24"/>
          <w:shd w:val="clear" w:color="auto" w:fill="FFFFFF"/>
        </w:rPr>
      </w:pPr>
      <w:r w:rsidRPr="00F361AD">
        <w:rPr>
          <w:rFonts w:ascii="Arial" w:hAnsi="Arial" w:cs="Arial"/>
          <w:color w:val="333333"/>
          <w:sz w:val="24"/>
          <w:szCs w:val="24"/>
          <w:shd w:val="clear" w:color="auto" w:fill="FFFFFF"/>
        </w:rPr>
        <w:t xml:space="preserve">The Crown Prosecution Service (2018). Intoxication | The Crown Prosecution Service. [online] Cps.gov.uk. Available at: </w:t>
      </w:r>
      <w:hyperlink r:id="rId7" w:history="1">
        <w:r w:rsidRPr="0010429C">
          <w:rPr>
            <w:rStyle w:val="Hyperlink"/>
            <w:rFonts w:ascii="Arial" w:hAnsi="Arial" w:cs="Arial"/>
            <w:sz w:val="24"/>
            <w:szCs w:val="24"/>
            <w:shd w:val="clear" w:color="auto" w:fill="FFFFFF"/>
          </w:rPr>
          <w:t>https://www.cps.gov.uk/legal-guidance/intoxication</w:t>
        </w:r>
      </w:hyperlink>
      <w:r w:rsidRPr="00F361AD">
        <w:rPr>
          <w:rFonts w:ascii="Arial" w:hAnsi="Arial" w:cs="Arial"/>
          <w:color w:val="333333"/>
          <w:sz w:val="24"/>
          <w:szCs w:val="24"/>
          <w:shd w:val="clear" w:color="auto" w:fill="FFFFFF"/>
        </w:rPr>
        <w:t>.</w:t>
      </w:r>
      <w:r>
        <w:rPr>
          <w:rFonts w:ascii="Arial" w:hAnsi="Arial" w:cs="Arial"/>
          <w:color w:val="333333"/>
          <w:sz w:val="24"/>
          <w:szCs w:val="24"/>
          <w:shd w:val="clear" w:color="auto" w:fill="FFFFFF"/>
        </w:rPr>
        <w:t xml:space="preserve"> Accessed 08/01/23</w:t>
      </w:r>
    </w:p>
    <w:p w14:paraId="39A71EC4" w14:textId="56A4F9D2" w:rsidR="00F361AD" w:rsidRDefault="00F361AD" w:rsidP="00A35176">
      <w:pPr>
        <w:pStyle w:val="ListParagraph"/>
        <w:numPr>
          <w:ilvl w:val="0"/>
          <w:numId w:val="4"/>
        </w:numPr>
        <w:spacing w:line="360" w:lineRule="auto"/>
        <w:rPr>
          <w:rFonts w:ascii="Arial" w:hAnsi="Arial" w:cs="Arial"/>
          <w:color w:val="333333"/>
          <w:sz w:val="24"/>
          <w:szCs w:val="24"/>
          <w:shd w:val="clear" w:color="auto" w:fill="FFFFFF"/>
        </w:rPr>
      </w:pPr>
      <w:r w:rsidRPr="00F361AD">
        <w:rPr>
          <w:rFonts w:ascii="Arial" w:hAnsi="Arial" w:cs="Arial"/>
          <w:color w:val="333333"/>
          <w:sz w:val="24"/>
          <w:szCs w:val="24"/>
          <w:shd w:val="clear" w:color="auto" w:fill="FFFFFF"/>
        </w:rPr>
        <w:t xml:space="preserve">The Law </w:t>
      </w:r>
      <w:proofErr w:type="spellStart"/>
      <w:r w:rsidRPr="00F361AD">
        <w:rPr>
          <w:rFonts w:ascii="Arial" w:hAnsi="Arial" w:cs="Arial"/>
          <w:color w:val="333333"/>
          <w:sz w:val="24"/>
          <w:szCs w:val="24"/>
          <w:shd w:val="clear" w:color="auto" w:fill="FFFFFF"/>
        </w:rPr>
        <w:t>Comission</w:t>
      </w:r>
      <w:proofErr w:type="spellEnd"/>
      <w:r w:rsidRPr="00F361AD">
        <w:rPr>
          <w:rFonts w:ascii="Arial" w:hAnsi="Arial" w:cs="Arial"/>
          <w:color w:val="333333"/>
          <w:sz w:val="24"/>
          <w:szCs w:val="24"/>
          <w:shd w:val="clear" w:color="auto" w:fill="FFFFFF"/>
        </w:rPr>
        <w:t xml:space="preserve"> (2009). Intoxication and Criminal Liability Commission Law Reforming the law. [online] Available at: </w:t>
      </w:r>
      <w:hyperlink r:id="rId8" w:history="1">
        <w:r w:rsidRPr="0010429C">
          <w:rPr>
            <w:rStyle w:val="Hyperlink"/>
            <w:rFonts w:ascii="Arial" w:hAnsi="Arial" w:cs="Arial"/>
            <w:sz w:val="24"/>
            <w:szCs w:val="24"/>
            <w:shd w:val="clear" w:color="auto" w:fill="FFFFFF"/>
          </w:rPr>
          <w:t>https://assets.publishing.service.gov.uk/government/uploads/system/uploads/attachment_data/file/228983/7526.pdf</w:t>
        </w:r>
      </w:hyperlink>
      <w:r>
        <w:rPr>
          <w:rFonts w:ascii="Arial" w:hAnsi="Arial" w:cs="Arial"/>
          <w:color w:val="333333"/>
          <w:sz w:val="24"/>
          <w:szCs w:val="24"/>
          <w:shd w:val="clear" w:color="auto" w:fill="FFFFFF"/>
        </w:rPr>
        <w:t xml:space="preserve"> Accessed 07/01/2023</w:t>
      </w:r>
    </w:p>
    <w:p w14:paraId="008A36D1" w14:textId="11C02FF3" w:rsidR="00436708" w:rsidRPr="00F361AD" w:rsidRDefault="00436708" w:rsidP="00A35176">
      <w:pPr>
        <w:pStyle w:val="ListParagraph"/>
        <w:numPr>
          <w:ilvl w:val="0"/>
          <w:numId w:val="4"/>
        </w:numPr>
        <w:spacing w:line="360" w:lineRule="auto"/>
        <w:rPr>
          <w:rFonts w:ascii="Arial" w:hAnsi="Arial" w:cs="Arial"/>
          <w:color w:val="333333"/>
          <w:sz w:val="28"/>
          <w:szCs w:val="28"/>
          <w:shd w:val="clear" w:color="auto" w:fill="FFFFFF"/>
        </w:rPr>
      </w:pPr>
      <w:proofErr w:type="spellStart"/>
      <w:r w:rsidRPr="00F361AD">
        <w:rPr>
          <w:rFonts w:ascii="Arial" w:hAnsi="Arial" w:cs="Arial"/>
          <w:color w:val="3A3A3A"/>
          <w:sz w:val="24"/>
          <w:szCs w:val="24"/>
          <w:shd w:val="clear" w:color="auto" w:fill="FFFFFF"/>
        </w:rPr>
        <w:t>Reuber</w:t>
      </w:r>
      <w:proofErr w:type="spellEnd"/>
      <w:r w:rsidRPr="00F361AD">
        <w:rPr>
          <w:rFonts w:ascii="Arial" w:hAnsi="Arial" w:cs="Arial"/>
          <w:color w:val="3A3A3A"/>
          <w:sz w:val="24"/>
          <w:szCs w:val="24"/>
          <w:shd w:val="clear" w:color="auto" w:fill="FFFFFF"/>
        </w:rPr>
        <w:t>, M. and Mackay, R.D. (2008) ‘Epileptic Automatisms in the Criminal Courts: 13 Cases Tried in England and Wales between 1975 and 2001’, </w:t>
      </w:r>
      <w:proofErr w:type="spellStart"/>
      <w:r w:rsidRPr="00F361AD">
        <w:rPr>
          <w:rFonts w:ascii="Arial" w:hAnsi="Arial" w:cs="Arial"/>
          <w:i/>
          <w:iCs/>
          <w:color w:val="3A3A3A"/>
          <w:sz w:val="24"/>
          <w:szCs w:val="24"/>
          <w:shd w:val="clear" w:color="auto" w:fill="FFFFFF"/>
        </w:rPr>
        <w:t>Epilepsia</w:t>
      </w:r>
      <w:proofErr w:type="spellEnd"/>
      <w:r w:rsidRPr="00F361AD">
        <w:rPr>
          <w:rFonts w:ascii="Arial" w:hAnsi="Arial" w:cs="Arial"/>
          <w:i/>
          <w:iCs/>
          <w:color w:val="3A3A3A"/>
          <w:sz w:val="24"/>
          <w:szCs w:val="24"/>
          <w:shd w:val="clear" w:color="auto" w:fill="FFFFFF"/>
        </w:rPr>
        <w:t xml:space="preserve"> (Copenhagen)</w:t>
      </w:r>
      <w:r w:rsidRPr="00F361AD">
        <w:rPr>
          <w:rFonts w:ascii="Arial" w:hAnsi="Arial" w:cs="Arial"/>
          <w:color w:val="3A3A3A"/>
          <w:sz w:val="24"/>
          <w:szCs w:val="24"/>
          <w:shd w:val="clear" w:color="auto" w:fill="FFFFFF"/>
        </w:rPr>
        <w:t xml:space="preserve">, 49(1), pp. </w:t>
      </w:r>
      <w:r w:rsidR="00F361AD">
        <w:rPr>
          <w:rFonts w:ascii="Arial" w:hAnsi="Arial" w:cs="Arial"/>
          <w:color w:val="3A3A3A"/>
          <w:sz w:val="24"/>
          <w:szCs w:val="24"/>
          <w:shd w:val="clear" w:color="auto" w:fill="FFFFFF"/>
        </w:rPr>
        <w:t>140</w:t>
      </w:r>
      <w:r w:rsidRPr="00F361AD">
        <w:rPr>
          <w:rFonts w:ascii="Arial" w:hAnsi="Arial" w:cs="Arial"/>
          <w:color w:val="3A3A3A"/>
          <w:sz w:val="24"/>
          <w:szCs w:val="24"/>
          <w:shd w:val="clear" w:color="auto" w:fill="FFFFFF"/>
        </w:rPr>
        <w:t xml:space="preserve">–145. Available at: </w:t>
      </w:r>
      <w:hyperlink r:id="rId9" w:history="1">
        <w:r w:rsidR="00F361AD" w:rsidRPr="0010429C">
          <w:rPr>
            <w:rStyle w:val="Hyperlink"/>
            <w:rFonts w:ascii="Arial" w:hAnsi="Arial" w:cs="Arial"/>
            <w:sz w:val="24"/>
            <w:szCs w:val="24"/>
            <w:shd w:val="clear" w:color="auto" w:fill="FFFFFF"/>
          </w:rPr>
          <w:t>https://doi.org/10.1111/j.1528-1167.2007.01269.x</w:t>
        </w:r>
      </w:hyperlink>
      <w:r w:rsidRPr="00F361AD">
        <w:rPr>
          <w:rFonts w:ascii="Arial" w:hAnsi="Arial" w:cs="Arial"/>
          <w:color w:val="3A3A3A"/>
          <w:sz w:val="24"/>
          <w:szCs w:val="24"/>
          <w:shd w:val="clear" w:color="auto" w:fill="FFFFFF"/>
        </w:rPr>
        <w:t>.</w:t>
      </w:r>
      <w:r w:rsidR="00F361AD">
        <w:rPr>
          <w:rFonts w:ascii="Arial" w:hAnsi="Arial" w:cs="Arial"/>
          <w:color w:val="3A3A3A"/>
          <w:sz w:val="24"/>
          <w:szCs w:val="24"/>
          <w:shd w:val="clear" w:color="auto" w:fill="FFFFFF"/>
        </w:rPr>
        <w:t xml:space="preserve"> </w:t>
      </w:r>
    </w:p>
    <w:p w14:paraId="5DD2FA41" w14:textId="77777777" w:rsidR="00F361AD" w:rsidRDefault="00F361AD" w:rsidP="00F361AD">
      <w:pPr>
        <w:spacing w:line="360" w:lineRule="auto"/>
        <w:rPr>
          <w:rFonts w:ascii="Arial" w:hAnsi="Arial" w:cs="Arial"/>
          <w:color w:val="333333"/>
          <w:sz w:val="28"/>
          <w:szCs w:val="28"/>
          <w:shd w:val="clear" w:color="auto" w:fill="FFFFFF"/>
        </w:rPr>
      </w:pPr>
    </w:p>
    <w:p w14:paraId="22669912" w14:textId="77777777" w:rsidR="00F361AD" w:rsidRDefault="00F361AD" w:rsidP="00F361AD">
      <w:pPr>
        <w:spacing w:line="360" w:lineRule="auto"/>
        <w:rPr>
          <w:rFonts w:ascii="Arial" w:hAnsi="Arial" w:cs="Arial"/>
          <w:color w:val="333333"/>
          <w:sz w:val="24"/>
          <w:szCs w:val="24"/>
          <w:shd w:val="clear" w:color="auto" w:fill="FFFFFF"/>
        </w:rPr>
      </w:pPr>
    </w:p>
    <w:p w14:paraId="23ADFEB6" w14:textId="77777777" w:rsidR="00F361AD" w:rsidRDefault="00F361AD" w:rsidP="00F361AD">
      <w:pPr>
        <w:spacing w:line="360" w:lineRule="auto"/>
        <w:rPr>
          <w:rFonts w:ascii="Arial" w:hAnsi="Arial" w:cs="Arial"/>
          <w:color w:val="333333"/>
          <w:sz w:val="24"/>
          <w:szCs w:val="24"/>
          <w:shd w:val="clear" w:color="auto" w:fill="FFFFFF"/>
        </w:rPr>
      </w:pPr>
    </w:p>
    <w:p w14:paraId="62FDADAA" w14:textId="77777777" w:rsidR="00F361AD" w:rsidRDefault="00F361AD" w:rsidP="00F361AD">
      <w:pPr>
        <w:spacing w:line="360" w:lineRule="auto"/>
        <w:rPr>
          <w:rFonts w:ascii="Arial" w:hAnsi="Arial" w:cs="Arial"/>
          <w:color w:val="333333"/>
          <w:sz w:val="24"/>
          <w:szCs w:val="24"/>
          <w:shd w:val="clear" w:color="auto" w:fill="FFFFFF"/>
        </w:rPr>
      </w:pPr>
    </w:p>
    <w:p w14:paraId="3E44AFE0" w14:textId="77777777" w:rsidR="00F361AD" w:rsidRDefault="00F361AD" w:rsidP="00F361AD">
      <w:pPr>
        <w:spacing w:line="360" w:lineRule="auto"/>
        <w:rPr>
          <w:rFonts w:ascii="Arial" w:hAnsi="Arial" w:cs="Arial"/>
          <w:color w:val="333333"/>
          <w:sz w:val="24"/>
          <w:szCs w:val="24"/>
          <w:shd w:val="clear" w:color="auto" w:fill="FFFFFF"/>
        </w:rPr>
      </w:pPr>
    </w:p>
    <w:p w14:paraId="06483470" w14:textId="77777777" w:rsidR="00F361AD" w:rsidRDefault="00F361AD" w:rsidP="00F361AD">
      <w:pPr>
        <w:spacing w:line="360" w:lineRule="auto"/>
        <w:rPr>
          <w:rFonts w:ascii="Arial" w:hAnsi="Arial" w:cs="Arial"/>
          <w:color w:val="333333"/>
          <w:sz w:val="24"/>
          <w:szCs w:val="24"/>
          <w:shd w:val="clear" w:color="auto" w:fill="FFFFFF"/>
        </w:rPr>
      </w:pPr>
    </w:p>
    <w:p w14:paraId="5BB69A6A" w14:textId="77777777" w:rsidR="00F361AD" w:rsidRDefault="00F361AD" w:rsidP="00F361AD">
      <w:pPr>
        <w:spacing w:line="360" w:lineRule="auto"/>
        <w:rPr>
          <w:rFonts w:ascii="Arial" w:hAnsi="Arial" w:cs="Arial"/>
          <w:color w:val="333333"/>
          <w:sz w:val="24"/>
          <w:szCs w:val="24"/>
          <w:shd w:val="clear" w:color="auto" w:fill="FFFFFF"/>
        </w:rPr>
      </w:pPr>
    </w:p>
    <w:p w14:paraId="73467E30" w14:textId="77777777" w:rsidR="00F361AD" w:rsidRDefault="00F361AD" w:rsidP="00F361AD">
      <w:pPr>
        <w:spacing w:line="360" w:lineRule="auto"/>
        <w:rPr>
          <w:rFonts w:ascii="Arial" w:hAnsi="Arial" w:cs="Arial"/>
          <w:color w:val="333333"/>
          <w:sz w:val="24"/>
          <w:szCs w:val="24"/>
          <w:shd w:val="clear" w:color="auto" w:fill="FFFFFF"/>
        </w:rPr>
      </w:pPr>
    </w:p>
    <w:p w14:paraId="4F2A8BAA" w14:textId="73871FCE" w:rsidR="00F361AD" w:rsidRDefault="00F361AD" w:rsidP="00F361AD">
      <w:pPr>
        <w:spacing w:line="360" w:lineRule="auto"/>
        <w:rPr>
          <w:rFonts w:ascii="Arial" w:hAnsi="Arial" w:cs="Arial"/>
          <w:color w:val="333333"/>
          <w:sz w:val="24"/>
          <w:szCs w:val="24"/>
          <w:shd w:val="clear" w:color="auto" w:fill="FFFFFF"/>
        </w:rPr>
      </w:pPr>
      <w:r w:rsidRPr="00F361AD">
        <w:rPr>
          <w:rFonts w:ascii="Arial" w:hAnsi="Arial" w:cs="Arial"/>
          <w:color w:val="333333"/>
          <w:sz w:val="24"/>
          <w:szCs w:val="24"/>
          <w:shd w:val="clear" w:color="auto" w:fill="FFFFFF"/>
        </w:rPr>
        <w:lastRenderedPageBreak/>
        <w:t>Case Law:</w:t>
      </w:r>
    </w:p>
    <w:p w14:paraId="21DC1E85" w14:textId="77777777" w:rsidR="00D40262" w:rsidRPr="00F361AD" w:rsidRDefault="00D40262" w:rsidP="00F361AD">
      <w:pPr>
        <w:spacing w:line="360" w:lineRule="auto"/>
        <w:rPr>
          <w:rFonts w:ascii="Arial" w:hAnsi="Arial" w:cs="Arial"/>
          <w:color w:val="333333"/>
          <w:sz w:val="24"/>
          <w:szCs w:val="24"/>
          <w:shd w:val="clear" w:color="auto" w:fill="FFFFFF"/>
        </w:rPr>
      </w:pPr>
    </w:p>
    <w:p w14:paraId="43F1CAE7" w14:textId="712D535F" w:rsidR="00F361AD" w:rsidRDefault="00F361AD" w:rsidP="00F361AD">
      <w:pPr>
        <w:pStyle w:val="ListParagraph"/>
        <w:numPr>
          <w:ilvl w:val="0"/>
          <w:numId w:val="3"/>
        </w:numPr>
        <w:spacing w:line="360" w:lineRule="auto"/>
        <w:rPr>
          <w:rFonts w:ascii="Arial" w:hAnsi="Arial" w:cs="Arial"/>
          <w:color w:val="333333"/>
          <w:sz w:val="24"/>
          <w:szCs w:val="24"/>
          <w:shd w:val="clear" w:color="auto" w:fill="FFFFFF"/>
        </w:rPr>
      </w:pPr>
      <w:r w:rsidRPr="00F361AD">
        <w:rPr>
          <w:rFonts w:ascii="Arial" w:hAnsi="Arial" w:cs="Arial"/>
          <w:color w:val="333333"/>
          <w:sz w:val="24"/>
          <w:szCs w:val="24"/>
          <w:shd w:val="clear" w:color="auto" w:fill="FFFFFF"/>
        </w:rPr>
        <w:t>R v Sangha [1988] 2 All ER 385</w:t>
      </w:r>
    </w:p>
    <w:p w14:paraId="72E4649C" w14:textId="39AD96AA" w:rsidR="0069085B" w:rsidRPr="00F361AD" w:rsidRDefault="0069085B" w:rsidP="00F361AD">
      <w:pPr>
        <w:pStyle w:val="ListParagraph"/>
        <w:numPr>
          <w:ilvl w:val="0"/>
          <w:numId w:val="3"/>
        </w:numPr>
        <w:spacing w:line="360" w:lineRule="auto"/>
        <w:rPr>
          <w:rFonts w:ascii="Arial" w:hAnsi="Arial" w:cs="Arial"/>
          <w:color w:val="333333"/>
          <w:sz w:val="24"/>
          <w:szCs w:val="24"/>
          <w:shd w:val="clear" w:color="auto" w:fill="FFFFFF"/>
        </w:rPr>
      </w:pPr>
      <w:r w:rsidRPr="0069085B">
        <w:rPr>
          <w:rFonts w:ascii="Arial" w:hAnsi="Arial" w:cs="Arial"/>
          <w:color w:val="333333"/>
          <w:sz w:val="24"/>
          <w:szCs w:val="24"/>
          <w:shd w:val="clear" w:color="auto" w:fill="FFFFFF"/>
        </w:rPr>
        <w:t>R v Hardie [1985] 1 WLR 64</w:t>
      </w:r>
    </w:p>
    <w:p w14:paraId="259C2CB4" w14:textId="08E284E3" w:rsidR="00F361AD" w:rsidRDefault="00F361AD" w:rsidP="00F361AD">
      <w:pPr>
        <w:pStyle w:val="ListParagraph"/>
        <w:numPr>
          <w:ilvl w:val="0"/>
          <w:numId w:val="3"/>
        </w:numPr>
        <w:spacing w:line="360" w:lineRule="auto"/>
        <w:rPr>
          <w:rFonts w:ascii="Arial" w:hAnsi="Arial" w:cs="Arial"/>
          <w:color w:val="333333"/>
          <w:sz w:val="24"/>
          <w:szCs w:val="24"/>
          <w:shd w:val="clear" w:color="auto" w:fill="FFFFFF"/>
        </w:rPr>
      </w:pPr>
      <w:r w:rsidRPr="00F361AD">
        <w:rPr>
          <w:rFonts w:ascii="Arial" w:hAnsi="Arial" w:cs="Arial"/>
          <w:color w:val="333333"/>
          <w:sz w:val="24"/>
          <w:szCs w:val="24"/>
          <w:shd w:val="clear" w:color="auto" w:fill="FFFFFF"/>
        </w:rPr>
        <w:t>R v Brown [1985] Crim LR 212</w:t>
      </w:r>
    </w:p>
    <w:p w14:paraId="7510A99D" w14:textId="05457210" w:rsidR="0069085B" w:rsidRPr="00F361AD" w:rsidRDefault="0069085B" w:rsidP="00F361AD">
      <w:pPr>
        <w:pStyle w:val="ListParagraph"/>
        <w:numPr>
          <w:ilvl w:val="0"/>
          <w:numId w:val="3"/>
        </w:numPr>
        <w:spacing w:line="360" w:lineRule="auto"/>
        <w:rPr>
          <w:rFonts w:ascii="Arial" w:hAnsi="Arial" w:cs="Arial"/>
          <w:color w:val="333333"/>
          <w:sz w:val="24"/>
          <w:szCs w:val="24"/>
          <w:shd w:val="clear" w:color="auto" w:fill="FFFFFF"/>
        </w:rPr>
      </w:pPr>
      <w:r w:rsidRPr="0069085B">
        <w:rPr>
          <w:rFonts w:ascii="Arial" w:hAnsi="Arial" w:cs="Arial"/>
          <w:color w:val="333333"/>
          <w:sz w:val="24"/>
          <w:szCs w:val="24"/>
          <w:shd w:val="clear" w:color="auto" w:fill="FFFFFF"/>
        </w:rPr>
        <w:t>R v Ryan [1996] Crim LR 320; (1996) 120 JP 610</w:t>
      </w:r>
    </w:p>
    <w:p w14:paraId="36B8C1A6" w14:textId="33B52B7F" w:rsidR="00F361AD" w:rsidRPr="00F361AD" w:rsidRDefault="00F361AD" w:rsidP="00F361AD">
      <w:pPr>
        <w:pStyle w:val="ListParagraph"/>
        <w:numPr>
          <w:ilvl w:val="0"/>
          <w:numId w:val="3"/>
        </w:numPr>
        <w:spacing w:line="360" w:lineRule="auto"/>
        <w:rPr>
          <w:rFonts w:ascii="Arial" w:hAnsi="Arial" w:cs="Arial"/>
          <w:color w:val="333333"/>
          <w:sz w:val="24"/>
          <w:szCs w:val="24"/>
          <w:shd w:val="clear" w:color="auto" w:fill="FFFFFF"/>
        </w:rPr>
      </w:pPr>
      <w:r w:rsidRPr="00F361AD">
        <w:rPr>
          <w:rFonts w:ascii="Arial" w:hAnsi="Arial" w:cs="Arial"/>
          <w:color w:val="333333"/>
          <w:sz w:val="24"/>
          <w:szCs w:val="24"/>
          <w:shd w:val="clear" w:color="auto" w:fill="FFFFFF"/>
        </w:rPr>
        <w:t>R v Donovan [1934] 2 KB 498</w:t>
      </w:r>
    </w:p>
    <w:p w14:paraId="4852895E" w14:textId="3D409930" w:rsidR="00F361AD" w:rsidRPr="00F361AD" w:rsidRDefault="00F361AD" w:rsidP="00F361AD">
      <w:pPr>
        <w:pStyle w:val="ListParagraph"/>
        <w:numPr>
          <w:ilvl w:val="0"/>
          <w:numId w:val="3"/>
        </w:numPr>
        <w:spacing w:line="360" w:lineRule="auto"/>
        <w:rPr>
          <w:rFonts w:ascii="Arial" w:hAnsi="Arial" w:cs="Arial"/>
          <w:color w:val="333333"/>
          <w:sz w:val="24"/>
          <w:szCs w:val="24"/>
          <w:shd w:val="clear" w:color="auto" w:fill="FFFFFF"/>
        </w:rPr>
      </w:pPr>
      <w:r w:rsidRPr="00F361AD">
        <w:rPr>
          <w:rFonts w:ascii="Arial" w:hAnsi="Arial" w:cs="Arial"/>
          <w:color w:val="333333"/>
          <w:sz w:val="24"/>
          <w:szCs w:val="24"/>
          <w:shd w:val="clear" w:color="auto" w:fill="FFFFFF"/>
        </w:rPr>
        <w:t>R v Quick [1973] QB 910</w:t>
      </w:r>
    </w:p>
    <w:p w14:paraId="724188AC" w14:textId="621D52CE" w:rsidR="00F361AD" w:rsidRPr="00F361AD" w:rsidRDefault="00F361AD" w:rsidP="00F361AD">
      <w:pPr>
        <w:pStyle w:val="ListParagraph"/>
        <w:numPr>
          <w:ilvl w:val="0"/>
          <w:numId w:val="3"/>
        </w:numPr>
        <w:spacing w:line="360" w:lineRule="auto"/>
        <w:rPr>
          <w:rFonts w:ascii="Arial" w:hAnsi="Arial" w:cs="Arial"/>
          <w:color w:val="333333"/>
          <w:sz w:val="24"/>
          <w:szCs w:val="24"/>
          <w:shd w:val="clear" w:color="auto" w:fill="FFFFFF"/>
        </w:rPr>
      </w:pPr>
      <w:r w:rsidRPr="00F361AD">
        <w:rPr>
          <w:rFonts w:ascii="Arial" w:hAnsi="Arial" w:cs="Arial"/>
          <w:color w:val="333333"/>
          <w:sz w:val="24"/>
          <w:szCs w:val="24"/>
          <w:shd w:val="clear" w:color="auto" w:fill="FFFFFF"/>
        </w:rPr>
        <w:t xml:space="preserve">R v </w:t>
      </w:r>
      <w:proofErr w:type="spellStart"/>
      <w:r w:rsidRPr="00F361AD">
        <w:rPr>
          <w:rFonts w:ascii="Arial" w:hAnsi="Arial" w:cs="Arial"/>
          <w:color w:val="333333"/>
          <w:sz w:val="24"/>
          <w:szCs w:val="24"/>
          <w:shd w:val="clear" w:color="auto" w:fill="FFFFFF"/>
        </w:rPr>
        <w:t>M’Naghten</w:t>
      </w:r>
      <w:proofErr w:type="spellEnd"/>
      <w:r w:rsidRPr="00F361AD">
        <w:rPr>
          <w:rFonts w:ascii="Arial" w:hAnsi="Arial" w:cs="Arial"/>
          <w:color w:val="333333"/>
          <w:sz w:val="24"/>
          <w:szCs w:val="24"/>
          <w:shd w:val="clear" w:color="auto" w:fill="FFFFFF"/>
        </w:rPr>
        <w:t xml:space="preserve"> (1843) 8 E.R. 718; (1843) 10 Cl. &amp; F. 200</w:t>
      </w:r>
    </w:p>
    <w:p w14:paraId="19FE8945" w14:textId="5E578954" w:rsidR="00F361AD" w:rsidRDefault="0069085B" w:rsidP="00F361AD">
      <w:pPr>
        <w:pStyle w:val="ListParagraph"/>
        <w:numPr>
          <w:ilvl w:val="0"/>
          <w:numId w:val="3"/>
        </w:numPr>
        <w:spacing w:line="360" w:lineRule="auto"/>
        <w:rPr>
          <w:rFonts w:ascii="Arial" w:hAnsi="Arial" w:cs="Arial"/>
          <w:color w:val="333333"/>
          <w:sz w:val="24"/>
          <w:szCs w:val="24"/>
          <w:shd w:val="clear" w:color="auto" w:fill="FFFFFF"/>
        </w:rPr>
      </w:pPr>
      <w:r w:rsidRPr="0069085B">
        <w:rPr>
          <w:rFonts w:ascii="Arial" w:hAnsi="Arial" w:cs="Arial"/>
          <w:color w:val="333333"/>
          <w:sz w:val="24"/>
          <w:szCs w:val="24"/>
          <w:shd w:val="clear" w:color="auto" w:fill="FFFFFF"/>
        </w:rPr>
        <w:t>R v Sullivan [1984] AC 156</w:t>
      </w:r>
    </w:p>
    <w:p w14:paraId="5F3C386D" w14:textId="0F2CFF6A" w:rsidR="0069085B" w:rsidRPr="00F361AD" w:rsidRDefault="0069085B" w:rsidP="00F361AD">
      <w:pPr>
        <w:pStyle w:val="ListParagraph"/>
        <w:numPr>
          <w:ilvl w:val="0"/>
          <w:numId w:val="3"/>
        </w:numPr>
        <w:spacing w:line="360" w:lineRule="auto"/>
        <w:rPr>
          <w:rFonts w:ascii="Arial" w:hAnsi="Arial" w:cs="Arial"/>
          <w:color w:val="333333"/>
          <w:sz w:val="24"/>
          <w:szCs w:val="24"/>
          <w:shd w:val="clear" w:color="auto" w:fill="FFFFFF"/>
        </w:rPr>
      </w:pPr>
      <w:r w:rsidRPr="0069085B">
        <w:rPr>
          <w:rFonts w:ascii="Arial" w:hAnsi="Arial" w:cs="Arial"/>
          <w:color w:val="333333"/>
          <w:sz w:val="24"/>
          <w:szCs w:val="24"/>
          <w:shd w:val="clear" w:color="auto" w:fill="FFFFFF"/>
        </w:rPr>
        <w:t>R v Majewski [1977] AC 443</w:t>
      </w:r>
    </w:p>
    <w:sectPr w:rsidR="0069085B" w:rsidRPr="00F361A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43207"/>
    <w:multiLevelType w:val="hybridMultilevel"/>
    <w:tmpl w:val="E1865A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D841A9"/>
    <w:multiLevelType w:val="hybridMultilevel"/>
    <w:tmpl w:val="833626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71A70FE"/>
    <w:multiLevelType w:val="hybridMultilevel"/>
    <w:tmpl w:val="FF2CDC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55765C35"/>
    <w:multiLevelType w:val="hybridMultilevel"/>
    <w:tmpl w:val="60DA15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650474079">
    <w:abstractNumId w:val="2"/>
  </w:num>
  <w:num w:numId="2" w16cid:durableId="1949963780">
    <w:abstractNumId w:val="3"/>
  </w:num>
  <w:num w:numId="3" w16cid:durableId="1687977315">
    <w:abstractNumId w:val="0"/>
  </w:num>
  <w:num w:numId="4" w16cid:durableId="14146661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7F4"/>
    <w:rsid w:val="00076966"/>
    <w:rsid w:val="001221F6"/>
    <w:rsid w:val="001547B8"/>
    <w:rsid w:val="00281BBC"/>
    <w:rsid w:val="003517F4"/>
    <w:rsid w:val="00380FDA"/>
    <w:rsid w:val="003E4398"/>
    <w:rsid w:val="00436708"/>
    <w:rsid w:val="00442119"/>
    <w:rsid w:val="004E58CA"/>
    <w:rsid w:val="00521A57"/>
    <w:rsid w:val="0069085B"/>
    <w:rsid w:val="006D58E6"/>
    <w:rsid w:val="009179FF"/>
    <w:rsid w:val="00A35176"/>
    <w:rsid w:val="00AC40C8"/>
    <w:rsid w:val="00C67DA3"/>
    <w:rsid w:val="00CA1B0D"/>
    <w:rsid w:val="00D14EA2"/>
    <w:rsid w:val="00D40262"/>
    <w:rsid w:val="00DA3112"/>
    <w:rsid w:val="00F361AD"/>
    <w:rsid w:val="00F827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08DD7"/>
  <w15:chartTrackingRefBased/>
  <w15:docId w15:val="{10B6AB58-E6CC-4A0D-83A7-A51D95E20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ind w:firstLine="28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17F4"/>
    <w:pPr>
      <w:ind w:firstLine="0"/>
    </w:pPr>
    <w:rPr>
      <w:rFonts w:eastAsiaTheme="minorEastAsia"/>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6708"/>
    <w:pPr>
      <w:ind w:left="720"/>
      <w:contextualSpacing/>
    </w:pPr>
  </w:style>
  <w:style w:type="character" w:styleId="Hyperlink">
    <w:name w:val="Hyperlink"/>
    <w:basedOn w:val="DefaultParagraphFont"/>
    <w:uiPriority w:val="99"/>
    <w:unhideWhenUsed/>
    <w:rsid w:val="00F361AD"/>
    <w:rPr>
      <w:color w:val="0563C1" w:themeColor="hyperlink"/>
      <w:u w:val="single"/>
    </w:rPr>
  </w:style>
  <w:style w:type="character" w:styleId="UnresolvedMention">
    <w:name w:val="Unresolved Mention"/>
    <w:basedOn w:val="DefaultParagraphFont"/>
    <w:uiPriority w:val="99"/>
    <w:semiHidden/>
    <w:unhideWhenUsed/>
    <w:rsid w:val="00F361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245524">
      <w:bodyDiv w:val="1"/>
      <w:marLeft w:val="0"/>
      <w:marRight w:val="0"/>
      <w:marTop w:val="0"/>
      <w:marBottom w:val="0"/>
      <w:divBdr>
        <w:top w:val="none" w:sz="0" w:space="0" w:color="auto"/>
        <w:left w:val="none" w:sz="0" w:space="0" w:color="auto"/>
        <w:bottom w:val="none" w:sz="0" w:space="0" w:color="auto"/>
        <w:right w:val="none" w:sz="0" w:space="0" w:color="auto"/>
      </w:divBdr>
      <w:divsChild>
        <w:div w:id="734278171">
          <w:marLeft w:val="1800"/>
          <w:marRight w:val="0"/>
          <w:marTop w:val="100"/>
          <w:marBottom w:val="0"/>
          <w:divBdr>
            <w:top w:val="none" w:sz="0" w:space="0" w:color="auto"/>
            <w:left w:val="none" w:sz="0" w:space="0" w:color="auto"/>
            <w:bottom w:val="none" w:sz="0" w:space="0" w:color="auto"/>
            <w:right w:val="none" w:sz="0" w:space="0" w:color="auto"/>
          </w:divBdr>
        </w:div>
        <w:div w:id="179702689">
          <w:marLeft w:val="2520"/>
          <w:marRight w:val="0"/>
          <w:marTop w:val="100"/>
          <w:marBottom w:val="0"/>
          <w:divBdr>
            <w:top w:val="none" w:sz="0" w:space="0" w:color="auto"/>
            <w:left w:val="none" w:sz="0" w:space="0" w:color="auto"/>
            <w:bottom w:val="none" w:sz="0" w:space="0" w:color="auto"/>
            <w:right w:val="none" w:sz="0" w:space="0" w:color="auto"/>
          </w:divBdr>
        </w:div>
        <w:div w:id="1802796683">
          <w:marLeft w:val="2520"/>
          <w:marRight w:val="0"/>
          <w:marTop w:val="100"/>
          <w:marBottom w:val="0"/>
          <w:divBdr>
            <w:top w:val="none" w:sz="0" w:space="0" w:color="auto"/>
            <w:left w:val="none" w:sz="0" w:space="0" w:color="auto"/>
            <w:bottom w:val="none" w:sz="0" w:space="0" w:color="auto"/>
            <w:right w:val="none" w:sz="0" w:space="0" w:color="auto"/>
          </w:divBdr>
        </w:div>
        <w:div w:id="406390202">
          <w:marLeft w:val="2520"/>
          <w:marRight w:val="0"/>
          <w:marTop w:val="100"/>
          <w:marBottom w:val="0"/>
          <w:divBdr>
            <w:top w:val="none" w:sz="0" w:space="0" w:color="auto"/>
            <w:left w:val="none" w:sz="0" w:space="0" w:color="auto"/>
            <w:bottom w:val="none" w:sz="0" w:space="0" w:color="auto"/>
            <w:right w:val="none" w:sz="0" w:space="0" w:color="auto"/>
          </w:divBdr>
        </w:div>
      </w:divsChild>
    </w:div>
    <w:div w:id="1081029958">
      <w:bodyDiv w:val="1"/>
      <w:marLeft w:val="0"/>
      <w:marRight w:val="0"/>
      <w:marTop w:val="0"/>
      <w:marBottom w:val="0"/>
      <w:divBdr>
        <w:top w:val="none" w:sz="0" w:space="0" w:color="auto"/>
        <w:left w:val="none" w:sz="0" w:space="0" w:color="auto"/>
        <w:bottom w:val="none" w:sz="0" w:space="0" w:color="auto"/>
        <w:right w:val="none" w:sz="0" w:space="0" w:color="auto"/>
      </w:divBdr>
    </w:div>
    <w:div w:id="1773208093">
      <w:bodyDiv w:val="1"/>
      <w:marLeft w:val="0"/>
      <w:marRight w:val="0"/>
      <w:marTop w:val="0"/>
      <w:marBottom w:val="0"/>
      <w:divBdr>
        <w:top w:val="none" w:sz="0" w:space="0" w:color="auto"/>
        <w:left w:val="none" w:sz="0" w:space="0" w:color="auto"/>
        <w:bottom w:val="none" w:sz="0" w:space="0" w:color="auto"/>
        <w:right w:val="none" w:sz="0" w:space="0" w:color="auto"/>
      </w:divBdr>
    </w:div>
    <w:div w:id="1851988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228983/7526.pdf" TargetMode="External"/><Relationship Id="rId3" Type="http://schemas.openxmlformats.org/officeDocument/2006/relationships/settings" Target="settings.xml"/><Relationship Id="rId7" Type="http://schemas.openxmlformats.org/officeDocument/2006/relationships/hyperlink" Target="https://www.cps.gov.uk/legal-guidance/intoxic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pilepsy.com/what-is-epilepsy/seizure-triggers/alcohol" TargetMode="External"/><Relationship Id="rId11" Type="http://schemas.openxmlformats.org/officeDocument/2006/relationships/theme" Target="theme/theme1.xml"/><Relationship Id="rId5" Type="http://schemas.openxmlformats.org/officeDocument/2006/relationships/hyperlink" Target="https://www.lawcom.gov.uk/app/uploads/2015/06/insanity_discussion.pdf"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111/j.1528-1167.2007.01269.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7</Pages>
  <Words>1564</Words>
  <Characters>8920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Laura Malaescu</dc:creator>
  <cp:keywords/>
  <dc:description/>
  <cp:lastModifiedBy>Roxana Laura Malaescu</cp:lastModifiedBy>
  <cp:revision>6</cp:revision>
  <dcterms:created xsi:type="dcterms:W3CDTF">2023-01-09T15:14:00Z</dcterms:created>
  <dcterms:modified xsi:type="dcterms:W3CDTF">2023-01-13T21:05:00Z</dcterms:modified>
</cp:coreProperties>
</file>