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4E897" w14:textId="77777777" w:rsidR="0002579A" w:rsidRDefault="0002579A" w:rsidP="00A15063">
      <w:pPr>
        <w:spacing w:after="160" w:line="259" w:lineRule="auto"/>
        <w:jc w:val="center"/>
        <w:rPr>
          <w:b/>
          <w:bCs/>
          <w:sz w:val="52"/>
          <w:szCs w:val="52"/>
        </w:rPr>
      </w:pPr>
    </w:p>
    <w:p w14:paraId="542C0E4F" w14:textId="77777777" w:rsidR="0002579A" w:rsidRPr="0002579A" w:rsidRDefault="0002579A" w:rsidP="0002579A">
      <w:pPr>
        <w:spacing w:after="160" w:line="259" w:lineRule="auto"/>
        <w:jc w:val="center"/>
        <w:rPr>
          <w:b/>
          <w:bCs/>
          <w:sz w:val="52"/>
          <w:szCs w:val="52"/>
        </w:rPr>
      </w:pPr>
      <w:r w:rsidRPr="0002579A">
        <w:rPr>
          <w:b/>
          <w:bCs/>
          <w:sz w:val="52"/>
          <w:szCs w:val="52"/>
        </w:rPr>
        <w:t>Name:</w:t>
      </w:r>
      <w:r>
        <w:rPr>
          <w:b/>
          <w:bCs/>
          <w:sz w:val="52"/>
          <w:szCs w:val="52"/>
        </w:rPr>
        <w:t xml:space="preserve"> Amin Miah 2120525</w:t>
      </w:r>
    </w:p>
    <w:p w14:paraId="5D238E8D" w14:textId="77777777" w:rsidR="0002579A" w:rsidRDefault="0002579A" w:rsidP="0002579A">
      <w:pPr>
        <w:spacing w:after="160" w:line="259" w:lineRule="auto"/>
        <w:jc w:val="center"/>
        <w:rPr>
          <w:b/>
          <w:bCs/>
          <w:sz w:val="52"/>
          <w:szCs w:val="52"/>
        </w:rPr>
      </w:pPr>
    </w:p>
    <w:p w14:paraId="7A35CE8E" w14:textId="6C8E594A" w:rsidR="0002579A" w:rsidRDefault="0002579A" w:rsidP="0002579A">
      <w:pPr>
        <w:spacing w:after="160" w:line="259" w:lineRule="auto"/>
        <w:jc w:val="center"/>
        <w:rPr>
          <w:b/>
          <w:bCs/>
          <w:sz w:val="52"/>
          <w:szCs w:val="52"/>
        </w:rPr>
      </w:pPr>
      <w:r w:rsidRPr="0002579A">
        <w:rPr>
          <w:b/>
          <w:bCs/>
          <w:sz w:val="52"/>
          <w:szCs w:val="52"/>
        </w:rPr>
        <w:t>Lecturer’s Name</w:t>
      </w:r>
      <w:r>
        <w:rPr>
          <w:b/>
          <w:bCs/>
          <w:sz w:val="52"/>
          <w:szCs w:val="52"/>
        </w:rPr>
        <w:t>: Lisa Knight</w:t>
      </w:r>
    </w:p>
    <w:p w14:paraId="11607591" w14:textId="77777777" w:rsidR="0002579A" w:rsidRDefault="0002579A" w:rsidP="0002579A">
      <w:pPr>
        <w:spacing w:after="160" w:line="259" w:lineRule="auto"/>
        <w:jc w:val="center"/>
        <w:rPr>
          <w:b/>
          <w:bCs/>
          <w:sz w:val="52"/>
          <w:szCs w:val="52"/>
        </w:rPr>
      </w:pPr>
    </w:p>
    <w:p w14:paraId="3AE0FDB3" w14:textId="77777777" w:rsidR="0002579A" w:rsidRDefault="0002579A" w:rsidP="0002579A">
      <w:pPr>
        <w:spacing w:after="160" w:line="259" w:lineRule="auto"/>
        <w:jc w:val="center"/>
        <w:rPr>
          <w:b/>
          <w:bCs/>
          <w:sz w:val="52"/>
          <w:szCs w:val="52"/>
        </w:rPr>
      </w:pPr>
    </w:p>
    <w:p w14:paraId="451E9BFF" w14:textId="19A75476" w:rsidR="0002579A" w:rsidRPr="0002579A" w:rsidRDefault="0002579A" w:rsidP="0002579A">
      <w:pPr>
        <w:spacing w:after="160" w:line="259" w:lineRule="auto"/>
        <w:jc w:val="center"/>
        <w:rPr>
          <w:b/>
          <w:bCs/>
          <w:sz w:val="52"/>
          <w:szCs w:val="52"/>
        </w:rPr>
      </w:pPr>
      <w:r w:rsidRPr="0002579A">
        <w:rPr>
          <w:b/>
          <w:bCs/>
          <w:sz w:val="52"/>
          <w:szCs w:val="52"/>
        </w:rPr>
        <w:t>The module title</w:t>
      </w:r>
      <w:r>
        <w:rPr>
          <w:b/>
          <w:bCs/>
          <w:sz w:val="52"/>
          <w:szCs w:val="52"/>
        </w:rPr>
        <w:t>:</w:t>
      </w:r>
    </w:p>
    <w:p w14:paraId="71542BBB" w14:textId="180875CE" w:rsidR="0002579A" w:rsidRDefault="0002579A" w:rsidP="00A15063">
      <w:pPr>
        <w:spacing w:after="160" w:line="259" w:lineRule="auto"/>
        <w:jc w:val="center"/>
        <w:rPr>
          <w:b/>
          <w:bCs/>
          <w:sz w:val="52"/>
          <w:szCs w:val="52"/>
        </w:rPr>
      </w:pPr>
      <w:r>
        <w:rPr>
          <w:b/>
          <w:bCs/>
          <w:sz w:val="52"/>
          <w:szCs w:val="52"/>
        </w:rPr>
        <w:t>Personal Resourcing and Development</w:t>
      </w:r>
    </w:p>
    <w:p w14:paraId="5BA76F5D" w14:textId="77777777" w:rsidR="0002579A" w:rsidRDefault="0002579A" w:rsidP="00A15063">
      <w:pPr>
        <w:spacing w:after="160" w:line="259" w:lineRule="auto"/>
        <w:jc w:val="center"/>
        <w:rPr>
          <w:b/>
          <w:bCs/>
          <w:sz w:val="52"/>
          <w:szCs w:val="52"/>
        </w:rPr>
      </w:pPr>
    </w:p>
    <w:p w14:paraId="598C7682" w14:textId="77777777" w:rsidR="0002579A" w:rsidRDefault="0002579A" w:rsidP="00A15063">
      <w:pPr>
        <w:spacing w:after="160" w:line="259" w:lineRule="auto"/>
        <w:jc w:val="center"/>
        <w:rPr>
          <w:b/>
          <w:bCs/>
          <w:sz w:val="52"/>
          <w:szCs w:val="52"/>
        </w:rPr>
      </w:pPr>
    </w:p>
    <w:p w14:paraId="770D9013" w14:textId="0C623DEB" w:rsidR="00A15063" w:rsidRPr="0002579A" w:rsidRDefault="00A15063" w:rsidP="00A15063">
      <w:pPr>
        <w:spacing w:after="160" w:line="259" w:lineRule="auto"/>
        <w:jc w:val="center"/>
        <w:rPr>
          <w:b/>
          <w:bCs/>
          <w:sz w:val="52"/>
          <w:szCs w:val="52"/>
        </w:rPr>
      </w:pPr>
      <w:r w:rsidRPr="0002579A">
        <w:rPr>
          <w:b/>
          <w:bCs/>
          <w:sz w:val="52"/>
          <w:szCs w:val="52"/>
        </w:rPr>
        <w:t>How to engage employees throughout the employee lifecycle</w:t>
      </w:r>
    </w:p>
    <w:p w14:paraId="7CBE6A2F" w14:textId="77777777" w:rsidR="0002579A" w:rsidRDefault="0002579A" w:rsidP="00A15063">
      <w:pPr>
        <w:spacing w:after="160" w:line="259" w:lineRule="auto"/>
        <w:jc w:val="center"/>
        <w:rPr>
          <w:b/>
          <w:bCs/>
          <w:sz w:val="52"/>
          <w:szCs w:val="52"/>
        </w:rPr>
      </w:pPr>
    </w:p>
    <w:p w14:paraId="05EA385F" w14:textId="77777777" w:rsidR="0002579A" w:rsidRDefault="0002579A" w:rsidP="00A15063">
      <w:pPr>
        <w:spacing w:after="160" w:line="259" w:lineRule="auto"/>
        <w:jc w:val="center"/>
        <w:rPr>
          <w:b/>
          <w:bCs/>
          <w:sz w:val="52"/>
          <w:szCs w:val="52"/>
        </w:rPr>
      </w:pPr>
    </w:p>
    <w:p w14:paraId="26E2F84F" w14:textId="77777777" w:rsidR="0002579A" w:rsidRDefault="0002579A" w:rsidP="00A15063">
      <w:pPr>
        <w:spacing w:after="160" w:line="259" w:lineRule="auto"/>
        <w:jc w:val="center"/>
        <w:rPr>
          <w:b/>
          <w:bCs/>
          <w:sz w:val="52"/>
          <w:szCs w:val="52"/>
        </w:rPr>
      </w:pPr>
    </w:p>
    <w:p w14:paraId="3B80EA98" w14:textId="77777777" w:rsidR="0002579A" w:rsidRDefault="0002579A" w:rsidP="00A15063">
      <w:pPr>
        <w:spacing w:after="160" w:line="259" w:lineRule="auto"/>
        <w:jc w:val="center"/>
        <w:rPr>
          <w:b/>
          <w:bCs/>
          <w:sz w:val="52"/>
          <w:szCs w:val="52"/>
        </w:rPr>
      </w:pPr>
    </w:p>
    <w:p w14:paraId="776686EB" w14:textId="3820ACB6" w:rsidR="00A15063" w:rsidRDefault="00A15063" w:rsidP="00A15063">
      <w:pPr>
        <w:spacing w:after="160" w:line="259" w:lineRule="auto"/>
        <w:jc w:val="center"/>
      </w:pPr>
      <w:r>
        <w:br w:type="page"/>
      </w:r>
    </w:p>
    <w:p w14:paraId="42293016" w14:textId="4DEB012F" w:rsidR="00505A2C" w:rsidRDefault="00505A2C" w:rsidP="00505A2C">
      <w:pPr>
        <w:pStyle w:val="Heading2"/>
      </w:pPr>
      <w:r>
        <w:lastRenderedPageBreak/>
        <w:t>Introduction</w:t>
      </w:r>
    </w:p>
    <w:p w14:paraId="634055F1" w14:textId="19A2D768" w:rsidR="00505A2C" w:rsidRDefault="00A46B23" w:rsidP="00A15063">
      <w:r w:rsidRPr="00A46B23">
        <w:t xml:space="preserve">Employee engagement refers to the level of enthusiasm, dedication, and commitment that employees have towards their work and their employer. It is a measure of how invested employees are in their job and how connected </w:t>
      </w:r>
      <w:r w:rsidR="00417618">
        <w:t xml:space="preserve">and </w:t>
      </w:r>
      <w:r w:rsidR="00417618" w:rsidRPr="00A46B23">
        <w:t xml:space="preserve">committed </w:t>
      </w:r>
      <w:r w:rsidRPr="00A46B23">
        <w:t xml:space="preserve">they feel </w:t>
      </w:r>
      <w:r w:rsidR="00417618" w:rsidRPr="00A46B23">
        <w:t>to their organization and its goals</w:t>
      </w:r>
      <w:r>
        <w:t>. It</w:t>
      </w:r>
      <w:r w:rsidRPr="00A46B23">
        <w:t xml:space="preserve"> refers to the emotional and intellectual connection that employees feel towards their workplace and their work. High levels of employee engagement have been shown to lead to increased job satisfaction, productivity, and overall success for the organization. Employee engagement is not just about job satisfaction but also encompasses an employee's sense of purpose, meaningful work, and connection to their colleagues and the company culture. </w:t>
      </w:r>
      <w:r w:rsidR="00417618" w:rsidRPr="00417618">
        <w:t xml:space="preserve">It leads to improved business outcomes and long-term success. </w:t>
      </w:r>
      <w:r w:rsidRPr="00A46B23">
        <w:t>Companies that prioritize employee engagement are often able to create a positive and supportive workplace environment, which can lead to increased employee retention and overall business success</w:t>
      </w:r>
      <w:sdt>
        <w:sdtPr>
          <w:id w:val="-835765764"/>
          <w:citation/>
        </w:sdtPr>
        <w:sdtContent>
          <w:r w:rsidR="00481566">
            <w:fldChar w:fldCharType="begin"/>
          </w:r>
          <w:r w:rsidR="00481566">
            <w:instrText xml:space="preserve"> CITATION Car211 \l 1033 </w:instrText>
          </w:r>
          <w:r w:rsidR="00481566">
            <w:fldChar w:fldCharType="separate"/>
          </w:r>
          <w:r w:rsidR="00481566">
            <w:rPr>
              <w:noProof/>
            </w:rPr>
            <w:t xml:space="preserve"> (Duncan, 2021)</w:t>
          </w:r>
          <w:r w:rsidR="00481566">
            <w:fldChar w:fldCharType="end"/>
          </w:r>
        </w:sdtContent>
      </w:sdt>
      <w:r w:rsidR="00774CD0" w:rsidRPr="00774CD0">
        <w:t xml:space="preserve">. </w:t>
      </w:r>
    </w:p>
    <w:p w14:paraId="5FC71904" w14:textId="2D68024D" w:rsidR="005E311C" w:rsidRDefault="005E311C" w:rsidP="00774CD0">
      <w:r w:rsidRPr="005E311C">
        <w:t xml:space="preserve">Increased competitiveness, </w:t>
      </w:r>
      <w:r w:rsidR="0002579A" w:rsidRPr="005E311C">
        <w:t>globalization</w:t>
      </w:r>
      <w:r w:rsidRPr="005E311C">
        <w:t xml:space="preserve">, and especially technology </w:t>
      </w:r>
      <w:proofErr w:type="gramStart"/>
      <w:r w:rsidR="00DC1695">
        <w:t>are</w:t>
      </w:r>
      <w:proofErr w:type="gramEnd"/>
      <w:r w:rsidRPr="005E311C">
        <w:t xml:space="preserve"> changing how we define and carry out work, which is a crucial component of society</w:t>
      </w:r>
      <w:sdt>
        <w:sdtPr>
          <w:id w:val="726888071"/>
          <w:citation/>
        </w:sdtPr>
        <w:sdtContent>
          <w:r>
            <w:fldChar w:fldCharType="begin"/>
          </w:r>
          <w:r>
            <w:instrText xml:space="preserve"> CITATION Ker221 \l 1033 </w:instrText>
          </w:r>
          <w:r>
            <w:fldChar w:fldCharType="separate"/>
          </w:r>
          <w:r>
            <w:rPr>
              <w:noProof/>
            </w:rPr>
            <w:t xml:space="preserve"> (Alfes, 2022)</w:t>
          </w:r>
          <w:r>
            <w:fldChar w:fldCharType="end"/>
          </w:r>
        </w:sdtContent>
      </w:sdt>
      <w:r w:rsidRPr="005E311C">
        <w:t>.</w:t>
      </w:r>
      <w:r w:rsidR="00505A2C">
        <w:t xml:space="preserve"> </w:t>
      </w:r>
      <w:r w:rsidR="00774CD0" w:rsidRPr="00774CD0">
        <w:t>Open communication and regular feedback are critical for engagement. Employees should feel comfortable sharing their thoughts and ideas and should receive regular feedback on their performance. Giving employees a sense of purpose and autonomy in their work is also crucial for engagement</w:t>
      </w:r>
      <w:sdt>
        <w:sdtPr>
          <w:id w:val="-664706183"/>
          <w:citation/>
        </w:sdtPr>
        <w:sdtContent>
          <w:r>
            <w:fldChar w:fldCharType="begin"/>
          </w:r>
          <w:r>
            <w:instrText xml:space="preserve"> CITATION Kat21 \l 1033 </w:instrText>
          </w:r>
          <w:r>
            <w:fldChar w:fldCharType="separate"/>
          </w:r>
          <w:r>
            <w:rPr>
              <w:noProof/>
            </w:rPr>
            <w:t xml:space="preserve"> (Salmen, 2021)</w:t>
          </w:r>
          <w:r>
            <w:fldChar w:fldCharType="end"/>
          </w:r>
        </w:sdtContent>
      </w:sdt>
      <w:r w:rsidR="00774CD0" w:rsidRPr="00774CD0">
        <w:t>.</w:t>
      </w:r>
      <w:r w:rsidR="00A15063">
        <w:t xml:space="preserve"> </w:t>
      </w:r>
      <w:r w:rsidR="00774CD0" w:rsidRPr="00774CD0">
        <w:t>Providing opportunities for career advancement can also help employees feel invested in their work and the organization.</w:t>
      </w:r>
      <w:r w:rsidR="00075A57">
        <w:t xml:space="preserve"> </w:t>
      </w:r>
      <w:r w:rsidR="00A15063">
        <w:t xml:space="preserve">It is </w:t>
      </w:r>
      <w:r w:rsidR="00774CD0" w:rsidRPr="00774CD0">
        <w:t>important to have a clear process for offboarding so that employees are given adequate support during the transition. This can help ensure that employees have a positive experience, even as they are leaving the organization</w:t>
      </w:r>
      <w:sdt>
        <w:sdtPr>
          <w:id w:val="-1779401087"/>
          <w:citation/>
        </w:sdtPr>
        <w:sdtContent>
          <w:r w:rsidR="00CE7ADC">
            <w:fldChar w:fldCharType="begin"/>
          </w:r>
          <w:r w:rsidR="00CE7ADC">
            <w:instrText xml:space="preserve"> CITATION Dea222 \l 1033 </w:instrText>
          </w:r>
          <w:r w:rsidR="00CE7ADC">
            <w:fldChar w:fldCharType="separate"/>
          </w:r>
          <w:r w:rsidR="00CE7ADC">
            <w:rPr>
              <w:noProof/>
            </w:rPr>
            <w:t xml:space="preserve"> (deBara, 2022)</w:t>
          </w:r>
          <w:r w:rsidR="00CE7ADC">
            <w:fldChar w:fldCharType="end"/>
          </w:r>
        </w:sdtContent>
      </w:sdt>
      <w:r w:rsidR="00774CD0" w:rsidRPr="00774CD0">
        <w:t>.</w:t>
      </w:r>
    </w:p>
    <w:p w14:paraId="07AD7E0B" w14:textId="3BC613F3" w:rsidR="00505A2C" w:rsidRPr="00774CD0" w:rsidRDefault="00505A2C" w:rsidP="00505A2C">
      <w:pPr>
        <w:pStyle w:val="Heading2"/>
      </w:pPr>
      <w:r>
        <w:t>Role of HR in Employee Engagement:</w:t>
      </w:r>
    </w:p>
    <w:p w14:paraId="7E45C7F3" w14:textId="77777777" w:rsidR="00F80A5F" w:rsidRPr="00F80A5F" w:rsidRDefault="00F80A5F" w:rsidP="00F80A5F">
      <w:r w:rsidRPr="00F80A5F">
        <w:t>The role of human resources (HR) in engaging employees is crucial, as HR is responsible for creating and implementing policies and programs that support employee engagement. Some key responsibilities of HR in engaging employees include:</w:t>
      </w:r>
    </w:p>
    <w:p w14:paraId="5614B3E8" w14:textId="77777777" w:rsidR="00F80A5F" w:rsidRPr="00F80A5F" w:rsidRDefault="00F80A5F" w:rsidP="00F80A5F">
      <w:pPr>
        <w:numPr>
          <w:ilvl w:val="0"/>
          <w:numId w:val="7"/>
        </w:numPr>
      </w:pPr>
      <w:r w:rsidRPr="00F80A5F">
        <w:t xml:space="preserve">Recruitment: HR is responsible for creating job descriptions that align with the company's mission and values, and for communicating these to potential </w:t>
      </w:r>
      <w:r w:rsidRPr="00F80A5F">
        <w:lastRenderedPageBreak/>
        <w:t>employees during the recruitment process. HR also plays a role in identifying and recruiting candidates who are a good fit for the organization's culture and values.</w:t>
      </w:r>
    </w:p>
    <w:p w14:paraId="7346A438" w14:textId="0EF33784" w:rsidR="00F80A5F" w:rsidRPr="00F80A5F" w:rsidRDefault="00F80A5F" w:rsidP="00F80A5F">
      <w:pPr>
        <w:numPr>
          <w:ilvl w:val="0"/>
          <w:numId w:val="7"/>
        </w:numPr>
      </w:pPr>
      <w:r w:rsidRPr="00F80A5F">
        <w:t xml:space="preserve">Onboarding: HR is responsible for creating and implementing a comprehensive onboarding program that includes not only job-specific training, but also an introduction to company culture, values, and </w:t>
      </w:r>
      <w:r w:rsidR="00B946AC">
        <w:t>growth opportunities</w:t>
      </w:r>
      <w:sdt>
        <w:sdtPr>
          <w:id w:val="-1047524011"/>
          <w:citation/>
        </w:sdtPr>
        <w:sdtContent>
          <w:r w:rsidR="00B62C9B">
            <w:fldChar w:fldCharType="begin"/>
          </w:r>
          <w:r w:rsidR="00B62C9B">
            <w:instrText xml:space="preserve"> CITATION Arm20 \l 1033 </w:instrText>
          </w:r>
          <w:r w:rsidR="00B62C9B">
            <w:fldChar w:fldCharType="separate"/>
          </w:r>
          <w:r w:rsidR="00B62C9B">
            <w:rPr>
              <w:noProof/>
            </w:rPr>
            <w:t xml:space="preserve"> (Armstrong &amp; Taylor, 2020)</w:t>
          </w:r>
          <w:r w:rsidR="00B62C9B">
            <w:fldChar w:fldCharType="end"/>
          </w:r>
        </w:sdtContent>
      </w:sdt>
      <w:r w:rsidRPr="00F80A5F">
        <w:t>.</w:t>
      </w:r>
    </w:p>
    <w:p w14:paraId="22081EAD" w14:textId="77777777" w:rsidR="00F80A5F" w:rsidRPr="00F80A5F" w:rsidRDefault="00F80A5F" w:rsidP="00F80A5F">
      <w:pPr>
        <w:numPr>
          <w:ilvl w:val="0"/>
          <w:numId w:val="7"/>
        </w:numPr>
      </w:pPr>
      <w:r w:rsidRPr="00F80A5F">
        <w:t>Engagement: HR is responsible for fostering open communication and regular feedback, and for giving employees a sense of purpose and autonomy in their work. HR also plays a role in creating a positive work environment that promotes teamwork, respect, and inclusivity.</w:t>
      </w:r>
    </w:p>
    <w:p w14:paraId="2C8DAA97" w14:textId="166B5BBA" w:rsidR="00F80A5F" w:rsidRPr="00F80A5F" w:rsidRDefault="00F80A5F" w:rsidP="00F80A5F">
      <w:pPr>
        <w:numPr>
          <w:ilvl w:val="0"/>
          <w:numId w:val="7"/>
        </w:numPr>
      </w:pPr>
      <w:r w:rsidRPr="00F80A5F">
        <w:t>Retention: HR is responsible for recognizing and rewarding employees for their contributions, and for providing opportunities for career advancement. HR also plays a role in creating a culture of appreciation within the organization</w:t>
      </w:r>
      <w:sdt>
        <w:sdtPr>
          <w:id w:val="1172767400"/>
          <w:citation/>
        </w:sdtPr>
        <w:sdtContent>
          <w:r w:rsidR="00CE7ADC">
            <w:fldChar w:fldCharType="begin"/>
          </w:r>
          <w:r w:rsidR="00CE7ADC">
            <w:instrText xml:space="preserve"> CITATION The222 \l 1033 </w:instrText>
          </w:r>
          <w:r w:rsidR="00CE7ADC">
            <w:fldChar w:fldCharType="separate"/>
          </w:r>
          <w:r w:rsidR="00CE7ADC">
            <w:rPr>
              <w:noProof/>
            </w:rPr>
            <w:t xml:space="preserve"> (Team, 2022)</w:t>
          </w:r>
          <w:r w:rsidR="00CE7ADC">
            <w:fldChar w:fldCharType="end"/>
          </w:r>
        </w:sdtContent>
      </w:sdt>
      <w:r w:rsidRPr="00F80A5F">
        <w:t>.</w:t>
      </w:r>
    </w:p>
    <w:p w14:paraId="51D6313B" w14:textId="77777777" w:rsidR="00F80A5F" w:rsidRPr="00F80A5F" w:rsidRDefault="00F80A5F" w:rsidP="00F80A5F">
      <w:pPr>
        <w:numPr>
          <w:ilvl w:val="0"/>
          <w:numId w:val="7"/>
        </w:numPr>
      </w:pPr>
      <w:r w:rsidRPr="00F80A5F">
        <w:t>Offboarding: HR is responsible for creating a clear process for offboarding, and for ensuring that employees are given adequate support during the transition.</w:t>
      </w:r>
    </w:p>
    <w:p w14:paraId="212B7E20" w14:textId="23A56AE4" w:rsidR="00F80A5F" w:rsidRDefault="00F80A5F" w:rsidP="00F80A5F">
      <w:r w:rsidRPr="00F80A5F">
        <w:t>HR plays a key role in creating and maintaining a culture that supports engagement by developing policies and programs that align with the company's values and mission</w:t>
      </w:r>
      <w:r w:rsidR="00CE7ADC">
        <w:t xml:space="preserve"> and </w:t>
      </w:r>
      <w:r w:rsidRPr="00F80A5F">
        <w:t>ensuring that these are consistently communicated and reinforced throughout the organization</w:t>
      </w:r>
      <w:sdt>
        <w:sdtPr>
          <w:id w:val="541094519"/>
          <w:citation/>
        </w:sdtPr>
        <w:sdtContent>
          <w:r w:rsidR="00CE7ADC">
            <w:fldChar w:fldCharType="begin"/>
          </w:r>
          <w:r w:rsidR="00CE7ADC">
            <w:instrText xml:space="preserve"> CITATION The17 \l 1033 </w:instrText>
          </w:r>
          <w:r w:rsidR="00CE7ADC">
            <w:fldChar w:fldCharType="separate"/>
          </w:r>
          <w:r w:rsidR="00CE7ADC">
            <w:rPr>
              <w:noProof/>
            </w:rPr>
            <w:t xml:space="preserve"> (Mayne, 2017)</w:t>
          </w:r>
          <w:r w:rsidR="00CE7ADC">
            <w:fldChar w:fldCharType="end"/>
          </w:r>
        </w:sdtContent>
      </w:sdt>
      <w:r w:rsidRPr="00F80A5F">
        <w:t>.</w:t>
      </w:r>
    </w:p>
    <w:p w14:paraId="33363482" w14:textId="7DF50F96" w:rsidR="00505A2C" w:rsidRDefault="00505A2C" w:rsidP="00943347">
      <w:pPr>
        <w:pStyle w:val="Heading1"/>
      </w:pPr>
      <w:r>
        <w:t>Employee Lifecycle</w:t>
      </w:r>
    </w:p>
    <w:p w14:paraId="745EE739" w14:textId="1C027F8D" w:rsidR="00F80A5F" w:rsidRPr="00F80A5F" w:rsidRDefault="00F80A5F" w:rsidP="00F80A5F">
      <w:r w:rsidRPr="00F80A5F">
        <w:t>Below is a breakdown of how employee engagement can be fostered throughout the employee lifecycle:</w:t>
      </w:r>
    </w:p>
    <w:p w14:paraId="0C8527DF" w14:textId="77777777" w:rsidR="00943347" w:rsidRDefault="00F80A5F" w:rsidP="00943347">
      <w:pPr>
        <w:pStyle w:val="Heading2"/>
      </w:pPr>
      <w:r w:rsidRPr="003D11E4">
        <w:t>Attraction</w:t>
      </w:r>
    </w:p>
    <w:p w14:paraId="77D97AED" w14:textId="5EA98E7B" w:rsidR="00F80A5F" w:rsidRDefault="00505A2C" w:rsidP="003D11E4">
      <w:r w:rsidRPr="00505A2C">
        <w:t xml:space="preserve">The attraction phase of the employee lifecycle is the process of attracting and attracting top talent to the organization. </w:t>
      </w:r>
      <w:r w:rsidR="00B62C9B">
        <w:t>U</w:t>
      </w:r>
      <w:r w:rsidRPr="00505A2C">
        <w:t>nderstand</w:t>
      </w:r>
      <w:r w:rsidR="00B62C9B">
        <w:t>ing</w:t>
      </w:r>
      <w:r w:rsidRPr="00505A2C">
        <w:t xml:space="preserve"> the organization's talent needs and </w:t>
      </w:r>
      <w:r w:rsidR="00B62C9B">
        <w:t>developing</w:t>
      </w:r>
      <w:r w:rsidRPr="00505A2C">
        <w:t xml:space="preserve"> a clear and compelling employment brand. Based on this information, the organization should then develop and implement programs and initiatives that are designed to attract top talent. Another key aspect of the attraction phase is to ensure that </w:t>
      </w:r>
      <w:r w:rsidRPr="00505A2C">
        <w:lastRenderedPageBreak/>
        <w:t xml:space="preserve">the organization's hiring processes are fair and </w:t>
      </w:r>
      <w:proofErr w:type="gramStart"/>
      <w:r w:rsidRPr="00505A2C">
        <w:t>inclusive</w:t>
      </w:r>
      <w:proofErr w:type="gramEnd"/>
      <w:r w:rsidRPr="00505A2C">
        <w:t xml:space="preserve"> and that the organization is committed to diversity and inclusion</w:t>
      </w:r>
      <w:sdt>
        <w:sdtPr>
          <w:id w:val="-1566632263"/>
          <w:citation/>
        </w:sdtPr>
        <w:sdtContent>
          <w:r>
            <w:fldChar w:fldCharType="begin"/>
          </w:r>
          <w:r>
            <w:instrText xml:space="preserve"> CITATION Yvo12 \l 1033 </w:instrText>
          </w:r>
          <w:r>
            <w:fldChar w:fldCharType="separate"/>
          </w:r>
          <w:r>
            <w:rPr>
              <w:noProof/>
            </w:rPr>
            <w:t xml:space="preserve"> (Brunetto, 2012)</w:t>
          </w:r>
          <w:r>
            <w:fldChar w:fldCharType="end"/>
          </w:r>
        </w:sdtContent>
      </w:sdt>
      <w:r w:rsidR="00F80A5F" w:rsidRPr="00F80A5F">
        <w:t>.</w:t>
      </w:r>
    </w:p>
    <w:p w14:paraId="69EBD9D3" w14:textId="523E285C" w:rsidR="00505A2C" w:rsidRPr="00F80A5F" w:rsidRDefault="00505A2C" w:rsidP="003D11E4">
      <w:r w:rsidRPr="00505A2C">
        <w:t>Many hotels have successfully achieved engagement during the attraction phase by leveraging their employee value proposition (EVP) and highlighting their commitment to diversity, inclusion, and employee well-being. For example, the Ritz Carlton hotel chain is well known for its exceptional customer service and its focus on employee engagement and development. The company has created a strong EVP by offering its employees opportunities for growth and career advancement, and by providing a supportive and inclusive work environment.</w:t>
      </w:r>
    </w:p>
    <w:p w14:paraId="4AC252D5" w14:textId="77777777" w:rsidR="00943347" w:rsidRDefault="00F80A5F" w:rsidP="00943347">
      <w:pPr>
        <w:pStyle w:val="Heading2"/>
      </w:pPr>
      <w:r w:rsidRPr="003D11E4">
        <w:t>Recruitment</w:t>
      </w:r>
    </w:p>
    <w:p w14:paraId="74205B0E" w14:textId="5F9A6B5F" w:rsidR="003D11E4" w:rsidRDefault="00505A2C" w:rsidP="003D11E4">
      <w:r w:rsidRPr="00505A2C">
        <w:t>The recruitment phase of the employee lifecycle is a critical stage where the organization begins the process of identifying and attracting potential candidates for the job. The recruitment phase starts with defining the job requirements and creating a clear and comprehensive job description. Once the job requirements have been defined, the organization can then start the process of attracting potential candidates. The next step is to review resumes, cover letters, and applications and determine which candidates are a good fit for the job. Once the candidates have been screened, the next step is to conduct interviews. Interviews are an opportunity to further assess the candidate’s skills, knowledge, and fit for the organization. Finally, the last step is to make an offer to the candidate. The offer should also include information about the next steps in the onboarding process</w:t>
      </w:r>
      <w:sdt>
        <w:sdtPr>
          <w:id w:val="2139453374"/>
          <w:citation/>
        </w:sdtPr>
        <w:sdtContent>
          <w:r w:rsidR="00B62C9B">
            <w:fldChar w:fldCharType="begin"/>
          </w:r>
          <w:r w:rsidR="00B62C9B">
            <w:instrText xml:space="preserve"> CITATION Per23 \l 1033 </w:instrText>
          </w:r>
          <w:r w:rsidR="00B62C9B">
            <w:fldChar w:fldCharType="separate"/>
          </w:r>
          <w:r w:rsidR="00B62C9B">
            <w:rPr>
              <w:noProof/>
            </w:rPr>
            <w:t xml:space="preserve"> (Personio, 2023)</w:t>
          </w:r>
          <w:r w:rsidR="00B62C9B">
            <w:fldChar w:fldCharType="end"/>
          </w:r>
        </w:sdtContent>
      </w:sdt>
      <w:r w:rsidR="003D11E4" w:rsidRPr="003D11E4">
        <w:t>.</w:t>
      </w:r>
    </w:p>
    <w:p w14:paraId="28DEB24F" w14:textId="6456DCF5" w:rsidR="00943347" w:rsidRDefault="00943347" w:rsidP="003D11E4">
      <w:r w:rsidRPr="00943347">
        <w:t>An example of a hotel that has successfully achieved engagement during the recruitment phase is the Marriott International hotel chain. The company has a robust and effective recruitment process that is designed to attract top talent, and it has embraced technology to streamline its hiring processes and reach a wider pool of candidates.</w:t>
      </w:r>
    </w:p>
    <w:p w14:paraId="1C9725C2" w14:textId="77777777" w:rsidR="00943347" w:rsidRDefault="00F80A5F" w:rsidP="00943347">
      <w:pPr>
        <w:pStyle w:val="Heading2"/>
      </w:pPr>
      <w:r w:rsidRPr="003D11E4">
        <w:t>Onboarding</w:t>
      </w:r>
    </w:p>
    <w:p w14:paraId="3B8160F7" w14:textId="3CAC60CC" w:rsidR="003D11E4" w:rsidRDefault="00F80A5F" w:rsidP="003D11E4">
      <w:r w:rsidRPr="00F80A5F">
        <w:t xml:space="preserve">A comprehensive onboarding program that includes not only job-specific training, but also an introduction to company culture, values, and </w:t>
      </w:r>
      <w:r w:rsidR="00B946AC">
        <w:t>growth opportunities</w:t>
      </w:r>
      <w:r w:rsidRPr="00F80A5F">
        <w:t xml:space="preserve"> can help new employees feel engaged and connected to the organization from the start.</w:t>
      </w:r>
      <w:r w:rsidR="006A0C0C">
        <w:t xml:space="preserve"> </w:t>
      </w:r>
      <w:r w:rsidR="006A0C0C" w:rsidRPr="006A0C0C">
        <w:t xml:space="preserve">The new hire becomes familiar with the company’s policies, procedures, and culture. </w:t>
      </w:r>
      <w:r w:rsidR="003D11E4" w:rsidRPr="003D11E4">
        <w:t xml:space="preserve">The first step in the onboarding phase is orientation, which provides the new hire with an overview of the </w:t>
      </w:r>
      <w:r w:rsidR="003D11E4" w:rsidRPr="003D11E4">
        <w:lastRenderedPageBreak/>
        <w:t>organization’s policies, procedures, and culture. The next step is training, which is designed to help the new hire understand their role</w:t>
      </w:r>
      <w:r w:rsidR="00B62C9B">
        <w:t xml:space="preserve"> </w:t>
      </w:r>
      <w:r w:rsidR="003D11E4" w:rsidRPr="003D11E4">
        <w:t>and how to perform their job effectively. Mentorship is another key aspect of the onboarding phase</w:t>
      </w:r>
      <w:sdt>
        <w:sdtPr>
          <w:id w:val="1192189609"/>
          <w:citation/>
        </w:sdtPr>
        <w:sdtContent>
          <w:r w:rsidR="00505A2C">
            <w:fldChar w:fldCharType="begin"/>
          </w:r>
          <w:r w:rsidR="00505A2C">
            <w:instrText xml:space="preserve"> CITATION Yvo12 \l 1033 </w:instrText>
          </w:r>
          <w:r w:rsidR="00505A2C">
            <w:fldChar w:fldCharType="separate"/>
          </w:r>
          <w:r w:rsidR="00505A2C">
            <w:rPr>
              <w:noProof/>
            </w:rPr>
            <w:t xml:space="preserve"> (Brunetto, 2012)</w:t>
          </w:r>
          <w:r w:rsidR="00505A2C">
            <w:fldChar w:fldCharType="end"/>
          </w:r>
        </w:sdtContent>
      </w:sdt>
      <w:r w:rsidR="003D11E4" w:rsidRPr="003D11E4">
        <w:t>.</w:t>
      </w:r>
    </w:p>
    <w:p w14:paraId="2B991753" w14:textId="452CB45A" w:rsidR="00943347" w:rsidRPr="00F80A5F" w:rsidRDefault="00B62C9B" w:rsidP="003D11E4">
      <w:r>
        <w:t>For</w:t>
      </w:r>
      <w:r w:rsidR="00943347" w:rsidRPr="00943347">
        <w:t xml:space="preserve"> example</w:t>
      </w:r>
      <w:r>
        <w:t>,</w:t>
      </w:r>
      <w:r w:rsidR="00943347" w:rsidRPr="00943347">
        <w:t xml:space="preserve"> a hotel that has successfully achieved engagement during the onboarding phase is the Four Seasons Hotels and Resorts. The company has a comprehensive onboarding program that is designed to support new employees and ensure a smooth transition into their </w:t>
      </w:r>
      <w:r>
        <w:t>roles</w:t>
      </w:r>
      <w:r w:rsidR="00943347" w:rsidRPr="00943347">
        <w:t>. The program includes orientation sessions, job-specific training, and ongoing support from managers and mentors.</w:t>
      </w:r>
    </w:p>
    <w:p w14:paraId="46C248CA" w14:textId="77777777" w:rsidR="00943347" w:rsidRDefault="00F80A5F" w:rsidP="00943347">
      <w:pPr>
        <w:pStyle w:val="Heading2"/>
      </w:pPr>
      <w:r w:rsidRPr="003D11E4">
        <w:t>Development</w:t>
      </w:r>
    </w:p>
    <w:p w14:paraId="661E4276" w14:textId="29CBDC5A" w:rsidR="00F80A5F" w:rsidRDefault="003D11E4" w:rsidP="003D11E4">
      <w:r w:rsidRPr="003D11E4">
        <w:t>The development phase of the employee lifecycle is the process of providing employees with opportunities to grow and develop their skills, knowledge, and careers within the organization. The first step in the development phase is to assess the employee’s current skills and career aspirations. Based on this assessment, the organization should then develop a career development plan for each employee. The development phase also includes providing employees with opportunities to take on new challenges and responsibilities</w:t>
      </w:r>
      <w:sdt>
        <w:sdtPr>
          <w:id w:val="1981263445"/>
          <w:citation/>
        </w:sdtPr>
        <w:sdtContent>
          <w:r w:rsidR="00505A2C">
            <w:fldChar w:fldCharType="begin"/>
          </w:r>
          <w:r w:rsidR="00505A2C">
            <w:instrText xml:space="preserve"> CITATION Yvo12 \l 1033 </w:instrText>
          </w:r>
          <w:r w:rsidR="00505A2C">
            <w:fldChar w:fldCharType="separate"/>
          </w:r>
          <w:r w:rsidR="00505A2C">
            <w:rPr>
              <w:noProof/>
            </w:rPr>
            <w:t xml:space="preserve"> (Brunetto, 2012)</w:t>
          </w:r>
          <w:r w:rsidR="00505A2C">
            <w:fldChar w:fldCharType="end"/>
          </w:r>
        </w:sdtContent>
      </w:sdt>
      <w:r w:rsidR="00F80A5F" w:rsidRPr="00F80A5F">
        <w:t>.</w:t>
      </w:r>
    </w:p>
    <w:p w14:paraId="759F1AD5" w14:textId="770CC71D" w:rsidR="00943347" w:rsidRPr="00F80A5F" w:rsidRDefault="00B62C9B" w:rsidP="003D11E4">
      <w:r>
        <w:t xml:space="preserve">For </w:t>
      </w:r>
      <w:r w:rsidR="00943347" w:rsidRPr="00943347">
        <w:t>example</w:t>
      </w:r>
      <w:r>
        <w:t>,</w:t>
      </w:r>
      <w:r w:rsidR="00943347" w:rsidRPr="00943347">
        <w:t xml:space="preserve"> Marriott International</w:t>
      </w:r>
      <w:r>
        <w:t>; t</w:t>
      </w:r>
      <w:r w:rsidR="00943347" w:rsidRPr="00943347">
        <w:t>he company has a comprehensive professional development program that is designed to support employees in their career growth and development. The program includes job-specific training, leadership development programs, and access to professional development resources.</w:t>
      </w:r>
    </w:p>
    <w:p w14:paraId="2F98FC5A" w14:textId="77777777" w:rsidR="00943347" w:rsidRDefault="00F80A5F" w:rsidP="00943347">
      <w:pPr>
        <w:pStyle w:val="Heading2"/>
      </w:pPr>
      <w:r w:rsidRPr="003D11E4">
        <w:t>Retention</w:t>
      </w:r>
    </w:p>
    <w:p w14:paraId="31E898D0" w14:textId="29D47E66" w:rsidR="00F80A5F" w:rsidRDefault="003D11E4" w:rsidP="003D11E4">
      <w:r w:rsidRPr="003D11E4">
        <w:t xml:space="preserve">The retention phase of the employee lifecycle is the process of keeping employees engaged and committed to the organization over time. This stage is critical for ensuring that the organization has a stable and productive workforce, and for maintaining a positive work environment and culture. </w:t>
      </w:r>
      <w:r w:rsidR="00B62C9B">
        <w:t>U</w:t>
      </w:r>
      <w:r w:rsidRPr="003D11E4">
        <w:t>nderstand what factors are most important to employees and what drives their engagement. Another key aspect of the retention phase is regular communication with employees</w:t>
      </w:r>
      <w:sdt>
        <w:sdtPr>
          <w:id w:val="1510487237"/>
          <w:citation/>
        </w:sdtPr>
        <w:sdtContent>
          <w:r w:rsidR="005E311C">
            <w:fldChar w:fldCharType="begin"/>
          </w:r>
          <w:r w:rsidR="005E311C">
            <w:instrText xml:space="preserve"> CITATION Yvo12 \l 1033 </w:instrText>
          </w:r>
          <w:r w:rsidR="005E311C">
            <w:fldChar w:fldCharType="separate"/>
          </w:r>
          <w:r w:rsidR="005E311C">
            <w:rPr>
              <w:noProof/>
            </w:rPr>
            <w:t xml:space="preserve"> (Brunetto, 2012)</w:t>
          </w:r>
          <w:r w:rsidR="005E311C">
            <w:fldChar w:fldCharType="end"/>
          </w:r>
        </w:sdtContent>
      </w:sdt>
      <w:r w:rsidR="00F80A5F" w:rsidRPr="00F80A5F">
        <w:t>.</w:t>
      </w:r>
    </w:p>
    <w:p w14:paraId="39F14C48" w14:textId="5535CEB3" w:rsidR="00943347" w:rsidRPr="00F80A5F" w:rsidRDefault="00943347" w:rsidP="003D11E4">
      <w:r w:rsidRPr="00943347">
        <w:t xml:space="preserve">An example of a hotel that has successfully achieved engagement during the retention phase is Four Seasons Hotels and Resorts. The company has a strong commitment to employee engagement and job satisfaction and provides a supportive and inclusive work environment for its employees. The company also places a strong emphasis on </w:t>
      </w:r>
      <w:r w:rsidRPr="00943347">
        <w:lastRenderedPageBreak/>
        <w:t>professional development and provides opportunities for employees to grow and develop professionally.</w:t>
      </w:r>
    </w:p>
    <w:p w14:paraId="70CDAF8C" w14:textId="77777777" w:rsidR="00943347" w:rsidRDefault="00F80A5F" w:rsidP="00943347">
      <w:pPr>
        <w:pStyle w:val="Heading2"/>
      </w:pPr>
      <w:r w:rsidRPr="003D11E4">
        <w:t>Separation</w:t>
      </w:r>
    </w:p>
    <w:p w14:paraId="433B2546" w14:textId="75BEDE46" w:rsidR="00F80A5F" w:rsidRDefault="003D11E4" w:rsidP="003D11E4">
      <w:r w:rsidRPr="003D11E4">
        <w:t xml:space="preserve">The separation phase of the employee lifecycle refers to the process of an employee leaving the organization, either voluntarily or involuntarily. </w:t>
      </w:r>
      <w:r w:rsidR="007C7F7C">
        <w:t>It</w:t>
      </w:r>
      <w:r w:rsidRPr="003D11E4">
        <w:t xml:space="preserve"> ensur</w:t>
      </w:r>
      <w:r w:rsidR="007C7F7C">
        <w:t>es</w:t>
      </w:r>
      <w:r w:rsidRPr="003D11E4">
        <w:t xml:space="preserve"> a smooth transition for both the departing employee and the organization. </w:t>
      </w:r>
      <w:r w:rsidR="00B62C9B">
        <w:t>Try to u</w:t>
      </w:r>
      <w:r w:rsidRPr="003D11E4">
        <w:t xml:space="preserve">nderstand the reasons for the employee’s departure. </w:t>
      </w:r>
      <w:r w:rsidR="007C7F7C">
        <w:t>T</w:t>
      </w:r>
      <w:r w:rsidRPr="003D11E4">
        <w:t>he organization should then develop and implement programs and initiatives that are designed to improve employee engagement and retention in the future</w:t>
      </w:r>
      <w:r w:rsidR="007C7F7C">
        <w:t>. T</w:t>
      </w:r>
      <w:r w:rsidRPr="003D11E4">
        <w:t>he departing employee is given a fair and respectful exit</w:t>
      </w:r>
      <w:sdt>
        <w:sdtPr>
          <w:id w:val="157346309"/>
          <w:citation/>
        </w:sdtPr>
        <w:sdtContent>
          <w:r w:rsidR="00505A2C">
            <w:fldChar w:fldCharType="begin"/>
          </w:r>
          <w:r w:rsidR="00505A2C">
            <w:instrText xml:space="preserve"> CITATION Yvo12 \l 1033 </w:instrText>
          </w:r>
          <w:r w:rsidR="00505A2C">
            <w:fldChar w:fldCharType="separate"/>
          </w:r>
          <w:r w:rsidR="00505A2C">
            <w:rPr>
              <w:noProof/>
            </w:rPr>
            <w:t xml:space="preserve"> (Brunetto, 2012)</w:t>
          </w:r>
          <w:r w:rsidR="00505A2C">
            <w:fldChar w:fldCharType="end"/>
          </w:r>
        </w:sdtContent>
      </w:sdt>
      <w:r w:rsidR="00F80A5F" w:rsidRPr="00F80A5F">
        <w:t>.</w:t>
      </w:r>
    </w:p>
    <w:p w14:paraId="5387B708" w14:textId="06924479" w:rsidR="00EB5D8C" w:rsidRDefault="00EB5D8C" w:rsidP="003D11E4">
      <w:r w:rsidRPr="00EB5D8C">
        <w:t>An example is The Westin Hotels and Resorts. The company has a strong commitment to employee engagement and job satisfaction and provides a supportive and inclusive work environment for its employees. The company also has clear policies and procedures in place for terminating an employee's employment and provides support and resources for employees during this transition</w:t>
      </w:r>
      <w:sdt>
        <w:sdtPr>
          <w:id w:val="-1028103345"/>
          <w:citation/>
        </w:sdtPr>
        <w:sdtContent>
          <w:r w:rsidR="00481566">
            <w:fldChar w:fldCharType="begin"/>
          </w:r>
          <w:r w:rsidR="00481566">
            <w:instrText xml:space="preserve"> CITATION Mar16 \l 1033 </w:instrText>
          </w:r>
          <w:r w:rsidR="00481566">
            <w:fldChar w:fldCharType="separate"/>
          </w:r>
          <w:r w:rsidR="00481566">
            <w:rPr>
              <w:noProof/>
            </w:rPr>
            <w:t xml:space="preserve"> (Marchington, Wilkinson, Donnelly, &amp; Kynighou, 2016)</w:t>
          </w:r>
          <w:r w:rsidR="00481566">
            <w:fldChar w:fldCharType="end"/>
          </w:r>
        </w:sdtContent>
      </w:sdt>
      <w:r w:rsidRPr="00EB5D8C">
        <w:t>.</w:t>
      </w:r>
    </w:p>
    <w:p w14:paraId="6B47A9FE" w14:textId="77777777" w:rsidR="00EC6E0B" w:rsidRPr="00F80A5F" w:rsidRDefault="00EC6E0B" w:rsidP="00EC6E0B">
      <w:pPr>
        <w:pStyle w:val="Heading2"/>
      </w:pPr>
      <w:r>
        <w:t>Advantages:</w:t>
      </w:r>
    </w:p>
    <w:p w14:paraId="37516358" w14:textId="453004B6" w:rsidR="00EC6E0B" w:rsidRPr="00F80A5F" w:rsidRDefault="00EC6E0B" w:rsidP="00EC6E0B">
      <w:r w:rsidRPr="00E57326">
        <w:t xml:space="preserve">Many service </w:t>
      </w:r>
      <w:r w:rsidR="0002579A" w:rsidRPr="00E57326">
        <w:t>organizations</w:t>
      </w:r>
      <w:r w:rsidRPr="00E57326">
        <w:t xml:space="preserve"> have the chance to take charge of their service idea and make </w:t>
      </w:r>
      <w:r>
        <w:t>them</w:t>
      </w:r>
      <w:r w:rsidRPr="00E57326">
        <w:t xml:space="preserve"> clear. Even managers who work in the same department may hold divergent opinions on what their department contributes to the </w:t>
      </w:r>
      <w:r w:rsidR="0002579A" w:rsidRPr="00E57326">
        <w:t>organization</w:t>
      </w:r>
      <w:r w:rsidRPr="00E57326">
        <w:t xml:space="preserve"> as a whole</w:t>
      </w:r>
      <w:sdt>
        <w:sdtPr>
          <w:id w:val="-175498053"/>
          <w:citation/>
        </w:sdtPr>
        <w:sdtContent>
          <w:r>
            <w:fldChar w:fldCharType="begin"/>
          </w:r>
          <w:r>
            <w:instrText xml:space="preserve"> CITATION Joh12 \l 1033 </w:instrText>
          </w:r>
          <w:r>
            <w:fldChar w:fldCharType="separate"/>
          </w:r>
          <w:r>
            <w:rPr>
              <w:noProof/>
            </w:rPr>
            <w:t xml:space="preserve"> (Johnston, Clark, &amp; Shulver, 2012)</w:t>
          </w:r>
          <w:r>
            <w:fldChar w:fldCharType="end"/>
          </w:r>
        </w:sdtContent>
      </w:sdt>
      <w:r w:rsidRPr="00E57326">
        <w:t>.</w:t>
      </w:r>
      <w:r>
        <w:t xml:space="preserve"> </w:t>
      </w:r>
      <w:r w:rsidRPr="00F80A5F">
        <w:t>The advantages of engaging a team include:</w:t>
      </w:r>
    </w:p>
    <w:p w14:paraId="485CFA5D" w14:textId="77777777" w:rsidR="00EC6E0B" w:rsidRPr="00F80A5F" w:rsidRDefault="00EC6E0B" w:rsidP="00EC6E0B">
      <w:pPr>
        <w:numPr>
          <w:ilvl w:val="0"/>
          <w:numId w:val="9"/>
        </w:numPr>
      </w:pPr>
      <w:r w:rsidRPr="00F80A5F">
        <w:t>Increased productivity: Engaged teams are more motivated and committed to their work, which can lead to better performance and results.</w:t>
      </w:r>
    </w:p>
    <w:p w14:paraId="31FDA1FF" w14:textId="77777777" w:rsidR="00EC6E0B" w:rsidRPr="00F80A5F" w:rsidRDefault="00EC6E0B" w:rsidP="00EC6E0B">
      <w:pPr>
        <w:numPr>
          <w:ilvl w:val="0"/>
          <w:numId w:val="9"/>
        </w:numPr>
      </w:pPr>
      <w:r w:rsidRPr="00F80A5F">
        <w:t>Higher retention: Engaged teams are more likely to stay with the organization, which can save money and resources on recruitment and training of new employees.</w:t>
      </w:r>
    </w:p>
    <w:p w14:paraId="6A3C6FCD" w14:textId="77777777" w:rsidR="00EC6E0B" w:rsidRPr="00F80A5F" w:rsidRDefault="00EC6E0B" w:rsidP="00EC6E0B">
      <w:pPr>
        <w:numPr>
          <w:ilvl w:val="0"/>
          <w:numId w:val="9"/>
        </w:numPr>
      </w:pPr>
      <w:r w:rsidRPr="00F80A5F">
        <w:t>Improved morale: Engaged teams are more satisfied and have a positive attitude towards their work, which can improve the overall morale of the organization.</w:t>
      </w:r>
    </w:p>
    <w:p w14:paraId="2B9A0635" w14:textId="77777777" w:rsidR="00EC6E0B" w:rsidRPr="00F80A5F" w:rsidRDefault="00EC6E0B" w:rsidP="00EC6E0B">
      <w:pPr>
        <w:numPr>
          <w:ilvl w:val="0"/>
          <w:numId w:val="9"/>
        </w:numPr>
      </w:pPr>
      <w:r w:rsidRPr="00F80A5F">
        <w:t>Better decision-making: Engaged teams tend to be more diverse and creative, which can lead to better decision-making.</w:t>
      </w:r>
    </w:p>
    <w:p w14:paraId="34599220" w14:textId="1E81866A" w:rsidR="00EC6E0B" w:rsidRDefault="00EC6E0B" w:rsidP="003D11E4">
      <w:pPr>
        <w:numPr>
          <w:ilvl w:val="0"/>
          <w:numId w:val="9"/>
        </w:numPr>
      </w:pPr>
      <w:r w:rsidRPr="00F80A5F">
        <w:lastRenderedPageBreak/>
        <w:t>Better customer satisfaction: Engaged teams are more likely to provide better service and experiences to customers, which can lead to increased customer satisfaction</w:t>
      </w:r>
      <w:sdt>
        <w:sdtPr>
          <w:id w:val="-20551279"/>
          <w:citation/>
        </w:sdtPr>
        <w:sdtContent>
          <w:r>
            <w:fldChar w:fldCharType="begin"/>
          </w:r>
          <w:r>
            <w:instrText xml:space="preserve"> CITATION Mil23 \l 1033 </w:instrText>
          </w:r>
          <w:r>
            <w:fldChar w:fldCharType="separate"/>
          </w:r>
          <w:r>
            <w:rPr>
              <w:noProof/>
            </w:rPr>
            <w:t xml:space="preserve"> (Herman, 2023)</w:t>
          </w:r>
          <w:r>
            <w:fldChar w:fldCharType="end"/>
          </w:r>
        </w:sdtContent>
      </w:sdt>
      <w:r w:rsidRPr="00F80A5F">
        <w:t>.</w:t>
      </w:r>
    </w:p>
    <w:p w14:paraId="11E1501D" w14:textId="18428D94" w:rsidR="0057237B" w:rsidRDefault="00297853" w:rsidP="00DC1695">
      <w:r w:rsidRPr="00A33206">
        <w:t>It's important to note that employee engagement strategies will vary depending on the team and the organization, so it's essential to get feedback from team members and tailor engagement strategies accordingly.</w:t>
      </w:r>
      <w:r>
        <w:t xml:space="preserve"> To</w:t>
      </w:r>
      <w:r w:rsidRPr="00E57326">
        <w:t xml:space="preserve"> retain the public's trust in the services, continuing professional development plays a crucial role in ensuring that professionals maintain and expand their skills and knowledge throughout their careers</w:t>
      </w:r>
      <w:sdt>
        <w:sdtPr>
          <w:id w:val="-105585511"/>
          <w:citation/>
        </w:sdtPr>
        <w:sdtContent>
          <w:r>
            <w:fldChar w:fldCharType="begin"/>
          </w:r>
          <w:r>
            <w:instrText xml:space="preserve"> CITATION And11 \l 1033 </w:instrText>
          </w:r>
          <w:r>
            <w:fldChar w:fldCharType="separate"/>
          </w:r>
          <w:r>
            <w:rPr>
              <w:noProof/>
            </w:rPr>
            <w:t xml:space="preserve"> (Friedman, 2011)</w:t>
          </w:r>
          <w:r>
            <w:fldChar w:fldCharType="end"/>
          </w:r>
        </w:sdtContent>
      </w:sdt>
      <w:r w:rsidRPr="00E57326">
        <w:t>.</w:t>
      </w:r>
      <w:r>
        <w:t xml:space="preserve"> </w:t>
      </w:r>
      <w:r w:rsidR="00A33206" w:rsidRPr="00A33206">
        <w:t>Provide opportunities for team members to be recognized for their work, such as employee of the month or an annual award ceremony</w:t>
      </w:r>
      <w:sdt>
        <w:sdtPr>
          <w:id w:val="-1351567455"/>
          <w:citation/>
        </w:sdtPr>
        <w:sdtContent>
          <w:r w:rsidR="00CE7ADC">
            <w:fldChar w:fldCharType="begin"/>
          </w:r>
          <w:r w:rsidR="00CE7ADC">
            <w:instrText xml:space="preserve"> CITATION Mat23 \l 1033 </w:instrText>
          </w:r>
          <w:r w:rsidR="00CE7ADC">
            <w:fldChar w:fldCharType="separate"/>
          </w:r>
          <w:r w:rsidR="00CE7ADC">
            <w:rPr>
              <w:noProof/>
            </w:rPr>
            <w:t xml:space="preserve"> (Tenney, 2023)</w:t>
          </w:r>
          <w:r w:rsidR="00CE7ADC">
            <w:fldChar w:fldCharType="end"/>
          </w:r>
        </w:sdtContent>
      </w:sdt>
      <w:r w:rsidR="00A33206" w:rsidRPr="00A33206">
        <w:t>.</w:t>
      </w:r>
      <w:r w:rsidR="0057237B">
        <w:t xml:space="preserve"> </w:t>
      </w:r>
      <w:r w:rsidR="00A33206" w:rsidRPr="00A33206">
        <w:t>Encourage them to take ownership of their learning and development</w:t>
      </w:r>
      <w:r w:rsidR="0057237B">
        <w:t>, i</w:t>
      </w:r>
      <w:r w:rsidR="00A33206" w:rsidRPr="00A33206">
        <w:t>nclusion</w:t>
      </w:r>
      <w:r w:rsidR="0057237B">
        <w:t xml:space="preserve"> by</w:t>
      </w:r>
      <w:r w:rsidR="00A33206" w:rsidRPr="00A33206">
        <w:t xml:space="preserve"> </w:t>
      </w:r>
      <w:r w:rsidR="0057237B">
        <w:t>f</w:t>
      </w:r>
      <w:r w:rsidR="00A33206" w:rsidRPr="00A33206">
        <w:t>oster</w:t>
      </w:r>
      <w:r w:rsidR="0057237B">
        <w:t>ing</w:t>
      </w:r>
      <w:r w:rsidR="00A33206" w:rsidRPr="00A33206">
        <w:t xml:space="preserve"> a culture of inclusion and respect for diversity</w:t>
      </w:r>
      <w:sdt>
        <w:sdtPr>
          <w:id w:val="-1463408615"/>
          <w:citation/>
        </w:sdtPr>
        <w:sdtContent>
          <w:r w:rsidR="005E311C">
            <w:fldChar w:fldCharType="begin"/>
          </w:r>
          <w:r w:rsidR="00216760">
            <w:instrText xml:space="preserve">CITATION Mic15 \l 1033 </w:instrText>
          </w:r>
          <w:r w:rsidR="005E311C">
            <w:fldChar w:fldCharType="separate"/>
          </w:r>
          <w:r w:rsidR="00216760">
            <w:rPr>
              <w:noProof/>
            </w:rPr>
            <w:t xml:space="preserve"> (Marchington., 2015)</w:t>
          </w:r>
          <w:r w:rsidR="005E311C">
            <w:fldChar w:fldCharType="end"/>
          </w:r>
        </w:sdtContent>
      </w:sdt>
      <w:r w:rsidR="00A33206" w:rsidRPr="00A33206">
        <w:t>.</w:t>
      </w:r>
      <w:r w:rsidR="0057237B">
        <w:t xml:space="preserve"> Employees’</w:t>
      </w:r>
      <w:r w:rsidR="00A33206" w:rsidRPr="00A33206">
        <w:t xml:space="preserve"> Wellnes</w:t>
      </w:r>
      <w:r w:rsidR="0057237B">
        <w:t>s through p</w:t>
      </w:r>
      <w:r w:rsidR="00A33206" w:rsidRPr="00A33206">
        <w:t>romot</w:t>
      </w:r>
      <w:r w:rsidR="0057237B">
        <w:t xml:space="preserve">ing </w:t>
      </w:r>
      <w:r w:rsidR="00A33206" w:rsidRPr="00A33206">
        <w:t xml:space="preserve">employee wellness by encouraging healthy habits, providing mental health </w:t>
      </w:r>
      <w:r w:rsidR="0002579A" w:rsidRPr="00A33206">
        <w:t>support,</w:t>
      </w:r>
      <w:r w:rsidR="00A33206" w:rsidRPr="00A33206">
        <w:t xml:space="preserve"> and promoting a work-life balance. This can be done through things like offering flexible working hours, providing ergonomic workstations, or offering fitness classes</w:t>
      </w:r>
      <w:sdt>
        <w:sdtPr>
          <w:id w:val="-579445523"/>
          <w:citation/>
        </w:sdtPr>
        <w:sdtContent>
          <w:r w:rsidR="00874666">
            <w:fldChar w:fldCharType="begin"/>
          </w:r>
          <w:r w:rsidR="00874666">
            <w:instrText xml:space="preserve"> CITATION Nut23 \l 1033 </w:instrText>
          </w:r>
          <w:r w:rsidR="00874666">
            <w:fldChar w:fldCharType="separate"/>
          </w:r>
          <w:r w:rsidR="00874666">
            <w:rPr>
              <w:noProof/>
            </w:rPr>
            <w:t xml:space="preserve"> (Nutcache, 2023)</w:t>
          </w:r>
          <w:r w:rsidR="00874666">
            <w:fldChar w:fldCharType="end"/>
          </w:r>
        </w:sdtContent>
      </w:sdt>
      <w:r w:rsidR="00A33206" w:rsidRPr="00A33206">
        <w:t>.</w:t>
      </w:r>
      <w:r w:rsidR="0057237B">
        <w:t xml:space="preserve"> </w:t>
      </w:r>
      <w:r w:rsidRPr="00F80A5F">
        <w:t>Trust fosters collaboration, creativity and encourages team members to take initiative and ownership of their work</w:t>
      </w:r>
      <w:sdt>
        <w:sdtPr>
          <w:id w:val="953297867"/>
          <w:citation/>
        </w:sdtPr>
        <w:sdtContent>
          <w:r>
            <w:fldChar w:fldCharType="begin"/>
          </w:r>
          <w:r>
            <w:instrText xml:space="preserve"> CITATION Mil23 \l 1033 </w:instrText>
          </w:r>
          <w:r>
            <w:fldChar w:fldCharType="separate"/>
          </w:r>
          <w:r>
            <w:rPr>
              <w:noProof/>
            </w:rPr>
            <w:t xml:space="preserve"> (Herman, 2023)</w:t>
          </w:r>
          <w:r>
            <w:fldChar w:fldCharType="end"/>
          </w:r>
        </w:sdtContent>
      </w:sdt>
      <w:r w:rsidRPr="00F80A5F">
        <w:t>.</w:t>
      </w:r>
      <w:r w:rsidR="0057237B">
        <w:t xml:space="preserve"> </w:t>
      </w:r>
      <w:r w:rsidRPr="00F80A5F">
        <w:t>Empowering team members to make decisions and take ownership of their work can help them feel more invested in the team's success</w:t>
      </w:r>
      <w:sdt>
        <w:sdtPr>
          <w:id w:val="411893235"/>
          <w:citation/>
        </w:sdtPr>
        <w:sdtContent>
          <w:r>
            <w:fldChar w:fldCharType="begin"/>
          </w:r>
          <w:r>
            <w:instrText xml:space="preserve"> CITATION Huo18 \l 1033 </w:instrText>
          </w:r>
          <w:r>
            <w:fldChar w:fldCharType="separate"/>
          </w:r>
          <w:r>
            <w:rPr>
              <w:noProof/>
            </w:rPr>
            <w:t xml:space="preserve"> (Huo &amp; Boxall, 2018)</w:t>
          </w:r>
          <w:r>
            <w:fldChar w:fldCharType="end"/>
          </w:r>
        </w:sdtContent>
      </w:sdt>
      <w:r w:rsidRPr="00F80A5F">
        <w:t>.</w:t>
      </w:r>
      <w:r w:rsidR="0057237B">
        <w:t xml:space="preserve"> </w:t>
      </w:r>
    </w:p>
    <w:p w14:paraId="0BFB39E0" w14:textId="58804A75" w:rsidR="0057237B" w:rsidRDefault="0057237B" w:rsidP="0057237B">
      <w:pPr>
        <w:pStyle w:val="Heading2"/>
      </w:pPr>
      <w:r w:rsidRPr="00792BCF">
        <w:t>Maslow's Hierarchy of Needs</w:t>
      </w:r>
      <w:r>
        <w:t>:</w:t>
      </w:r>
    </w:p>
    <w:p w14:paraId="497227E8" w14:textId="25644E2C" w:rsidR="00DC1695" w:rsidRPr="00792BCF" w:rsidRDefault="00297853" w:rsidP="00494532">
      <w:r w:rsidRPr="00792BCF">
        <w:t>Maslow's Hierarchy of Needs can be an effective tool for understanding and addressing the needs of employees in the workplace</w:t>
      </w:r>
      <w:r w:rsidR="00DC1695" w:rsidRPr="00792BCF">
        <w:t>.</w:t>
      </w:r>
      <w:r w:rsidR="00481566">
        <w:t xml:space="preserve"> It has</w:t>
      </w:r>
      <w:r w:rsidR="00DC1695" w:rsidRPr="00792BCF">
        <w:t xml:space="preserve"> five levels of needs</w:t>
      </w:r>
      <w:r w:rsidR="00956339">
        <w:t xml:space="preserve">; </w:t>
      </w:r>
      <w:r w:rsidR="00DC1695" w:rsidRPr="007C7F7C">
        <w:t>Physiological needs</w:t>
      </w:r>
      <w:r w:rsidR="00DC1695" w:rsidRPr="00792BCF">
        <w:t xml:space="preserve"> are the most basic needs such as food, water, shelter, and warmth. In the workplace, this can be met by providing employees with fair compensation and benefits, safe working conditions, and access to resources such as restrooms and break rooms.</w:t>
      </w:r>
      <w:r w:rsidR="00494532">
        <w:t xml:space="preserve"> </w:t>
      </w:r>
      <w:r w:rsidR="00494532" w:rsidRPr="00494532">
        <w:t>When employees feel that their basic needs are met, they can move on to the next level, which is safety and security.</w:t>
      </w:r>
      <w:r w:rsidR="00494532">
        <w:t xml:space="preserve"> </w:t>
      </w:r>
      <w:r w:rsidR="00DC1695" w:rsidRPr="00792BCF">
        <w:t>Safety needs</w:t>
      </w:r>
      <w:r w:rsidR="00494532">
        <w:t xml:space="preserve"> </w:t>
      </w:r>
      <w:r w:rsidR="00DC1695" w:rsidRPr="00792BCF">
        <w:t>include physical safety as well as emotional safety, such as financial security and job security. In the workplace, this can be met by providing employees with a safe work environment, job security, and fair compensation and benefits.</w:t>
      </w:r>
      <w:r w:rsidR="00494532">
        <w:t xml:space="preserve"> </w:t>
      </w:r>
      <w:r w:rsidR="00494532" w:rsidRPr="00494532">
        <w:t xml:space="preserve">This level refers to the need for social interaction, relationships, and a sense of community. In the workplace, this need is met through effective communication, </w:t>
      </w:r>
      <w:r w:rsidR="00494532" w:rsidRPr="00494532">
        <w:lastRenderedPageBreak/>
        <w:t>teamwork, and a supportive workplace culture</w:t>
      </w:r>
      <w:r w:rsidR="00DC1695" w:rsidRPr="00792BCF">
        <w:t xml:space="preserve">. </w:t>
      </w:r>
      <w:r w:rsidR="007C7F7C">
        <w:t>It</w:t>
      </w:r>
      <w:r w:rsidR="00DC1695" w:rsidRPr="00792BCF">
        <w:t xml:space="preserve"> can be met by fostering a sense of community and </w:t>
      </w:r>
      <w:r w:rsidR="00481566" w:rsidRPr="00792BCF">
        <w:t>belonging and</w:t>
      </w:r>
      <w:r w:rsidR="00494532">
        <w:t xml:space="preserve"> </w:t>
      </w:r>
      <w:r w:rsidR="00DC1695" w:rsidRPr="00792BCF">
        <w:t>encouraging teamwork and collaboration.</w:t>
      </w:r>
      <w:r w:rsidR="00494532">
        <w:t xml:space="preserve"> </w:t>
      </w:r>
      <w:r w:rsidR="00DC1695" w:rsidRPr="00792BCF">
        <w:t xml:space="preserve">Esteem needs include the need for respect and recognition from others, as well as the need for self-esteem and self-respect. </w:t>
      </w:r>
      <w:r w:rsidR="00481566">
        <w:t>R</w:t>
      </w:r>
      <w:r w:rsidR="00DC1695" w:rsidRPr="00792BCF">
        <w:t>ecognizing and rewarding employees for their contributions</w:t>
      </w:r>
      <w:r w:rsidR="00481566">
        <w:t xml:space="preserve"> </w:t>
      </w:r>
      <w:r w:rsidR="00DC1695" w:rsidRPr="00792BCF">
        <w:t>and providing clear expectations and feedback.</w:t>
      </w:r>
      <w:r w:rsidR="00494532">
        <w:t xml:space="preserve"> </w:t>
      </w:r>
      <w:r w:rsidR="007C7F7C">
        <w:t>T</w:t>
      </w:r>
      <w:r w:rsidR="00494532" w:rsidRPr="00494532">
        <w:t xml:space="preserve">his need is met through performance evaluations, promotions, and opportunities for growth and development. </w:t>
      </w:r>
      <w:r w:rsidR="00481566" w:rsidRPr="00481566">
        <w:t xml:space="preserve">Employee engagement and motivation are more likely to be high when they see that their efforts are respected and </w:t>
      </w:r>
      <w:r w:rsidR="0002579A" w:rsidRPr="00481566">
        <w:t>recognized</w:t>
      </w:r>
      <w:r w:rsidR="00481566" w:rsidRPr="00481566">
        <w:t xml:space="preserve">. The urge for </w:t>
      </w:r>
      <w:r w:rsidR="0002579A">
        <w:t>self-fulfillment</w:t>
      </w:r>
      <w:r w:rsidR="00481566" w:rsidRPr="00481566">
        <w:t xml:space="preserve"> and the attainment of one's full potential </w:t>
      </w:r>
      <w:r w:rsidR="00481566">
        <w:t>is</w:t>
      </w:r>
      <w:r w:rsidR="00481566" w:rsidRPr="00481566">
        <w:t xml:space="preserve"> self-actualization demands</w:t>
      </w:r>
      <w:r w:rsidR="00DC1695" w:rsidRPr="00792BCF">
        <w:t>.</w:t>
      </w:r>
      <w:r w:rsidR="00494532">
        <w:t xml:space="preserve"> </w:t>
      </w:r>
      <w:r w:rsidR="007C7F7C">
        <w:t>It can be achieved</w:t>
      </w:r>
      <w:r w:rsidR="00494532" w:rsidRPr="00494532">
        <w:t xml:space="preserve"> through meaningful work, opportunities for creative expression, and a sense of purpose</w:t>
      </w:r>
      <w:sdt>
        <w:sdtPr>
          <w:id w:val="-408150444"/>
          <w:citation/>
        </w:sdtPr>
        <w:sdtContent>
          <w:r w:rsidR="00494532">
            <w:fldChar w:fldCharType="begin"/>
          </w:r>
          <w:r w:rsidR="00494532">
            <w:instrText xml:space="preserve"> CITATION Meg212 \l 1033 </w:instrText>
          </w:r>
          <w:r w:rsidR="00494532">
            <w:fldChar w:fldCharType="separate"/>
          </w:r>
          <w:r w:rsidR="00494532">
            <w:rPr>
              <w:noProof/>
            </w:rPr>
            <w:t xml:space="preserve"> (Thompson, 2021)</w:t>
          </w:r>
          <w:r w:rsidR="00494532">
            <w:fldChar w:fldCharType="end"/>
          </w:r>
        </w:sdtContent>
      </w:sdt>
      <w:r w:rsidR="00494532" w:rsidRPr="00494532">
        <w:t>.</w:t>
      </w:r>
    </w:p>
    <w:p w14:paraId="61F97495" w14:textId="546433FE" w:rsidR="00A46FCD" w:rsidRPr="00A46FCD" w:rsidRDefault="00481566" w:rsidP="00A46FCD">
      <w:r>
        <w:t>It is a useful framework</w:t>
      </w:r>
      <w:r w:rsidR="00494532" w:rsidRPr="00494532">
        <w:t xml:space="preserve"> for understanding the different levels of employee engagement and motivation. By addressing each level of the hierarchy, organizations can create a work environment that supports and nurtures the employee’s physical, emotional, and professional needs, and foster a culture of engagement, motivation, and high performance.</w:t>
      </w:r>
      <w:r w:rsidR="00494532">
        <w:t xml:space="preserve"> </w:t>
      </w:r>
      <w:r w:rsidR="00DC1695" w:rsidRPr="00792BCF">
        <w:t>By identifying the specific needs of employees, developing a plan of action, and regularly monitoring and adjusting the plan, organizations can create a positive and fulfilling work environment that benefits both employees and the organization</w:t>
      </w:r>
      <w:sdt>
        <w:sdtPr>
          <w:id w:val="1294716404"/>
          <w:citation/>
        </w:sdtPr>
        <w:sdtContent>
          <w:r w:rsidR="00DC1695">
            <w:fldChar w:fldCharType="begin"/>
          </w:r>
          <w:r w:rsidR="00DC1695">
            <w:instrText xml:space="preserve"> CITATION Meg212 \l 1033 </w:instrText>
          </w:r>
          <w:r w:rsidR="00DC1695">
            <w:fldChar w:fldCharType="separate"/>
          </w:r>
          <w:r w:rsidR="00DC1695">
            <w:rPr>
              <w:noProof/>
            </w:rPr>
            <w:t xml:space="preserve"> (Thompson, 2021)</w:t>
          </w:r>
          <w:r w:rsidR="00DC1695">
            <w:fldChar w:fldCharType="end"/>
          </w:r>
        </w:sdtContent>
      </w:sdt>
      <w:r w:rsidR="00DC1695" w:rsidRPr="00792BCF">
        <w:t>.</w:t>
      </w:r>
      <w:r w:rsidR="00297853">
        <w:t xml:space="preserve"> </w:t>
      </w:r>
    </w:p>
    <w:p w14:paraId="73FAD2BD" w14:textId="3A680F0A" w:rsidR="00075A57" w:rsidRPr="00774CD0" w:rsidRDefault="00075A57" w:rsidP="00075A57">
      <w:r w:rsidRPr="00774CD0">
        <w:t xml:space="preserve">In conclusion, employee engagement is critical for the success of any organization. By clearly communicating the company's mission and values, providing comprehensive onboarding, development opportunities, open communication, regular feedback, recognition and rewards, career advancement opportunities, and </w:t>
      </w:r>
      <w:r w:rsidR="00B946AC">
        <w:t xml:space="preserve">a </w:t>
      </w:r>
      <w:r w:rsidRPr="00774CD0">
        <w:t>clear offboarding process, organizations can create an environment where employees are engaged and committed to their work.</w:t>
      </w:r>
      <w:r w:rsidR="0057237B">
        <w:t xml:space="preserve"> T</w:t>
      </w:r>
      <w:r w:rsidR="0057237B" w:rsidRPr="0057237B">
        <w:t>he employee lifecycle provides a comprehensive view of the entire employee journey and helps employers understand the different types of support and investment needed at each stage. By effectively managing the employee lifecycle, organizations can create a positive and productive work environment, retain top talent, and achieve their business goals.</w:t>
      </w:r>
    </w:p>
    <w:p w14:paraId="04E35125" w14:textId="12971513" w:rsidR="00145737" w:rsidRDefault="00145737">
      <w:pPr>
        <w:spacing w:after="160" w:line="259" w:lineRule="auto"/>
        <w:jc w:val="left"/>
      </w:pPr>
      <w:r>
        <w:br w:type="page"/>
      </w:r>
    </w:p>
    <w:sdt>
      <w:sdtPr>
        <w:rPr>
          <w:rFonts w:eastAsia="Times New Roman" w:cs="Times New Roman"/>
          <w:b w:val="0"/>
          <w:szCs w:val="24"/>
        </w:rPr>
        <w:id w:val="39947589"/>
        <w:docPartObj>
          <w:docPartGallery w:val="Bibliographies"/>
          <w:docPartUnique/>
        </w:docPartObj>
      </w:sdtPr>
      <w:sdtContent>
        <w:p w14:paraId="7B764B39" w14:textId="277651E7" w:rsidR="00145737" w:rsidRDefault="00145737">
          <w:pPr>
            <w:pStyle w:val="Heading1"/>
          </w:pPr>
          <w:r>
            <w:t>References</w:t>
          </w:r>
        </w:p>
        <w:sdt>
          <w:sdtPr>
            <w:id w:val="-573587230"/>
            <w:bibliography/>
          </w:sdtPr>
          <w:sdtContent>
            <w:p w14:paraId="5DCB462D" w14:textId="77777777" w:rsidR="00145737" w:rsidRDefault="00145737" w:rsidP="00145737">
              <w:pPr>
                <w:pStyle w:val="Bibliography"/>
                <w:ind w:left="720" w:hanging="720"/>
                <w:rPr>
                  <w:noProof/>
                </w:rPr>
              </w:pPr>
              <w:r>
                <w:fldChar w:fldCharType="begin"/>
              </w:r>
              <w:r>
                <w:instrText xml:space="preserve"> BIBLIOGRAPHY </w:instrText>
              </w:r>
              <w:r>
                <w:fldChar w:fldCharType="separate"/>
              </w:r>
              <w:r>
                <w:rPr>
                  <w:noProof/>
                </w:rPr>
                <w:t xml:space="preserve">Alfes, K. (2022). New ways of working and the implications for employees: a systematic framework and suggestions for future research. </w:t>
              </w:r>
              <w:r>
                <w:rPr>
                  <w:i/>
                  <w:iCs/>
                  <w:noProof/>
                </w:rPr>
                <w:t>The International Journal of Human Resource Management</w:t>
              </w:r>
              <w:r>
                <w:rPr>
                  <w:noProof/>
                </w:rPr>
                <w:t>, 25.</w:t>
              </w:r>
            </w:p>
            <w:p w14:paraId="5A50068F" w14:textId="6DB3CEDB" w:rsidR="00145737" w:rsidRDefault="00145737" w:rsidP="00145737">
              <w:pPr>
                <w:pStyle w:val="Bibliography"/>
                <w:ind w:left="720" w:hanging="720"/>
                <w:rPr>
                  <w:noProof/>
                </w:rPr>
              </w:pPr>
              <w:r>
                <w:rPr>
                  <w:noProof/>
                </w:rPr>
                <w:t xml:space="preserve">Armstrong, M., &amp; Taylor, S. (2020). </w:t>
              </w:r>
              <w:r>
                <w:rPr>
                  <w:i/>
                  <w:iCs/>
                  <w:noProof/>
                </w:rPr>
                <w:t>Armstrong's Handbook of Human Resource Management Practice 15th Edition.</w:t>
              </w:r>
              <w:r>
                <w:rPr>
                  <w:noProof/>
                </w:rPr>
                <w:t xml:space="preserve"> London: Kogan Page.</w:t>
              </w:r>
            </w:p>
            <w:p w14:paraId="4B189076" w14:textId="77777777" w:rsidR="00145737" w:rsidRDefault="00145737" w:rsidP="00145737">
              <w:pPr>
                <w:pStyle w:val="Bibliography"/>
                <w:ind w:left="720" w:hanging="720"/>
                <w:rPr>
                  <w:noProof/>
                </w:rPr>
              </w:pPr>
              <w:r>
                <w:rPr>
                  <w:noProof/>
                </w:rPr>
                <w:t xml:space="preserve">Brunetto, Y. (2012). Emotional intelligence, job satisfaction, well-being and engagement: explaining organisational commitment and turnover intentions in policing. </w:t>
              </w:r>
              <w:r>
                <w:rPr>
                  <w:i/>
                  <w:iCs/>
                  <w:noProof/>
                </w:rPr>
                <w:t>Human Resource Management Journal</w:t>
              </w:r>
              <w:r>
                <w:rPr>
                  <w:noProof/>
                </w:rPr>
                <w:t>, 428-441.</w:t>
              </w:r>
            </w:p>
            <w:p w14:paraId="086AEA05" w14:textId="77777777" w:rsidR="00145737" w:rsidRDefault="00145737" w:rsidP="00145737">
              <w:pPr>
                <w:pStyle w:val="Bibliography"/>
                <w:ind w:left="720" w:hanging="720"/>
                <w:rPr>
                  <w:noProof/>
                </w:rPr>
              </w:pPr>
              <w:r>
                <w:rPr>
                  <w:noProof/>
                </w:rPr>
                <w:t xml:space="preserve">deBara, D. (2022, November 22). 10 Benefits of employee engagement, and why it’s so important. </w:t>
              </w:r>
              <w:r>
                <w:rPr>
                  <w:i/>
                  <w:iCs/>
                  <w:noProof/>
                </w:rPr>
                <w:t>Office Vibe</w:t>
              </w:r>
              <w:r>
                <w:rPr>
                  <w:noProof/>
                </w:rPr>
                <w:t>.</w:t>
              </w:r>
            </w:p>
            <w:p w14:paraId="08A06B8E" w14:textId="77777777" w:rsidR="00145737" w:rsidRDefault="00145737" w:rsidP="00145737">
              <w:pPr>
                <w:pStyle w:val="Bibliography"/>
                <w:ind w:left="720" w:hanging="720"/>
                <w:rPr>
                  <w:noProof/>
                </w:rPr>
              </w:pPr>
              <w:r>
                <w:rPr>
                  <w:noProof/>
                </w:rPr>
                <w:t>Duncan, C. (2021, December 2). What Is Employee Engagement.</w:t>
              </w:r>
            </w:p>
            <w:p w14:paraId="0D4AE0BC" w14:textId="77777777" w:rsidR="00145737" w:rsidRDefault="00145737" w:rsidP="00145737">
              <w:pPr>
                <w:pStyle w:val="Bibliography"/>
                <w:ind w:left="720" w:hanging="720"/>
                <w:rPr>
                  <w:noProof/>
                </w:rPr>
              </w:pPr>
              <w:r>
                <w:rPr>
                  <w:noProof/>
                </w:rPr>
                <w:t xml:space="preserve">Friedman, A. L. (2011). </w:t>
              </w:r>
              <w:r>
                <w:rPr>
                  <w:i/>
                  <w:iCs/>
                  <w:noProof/>
                </w:rPr>
                <w:t>Continuing Professional Development: Lifelong Learning of Millions 1st Edition.</w:t>
              </w:r>
              <w:r>
                <w:rPr>
                  <w:noProof/>
                </w:rPr>
                <w:t xml:space="preserve"> Oxfordshire : Routledge.</w:t>
              </w:r>
            </w:p>
            <w:p w14:paraId="0C9C3DFA" w14:textId="77777777" w:rsidR="00145737" w:rsidRDefault="00145737" w:rsidP="00145737">
              <w:pPr>
                <w:pStyle w:val="Bibliography"/>
                <w:ind w:left="720" w:hanging="720"/>
                <w:rPr>
                  <w:noProof/>
                </w:rPr>
              </w:pPr>
              <w:r>
                <w:rPr>
                  <w:noProof/>
                </w:rPr>
                <w:t>Herman, M. (2023, January 29). Why is Employee Engagement so Important? TOP 20 Benefits.</w:t>
              </w:r>
            </w:p>
            <w:p w14:paraId="610263B4" w14:textId="77777777" w:rsidR="00145737" w:rsidRDefault="00145737" w:rsidP="00145737">
              <w:pPr>
                <w:pStyle w:val="Bibliography"/>
                <w:ind w:left="720" w:hanging="720"/>
                <w:rPr>
                  <w:noProof/>
                </w:rPr>
              </w:pPr>
              <w:r>
                <w:rPr>
                  <w:noProof/>
                </w:rPr>
                <w:t xml:space="preserve">Huo, M.-L., &amp; Boxall, P. (2018). Are all aspects of lean production bad for workers? An analysis of how problem-solving demands affect employee well-being. </w:t>
              </w:r>
              <w:r>
                <w:rPr>
                  <w:i/>
                  <w:iCs/>
                  <w:noProof/>
                </w:rPr>
                <w:t>Human Resource Management Journal</w:t>
              </w:r>
              <w:r>
                <w:rPr>
                  <w:noProof/>
                </w:rPr>
                <w:t>, 569-584.</w:t>
              </w:r>
            </w:p>
            <w:p w14:paraId="33B7DFF6" w14:textId="77777777" w:rsidR="00145737" w:rsidRDefault="00145737" w:rsidP="00145737">
              <w:pPr>
                <w:pStyle w:val="Bibliography"/>
                <w:ind w:left="720" w:hanging="720"/>
                <w:rPr>
                  <w:noProof/>
                </w:rPr>
              </w:pPr>
              <w:r>
                <w:rPr>
                  <w:noProof/>
                </w:rPr>
                <w:t xml:space="preserve">Johnston, R., Clark, G., &amp; Shulver, M. (2012). </w:t>
              </w:r>
              <w:r>
                <w:rPr>
                  <w:i/>
                  <w:iCs/>
                  <w:noProof/>
                </w:rPr>
                <w:t>Service Operations Management Improving Service Delivery Fourth Edition.</w:t>
              </w:r>
              <w:r>
                <w:rPr>
                  <w:noProof/>
                </w:rPr>
                <w:t xml:space="preserve"> England: Pearson Education Limited.</w:t>
              </w:r>
            </w:p>
            <w:p w14:paraId="3017A59A" w14:textId="77777777" w:rsidR="00145737" w:rsidRDefault="00145737" w:rsidP="00145737">
              <w:pPr>
                <w:pStyle w:val="Bibliography"/>
                <w:ind w:left="720" w:hanging="720"/>
                <w:rPr>
                  <w:noProof/>
                </w:rPr>
              </w:pPr>
              <w:r>
                <w:rPr>
                  <w:noProof/>
                </w:rPr>
                <w:t xml:space="preserve">Marchington, M., Wilkinson, A., Donnelly, R., &amp; Kynighou, A. (2016). </w:t>
              </w:r>
              <w:r>
                <w:rPr>
                  <w:i/>
                  <w:iCs/>
                  <w:noProof/>
                </w:rPr>
                <w:t>Human Resource Management at Work 6th Edition.</w:t>
              </w:r>
              <w:r>
                <w:rPr>
                  <w:noProof/>
                </w:rPr>
                <w:t xml:space="preserve"> London: CIPD - Kogan Page.</w:t>
              </w:r>
            </w:p>
            <w:p w14:paraId="1638D87E" w14:textId="77777777" w:rsidR="00145737" w:rsidRDefault="00145737" w:rsidP="00145737">
              <w:pPr>
                <w:pStyle w:val="Bibliography"/>
                <w:ind w:left="720" w:hanging="720"/>
                <w:rPr>
                  <w:noProof/>
                </w:rPr>
              </w:pPr>
              <w:r>
                <w:rPr>
                  <w:noProof/>
                </w:rPr>
                <w:t xml:space="preserve">Marchington., M. (2015). Analysing the forces shaping employee involvement and participation (EIP) at organisation level in liberal market economies (LMEs). </w:t>
              </w:r>
              <w:r>
                <w:rPr>
                  <w:i/>
                  <w:iCs/>
                  <w:noProof/>
                </w:rPr>
                <w:t>Human Resource Management Journal</w:t>
              </w:r>
              <w:r>
                <w:rPr>
                  <w:noProof/>
                </w:rPr>
                <w:t>, 1-18.</w:t>
              </w:r>
            </w:p>
            <w:p w14:paraId="1DD6218F" w14:textId="77777777" w:rsidR="00145737" w:rsidRDefault="00145737" w:rsidP="00145737">
              <w:pPr>
                <w:pStyle w:val="Bibliography"/>
                <w:ind w:left="720" w:hanging="720"/>
                <w:rPr>
                  <w:noProof/>
                </w:rPr>
              </w:pPr>
              <w:r>
                <w:rPr>
                  <w:noProof/>
                </w:rPr>
                <w:t xml:space="preserve">Mayne, T. (2017, December 17). What is HR’s role in employee engagement? </w:t>
              </w:r>
              <w:r>
                <w:rPr>
                  <w:i/>
                  <w:iCs/>
                  <w:noProof/>
                </w:rPr>
                <w:t>CIPD</w:t>
              </w:r>
              <w:r>
                <w:rPr>
                  <w:noProof/>
                </w:rPr>
                <w:t>.</w:t>
              </w:r>
            </w:p>
            <w:p w14:paraId="3AD21EE0" w14:textId="77777777" w:rsidR="00145737" w:rsidRDefault="00145737" w:rsidP="00145737">
              <w:pPr>
                <w:pStyle w:val="Bibliography"/>
                <w:ind w:left="720" w:hanging="720"/>
                <w:rPr>
                  <w:noProof/>
                </w:rPr>
              </w:pPr>
              <w:r>
                <w:rPr>
                  <w:noProof/>
                </w:rPr>
                <w:t xml:space="preserve">NIBusiness. (2023, January 29). Employee engagement. </w:t>
              </w:r>
              <w:r>
                <w:rPr>
                  <w:i/>
                  <w:iCs/>
                  <w:noProof/>
                </w:rPr>
                <w:t>Advantages of employee engagement</w:t>
              </w:r>
              <w:r>
                <w:rPr>
                  <w:noProof/>
                </w:rPr>
                <w:t>.</w:t>
              </w:r>
            </w:p>
            <w:p w14:paraId="29F74C7F" w14:textId="77777777" w:rsidR="00145737" w:rsidRDefault="00145737" w:rsidP="00145737">
              <w:pPr>
                <w:pStyle w:val="Bibliography"/>
                <w:ind w:left="720" w:hanging="720"/>
                <w:rPr>
                  <w:noProof/>
                </w:rPr>
              </w:pPr>
              <w:r>
                <w:rPr>
                  <w:noProof/>
                </w:rPr>
                <w:t>Nutcache. (2023, January 29). How to Engage Employees – A Complete Guide for Managers.</w:t>
              </w:r>
            </w:p>
            <w:p w14:paraId="0F3E64CE" w14:textId="77777777" w:rsidR="00145737" w:rsidRDefault="00145737" w:rsidP="00145737">
              <w:pPr>
                <w:pStyle w:val="Bibliography"/>
                <w:ind w:left="720" w:hanging="720"/>
                <w:rPr>
                  <w:noProof/>
                </w:rPr>
              </w:pPr>
              <w:r>
                <w:rPr>
                  <w:noProof/>
                </w:rPr>
                <w:lastRenderedPageBreak/>
                <w:t xml:space="preserve">Personio. (2023, January 29). The Employee Life Cycle: Success In 6 Stages. </w:t>
              </w:r>
              <w:r>
                <w:rPr>
                  <w:i/>
                  <w:iCs/>
                  <w:noProof/>
                </w:rPr>
                <w:t>Blog</w:t>
              </w:r>
              <w:r>
                <w:rPr>
                  <w:noProof/>
                </w:rPr>
                <w:t>.</w:t>
              </w:r>
            </w:p>
            <w:p w14:paraId="67ADDCF2" w14:textId="77777777" w:rsidR="00145737" w:rsidRDefault="00145737" w:rsidP="00145737">
              <w:pPr>
                <w:pStyle w:val="Bibliography"/>
                <w:ind w:left="720" w:hanging="720"/>
                <w:rPr>
                  <w:noProof/>
                </w:rPr>
              </w:pPr>
              <w:r>
                <w:rPr>
                  <w:noProof/>
                </w:rPr>
                <w:t xml:space="preserve">Salmen, K. (2021). Paving the way for progress in employee agility research: a systematic literature review and framework. </w:t>
              </w:r>
              <w:r>
                <w:rPr>
                  <w:i/>
                  <w:iCs/>
                  <w:noProof/>
                </w:rPr>
                <w:t>The International Journal of Human Resource Management</w:t>
              </w:r>
              <w:r>
                <w:rPr>
                  <w:noProof/>
                </w:rPr>
                <w:t>, 4386-4439.</w:t>
              </w:r>
            </w:p>
            <w:p w14:paraId="14020CE7" w14:textId="77777777" w:rsidR="00145737" w:rsidRDefault="00145737" w:rsidP="00145737">
              <w:pPr>
                <w:pStyle w:val="Bibliography"/>
                <w:ind w:left="720" w:hanging="720"/>
                <w:rPr>
                  <w:noProof/>
                </w:rPr>
              </w:pPr>
              <w:r>
                <w:rPr>
                  <w:noProof/>
                </w:rPr>
                <w:t xml:space="preserve">Team, T. H. (2022, October 11). HR Roles in Employee Engagement: Four Important Considerations for Today’s Workplace. </w:t>
              </w:r>
              <w:r>
                <w:rPr>
                  <w:i/>
                  <w:iCs/>
                  <w:noProof/>
                </w:rPr>
                <w:t>Employee engagement matters</w:t>
              </w:r>
              <w:r>
                <w:rPr>
                  <w:noProof/>
                </w:rPr>
                <w:t>.</w:t>
              </w:r>
            </w:p>
            <w:p w14:paraId="2DB5BD5B" w14:textId="77777777" w:rsidR="00145737" w:rsidRDefault="00145737" w:rsidP="00145737">
              <w:pPr>
                <w:pStyle w:val="Bibliography"/>
                <w:ind w:left="720" w:hanging="720"/>
                <w:rPr>
                  <w:noProof/>
                </w:rPr>
              </w:pPr>
              <w:r>
                <w:rPr>
                  <w:noProof/>
                </w:rPr>
                <w:t xml:space="preserve">Tenney, M. (2023, January 29). Good Examples of Employee Engagement. </w:t>
              </w:r>
              <w:r>
                <w:rPr>
                  <w:i/>
                  <w:iCs/>
                  <w:noProof/>
                </w:rPr>
                <w:t>Business Leadership Today</w:t>
              </w:r>
              <w:r>
                <w:rPr>
                  <w:noProof/>
                </w:rPr>
                <w:t>.</w:t>
              </w:r>
            </w:p>
            <w:p w14:paraId="302E11D1" w14:textId="77777777" w:rsidR="00145737" w:rsidRDefault="00145737" w:rsidP="00145737">
              <w:pPr>
                <w:pStyle w:val="Bibliography"/>
                <w:ind w:left="720" w:hanging="720"/>
                <w:rPr>
                  <w:noProof/>
                </w:rPr>
              </w:pPr>
              <w:r>
                <w:rPr>
                  <w:noProof/>
                </w:rPr>
                <w:t xml:space="preserve">Thompson, M. (2021, October 22). Employee Engagement Models and Theories. </w:t>
              </w:r>
              <w:r>
                <w:rPr>
                  <w:i/>
                  <w:iCs/>
                  <w:noProof/>
                </w:rPr>
                <w:t>Wethrive</w:t>
              </w:r>
              <w:r>
                <w:rPr>
                  <w:noProof/>
                </w:rPr>
                <w:t>.</w:t>
              </w:r>
            </w:p>
            <w:p w14:paraId="726E5CE2" w14:textId="77777777" w:rsidR="00145737" w:rsidRDefault="00145737" w:rsidP="00145737">
              <w:pPr>
                <w:pStyle w:val="Bibliography"/>
                <w:ind w:left="720" w:hanging="720"/>
                <w:rPr>
                  <w:noProof/>
                </w:rPr>
              </w:pPr>
              <w:r>
                <w:rPr>
                  <w:noProof/>
                </w:rPr>
                <w:t xml:space="preserve">Wholley, M. (2022, September 28). How Maslow’s Hierarchy of Needs Applies to Employee Engagement. </w:t>
              </w:r>
              <w:r>
                <w:rPr>
                  <w:i/>
                  <w:iCs/>
                  <w:noProof/>
                </w:rPr>
                <w:t>Blog</w:t>
              </w:r>
              <w:r>
                <w:rPr>
                  <w:noProof/>
                </w:rPr>
                <w:t>.</w:t>
              </w:r>
            </w:p>
            <w:p w14:paraId="0430B5E8" w14:textId="56A23273" w:rsidR="00145737" w:rsidRDefault="00145737" w:rsidP="00145737">
              <w:r>
                <w:rPr>
                  <w:b/>
                  <w:bCs/>
                  <w:noProof/>
                </w:rPr>
                <w:fldChar w:fldCharType="end"/>
              </w:r>
            </w:p>
          </w:sdtContent>
        </w:sdt>
      </w:sdtContent>
    </w:sdt>
    <w:p w14:paraId="49102270" w14:textId="77777777" w:rsidR="00874666" w:rsidRPr="00A7490B" w:rsidRDefault="00874666" w:rsidP="00774CD0"/>
    <w:sectPr w:rsidR="00874666" w:rsidRPr="00A749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F34F5"/>
    <w:multiLevelType w:val="multilevel"/>
    <w:tmpl w:val="8CF88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B509EF"/>
    <w:multiLevelType w:val="multilevel"/>
    <w:tmpl w:val="A5623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14485F"/>
    <w:multiLevelType w:val="multilevel"/>
    <w:tmpl w:val="6E809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1B2C84"/>
    <w:multiLevelType w:val="multilevel"/>
    <w:tmpl w:val="E354C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D13264"/>
    <w:multiLevelType w:val="multilevel"/>
    <w:tmpl w:val="D3D89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B36225"/>
    <w:multiLevelType w:val="multilevel"/>
    <w:tmpl w:val="CEE6CBF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6B202B"/>
    <w:multiLevelType w:val="multilevel"/>
    <w:tmpl w:val="7D5A6B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E60B2A"/>
    <w:multiLevelType w:val="multilevel"/>
    <w:tmpl w:val="04849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F7658A"/>
    <w:multiLevelType w:val="multilevel"/>
    <w:tmpl w:val="7338A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F897627"/>
    <w:multiLevelType w:val="multilevel"/>
    <w:tmpl w:val="FD02D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5F14CA2"/>
    <w:multiLevelType w:val="multilevel"/>
    <w:tmpl w:val="559843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B8D0A2D"/>
    <w:multiLevelType w:val="multilevel"/>
    <w:tmpl w:val="244CD8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DA2ABC"/>
    <w:multiLevelType w:val="multilevel"/>
    <w:tmpl w:val="645CB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4AB2EE8"/>
    <w:multiLevelType w:val="multilevel"/>
    <w:tmpl w:val="6166D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81246EA"/>
    <w:multiLevelType w:val="multilevel"/>
    <w:tmpl w:val="62BC2F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8317289"/>
    <w:multiLevelType w:val="multilevel"/>
    <w:tmpl w:val="7A267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2044837"/>
    <w:multiLevelType w:val="multilevel"/>
    <w:tmpl w:val="5F247B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0753129">
    <w:abstractNumId w:val="1"/>
  </w:num>
  <w:num w:numId="2" w16cid:durableId="828330107">
    <w:abstractNumId w:val="11"/>
  </w:num>
  <w:num w:numId="3" w16cid:durableId="1231191752">
    <w:abstractNumId w:val="6"/>
  </w:num>
  <w:num w:numId="4" w16cid:durableId="34279358">
    <w:abstractNumId w:val="14"/>
  </w:num>
  <w:num w:numId="5" w16cid:durableId="797186871">
    <w:abstractNumId w:val="16"/>
  </w:num>
  <w:num w:numId="6" w16cid:durableId="1266230461">
    <w:abstractNumId w:val="10"/>
  </w:num>
  <w:num w:numId="7" w16cid:durableId="1950772630">
    <w:abstractNumId w:val="0"/>
  </w:num>
  <w:num w:numId="8" w16cid:durableId="801508905">
    <w:abstractNumId w:val="3"/>
  </w:num>
  <w:num w:numId="9" w16cid:durableId="2042244915">
    <w:abstractNumId w:val="15"/>
  </w:num>
  <w:num w:numId="10" w16cid:durableId="1693989527">
    <w:abstractNumId w:val="9"/>
  </w:num>
  <w:num w:numId="11" w16cid:durableId="1783768607">
    <w:abstractNumId w:val="4"/>
  </w:num>
  <w:num w:numId="12" w16cid:durableId="217934361">
    <w:abstractNumId w:val="8"/>
  </w:num>
  <w:num w:numId="13" w16cid:durableId="498080124">
    <w:abstractNumId w:val="12"/>
  </w:num>
  <w:num w:numId="14" w16cid:durableId="304705867">
    <w:abstractNumId w:val="7"/>
  </w:num>
  <w:num w:numId="15" w16cid:durableId="22020325">
    <w:abstractNumId w:val="13"/>
  </w:num>
  <w:num w:numId="16" w16cid:durableId="1854758567">
    <w:abstractNumId w:val="2"/>
  </w:num>
  <w:num w:numId="17" w16cid:durableId="167398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90B"/>
    <w:rsid w:val="0002579A"/>
    <w:rsid w:val="00075A57"/>
    <w:rsid w:val="00101E81"/>
    <w:rsid w:val="00145737"/>
    <w:rsid w:val="00216760"/>
    <w:rsid w:val="00297853"/>
    <w:rsid w:val="003D11E4"/>
    <w:rsid w:val="0040538B"/>
    <w:rsid w:val="00417618"/>
    <w:rsid w:val="00481566"/>
    <w:rsid w:val="00490248"/>
    <w:rsid w:val="00494532"/>
    <w:rsid w:val="00505A2C"/>
    <w:rsid w:val="0057237B"/>
    <w:rsid w:val="005B6373"/>
    <w:rsid w:val="005E311C"/>
    <w:rsid w:val="006A0C0C"/>
    <w:rsid w:val="00774CD0"/>
    <w:rsid w:val="00792BCF"/>
    <w:rsid w:val="007C7F7C"/>
    <w:rsid w:val="00874666"/>
    <w:rsid w:val="00943347"/>
    <w:rsid w:val="00956339"/>
    <w:rsid w:val="00A15063"/>
    <w:rsid w:val="00A33206"/>
    <w:rsid w:val="00A46B23"/>
    <w:rsid w:val="00A46FCD"/>
    <w:rsid w:val="00A7490B"/>
    <w:rsid w:val="00B62C9B"/>
    <w:rsid w:val="00B93C67"/>
    <w:rsid w:val="00B946AC"/>
    <w:rsid w:val="00CE7ADC"/>
    <w:rsid w:val="00DC1695"/>
    <w:rsid w:val="00DD0E65"/>
    <w:rsid w:val="00E57326"/>
    <w:rsid w:val="00E95D3E"/>
    <w:rsid w:val="00EA3A61"/>
    <w:rsid w:val="00EA5109"/>
    <w:rsid w:val="00EB5D8C"/>
    <w:rsid w:val="00EC6E0B"/>
    <w:rsid w:val="00ED2FD8"/>
    <w:rsid w:val="00ED5FD5"/>
    <w:rsid w:val="00F80A5F"/>
    <w:rsid w:val="00FF57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C102C"/>
  <w15:chartTrackingRefBased/>
  <w15:docId w15:val="{74FE06E4-1B75-4E76-B01B-0A820A088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109"/>
    <w:pPr>
      <w:spacing w:after="0" w:line="360" w:lineRule="auto"/>
      <w:jc w:val="both"/>
    </w:pPr>
    <w:rPr>
      <w:rFonts w:ascii="Arial" w:hAnsi="Arial" w:cs="Times New Roman"/>
      <w:sz w:val="24"/>
      <w:szCs w:val="24"/>
    </w:rPr>
  </w:style>
  <w:style w:type="paragraph" w:styleId="Heading1">
    <w:name w:val="heading 1"/>
    <w:basedOn w:val="Normal"/>
    <w:next w:val="Normal"/>
    <w:link w:val="Heading1Char"/>
    <w:autoRedefine/>
    <w:uiPriority w:val="9"/>
    <w:qFormat/>
    <w:rsid w:val="005B6373"/>
    <w:pPr>
      <w:keepNext/>
      <w:keepLines/>
      <w:spacing w:before="24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EA3A61"/>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6373"/>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EA3A61"/>
    <w:rPr>
      <w:rFonts w:ascii="Times New Roman" w:eastAsiaTheme="majorEastAsia" w:hAnsi="Times New Roman" w:cstheme="majorBidi"/>
      <w:b/>
      <w:sz w:val="24"/>
      <w:szCs w:val="26"/>
    </w:rPr>
  </w:style>
  <w:style w:type="paragraph" w:styleId="NormalWeb">
    <w:name w:val="Normal (Web)"/>
    <w:basedOn w:val="Normal"/>
    <w:uiPriority w:val="99"/>
    <w:semiHidden/>
    <w:unhideWhenUsed/>
    <w:rsid w:val="00A33206"/>
  </w:style>
  <w:style w:type="paragraph" w:styleId="ListParagraph">
    <w:name w:val="List Paragraph"/>
    <w:basedOn w:val="Normal"/>
    <w:uiPriority w:val="34"/>
    <w:qFormat/>
    <w:rsid w:val="00075A57"/>
    <w:pPr>
      <w:ind w:left="720"/>
      <w:contextualSpacing/>
    </w:pPr>
  </w:style>
  <w:style w:type="paragraph" w:styleId="Bibliography">
    <w:name w:val="Bibliography"/>
    <w:basedOn w:val="Normal"/>
    <w:next w:val="Normal"/>
    <w:uiPriority w:val="37"/>
    <w:unhideWhenUsed/>
    <w:rsid w:val="001457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0980">
      <w:bodyDiv w:val="1"/>
      <w:marLeft w:val="0"/>
      <w:marRight w:val="0"/>
      <w:marTop w:val="0"/>
      <w:marBottom w:val="0"/>
      <w:divBdr>
        <w:top w:val="none" w:sz="0" w:space="0" w:color="auto"/>
        <w:left w:val="none" w:sz="0" w:space="0" w:color="auto"/>
        <w:bottom w:val="none" w:sz="0" w:space="0" w:color="auto"/>
        <w:right w:val="none" w:sz="0" w:space="0" w:color="auto"/>
      </w:divBdr>
    </w:div>
    <w:div w:id="96800588">
      <w:bodyDiv w:val="1"/>
      <w:marLeft w:val="0"/>
      <w:marRight w:val="0"/>
      <w:marTop w:val="0"/>
      <w:marBottom w:val="0"/>
      <w:divBdr>
        <w:top w:val="none" w:sz="0" w:space="0" w:color="auto"/>
        <w:left w:val="none" w:sz="0" w:space="0" w:color="auto"/>
        <w:bottom w:val="none" w:sz="0" w:space="0" w:color="auto"/>
        <w:right w:val="none" w:sz="0" w:space="0" w:color="auto"/>
      </w:divBdr>
    </w:div>
    <w:div w:id="117140367">
      <w:bodyDiv w:val="1"/>
      <w:marLeft w:val="0"/>
      <w:marRight w:val="0"/>
      <w:marTop w:val="0"/>
      <w:marBottom w:val="0"/>
      <w:divBdr>
        <w:top w:val="none" w:sz="0" w:space="0" w:color="auto"/>
        <w:left w:val="none" w:sz="0" w:space="0" w:color="auto"/>
        <w:bottom w:val="none" w:sz="0" w:space="0" w:color="auto"/>
        <w:right w:val="none" w:sz="0" w:space="0" w:color="auto"/>
      </w:divBdr>
    </w:div>
    <w:div w:id="196165326">
      <w:bodyDiv w:val="1"/>
      <w:marLeft w:val="0"/>
      <w:marRight w:val="0"/>
      <w:marTop w:val="0"/>
      <w:marBottom w:val="0"/>
      <w:divBdr>
        <w:top w:val="none" w:sz="0" w:space="0" w:color="auto"/>
        <w:left w:val="none" w:sz="0" w:space="0" w:color="auto"/>
        <w:bottom w:val="none" w:sz="0" w:space="0" w:color="auto"/>
        <w:right w:val="none" w:sz="0" w:space="0" w:color="auto"/>
      </w:divBdr>
    </w:div>
    <w:div w:id="202449545">
      <w:bodyDiv w:val="1"/>
      <w:marLeft w:val="0"/>
      <w:marRight w:val="0"/>
      <w:marTop w:val="0"/>
      <w:marBottom w:val="0"/>
      <w:divBdr>
        <w:top w:val="none" w:sz="0" w:space="0" w:color="auto"/>
        <w:left w:val="none" w:sz="0" w:space="0" w:color="auto"/>
        <w:bottom w:val="none" w:sz="0" w:space="0" w:color="auto"/>
        <w:right w:val="none" w:sz="0" w:space="0" w:color="auto"/>
      </w:divBdr>
    </w:div>
    <w:div w:id="226501890">
      <w:bodyDiv w:val="1"/>
      <w:marLeft w:val="0"/>
      <w:marRight w:val="0"/>
      <w:marTop w:val="0"/>
      <w:marBottom w:val="0"/>
      <w:divBdr>
        <w:top w:val="none" w:sz="0" w:space="0" w:color="auto"/>
        <w:left w:val="none" w:sz="0" w:space="0" w:color="auto"/>
        <w:bottom w:val="none" w:sz="0" w:space="0" w:color="auto"/>
        <w:right w:val="none" w:sz="0" w:space="0" w:color="auto"/>
      </w:divBdr>
    </w:div>
    <w:div w:id="263658841">
      <w:bodyDiv w:val="1"/>
      <w:marLeft w:val="0"/>
      <w:marRight w:val="0"/>
      <w:marTop w:val="0"/>
      <w:marBottom w:val="0"/>
      <w:divBdr>
        <w:top w:val="none" w:sz="0" w:space="0" w:color="auto"/>
        <w:left w:val="none" w:sz="0" w:space="0" w:color="auto"/>
        <w:bottom w:val="none" w:sz="0" w:space="0" w:color="auto"/>
        <w:right w:val="none" w:sz="0" w:space="0" w:color="auto"/>
      </w:divBdr>
    </w:div>
    <w:div w:id="290478748">
      <w:bodyDiv w:val="1"/>
      <w:marLeft w:val="0"/>
      <w:marRight w:val="0"/>
      <w:marTop w:val="0"/>
      <w:marBottom w:val="0"/>
      <w:divBdr>
        <w:top w:val="none" w:sz="0" w:space="0" w:color="auto"/>
        <w:left w:val="none" w:sz="0" w:space="0" w:color="auto"/>
        <w:bottom w:val="none" w:sz="0" w:space="0" w:color="auto"/>
        <w:right w:val="none" w:sz="0" w:space="0" w:color="auto"/>
      </w:divBdr>
    </w:div>
    <w:div w:id="314575584">
      <w:bodyDiv w:val="1"/>
      <w:marLeft w:val="0"/>
      <w:marRight w:val="0"/>
      <w:marTop w:val="0"/>
      <w:marBottom w:val="0"/>
      <w:divBdr>
        <w:top w:val="none" w:sz="0" w:space="0" w:color="auto"/>
        <w:left w:val="none" w:sz="0" w:space="0" w:color="auto"/>
        <w:bottom w:val="none" w:sz="0" w:space="0" w:color="auto"/>
        <w:right w:val="none" w:sz="0" w:space="0" w:color="auto"/>
      </w:divBdr>
    </w:div>
    <w:div w:id="320811706">
      <w:bodyDiv w:val="1"/>
      <w:marLeft w:val="0"/>
      <w:marRight w:val="0"/>
      <w:marTop w:val="0"/>
      <w:marBottom w:val="0"/>
      <w:divBdr>
        <w:top w:val="none" w:sz="0" w:space="0" w:color="auto"/>
        <w:left w:val="none" w:sz="0" w:space="0" w:color="auto"/>
        <w:bottom w:val="none" w:sz="0" w:space="0" w:color="auto"/>
        <w:right w:val="none" w:sz="0" w:space="0" w:color="auto"/>
      </w:divBdr>
    </w:div>
    <w:div w:id="341975774">
      <w:bodyDiv w:val="1"/>
      <w:marLeft w:val="0"/>
      <w:marRight w:val="0"/>
      <w:marTop w:val="0"/>
      <w:marBottom w:val="0"/>
      <w:divBdr>
        <w:top w:val="none" w:sz="0" w:space="0" w:color="auto"/>
        <w:left w:val="none" w:sz="0" w:space="0" w:color="auto"/>
        <w:bottom w:val="none" w:sz="0" w:space="0" w:color="auto"/>
        <w:right w:val="none" w:sz="0" w:space="0" w:color="auto"/>
      </w:divBdr>
    </w:div>
    <w:div w:id="484249645">
      <w:bodyDiv w:val="1"/>
      <w:marLeft w:val="0"/>
      <w:marRight w:val="0"/>
      <w:marTop w:val="0"/>
      <w:marBottom w:val="0"/>
      <w:divBdr>
        <w:top w:val="none" w:sz="0" w:space="0" w:color="auto"/>
        <w:left w:val="none" w:sz="0" w:space="0" w:color="auto"/>
        <w:bottom w:val="none" w:sz="0" w:space="0" w:color="auto"/>
        <w:right w:val="none" w:sz="0" w:space="0" w:color="auto"/>
      </w:divBdr>
    </w:div>
    <w:div w:id="561645064">
      <w:bodyDiv w:val="1"/>
      <w:marLeft w:val="0"/>
      <w:marRight w:val="0"/>
      <w:marTop w:val="0"/>
      <w:marBottom w:val="0"/>
      <w:divBdr>
        <w:top w:val="none" w:sz="0" w:space="0" w:color="auto"/>
        <w:left w:val="none" w:sz="0" w:space="0" w:color="auto"/>
        <w:bottom w:val="none" w:sz="0" w:space="0" w:color="auto"/>
        <w:right w:val="none" w:sz="0" w:space="0" w:color="auto"/>
      </w:divBdr>
    </w:div>
    <w:div w:id="613633119">
      <w:bodyDiv w:val="1"/>
      <w:marLeft w:val="0"/>
      <w:marRight w:val="0"/>
      <w:marTop w:val="0"/>
      <w:marBottom w:val="0"/>
      <w:divBdr>
        <w:top w:val="none" w:sz="0" w:space="0" w:color="auto"/>
        <w:left w:val="none" w:sz="0" w:space="0" w:color="auto"/>
        <w:bottom w:val="none" w:sz="0" w:space="0" w:color="auto"/>
        <w:right w:val="none" w:sz="0" w:space="0" w:color="auto"/>
      </w:divBdr>
    </w:div>
    <w:div w:id="618337317">
      <w:bodyDiv w:val="1"/>
      <w:marLeft w:val="0"/>
      <w:marRight w:val="0"/>
      <w:marTop w:val="0"/>
      <w:marBottom w:val="0"/>
      <w:divBdr>
        <w:top w:val="none" w:sz="0" w:space="0" w:color="auto"/>
        <w:left w:val="none" w:sz="0" w:space="0" w:color="auto"/>
        <w:bottom w:val="none" w:sz="0" w:space="0" w:color="auto"/>
        <w:right w:val="none" w:sz="0" w:space="0" w:color="auto"/>
      </w:divBdr>
    </w:div>
    <w:div w:id="633876072">
      <w:bodyDiv w:val="1"/>
      <w:marLeft w:val="0"/>
      <w:marRight w:val="0"/>
      <w:marTop w:val="0"/>
      <w:marBottom w:val="0"/>
      <w:divBdr>
        <w:top w:val="none" w:sz="0" w:space="0" w:color="auto"/>
        <w:left w:val="none" w:sz="0" w:space="0" w:color="auto"/>
        <w:bottom w:val="none" w:sz="0" w:space="0" w:color="auto"/>
        <w:right w:val="none" w:sz="0" w:space="0" w:color="auto"/>
      </w:divBdr>
    </w:div>
    <w:div w:id="660698619">
      <w:bodyDiv w:val="1"/>
      <w:marLeft w:val="0"/>
      <w:marRight w:val="0"/>
      <w:marTop w:val="0"/>
      <w:marBottom w:val="0"/>
      <w:divBdr>
        <w:top w:val="none" w:sz="0" w:space="0" w:color="auto"/>
        <w:left w:val="none" w:sz="0" w:space="0" w:color="auto"/>
        <w:bottom w:val="none" w:sz="0" w:space="0" w:color="auto"/>
        <w:right w:val="none" w:sz="0" w:space="0" w:color="auto"/>
      </w:divBdr>
    </w:div>
    <w:div w:id="661785781">
      <w:bodyDiv w:val="1"/>
      <w:marLeft w:val="0"/>
      <w:marRight w:val="0"/>
      <w:marTop w:val="0"/>
      <w:marBottom w:val="0"/>
      <w:divBdr>
        <w:top w:val="none" w:sz="0" w:space="0" w:color="auto"/>
        <w:left w:val="none" w:sz="0" w:space="0" w:color="auto"/>
        <w:bottom w:val="none" w:sz="0" w:space="0" w:color="auto"/>
        <w:right w:val="none" w:sz="0" w:space="0" w:color="auto"/>
      </w:divBdr>
    </w:div>
    <w:div w:id="677200280">
      <w:bodyDiv w:val="1"/>
      <w:marLeft w:val="0"/>
      <w:marRight w:val="0"/>
      <w:marTop w:val="0"/>
      <w:marBottom w:val="0"/>
      <w:divBdr>
        <w:top w:val="none" w:sz="0" w:space="0" w:color="auto"/>
        <w:left w:val="none" w:sz="0" w:space="0" w:color="auto"/>
        <w:bottom w:val="none" w:sz="0" w:space="0" w:color="auto"/>
        <w:right w:val="none" w:sz="0" w:space="0" w:color="auto"/>
      </w:divBdr>
    </w:div>
    <w:div w:id="679162709">
      <w:bodyDiv w:val="1"/>
      <w:marLeft w:val="0"/>
      <w:marRight w:val="0"/>
      <w:marTop w:val="0"/>
      <w:marBottom w:val="0"/>
      <w:divBdr>
        <w:top w:val="none" w:sz="0" w:space="0" w:color="auto"/>
        <w:left w:val="none" w:sz="0" w:space="0" w:color="auto"/>
        <w:bottom w:val="none" w:sz="0" w:space="0" w:color="auto"/>
        <w:right w:val="none" w:sz="0" w:space="0" w:color="auto"/>
      </w:divBdr>
    </w:div>
    <w:div w:id="713429585">
      <w:bodyDiv w:val="1"/>
      <w:marLeft w:val="0"/>
      <w:marRight w:val="0"/>
      <w:marTop w:val="0"/>
      <w:marBottom w:val="0"/>
      <w:divBdr>
        <w:top w:val="none" w:sz="0" w:space="0" w:color="auto"/>
        <w:left w:val="none" w:sz="0" w:space="0" w:color="auto"/>
        <w:bottom w:val="none" w:sz="0" w:space="0" w:color="auto"/>
        <w:right w:val="none" w:sz="0" w:space="0" w:color="auto"/>
      </w:divBdr>
    </w:div>
    <w:div w:id="823929588">
      <w:bodyDiv w:val="1"/>
      <w:marLeft w:val="0"/>
      <w:marRight w:val="0"/>
      <w:marTop w:val="0"/>
      <w:marBottom w:val="0"/>
      <w:divBdr>
        <w:top w:val="none" w:sz="0" w:space="0" w:color="auto"/>
        <w:left w:val="none" w:sz="0" w:space="0" w:color="auto"/>
        <w:bottom w:val="none" w:sz="0" w:space="0" w:color="auto"/>
        <w:right w:val="none" w:sz="0" w:space="0" w:color="auto"/>
      </w:divBdr>
    </w:div>
    <w:div w:id="829442747">
      <w:bodyDiv w:val="1"/>
      <w:marLeft w:val="0"/>
      <w:marRight w:val="0"/>
      <w:marTop w:val="0"/>
      <w:marBottom w:val="0"/>
      <w:divBdr>
        <w:top w:val="none" w:sz="0" w:space="0" w:color="auto"/>
        <w:left w:val="none" w:sz="0" w:space="0" w:color="auto"/>
        <w:bottom w:val="none" w:sz="0" w:space="0" w:color="auto"/>
        <w:right w:val="none" w:sz="0" w:space="0" w:color="auto"/>
      </w:divBdr>
    </w:div>
    <w:div w:id="849104145">
      <w:bodyDiv w:val="1"/>
      <w:marLeft w:val="0"/>
      <w:marRight w:val="0"/>
      <w:marTop w:val="0"/>
      <w:marBottom w:val="0"/>
      <w:divBdr>
        <w:top w:val="none" w:sz="0" w:space="0" w:color="auto"/>
        <w:left w:val="none" w:sz="0" w:space="0" w:color="auto"/>
        <w:bottom w:val="none" w:sz="0" w:space="0" w:color="auto"/>
        <w:right w:val="none" w:sz="0" w:space="0" w:color="auto"/>
      </w:divBdr>
    </w:div>
    <w:div w:id="928847649">
      <w:bodyDiv w:val="1"/>
      <w:marLeft w:val="0"/>
      <w:marRight w:val="0"/>
      <w:marTop w:val="0"/>
      <w:marBottom w:val="0"/>
      <w:divBdr>
        <w:top w:val="none" w:sz="0" w:space="0" w:color="auto"/>
        <w:left w:val="none" w:sz="0" w:space="0" w:color="auto"/>
        <w:bottom w:val="none" w:sz="0" w:space="0" w:color="auto"/>
        <w:right w:val="none" w:sz="0" w:space="0" w:color="auto"/>
      </w:divBdr>
    </w:div>
    <w:div w:id="948899243">
      <w:bodyDiv w:val="1"/>
      <w:marLeft w:val="0"/>
      <w:marRight w:val="0"/>
      <w:marTop w:val="0"/>
      <w:marBottom w:val="0"/>
      <w:divBdr>
        <w:top w:val="none" w:sz="0" w:space="0" w:color="auto"/>
        <w:left w:val="none" w:sz="0" w:space="0" w:color="auto"/>
        <w:bottom w:val="none" w:sz="0" w:space="0" w:color="auto"/>
        <w:right w:val="none" w:sz="0" w:space="0" w:color="auto"/>
      </w:divBdr>
    </w:div>
    <w:div w:id="967127366">
      <w:bodyDiv w:val="1"/>
      <w:marLeft w:val="0"/>
      <w:marRight w:val="0"/>
      <w:marTop w:val="0"/>
      <w:marBottom w:val="0"/>
      <w:divBdr>
        <w:top w:val="none" w:sz="0" w:space="0" w:color="auto"/>
        <w:left w:val="none" w:sz="0" w:space="0" w:color="auto"/>
        <w:bottom w:val="none" w:sz="0" w:space="0" w:color="auto"/>
        <w:right w:val="none" w:sz="0" w:space="0" w:color="auto"/>
      </w:divBdr>
    </w:div>
    <w:div w:id="994989629">
      <w:bodyDiv w:val="1"/>
      <w:marLeft w:val="0"/>
      <w:marRight w:val="0"/>
      <w:marTop w:val="0"/>
      <w:marBottom w:val="0"/>
      <w:divBdr>
        <w:top w:val="none" w:sz="0" w:space="0" w:color="auto"/>
        <w:left w:val="none" w:sz="0" w:space="0" w:color="auto"/>
        <w:bottom w:val="none" w:sz="0" w:space="0" w:color="auto"/>
        <w:right w:val="none" w:sz="0" w:space="0" w:color="auto"/>
      </w:divBdr>
    </w:div>
    <w:div w:id="1041587890">
      <w:bodyDiv w:val="1"/>
      <w:marLeft w:val="0"/>
      <w:marRight w:val="0"/>
      <w:marTop w:val="0"/>
      <w:marBottom w:val="0"/>
      <w:divBdr>
        <w:top w:val="none" w:sz="0" w:space="0" w:color="auto"/>
        <w:left w:val="none" w:sz="0" w:space="0" w:color="auto"/>
        <w:bottom w:val="none" w:sz="0" w:space="0" w:color="auto"/>
        <w:right w:val="none" w:sz="0" w:space="0" w:color="auto"/>
      </w:divBdr>
    </w:div>
    <w:div w:id="1213079760">
      <w:bodyDiv w:val="1"/>
      <w:marLeft w:val="0"/>
      <w:marRight w:val="0"/>
      <w:marTop w:val="0"/>
      <w:marBottom w:val="0"/>
      <w:divBdr>
        <w:top w:val="none" w:sz="0" w:space="0" w:color="auto"/>
        <w:left w:val="none" w:sz="0" w:space="0" w:color="auto"/>
        <w:bottom w:val="none" w:sz="0" w:space="0" w:color="auto"/>
        <w:right w:val="none" w:sz="0" w:space="0" w:color="auto"/>
      </w:divBdr>
    </w:div>
    <w:div w:id="1215699104">
      <w:bodyDiv w:val="1"/>
      <w:marLeft w:val="0"/>
      <w:marRight w:val="0"/>
      <w:marTop w:val="0"/>
      <w:marBottom w:val="0"/>
      <w:divBdr>
        <w:top w:val="none" w:sz="0" w:space="0" w:color="auto"/>
        <w:left w:val="none" w:sz="0" w:space="0" w:color="auto"/>
        <w:bottom w:val="none" w:sz="0" w:space="0" w:color="auto"/>
        <w:right w:val="none" w:sz="0" w:space="0" w:color="auto"/>
      </w:divBdr>
    </w:div>
    <w:div w:id="1232346179">
      <w:bodyDiv w:val="1"/>
      <w:marLeft w:val="0"/>
      <w:marRight w:val="0"/>
      <w:marTop w:val="0"/>
      <w:marBottom w:val="0"/>
      <w:divBdr>
        <w:top w:val="none" w:sz="0" w:space="0" w:color="auto"/>
        <w:left w:val="none" w:sz="0" w:space="0" w:color="auto"/>
        <w:bottom w:val="none" w:sz="0" w:space="0" w:color="auto"/>
        <w:right w:val="none" w:sz="0" w:space="0" w:color="auto"/>
      </w:divBdr>
    </w:div>
    <w:div w:id="1258710820">
      <w:bodyDiv w:val="1"/>
      <w:marLeft w:val="0"/>
      <w:marRight w:val="0"/>
      <w:marTop w:val="0"/>
      <w:marBottom w:val="0"/>
      <w:divBdr>
        <w:top w:val="none" w:sz="0" w:space="0" w:color="auto"/>
        <w:left w:val="none" w:sz="0" w:space="0" w:color="auto"/>
        <w:bottom w:val="none" w:sz="0" w:space="0" w:color="auto"/>
        <w:right w:val="none" w:sz="0" w:space="0" w:color="auto"/>
      </w:divBdr>
    </w:div>
    <w:div w:id="1284191568">
      <w:bodyDiv w:val="1"/>
      <w:marLeft w:val="0"/>
      <w:marRight w:val="0"/>
      <w:marTop w:val="0"/>
      <w:marBottom w:val="0"/>
      <w:divBdr>
        <w:top w:val="none" w:sz="0" w:space="0" w:color="auto"/>
        <w:left w:val="none" w:sz="0" w:space="0" w:color="auto"/>
        <w:bottom w:val="none" w:sz="0" w:space="0" w:color="auto"/>
        <w:right w:val="none" w:sz="0" w:space="0" w:color="auto"/>
      </w:divBdr>
    </w:div>
    <w:div w:id="1289168624">
      <w:bodyDiv w:val="1"/>
      <w:marLeft w:val="0"/>
      <w:marRight w:val="0"/>
      <w:marTop w:val="0"/>
      <w:marBottom w:val="0"/>
      <w:divBdr>
        <w:top w:val="none" w:sz="0" w:space="0" w:color="auto"/>
        <w:left w:val="none" w:sz="0" w:space="0" w:color="auto"/>
        <w:bottom w:val="none" w:sz="0" w:space="0" w:color="auto"/>
        <w:right w:val="none" w:sz="0" w:space="0" w:color="auto"/>
      </w:divBdr>
    </w:div>
    <w:div w:id="1292395259">
      <w:bodyDiv w:val="1"/>
      <w:marLeft w:val="0"/>
      <w:marRight w:val="0"/>
      <w:marTop w:val="0"/>
      <w:marBottom w:val="0"/>
      <w:divBdr>
        <w:top w:val="none" w:sz="0" w:space="0" w:color="auto"/>
        <w:left w:val="none" w:sz="0" w:space="0" w:color="auto"/>
        <w:bottom w:val="none" w:sz="0" w:space="0" w:color="auto"/>
        <w:right w:val="none" w:sz="0" w:space="0" w:color="auto"/>
      </w:divBdr>
    </w:div>
    <w:div w:id="1338923634">
      <w:bodyDiv w:val="1"/>
      <w:marLeft w:val="0"/>
      <w:marRight w:val="0"/>
      <w:marTop w:val="0"/>
      <w:marBottom w:val="0"/>
      <w:divBdr>
        <w:top w:val="none" w:sz="0" w:space="0" w:color="auto"/>
        <w:left w:val="none" w:sz="0" w:space="0" w:color="auto"/>
        <w:bottom w:val="none" w:sz="0" w:space="0" w:color="auto"/>
        <w:right w:val="none" w:sz="0" w:space="0" w:color="auto"/>
      </w:divBdr>
    </w:div>
    <w:div w:id="1345475583">
      <w:bodyDiv w:val="1"/>
      <w:marLeft w:val="0"/>
      <w:marRight w:val="0"/>
      <w:marTop w:val="0"/>
      <w:marBottom w:val="0"/>
      <w:divBdr>
        <w:top w:val="none" w:sz="0" w:space="0" w:color="auto"/>
        <w:left w:val="none" w:sz="0" w:space="0" w:color="auto"/>
        <w:bottom w:val="none" w:sz="0" w:space="0" w:color="auto"/>
        <w:right w:val="none" w:sz="0" w:space="0" w:color="auto"/>
      </w:divBdr>
    </w:div>
    <w:div w:id="1358962825">
      <w:bodyDiv w:val="1"/>
      <w:marLeft w:val="0"/>
      <w:marRight w:val="0"/>
      <w:marTop w:val="0"/>
      <w:marBottom w:val="0"/>
      <w:divBdr>
        <w:top w:val="none" w:sz="0" w:space="0" w:color="auto"/>
        <w:left w:val="none" w:sz="0" w:space="0" w:color="auto"/>
        <w:bottom w:val="none" w:sz="0" w:space="0" w:color="auto"/>
        <w:right w:val="none" w:sz="0" w:space="0" w:color="auto"/>
      </w:divBdr>
    </w:div>
    <w:div w:id="1400057974">
      <w:bodyDiv w:val="1"/>
      <w:marLeft w:val="0"/>
      <w:marRight w:val="0"/>
      <w:marTop w:val="0"/>
      <w:marBottom w:val="0"/>
      <w:divBdr>
        <w:top w:val="none" w:sz="0" w:space="0" w:color="auto"/>
        <w:left w:val="none" w:sz="0" w:space="0" w:color="auto"/>
        <w:bottom w:val="none" w:sz="0" w:space="0" w:color="auto"/>
        <w:right w:val="none" w:sz="0" w:space="0" w:color="auto"/>
      </w:divBdr>
    </w:div>
    <w:div w:id="1438214285">
      <w:bodyDiv w:val="1"/>
      <w:marLeft w:val="0"/>
      <w:marRight w:val="0"/>
      <w:marTop w:val="0"/>
      <w:marBottom w:val="0"/>
      <w:divBdr>
        <w:top w:val="none" w:sz="0" w:space="0" w:color="auto"/>
        <w:left w:val="none" w:sz="0" w:space="0" w:color="auto"/>
        <w:bottom w:val="none" w:sz="0" w:space="0" w:color="auto"/>
        <w:right w:val="none" w:sz="0" w:space="0" w:color="auto"/>
      </w:divBdr>
    </w:div>
    <w:div w:id="1518884881">
      <w:bodyDiv w:val="1"/>
      <w:marLeft w:val="0"/>
      <w:marRight w:val="0"/>
      <w:marTop w:val="0"/>
      <w:marBottom w:val="0"/>
      <w:divBdr>
        <w:top w:val="none" w:sz="0" w:space="0" w:color="auto"/>
        <w:left w:val="none" w:sz="0" w:space="0" w:color="auto"/>
        <w:bottom w:val="none" w:sz="0" w:space="0" w:color="auto"/>
        <w:right w:val="none" w:sz="0" w:space="0" w:color="auto"/>
      </w:divBdr>
    </w:div>
    <w:div w:id="1538078108">
      <w:bodyDiv w:val="1"/>
      <w:marLeft w:val="0"/>
      <w:marRight w:val="0"/>
      <w:marTop w:val="0"/>
      <w:marBottom w:val="0"/>
      <w:divBdr>
        <w:top w:val="none" w:sz="0" w:space="0" w:color="auto"/>
        <w:left w:val="none" w:sz="0" w:space="0" w:color="auto"/>
        <w:bottom w:val="none" w:sz="0" w:space="0" w:color="auto"/>
        <w:right w:val="none" w:sz="0" w:space="0" w:color="auto"/>
      </w:divBdr>
    </w:div>
    <w:div w:id="1580476952">
      <w:bodyDiv w:val="1"/>
      <w:marLeft w:val="0"/>
      <w:marRight w:val="0"/>
      <w:marTop w:val="0"/>
      <w:marBottom w:val="0"/>
      <w:divBdr>
        <w:top w:val="none" w:sz="0" w:space="0" w:color="auto"/>
        <w:left w:val="none" w:sz="0" w:space="0" w:color="auto"/>
        <w:bottom w:val="none" w:sz="0" w:space="0" w:color="auto"/>
        <w:right w:val="none" w:sz="0" w:space="0" w:color="auto"/>
      </w:divBdr>
    </w:div>
    <w:div w:id="1612275437">
      <w:bodyDiv w:val="1"/>
      <w:marLeft w:val="0"/>
      <w:marRight w:val="0"/>
      <w:marTop w:val="0"/>
      <w:marBottom w:val="0"/>
      <w:divBdr>
        <w:top w:val="none" w:sz="0" w:space="0" w:color="auto"/>
        <w:left w:val="none" w:sz="0" w:space="0" w:color="auto"/>
        <w:bottom w:val="none" w:sz="0" w:space="0" w:color="auto"/>
        <w:right w:val="none" w:sz="0" w:space="0" w:color="auto"/>
      </w:divBdr>
    </w:div>
    <w:div w:id="1618636194">
      <w:bodyDiv w:val="1"/>
      <w:marLeft w:val="0"/>
      <w:marRight w:val="0"/>
      <w:marTop w:val="0"/>
      <w:marBottom w:val="0"/>
      <w:divBdr>
        <w:top w:val="none" w:sz="0" w:space="0" w:color="auto"/>
        <w:left w:val="none" w:sz="0" w:space="0" w:color="auto"/>
        <w:bottom w:val="none" w:sz="0" w:space="0" w:color="auto"/>
        <w:right w:val="none" w:sz="0" w:space="0" w:color="auto"/>
      </w:divBdr>
    </w:div>
    <w:div w:id="1643000305">
      <w:bodyDiv w:val="1"/>
      <w:marLeft w:val="0"/>
      <w:marRight w:val="0"/>
      <w:marTop w:val="0"/>
      <w:marBottom w:val="0"/>
      <w:divBdr>
        <w:top w:val="none" w:sz="0" w:space="0" w:color="auto"/>
        <w:left w:val="none" w:sz="0" w:space="0" w:color="auto"/>
        <w:bottom w:val="none" w:sz="0" w:space="0" w:color="auto"/>
        <w:right w:val="none" w:sz="0" w:space="0" w:color="auto"/>
      </w:divBdr>
    </w:div>
    <w:div w:id="1694332923">
      <w:bodyDiv w:val="1"/>
      <w:marLeft w:val="0"/>
      <w:marRight w:val="0"/>
      <w:marTop w:val="0"/>
      <w:marBottom w:val="0"/>
      <w:divBdr>
        <w:top w:val="none" w:sz="0" w:space="0" w:color="auto"/>
        <w:left w:val="none" w:sz="0" w:space="0" w:color="auto"/>
        <w:bottom w:val="none" w:sz="0" w:space="0" w:color="auto"/>
        <w:right w:val="none" w:sz="0" w:space="0" w:color="auto"/>
      </w:divBdr>
    </w:div>
    <w:div w:id="1723675682">
      <w:bodyDiv w:val="1"/>
      <w:marLeft w:val="0"/>
      <w:marRight w:val="0"/>
      <w:marTop w:val="0"/>
      <w:marBottom w:val="0"/>
      <w:divBdr>
        <w:top w:val="none" w:sz="0" w:space="0" w:color="auto"/>
        <w:left w:val="none" w:sz="0" w:space="0" w:color="auto"/>
        <w:bottom w:val="none" w:sz="0" w:space="0" w:color="auto"/>
        <w:right w:val="none" w:sz="0" w:space="0" w:color="auto"/>
      </w:divBdr>
    </w:div>
    <w:div w:id="1724403051">
      <w:bodyDiv w:val="1"/>
      <w:marLeft w:val="0"/>
      <w:marRight w:val="0"/>
      <w:marTop w:val="0"/>
      <w:marBottom w:val="0"/>
      <w:divBdr>
        <w:top w:val="none" w:sz="0" w:space="0" w:color="auto"/>
        <w:left w:val="none" w:sz="0" w:space="0" w:color="auto"/>
        <w:bottom w:val="none" w:sz="0" w:space="0" w:color="auto"/>
        <w:right w:val="none" w:sz="0" w:space="0" w:color="auto"/>
      </w:divBdr>
    </w:div>
    <w:div w:id="1748960728">
      <w:bodyDiv w:val="1"/>
      <w:marLeft w:val="0"/>
      <w:marRight w:val="0"/>
      <w:marTop w:val="0"/>
      <w:marBottom w:val="0"/>
      <w:divBdr>
        <w:top w:val="none" w:sz="0" w:space="0" w:color="auto"/>
        <w:left w:val="none" w:sz="0" w:space="0" w:color="auto"/>
        <w:bottom w:val="none" w:sz="0" w:space="0" w:color="auto"/>
        <w:right w:val="none" w:sz="0" w:space="0" w:color="auto"/>
      </w:divBdr>
    </w:div>
    <w:div w:id="1816679066">
      <w:bodyDiv w:val="1"/>
      <w:marLeft w:val="0"/>
      <w:marRight w:val="0"/>
      <w:marTop w:val="0"/>
      <w:marBottom w:val="0"/>
      <w:divBdr>
        <w:top w:val="none" w:sz="0" w:space="0" w:color="auto"/>
        <w:left w:val="none" w:sz="0" w:space="0" w:color="auto"/>
        <w:bottom w:val="none" w:sz="0" w:space="0" w:color="auto"/>
        <w:right w:val="none" w:sz="0" w:space="0" w:color="auto"/>
      </w:divBdr>
    </w:div>
    <w:div w:id="1818910369">
      <w:bodyDiv w:val="1"/>
      <w:marLeft w:val="0"/>
      <w:marRight w:val="0"/>
      <w:marTop w:val="0"/>
      <w:marBottom w:val="0"/>
      <w:divBdr>
        <w:top w:val="none" w:sz="0" w:space="0" w:color="auto"/>
        <w:left w:val="none" w:sz="0" w:space="0" w:color="auto"/>
        <w:bottom w:val="none" w:sz="0" w:space="0" w:color="auto"/>
        <w:right w:val="none" w:sz="0" w:space="0" w:color="auto"/>
      </w:divBdr>
    </w:div>
    <w:div w:id="1913274034">
      <w:bodyDiv w:val="1"/>
      <w:marLeft w:val="0"/>
      <w:marRight w:val="0"/>
      <w:marTop w:val="0"/>
      <w:marBottom w:val="0"/>
      <w:divBdr>
        <w:top w:val="none" w:sz="0" w:space="0" w:color="auto"/>
        <w:left w:val="none" w:sz="0" w:space="0" w:color="auto"/>
        <w:bottom w:val="none" w:sz="0" w:space="0" w:color="auto"/>
        <w:right w:val="none" w:sz="0" w:space="0" w:color="auto"/>
      </w:divBdr>
    </w:div>
    <w:div w:id="1929583702">
      <w:bodyDiv w:val="1"/>
      <w:marLeft w:val="0"/>
      <w:marRight w:val="0"/>
      <w:marTop w:val="0"/>
      <w:marBottom w:val="0"/>
      <w:divBdr>
        <w:top w:val="none" w:sz="0" w:space="0" w:color="auto"/>
        <w:left w:val="none" w:sz="0" w:space="0" w:color="auto"/>
        <w:bottom w:val="none" w:sz="0" w:space="0" w:color="auto"/>
        <w:right w:val="none" w:sz="0" w:space="0" w:color="auto"/>
      </w:divBdr>
    </w:div>
    <w:div w:id="2079815037">
      <w:bodyDiv w:val="1"/>
      <w:marLeft w:val="0"/>
      <w:marRight w:val="0"/>
      <w:marTop w:val="0"/>
      <w:marBottom w:val="0"/>
      <w:divBdr>
        <w:top w:val="none" w:sz="0" w:space="0" w:color="auto"/>
        <w:left w:val="none" w:sz="0" w:space="0" w:color="auto"/>
        <w:bottom w:val="none" w:sz="0" w:space="0" w:color="auto"/>
        <w:right w:val="none" w:sz="0" w:space="0" w:color="auto"/>
      </w:divBdr>
    </w:div>
    <w:div w:id="2080322215">
      <w:bodyDiv w:val="1"/>
      <w:marLeft w:val="0"/>
      <w:marRight w:val="0"/>
      <w:marTop w:val="0"/>
      <w:marBottom w:val="0"/>
      <w:divBdr>
        <w:top w:val="none" w:sz="0" w:space="0" w:color="auto"/>
        <w:left w:val="none" w:sz="0" w:space="0" w:color="auto"/>
        <w:bottom w:val="none" w:sz="0" w:space="0" w:color="auto"/>
        <w:right w:val="none" w:sz="0" w:space="0" w:color="auto"/>
      </w:divBdr>
    </w:div>
    <w:div w:id="2129622211">
      <w:bodyDiv w:val="1"/>
      <w:marLeft w:val="0"/>
      <w:marRight w:val="0"/>
      <w:marTop w:val="0"/>
      <w:marBottom w:val="0"/>
      <w:divBdr>
        <w:top w:val="none" w:sz="0" w:space="0" w:color="auto"/>
        <w:left w:val="none" w:sz="0" w:space="0" w:color="auto"/>
        <w:bottom w:val="none" w:sz="0" w:space="0" w:color="auto"/>
        <w:right w:val="none" w:sz="0" w:space="0" w:color="auto"/>
      </w:divBdr>
    </w:div>
    <w:div w:id="214407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Meg212</b:Tag>
    <b:SourceType>ArticleInAPeriodical</b:SourceType>
    <b:Guid>{A2605940-A8EE-4D70-AD95-9B911E79C970}</b:Guid>
    <b:Author>
      <b:Author>
        <b:NameList>
          <b:Person>
            <b:Last>Thompson</b:Last>
            <b:First>Megan</b:First>
          </b:Person>
        </b:NameList>
      </b:Author>
    </b:Author>
    <b:Title>Employee Engagement Models and Theories</b:Title>
    <b:PeriodicalTitle>Wethrive</b:PeriodicalTitle>
    <b:Year>2021</b:Year>
    <b:Month>October</b:Month>
    <b:Day>22</b:Day>
    <b:RefOrder>18</b:RefOrder>
  </b:Source>
  <b:Source>
    <b:Tag>Mer22</b:Tag>
    <b:SourceType>ArticleInAPeriodical</b:SourceType>
    <b:Guid>{AA1076F8-6980-4DE7-BB11-F1F7AA124640}</b:Guid>
    <b:Author>
      <b:Author>
        <b:NameList>
          <b:Person>
            <b:Last>Wholley</b:Last>
            <b:First>Meredith</b:First>
          </b:Person>
        </b:NameList>
      </b:Author>
    </b:Author>
    <b:Title>How Maslow’s Hierarchy of Needs Applies to Employee Engagement</b:Title>
    <b:PeriodicalTitle>Blog</b:PeriodicalTitle>
    <b:Year>2022</b:Year>
    <b:Month>September</b:Month>
    <b:Day>28</b:Day>
    <b:RefOrder>19</b:RefOrder>
  </b:Source>
  <b:Source>
    <b:Tag>Arm20</b:Tag>
    <b:SourceType>Book</b:SourceType>
    <b:Guid>{A7F26492-DEE1-489F-B588-B276293C3112}</b:Guid>
    <b:Title>Armstrong's Handbook of Human Resource Management Practice 15th Edition</b:Title>
    <b:Year>2020</b:Year>
    <b:Author>
      <b:Author>
        <b:NameList>
          <b:Person>
            <b:Last>Armstrong</b:Last>
            <b:First>Michael</b:First>
          </b:Person>
          <b:Person>
            <b:Last>Taylor</b:Last>
            <b:First>Stephen</b:First>
          </b:Person>
        </b:NameList>
      </b:Author>
    </b:Author>
    <b:City>London</b:City>
    <b:Publisher>Kogan Page</b:Publisher>
    <b:RefOrder>5</b:RefOrder>
  </b:Source>
  <b:Source>
    <b:Tag>And11</b:Tag>
    <b:SourceType>Book</b:SourceType>
    <b:Guid>{0F1A096B-D99A-4CA3-9771-DEDF3A7E895C}</b:Guid>
    <b:Author>
      <b:Author>
        <b:NameList>
          <b:Person>
            <b:Last>Friedman</b:Last>
            <b:First>Andrew</b:First>
            <b:Middle>L.</b:Middle>
          </b:Person>
        </b:NameList>
      </b:Author>
    </b:Author>
    <b:Title>Continuing Professional Development: Lifelong Learning of Millions 1st Edition</b:Title>
    <b:Year>2011</b:Year>
    <b:City>Oxfordshire </b:City>
    <b:Publisher>Routledge</b:Publisher>
    <b:RefOrder>13</b:RefOrder>
  </b:Source>
  <b:Source>
    <b:Tag>Joh12</b:Tag>
    <b:SourceType>Book</b:SourceType>
    <b:Guid>{C13942AF-84CA-4BD8-BD1E-FBBF659A4E75}</b:Guid>
    <b:Author>
      <b:Author>
        <b:NameList>
          <b:Person>
            <b:Last>Johnston</b:Last>
            <b:First>Robert</b:First>
          </b:Person>
          <b:Person>
            <b:Last>Clark</b:Last>
            <b:First>Graham</b:First>
          </b:Person>
          <b:Person>
            <b:Last>Shulver</b:Last>
            <b:First>Michael</b:First>
          </b:Person>
        </b:NameList>
      </b:Author>
    </b:Author>
    <b:Title>Service Operations Management Improving Service Delivery Fourth Edition</b:Title>
    <b:Year>2012</b:Year>
    <b:City>England</b:City>
    <b:Publisher>Pearson Education Limited</b:Publisher>
    <b:RefOrder>8</b:RefOrder>
  </b:Source>
  <b:Source>
    <b:Tag>Mar16</b:Tag>
    <b:SourceType>Book</b:SourceType>
    <b:Guid>{CA2E3207-122B-409B-B9B5-D441B5FB917E}</b:Guid>
    <b:Author>
      <b:Author>
        <b:NameList>
          <b:Person>
            <b:Last>Marchington</b:Last>
            <b:First>Mick</b:First>
          </b:Person>
          <b:Person>
            <b:Last>Wilkinson</b:Last>
            <b:First>Adrian</b:First>
          </b:Person>
          <b:Person>
            <b:Last>Donnelly</b:Last>
            <b:First>Rory</b:First>
          </b:Person>
          <b:Person>
            <b:Last>Kynighou</b:Last>
            <b:First>Anastasia</b:First>
          </b:Person>
        </b:NameList>
      </b:Author>
    </b:Author>
    <b:Title>Human Resource Management at Work 6th Edition</b:Title>
    <b:Year>2016</b:Year>
    <b:City>London</b:City>
    <b:Publisher>CIPD - Kogan Page</b:Publisher>
    <b:RefOrder>12</b:RefOrder>
  </b:Source>
  <b:Source>
    <b:Tag>Per23</b:Tag>
    <b:SourceType>ArticleInAPeriodical</b:SourceType>
    <b:Guid>{76E468C2-139C-4C90-82F9-C6C460DDD429}</b:Guid>
    <b:Title>The Employee Life Cycle: Success In 6 Stages</b:Title>
    <b:Year>2023</b:Year>
    <b:Author>
      <b:Author>
        <b:NameList>
          <b:Person>
            <b:Last>Personio</b:Last>
          </b:Person>
        </b:NameList>
      </b:Author>
    </b:Author>
    <b:PeriodicalTitle>Blog</b:PeriodicalTitle>
    <b:Month>January</b:Month>
    <b:Day>29</b:Day>
    <b:RefOrder>11</b:RefOrder>
  </b:Source>
  <b:Source>
    <b:Tag>Nut23</b:Tag>
    <b:SourceType>ArticleInAPeriodical</b:SourceType>
    <b:Guid>{9C4C94D4-6DC5-4CD2-9C3D-E8D62911D426}</b:Guid>
    <b:Author>
      <b:Author>
        <b:NameList>
          <b:Person>
            <b:Last>Nutcache</b:Last>
          </b:Person>
        </b:NameList>
      </b:Author>
    </b:Author>
    <b:Title>How to Engage Employees – A Complete Guide for Managers</b:Title>
    <b:Year>2023</b:Year>
    <b:Month>January</b:Month>
    <b:Day>29</b:Day>
    <b:RefOrder>16</b:RefOrder>
  </b:Source>
  <b:Source>
    <b:Tag>Car211</b:Tag>
    <b:SourceType>ArticleInAPeriodical</b:SourceType>
    <b:Guid>{41E21B82-0D4E-4B8A-9866-07724990A41C}</b:Guid>
    <b:Author>
      <b:Author>
        <b:NameList>
          <b:Person>
            <b:Last>Duncan</b:Last>
            <b:First>Caroline</b:First>
          </b:Person>
        </b:NameList>
      </b:Author>
    </b:Author>
    <b:Title>What Is Employee Engagement</b:Title>
    <b:Year>2021</b:Year>
    <b:Month>December</b:Month>
    <b:Day>2</b:Day>
    <b:RefOrder>1</b:RefOrder>
  </b:Source>
  <b:Source>
    <b:Tag>Mat23</b:Tag>
    <b:SourceType>ArticleInAPeriodical</b:SourceType>
    <b:Guid>{93E7EA83-5D9D-46D2-A3A6-92E83A944525}</b:Guid>
    <b:Author>
      <b:Author>
        <b:NameList>
          <b:Person>
            <b:Last>Tenney</b:Last>
            <b:First>Matt</b:First>
          </b:Person>
        </b:NameList>
      </b:Author>
    </b:Author>
    <b:Title>Good Examples of Employee Engagement</b:Title>
    <b:PeriodicalTitle>Business Leadership Today</b:PeriodicalTitle>
    <b:Year>2023</b:Year>
    <b:Month>January</b:Month>
    <b:Day>29</b:Day>
    <b:RefOrder>14</b:RefOrder>
  </b:Source>
  <b:Source>
    <b:Tag>NIB23</b:Tag>
    <b:SourceType>ArticleInAPeriodical</b:SourceType>
    <b:Guid>{FCFDDF8B-92C2-4613-8378-FBD3691B57E6}</b:Guid>
    <b:Author>
      <b:Author>
        <b:NameList>
          <b:Person>
            <b:Last>NIBusiness</b:Last>
          </b:Person>
        </b:NameList>
      </b:Author>
    </b:Author>
    <b:Title>Employee engagement</b:Title>
    <b:PeriodicalTitle>Advantages of employee engagement</b:PeriodicalTitle>
    <b:Year>2023</b:Year>
    <b:Month>January</b:Month>
    <b:Day>29</b:Day>
    <b:RefOrder>20</b:RefOrder>
  </b:Source>
  <b:Source>
    <b:Tag>Dea222</b:Tag>
    <b:SourceType>ArticleInAPeriodical</b:SourceType>
    <b:Guid>{3C50CC86-9672-4863-889B-3F4468C087B2}</b:Guid>
    <b:Author>
      <b:Author>
        <b:NameList>
          <b:Person>
            <b:Last>deBara</b:Last>
            <b:First>Deanna</b:First>
          </b:Person>
        </b:NameList>
      </b:Author>
    </b:Author>
    <b:Title>10 Benefits of employee engagement, and why it’s so important</b:Title>
    <b:PeriodicalTitle>Office Vibe</b:PeriodicalTitle>
    <b:Year>2022</b:Year>
    <b:Month>November</b:Month>
    <b:Day>22</b:Day>
    <b:RefOrder>4</b:RefOrder>
  </b:Source>
  <b:Source>
    <b:Tag>The17</b:Tag>
    <b:SourceType>ArticleInAPeriodical</b:SourceType>
    <b:Guid>{0EF73072-6700-4BDA-B130-141EEFAB4071}</b:Guid>
    <b:Author>
      <b:Author>
        <b:NameList>
          <b:Person>
            <b:Last>Mayne</b:Last>
            <b:First>Theresa</b:First>
          </b:Person>
        </b:NameList>
      </b:Author>
    </b:Author>
    <b:Title>What is HR’s role in employee engagement?</b:Title>
    <b:PeriodicalTitle>CIPD</b:PeriodicalTitle>
    <b:Year>2017</b:Year>
    <b:Month>December</b:Month>
    <b:Day>17</b:Day>
    <b:RefOrder>7</b:RefOrder>
  </b:Source>
  <b:Source>
    <b:Tag>The222</b:Tag>
    <b:SourceType>ArticleInAPeriodical</b:SourceType>
    <b:Guid>{80E1B68D-6515-4C37-9BF3-F144CE4EC2BA}</b:Guid>
    <b:Author>
      <b:Author>
        <b:NameList>
          <b:Person>
            <b:Last>Team</b:Last>
            <b:First>The</b:First>
            <b:Middle>HR</b:Middle>
          </b:Person>
        </b:NameList>
      </b:Author>
    </b:Author>
    <b:Title>HR Roles in Employee Engagement: Four Important Considerations for Today’s Workplace</b:Title>
    <b:PeriodicalTitle>Employee engagement matters</b:PeriodicalTitle>
    <b:Year>2022</b:Year>
    <b:Month>October</b:Month>
    <b:Day>11</b:Day>
    <b:RefOrder>6</b:RefOrder>
  </b:Source>
  <b:Source>
    <b:Tag>Ker221</b:Tag>
    <b:SourceType>JournalArticle</b:SourceType>
    <b:Guid>{535E1A0A-F3CB-46B3-B387-F06C40C8C35F}</b:Guid>
    <b:Title>New ways of working and the implications for employees: a systematic framework and suggestions for future research</b:Title>
    <b:Year>2022</b:Year>
    <b:Pages>25</b:Pages>
    <b:Author>
      <b:Author>
        <b:NameList>
          <b:Person>
            <b:Last>Alfes</b:Last>
            <b:First>Kerstin</b:First>
          </b:Person>
        </b:NameList>
      </b:Author>
    </b:Author>
    <b:JournalName>The International Journal of Human Resource Management</b:JournalName>
    <b:RefOrder>2</b:RefOrder>
  </b:Source>
  <b:Source>
    <b:Tag>Kat21</b:Tag>
    <b:SourceType>JournalArticle</b:SourceType>
    <b:Guid>{0BC3E803-5726-4CD0-B6A7-2A5F301E65E1}</b:Guid>
    <b:Author>
      <b:Author>
        <b:NameList>
          <b:Person>
            <b:Last>Salmen</b:Last>
            <b:First>Katharina</b:First>
          </b:Person>
        </b:NameList>
      </b:Author>
    </b:Author>
    <b:Title>Paving the way for progress in employee agility research: a systematic literature review and framework</b:Title>
    <b:JournalName>The International Journal of Human Resource Management</b:JournalName>
    <b:Year>2021</b:Year>
    <b:Pages>4386-4439</b:Pages>
    <b:RefOrder>3</b:RefOrder>
  </b:Source>
  <b:Source>
    <b:Tag>Mil23</b:Tag>
    <b:SourceType>ArticleInAPeriodical</b:SourceType>
    <b:Guid>{3FF1278F-9696-4E07-B246-31A190B788A9}</b:Guid>
    <b:Title>Why is Employee Engagement so Important? TOP 20 Benefits</b:Title>
    <b:Year>2023</b:Year>
    <b:Author>
      <b:Author>
        <b:NameList>
          <b:Person>
            <b:Last>Herman</b:Last>
            <b:First>Milton</b:First>
          </b:Person>
        </b:NameList>
      </b:Author>
    </b:Author>
    <b:Month>January</b:Month>
    <b:Day>29</b:Day>
    <b:RefOrder>9</b:RefOrder>
  </b:Source>
  <b:Source>
    <b:Tag>Yvo12</b:Tag>
    <b:SourceType>JournalArticle</b:SourceType>
    <b:Guid>{D375543C-E803-4458-B052-D54EC8E37AE1}</b:Guid>
    <b:Title>Emotional intelligence, job satisfaction, well-being and engagement: explaining organisational commitment and turnover intentions in policing</b:Title>
    <b:Year>2012</b:Year>
    <b:Pages>428-441</b:Pages>
    <b:Author>
      <b:Author>
        <b:NameList>
          <b:Person>
            <b:Last>Brunetto</b:Last>
            <b:First>Yvonne</b:First>
          </b:Person>
        </b:NameList>
      </b:Author>
    </b:Author>
    <b:JournalName>Human Resource Management Journal</b:JournalName>
    <b:RefOrder>10</b:RefOrder>
  </b:Source>
  <b:Source>
    <b:Tag>Huo18</b:Tag>
    <b:SourceType>JournalArticle</b:SourceType>
    <b:Guid>{AEBE774A-4BB8-4D6F-9C32-E977484CFC5B}</b:Guid>
    <b:Author>
      <b:Author>
        <b:NameList>
          <b:Person>
            <b:Last>Huo</b:Last>
            <b:First>Meng-Long</b:First>
          </b:Person>
          <b:Person>
            <b:Last>Boxall</b:Last>
            <b:First>Peter</b:First>
          </b:Person>
        </b:NameList>
      </b:Author>
    </b:Author>
    <b:Title>Are all aspects of lean production bad for workers? An analysis of how problem-solving demands affect employee well-being</b:Title>
    <b:JournalName>Human Resource Management Journal</b:JournalName>
    <b:Year>2018</b:Year>
    <b:Pages>569-584</b:Pages>
    <b:RefOrder>17</b:RefOrder>
  </b:Source>
  <b:Source>
    <b:Tag>Mic15</b:Tag>
    <b:SourceType>JournalArticle</b:SourceType>
    <b:Guid>{7A17BEE8-6A03-4697-8E83-9F6057CBF799}</b:Guid>
    <b:Author>
      <b:Author>
        <b:NameList>
          <b:Person>
            <b:Last>Marchington.</b:Last>
            <b:First>Mick</b:First>
          </b:Person>
        </b:NameList>
      </b:Author>
    </b:Author>
    <b:Title>Analysing the forces shaping employee involvement and participation (EIP) at organisation level in liberal market economies (LMEs)</b:Title>
    <b:JournalName>Human Resource Management Journal</b:JournalName>
    <b:Year>2015</b:Year>
    <b:Pages>1-18</b:Pages>
    <b:RefOrder>15</b:RefOrder>
  </b:Source>
</b:Sources>
</file>

<file path=customXml/itemProps1.xml><?xml version="1.0" encoding="utf-8"?>
<ds:datastoreItem xmlns:ds="http://schemas.openxmlformats.org/officeDocument/2006/customXml" ds:itemID="{E2E79DAD-5624-4DDA-B37F-15E88326C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11</Pages>
  <Words>2850</Words>
  <Characters>16249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Laiba Aslam</dc:creator>
  <cp:keywords/>
  <dc:description/>
  <cp:lastModifiedBy>Monira Begum</cp:lastModifiedBy>
  <cp:revision>2</cp:revision>
  <dcterms:created xsi:type="dcterms:W3CDTF">2023-02-08T11:54:00Z</dcterms:created>
  <dcterms:modified xsi:type="dcterms:W3CDTF">2023-02-08T11:54:00Z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84c15f7e-6149-487d-b20a-2371461bc638</vt:lpwstr>
  </property>
</Properties>
</file>