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ptos" w:hAnsi="Aptos" w:cs="Aptos" w:eastAsia="Aptos"/>
          <w:color w:val="auto"/>
          <w:spacing w:val="0"/>
          <w:position w:val="0"/>
          <w:sz w:val="24"/>
          <w:shd w:fill="auto" w:val="clear"/>
        </w:rPr>
      </w:pPr>
      <w:r>
        <w:object w:dxaOrig="8835" w:dyaOrig="3967">
          <v:rect xmlns:o="urn:schemas-microsoft-com:office:office" xmlns:v="urn:schemas-microsoft-com:vml" id="rectole0000000000" style="width:441.750000pt;height:198.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300" w:line="259"/>
        <w:ind w:right="0" w:left="0" w:firstLine="0"/>
        <w:jc w:val="left"/>
        <w:rPr>
          <w:rFonts w:ascii="Aptos" w:hAnsi="Aptos" w:cs="Aptos" w:eastAsia="Aptos"/>
          <w:color w:val="auto"/>
          <w:spacing w:val="0"/>
          <w:position w:val="0"/>
          <w:sz w:val="24"/>
          <w:shd w:fill="auto" w:val="clear"/>
        </w:rPr>
      </w:pPr>
    </w:p>
    <w:p>
      <w:pPr>
        <w:spacing w:before="0" w:after="300" w:line="259"/>
        <w:ind w:right="0" w:left="0" w:firstLine="0"/>
        <w:jc w:val="center"/>
        <w:rPr>
          <w:rFonts w:ascii="Aptos" w:hAnsi="Aptos" w:cs="Aptos" w:eastAsia="Aptos"/>
          <w:color w:val="auto"/>
          <w:spacing w:val="0"/>
          <w:position w:val="0"/>
          <w:sz w:val="24"/>
          <w:shd w:fill="auto" w:val="clear"/>
        </w:rPr>
      </w:pPr>
      <w:r>
        <w:rPr>
          <w:rFonts w:ascii="Arial" w:hAnsi="Arial" w:cs="Arial" w:eastAsia="Arial"/>
          <w:color w:val="000000"/>
          <w:spacing w:val="0"/>
          <w:position w:val="0"/>
          <w:sz w:val="72"/>
          <w:u w:val="single"/>
          <w:shd w:fill="auto" w:val="clear"/>
        </w:rPr>
        <w:t xml:space="preserve">The Challenges Associated with the Concept of </w:t>
      </w:r>
    </w:p>
    <w:p>
      <w:pPr>
        <w:spacing w:before="0" w:after="300" w:line="259"/>
        <w:ind w:right="0" w:left="0" w:firstLine="0"/>
        <w:jc w:val="center"/>
        <w:rPr>
          <w:rFonts w:ascii="Aptos" w:hAnsi="Aptos" w:cs="Aptos" w:eastAsia="Aptos"/>
          <w:color w:val="auto"/>
          <w:spacing w:val="0"/>
          <w:position w:val="0"/>
          <w:sz w:val="24"/>
          <w:shd w:fill="auto" w:val="clear"/>
        </w:rPr>
      </w:pPr>
      <w:r>
        <w:rPr>
          <w:rFonts w:ascii="Arial" w:hAnsi="Arial" w:cs="Arial" w:eastAsia="Arial"/>
          <w:color w:val="000000"/>
          <w:spacing w:val="0"/>
          <w:position w:val="0"/>
          <w:sz w:val="72"/>
          <w:u w:val="single"/>
          <w:shd w:fill="auto" w:val="clear"/>
        </w:rPr>
        <w:t xml:space="preserve">Mens Rea</w:t>
      </w:r>
    </w:p>
    <w:p>
      <w:pPr>
        <w:spacing w:before="0" w:after="300" w:line="259"/>
        <w:ind w:right="0" w:left="0" w:firstLine="0"/>
        <w:jc w:val="center"/>
        <w:rPr>
          <w:rFonts w:ascii="Arial" w:hAnsi="Arial" w:cs="Arial" w:eastAsia="Arial"/>
          <w:color w:val="000000"/>
          <w:spacing w:val="0"/>
          <w:position w:val="0"/>
          <w:sz w:val="72"/>
          <w:u w:val="single"/>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576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Catalin Teodorescu </w:t>
        <w:tab/>
        <w:t xml:space="preserve">2313940</w:t>
      </w: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Calibri" w:hAnsi="Calibri" w:cs="Calibri" w:eastAsia="Calibri"/>
          <w:color w:val="000000"/>
          <w:spacing w:val="0"/>
          <w:position w:val="0"/>
          <w:sz w:val="32"/>
          <w:shd w:fill="auto" w:val="clear"/>
        </w:rPr>
      </w:pPr>
    </w:p>
    <w:p>
      <w:pPr>
        <w:spacing w:before="0" w:after="30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2"/>
          <w:u w:val="single"/>
          <w:shd w:fill="auto" w:val="clear"/>
        </w:rPr>
        <w:t xml:space="preserve">Contents Page</w:t>
      </w:r>
    </w:p>
    <w:p>
      <w:pPr>
        <w:spacing w:before="0" w:after="30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Introduction . . .. Page3</w:t>
      </w:r>
      <w:r>
        <w:rPr>
          <w:rFonts w:ascii="Aptos" w:hAnsi="Aptos" w:cs="Aptos" w:eastAsia="Aptos"/>
          <w:color w:val="auto"/>
          <w:spacing w:val="0"/>
          <w:position w:val="0"/>
          <w:sz w:val="24"/>
          <w:shd w:fill="auto" w:val="clear"/>
        </w:rPr>
        <w:tab/>
      </w:r>
    </w:p>
    <w:p>
      <w:pPr>
        <w:spacing w:before="0" w:after="30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Main Body . . . . . .Page 3</w:t>
      </w:r>
      <w:r>
        <w:rPr>
          <w:rFonts w:ascii="Aptos" w:hAnsi="Aptos" w:cs="Aptos" w:eastAsia="Aptos"/>
          <w:color w:val="auto"/>
          <w:spacing w:val="0"/>
          <w:position w:val="0"/>
          <w:sz w:val="24"/>
          <w:shd w:fill="auto" w:val="clear"/>
        </w:rPr>
        <w:tab/>
      </w:r>
    </w:p>
    <w:p>
      <w:pPr>
        <w:spacing w:before="0" w:after="30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Conclusion . . . . . .Page 6</w:t>
      </w:r>
    </w:p>
    <w:p>
      <w:pPr>
        <w:spacing w:before="0" w:after="30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Reference List . . . Page 7</w:t>
      </w: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Trade Gothic Next" w:hAnsi="Trade Gothic Next" w:cs="Trade Gothic Next" w:eastAsia="Trade Gothic Next"/>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u w:val="single"/>
          <w:shd w:fill="auto" w:val="clear"/>
        </w:rPr>
        <w:t xml:space="preserve">Introduction </w:t>
      </w: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shd w:fill="auto" w:val="clear"/>
        </w:rPr>
        <w:t xml:space="preserve">The concept of the mens rea is defined as the criminal intent to commit a crime. Although it is the confirmation of crime, focus on the mind of the offender confirms the person’s intent to commit crime (Herring, 2021). Mens rea concept is important during prosecution since it is used to prove a person’s guilt. There are distinct types of mens rea, which are intention, recklessness, and negligence. Intention is further divided into direct intention, indirection intent, specific intent, and basic intent. For the prosecution to prove a person is guilty, it must confirm one of these types. The type of mens rea determines the level of blameworthiness (Herring, 2021). Intention/knowledge are at the highest level of blameworthiness. On the other hand, strict liability has the lowest level of blameworthiness.</w:t>
      </w: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u w:val="single"/>
          <w:shd w:fill="auto" w:val="clear"/>
        </w:rPr>
        <w:t xml:space="preserve">Main Body</w:t>
      </w: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shd w:fill="auto" w:val="clear"/>
        </w:rPr>
        <w:t xml:space="preserve">Since intention is at the center of mens rea, understanding it to detail is important. Direct intention focuses on determining whether the defendant’s purpose was to bring the prohibited result. This is proved when the defendant confirms awareness that his/her actions would lead to the prohibited outcome. However, intention is different from motive. Although a person could have good motive, the intention determines the person’s mens rea. Indirect intention is based on whether the defendant must appreciate being aware that the prohibited outcome must be certain due to the defendant’s actions (Herring, 2021). Indirect intention was informed by the case DPP v. Smith (1960), where it was established that a reasonable intent would contemplate the outcome as the objective test for mens rea. With specific intent, only intention suffices as mens rea. With basic intent, intention/recklessness suffice as mens rea. This basic information about mens rea is crucial to identifying its major challenges.</w:t>
      </w:r>
    </w:p>
    <w:p>
      <w:pPr>
        <w:spacing w:before="0" w:after="300" w:line="259"/>
        <w:ind w:right="0" w:left="0" w:firstLine="0"/>
        <w:jc w:val="left"/>
        <w:rPr>
          <w:rFonts w:ascii="Arial" w:hAnsi="Arial" w:cs="Arial" w:eastAsia="Arial"/>
          <w:color w:val="000000"/>
          <w:spacing w:val="0"/>
          <w:position w:val="0"/>
          <w:sz w:val="24"/>
          <w:u w:val="single"/>
          <w:shd w:fill="auto" w:val="clear"/>
        </w:rPr>
      </w:pPr>
    </w:p>
    <w:p>
      <w:pPr>
        <w:spacing w:before="0" w:after="300" w:line="259"/>
        <w:ind w:right="0" w:left="0" w:firstLine="0"/>
        <w:jc w:val="left"/>
        <w:rPr>
          <w:rFonts w:ascii="Arial" w:hAnsi="Arial" w:cs="Arial" w:eastAsia="Arial"/>
          <w:color w:val="000000"/>
          <w:spacing w:val="0"/>
          <w:position w:val="0"/>
          <w:sz w:val="24"/>
          <w:u w:val="single"/>
          <w:shd w:fill="auto" w:val="clear"/>
        </w:rPr>
      </w:pPr>
    </w:p>
    <w:p>
      <w:pPr>
        <w:spacing w:before="0" w:after="300" w:line="259"/>
        <w:ind w:right="0" w:left="0" w:firstLine="0"/>
        <w:jc w:val="left"/>
        <w:rPr>
          <w:rFonts w:ascii="Arial" w:hAnsi="Arial" w:cs="Arial" w:eastAsia="Arial"/>
          <w:color w:val="000000"/>
          <w:spacing w:val="0"/>
          <w:position w:val="0"/>
          <w:sz w:val="24"/>
          <w:u w:val="single"/>
          <w:shd w:fill="auto" w:val="clear"/>
        </w:rPr>
      </w:pPr>
      <w:r>
        <w:rPr>
          <w:rFonts w:ascii="Arial" w:hAnsi="Arial" w:cs="Arial" w:eastAsia="Arial"/>
          <w:color w:val="000000"/>
          <w:spacing w:val="0"/>
          <w:position w:val="0"/>
          <w:sz w:val="24"/>
          <w:u w:val="single"/>
          <w:shd w:fill="auto" w:val="clear"/>
        </w:rPr>
        <w:t xml:space="preserve">Challenges of Mens Rea</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One of the major challenges of mens rea is that it is difficult to prove intention since it is not defined in court. According to Child and Hunt (2022), there is no statutory definition of intention. It is also evident that courts have struggled to define intention. The lack of a statutory definition of intention makes it difficult to prove mens rea since it is based on intention. The lack of a statutory definition of intention causes confusion on how courts define it. Proving something whose meaning is not understood is difficult and can lead to the wrong outcomes. Since there is not statutory definition for intention, it means courts define it the best they understand the concept. There are cases where courts define intention very narrowly, leading to failure of the prosecution to prove mens Rea. As a result, the court ruled that the defendant had innocent intention. The lack of statutory definition could lead to inconsistencies in the application of Men’s rea to prove criminality. In addition, intention can be confused with other drives, such as motive. The lack of mens rea definition also affects police interrogations (Edwards, 2008)</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Another challenge of mens rea is that intention can be confused with motive, which makes it difficult to prove whether a defendant’s actions were motive or intent. In some cases, intention is confused with motive. As noted in the text, it is important to understand that there is a difference between intention and motive, and the two do not relate. According to Rosenberg (2007), the use of motive to decide court cases is considered irrelevant. Due to the closeness of intention and motive, one can be taken for the other if no careful analysis of situations is carried out. Since Men’s Rea is based on intention, a case is lost once intention is confused for motive. There are cases where both intention and motive and confirmed. However, a good motive protects defendant’s from being sentenced for their intention. A good example is the case Re A (2000) about the separation of conjoined twins. The court found out that the doctors operating the cojoined twins were aware that the operation would lead to the death of one of the twins (Ward &amp; Robert Walker, 2000). However, their motive was to save the life of one of the twins since the other was certain to die with or without the surgical operation. Based on this evidence, the doctors were not convicted. In the event intention is confused with motive, a guilty defendant can escape conviction.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Another challenge of mens rea is that it overcriminalizes common conduct and heaps burden on prosecutors by requiring them to prove the defendant’s mental state. According to Sepinwall (2017), it calls for the prosecutor to put himself/herself in the shoes of the defendant and access the defendant’s mind. This could be difficult due to the lack of objective means to access another person’s mind. The task to confirm the defendant’s mental state is more difficult when the only evidence is circumstantial. This could lead to wrong outcomes during sentencing. According to Sepinwall (2014), there are cases where there is minimal evidence that the defendant acted with mens rea.</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There is inconsistency in how mens rea is applied to different criminal offences. The current law requires that the prosecution proves the defendant’s culpable mental state (Leavens, 2007). For instance, a defendant must be confirmed to be of culpable mind to commit murder for the defendant to be confirmed guilty of murder. However, there is inconsistency in the application of the men’s rea. For instance, courts expand the mens rea when it comes to homicide cases. Unlike other cases, the prosecution must prove an intention to kill or cause serious bodily harm. Adding serious bodily harm into the definition of murder does not align with the principles of mens rea, which focus on connecting the outcome with the intention. In addition, there is not guarantee of consistency in how courts prove mens rea based on the intention and outcome.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There is also inconsistency between the law that established mens rea and the current law. The Homicide Act of 1957 requires that mens rea of murder be a malice aforethought (Buxton, 1974). However, the current law does not require mens rea of murder to be malicious. The contradiction between the previous laws about and the current causes confusion on the application of the principle. In most cases, courts might choose to go for malicious intention for committing crime to identify mens rea. This leads to a lack of consistent in how court apply the principle during cases involved some criminal offenses, such as murder.</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 addition, mens rea is challenging due to its narrow coverage. According to Child and Hunt (2022), current law does not conceptualize mens rea for an expansive category of offenses. In most cases, mens rea focuses on cases such as murder. This means its application in a wide range of cases is challenging. The principle does not cover cases involving attempt, conspiracy, assisting and encouraging, bespoke/substantive inchoate offenses and the general offence of complicity. Due to its narrow scope, it is difficult to apply it in these cases. It also causes difficulty for the court to have a single way of applying the principle. The complexity of the principal leaves room for courts to apply it to the best of their knowledge in cases that are clearly defined in the principle’s scope. The complexity of the mens rea explains the recent push to have reforms that focus both on the present and the future. </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other challenge with mens rea is the blurred distinction between mens rea and actus reus. According to Robinson (2017), actus reus focuses on the physical act of committing crime. On the other hand, mens rea is about the intention to commit a crime. There are questions over the significance of the distinction to court cases. When charging offenders, there is no clear evidence why the distinction would help in charging defendants and ensuring justice. As a result, it is important to have clear evidence on the distinction's significance. In some cases, the two might cause confusion to courts when being applied. Generally, the complexities in the form of definition, scope and application make it difficult to apply mens rea.</w:t>
      </w:r>
    </w:p>
    <w:p>
      <w:pPr>
        <w:spacing w:before="0" w:after="300" w:line="259"/>
        <w:ind w:right="0" w:left="0" w:firstLine="0"/>
        <w:jc w:val="left"/>
        <w:rPr>
          <w:rFonts w:ascii="Arial" w:hAnsi="Arial" w:cs="Arial" w:eastAsia="Arial"/>
          <w:color w:val="000000"/>
          <w:spacing w:val="0"/>
          <w:position w:val="0"/>
          <w:sz w:val="24"/>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u w:val="single"/>
          <w:shd w:fill="auto" w:val="clear"/>
        </w:rPr>
        <w:t xml:space="preserve">Conclusion</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challenges with mens rea and the confirmation of criminal liability in law revolve around the lack of a statutory definition of mens rea, the narrow scope, the lack of consistency in its application, and the complexity in application. When confirming mens rea, the court must prove the defendant’s capability to commit crime. The court must prove beyond reasonable doubt that the defendant wanted to commit the crime. However, the lack of statutory definition means it is up to the courts to define it the best way they can. Mens rea also heaps burden on prosecutors to prove the defendant’s intention. In addition, mens rea has a narrow scope, which makes it difficult to be applied in all cases. Based on these challenges, it is important to reform the principle of mens rea.</w:t>
      </w: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auto"/>
          <w:spacing w:val="0"/>
          <w:position w:val="0"/>
          <w:sz w:val="24"/>
          <w:shd w:fill="auto" w:val="clear"/>
        </w:rPr>
      </w:pPr>
    </w:p>
    <w:p>
      <w:pPr>
        <w:spacing w:before="0" w:after="300" w:line="259"/>
        <w:ind w:right="0" w:left="0" w:firstLine="0"/>
        <w:jc w:val="left"/>
        <w:rPr>
          <w:rFonts w:ascii="Aptos" w:hAnsi="Aptos" w:cs="Aptos" w:eastAsia="Aptos"/>
          <w:color w:val="auto"/>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r>
        <w:rPr>
          <w:rFonts w:ascii="Arial" w:hAnsi="Arial" w:cs="Arial" w:eastAsia="Arial"/>
          <w:color w:val="000000"/>
          <w:spacing w:val="0"/>
          <w:position w:val="0"/>
          <w:sz w:val="32"/>
          <w:u w:val="single"/>
          <w:shd w:fill="auto" w:val="clear"/>
        </w:rPr>
        <w:t xml:space="preserve">References:</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Buxton, R. (1974). Malice Aforethought. The Modern Law Review, 37(6), 676-681.</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Child, J.J. and Hunt, A., 2022. Beyond the Present-Fault Paradigm: Expanding Mens rea Definitions in the General Part. Oxford Journal of Legal Studies, 42(2), pp.438-467.</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Edwards, D. (2008). Intentionality and mens rea in police interrogations: The production of actions as crimes.</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Herring, J. (2021). Criminal law: The basics. Routledge.</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Leavens, A., 2007. Beyond Blame-Mens Rea and Regulatory Crime. U. Louisville L. Rev., 46, p.1.</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Robinson, P. H. (2017). Should the criminal law abandon the actus reus-mens rea distinction?. In The structure and limits of criminal law (pp. 3-28). Routledge.</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Rosenberg, M.T., 2007. The continued relevance of the irrelevance-of-motive maxim. Duke LJ, 57, p.1143.</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Sepinwall, A.J., 2014. Crossing the Fault Line in Corporate Criminal Law. J. Corp. L., 40, p.439.</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Sepinwall, A.J., 2017. Faultless Guilt: Toward a Relationship-Based Account of Criminal Liability. Am. Crim. L. Rev., 54, p.521.</w:t>
      </w:r>
    </w:p>
    <w:p>
      <w:pPr>
        <w:spacing w:before="0" w:after="30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Ward, B. and Robert Walker, L.J.J., 2000. In Re A (Children)(Conjoined Twins: Surgical Separation)[2001] Fam 147. Court of Appeal.</w:t>
      </w:r>
    </w:p>
    <w:p>
      <w:pPr>
        <w:spacing w:before="0" w:after="300" w:line="259"/>
        <w:ind w:right="0" w:left="0" w:firstLine="0"/>
        <w:jc w:val="left"/>
        <w:rPr>
          <w:rFonts w:ascii="Arial" w:hAnsi="Arial" w:cs="Arial" w:eastAsia="Arial"/>
          <w:color w:val="000000"/>
          <w:spacing w:val="0"/>
          <w:position w:val="0"/>
          <w:sz w:val="32"/>
          <w:u w:val="single"/>
          <w:shd w:fill="auto" w:val="clear"/>
        </w:rPr>
      </w:pPr>
    </w:p>
    <w:p>
      <w:pPr>
        <w:spacing w:before="240" w:after="24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w:t>
      </w:r>
    </w:p>
    <w:p>
      <w:pPr>
        <w:spacing w:before="0" w:after="0" w:line="259"/>
        <w:ind w:right="0" w:left="0" w:firstLine="0"/>
        <w:jc w:val="left"/>
        <w:rPr>
          <w:rFonts w:ascii="Calibri" w:hAnsi="Calibri" w:cs="Calibri" w:eastAsia="Calibri"/>
          <w:color w:val="000000"/>
          <w:spacing w:val="0"/>
          <w:position w:val="0"/>
          <w:sz w:val="27"/>
          <w:shd w:fill="auto" w:val="clear"/>
        </w:rPr>
      </w:pPr>
    </w:p>
    <w:p>
      <w:pPr>
        <w:spacing w:before="240" w:after="24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w:t>
      </w:r>
    </w:p>
    <w:p>
      <w:pPr>
        <w:spacing w:before="0" w:after="0" w:line="259"/>
        <w:ind w:right="0" w:left="0" w:firstLine="0"/>
        <w:jc w:val="left"/>
        <w:rPr>
          <w:rFonts w:ascii="Calibri" w:hAnsi="Calibri" w:cs="Calibri" w:eastAsia="Calibri"/>
          <w:color w:val="000000"/>
          <w:spacing w:val="0"/>
          <w:position w:val="0"/>
          <w:sz w:val="27"/>
          <w:shd w:fill="auto" w:val="clear"/>
        </w:rPr>
      </w:pPr>
    </w:p>
    <w:p>
      <w:pPr>
        <w:spacing w:before="240" w:after="24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u w:val="single"/>
          <w:shd w:fill="auto" w:val="clear"/>
        </w:rPr>
        <w:t xml:space="preserve">‌</w:t>
      </w:r>
    </w:p>
    <w:p>
      <w:pPr>
        <w:spacing w:before="240" w:after="240" w:line="259"/>
        <w:ind w:right="0" w:left="0" w:firstLine="0"/>
        <w:jc w:val="left"/>
        <w:rPr>
          <w:rFonts w:ascii="Calibri" w:hAnsi="Calibri" w:cs="Calibri" w:eastAsia="Calibri"/>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32"/>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300" w:line="259"/>
        <w:ind w:right="0" w:left="0" w:firstLine="0"/>
        <w:jc w:val="left"/>
        <w:rPr>
          <w:rFonts w:ascii="Arial" w:hAnsi="Arial" w:cs="Arial" w:eastAsia="Arial"/>
          <w:color w:val="000000"/>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