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0D6A" w:rsidRDefault="00B10D6A" w:rsidP="0073307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Reflective Report </w:t>
      </w:r>
    </w:p>
    <w:p w:rsidR="00B5518B" w:rsidRDefault="00C47D6A" w:rsidP="0073307D">
      <w:pPr>
        <w:spacing w:line="360" w:lineRule="auto"/>
        <w:jc w:val="both"/>
        <w:rPr>
          <w:rFonts w:ascii="Times New Roman" w:hAnsi="Times New Roman" w:cs="Times New Roman"/>
          <w:sz w:val="24"/>
          <w:szCs w:val="24"/>
        </w:rPr>
      </w:pPr>
      <w:r>
        <w:rPr>
          <w:rFonts w:ascii="Times New Roman" w:hAnsi="Times New Roman" w:cs="Times New Roman"/>
          <w:sz w:val="24"/>
          <w:szCs w:val="24"/>
        </w:rPr>
        <w:t>The importance of battle</w:t>
      </w:r>
      <w:r w:rsidR="00D35B90">
        <w:rPr>
          <w:rFonts w:ascii="Times New Roman" w:hAnsi="Times New Roman" w:cs="Times New Roman"/>
          <w:sz w:val="24"/>
          <w:szCs w:val="24"/>
        </w:rPr>
        <w:t xml:space="preserve"> imagery</w:t>
      </w:r>
      <w:r w:rsidR="000E4308">
        <w:rPr>
          <w:rFonts w:ascii="Times New Roman" w:hAnsi="Times New Roman" w:cs="Times New Roman"/>
          <w:sz w:val="24"/>
          <w:szCs w:val="24"/>
        </w:rPr>
        <w:t xml:space="preserve"> on</w:t>
      </w:r>
      <w:r w:rsidR="00D35B90">
        <w:rPr>
          <w:rFonts w:ascii="Times New Roman" w:hAnsi="Times New Roman" w:cs="Times New Roman"/>
          <w:sz w:val="24"/>
          <w:szCs w:val="24"/>
        </w:rPr>
        <w:t xml:space="preserve"> commemorative</w:t>
      </w:r>
      <w:r w:rsidR="000E4308">
        <w:rPr>
          <w:rFonts w:ascii="Times New Roman" w:hAnsi="Times New Roman" w:cs="Times New Roman"/>
          <w:sz w:val="24"/>
          <w:szCs w:val="24"/>
        </w:rPr>
        <w:t xml:space="preserve"> monuments</w:t>
      </w:r>
      <w:r>
        <w:rPr>
          <w:rFonts w:ascii="Times New Roman" w:hAnsi="Times New Roman" w:cs="Times New Roman"/>
          <w:sz w:val="24"/>
          <w:szCs w:val="24"/>
        </w:rPr>
        <w:t xml:space="preserve"> </w:t>
      </w:r>
      <w:r w:rsidR="008B373E">
        <w:rPr>
          <w:rFonts w:ascii="Times New Roman" w:hAnsi="Times New Roman" w:cs="Times New Roman"/>
          <w:sz w:val="24"/>
          <w:szCs w:val="24"/>
        </w:rPr>
        <w:t>in the Roman Empire during the 4</w:t>
      </w:r>
      <w:r w:rsidR="008B373E" w:rsidRPr="008B373E">
        <w:rPr>
          <w:rFonts w:ascii="Times New Roman" w:hAnsi="Times New Roman" w:cs="Times New Roman"/>
          <w:sz w:val="24"/>
          <w:szCs w:val="24"/>
          <w:vertAlign w:val="superscript"/>
        </w:rPr>
        <w:t>th</w:t>
      </w:r>
      <w:r>
        <w:rPr>
          <w:rFonts w:ascii="Times New Roman" w:hAnsi="Times New Roman" w:cs="Times New Roman"/>
          <w:sz w:val="24"/>
          <w:szCs w:val="24"/>
        </w:rPr>
        <w:t xml:space="preserve"> century AD has turned out to be far more significant than I had previously imagined. </w:t>
      </w:r>
      <w:r w:rsidRPr="00575ABC">
        <w:rPr>
          <w:rFonts w:ascii="Times New Roman" w:hAnsi="Times New Roman" w:cs="Times New Roman"/>
          <w:sz w:val="24"/>
          <w:szCs w:val="24"/>
        </w:rPr>
        <w:t>This is because</w:t>
      </w:r>
      <w:r w:rsidR="00E3579F" w:rsidRPr="00575ABC">
        <w:rPr>
          <w:rFonts w:ascii="Times New Roman" w:hAnsi="Times New Roman" w:cs="Times New Roman"/>
          <w:sz w:val="24"/>
          <w:szCs w:val="24"/>
        </w:rPr>
        <w:t xml:space="preserve"> of the suggestions of notable modern scholars such as Gibbon</w:t>
      </w:r>
      <w:r w:rsidRPr="00575ABC">
        <w:rPr>
          <w:rFonts w:ascii="Times New Roman" w:hAnsi="Times New Roman" w:cs="Times New Roman"/>
          <w:b/>
          <w:sz w:val="24"/>
          <w:szCs w:val="24"/>
        </w:rPr>
        <w:t xml:space="preserve"> </w:t>
      </w:r>
      <w:r w:rsidR="00D35B90" w:rsidRPr="00575ABC">
        <w:rPr>
          <w:rFonts w:ascii="Times New Roman" w:hAnsi="Times New Roman" w:cs="Times New Roman"/>
          <w:sz w:val="24"/>
          <w:szCs w:val="24"/>
        </w:rPr>
        <w:t xml:space="preserve">who </w:t>
      </w:r>
      <w:r w:rsidRPr="00575ABC">
        <w:rPr>
          <w:rFonts w:ascii="Times New Roman" w:hAnsi="Times New Roman" w:cs="Times New Roman"/>
          <w:sz w:val="24"/>
          <w:szCs w:val="24"/>
        </w:rPr>
        <w:t>present the 3</w:t>
      </w:r>
      <w:r w:rsidR="00E3579F" w:rsidRPr="00575ABC">
        <w:rPr>
          <w:rFonts w:ascii="Times New Roman" w:hAnsi="Times New Roman" w:cs="Times New Roman"/>
          <w:sz w:val="24"/>
          <w:szCs w:val="24"/>
          <w:vertAlign w:val="superscript"/>
        </w:rPr>
        <w:t xml:space="preserve">rd </w:t>
      </w:r>
      <w:r w:rsidR="00E3579F" w:rsidRPr="00575ABC">
        <w:rPr>
          <w:rFonts w:ascii="Times New Roman" w:hAnsi="Times New Roman" w:cs="Times New Roman"/>
          <w:sz w:val="24"/>
          <w:szCs w:val="24"/>
        </w:rPr>
        <w:t>and 4</w:t>
      </w:r>
      <w:r w:rsidR="00E3579F" w:rsidRPr="00575ABC">
        <w:rPr>
          <w:rFonts w:ascii="Times New Roman" w:hAnsi="Times New Roman" w:cs="Times New Roman"/>
          <w:sz w:val="24"/>
          <w:szCs w:val="24"/>
          <w:vertAlign w:val="superscript"/>
        </w:rPr>
        <w:t>th</w:t>
      </w:r>
      <w:r w:rsidR="00E3579F" w:rsidRPr="00575ABC">
        <w:rPr>
          <w:rFonts w:ascii="Times New Roman" w:hAnsi="Times New Roman" w:cs="Times New Roman"/>
          <w:sz w:val="24"/>
          <w:szCs w:val="24"/>
        </w:rPr>
        <w:t xml:space="preserve"> centuries</w:t>
      </w:r>
      <w:r w:rsidRPr="00575ABC">
        <w:rPr>
          <w:rFonts w:ascii="Times New Roman" w:hAnsi="Times New Roman" w:cs="Times New Roman"/>
          <w:sz w:val="24"/>
          <w:szCs w:val="24"/>
        </w:rPr>
        <w:t xml:space="preserve"> AD as a period of</w:t>
      </w:r>
      <w:r w:rsidR="00010ED2" w:rsidRPr="00575ABC">
        <w:rPr>
          <w:rFonts w:ascii="Times New Roman" w:hAnsi="Times New Roman" w:cs="Times New Roman"/>
          <w:sz w:val="24"/>
          <w:szCs w:val="24"/>
        </w:rPr>
        <w:t xml:space="preserve"> general</w:t>
      </w:r>
      <w:r w:rsidRPr="00575ABC">
        <w:rPr>
          <w:rFonts w:ascii="Times New Roman" w:hAnsi="Times New Roman" w:cs="Times New Roman"/>
          <w:sz w:val="24"/>
          <w:szCs w:val="24"/>
        </w:rPr>
        <w:t xml:space="preserve"> Roman</w:t>
      </w:r>
      <w:r w:rsidR="00010ED2" w:rsidRPr="00575ABC">
        <w:rPr>
          <w:rFonts w:ascii="Times New Roman" w:hAnsi="Times New Roman" w:cs="Times New Roman"/>
          <w:sz w:val="24"/>
          <w:szCs w:val="24"/>
        </w:rPr>
        <w:t xml:space="preserve"> decline with a distinct military aspect due to the ever-present threat of enemy action</w:t>
      </w:r>
      <w:r w:rsidRPr="00575ABC">
        <w:rPr>
          <w:rFonts w:ascii="Times New Roman" w:hAnsi="Times New Roman" w:cs="Times New Roman"/>
          <w:sz w:val="24"/>
          <w:szCs w:val="24"/>
        </w:rPr>
        <w:t>.</w:t>
      </w:r>
      <w:r w:rsidRPr="00575ABC">
        <w:rPr>
          <w:rStyle w:val="FootnoteReference"/>
          <w:rFonts w:ascii="Times New Roman" w:hAnsi="Times New Roman" w:cs="Times New Roman"/>
          <w:sz w:val="24"/>
          <w:szCs w:val="24"/>
        </w:rPr>
        <w:footnoteReference w:id="1"/>
      </w:r>
      <w:r w:rsidRPr="00575ABC">
        <w:rPr>
          <w:rFonts w:ascii="Times New Roman" w:hAnsi="Times New Roman" w:cs="Times New Roman"/>
          <w:sz w:val="24"/>
          <w:szCs w:val="24"/>
        </w:rPr>
        <w:t xml:space="preserve"> </w:t>
      </w:r>
      <w:r w:rsidR="00D056A1">
        <w:rPr>
          <w:rFonts w:ascii="Times New Roman" w:hAnsi="Times New Roman" w:cs="Times New Roman"/>
          <w:sz w:val="24"/>
          <w:szCs w:val="24"/>
        </w:rPr>
        <w:t xml:space="preserve">However, upon visiting the arch of Galerius in Thessaloniki </w:t>
      </w:r>
      <w:r w:rsidR="00842378">
        <w:rPr>
          <w:rFonts w:ascii="Times New Roman" w:hAnsi="Times New Roman" w:cs="Times New Roman"/>
          <w:sz w:val="24"/>
          <w:szCs w:val="24"/>
        </w:rPr>
        <w:t>my views on the importance of</w:t>
      </w:r>
      <w:r w:rsidR="00E3579F">
        <w:rPr>
          <w:rFonts w:ascii="Times New Roman" w:hAnsi="Times New Roman" w:cs="Times New Roman"/>
          <w:sz w:val="24"/>
          <w:szCs w:val="24"/>
        </w:rPr>
        <w:t xml:space="preserve"> warfare and battle during the 4</w:t>
      </w:r>
      <w:r w:rsidR="00E3579F" w:rsidRPr="00E3579F">
        <w:rPr>
          <w:rFonts w:ascii="Times New Roman" w:hAnsi="Times New Roman" w:cs="Times New Roman"/>
          <w:sz w:val="24"/>
          <w:szCs w:val="24"/>
          <w:vertAlign w:val="superscript"/>
        </w:rPr>
        <w:t>th</w:t>
      </w:r>
      <w:r w:rsidR="00842378">
        <w:rPr>
          <w:rFonts w:ascii="Times New Roman" w:hAnsi="Times New Roman" w:cs="Times New Roman"/>
          <w:sz w:val="24"/>
          <w:szCs w:val="24"/>
        </w:rPr>
        <w:t xml:space="preserve"> century AD </w:t>
      </w:r>
      <w:r w:rsidR="00D35B90">
        <w:rPr>
          <w:rFonts w:ascii="Times New Roman" w:hAnsi="Times New Roman" w:cs="Times New Roman"/>
          <w:sz w:val="24"/>
          <w:szCs w:val="24"/>
        </w:rPr>
        <w:t>has</w:t>
      </w:r>
      <w:r w:rsidR="00842378">
        <w:rPr>
          <w:rFonts w:ascii="Times New Roman" w:hAnsi="Times New Roman" w:cs="Times New Roman"/>
          <w:sz w:val="24"/>
          <w:szCs w:val="24"/>
        </w:rPr>
        <w:t xml:space="preserve"> been altered significantly. Th</w:t>
      </w:r>
      <w:r w:rsidR="00DD12B3">
        <w:rPr>
          <w:rFonts w:ascii="Times New Roman" w:hAnsi="Times New Roman" w:cs="Times New Roman"/>
          <w:sz w:val="24"/>
          <w:szCs w:val="24"/>
        </w:rPr>
        <w:t>roughout this report I will</w:t>
      </w:r>
      <w:r w:rsidR="00842378">
        <w:rPr>
          <w:rFonts w:ascii="Times New Roman" w:hAnsi="Times New Roman" w:cs="Times New Roman"/>
          <w:sz w:val="24"/>
          <w:szCs w:val="24"/>
        </w:rPr>
        <w:t xml:space="preserve"> reflect on the importance of </w:t>
      </w:r>
      <w:r w:rsidR="00A20F88">
        <w:rPr>
          <w:rFonts w:ascii="Times New Roman" w:hAnsi="Times New Roman" w:cs="Times New Roman"/>
          <w:sz w:val="24"/>
          <w:szCs w:val="24"/>
        </w:rPr>
        <w:t>battle and warfare</w:t>
      </w:r>
      <w:r w:rsidR="00842378">
        <w:rPr>
          <w:rFonts w:ascii="Times New Roman" w:hAnsi="Times New Roman" w:cs="Times New Roman"/>
          <w:sz w:val="24"/>
          <w:szCs w:val="24"/>
        </w:rPr>
        <w:t xml:space="preserve"> for Roman emperors during the tetrarchy</w:t>
      </w:r>
      <w:r w:rsidR="00D35B90">
        <w:rPr>
          <w:rFonts w:ascii="Times New Roman" w:hAnsi="Times New Roman" w:cs="Times New Roman"/>
          <w:sz w:val="24"/>
          <w:szCs w:val="24"/>
        </w:rPr>
        <w:t xml:space="preserve"> which</w:t>
      </w:r>
      <w:r w:rsidR="00842378">
        <w:rPr>
          <w:rFonts w:ascii="Times New Roman" w:hAnsi="Times New Roman" w:cs="Times New Roman"/>
          <w:sz w:val="24"/>
          <w:szCs w:val="24"/>
        </w:rPr>
        <w:t xml:space="preserve"> has</w:t>
      </w:r>
      <w:r w:rsidR="00E3579F">
        <w:rPr>
          <w:rFonts w:ascii="Times New Roman" w:hAnsi="Times New Roman" w:cs="Times New Roman"/>
          <w:sz w:val="24"/>
          <w:szCs w:val="24"/>
        </w:rPr>
        <w:t xml:space="preserve"> been informed by my experience</w:t>
      </w:r>
      <w:r w:rsidR="00842378">
        <w:rPr>
          <w:rFonts w:ascii="Times New Roman" w:hAnsi="Times New Roman" w:cs="Times New Roman"/>
          <w:sz w:val="24"/>
          <w:szCs w:val="24"/>
        </w:rPr>
        <w:t xml:space="preserve"> of the arch of Galerius. This report will also consider the impact of the</w:t>
      </w:r>
      <w:r w:rsidR="00A20F88">
        <w:rPr>
          <w:rFonts w:ascii="Times New Roman" w:hAnsi="Times New Roman" w:cs="Times New Roman"/>
          <w:sz w:val="24"/>
          <w:szCs w:val="24"/>
        </w:rPr>
        <w:t xml:space="preserve"> figure of Alexander III on propagandistic monuments such</w:t>
      </w:r>
      <w:r w:rsidR="00B5518B">
        <w:rPr>
          <w:rFonts w:ascii="Times New Roman" w:hAnsi="Times New Roman" w:cs="Times New Roman"/>
          <w:sz w:val="24"/>
          <w:szCs w:val="24"/>
        </w:rPr>
        <w:t xml:space="preserve"> as the arch of Galerius</w:t>
      </w:r>
      <w:r w:rsidR="00842378">
        <w:rPr>
          <w:rFonts w:ascii="Times New Roman" w:hAnsi="Times New Roman" w:cs="Times New Roman"/>
          <w:sz w:val="24"/>
          <w:szCs w:val="24"/>
        </w:rPr>
        <w:t>.</w:t>
      </w:r>
    </w:p>
    <w:p w:rsidR="0087714D" w:rsidRDefault="00B5518B" w:rsidP="0087714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first instance, </w:t>
      </w:r>
      <w:r w:rsidR="0036439C">
        <w:rPr>
          <w:rFonts w:ascii="Times New Roman" w:hAnsi="Times New Roman" w:cs="Times New Roman"/>
          <w:sz w:val="24"/>
          <w:szCs w:val="24"/>
        </w:rPr>
        <w:t>the images of warfare whic</w:t>
      </w:r>
      <w:r w:rsidR="00CA4077">
        <w:rPr>
          <w:rFonts w:ascii="Times New Roman" w:hAnsi="Times New Roman" w:cs="Times New Roman"/>
          <w:sz w:val="24"/>
          <w:szCs w:val="24"/>
        </w:rPr>
        <w:t>h are preserved on the surviving</w:t>
      </w:r>
      <w:r w:rsidR="0036439C">
        <w:rPr>
          <w:rFonts w:ascii="Times New Roman" w:hAnsi="Times New Roman" w:cs="Times New Roman"/>
          <w:sz w:val="24"/>
          <w:szCs w:val="24"/>
        </w:rPr>
        <w:t xml:space="preserve"> four sections of the arch of Galerius are far more prominent then I had initially envisaged. While an examination of the scholarship discussing the images contained on the arch had made clear that such images of warfare and battle were to be expected</w:t>
      </w:r>
      <w:r w:rsidR="00E3579F">
        <w:rPr>
          <w:rFonts w:ascii="Times New Roman" w:hAnsi="Times New Roman" w:cs="Times New Roman"/>
          <w:sz w:val="24"/>
          <w:szCs w:val="24"/>
        </w:rPr>
        <w:t>, it</w:t>
      </w:r>
      <w:r w:rsidR="0036439C">
        <w:rPr>
          <w:rFonts w:ascii="Times New Roman" w:hAnsi="Times New Roman" w:cs="Times New Roman"/>
          <w:sz w:val="24"/>
          <w:szCs w:val="24"/>
        </w:rPr>
        <w:t xml:space="preserve"> did not make clear</w:t>
      </w:r>
      <w:r w:rsidR="003277EF">
        <w:rPr>
          <w:rFonts w:ascii="Times New Roman" w:hAnsi="Times New Roman" w:cs="Times New Roman"/>
          <w:sz w:val="24"/>
          <w:szCs w:val="24"/>
        </w:rPr>
        <w:t xml:space="preserve"> to me</w:t>
      </w:r>
      <w:r w:rsidR="0036439C">
        <w:rPr>
          <w:rFonts w:ascii="Times New Roman" w:hAnsi="Times New Roman" w:cs="Times New Roman"/>
          <w:sz w:val="24"/>
          <w:szCs w:val="24"/>
        </w:rPr>
        <w:t xml:space="preserve"> just how prominent such depictions were.</w:t>
      </w:r>
      <w:r w:rsidR="0036439C">
        <w:rPr>
          <w:rStyle w:val="FootnoteReference"/>
          <w:rFonts w:ascii="Times New Roman" w:hAnsi="Times New Roman" w:cs="Times New Roman"/>
          <w:sz w:val="24"/>
          <w:szCs w:val="24"/>
        </w:rPr>
        <w:footnoteReference w:id="2"/>
      </w:r>
      <w:r w:rsidR="00010ED2">
        <w:rPr>
          <w:rFonts w:ascii="Times New Roman" w:hAnsi="Times New Roman" w:cs="Times New Roman"/>
          <w:sz w:val="24"/>
          <w:szCs w:val="24"/>
        </w:rPr>
        <w:t xml:space="preserve"> </w:t>
      </w:r>
      <w:r w:rsidR="00010ED2" w:rsidRPr="00575ABC">
        <w:rPr>
          <w:rFonts w:ascii="Times New Roman" w:hAnsi="Times New Roman" w:cs="Times New Roman"/>
          <w:sz w:val="24"/>
          <w:szCs w:val="24"/>
        </w:rPr>
        <w:t>This also strongly contrasts with the image of a Roman empire in military decline.</w:t>
      </w:r>
      <w:r w:rsidR="00010ED2" w:rsidRPr="00575ABC">
        <w:rPr>
          <w:rStyle w:val="FootnoteReference"/>
          <w:rFonts w:ascii="Times New Roman" w:hAnsi="Times New Roman" w:cs="Times New Roman"/>
          <w:sz w:val="24"/>
          <w:szCs w:val="24"/>
        </w:rPr>
        <w:footnoteReference w:id="3"/>
      </w:r>
      <w:r w:rsidR="00842378" w:rsidRPr="00E008E1">
        <w:rPr>
          <w:rFonts w:ascii="Times New Roman" w:hAnsi="Times New Roman" w:cs="Times New Roman"/>
          <w:color w:val="FF0000"/>
          <w:sz w:val="24"/>
          <w:szCs w:val="24"/>
        </w:rPr>
        <w:t xml:space="preserve"> </w:t>
      </w:r>
      <w:r w:rsidR="003277EF">
        <w:rPr>
          <w:rFonts w:ascii="Times New Roman" w:hAnsi="Times New Roman" w:cs="Times New Roman"/>
          <w:sz w:val="24"/>
          <w:szCs w:val="24"/>
        </w:rPr>
        <w:t>My</w:t>
      </w:r>
      <w:r w:rsidR="0036439C">
        <w:rPr>
          <w:rFonts w:ascii="Times New Roman" w:hAnsi="Times New Roman" w:cs="Times New Roman"/>
          <w:sz w:val="24"/>
          <w:szCs w:val="24"/>
        </w:rPr>
        <w:t xml:space="preserve"> initial opinion was formulated primarily from an article by Pond</w:t>
      </w:r>
      <w:r w:rsidR="00D27E2E">
        <w:rPr>
          <w:rFonts w:ascii="Times New Roman" w:hAnsi="Times New Roman" w:cs="Times New Roman"/>
          <w:sz w:val="24"/>
          <w:szCs w:val="24"/>
        </w:rPr>
        <w:t xml:space="preserve"> Rothman</w:t>
      </w:r>
      <w:r w:rsidR="0036439C">
        <w:rPr>
          <w:rFonts w:ascii="Times New Roman" w:hAnsi="Times New Roman" w:cs="Times New Roman"/>
          <w:sz w:val="24"/>
          <w:szCs w:val="24"/>
        </w:rPr>
        <w:t xml:space="preserve"> which emphasized the pictographic complexity of the arch and the wide thematic range of its imagery.</w:t>
      </w:r>
      <w:r w:rsidR="0036439C">
        <w:rPr>
          <w:rStyle w:val="FootnoteReference"/>
          <w:rFonts w:ascii="Times New Roman" w:hAnsi="Times New Roman" w:cs="Times New Roman"/>
          <w:sz w:val="24"/>
          <w:szCs w:val="24"/>
        </w:rPr>
        <w:footnoteReference w:id="4"/>
      </w:r>
      <w:r w:rsidR="0036439C">
        <w:rPr>
          <w:rFonts w:ascii="Times New Roman" w:hAnsi="Times New Roman" w:cs="Times New Roman"/>
          <w:sz w:val="24"/>
          <w:szCs w:val="24"/>
        </w:rPr>
        <w:t xml:space="preserve"> Indeed, while both views were largely correct</w:t>
      </w:r>
      <w:r w:rsidR="00E3579F">
        <w:rPr>
          <w:rFonts w:ascii="Times New Roman" w:hAnsi="Times New Roman" w:cs="Times New Roman"/>
          <w:sz w:val="24"/>
          <w:szCs w:val="24"/>
        </w:rPr>
        <w:t>,</w:t>
      </w:r>
      <w:r w:rsidR="0036439C">
        <w:rPr>
          <w:rFonts w:ascii="Times New Roman" w:hAnsi="Times New Roman" w:cs="Times New Roman"/>
          <w:sz w:val="24"/>
          <w:szCs w:val="24"/>
        </w:rPr>
        <w:t xml:space="preserve"> Pond</w:t>
      </w:r>
      <w:r w:rsidR="00D27E2E">
        <w:rPr>
          <w:rFonts w:ascii="Times New Roman" w:hAnsi="Times New Roman" w:cs="Times New Roman"/>
          <w:sz w:val="24"/>
          <w:szCs w:val="24"/>
        </w:rPr>
        <w:t xml:space="preserve"> Rothman</w:t>
      </w:r>
      <w:r w:rsidR="0036439C">
        <w:rPr>
          <w:rFonts w:ascii="Times New Roman" w:hAnsi="Times New Roman" w:cs="Times New Roman"/>
          <w:sz w:val="24"/>
          <w:szCs w:val="24"/>
        </w:rPr>
        <w:t xml:space="preserve"> </w:t>
      </w:r>
      <w:r w:rsidR="003277EF">
        <w:rPr>
          <w:rFonts w:ascii="Times New Roman" w:hAnsi="Times New Roman" w:cs="Times New Roman"/>
          <w:sz w:val="24"/>
          <w:szCs w:val="24"/>
        </w:rPr>
        <w:t>failed to highlight the eye-catching prominence of panels such as that depicting the combat between Galerius and Narses or the number of panels showing Roman soldiers.</w:t>
      </w:r>
      <w:r w:rsidR="003277EF">
        <w:rPr>
          <w:rStyle w:val="FootnoteReference"/>
          <w:rFonts w:ascii="Times New Roman" w:hAnsi="Times New Roman" w:cs="Times New Roman"/>
          <w:sz w:val="24"/>
          <w:szCs w:val="24"/>
        </w:rPr>
        <w:footnoteReference w:id="5"/>
      </w:r>
      <w:r w:rsidR="003277EF">
        <w:rPr>
          <w:rFonts w:ascii="Times New Roman" w:hAnsi="Times New Roman" w:cs="Times New Roman"/>
          <w:sz w:val="24"/>
          <w:szCs w:val="24"/>
        </w:rPr>
        <w:t xml:space="preserve"> This became instantly obvious to me upon</w:t>
      </w:r>
      <w:r w:rsidR="0012401B">
        <w:rPr>
          <w:rFonts w:ascii="Times New Roman" w:hAnsi="Times New Roman" w:cs="Times New Roman"/>
          <w:sz w:val="24"/>
          <w:szCs w:val="24"/>
        </w:rPr>
        <w:t xml:space="preserve"> </w:t>
      </w:r>
      <w:r w:rsidR="003277EF">
        <w:rPr>
          <w:rFonts w:ascii="Times New Roman" w:hAnsi="Times New Roman" w:cs="Times New Roman"/>
          <w:sz w:val="24"/>
          <w:szCs w:val="24"/>
        </w:rPr>
        <w:t>a physical examination o</w:t>
      </w:r>
      <w:r w:rsidR="0087714D">
        <w:rPr>
          <w:rFonts w:ascii="Times New Roman" w:hAnsi="Times New Roman" w:cs="Times New Roman"/>
          <w:sz w:val="24"/>
          <w:szCs w:val="24"/>
        </w:rPr>
        <w:t>f the arch.</w:t>
      </w:r>
      <w:r w:rsidR="0012401B">
        <w:rPr>
          <w:rFonts w:ascii="Times New Roman" w:hAnsi="Times New Roman" w:cs="Times New Roman"/>
          <w:sz w:val="24"/>
          <w:szCs w:val="24"/>
        </w:rPr>
        <w:t xml:space="preserve"> </w:t>
      </w:r>
    </w:p>
    <w:p w:rsidR="0012401B" w:rsidRDefault="0012401B" w:rsidP="0087714D">
      <w:pPr>
        <w:spacing w:line="360" w:lineRule="auto"/>
        <w:jc w:val="both"/>
        <w:rPr>
          <w:rFonts w:ascii="Times New Roman" w:hAnsi="Times New Roman" w:cs="Times New Roman"/>
          <w:sz w:val="24"/>
          <w:szCs w:val="24"/>
        </w:rPr>
      </w:pPr>
      <w:r>
        <w:rPr>
          <w:noProof/>
        </w:rPr>
        <w:lastRenderedPageBreak/>
        <w:drawing>
          <wp:inline distT="0" distB="0" distL="0" distR="0">
            <wp:extent cx="5731510" cy="4298633"/>
            <wp:effectExtent l="0" t="0" r="2540" b="6985"/>
            <wp:docPr id="3" name="Picture 3" descr="C:\Users\Troy Wilkinson\AppData\Local\Microsoft\Windows\INetCache\Content.Word\IMG_78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roy Wilkinson\AppData\Local\Microsoft\Windows\INetCache\Content.Word\IMG_7896.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10800000">
                      <a:off x="0" y="0"/>
                      <a:ext cx="5731510" cy="4298633"/>
                    </a:xfrm>
                    <a:prstGeom prst="rect">
                      <a:avLst/>
                    </a:prstGeom>
                    <a:noFill/>
                    <a:ln>
                      <a:noFill/>
                    </a:ln>
                  </pic:spPr>
                </pic:pic>
              </a:graphicData>
            </a:graphic>
          </wp:inline>
        </w:drawing>
      </w:r>
    </w:p>
    <w:p w:rsidR="0087714D" w:rsidRDefault="0087714D" w:rsidP="0087714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Figure 1: Panel from the arch of Galerius depicting the combat between Galerius and Narses. </w:t>
      </w:r>
    </w:p>
    <w:p w:rsidR="00D35B90" w:rsidRDefault="00D35B90" w:rsidP="0073307D">
      <w:pPr>
        <w:spacing w:line="360" w:lineRule="auto"/>
        <w:jc w:val="both"/>
        <w:rPr>
          <w:rFonts w:ascii="Times New Roman" w:hAnsi="Times New Roman" w:cs="Times New Roman"/>
          <w:sz w:val="24"/>
          <w:szCs w:val="24"/>
        </w:rPr>
      </w:pPr>
      <w:r>
        <w:rPr>
          <w:rFonts w:ascii="Times New Roman" w:hAnsi="Times New Roman" w:cs="Times New Roman"/>
          <w:sz w:val="24"/>
          <w:szCs w:val="24"/>
        </w:rPr>
        <w:t>This altered view of the importance of warfare and battle fits both with our ancient sources and other modern scholarship far bett</w:t>
      </w:r>
      <w:r w:rsidR="00325E68">
        <w:rPr>
          <w:rFonts w:ascii="Times New Roman" w:hAnsi="Times New Roman" w:cs="Times New Roman"/>
          <w:sz w:val="24"/>
          <w:szCs w:val="24"/>
        </w:rPr>
        <w:t>er than my initial view which had been informed</w:t>
      </w:r>
      <w:r w:rsidR="00831C88">
        <w:rPr>
          <w:rFonts w:ascii="Times New Roman" w:hAnsi="Times New Roman" w:cs="Times New Roman"/>
          <w:sz w:val="24"/>
          <w:szCs w:val="24"/>
        </w:rPr>
        <w:t xml:space="preserve"> by Pond Rothman’s</w:t>
      </w:r>
      <w:r>
        <w:rPr>
          <w:rFonts w:ascii="Times New Roman" w:hAnsi="Times New Roman" w:cs="Times New Roman"/>
          <w:sz w:val="24"/>
          <w:szCs w:val="24"/>
        </w:rPr>
        <w:t xml:space="preserve"> </w:t>
      </w:r>
      <w:r w:rsidR="00010ED2">
        <w:rPr>
          <w:rFonts w:ascii="Times New Roman" w:hAnsi="Times New Roman" w:cs="Times New Roman"/>
          <w:sz w:val="24"/>
          <w:szCs w:val="24"/>
        </w:rPr>
        <w:t>article</w:t>
      </w:r>
      <w:r w:rsidR="00E3579F">
        <w:rPr>
          <w:rFonts w:ascii="Times New Roman" w:hAnsi="Times New Roman" w:cs="Times New Roman"/>
          <w:sz w:val="24"/>
          <w:szCs w:val="24"/>
        </w:rPr>
        <w:t>,</w:t>
      </w:r>
      <w:r w:rsidR="00010ED2">
        <w:rPr>
          <w:rFonts w:ascii="Times New Roman" w:hAnsi="Times New Roman" w:cs="Times New Roman"/>
          <w:sz w:val="24"/>
          <w:szCs w:val="24"/>
        </w:rPr>
        <w:t xml:space="preserve"> since sources such as Ammian</w:t>
      </w:r>
      <w:r>
        <w:rPr>
          <w:rFonts w:ascii="Times New Roman" w:hAnsi="Times New Roman" w:cs="Times New Roman"/>
          <w:sz w:val="24"/>
          <w:szCs w:val="24"/>
        </w:rPr>
        <w:t>us</w:t>
      </w:r>
      <w:r w:rsidR="00010ED2">
        <w:rPr>
          <w:rFonts w:ascii="Times New Roman" w:hAnsi="Times New Roman" w:cs="Times New Roman"/>
          <w:sz w:val="24"/>
          <w:szCs w:val="24"/>
        </w:rPr>
        <w:t xml:space="preserve"> Marcellinus</w:t>
      </w:r>
      <w:r>
        <w:rPr>
          <w:rFonts w:ascii="Times New Roman" w:hAnsi="Times New Roman" w:cs="Times New Roman"/>
          <w:sz w:val="24"/>
          <w:szCs w:val="24"/>
        </w:rPr>
        <w:t xml:space="preserve"> depict the Roman conflicts with the Parthians as a defining feature of Roman a</w:t>
      </w:r>
      <w:r w:rsidR="00E3579F">
        <w:rPr>
          <w:rFonts w:ascii="Times New Roman" w:hAnsi="Times New Roman" w:cs="Times New Roman"/>
          <w:sz w:val="24"/>
          <w:szCs w:val="24"/>
        </w:rPr>
        <w:t>ctivity in the east during the 4</w:t>
      </w:r>
      <w:r w:rsidR="00E3579F" w:rsidRPr="00E3579F">
        <w:rPr>
          <w:rFonts w:ascii="Times New Roman" w:hAnsi="Times New Roman" w:cs="Times New Roman"/>
          <w:sz w:val="24"/>
          <w:szCs w:val="24"/>
          <w:vertAlign w:val="superscript"/>
        </w:rPr>
        <w:t>th</w:t>
      </w:r>
      <w:r>
        <w:rPr>
          <w:rFonts w:ascii="Times New Roman" w:hAnsi="Times New Roman" w:cs="Times New Roman"/>
          <w:sz w:val="24"/>
          <w:szCs w:val="24"/>
        </w:rPr>
        <w:t xml:space="preserve"> century AD.</w:t>
      </w:r>
      <w:r>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Moreover, modern scholars such as Potter rightly recognise Galerius successful campaign against Narses as one of the most significant Roman victories since the time of Marcus Aurelius.</w:t>
      </w:r>
      <w:r>
        <w:rPr>
          <w:rStyle w:val="FootnoteReference"/>
          <w:rFonts w:ascii="Times New Roman" w:hAnsi="Times New Roman" w:cs="Times New Roman"/>
          <w:sz w:val="24"/>
          <w:szCs w:val="24"/>
        </w:rPr>
        <w:footnoteReference w:id="7"/>
      </w:r>
      <w:r w:rsidR="00010ED2">
        <w:rPr>
          <w:rFonts w:ascii="Times New Roman" w:hAnsi="Times New Roman" w:cs="Times New Roman"/>
          <w:sz w:val="24"/>
          <w:szCs w:val="24"/>
        </w:rPr>
        <w:t xml:space="preserve"> Thus the continued significance of warfare and battle only became fully obvious to me on examination of the arch of Galerius. </w:t>
      </w:r>
    </w:p>
    <w:p w:rsidR="001B6CFC" w:rsidRDefault="001B6CFC" w:rsidP="0073307D">
      <w:pPr>
        <w:spacing w:line="360" w:lineRule="auto"/>
        <w:jc w:val="both"/>
        <w:rPr>
          <w:rFonts w:ascii="Times New Roman" w:hAnsi="Times New Roman" w:cs="Times New Roman"/>
          <w:sz w:val="24"/>
          <w:szCs w:val="24"/>
        </w:rPr>
      </w:pPr>
      <w:r>
        <w:rPr>
          <w:rFonts w:ascii="Times New Roman" w:hAnsi="Times New Roman" w:cs="Times New Roman"/>
          <w:sz w:val="24"/>
          <w:szCs w:val="24"/>
        </w:rPr>
        <w:t>Aside from the obvious importance of warfare and battle visiting the arch of Galerius also highlighted to me just how the arch seems to have been designed to clearly display images which may be considered ‘</w:t>
      </w:r>
      <w:r w:rsidR="0073307D">
        <w:rPr>
          <w:rFonts w:ascii="Times New Roman" w:hAnsi="Times New Roman" w:cs="Times New Roman"/>
          <w:sz w:val="24"/>
          <w:szCs w:val="24"/>
        </w:rPr>
        <w:t>propagandistic’ in nature amongst</w:t>
      </w:r>
      <w:r>
        <w:rPr>
          <w:rFonts w:ascii="Times New Roman" w:hAnsi="Times New Roman" w:cs="Times New Roman"/>
          <w:sz w:val="24"/>
          <w:szCs w:val="24"/>
        </w:rPr>
        <w:t xml:space="preserve"> which</w:t>
      </w:r>
      <w:r w:rsidR="0073307D">
        <w:rPr>
          <w:rFonts w:ascii="Times New Roman" w:hAnsi="Times New Roman" w:cs="Times New Roman"/>
          <w:sz w:val="24"/>
          <w:szCs w:val="24"/>
        </w:rPr>
        <w:t xml:space="preserve"> those depicting</w:t>
      </w:r>
      <w:r>
        <w:rPr>
          <w:rFonts w:ascii="Times New Roman" w:hAnsi="Times New Roman" w:cs="Times New Roman"/>
          <w:sz w:val="24"/>
          <w:szCs w:val="24"/>
        </w:rPr>
        <w:t xml:space="preserve"> warfare </w:t>
      </w:r>
      <w:r w:rsidR="0073307D">
        <w:rPr>
          <w:rFonts w:ascii="Times New Roman" w:hAnsi="Times New Roman" w:cs="Times New Roman"/>
          <w:sz w:val="24"/>
          <w:szCs w:val="24"/>
        </w:rPr>
        <w:t>and battle seem</w:t>
      </w:r>
      <w:r w:rsidR="00E3579F">
        <w:rPr>
          <w:rFonts w:ascii="Times New Roman" w:hAnsi="Times New Roman" w:cs="Times New Roman"/>
          <w:sz w:val="24"/>
          <w:szCs w:val="24"/>
        </w:rPr>
        <w:t xml:space="preserve"> to have played</w:t>
      </w:r>
      <w:r>
        <w:rPr>
          <w:rFonts w:ascii="Times New Roman" w:hAnsi="Times New Roman" w:cs="Times New Roman"/>
          <w:sz w:val="24"/>
          <w:szCs w:val="24"/>
        </w:rPr>
        <w:t xml:space="preserve"> an important part. This prompted me to conduct a further</w:t>
      </w:r>
      <w:r w:rsidR="001244AB">
        <w:rPr>
          <w:rFonts w:ascii="Times New Roman" w:hAnsi="Times New Roman" w:cs="Times New Roman"/>
          <w:sz w:val="24"/>
          <w:szCs w:val="24"/>
        </w:rPr>
        <w:t xml:space="preserve"> investigation which made clear </w:t>
      </w:r>
      <w:r>
        <w:rPr>
          <w:rFonts w:ascii="Times New Roman" w:hAnsi="Times New Roman" w:cs="Times New Roman"/>
          <w:sz w:val="24"/>
          <w:szCs w:val="24"/>
        </w:rPr>
        <w:t xml:space="preserve">to me the impact of Alexander III on the specific depiction of </w:t>
      </w:r>
      <w:r>
        <w:rPr>
          <w:rFonts w:ascii="Times New Roman" w:hAnsi="Times New Roman" w:cs="Times New Roman"/>
          <w:sz w:val="24"/>
          <w:szCs w:val="24"/>
        </w:rPr>
        <w:lastRenderedPageBreak/>
        <w:t>Galerius shown on the arch.</w:t>
      </w:r>
      <w:r w:rsidR="0073307D">
        <w:rPr>
          <w:rFonts w:ascii="Times New Roman" w:hAnsi="Times New Roman" w:cs="Times New Roman"/>
          <w:sz w:val="24"/>
          <w:szCs w:val="24"/>
        </w:rPr>
        <w:t xml:space="preserve"> Modern scholars have correctly identified such monuments as the arch of Galerius or Trajan’s column as propagandistic in nature due to their placement within major cities of the empire and the militaristic and triumphalist nature</w:t>
      </w:r>
      <w:r w:rsidR="00831C88">
        <w:rPr>
          <w:rFonts w:ascii="Times New Roman" w:hAnsi="Times New Roman" w:cs="Times New Roman"/>
          <w:sz w:val="24"/>
          <w:szCs w:val="24"/>
        </w:rPr>
        <w:t xml:space="preserve"> of</w:t>
      </w:r>
      <w:r w:rsidR="0073307D">
        <w:rPr>
          <w:rFonts w:ascii="Times New Roman" w:hAnsi="Times New Roman" w:cs="Times New Roman"/>
          <w:sz w:val="24"/>
          <w:szCs w:val="24"/>
        </w:rPr>
        <w:t xml:space="preserve"> their imagery.</w:t>
      </w:r>
      <w:r w:rsidR="0073307D">
        <w:rPr>
          <w:rStyle w:val="FootnoteReference"/>
          <w:rFonts w:ascii="Times New Roman" w:hAnsi="Times New Roman" w:cs="Times New Roman"/>
          <w:sz w:val="24"/>
          <w:szCs w:val="24"/>
        </w:rPr>
        <w:footnoteReference w:id="8"/>
      </w:r>
      <w:r w:rsidR="0073307D">
        <w:rPr>
          <w:rFonts w:ascii="Times New Roman" w:hAnsi="Times New Roman" w:cs="Times New Roman"/>
          <w:sz w:val="24"/>
          <w:szCs w:val="24"/>
        </w:rPr>
        <w:t xml:space="preserve"> However, the specific influence of the image of Alexander III of Macedon on the iconography of the arch of Galerius only became apparent to me upon a physical examination and a consideration of the historical context of the city of Thessaloniki. </w:t>
      </w:r>
      <w:r>
        <w:rPr>
          <w:rFonts w:ascii="Times New Roman" w:hAnsi="Times New Roman" w:cs="Times New Roman"/>
          <w:sz w:val="24"/>
          <w:szCs w:val="24"/>
        </w:rPr>
        <w:t xml:space="preserve">   </w:t>
      </w:r>
    </w:p>
    <w:p w:rsidR="0073307D" w:rsidRDefault="001238B3" w:rsidP="0073307D">
      <w:pPr>
        <w:spacing w:line="360" w:lineRule="auto"/>
        <w:jc w:val="both"/>
        <w:rPr>
          <w:rFonts w:ascii="Times New Roman" w:hAnsi="Times New Roman" w:cs="Times New Roman"/>
          <w:sz w:val="24"/>
          <w:szCs w:val="24"/>
        </w:rPr>
      </w:pPr>
      <w:r>
        <w:rPr>
          <w:rFonts w:ascii="Times New Roman" w:hAnsi="Times New Roman" w:cs="Times New Roman"/>
          <w:sz w:val="24"/>
          <w:szCs w:val="24"/>
        </w:rPr>
        <w:t>Even though</w:t>
      </w:r>
      <w:r w:rsidR="00D952EA">
        <w:rPr>
          <w:rFonts w:ascii="Times New Roman" w:hAnsi="Times New Roman" w:cs="Times New Roman"/>
          <w:sz w:val="24"/>
          <w:szCs w:val="24"/>
        </w:rPr>
        <w:t xml:space="preserve"> the city of Thessaloniki was founded in 315 BC by </w:t>
      </w:r>
      <w:proofErr w:type="spellStart"/>
      <w:r w:rsidR="00D952EA">
        <w:rPr>
          <w:rFonts w:ascii="Times New Roman" w:hAnsi="Times New Roman" w:cs="Times New Roman"/>
          <w:sz w:val="24"/>
          <w:szCs w:val="24"/>
        </w:rPr>
        <w:t>Cassander</w:t>
      </w:r>
      <w:proofErr w:type="spellEnd"/>
      <w:r w:rsidR="00D952EA">
        <w:rPr>
          <w:rFonts w:ascii="Times New Roman" w:hAnsi="Times New Roman" w:cs="Times New Roman"/>
          <w:sz w:val="24"/>
          <w:szCs w:val="24"/>
        </w:rPr>
        <w:t xml:space="preserve"> several years after Alexander’s death in 323 BC the city retained important connections to </w:t>
      </w:r>
      <w:r w:rsidR="00325E68">
        <w:rPr>
          <w:rFonts w:ascii="Times New Roman" w:hAnsi="Times New Roman" w:cs="Times New Roman"/>
          <w:sz w:val="24"/>
          <w:szCs w:val="24"/>
        </w:rPr>
        <w:t>Alexander since it was named</w:t>
      </w:r>
      <w:r w:rsidR="00D952EA">
        <w:rPr>
          <w:rFonts w:ascii="Times New Roman" w:hAnsi="Times New Roman" w:cs="Times New Roman"/>
          <w:sz w:val="24"/>
          <w:szCs w:val="24"/>
        </w:rPr>
        <w:t xml:space="preserve"> after his </w:t>
      </w:r>
      <w:r>
        <w:rPr>
          <w:rFonts w:ascii="Times New Roman" w:hAnsi="Times New Roman" w:cs="Times New Roman"/>
          <w:sz w:val="24"/>
          <w:szCs w:val="24"/>
        </w:rPr>
        <w:t>half-sister</w:t>
      </w:r>
      <w:r w:rsidR="00D952EA">
        <w:rPr>
          <w:rFonts w:ascii="Times New Roman" w:hAnsi="Times New Roman" w:cs="Times New Roman"/>
          <w:sz w:val="24"/>
          <w:szCs w:val="24"/>
        </w:rPr>
        <w:t>.</w:t>
      </w:r>
      <w:r w:rsidR="00D952EA">
        <w:rPr>
          <w:rStyle w:val="FootnoteReference"/>
          <w:rFonts w:ascii="Times New Roman" w:hAnsi="Times New Roman" w:cs="Times New Roman"/>
          <w:sz w:val="24"/>
          <w:szCs w:val="24"/>
        </w:rPr>
        <w:footnoteReference w:id="9"/>
      </w:r>
      <w:r>
        <w:rPr>
          <w:rFonts w:ascii="Times New Roman" w:hAnsi="Times New Roman" w:cs="Times New Roman"/>
          <w:sz w:val="24"/>
          <w:szCs w:val="24"/>
        </w:rPr>
        <w:t xml:space="preserve"> Moreover, emulation of Alexander seems to have been an important concern for many of the later Hellenistic monarchs</w:t>
      </w:r>
      <w:r w:rsidR="00E3579F">
        <w:rPr>
          <w:rFonts w:ascii="Times New Roman" w:hAnsi="Times New Roman" w:cs="Times New Roman"/>
          <w:sz w:val="24"/>
          <w:szCs w:val="24"/>
        </w:rPr>
        <w:t xml:space="preserve"> and indeed, Roman military leaders</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10"/>
      </w:r>
      <w:r>
        <w:rPr>
          <w:rFonts w:ascii="Times New Roman" w:hAnsi="Times New Roman" w:cs="Times New Roman"/>
          <w:sz w:val="24"/>
          <w:szCs w:val="24"/>
        </w:rPr>
        <w:t xml:space="preserve"> This indicates that despite Thessaloniki</w:t>
      </w:r>
      <w:r w:rsidR="00831C88">
        <w:rPr>
          <w:rFonts w:ascii="Times New Roman" w:hAnsi="Times New Roman" w:cs="Times New Roman"/>
          <w:sz w:val="24"/>
          <w:szCs w:val="24"/>
        </w:rPr>
        <w:t>’s later foundation</w:t>
      </w:r>
      <w:r>
        <w:rPr>
          <w:rFonts w:ascii="Times New Roman" w:hAnsi="Times New Roman" w:cs="Times New Roman"/>
          <w:sz w:val="24"/>
          <w:szCs w:val="24"/>
        </w:rPr>
        <w:t xml:space="preserve"> the legacy of Alexander would continue to have a significant impact on t</w:t>
      </w:r>
      <w:r w:rsidR="001244AB">
        <w:rPr>
          <w:rFonts w:ascii="Times New Roman" w:hAnsi="Times New Roman" w:cs="Times New Roman"/>
          <w:sz w:val="24"/>
          <w:szCs w:val="24"/>
        </w:rPr>
        <w:t>he region and the key</w:t>
      </w:r>
      <w:r>
        <w:rPr>
          <w:rFonts w:ascii="Times New Roman" w:hAnsi="Times New Roman" w:cs="Times New Roman"/>
          <w:sz w:val="24"/>
          <w:szCs w:val="24"/>
        </w:rPr>
        <w:t xml:space="preserve"> individuals who controlled it. </w:t>
      </w:r>
      <w:r w:rsidR="00654D59">
        <w:rPr>
          <w:rFonts w:ascii="Times New Roman" w:hAnsi="Times New Roman" w:cs="Times New Roman"/>
          <w:sz w:val="24"/>
          <w:szCs w:val="24"/>
        </w:rPr>
        <w:t>The impact of the image and legacy</w:t>
      </w:r>
      <w:r w:rsidR="001951F3">
        <w:rPr>
          <w:rFonts w:ascii="Times New Roman" w:hAnsi="Times New Roman" w:cs="Times New Roman"/>
          <w:sz w:val="24"/>
          <w:szCs w:val="24"/>
        </w:rPr>
        <w:t xml:space="preserve"> of Alexander</w:t>
      </w:r>
      <w:r w:rsidR="00654D59">
        <w:rPr>
          <w:rFonts w:ascii="Times New Roman" w:hAnsi="Times New Roman" w:cs="Times New Roman"/>
          <w:sz w:val="24"/>
          <w:szCs w:val="24"/>
        </w:rPr>
        <w:t xml:space="preserve"> moreover, does not seem to have been lost on the Roman leaders of the late R</w:t>
      </w:r>
      <w:r w:rsidR="00831C88">
        <w:rPr>
          <w:rFonts w:ascii="Times New Roman" w:hAnsi="Times New Roman" w:cs="Times New Roman"/>
          <w:sz w:val="24"/>
          <w:szCs w:val="24"/>
        </w:rPr>
        <w:t xml:space="preserve">epublic with </w:t>
      </w:r>
      <w:r w:rsidR="006A03EB">
        <w:rPr>
          <w:rFonts w:ascii="Times New Roman" w:hAnsi="Times New Roman" w:cs="Times New Roman"/>
          <w:sz w:val="24"/>
          <w:szCs w:val="24"/>
        </w:rPr>
        <w:t>Suetonius</w:t>
      </w:r>
      <w:r w:rsidR="00E3579F">
        <w:rPr>
          <w:rFonts w:ascii="Times New Roman" w:hAnsi="Times New Roman" w:cs="Times New Roman"/>
          <w:sz w:val="24"/>
          <w:szCs w:val="24"/>
        </w:rPr>
        <w:t xml:space="preserve"> clearly suggesting that Alexander</w:t>
      </w:r>
      <w:r w:rsidR="001951F3">
        <w:rPr>
          <w:rFonts w:ascii="Times New Roman" w:hAnsi="Times New Roman" w:cs="Times New Roman"/>
          <w:sz w:val="24"/>
          <w:szCs w:val="24"/>
        </w:rPr>
        <w:t xml:space="preserve"> had a deep</w:t>
      </w:r>
      <w:r w:rsidR="00325E68">
        <w:rPr>
          <w:rFonts w:ascii="Times New Roman" w:hAnsi="Times New Roman" w:cs="Times New Roman"/>
          <w:sz w:val="24"/>
          <w:szCs w:val="24"/>
        </w:rPr>
        <w:t>ly motivational</w:t>
      </w:r>
      <w:r w:rsidR="001951F3">
        <w:rPr>
          <w:rFonts w:ascii="Times New Roman" w:hAnsi="Times New Roman" w:cs="Times New Roman"/>
          <w:sz w:val="24"/>
          <w:szCs w:val="24"/>
        </w:rPr>
        <w:t xml:space="preserve"> impact on figures such as Julius Caesar.</w:t>
      </w:r>
      <w:r w:rsidR="001951F3">
        <w:rPr>
          <w:rStyle w:val="FootnoteReference"/>
          <w:rFonts w:ascii="Times New Roman" w:hAnsi="Times New Roman" w:cs="Times New Roman"/>
          <w:sz w:val="24"/>
          <w:szCs w:val="24"/>
        </w:rPr>
        <w:footnoteReference w:id="11"/>
      </w:r>
      <w:r w:rsidR="001951F3">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1951F3" w:rsidRDefault="00024205" w:rsidP="0073307D">
      <w:pPr>
        <w:spacing w:line="360" w:lineRule="auto"/>
        <w:jc w:val="both"/>
        <w:rPr>
          <w:rFonts w:ascii="Times New Roman" w:hAnsi="Times New Roman" w:cs="Times New Roman"/>
          <w:sz w:val="24"/>
          <w:szCs w:val="24"/>
        </w:rPr>
      </w:pPr>
      <w:r>
        <w:rPr>
          <w:rFonts w:ascii="Times New Roman" w:hAnsi="Times New Roman" w:cs="Times New Roman"/>
          <w:sz w:val="24"/>
          <w:szCs w:val="24"/>
        </w:rPr>
        <w:t>Seeing the arch of Galerius and the image of the combat between Galerius and Narses strongly indicated to me that the legacy and image of Alexander had continued to have a significant impact for Roman leaders in the east</w:t>
      </w:r>
      <w:r w:rsidR="00E3579F">
        <w:rPr>
          <w:rFonts w:ascii="Times New Roman" w:hAnsi="Times New Roman" w:cs="Times New Roman"/>
          <w:sz w:val="24"/>
          <w:szCs w:val="24"/>
        </w:rPr>
        <w:t xml:space="preserve"> during the 4</w:t>
      </w:r>
      <w:r w:rsidR="00E3579F" w:rsidRPr="00E3579F">
        <w:rPr>
          <w:rFonts w:ascii="Times New Roman" w:hAnsi="Times New Roman" w:cs="Times New Roman"/>
          <w:sz w:val="24"/>
          <w:szCs w:val="24"/>
          <w:vertAlign w:val="superscript"/>
        </w:rPr>
        <w:t>th</w:t>
      </w:r>
      <w:r w:rsidR="00325E68">
        <w:rPr>
          <w:rFonts w:ascii="Times New Roman" w:hAnsi="Times New Roman" w:cs="Times New Roman"/>
          <w:sz w:val="24"/>
          <w:szCs w:val="24"/>
        </w:rPr>
        <w:t xml:space="preserve"> century AD</w:t>
      </w:r>
      <w:r w:rsidR="00E3579F">
        <w:rPr>
          <w:rFonts w:ascii="Times New Roman" w:hAnsi="Times New Roman" w:cs="Times New Roman"/>
          <w:sz w:val="24"/>
          <w:szCs w:val="24"/>
        </w:rPr>
        <w:t>,</w:t>
      </w:r>
      <w:r>
        <w:rPr>
          <w:rFonts w:ascii="Times New Roman" w:hAnsi="Times New Roman" w:cs="Times New Roman"/>
          <w:sz w:val="24"/>
          <w:szCs w:val="24"/>
        </w:rPr>
        <w:t xml:space="preserve"> as Erickson has rightly shown wa</w:t>
      </w:r>
      <w:r w:rsidR="00447EDE">
        <w:rPr>
          <w:rFonts w:ascii="Times New Roman" w:hAnsi="Times New Roman" w:cs="Times New Roman"/>
          <w:sz w:val="24"/>
          <w:szCs w:val="24"/>
        </w:rPr>
        <w:t>s the case for Pompey and other members of the Roman elite</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12"/>
      </w:r>
      <w:r>
        <w:rPr>
          <w:rFonts w:ascii="Times New Roman" w:hAnsi="Times New Roman" w:cs="Times New Roman"/>
          <w:sz w:val="24"/>
          <w:szCs w:val="24"/>
        </w:rPr>
        <w:t xml:space="preserve"> The image of the combat depicted on the arch while not specifically referencing Alexander certainly bears strong resemblances to the Alexander </w:t>
      </w:r>
      <w:r w:rsidR="001244AB">
        <w:rPr>
          <w:rFonts w:ascii="Times New Roman" w:hAnsi="Times New Roman" w:cs="Times New Roman"/>
          <w:sz w:val="24"/>
          <w:szCs w:val="24"/>
        </w:rPr>
        <w:t>medallion,</w:t>
      </w:r>
      <w:r>
        <w:rPr>
          <w:rFonts w:ascii="Times New Roman" w:hAnsi="Times New Roman" w:cs="Times New Roman"/>
          <w:sz w:val="24"/>
          <w:szCs w:val="24"/>
        </w:rPr>
        <w:t xml:space="preserve"> the combat against </w:t>
      </w:r>
      <w:proofErr w:type="spellStart"/>
      <w:r>
        <w:rPr>
          <w:rFonts w:ascii="Times New Roman" w:hAnsi="Times New Roman" w:cs="Times New Roman"/>
          <w:sz w:val="24"/>
          <w:szCs w:val="24"/>
        </w:rPr>
        <w:t>Porus</w:t>
      </w:r>
      <w:proofErr w:type="spellEnd"/>
      <w:r>
        <w:rPr>
          <w:rFonts w:ascii="Times New Roman" w:hAnsi="Times New Roman" w:cs="Times New Roman"/>
          <w:sz w:val="24"/>
          <w:szCs w:val="24"/>
        </w:rPr>
        <w:t xml:space="preserve"> and the mosaic from Pompeii showing Alexander facing Darius.</w:t>
      </w:r>
      <w:r>
        <w:rPr>
          <w:rStyle w:val="FootnoteReference"/>
          <w:rFonts w:ascii="Times New Roman" w:hAnsi="Times New Roman" w:cs="Times New Roman"/>
          <w:sz w:val="24"/>
          <w:szCs w:val="24"/>
        </w:rPr>
        <w:footnoteReference w:id="13"/>
      </w:r>
      <w:r>
        <w:rPr>
          <w:rFonts w:ascii="Times New Roman" w:hAnsi="Times New Roman" w:cs="Times New Roman"/>
          <w:sz w:val="24"/>
          <w:szCs w:val="24"/>
        </w:rPr>
        <w:t xml:space="preserve"> Indeed, this latter ex</w:t>
      </w:r>
      <w:r w:rsidR="00325E68">
        <w:rPr>
          <w:rFonts w:ascii="Times New Roman" w:hAnsi="Times New Roman" w:cs="Times New Roman"/>
          <w:sz w:val="24"/>
          <w:szCs w:val="24"/>
        </w:rPr>
        <w:t>ample makes the depiction on</w:t>
      </w:r>
      <w:r>
        <w:rPr>
          <w:rFonts w:ascii="Times New Roman" w:hAnsi="Times New Roman" w:cs="Times New Roman"/>
          <w:sz w:val="24"/>
          <w:szCs w:val="24"/>
        </w:rPr>
        <w:t xml:space="preserve"> the arch even more significant since it shows Galerius facing a monarch on equal terms.</w:t>
      </w:r>
      <w:r>
        <w:rPr>
          <w:rStyle w:val="FootnoteReference"/>
          <w:rFonts w:ascii="Times New Roman" w:hAnsi="Times New Roman" w:cs="Times New Roman"/>
          <w:sz w:val="24"/>
          <w:szCs w:val="24"/>
        </w:rPr>
        <w:footnoteReference w:id="14"/>
      </w:r>
      <w:r>
        <w:rPr>
          <w:rFonts w:ascii="Times New Roman" w:hAnsi="Times New Roman" w:cs="Times New Roman"/>
          <w:sz w:val="24"/>
          <w:szCs w:val="24"/>
        </w:rPr>
        <w:t xml:space="preserve"> This is somewhat </w:t>
      </w:r>
      <w:r w:rsidR="00A20F88">
        <w:rPr>
          <w:rFonts w:ascii="Times New Roman" w:hAnsi="Times New Roman" w:cs="Times New Roman"/>
          <w:sz w:val="24"/>
          <w:szCs w:val="24"/>
        </w:rPr>
        <w:t>different to the image of Darius on the</w:t>
      </w:r>
      <w:r w:rsidR="00325E68">
        <w:rPr>
          <w:rFonts w:ascii="Times New Roman" w:hAnsi="Times New Roman" w:cs="Times New Roman"/>
          <w:sz w:val="24"/>
          <w:szCs w:val="24"/>
        </w:rPr>
        <w:t xml:space="preserve"> Pompeii</w:t>
      </w:r>
      <w:r w:rsidR="00A20F88">
        <w:rPr>
          <w:rFonts w:ascii="Times New Roman" w:hAnsi="Times New Roman" w:cs="Times New Roman"/>
          <w:sz w:val="24"/>
          <w:szCs w:val="24"/>
        </w:rPr>
        <w:t xml:space="preserve"> mosaic which places the two kings greatly at odds as Darius attempts to flee rather than face Alexander.</w:t>
      </w:r>
      <w:r w:rsidR="00A20F88">
        <w:rPr>
          <w:rStyle w:val="FootnoteReference"/>
          <w:rFonts w:ascii="Times New Roman" w:hAnsi="Times New Roman" w:cs="Times New Roman"/>
          <w:sz w:val="24"/>
          <w:szCs w:val="24"/>
        </w:rPr>
        <w:footnoteReference w:id="15"/>
      </w:r>
      <w:r w:rsidR="00A20F88">
        <w:rPr>
          <w:rFonts w:ascii="Times New Roman" w:hAnsi="Times New Roman" w:cs="Times New Roman"/>
          <w:sz w:val="24"/>
          <w:szCs w:val="24"/>
        </w:rPr>
        <w:t xml:space="preserve"> Therefore, the arch of Galerius seems to be placing the person of Galerius on par or even above</w:t>
      </w:r>
      <w:r w:rsidR="001244AB">
        <w:rPr>
          <w:rFonts w:ascii="Times New Roman" w:hAnsi="Times New Roman" w:cs="Times New Roman"/>
          <w:sz w:val="24"/>
          <w:szCs w:val="24"/>
        </w:rPr>
        <w:t xml:space="preserve"> that of</w:t>
      </w:r>
      <w:r w:rsidR="00A20F88">
        <w:rPr>
          <w:rFonts w:ascii="Times New Roman" w:hAnsi="Times New Roman" w:cs="Times New Roman"/>
          <w:sz w:val="24"/>
          <w:szCs w:val="24"/>
        </w:rPr>
        <w:t xml:space="preserve"> </w:t>
      </w:r>
      <w:r w:rsidR="00A20F88">
        <w:rPr>
          <w:rFonts w:ascii="Times New Roman" w:hAnsi="Times New Roman" w:cs="Times New Roman"/>
          <w:sz w:val="24"/>
          <w:szCs w:val="24"/>
        </w:rPr>
        <w:lastRenderedPageBreak/>
        <w:t>Alexander. This attempt to exceed his actions seems to have been another common feature of the Roman attitude towards Alexander.</w:t>
      </w:r>
      <w:r w:rsidR="00A20F88">
        <w:rPr>
          <w:rStyle w:val="FootnoteReference"/>
          <w:rFonts w:ascii="Times New Roman" w:hAnsi="Times New Roman" w:cs="Times New Roman"/>
          <w:sz w:val="24"/>
          <w:szCs w:val="24"/>
        </w:rPr>
        <w:footnoteReference w:id="16"/>
      </w:r>
      <w:r w:rsidR="00A20F88">
        <w:rPr>
          <w:rFonts w:ascii="Times New Roman" w:hAnsi="Times New Roman" w:cs="Times New Roman"/>
          <w:sz w:val="24"/>
          <w:szCs w:val="24"/>
        </w:rPr>
        <w:t xml:space="preserve"> </w:t>
      </w:r>
    </w:p>
    <w:p w:rsidR="00C62E2B" w:rsidRDefault="00233F25" w:rsidP="0073307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Visiting the arch of Galerius in Thessaloniki has helped me develop a far greater understanding of such monuments of the imperial period. </w:t>
      </w:r>
      <w:r w:rsidR="002415E4">
        <w:rPr>
          <w:rFonts w:ascii="Times New Roman" w:hAnsi="Times New Roman" w:cs="Times New Roman"/>
          <w:sz w:val="24"/>
          <w:szCs w:val="24"/>
        </w:rPr>
        <w:t xml:space="preserve">It has helped me appreciate that despite slightly misleading readings of modern scholarship successful warfare and battle was still a significant and present feature </w:t>
      </w:r>
      <w:r w:rsidR="00C62E2B">
        <w:rPr>
          <w:rFonts w:ascii="Times New Roman" w:hAnsi="Times New Roman" w:cs="Times New Roman"/>
          <w:sz w:val="24"/>
          <w:szCs w:val="24"/>
        </w:rPr>
        <w:t>of Roman government during the 4</w:t>
      </w:r>
      <w:r w:rsidR="00C62E2B" w:rsidRPr="00C62E2B">
        <w:rPr>
          <w:rFonts w:ascii="Times New Roman" w:hAnsi="Times New Roman" w:cs="Times New Roman"/>
          <w:sz w:val="24"/>
          <w:szCs w:val="24"/>
          <w:vertAlign w:val="superscript"/>
        </w:rPr>
        <w:t>th</w:t>
      </w:r>
      <w:r w:rsidR="002415E4">
        <w:rPr>
          <w:rFonts w:ascii="Times New Roman" w:hAnsi="Times New Roman" w:cs="Times New Roman"/>
          <w:sz w:val="24"/>
          <w:szCs w:val="24"/>
        </w:rPr>
        <w:t xml:space="preserve"> century AD. It has also helped me appreciate the intricate complexity of the ‘propagandistic’ imagery of monuments such as the arch of Galerius which rather than simply utilising generic images of triumph and victory may also use more subtle and detailed influences from the historiographic past of the region in which it was placed</w:t>
      </w:r>
      <w:r w:rsidR="00376F9B">
        <w:rPr>
          <w:rFonts w:ascii="Times New Roman" w:hAnsi="Times New Roman" w:cs="Times New Roman"/>
          <w:sz w:val="24"/>
          <w:szCs w:val="24"/>
        </w:rPr>
        <w:t>,</w:t>
      </w:r>
      <w:r w:rsidR="002415E4">
        <w:rPr>
          <w:rFonts w:ascii="Times New Roman" w:hAnsi="Times New Roman" w:cs="Times New Roman"/>
          <w:sz w:val="24"/>
          <w:szCs w:val="24"/>
        </w:rPr>
        <w:t xml:space="preserve"> in this case, the figure of Alexander.</w:t>
      </w:r>
    </w:p>
    <w:p w:rsidR="00C62E2B" w:rsidRDefault="00C62E2B">
      <w:pPr>
        <w:rPr>
          <w:rFonts w:ascii="Times New Roman" w:hAnsi="Times New Roman" w:cs="Times New Roman"/>
          <w:sz w:val="24"/>
          <w:szCs w:val="24"/>
        </w:rPr>
      </w:pPr>
      <w:r>
        <w:rPr>
          <w:rFonts w:ascii="Times New Roman" w:hAnsi="Times New Roman" w:cs="Times New Roman"/>
          <w:sz w:val="24"/>
          <w:szCs w:val="24"/>
        </w:rPr>
        <w:br w:type="page"/>
      </w:r>
    </w:p>
    <w:p w:rsidR="00233F25" w:rsidRDefault="00C62E2B" w:rsidP="0073307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Bibliography </w:t>
      </w:r>
    </w:p>
    <w:p w:rsidR="00C62E2B" w:rsidRDefault="00C62E2B" w:rsidP="0073307D">
      <w:pPr>
        <w:spacing w:line="360" w:lineRule="auto"/>
        <w:jc w:val="both"/>
        <w:rPr>
          <w:rFonts w:ascii="Times New Roman" w:hAnsi="Times New Roman" w:cs="Times New Roman"/>
          <w:sz w:val="24"/>
          <w:szCs w:val="24"/>
        </w:rPr>
      </w:pPr>
      <w:r>
        <w:rPr>
          <w:rFonts w:ascii="Times New Roman" w:hAnsi="Times New Roman" w:cs="Times New Roman"/>
          <w:sz w:val="24"/>
          <w:szCs w:val="24"/>
        </w:rPr>
        <w:t>Ancient Sources</w:t>
      </w:r>
    </w:p>
    <w:p w:rsidR="00C62E2B" w:rsidRDefault="00C62E2B" w:rsidP="0073307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Ammianus Marcellinus, </w:t>
      </w:r>
      <w:r>
        <w:rPr>
          <w:rFonts w:ascii="Times New Roman" w:hAnsi="Times New Roman" w:cs="Times New Roman"/>
          <w:i/>
          <w:sz w:val="24"/>
          <w:szCs w:val="24"/>
        </w:rPr>
        <w:t>Res Gestae</w:t>
      </w:r>
      <w:r>
        <w:rPr>
          <w:rFonts w:ascii="Times New Roman" w:hAnsi="Times New Roman" w:cs="Times New Roman"/>
          <w:sz w:val="24"/>
          <w:szCs w:val="24"/>
        </w:rPr>
        <w:t xml:space="preserve"> 1982. Rolfe, C. J (trans). Cambridge Mass: Harvard University Press. </w:t>
      </w:r>
    </w:p>
    <w:p w:rsidR="00C62E2B" w:rsidRDefault="00C62E2B" w:rsidP="0073307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Suetonius, </w:t>
      </w:r>
      <w:r>
        <w:rPr>
          <w:rFonts w:ascii="Times New Roman" w:hAnsi="Times New Roman" w:cs="Times New Roman"/>
          <w:i/>
          <w:sz w:val="24"/>
          <w:szCs w:val="24"/>
        </w:rPr>
        <w:t>The Twelve Caesars</w:t>
      </w:r>
      <w:r w:rsidR="005A51A6">
        <w:rPr>
          <w:rFonts w:ascii="Times New Roman" w:hAnsi="Times New Roman" w:cs="Times New Roman"/>
          <w:i/>
          <w:sz w:val="24"/>
          <w:szCs w:val="24"/>
        </w:rPr>
        <w:t xml:space="preserve"> </w:t>
      </w:r>
      <w:r w:rsidR="005A51A6">
        <w:rPr>
          <w:rFonts w:ascii="Times New Roman" w:hAnsi="Times New Roman" w:cs="Times New Roman"/>
          <w:sz w:val="24"/>
          <w:szCs w:val="24"/>
        </w:rPr>
        <w:t>2007</w:t>
      </w:r>
      <w:r>
        <w:rPr>
          <w:rFonts w:ascii="Times New Roman" w:hAnsi="Times New Roman" w:cs="Times New Roman"/>
          <w:sz w:val="24"/>
          <w:szCs w:val="24"/>
        </w:rPr>
        <w:t xml:space="preserve">. </w:t>
      </w:r>
      <w:r w:rsidR="005A51A6">
        <w:rPr>
          <w:rFonts w:ascii="Times New Roman" w:hAnsi="Times New Roman" w:cs="Times New Roman"/>
          <w:sz w:val="24"/>
          <w:szCs w:val="24"/>
        </w:rPr>
        <w:t xml:space="preserve">Graves, R (trans). London: Penguin Group. </w:t>
      </w:r>
    </w:p>
    <w:p w:rsidR="00A17E66" w:rsidRDefault="00A17E66" w:rsidP="0073307D">
      <w:pPr>
        <w:spacing w:line="360" w:lineRule="auto"/>
        <w:jc w:val="both"/>
        <w:rPr>
          <w:rFonts w:ascii="Times New Roman" w:hAnsi="Times New Roman" w:cs="Times New Roman"/>
          <w:sz w:val="24"/>
          <w:szCs w:val="24"/>
        </w:rPr>
      </w:pPr>
    </w:p>
    <w:p w:rsidR="005A51A6" w:rsidRDefault="005A51A6" w:rsidP="0073307D">
      <w:pPr>
        <w:spacing w:line="360" w:lineRule="auto"/>
        <w:jc w:val="both"/>
        <w:rPr>
          <w:rFonts w:ascii="Times New Roman" w:hAnsi="Times New Roman" w:cs="Times New Roman"/>
          <w:sz w:val="24"/>
          <w:szCs w:val="24"/>
        </w:rPr>
      </w:pPr>
      <w:r>
        <w:rPr>
          <w:rFonts w:ascii="Times New Roman" w:hAnsi="Times New Roman" w:cs="Times New Roman"/>
          <w:sz w:val="24"/>
          <w:szCs w:val="24"/>
        </w:rPr>
        <w:t>Modern Scholarship</w:t>
      </w:r>
    </w:p>
    <w:p w:rsidR="005A51A6" w:rsidRDefault="005A51A6" w:rsidP="001964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Berthold, H 2006. ‘Trajan’s Column.’ </w:t>
      </w:r>
      <w:r>
        <w:rPr>
          <w:rFonts w:ascii="Times New Roman" w:hAnsi="Times New Roman" w:cs="Times New Roman"/>
          <w:sz w:val="24"/>
          <w:szCs w:val="24"/>
        </w:rPr>
        <w:t xml:space="preserve">In </w:t>
      </w:r>
      <w:proofErr w:type="spellStart"/>
      <w:r>
        <w:rPr>
          <w:rFonts w:ascii="Times New Roman" w:hAnsi="Times New Roman" w:cs="Times New Roman"/>
          <w:sz w:val="24"/>
          <w:szCs w:val="24"/>
        </w:rPr>
        <w:t>Cancik</w:t>
      </w:r>
      <w:proofErr w:type="spellEnd"/>
      <w:r>
        <w:rPr>
          <w:rFonts w:ascii="Times New Roman" w:hAnsi="Times New Roman" w:cs="Times New Roman"/>
          <w:sz w:val="24"/>
          <w:szCs w:val="24"/>
        </w:rPr>
        <w:t xml:space="preserve">, H and Schneider, H (eds.) </w:t>
      </w:r>
      <w:r>
        <w:rPr>
          <w:rFonts w:ascii="Times New Roman" w:hAnsi="Times New Roman" w:cs="Times New Roman"/>
          <w:i/>
          <w:sz w:val="24"/>
          <w:szCs w:val="24"/>
        </w:rPr>
        <w:t xml:space="preserve">Brill’s New </w:t>
      </w:r>
      <w:proofErr w:type="spellStart"/>
      <w:r>
        <w:rPr>
          <w:rFonts w:ascii="Times New Roman" w:hAnsi="Times New Roman" w:cs="Times New Roman"/>
          <w:i/>
          <w:sz w:val="24"/>
          <w:szCs w:val="24"/>
        </w:rPr>
        <w:t>Pauly</w:t>
      </w:r>
      <w:proofErr w:type="spellEnd"/>
      <w:r>
        <w:rPr>
          <w:rFonts w:ascii="Times New Roman" w:hAnsi="Times New Roman" w:cs="Times New Roman"/>
          <w:i/>
          <w:sz w:val="24"/>
          <w:szCs w:val="24"/>
        </w:rPr>
        <w:t xml:space="preserve"> Antiquity Volumes</w:t>
      </w:r>
      <w:r>
        <w:rPr>
          <w:rFonts w:ascii="Times New Roman" w:hAnsi="Times New Roman" w:cs="Times New Roman"/>
          <w:sz w:val="24"/>
          <w:szCs w:val="24"/>
        </w:rPr>
        <w:t xml:space="preserve">. </w:t>
      </w:r>
      <w:hyperlink r:id="rId7" w:history="1">
        <w:r w:rsidRPr="000175F8">
          <w:rPr>
            <w:rStyle w:val="Hyperlink"/>
            <w:rFonts w:ascii="Times New Roman" w:hAnsi="Times New Roman" w:cs="Times New Roman"/>
            <w:sz w:val="24"/>
            <w:szCs w:val="24"/>
          </w:rPr>
          <w:t>http://referenceworks.brillonline.com.ezproxy.uwtsd.ac.uk/entries/brill-s-new-pauly/trajans-column-ct-e15305100?s.num=1&amp;s.f.s2_parent=s.f.book.brill-s-new-pauly&amp;s.q=Trajan%27s+Column+#e15305110</w:t>
        </w:r>
      </w:hyperlink>
      <w:r>
        <w:rPr>
          <w:rFonts w:ascii="Times New Roman" w:hAnsi="Times New Roman" w:cs="Times New Roman"/>
          <w:sz w:val="24"/>
          <w:szCs w:val="24"/>
        </w:rPr>
        <w:t xml:space="preserve"> (Accessed 24/04/18) </w:t>
      </w:r>
    </w:p>
    <w:p w:rsidR="005A51A6" w:rsidRDefault="005A51A6" w:rsidP="001964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Cohen, A 1997. </w:t>
      </w:r>
      <w:r>
        <w:rPr>
          <w:rFonts w:ascii="Times New Roman" w:hAnsi="Times New Roman" w:cs="Times New Roman"/>
          <w:i/>
          <w:sz w:val="24"/>
          <w:szCs w:val="24"/>
        </w:rPr>
        <w:t>The Alexander Mosaic Stories of Victory and Defeat</w:t>
      </w:r>
      <w:r>
        <w:rPr>
          <w:rFonts w:ascii="Times New Roman" w:hAnsi="Times New Roman" w:cs="Times New Roman"/>
          <w:sz w:val="24"/>
          <w:szCs w:val="24"/>
        </w:rPr>
        <w:t xml:space="preserve">. Cambridge: Cambridge University Press. </w:t>
      </w:r>
    </w:p>
    <w:p w:rsidR="005A51A6" w:rsidRDefault="005A51A6" w:rsidP="0073307D">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Drijvers</w:t>
      </w:r>
      <w:proofErr w:type="spellEnd"/>
      <w:r>
        <w:rPr>
          <w:rFonts w:ascii="Times New Roman" w:hAnsi="Times New Roman" w:cs="Times New Roman"/>
          <w:sz w:val="24"/>
          <w:szCs w:val="24"/>
        </w:rPr>
        <w:t xml:space="preserve">, J. W 2010. ‘Rome and the Sassanid Empire: Confrontation and Coexistence.’ In Rousseau, P (ed.) </w:t>
      </w:r>
      <w:r>
        <w:rPr>
          <w:rFonts w:ascii="Times New Roman" w:hAnsi="Times New Roman" w:cs="Times New Roman"/>
          <w:i/>
          <w:sz w:val="24"/>
          <w:szCs w:val="24"/>
        </w:rPr>
        <w:t>A Companion to Late Antiquity</w:t>
      </w:r>
      <w:r>
        <w:rPr>
          <w:rFonts w:ascii="Times New Roman" w:hAnsi="Times New Roman" w:cs="Times New Roman"/>
          <w:sz w:val="24"/>
          <w:szCs w:val="24"/>
        </w:rPr>
        <w:t xml:space="preserve">. Oxford: </w:t>
      </w:r>
      <w:proofErr w:type="spellStart"/>
      <w:r>
        <w:rPr>
          <w:rFonts w:ascii="Times New Roman" w:hAnsi="Times New Roman" w:cs="Times New Roman"/>
          <w:sz w:val="24"/>
          <w:szCs w:val="24"/>
        </w:rPr>
        <w:t>Weily</w:t>
      </w:r>
      <w:proofErr w:type="spellEnd"/>
      <w:r>
        <w:rPr>
          <w:rFonts w:ascii="Times New Roman" w:hAnsi="Times New Roman" w:cs="Times New Roman"/>
          <w:sz w:val="24"/>
          <w:szCs w:val="24"/>
        </w:rPr>
        <w:t xml:space="preserve">-Blackwell. 441-454. </w:t>
      </w:r>
    </w:p>
    <w:p w:rsidR="005A51A6" w:rsidRDefault="005A51A6" w:rsidP="0019645F">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Erickson, K 2018. ‘</w:t>
      </w:r>
      <w:r w:rsidRPr="00223A44">
        <w:rPr>
          <w:rFonts w:ascii="Times New Roman" w:hAnsi="Times New Roman" w:cs="Times New Roman"/>
          <w:sz w:val="24"/>
          <w:szCs w:val="24"/>
          <w:shd w:val="clear" w:color="auto" w:fill="FFFFFF"/>
        </w:rPr>
        <w:t>Sons of Heracles: Antony and</w:t>
      </w:r>
      <w:r>
        <w:rPr>
          <w:rFonts w:ascii="Times New Roman" w:hAnsi="Times New Roman" w:cs="Times New Roman"/>
          <w:sz w:val="24"/>
          <w:szCs w:val="24"/>
          <w:shd w:val="clear" w:color="auto" w:fill="FFFFFF"/>
        </w:rPr>
        <w:t xml:space="preserve"> Alexander in the Late Republic.’ In K. Moore (ed.)</w:t>
      </w:r>
      <w:r w:rsidRPr="00223A44">
        <w:rPr>
          <w:rFonts w:ascii="Times New Roman" w:hAnsi="Times New Roman" w:cs="Times New Roman"/>
          <w:sz w:val="24"/>
          <w:szCs w:val="24"/>
          <w:shd w:val="clear" w:color="auto" w:fill="FFFFFF"/>
        </w:rPr>
        <w:t> </w:t>
      </w:r>
      <w:r w:rsidRPr="00223A44">
        <w:rPr>
          <w:rFonts w:ascii="Times New Roman" w:hAnsi="Times New Roman" w:cs="Times New Roman"/>
          <w:i/>
          <w:iCs/>
          <w:sz w:val="24"/>
          <w:szCs w:val="24"/>
          <w:shd w:val="clear" w:color="auto" w:fill="FFFFFF"/>
        </w:rPr>
        <w:t>Brill's Companion to the Reception of Alexander the Great</w:t>
      </w:r>
      <w:r>
        <w:rPr>
          <w:rFonts w:ascii="Times New Roman" w:hAnsi="Times New Roman" w:cs="Times New Roman"/>
          <w:sz w:val="24"/>
          <w:szCs w:val="24"/>
          <w:shd w:val="clear" w:color="auto" w:fill="FFFFFF"/>
        </w:rPr>
        <w:t>. 253-273.</w:t>
      </w:r>
    </w:p>
    <w:p w:rsidR="005A51A6" w:rsidRDefault="005A51A6" w:rsidP="0073307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Errington, R 2006. ‘Thessalonica.’ In </w:t>
      </w:r>
      <w:proofErr w:type="spellStart"/>
      <w:r>
        <w:rPr>
          <w:rFonts w:ascii="Times New Roman" w:hAnsi="Times New Roman" w:cs="Times New Roman"/>
          <w:sz w:val="24"/>
          <w:szCs w:val="24"/>
        </w:rPr>
        <w:t>Cancik</w:t>
      </w:r>
      <w:proofErr w:type="spellEnd"/>
      <w:r>
        <w:rPr>
          <w:rFonts w:ascii="Times New Roman" w:hAnsi="Times New Roman" w:cs="Times New Roman"/>
          <w:sz w:val="24"/>
          <w:szCs w:val="24"/>
        </w:rPr>
        <w:t xml:space="preserve">, H and Schneider, H (eds.) </w:t>
      </w:r>
      <w:r>
        <w:rPr>
          <w:rFonts w:ascii="Times New Roman" w:hAnsi="Times New Roman" w:cs="Times New Roman"/>
          <w:i/>
          <w:sz w:val="24"/>
          <w:szCs w:val="24"/>
        </w:rPr>
        <w:t xml:space="preserve">Brill’s New </w:t>
      </w:r>
      <w:proofErr w:type="spellStart"/>
      <w:r>
        <w:rPr>
          <w:rFonts w:ascii="Times New Roman" w:hAnsi="Times New Roman" w:cs="Times New Roman"/>
          <w:i/>
          <w:sz w:val="24"/>
          <w:szCs w:val="24"/>
        </w:rPr>
        <w:t>Pauly</w:t>
      </w:r>
      <w:proofErr w:type="spellEnd"/>
      <w:r>
        <w:rPr>
          <w:rFonts w:ascii="Times New Roman" w:hAnsi="Times New Roman" w:cs="Times New Roman"/>
          <w:i/>
          <w:sz w:val="24"/>
          <w:szCs w:val="24"/>
        </w:rPr>
        <w:t xml:space="preserve"> Antiquity Volumes</w:t>
      </w:r>
      <w:r>
        <w:rPr>
          <w:rFonts w:ascii="Times New Roman" w:hAnsi="Times New Roman" w:cs="Times New Roman"/>
          <w:sz w:val="24"/>
          <w:szCs w:val="24"/>
        </w:rPr>
        <w:t xml:space="preserve">. </w:t>
      </w:r>
    </w:p>
    <w:p w:rsidR="005A51A6" w:rsidRDefault="005A51A6" w:rsidP="001964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Gibbon, E 1901. </w:t>
      </w:r>
      <w:r>
        <w:rPr>
          <w:rFonts w:ascii="Times New Roman" w:hAnsi="Times New Roman" w:cs="Times New Roman"/>
          <w:i/>
          <w:sz w:val="24"/>
          <w:szCs w:val="24"/>
        </w:rPr>
        <w:t>The History of the Decline and Fall of the Roman Empire</w:t>
      </w:r>
      <w:r>
        <w:rPr>
          <w:rFonts w:ascii="Times New Roman" w:hAnsi="Times New Roman" w:cs="Times New Roman"/>
          <w:sz w:val="24"/>
          <w:szCs w:val="24"/>
        </w:rPr>
        <w:t xml:space="preserve"> </w:t>
      </w:r>
      <w:r>
        <w:rPr>
          <w:rFonts w:ascii="Times New Roman" w:hAnsi="Times New Roman" w:cs="Times New Roman"/>
          <w:i/>
          <w:sz w:val="24"/>
          <w:szCs w:val="24"/>
        </w:rPr>
        <w:t>Volume III</w:t>
      </w:r>
      <w:r>
        <w:rPr>
          <w:rFonts w:ascii="Times New Roman" w:hAnsi="Times New Roman" w:cs="Times New Roman"/>
          <w:sz w:val="24"/>
          <w:szCs w:val="24"/>
        </w:rPr>
        <w:t xml:space="preserve">. London: Methuen &amp; Co. </w:t>
      </w:r>
    </w:p>
    <w:p w:rsidR="005A51A6" w:rsidRDefault="005A51A6" w:rsidP="0019645F">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Holt, F 2003</w:t>
      </w:r>
      <w:r w:rsidRPr="00255E4D">
        <w:rPr>
          <w:rFonts w:ascii="Times New Roman" w:hAnsi="Times New Roman" w:cs="Times New Roman"/>
          <w:color w:val="000000"/>
          <w:sz w:val="24"/>
          <w:szCs w:val="24"/>
          <w:shd w:val="clear" w:color="auto" w:fill="FFFFFF"/>
        </w:rPr>
        <w:t>. </w:t>
      </w:r>
      <w:r w:rsidRPr="00255E4D">
        <w:rPr>
          <w:rFonts w:ascii="Times New Roman" w:hAnsi="Times New Roman" w:cs="Times New Roman"/>
          <w:i/>
          <w:iCs/>
          <w:color w:val="000000"/>
          <w:sz w:val="24"/>
          <w:szCs w:val="24"/>
          <w:bdr w:val="none" w:sz="0" w:space="0" w:color="auto" w:frame="1"/>
          <w:shd w:val="clear" w:color="auto" w:fill="FFFFFF"/>
        </w:rPr>
        <w:t xml:space="preserve">Alexander the Great and the mystery of the elephant </w:t>
      </w:r>
      <w:r w:rsidRPr="00255E4D">
        <w:rPr>
          <w:rFonts w:ascii="Times New Roman" w:hAnsi="Times New Roman" w:cs="Times New Roman"/>
          <w:i/>
          <w:iCs/>
          <w:color w:val="000000"/>
          <w:sz w:val="24"/>
          <w:szCs w:val="24"/>
          <w:bdr w:val="none" w:sz="0" w:space="0" w:color="auto" w:frame="1"/>
          <w:shd w:val="clear" w:color="auto" w:fill="FFFFFF"/>
        </w:rPr>
        <w:t>medallions</w:t>
      </w:r>
      <w:r>
        <w:rPr>
          <w:rFonts w:ascii="Times New Roman" w:hAnsi="Times New Roman" w:cs="Times New Roman"/>
          <w:color w:val="000000"/>
          <w:sz w:val="24"/>
          <w:szCs w:val="24"/>
          <w:shd w:val="clear" w:color="auto" w:fill="FFFFFF"/>
        </w:rPr>
        <w:t>. Berkeley</w:t>
      </w:r>
      <w:r w:rsidRPr="00255E4D">
        <w:rPr>
          <w:rFonts w:ascii="Times New Roman" w:hAnsi="Times New Roman" w:cs="Times New Roman"/>
          <w:color w:val="000000"/>
          <w:sz w:val="24"/>
          <w:szCs w:val="24"/>
          <w:shd w:val="clear" w:color="auto" w:fill="FFFFFF"/>
        </w:rPr>
        <w:t>: University of California Press.</w:t>
      </w:r>
    </w:p>
    <w:p w:rsidR="005A51A6" w:rsidRDefault="005A51A6" w:rsidP="0073307D">
      <w:pPr>
        <w:spacing w:line="360" w:lineRule="auto"/>
        <w:jc w:val="both"/>
        <w:rPr>
          <w:rFonts w:ascii="Times New Roman" w:hAnsi="Times New Roman" w:cs="Times New Roman"/>
          <w:sz w:val="24"/>
          <w:szCs w:val="24"/>
        </w:rPr>
      </w:pPr>
      <w:hyperlink r:id="rId8" w:history="1">
        <w:r w:rsidRPr="000175F8">
          <w:rPr>
            <w:rStyle w:val="Hyperlink"/>
            <w:rFonts w:ascii="Times New Roman" w:hAnsi="Times New Roman" w:cs="Times New Roman"/>
            <w:sz w:val="24"/>
            <w:szCs w:val="24"/>
          </w:rPr>
          <w:t>http://referenceworks.brillonline.com.ezproxy.uwtsd.ac.uk/entries/brill-s-new-pauly/thessalonica-e1210990?s.num=0&amp;s.q=Thessalonica</w:t>
        </w:r>
      </w:hyperlink>
      <w:r>
        <w:rPr>
          <w:rFonts w:ascii="Times New Roman" w:hAnsi="Times New Roman" w:cs="Times New Roman"/>
          <w:sz w:val="24"/>
          <w:szCs w:val="24"/>
        </w:rPr>
        <w:t xml:space="preserve"> (Accessed 24/04/18) </w:t>
      </w:r>
    </w:p>
    <w:p w:rsidR="005A51A6" w:rsidRDefault="005A51A6" w:rsidP="0073307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Huckster, O 2008. ‘The Roman Army and Propaganda.’ In </w:t>
      </w:r>
      <w:proofErr w:type="spellStart"/>
      <w:r>
        <w:rPr>
          <w:rFonts w:ascii="Times New Roman" w:hAnsi="Times New Roman" w:cs="Times New Roman"/>
          <w:sz w:val="24"/>
          <w:szCs w:val="24"/>
        </w:rPr>
        <w:t>Erdkamp</w:t>
      </w:r>
      <w:proofErr w:type="spellEnd"/>
      <w:r>
        <w:rPr>
          <w:rFonts w:ascii="Times New Roman" w:hAnsi="Times New Roman" w:cs="Times New Roman"/>
          <w:sz w:val="24"/>
          <w:szCs w:val="24"/>
        </w:rPr>
        <w:t xml:space="preserve">, P (ed.) </w:t>
      </w:r>
      <w:r>
        <w:rPr>
          <w:rFonts w:ascii="Times New Roman" w:hAnsi="Times New Roman" w:cs="Times New Roman"/>
          <w:i/>
          <w:sz w:val="24"/>
          <w:szCs w:val="24"/>
        </w:rPr>
        <w:t>A Companion to the Roman Army</w:t>
      </w:r>
      <w:r>
        <w:rPr>
          <w:rFonts w:ascii="Times New Roman" w:hAnsi="Times New Roman" w:cs="Times New Roman"/>
          <w:sz w:val="24"/>
          <w:szCs w:val="24"/>
        </w:rPr>
        <w:t xml:space="preserve">. Oxford: </w:t>
      </w:r>
      <w:proofErr w:type="spellStart"/>
      <w:r>
        <w:rPr>
          <w:rFonts w:ascii="Times New Roman" w:hAnsi="Times New Roman" w:cs="Times New Roman"/>
          <w:sz w:val="24"/>
          <w:szCs w:val="24"/>
        </w:rPr>
        <w:t>Weily</w:t>
      </w:r>
      <w:proofErr w:type="spellEnd"/>
      <w:r>
        <w:rPr>
          <w:rFonts w:ascii="Times New Roman" w:hAnsi="Times New Roman" w:cs="Times New Roman"/>
          <w:sz w:val="24"/>
          <w:szCs w:val="24"/>
        </w:rPr>
        <w:t xml:space="preserve">-Blackwell. </w:t>
      </w:r>
      <w:r>
        <w:rPr>
          <w:rFonts w:ascii="Times New Roman" w:hAnsi="Times New Roman" w:cs="Times New Roman"/>
          <w:b/>
          <w:sz w:val="24"/>
          <w:szCs w:val="24"/>
        </w:rPr>
        <w:t>Pages</w:t>
      </w:r>
    </w:p>
    <w:p w:rsidR="005A51A6" w:rsidRDefault="005A51A6" w:rsidP="0019645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Matthews, J 1997. ‘Gibbon and the later Roman Empire: causes and circumstances.’ In </w:t>
      </w:r>
      <w:proofErr w:type="spellStart"/>
      <w:r>
        <w:rPr>
          <w:rFonts w:ascii="Times New Roman" w:hAnsi="Times New Roman" w:cs="Times New Roman"/>
          <w:sz w:val="24"/>
          <w:szCs w:val="24"/>
        </w:rPr>
        <w:t>Mckitterick</w:t>
      </w:r>
      <w:proofErr w:type="spellEnd"/>
      <w:r>
        <w:rPr>
          <w:rFonts w:ascii="Times New Roman" w:hAnsi="Times New Roman" w:cs="Times New Roman"/>
          <w:sz w:val="24"/>
          <w:szCs w:val="24"/>
        </w:rPr>
        <w:t xml:space="preserve">, R and </w:t>
      </w:r>
      <w:proofErr w:type="spellStart"/>
      <w:r>
        <w:rPr>
          <w:rFonts w:ascii="Times New Roman" w:hAnsi="Times New Roman" w:cs="Times New Roman"/>
          <w:sz w:val="24"/>
          <w:szCs w:val="24"/>
        </w:rPr>
        <w:t>Quianult</w:t>
      </w:r>
      <w:proofErr w:type="spellEnd"/>
      <w:r>
        <w:rPr>
          <w:rFonts w:ascii="Times New Roman" w:hAnsi="Times New Roman" w:cs="Times New Roman"/>
          <w:sz w:val="24"/>
          <w:szCs w:val="24"/>
        </w:rPr>
        <w:t xml:space="preserve">, R (eds.) </w:t>
      </w:r>
      <w:r>
        <w:rPr>
          <w:rFonts w:ascii="Times New Roman" w:hAnsi="Times New Roman" w:cs="Times New Roman"/>
          <w:i/>
          <w:sz w:val="24"/>
          <w:szCs w:val="24"/>
        </w:rPr>
        <w:t>Edward Gibbon and the Empire</w:t>
      </w:r>
      <w:r>
        <w:rPr>
          <w:rFonts w:ascii="Times New Roman" w:hAnsi="Times New Roman" w:cs="Times New Roman"/>
          <w:sz w:val="24"/>
          <w:szCs w:val="24"/>
        </w:rPr>
        <w:t xml:space="preserve">. Cambridge: Cambridge University Press. 12-33. </w:t>
      </w:r>
    </w:p>
    <w:p w:rsidR="005A51A6" w:rsidRPr="00223A44" w:rsidRDefault="005A51A6" w:rsidP="0019645F">
      <w:pPr>
        <w:spacing w:line="36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Pond Rothman, S. M 1977. ‘The Thematic Organisation of the Panel Reliefs on the Arch of Galerius.’ </w:t>
      </w:r>
      <w:r>
        <w:rPr>
          <w:rFonts w:ascii="Times New Roman" w:hAnsi="Times New Roman" w:cs="Times New Roman"/>
          <w:i/>
          <w:sz w:val="24"/>
          <w:szCs w:val="24"/>
          <w:shd w:val="clear" w:color="auto" w:fill="FFFFFF"/>
        </w:rPr>
        <w:t>American Journal of Archaeology</w:t>
      </w:r>
      <w:r>
        <w:rPr>
          <w:rFonts w:ascii="Times New Roman" w:hAnsi="Times New Roman" w:cs="Times New Roman"/>
          <w:sz w:val="24"/>
          <w:szCs w:val="24"/>
          <w:shd w:val="clear" w:color="auto" w:fill="FFFFFF"/>
        </w:rPr>
        <w:t xml:space="preserve">. Vol 81. 427-454. </w:t>
      </w:r>
    </w:p>
    <w:p w:rsidR="005A51A6" w:rsidRDefault="005A51A6" w:rsidP="0073307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Potter, D 2009. </w:t>
      </w:r>
      <w:r>
        <w:rPr>
          <w:rFonts w:ascii="Times New Roman" w:hAnsi="Times New Roman" w:cs="Times New Roman"/>
          <w:i/>
          <w:sz w:val="24"/>
          <w:szCs w:val="24"/>
        </w:rPr>
        <w:t>Rome in the Ancient World from Romulus to Justinian</w:t>
      </w:r>
      <w:r>
        <w:rPr>
          <w:rFonts w:ascii="Times New Roman" w:hAnsi="Times New Roman" w:cs="Times New Roman"/>
          <w:sz w:val="24"/>
          <w:szCs w:val="24"/>
        </w:rPr>
        <w:t xml:space="preserve">. London: Thames and Hudson. </w:t>
      </w:r>
    </w:p>
    <w:p w:rsidR="00A17E66" w:rsidRDefault="00A17E66" w:rsidP="0073307D">
      <w:pPr>
        <w:spacing w:line="360" w:lineRule="auto"/>
        <w:jc w:val="both"/>
        <w:rPr>
          <w:rFonts w:ascii="Times New Roman" w:hAnsi="Times New Roman" w:cs="Times New Roman"/>
          <w:sz w:val="24"/>
          <w:szCs w:val="24"/>
        </w:rPr>
      </w:pPr>
    </w:p>
    <w:p w:rsidR="00A17E66" w:rsidRDefault="00A17E66" w:rsidP="0073307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Images </w:t>
      </w:r>
    </w:p>
    <w:p w:rsidR="00A17E66" w:rsidRPr="00A17E66" w:rsidRDefault="00A17E66" w:rsidP="0073307D">
      <w:pPr>
        <w:spacing w:line="360" w:lineRule="auto"/>
        <w:jc w:val="both"/>
        <w:rPr>
          <w:rFonts w:ascii="Times New Roman" w:hAnsi="Times New Roman" w:cs="Times New Roman"/>
          <w:sz w:val="24"/>
          <w:szCs w:val="24"/>
        </w:rPr>
      </w:pPr>
      <w:r w:rsidRPr="00A17E66">
        <w:rPr>
          <w:rFonts w:ascii="Times New Roman" w:hAnsi="Times New Roman" w:cs="Times New Roman"/>
          <w:sz w:val="24"/>
          <w:szCs w:val="24"/>
        </w:rPr>
        <w:t>‘Panel of the arch of Galerius showing the combat between Galerius and Narses. © Troy Wilkinson. 18</w:t>
      </w:r>
      <w:r w:rsidRPr="00A17E66">
        <w:rPr>
          <w:rFonts w:ascii="Times New Roman" w:hAnsi="Times New Roman" w:cs="Times New Roman"/>
          <w:sz w:val="24"/>
          <w:szCs w:val="24"/>
          <w:vertAlign w:val="superscript"/>
        </w:rPr>
        <w:t>th</w:t>
      </w:r>
      <w:r w:rsidRPr="00A17E66">
        <w:rPr>
          <w:rFonts w:ascii="Times New Roman" w:hAnsi="Times New Roman" w:cs="Times New Roman"/>
          <w:sz w:val="24"/>
          <w:szCs w:val="24"/>
        </w:rPr>
        <w:t xml:space="preserve"> April 1018, Thessaloniki.</w:t>
      </w:r>
      <w:bookmarkStart w:id="0" w:name="_GoBack"/>
      <w:bookmarkEnd w:id="0"/>
    </w:p>
    <w:p w:rsidR="00A17E66" w:rsidRDefault="00A17E66" w:rsidP="0073307D">
      <w:pPr>
        <w:spacing w:line="360" w:lineRule="auto"/>
        <w:jc w:val="both"/>
        <w:rPr>
          <w:rFonts w:ascii="Times New Roman" w:hAnsi="Times New Roman" w:cs="Times New Roman"/>
          <w:sz w:val="24"/>
          <w:szCs w:val="24"/>
        </w:rPr>
      </w:pPr>
    </w:p>
    <w:p w:rsidR="0019645F" w:rsidRPr="00255E4D" w:rsidRDefault="0019645F" w:rsidP="0073307D">
      <w:pPr>
        <w:spacing w:line="360" w:lineRule="auto"/>
        <w:jc w:val="both"/>
        <w:rPr>
          <w:rFonts w:ascii="Times New Roman" w:hAnsi="Times New Roman" w:cs="Times New Roman"/>
          <w:sz w:val="24"/>
          <w:szCs w:val="24"/>
        </w:rPr>
      </w:pPr>
      <w:r w:rsidRPr="00255E4D">
        <w:rPr>
          <w:rFonts w:ascii="Times New Roman" w:hAnsi="Times New Roman" w:cs="Times New Roman"/>
          <w:sz w:val="24"/>
          <w:szCs w:val="24"/>
        </w:rPr>
        <w:t xml:space="preserve"> </w:t>
      </w:r>
    </w:p>
    <w:p w:rsidR="003277EF" w:rsidRPr="00255E4D" w:rsidRDefault="003277EF" w:rsidP="0073307D">
      <w:pPr>
        <w:spacing w:line="360" w:lineRule="auto"/>
        <w:jc w:val="both"/>
        <w:rPr>
          <w:rFonts w:ascii="Times New Roman" w:hAnsi="Times New Roman" w:cs="Times New Roman"/>
          <w:sz w:val="24"/>
          <w:szCs w:val="24"/>
        </w:rPr>
      </w:pPr>
    </w:p>
    <w:p w:rsidR="00C47D6A" w:rsidRPr="00C47D6A" w:rsidRDefault="00842378" w:rsidP="0073307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sectPr w:rsidR="00C47D6A" w:rsidRPr="00C47D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0365" w:rsidRDefault="00900365" w:rsidP="00C47D6A">
      <w:pPr>
        <w:spacing w:after="0" w:line="240" w:lineRule="auto"/>
      </w:pPr>
      <w:r>
        <w:separator/>
      </w:r>
    </w:p>
  </w:endnote>
  <w:endnote w:type="continuationSeparator" w:id="0">
    <w:p w:rsidR="00900365" w:rsidRDefault="00900365" w:rsidP="00C47D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0365" w:rsidRDefault="00900365" w:rsidP="00C47D6A">
      <w:pPr>
        <w:spacing w:after="0" w:line="240" w:lineRule="auto"/>
      </w:pPr>
      <w:r>
        <w:separator/>
      </w:r>
    </w:p>
  </w:footnote>
  <w:footnote w:type="continuationSeparator" w:id="0">
    <w:p w:rsidR="00900365" w:rsidRDefault="00900365" w:rsidP="00C47D6A">
      <w:pPr>
        <w:spacing w:after="0" w:line="240" w:lineRule="auto"/>
      </w:pPr>
      <w:r>
        <w:continuationSeparator/>
      </w:r>
    </w:p>
  </w:footnote>
  <w:footnote w:id="1">
    <w:p w:rsidR="00C47D6A" w:rsidRDefault="00C47D6A">
      <w:pPr>
        <w:pStyle w:val="FootnoteText"/>
      </w:pPr>
      <w:r>
        <w:rPr>
          <w:rStyle w:val="FootnoteReference"/>
        </w:rPr>
        <w:footnoteRef/>
      </w:r>
      <w:r>
        <w:t xml:space="preserve"> </w:t>
      </w:r>
      <w:r w:rsidR="00575ABC">
        <w:t xml:space="preserve">Gibbon 1901: 415; Matthews 1997: 13. </w:t>
      </w:r>
    </w:p>
  </w:footnote>
  <w:footnote w:id="2">
    <w:p w:rsidR="0036439C" w:rsidRDefault="0036439C">
      <w:pPr>
        <w:pStyle w:val="FootnoteText"/>
      </w:pPr>
      <w:r>
        <w:rPr>
          <w:rStyle w:val="FootnoteReference"/>
        </w:rPr>
        <w:footnoteRef/>
      </w:r>
      <w:r>
        <w:t xml:space="preserve"> </w:t>
      </w:r>
      <w:r w:rsidR="00E008E1">
        <w:t>Pond</w:t>
      </w:r>
      <w:r w:rsidR="00D27E2E">
        <w:t xml:space="preserve"> Rothman</w:t>
      </w:r>
      <w:r w:rsidR="00934145">
        <w:t xml:space="preserve"> 1977: 427; 448; See Figure 1 ‘Panel of the arch of Galerius showing </w:t>
      </w:r>
      <w:r w:rsidR="00831C88">
        <w:t>the combat between Galerius and Narses. © Troy Wilkinson. 18</w:t>
      </w:r>
      <w:r w:rsidR="00831C88" w:rsidRPr="00831C88">
        <w:rPr>
          <w:vertAlign w:val="superscript"/>
        </w:rPr>
        <w:t>th</w:t>
      </w:r>
      <w:r w:rsidR="00831C88">
        <w:t xml:space="preserve"> April 1018, Thessaloniki. </w:t>
      </w:r>
    </w:p>
  </w:footnote>
  <w:footnote w:id="3">
    <w:p w:rsidR="00010ED2" w:rsidRDefault="00010ED2">
      <w:pPr>
        <w:pStyle w:val="FootnoteText"/>
      </w:pPr>
      <w:r>
        <w:rPr>
          <w:rStyle w:val="FootnoteReference"/>
        </w:rPr>
        <w:footnoteRef/>
      </w:r>
      <w:r>
        <w:t xml:space="preserve"> </w:t>
      </w:r>
      <w:r w:rsidR="00575ABC">
        <w:t xml:space="preserve">Gibbon 1901: 415. </w:t>
      </w:r>
    </w:p>
  </w:footnote>
  <w:footnote w:id="4">
    <w:p w:rsidR="0036439C" w:rsidRDefault="0036439C">
      <w:pPr>
        <w:pStyle w:val="FootnoteText"/>
      </w:pPr>
      <w:r>
        <w:rPr>
          <w:rStyle w:val="FootnoteReference"/>
        </w:rPr>
        <w:footnoteRef/>
      </w:r>
      <w:r>
        <w:t xml:space="preserve"> </w:t>
      </w:r>
      <w:r w:rsidR="00E008E1">
        <w:t>Pond</w:t>
      </w:r>
      <w:r w:rsidR="00D27E2E">
        <w:t xml:space="preserve"> Rothman</w:t>
      </w:r>
      <w:r w:rsidR="00E008E1">
        <w:t xml:space="preserve"> 1977: 429. </w:t>
      </w:r>
    </w:p>
  </w:footnote>
  <w:footnote w:id="5">
    <w:p w:rsidR="003277EF" w:rsidRDefault="003277EF">
      <w:pPr>
        <w:pStyle w:val="FootnoteText"/>
      </w:pPr>
      <w:r>
        <w:rPr>
          <w:rStyle w:val="FootnoteReference"/>
        </w:rPr>
        <w:footnoteRef/>
      </w:r>
      <w:r>
        <w:t xml:space="preserve"> </w:t>
      </w:r>
      <w:r w:rsidR="00E008E1">
        <w:t>Pond</w:t>
      </w:r>
      <w:r w:rsidR="00D27E2E">
        <w:t xml:space="preserve"> Rothman</w:t>
      </w:r>
      <w:r w:rsidR="00E008E1">
        <w:t xml:space="preserve"> 1977: 445-447; See Figure 1.</w:t>
      </w:r>
    </w:p>
  </w:footnote>
  <w:footnote w:id="6">
    <w:p w:rsidR="00D35B90" w:rsidRDefault="00D35B90">
      <w:pPr>
        <w:pStyle w:val="FootnoteText"/>
      </w:pPr>
      <w:r>
        <w:rPr>
          <w:rStyle w:val="FootnoteReference"/>
        </w:rPr>
        <w:footnoteRef/>
      </w:r>
      <w:r>
        <w:t xml:space="preserve"> </w:t>
      </w:r>
      <w:proofErr w:type="spellStart"/>
      <w:r w:rsidR="006A44F8">
        <w:t>Drijvers</w:t>
      </w:r>
      <w:proofErr w:type="spellEnd"/>
      <w:r w:rsidR="006A44F8">
        <w:t xml:space="preserve"> 2010: 442; </w:t>
      </w:r>
      <w:r w:rsidR="00D103DB">
        <w:t xml:space="preserve">Amm.16.9.1-4; 17.14.1-3; 18.3.9-4. </w:t>
      </w:r>
    </w:p>
  </w:footnote>
  <w:footnote w:id="7">
    <w:p w:rsidR="00D35B90" w:rsidRDefault="00D35B90">
      <w:pPr>
        <w:pStyle w:val="FootnoteText"/>
      </w:pPr>
      <w:r>
        <w:rPr>
          <w:rStyle w:val="FootnoteReference"/>
        </w:rPr>
        <w:footnoteRef/>
      </w:r>
      <w:r>
        <w:t xml:space="preserve"> </w:t>
      </w:r>
      <w:r w:rsidR="0028791D">
        <w:t xml:space="preserve">Potter 2009: 272. </w:t>
      </w:r>
    </w:p>
  </w:footnote>
  <w:footnote w:id="8">
    <w:p w:rsidR="0073307D" w:rsidRDefault="0073307D">
      <w:pPr>
        <w:pStyle w:val="FootnoteText"/>
      </w:pPr>
      <w:r>
        <w:rPr>
          <w:rStyle w:val="FootnoteReference"/>
        </w:rPr>
        <w:footnoteRef/>
      </w:r>
      <w:r>
        <w:t xml:space="preserve"> </w:t>
      </w:r>
      <w:proofErr w:type="spellStart"/>
      <w:r w:rsidR="0019645F">
        <w:t>Heckster</w:t>
      </w:r>
      <w:proofErr w:type="spellEnd"/>
      <w:r w:rsidR="0019645F">
        <w:t xml:space="preserve"> 2008: 343-345; Berthold 2006. </w:t>
      </w:r>
    </w:p>
  </w:footnote>
  <w:footnote w:id="9">
    <w:p w:rsidR="00D952EA" w:rsidRDefault="00D952EA">
      <w:pPr>
        <w:pStyle w:val="FootnoteText"/>
      </w:pPr>
      <w:r>
        <w:rPr>
          <w:rStyle w:val="FootnoteReference"/>
        </w:rPr>
        <w:footnoteRef/>
      </w:r>
      <w:r>
        <w:t xml:space="preserve"> </w:t>
      </w:r>
      <w:r w:rsidR="0019645F">
        <w:t xml:space="preserve">Errington 2006. </w:t>
      </w:r>
    </w:p>
  </w:footnote>
  <w:footnote w:id="10">
    <w:p w:rsidR="001238B3" w:rsidRDefault="001238B3">
      <w:pPr>
        <w:pStyle w:val="FootnoteText"/>
      </w:pPr>
      <w:r>
        <w:rPr>
          <w:rStyle w:val="FootnoteReference"/>
        </w:rPr>
        <w:footnoteRef/>
      </w:r>
      <w:r>
        <w:t xml:space="preserve"> </w:t>
      </w:r>
      <w:r w:rsidR="00C62E2B">
        <w:t>Erickson 2018</w:t>
      </w:r>
      <w:r w:rsidR="00C61213">
        <w:t>: 254-255</w:t>
      </w:r>
      <w:r w:rsidR="00C62E2B">
        <w:t xml:space="preserve">. </w:t>
      </w:r>
    </w:p>
  </w:footnote>
  <w:footnote w:id="11">
    <w:p w:rsidR="001951F3" w:rsidRPr="00447EDE" w:rsidRDefault="001951F3">
      <w:pPr>
        <w:pStyle w:val="FootnoteText"/>
      </w:pPr>
      <w:r>
        <w:rPr>
          <w:rStyle w:val="FootnoteReference"/>
        </w:rPr>
        <w:footnoteRef/>
      </w:r>
      <w:r>
        <w:t xml:space="preserve"> </w:t>
      </w:r>
      <w:r w:rsidR="00447EDE">
        <w:t>Suet.</w:t>
      </w:r>
      <w:r w:rsidR="00447EDE">
        <w:rPr>
          <w:i/>
        </w:rPr>
        <w:t>Iul</w:t>
      </w:r>
      <w:r w:rsidR="00447EDE">
        <w:t xml:space="preserve">.7. </w:t>
      </w:r>
    </w:p>
  </w:footnote>
  <w:footnote w:id="12">
    <w:p w:rsidR="00024205" w:rsidRDefault="00024205">
      <w:pPr>
        <w:pStyle w:val="FootnoteText"/>
      </w:pPr>
      <w:r>
        <w:rPr>
          <w:rStyle w:val="FootnoteReference"/>
        </w:rPr>
        <w:footnoteRef/>
      </w:r>
      <w:r>
        <w:t xml:space="preserve"> </w:t>
      </w:r>
      <w:r w:rsidR="00C62E2B">
        <w:t>Erickson 2018</w:t>
      </w:r>
      <w:r w:rsidR="00C61213">
        <w:t>: 255</w:t>
      </w:r>
      <w:r w:rsidR="00C62E2B">
        <w:t xml:space="preserve">. </w:t>
      </w:r>
      <w:r w:rsidR="00447EDE">
        <w:t xml:space="preserve"> </w:t>
      </w:r>
    </w:p>
  </w:footnote>
  <w:footnote w:id="13">
    <w:p w:rsidR="00024205" w:rsidRDefault="00024205">
      <w:pPr>
        <w:pStyle w:val="FootnoteText"/>
      </w:pPr>
      <w:r>
        <w:rPr>
          <w:rStyle w:val="FootnoteReference"/>
        </w:rPr>
        <w:footnoteRef/>
      </w:r>
      <w:r>
        <w:t xml:space="preserve"> </w:t>
      </w:r>
      <w:r w:rsidR="0019645F">
        <w:t>Cohen 1997: 87</w:t>
      </w:r>
      <w:r w:rsidR="002B6F45">
        <w:t xml:space="preserve">; Holt 2003: 125; See Figure 1. </w:t>
      </w:r>
    </w:p>
  </w:footnote>
  <w:footnote w:id="14">
    <w:p w:rsidR="00024205" w:rsidRDefault="00024205">
      <w:pPr>
        <w:pStyle w:val="FootnoteText"/>
      </w:pPr>
      <w:r>
        <w:rPr>
          <w:rStyle w:val="FootnoteReference"/>
        </w:rPr>
        <w:footnoteRef/>
      </w:r>
      <w:r>
        <w:t xml:space="preserve"> </w:t>
      </w:r>
      <w:r w:rsidR="002B6F45">
        <w:t xml:space="preserve">See Figure 1. </w:t>
      </w:r>
    </w:p>
  </w:footnote>
  <w:footnote w:id="15">
    <w:p w:rsidR="00A20F88" w:rsidRDefault="00A20F88">
      <w:pPr>
        <w:pStyle w:val="FootnoteText"/>
      </w:pPr>
      <w:r>
        <w:rPr>
          <w:rStyle w:val="FootnoteReference"/>
        </w:rPr>
        <w:footnoteRef/>
      </w:r>
      <w:r>
        <w:t xml:space="preserve"> </w:t>
      </w:r>
      <w:r w:rsidR="002B6F45">
        <w:t xml:space="preserve">Cohen 1997: 87.  </w:t>
      </w:r>
    </w:p>
  </w:footnote>
  <w:footnote w:id="16">
    <w:p w:rsidR="00A20F88" w:rsidRDefault="00A20F88">
      <w:pPr>
        <w:pStyle w:val="FootnoteText"/>
      </w:pPr>
      <w:r>
        <w:rPr>
          <w:rStyle w:val="FootnoteReference"/>
        </w:rPr>
        <w:footnoteRef/>
      </w:r>
      <w:r>
        <w:t xml:space="preserve"> </w:t>
      </w:r>
      <w:r w:rsidR="00C61213">
        <w:t>Erickson 2018: 254</w:t>
      </w:r>
      <w:r w:rsidR="00C62E2B">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D6A"/>
    <w:rsid w:val="00010ED2"/>
    <w:rsid w:val="00024205"/>
    <w:rsid w:val="000E4308"/>
    <w:rsid w:val="001238B3"/>
    <w:rsid w:val="0012401B"/>
    <w:rsid w:val="001244AB"/>
    <w:rsid w:val="001951F3"/>
    <w:rsid w:val="0019645F"/>
    <w:rsid w:val="001B6CFC"/>
    <w:rsid w:val="00223A44"/>
    <w:rsid w:val="00233F25"/>
    <w:rsid w:val="002415E4"/>
    <w:rsid w:val="00255E4D"/>
    <w:rsid w:val="0028791D"/>
    <w:rsid w:val="002B6F45"/>
    <w:rsid w:val="002D7DB4"/>
    <w:rsid w:val="00325E68"/>
    <w:rsid w:val="003277EF"/>
    <w:rsid w:val="0036439C"/>
    <w:rsid w:val="00376F9B"/>
    <w:rsid w:val="00447EDE"/>
    <w:rsid w:val="005248E4"/>
    <w:rsid w:val="00575ABC"/>
    <w:rsid w:val="005A51A6"/>
    <w:rsid w:val="00654D59"/>
    <w:rsid w:val="006A03EB"/>
    <w:rsid w:val="006A44F8"/>
    <w:rsid w:val="0073307D"/>
    <w:rsid w:val="007630CE"/>
    <w:rsid w:val="00831C88"/>
    <w:rsid w:val="00842378"/>
    <w:rsid w:val="0087714D"/>
    <w:rsid w:val="00877E1E"/>
    <w:rsid w:val="008B373E"/>
    <w:rsid w:val="00900365"/>
    <w:rsid w:val="00934145"/>
    <w:rsid w:val="009B631C"/>
    <w:rsid w:val="00A17E66"/>
    <w:rsid w:val="00A20F88"/>
    <w:rsid w:val="00B10D6A"/>
    <w:rsid w:val="00B5518B"/>
    <w:rsid w:val="00BD127A"/>
    <w:rsid w:val="00C47D6A"/>
    <w:rsid w:val="00C61213"/>
    <w:rsid w:val="00C62E2B"/>
    <w:rsid w:val="00CA4077"/>
    <w:rsid w:val="00CA501F"/>
    <w:rsid w:val="00D056A1"/>
    <w:rsid w:val="00D103DB"/>
    <w:rsid w:val="00D27E2E"/>
    <w:rsid w:val="00D35B90"/>
    <w:rsid w:val="00D46708"/>
    <w:rsid w:val="00D952EA"/>
    <w:rsid w:val="00DD12B3"/>
    <w:rsid w:val="00E008E1"/>
    <w:rsid w:val="00E357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AA17D"/>
  <w15:chartTrackingRefBased/>
  <w15:docId w15:val="{FD083369-A36C-48A2-869E-C31771A86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47D6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47D6A"/>
    <w:rPr>
      <w:sz w:val="20"/>
      <w:szCs w:val="20"/>
    </w:rPr>
  </w:style>
  <w:style w:type="character" w:styleId="FootnoteReference">
    <w:name w:val="footnote reference"/>
    <w:basedOn w:val="DefaultParagraphFont"/>
    <w:uiPriority w:val="99"/>
    <w:semiHidden/>
    <w:unhideWhenUsed/>
    <w:rsid w:val="00C47D6A"/>
    <w:rPr>
      <w:vertAlign w:val="superscript"/>
    </w:rPr>
  </w:style>
  <w:style w:type="paragraph" w:styleId="Header">
    <w:name w:val="header"/>
    <w:basedOn w:val="Normal"/>
    <w:link w:val="HeaderChar"/>
    <w:uiPriority w:val="99"/>
    <w:unhideWhenUsed/>
    <w:rsid w:val="00C62E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2E2B"/>
  </w:style>
  <w:style w:type="paragraph" w:styleId="Footer">
    <w:name w:val="footer"/>
    <w:basedOn w:val="Normal"/>
    <w:link w:val="FooterChar"/>
    <w:uiPriority w:val="99"/>
    <w:unhideWhenUsed/>
    <w:rsid w:val="00C62E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2E2B"/>
  </w:style>
  <w:style w:type="character" w:styleId="Hyperlink">
    <w:name w:val="Hyperlink"/>
    <w:basedOn w:val="DefaultParagraphFont"/>
    <w:uiPriority w:val="99"/>
    <w:unhideWhenUsed/>
    <w:rsid w:val="0019645F"/>
    <w:rPr>
      <w:color w:val="0563C1" w:themeColor="hyperlink"/>
      <w:u w:val="single"/>
    </w:rPr>
  </w:style>
  <w:style w:type="character" w:styleId="UnresolvedMention">
    <w:name w:val="Unresolved Mention"/>
    <w:basedOn w:val="DefaultParagraphFont"/>
    <w:uiPriority w:val="99"/>
    <w:semiHidden/>
    <w:unhideWhenUsed/>
    <w:rsid w:val="0019645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eferenceworks.brillonline.com.ezproxy.uwtsd.ac.uk/entries/brill-s-new-pauly/thessalonica-e1210990?s.num=0&amp;s.q=Thessalonica" TargetMode="External"/><Relationship Id="rId3" Type="http://schemas.openxmlformats.org/officeDocument/2006/relationships/webSettings" Target="webSettings.xml"/><Relationship Id="rId7" Type="http://schemas.openxmlformats.org/officeDocument/2006/relationships/hyperlink" Target="http://referenceworks.brillonline.com.ezproxy.uwtsd.ac.uk/entries/brill-s-new-pauly/trajans-column-ct-e15305100?s.num=1&amp;s.f.s2_parent=s.f.book.brill-s-new-pauly&amp;s.q=Trajan%27s+Column+#e1530511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800</TotalTime>
  <Pages>6</Pages>
  <Words>1323</Words>
  <Characters>7547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Troy Wilkinson</dc:creator>
  <cp:keywords/>
  <dc:description/>
  <cp:lastModifiedBy>Troy Wilkinson</cp:lastModifiedBy>
  <cp:revision>50</cp:revision>
  <dcterms:created xsi:type="dcterms:W3CDTF">2018-04-23T16:23:00Z</dcterms:created>
  <dcterms:modified xsi:type="dcterms:W3CDTF">2018-04-24T17:40:00Z</dcterms:modified>
</cp:coreProperties>
</file>