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5280C" w14:textId="77777777" w:rsidR="00EB4B26" w:rsidRDefault="00EB4B26" w:rsidP="00022B90">
      <w:pPr>
        <w:spacing w:before="0"/>
        <w:rPr>
          <w:rFonts w:ascii="Arial" w:eastAsia="Arial" w:hAnsi="Arial" w:cs="Arial"/>
          <w:b/>
          <w:bCs/>
          <w:sz w:val="32"/>
          <w:szCs w:val="32"/>
        </w:rPr>
      </w:pPr>
    </w:p>
    <w:p w14:paraId="46BE4666" w14:textId="77777777" w:rsidR="00EB4B26" w:rsidRDefault="00000000">
      <w:pPr>
        <w:spacing w:before="0" w:after="0" w:line="240" w:lineRule="auto"/>
        <w:jc w:val="center"/>
        <w:rPr>
          <w:rFonts w:ascii="Arial" w:eastAsia="Arial" w:hAnsi="Arial" w:cs="Arial"/>
          <w:b/>
          <w:bCs/>
          <w:sz w:val="32"/>
          <w:szCs w:val="32"/>
        </w:rPr>
      </w:pPr>
      <w:r>
        <w:rPr>
          <w:rFonts w:ascii="Aptos" w:eastAsia="Aptos" w:hAnsi="Aptos" w:cs="Aptos"/>
          <w:noProof/>
        </w:rPr>
        <w:drawing>
          <wp:inline distT="0" distB="0" distL="0" distR="0" wp14:anchorId="206560DF" wp14:editId="6C41FB7D">
            <wp:extent cx="3381375" cy="135255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3381375" cy="1352550"/>
                    </a:xfrm>
                    <a:prstGeom prst="rect">
                      <a:avLst/>
                    </a:prstGeom>
                    <a:ln/>
                  </pic:spPr>
                </pic:pic>
              </a:graphicData>
            </a:graphic>
          </wp:inline>
        </w:drawing>
      </w:r>
    </w:p>
    <w:p w14:paraId="0C9FA26E" w14:textId="77777777" w:rsidR="00EB4B26" w:rsidRDefault="00EB4B26">
      <w:pPr>
        <w:spacing w:before="0"/>
        <w:jc w:val="center"/>
        <w:rPr>
          <w:rFonts w:ascii="Arial" w:eastAsia="Arial" w:hAnsi="Arial" w:cs="Arial"/>
          <w:b/>
          <w:bCs/>
          <w:sz w:val="32"/>
          <w:szCs w:val="32"/>
        </w:rPr>
      </w:pPr>
    </w:p>
    <w:p w14:paraId="63271499" w14:textId="77777777" w:rsidR="00EB4B26" w:rsidRDefault="00EB4B26">
      <w:pPr>
        <w:spacing w:before="0"/>
        <w:jc w:val="center"/>
        <w:rPr>
          <w:rFonts w:ascii="Arial" w:eastAsia="Arial" w:hAnsi="Arial" w:cs="Arial"/>
          <w:b/>
          <w:bCs/>
          <w:sz w:val="32"/>
          <w:szCs w:val="32"/>
        </w:rPr>
      </w:pPr>
    </w:p>
    <w:p w14:paraId="6D4E2C16" w14:textId="16445B78"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 xml:space="preserve">Student Name: Dhavalkumar </w:t>
      </w:r>
      <w:r w:rsidR="0088681F">
        <w:rPr>
          <w:rFonts w:ascii="Aptos" w:eastAsia="Aptos" w:hAnsi="Aptos" w:cs="Aptos"/>
          <w:b/>
          <w:bCs/>
          <w:sz w:val="28"/>
          <w:szCs w:val="28"/>
        </w:rPr>
        <w:t xml:space="preserve">Manubhai </w:t>
      </w:r>
      <w:r>
        <w:rPr>
          <w:rFonts w:ascii="Aptos" w:eastAsia="Aptos" w:hAnsi="Aptos" w:cs="Aptos"/>
          <w:b/>
          <w:bCs/>
          <w:sz w:val="28"/>
          <w:szCs w:val="28"/>
        </w:rPr>
        <w:t>Ahir</w:t>
      </w:r>
    </w:p>
    <w:p w14:paraId="6AFE4785" w14:textId="77777777" w:rsidR="00EB4B26" w:rsidRDefault="00EB4B26">
      <w:pPr>
        <w:spacing w:before="0" w:after="0" w:line="240" w:lineRule="auto"/>
        <w:jc w:val="center"/>
        <w:rPr>
          <w:rFonts w:ascii="Aptos" w:eastAsia="Aptos" w:hAnsi="Aptos" w:cs="Aptos"/>
          <w:b/>
          <w:bCs/>
          <w:sz w:val="28"/>
          <w:szCs w:val="28"/>
        </w:rPr>
      </w:pPr>
    </w:p>
    <w:p w14:paraId="380A9927"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Student ID: 2523550</w:t>
      </w:r>
    </w:p>
    <w:p w14:paraId="09A22CF0" w14:textId="77777777" w:rsidR="00EB4B26" w:rsidRDefault="00EB4B26">
      <w:pPr>
        <w:spacing w:before="0" w:after="0" w:line="240" w:lineRule="auto"/>
        <w:jc w:val="center"/>
        <w:rPr>
          <w:rFonts w:ascii="Aptos" w:eastAsia="Aptos" w:hAnsi="Aptos" w:cs="Aptos"/>
          <w:sz w:val="28"/>
          <w:szCs w:val="28"/>
        </w:rPr>
      </w:pPr>
    </w:p>
    <w:p w14:paraId="2DA29668" w14:textId="77777777" w:rsidR="00EB4B26" w:rsidRDefault="00EB4B26">
      <w:pPr>
        <w:spacing w:before="0" w:after="0" w:line="240" w:lineRule="auto"/>
        <w:jc w:val="center"/>
        <w:rPr>
          <w:rFonts w:ascii="Aptos" w:eastAsia="Aptos" w:hAnsi="Aptos" w:cs="Aptos"/>
          <w:sz w:val="28"/>
          <w:szCs w:val="28"/>
        </w:rPr>
      </w:pPr>
    </w:p>
    <w:p w14:paraId="5170D57E"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Module Name: Marketing Management</w:t>
      </w:r>
    </w:p>
    <w:p w14:paraId="70BB2813" w14:textId="77777777" w:rsidR="00EB4B26" w:rsidRDefault="00EB4B26">
      <w:pPr>
        <w:spacing w:before="0" w:after="0" w:line="240" w:lineRule="auto"/>
        <w:jc w:val="center"/>
        <w:rPr>
          <w:rFonts w:ascii="Aptos" w:eastAsia="Aptos" w:hAnsi="Aptos" w:cs="Aptos"/>
          <w:b/>
          <w:bCs/>
          <w:sz w:val="28"/>
          <w:szCs w:val="28"/>
        </w:rPr>
      </w:pPr>
    </w:p>
    <w:p w14:paraId="56FD50EB"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Module Code: LCMB7024</w:t>
      </w:r>
    </w:p>
    <w:p w14:paraId="4F16367D" w14:textId="77777777" w:rsidR="00EB4B26" w:rsidRDefault="00EB4B26">
      <w:pPr>
        <w:spacing w:before="0" w:after="0" w:line="240" w:lineRule="auto"/>
        <w:jc w:val="center"/>
        <w:rPr>
          <w:rFonts w:ascii="Aptos" w:eastAsia="Aptos" w:hAnsi="Aptos" w:cs="Aptos"/>
          <w:b/>
          <w:bCs/>
          <w:sz w:val="28"/>
          <w:szCs w:val="28"/>
        </w:rPr>
      </w:pPr>
    </w:p>
    <w:p w14:paraId="22354190" w14:textId="77777777" w:rsidR="00EB4B26" w:rsidRDefault="00EB4B26">
      <w:pPr>
        <w:spacing w:before="0"/>
        <w:jc w:val="center"/>
        <w:rPr>
          <w:rFonts w:ascii="Arial" w:eastAsia="Arial" w:hAnsi="Arial" w:cs="Arial"/>
          <w:b/>
          <w:bCs/>
          <w:sz w:val="32"/>
          <w:szCs w:val="32"/>
        </w:rPr>
      </w:pPr>
    </w:p>
    <w:p w14:paraId="7020F738"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Lecturer’s Name: Dr Shengfeng Mei</w:t>
      </w:r>
    </w:p>
    <w:p w14:paraId="3BB90B3E" w14:textId="77777777" w:rsidR="00EB4B26" w:rsidRDefault="00EB4B26">
      <w:pPr>
        <w:spacing w:before="0" w:after="0" w:line="240" w:lineRule="auto"/>
        <w:jc w:val="center"/>
        <w:rPr>
          <w:rFonts w:ascii="Aptos" w:eastAsia="Aptos" w:hAnsi="Aptos" w:cs="Aptos"/>
          <w:b/>
          <w:bCs/>
          <w:sz w:val="28"/>
          <w:szCs w:val="28"/>
        </w:rPr>
      </w:pPr>
    </w:p>
    <w:p w14:paraId="44F11294" w14:textId="77777777" w:rsidR="00EB4B26" w:rsidRDefault="00EB4B26">
      <w:pPr>
        <w:spacing w:before="0" w:after="0" w:line="240" w:lineRule="auto"/>
        <w:jc w:val="center"/>
        <w:rPr>
          <w:rFonts w:ascii="Aptos" w:eastAsia="Aptos" w:hAnsi="Aptos" w:cs="Aptos"/>
          <w:b/>
          <w:bCs/>
          <w:sz w:val="28"/>
          <w:szCs w:val="28"/>
        </w:rPr>
      </w:pPr>
    </w:p>
    <w:p w14:paraId="6F62956C" w14:textId="77777777" w:rsidR="00EB4B26" w:rsidRDefault="00EB4B26">
      <w:pPr>
        <w:spacing w:before="0" w:after="0" w:line="240" w:lineRule="auto"/>
        <w:jc w:val="left"/>
        <w:rPr>
          <w:rFonts w:ascii="Aptos" w:eastAsia="Aptos" w:hAnsi="Aptos" w:cs="Aptos"/>
          <w:b/>
          <w:bCs/>
          <w:sz w:val="28"/>
          <w:szCs w:val="28"/>
        </w:rPr>
      </w:pPr>
    </w:p>
    <w:p w14:paraId="340B5263"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Work Count: 5k</w:t>
      </w:r>
    </w:p>
    <w:p w14:paraId="31646713" w14:textId="77777777" w:rsidR="00EB4B26" w:rsidRDefault="00EB4B26">
      <w:pPr>
        <w:spacing w:before="0" w:after="0" w:line="240" w:lineRule="auto"/>
        <w:jc w:val="center"/>
        <w:rPr>
          <w:rFonts w:ascii="Aptos" w:eastAsia="Aptos" w:hAnsi="Aptos" w:cs="Aptos"/>
          <w:b/>
          <w:bCs/>
          <w:sz w:val="28"/>
          <w:szCs w:val="28"/>
        </w:rPr>
      </w:pPr>
    </w:p>
    <w:p w14:paraId="73D305D6" w14:textId="6BBEFCC2" w:rsidR="00EB4B26" w:rsidRPr="00022B90" w:rsidRDefault="00022B90" w:rsidP="00022B90">
      <w:pPr>
        <w:jc w:val="center"/>
        <w:rPr>
          <w:rFonts w:asciiTheme="minorBidi" w:hAnsiTheme="minorBidi"/>
          <w:b/>
          <w:bCs/>
          <w:sz w:val="28"/>
          <w:szCs w:val="28"/>
        </w:rPr>
      </w:pPr>
      <w:r w:rsidRPr="0033498A">
        <w:rPr>
          <w:rFonts w:asciiTheme="minorBidi" w:hAnsiTheme="minorBidi"/>
          <w:b/>
          <w:bCs/>
          <w:sz w:val="28"/>
          <w:szCs w:val="28"/>
        </w:rPr>
        <w:t>Submission Date: 24</w:t>
      </w:r>
      <w:r w:rsidRPr="0033498A">
        <w:rPr>
          <w:rFonts w:asciiTheme="minorBidi" w:hAnsiTheme="minorBidi"/>
          <w:b/>
          <w:bCs/>
          <w:sz w:val="28"/>
          <w:szCs w:val="28"/>
          <w:vertAlign w:val="superscript"/>
        </w:rPr>
        <w:t>th</w:t>
      </w:r>
      <w:r w:rsidRPr="0033498A">
        <w:rPr>
          <w:rFonts w:asciiTheme="minorBidi" w:hAnsiTheme="minorBidi"/>
          <w:b/>
          <w:bCs/>
          <w:sz w:val="28"/>
          <w:szCs w:val="28"/>
        </w:rPr>
        <w:t xml:space="preserve"> April 2026</w:t>
      </w:r>
    </w:p>
    <w:p w14:paraId="0193DCF4" w14:textId="77777777" w:rsidR="00EB4B26" w:rsidRDefault="00EB4B26">
      <w:pPr>
        <w:spacing w:before="0" w:after="0" w:line="240" w:lineRule="auto"/>
        <w:jc w:val="center"/>
        <w:rPr>
          <w:rFonts w:ascii="Aptos" w:eastAsia="Aptos" w:hAnsi="Aptos" w:cs="Aptos"/>
          <w:b/>
          <w:bCs/>
          <w:sz w:val="28"/>
          <w:szCs w:val="28"/>
        </w:rPr>
      </w:pPr>
    </w:p>
    <w:p w14:paraId="20903A02" w14:textId="77777777" w:rsidR="00EB4B26" w:rsidRDefault="00EB4B26">
      <w:pPr>
        <w:spacing w:before="0" w:after="0" w:line="240" w:lineRule="auto"/>
        <w:jc w:val="center"/>
        <w:rPr>
          <w:rFonts w:ascii="Aptos" w:eastAsia="Aptos" w:hAnsi="Aptos" w:cs="Aptos"/>
          <w:b/>
          <w:bCs/>
          <w:sz w:val="28"/>
          <w:szCs w:val="28"/>
        </w:rPr>
      </w:pPr>
    </w:p>
    <w:p w14:paraId="580E2F80" w14:textId="77777777" w:rsidR="00EB4B26" w:rsidRDefault="00EB4B26">
      <w:pPr>
        <w:spacing w:before="0" w:after="0" w:line="240" w:lineRule="auto"/>
        <w:jc w:val="center"/>
        <w:rPr>
          <w:rFonts w:ascii="Aptos" w:eastAsia="Aptos" w:hAnsi="Aptos" w:cs="Aptos"/>
          <w:b/>
          <w:bCs/>
          <w:sz w:val="28"/>
          <w:szCs w:val="28"/>
        </w:rPr>
      </w:pPr>
    </w:p>
    <w:p w14:paraId="33411F80" w14:textId="77777777" w:rsidR="00EB4B26" w:rsidRDefault="00000000">
      <w:pPr>
        <w:spacing w:before="0" w:after="0" w:line="240" w:lineRule="auto"/>
        <w:jc w:val="center"/>
        <w:rPr>
          <w:rFonts w:ascii="Aptos" w:eastAsia="Aptos" w:hAnsi="Aptos" w:cs="Aptos"/>
          <w:b/>
          <w:bCs/>
          <w:sz w:val="28"/>
          <w:szCs w:val="28"/>
        </w:rPr>
      </w:pPr>
      <w:r>
        <w:rPr>
          <w:rFonts w:ascii="Aptos" w:eastAsia="Aptos" w:hAnsi="Aptos" w:cs="Aptos"/>
          <w:b/>
          <w:bCs/>
          <w:sz w:val="28"/>
          <w:szCs w:val="28"/>
        </w:rPr>
        <w:t>Term 1</w:t>
      </w:r>
    </w:p>
    <w:p w14:paraId="64623323" w14:textId="77777777" w:rsidR="00EB4B26" w:rsidRDefault="00000000">
      <w:pPr>
        <w:spacing w:before="0" w:after="0" w:line="240" w:lineRule="auto"/>
        <w:jc w:val="left"/>
        <w:rPr>
          <w:rFonts w:ascii="Aptos" w:eastAsia="Aptos" w:hAnsi="Aptos" w:cs="Aptos"/>
          <w:b/>
          <w:bCs/>
        </w:rPr>
      </w:pPr>
      <w:r>
        <w:br w:type="page"/>
      </w:r>
    </w:p>
    <w:p w14:paraId="63C0A0F6" w14:textId="77777777" w:rsidR="00022B90" w:rsidRDefault="00022B90" w:rsidP="00022B90">
      <w:pPr>
        <w:spacing w:before="200" w:after="200"/>
        <w:jc w:val="center"/>
        <w:rPr>
          <w:rFonts w:ascii="Arial" w:eastAsia="Arial" w:hAnsi="Arial" w:cs="Arial"/>
          <w:b/>
          <w:bCs/>
          <w:sz w:val="32"/>
          <w:szCs w:val="32"/>
        </w:rPr>
      </w:pPr>
    </w:p>
    <w:p w14:paraId="49CACE76" w14:textId="77777777" w:rsidR="00022B90" w:rsidRDefault="00022B90" w:rsidP="00022B90">
      <w:pPr>
        <w:spacing w:before="200" w:after="200"/>
        <w:jc w:val="center"/>
        <w:rPr>
          <w:rFonts w:ascii="Arial" w:eastAsia="Arial" w:hAnsi="Arial" w:cs="Arial"/>
          <w:b/>
          <w:bCs/>
          <w:sz w:val="32"/>
          <w:szCs w:val="32"/>
        </w:rPr>
      </w:pPr>
    </w:p>
    <w:p w14:paraId="5D02B1EB" w14:textId="77777777" w:rsidR="00022B90" w:rsidRDefault="00022B90" w:rsidP="00022B90">
      <w:pPr>
        <w:spacing w:before="200" w:after="200"/>
        <w:jc w:val="center"/>
        <w:rPr>
          <w:rFonts w:ascii="Arial" w:eastAsia="Arial" w:hAnsi="Arial" w:cs="Arial"/>
          <w:b/>
          <w:bCs/>
          <w:sz w:val="32"/>
          <w:szCs w:val="32"/>
        </w:rPr>
      </w:pPr>
    </w:p>
    <w:p w14:paraId="35A957F0" w14:textId="77777777" w:rsidR="00022B90" w:rsidRDefault="00022B90" w:rsidP="00022B90">
      <w:pPr>
        <w:spacing w:before="200" w:after="200"/>
        <w:jc w:val="center"/>
        <w:rPr>
          <w:rFonts w:ascii="Arial" w:eastAsia="Arial" w:hAnsi="Arial" w:cs="Arial"/>
          <w:b/>
          <w:bCs/>
          <w:sz w:val="32"/>
          <w:szCs w:val="32"/>
        </w:rPr>
      </w:pPr>
    </w:p>
    <w:p w14:paraId="4B115970" w14:textId="77777777" w:rsidR="00022B90" w:rsidRDefault="00022B90" w:rsidP="00022B90">
      <w:pPr>
        <w:spacing w:before="200" w:after="200"/>
        <w:jc w:val="center"/>
        <w:rPr>
          <w:rFonts w:ascii="Arial" w:eastAsia="Arial" w:hAnsi="Arial" w:cs="Arial"/>
          <w:b/>
          <w:bCs/>
          <w:sz w:val="32"/>
          <w:szCs w:val="32"/>
        </w:rPr>
      </w:pPr>
    </w:p>
    <w:p w14:paraId="033EB0F5" w14:textId="77777777" w:rsidR="00022B90" w:rsidRDefault="00022B90" w:rsidP="00022B90">
      <w:pPr>
        <w:spacing w:before="200" w:after="200"/>
        <w:jc w:val="center"/>
        <w:rPr>
          <w:rFonts w:ascii="Arial" w:eastAsia="Arial" w:hAnsi="Arial" w:cs="Arial"/>
          <w:b/>
          <w:bCs/>
          <w:sz w:val="32"/>
          <w:szCs w:val="32"/>
        </w:rPr>
      </w:pPr>
    </w:p>
    <w:p w14:paraId="76756CAA" w14:textId="77777777" w:rsidR="00022B90" w:rsidRDefault="00022B90" w:rsidP="00022B90">
      <w:pPr>
        <w:spacing w:before="200" w:after="200"/>
        <w:jc w:val="center"/>
        <w:rPr>
          <w:rFonts w:ascii="Arial" w:eastAsia="Arial" w:hAnsi="Arial" w:cs="Arial"/>
          <w:b/>
          <w:bCs/>
          <w:sz w:val="32"/>
          <w:szCs w:val="32"/>
        </w:rPr>
      </w:pPr>
    </w:p>
    <w:p w14:paraId="74435938" w14:textId="77777777" w:rsidR="00022B90" w:rsidRDefault="00022B90" w:rsidP="00022B90">
      <w:pPr>
        <w:spacing w:before="200" w:after="200"/>
        <w:jc w:val="center"/>
        <w:rPr>
          <w:rFonts w:ascii="Arial" w:eastAsia="Arial" w:hAnsi="Arial" w:cs="Arial"/>
          <w:b/>
          <w:bCs/>
          <w:sz w:val="32"/>
          <w:szCs w:val="32"/>
        </w:rPr>
      </w:pPr>
    </w:p>
    <w:p w14:paraId="37E03A2E" w14:textId="11D6B0A5" w:rsidR="00022B90" w:rsidRDefault="00022B90" w:rsidP="00022B90">
      <w:pPr>
        <w:spacing w:before="200" w:after="200"/>
        <w:jc w:val="center"/>
        <w:rPr>
          <w:rFonts w:ascii="Arial" w:eastAsia="Arial" w:hAnsi="Arial" w:cs="Arial"/>
          <w:b/>
          <w:bCs/>
          <w:sz w:val="32"/>
          <w:szCs w:val="32"/>
        </w:rPr>
      </w:pPr>
      <w:r>
        <w:rPr>
          <w:rFonts w:ascii="Arial" w:eastAsia="Arial" w:hAnsi="Arial" w:cs="Arial"/>
          <w:b/>
          <w:bCs/>
          <w:sz w:val="32"/>
          <w:szCs w:val="32"/>
        </w:rPr>
        <w:t>Topic: Strategic CFO Challenge</w:t>
      </w:r>
    </w:p>
    <w:p w14:paraId="3024BE1E" w14:textId="77777777" w:rsidR="00022B90" w:rsidRDefault="00022B90" w:rsidP="00022B90">
      <w:pPr>
        <w:spacing w:before="200" w:after="200"/>
        <w:jc w:val="center"/>
        <w:rPr>
          <w:rFonts w:ascii="Arial" w:eastAsia="Arial" w:hAnsi="Arial" w:cs="Arial"/>
          <w:b/>
          <w:bCs/>
          <w:sz w:val="32"/>
          <w:szCs w:val="32"/>
        </w:rPr>
      </w:pPr>
    </w:p>
    <w:p w14:paraId="0C9E62B6" w14:textId="60520B85" w:rsidR="00022B90" w:rsidRDefault="00022B90" w:rsidP="00022B90">
      <w:pPr>
        <w:spacing w:before="200" w:after="200"/>
        <w:jc w:val="center"/>
        <w:rPr>
          <w:rFonts w:ascii="Arial" w:eastAsia="Arial" w:hAnsi="Arial" w:cs="Arial"/>
          <w:b/>
          <w:bCs/>
          <w:sz w:val="32"/>
          <w:szCs w:val="32"/>
        </w:rPr>
      </w:pPr>
      <w:r>
        <w:rPr>
          <w:rFonts w:ascii="Arial" w:eastAsia="Arial" w:hAnsi="Arial" w:cs="Arial"/>
          <w:b/>
          <w:bCs/>
          <w:sz w:val="32"/>
          <w:szCs w:val="32"/>
        </w:rPr>
        <w:t>Assignment title: Financial Performance and Management-</w:t>
      </w:r>
      <w:r w:rsidRPr="00022B90">
        <w:rPr>
          <w:rFonts w:ascii="Arial" w:eastAsia="Arial" w:hAnsi="Arial" w:cs="Arial"/>
        </w:rPr>
        <w:t xml:space="preserve"> </w:t>
      </w:r>
      <w:r w:rsidRPr="00022B90">
        <w:rPr>
          <w:rFonts w:ascii="Arial" w:eastAsia="Arial" w:hAnsi="Arial" w:cs="Arial"/>
          <w:b/>
          <w:bCs/>
          <w:sz w:val="32"/>
          <w:szCs w:val="32"/>
        </w:rPr>
        <w:t>BYD</w:t>
      </w:r>
    </w:p>
    <w:p w14:paraId="2650A40D" w14:textId="77777777" w:rsidR="00EB4B26" w:rsidRDefault="00000000">
      <w:pPr>
        <w:spacing w:before="0"/>
        <w:jc w:val="center"/>
        <w:rPr>
          <w:rFonts w:ascii="Arial" w:eastAsia="Arial" w:hAnsi="Arial" w:cs="Arial"/>
        </w:rPr>
      </w:pPr>
      <w:r>
        <w:br w:type="page"/>
      </w:r>
    </w:p>
    <w:p w14:paraId="7EB2547F" w14:textId="77777777" w:rsidR="00EB4B26" w:rsidRDefault="00000000">
      <w:pPr>
        <w:spacing w:before="0"/>
        <w:jc w:val="center"/>
        <w:rPr>
          <w:rFonts w:ascii="Arial" w:eastAsia="Arial" w:hAnsi="Arial" w:cs="Arial"/>
          <w:b/>
          <w:bCs/>
          <w:sz w:val="28"/>
          <w:szCs w:val="28"/>
        </w:rPr>
      </w:pPr>
      <w:r>
        <w:rPr>
          <w:rFonts w:ascii="Arial" w:eastAsia="Arial" w:hAnsi="Arial" w:cs="Arial"/>
          <w:b/>
          <w:bCs/>
          <w:sz w:val="28"/>
          <w:szCs w:val="28"/>
        </w:rPr>
        <w:lastRenderedPageBreak/>
        <w:t>Table of Contents</w:t>
      </w:r>
    </w:p>
    <w:sdt>
      <w:sdtPr>
        <w:id w:val="1162422205"/>
        <w:docPartObj>
          <w:docPartGallery w:val="Table of Contents"/>
          <w:docPartUnique/>
        </w:docPartObj>
      </w:sdtPr>
      <w:sdtContent>
        <w:p w14:paraId="1A607ACF"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r>
            <w:fldChar w:fldCharType="begin"/>
          </w:r>
          <w:r>
            <w:instrText xml:space="preserve"> TOC \h \u \z \t "Heading 1,1,Heading 2,2,Heading 3,3,Heading 4,4,Heading 5,5,Heading 6,6,"</w:instrText>
          </w:r>
          <w:r>
            <w:fldChar w:fldCharType="separate"/>
          </w:r>
          <w:hyperlink w:anchor="_b6bgo9ee2d4b">
            <w:r>
              <w:rPr>
                <w:rFonts w:ascii="Arial" w:eastAsia="Arial" w:hAnsi="Arial" w:cs="Arial"/>
                <w:color w:val="000000"/>
              </w:rPr>
              <w:t>1. Introduction</w:t>
            </w:r>
            <w:r>
              <w:rPr>
                <w:rFonts w:ascii="Arial" w:eastAsia="Arial" w:hAnsi="Arial" w:cs="Arial"/>
                <w:color w:val="000000"/>
              </w:rPr>
              <w:tab/>
              <w:t>4</w:t>
            </w:r>
          </w:hyperlink>
        </w:p>
        <w:p w14:paraId="0254159E"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z5jhoa9bdibi">
            <w:r>
              <w:rPr>
                <w:rFonts w:ascii="Arial" w:eastAsia="Arial" w:hAnsi="Arial" w:cs="Arial"/>
                <w:color w:val="000000"/>
              </w:rPr>
              <w:t>1.1 Overview of BYD</w:t>
            </w:r>
            <w:r>
              <w:rPr>
                <w:rFonts w:ascii="Arial" w:eastAsia="Arial" w:hAnsi="Arial" w:cs="Arial"/>
                <w:color w:val="000000"/>
              </w:rPr>
              <w:tab/>
              <w:t>4</w:t>
            </w:r>
          </w:hyperlink>
        </w:p>
        <w:p w14:paraId="6ECE0DA3"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h6l94k32iu9f">
            <w:r>
              <w:rPr>
                <w:rFonts w:ascii="Arial" w:eastAsia="Arial" w:hAnsi="Arial" w:cs="Arial"/>
                <w:color w:val="000000"/>
              </w:rPr>
              <w:t>2. Financial Health Check</w:t>
            </w:r>
            <w:r>
              <w:rPr>
                <w:rFonts w:ascii="Arial" w:eastAsia="Arial" w:hAnsi="Arial" w:cs="Arial"/>
                <w:color w:val="000000"/>
              </w:rPr>
              <w:tab/>
              <w:t>5</w:t>
            </w:r>
          </w:hyperlink>
        </w:p>
        <w:p w14:paraId="71EE0BBE"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c9enwzpsf2y4">
            <w:r>
              <w:rPr>
                <w:rFonts w:ascii="Arial" w:eastAsia="Arial" w:hAnsi="Arial" w:cs="Arial"/>
                <w:color w:val="000000"/>
              </w:rPr>
              <w:t>2.1 Financial Statements Overview (5 years)</w:t>
            </w:r>
            <w:r>
              <w:rPr>
                <w:rFonts w:ascii="Arial" w:eastAsia="Arial" w:hAnsi="Arial" w:cs="Arial"/>
                <w:color w:val="000000"/>
              </w:rPr>
              <w:tab/>
              <w:t>5</w:t>
            </w:r>
          </w:hyperlink>
        </w:p>
        <w:p w14:paraId="54456D96"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z561m6ttgrhy">
            <w:r>
              <w:rPr>
                <w:rFonts w:ascii="Arial" w:eastAsia="Arial" w:hAnsi="Arial" w:cs="Arial"/>
                <w:color w:val="000000"/>
              </w:rPr>
              <w:t>BYD's Income Statement</w:t>
            </w:r>
            <w:r>
              <w:rPr>
                <w:rFonts w:ascii="Arial" w:eastAsia="Arial" w:hAnsi="Arial" w:cs="Arial"/>
                <w:color w:val="000000"/>
              </w:rPr>
              <w:tab/>
              <w:t>5</w:t>
            </w:r>
          </w:hyperlink>
        </w:p>
        <w:p w14:paraId="0689ED2F"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isvmjwlof0o1">
            <w:r>
              <w:rPr>
                <w:rFonts w:ascii="Arial" w:eastAsia="Arial" w:hAnsi="Arial" w:cs="Arial"/>
                <w:color w:val="000000"/>
              </w:rPr>
              <w:t>BYD's Balance Sheet</w:t>
            </w:r>
            <w:r>
              <w:rPr>
                <w:rFonts w:ascii="Arial" w:eastAsia="Arial" w:hAnsi="Arial" w:cs="Arial"/>
                <w:color w:val="000000"/>
              </w:rPr>
              <w:tab/>
              <w:t>7</w:t>
            </w:r>
          </w:hyperlink>
        </w:p>
        <w:p w14:paraId="745CE7CE"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c2xii7zgbe0m">
            <w:r>
              <w:rPr>
                <w:rFonts w:ascii="Arial" w:eastAsia="Arial" w:hAnsi="Arial" w:cs="Arial"/>
                <w:color w:val="000000"/>
              </w:rPr>
              <w:t>BYD’s Cash Flow Statement</w:t>
            </w:r>
            <w:r>
              <w:rPr>
                <w:rFonts w:ascii="Arial" w:eastAsia="Arial" w:hAnsi="Arial" w:cs="Arial"/>
                <w:color w:val="000000"/>
              </w:rPr>
              <w:tab/>
              <w:t>8</w:t>
            </w:r>
          </w:hyperlink>
        </w:p>
        <w:p w14:paraId="2B35D1D5"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9pzkvggwje64">
            <w:r>
              <w:rPr>
                <w:rFonts w:ascii="Arial" w:eastAsia="Arial" w:hAnsi="Arial" w:cs="Arial"/>
                <w:color w:val="000000"/>
              </w:rPr>
              <w:t>2.2 Ratio Analysis</w:t>
            </w:r>
            <w:r>
              <w:rPr>
                <w:rFonts w:ascii="Arial" w:eastAsia="Arial" w:hAnsi="Arial" w:cs="Arial"/>
                <w:color w:val="000000"/>
              </w:rPr>
              <w:tab/>
              <w:t>9</w:t>
            </w:r>
          </w:hyperlink>
        </w:p>
        <w:p w14:paraId="4ABFA5EE"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6ileif5tk37r">
            <w:r>
              <w:rPr>
                <w:rFonts w:ascii="Arial" w:eastAsia="Arial" w:hAnsi="Arial" w:cs="Arial"/>
                <w:color w:val="000000"/>
              </w:rPr>
              <w:t>Profitability Ratios</w:t>
            </w:r>
            <w:r>
              <w:rPr>
                <w:rFonts w:ascii="Arial" w:eastAsia="Arial" w:hAnsi="Arial" w:cs="Arial"/>
                <w:color w:val="000000"/>
              </w:rPr>
              <w:tab/>
              <w:t>9</w:t>
            </w:r>
          </w:hyperlink>
        </w:p>
        <w:p w14:paraId="354D753A"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6o7adbexxqxl">
            <w:r>
              <w:rPr>
                <w:rFonts w:ascii="Arial" w:eastAsia="Arial" w:hAnsi="Arial" w:cs="Arial"/>
                <w:color w:val="000000"/>
              </w:rPr>
              <w:t>Liquidity Ratios</w:t>
            </w:r>
            <w:r>
              <w:rPr>
                <w:rFonts w:ascii="Arial" w:eastAsia="Arial" w:hAnsi="Arial" w:cs="Arial"/>
                <w:color w:val="000000"/>
              </w:rPr>
              <w:tab/>
              <w:t>9</w:t>
            </w:r>
          </w:hyperlink>
        </w:p>
        <w:p w14:paraId="7796FCC5"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5cu9okyk90c5">
            <w:r>
              <w:rPr>
                <w:rFonts w:ascii="Arial" w:eastAsia="Arial" w:hAnsi="Arial" w:cs="Arial"/>
                <w:color w:val="000000"/>
              </w:rPr>
              <w:t>Efficiency Ratios</w:t>
            </w:r>
            <w:r>
              <w:rPr>
                <w:rFonts w:ascii="Arial" w:eastAsia="Arial" w:hAnsi="Arial" w:cs="Arial"/>
                <w:color w:val="000000"/>
              </w:rPr>
              <w:tab/>
              <w:t>10</w:t>
            </w:r>
          </w:hyperlink>
        </w:p>
        <w:p w14:paraId="766C1570"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gtj0vd90zkid">
            <w:r>
              <w:rPr>
                <w:rFonts w:ascii="Arial" w:eastAsia="Arial" w:hAnsi="Arial" w:cs="Arial"/>
                <w:color w:val="000000"/>
              </w:rPr>
              <w:t>Gearing Ratios</w:t>
            </w:r>
            <w:r>
              <w:rPr>
                <w:rFonts w:ascii="Arial" w:eastAsia="Arial" w:hAnsi="Arial" w:cs="Arial"/>
                <w:color w:val="000000"/>
              </w:rPr>
              <w:tab/>
              <w:t>11</w:t>
            </w:r>
          </w:hyperlink>
        </w:p>
        <w:p w14:paraId="2B7F5DE7"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u5auu2vmn95">
            <w:r>
              <w:rPr>
                <w:rFonts w:ascii="Arial" w:eastAsia="Arial" w:hAnsi="Arial" w:cs="Arial"/>
                <w:color w:val="000000"/>
              </w:rPr>
              <w:t>Investment Ratios</w:t>
            </w:r>
            <w:r>
              <w:rPr>
                <w:rFonts w:ascii="Arial" w:eastAsia="Arial" w:hAnsi="Arial" w:cs="Arial"/>
                <w:color w:val="000000"/>
              </w:rPr>
              <w:tab/>
              <w:t>12</w:t>
            </w:r>
          </w:hyperlink>
        </w:p>
        <w:p w14:paraId="50423644"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x6janyetalj9">
            <w:r>
              <w:rPr>
                <w:rFonts w:ascii="Arial" w:eastAsia="Arial" w:hAnsi="Arial" w:cs="Arial"/>
                <w:color w:val="000000"/>
              </w:rPr>
              <w:t>Cash Flow Ratio</w:t>
            </w:r>
            <w:r>
              <w:rPr>
                <w:rFonts w:ascii="Arial" w:eastAsia="Arial" w:hAnsi="Arial" w:cs="Arial"/>
                <w:color w:val="000000"/>
              </w:rPr>
              <w:tab/>
              <w:t>13</w:t>
            </w:r>
          </w:hyperlink>
        </w:p>
        <w:p w14:paraId="1728B642"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wwigm346jyft">
            <w:r>
              <w:rPr>
                <w:rFonts w:ascii="Arial" w:eastAsia="Arial" w:hAnsi="Arial" w:cs="Arial"/>
                <w:color w:val="000000"/>
              </w:rPr>
              <w:t>2.3 Identify Trends, Strengths and Threats</w:t>
            </w:r>
            <w:r>
              <w:rPr>
                <w:rFonts w:ascii="Arial" w:eastAsia="Arial" w:hAnsi="Arial" w:cs="Arial"/>
                <w:color w:val="000000"/>
              </w:rPr>
              <w:tab/>
              <w:t>14</w:t>
            </w:r>
          </w:hyperlink>
        </w:p>
        <w:p w14:paraId="0FE4B681"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k51y2jtm2l73">
            <w:r>
              <w:rPr>
                <w:rFonts w:ascii="Arial" w:eastAsia="Arial" w:hAnsi="Arial" w:cs="Arial"/>
                <w:color w:val="000000"/>
              </w:rPr>
              <w:t>3. Working Capital Management</w:t>
            </w:r>
            <w:r>
              <w:rPr>
                <w:rFonts w:ascii="Arial" w:eastAsia="Arial" w:hAnsi="Arial" w:cs="Arial"/>
                <w:color w:val="000000"/>
              </w:rPr>
              <w:tab/>
              <w:t>15</w:t>
            </w:r>
          </w:hyperlink>
        </w:p>
        <w:p w14:paraId="543A3300"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lroll23k1mp9">
            <w:r>
              <w:rPr>
                <w:rFonts w:ascii="Arial" w:eastAsia="Arial" w:hAnsi="Arial" w:cs="Arial"/>
                <w:color w:val="000000"/>
              </w:rPr>
              <w:t>3.1 Cash Operating Cycle</w:t>
            </w:r>
            <w:r>
              <w:rPr>
                <w:rFonts w:ascii="Arial" w:eastAsia="Arial" w:hAnsi="Arial" w:cs="Arial"/>
                <w:color w:val="000000"/>
              </w:rPr>
              <w:tab/>
              <w:t>15</w:t>
            </w:r>
          </w:hyperlink>
        </w:p>
        <w:p w14:paraId="57C3736C"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w0mxrty8ywv9">
            <w:r>
              <w:rPr>
                <w:rFonts w:ascii="Arial" w:eastAsia="Arial" w:hAnsi="Arial" w:cs="Arial"/>
                <w:color w:val="000000"/>
              </w:rPr>
              <w:t>3.2 Liquidity Assessment</w:t>
            </w:r>
            <w:r>
              <w:rPr>
                <w:rFonts w:ascii="Arial" w:eastAsia="Arial" w:hAnsi="Arial" w:cs="Arial"/>
                <w:color w:val="000000"/>
              </w:rPr>
              <w:tab/>
              <w:t>16</w:t>
            </w:r>
          </w:hyperlink>
        </w:p>
        <w:p w14:paraId="002FC9B5"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jj1ezsdqx0li">
            <w:r>
              <w:rPr>
                <w:rFonts w:ascii="Arial" w:eastAsia="Arial" w:hAnsi="Arial" w:cs="Arial"/>
                <w:color w:val="000000"/>
              </w:rPr>
              <w:t>3.3 Improvement Strategies</w:t>
            </w:r>
            <w:r>
              <w:rPr>
                <w:rFonts w:ascii="Arial" w:eastAsia="Arial" w:hAnsi="Arial" w:cs="Arial"/>
                <w:color w:val="000000"/>
              </w:rPr>
              <w:tab/>
              <w:t>17</w:t>
            </w:r>
          </w:hyperlink>
        </w:p>
        <w:p w14:paraId="4459E591"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w4qgh3xtsckh">
            <w:r>
              <w:rPr>
                <w:rFonts w:ascii="Arial" w:eastAsia="Arial" w:hAnsi="Arial" w:cs="Arial"/>
                <w:color w:val="000000"/>
              </w:rPr>
              <w:t>Inventory Management</w:t>
            </w:r>
            <w:r>
              <w:rPr>
                <w:rFonts w:ascii="Arial" w:eastAsia="Arial" w:hAnsi="Arial" w:cs="Arial"/>
                <w:color w:val="000000"/>
              </w:rPr>
              <w:tab/>
              <w:t>17</w:t>
            </w:r>
          </w:hyperlink>
        </w:p>
        <w:p w14:paraId="47C8CA16"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fab0r2ll4vki">
            <w:r>
              <w:rPr>
                <w:rFonts w:ascii="Arial" w:eastAsia="Arial" w:hAnsi="Arial" w:cs="Arial"/>
                <w:color w:val="000000"/>
              </w:rPr>
              <w:t>Receivables Collection</w:t>
            </w:r>
            <w:r>
              <w:rPr>
                <w:rFonts w:ascii="Arial" w:eastAsia="Arial" w:hAnsi="Arial" w:cs="Arial"/>
                <w:color w:val="000000"/>
              </w:rPr>
              <w:tab/>
              <w:t>17</w:t>
            </w:r>
          </w:hyperlink>
        </w:p>
        <w:p w14:paraId="7CFD911E"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pb8zvb4lust6">
            <w:r>
              <w:rPr>
                <w:rFonts w:ascii="Arial" w:eastAsia="Arial" w:hAnsi="Arial" w:cs="Arial"/>
                <w:color w:val="000000"/>
              </w:rPr>
              <w:t>Payables Optimisation</w:t>
            </w:r>
            <w:r>
              <w:rPr>
                <w:rFonts w:ascii="Arial" w:eastAsia="Arial" w:hAnsi="Arial" w:cs="Arial"/>
                <w:color w:val="000000"/>
              </w:rPr>
              <w:tab/>
              <w:t>17</w:t>
            </w:r>
          </w:hyperlink>
        </w:p>
        <w:p w14:paraId="26B53804"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xq8girbjcfob">
            <w:r>
              <w:rPr>
                <w:rFonts w:ascii="Arial" w:eastAsia="Arial" w:hAnsi="Arial" w:cs="Arial"/>
                <w:color w:val="000000"/>
              </w:rPr>
              <w:t>3.4 Financing Options</w:t>
            </w:r>
            <w:r>
              <w:rPr>
                <w:rFonts w:ascii="Arial" w:eastAsia="Arial" w:hAnsi="Arial" w:cs="Arial"/>
                <w:color w:val="000000"/>
              </w:rPr>
              <w:tab/>
              <w:t>17</w:t>
            </w:r>
          </w:hyperlink>
        </w:p>
        <w:p w14:paraId="1132BEB5"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nnusxaasqdrb">
            <w:r>
              <w:rPr>
                <w:rFonts w:ascii="Arial" w:eastAsia="Arial" w:hAnsi="Arial" w:cs="Arial"/>
                <w:color w:val="000000"/>
              </w:rPr>
              <w:t>Short-Term Financing</w:t>
            </w:r>
            <w:r>
              <w:rPr>
                <w:rFonts w:ascii="Arial" w:eastAsia="Arial" w:hAnsi="Arial" w:cs="Arial"/>
                <w:color w:val="000000"/>
              </w:rPr>
              <w:tab/>
              <w:t>17</w:t>
            </w:r>
          </w:hyperlink>
        </w:p>
        <w:p w14:paraId="62CAE3A5"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5qxdeb9eimh5">
            <w:r>
              <w:rPr>
                <w:rFonts w:ascii="Arial" w:eastAsia="Arial" w:hAnsi="Arial" w:cs="Arial"/>
                <w:color w:val="000000"/>
              </w:rPr>
              <w:t>Long-Term Financing</w:t>
            </w:r>
            <w:r>
              <w:rPr>
                <w:rFonts w:ascii="Arial" w:eastAsia="Arial" w:hAnsi="Arial" w:cs="Arial"/>
                <w:color w:val="000000"/>
              </w:rPr>
              <w:tab/>
              <w:t>18</w:t>
            </w:r>
          </w:hyperlink>
        </w:p>
        <w:p w14:paraId="1C8C0C22"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4npjixiwounc">
            <w:r>
              <w:rPr>
                <w:rFonts w:ascii="Arial" w:eastAsia="Arial" w:hAnsi="Arial" w:cs="Arial"/>
                <w:color w:val="000000"/>
              </w:rPr>
              <w:t>4. Strategic Financial Restructuring Plan</w:t>
            </w:r>
            <w:r>
              <w:rPr>
                <w:rFonts w:ascii="Arial" w:eastAsia="Arial" w:hAnsi="Arial" w:cs="Arial"/>
                <w:color w:val="000000"/>
              </w:rPr>
              <w:tab/>
              <w:t>18</w:t>
            </w:r>
          </w:hyperlink>
        </w:p>
        <w:p w14:paraId="43BA2A00"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wuxy8w6vk2o">
            <w:r>
              <w:rPr>
                <w:rFonts w:ascii="Arial" w:eastAsia="Arial" w:hAnsi="Arial" w:cs="Arial"/>
                <w:color w:val="000000"/>
              </w:rPr>
              <w:t>4.1 Identified Financial Problems</w:t>
            </w:r>
            <w:r>
              <w:rPr>
                <w:rFonts w:ascii="Arial" w:eastAsia="Arial" w:hAnsi="Arial" w:cs="Arial"/>
                <w:color w:val="000000"/>
              </w:rPr>
              <w:tab/>
              <w:t>18</w:t>
            </w:r>
          </w:hyperlink>
        </w:p>
        <w:p w14:paraId="57EA1DF0"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cyrad6qvnxyt">
            <w:r>
              <w:rPr>
                <w:rFonts w:ascii="Arial" w:eastAsia="Arial" w:hAnsi="Arial" w:cs="Arial"/>
                <w:color w:val="000000"/>
              </w:rPr>
              <w:t>4.2 Restructuring Options</w:t>
            </w:r>
            <w:r>
              <w:rPr>
                <w:rFonts w:ascii="Arial" w:eastAsia="Arial" w:hAnsi="Arial" w:cs="Arial"/>
                <w:color w:val="000000"/>
              </w:rPr>
              <w:tab/>
              <w:t>18</w:t>
            </w:r>
          </w:hyperlink>
        </w:p>
        <w:p w14:paraId="4B8B5528"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m4xnb6db34zo">
            <w:r>
              <w:rPr>
                <w:rFonts w:ascii="Arial" w:eastAsia="Arial" w:hAnsi="Arial" w:cs="Arial"/>
                <w:color w:val="000000"/>
              </w:rPr>
              <w:t>Equity Injection</w:t>
            </w:r>
            <w:r>
              <w:rPr>
                <w:rFonts w:ascii="Arial" w:eastAsia="Arial" w:hAnsi="Arial" w:cs="Arial"/>
                <w:color w:val="000000"/>
              </w:rPr>
              <w:tab/>
              <w:t>18</w:t>
            </w:r>
          </w:hyperlink>
        </w:p>
        <w:p w14:paraId="3B4EB89F"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93db2f6f818">
            <w:r>
              <w:rPr>
                <w:rFonts w:ascii="Arial" w:eastAsia="Arial" w:hAnsi="Arial" w:cs="Arial"/>
                <w:color w:val="000000"/>
              </w:rPr>
              <w:t>Debt Restructuring</w:t>
            </w:r>
            <w:r>
              <w:rPr>
                <w:rFonts w:ascii="Arial" w:eastAsia="Arial" w:hAnsi="Arial" w:cs="Arial"/>
                <w:color w:val="000000"/>
              </w:rPr>
              <w:tab/>
              <w:t>19</w:t>
            </w:r>
          </w:hyperlink>
        </w:p>
        <w:p w14:paraId="560D847A"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geoo3qdfb7yh">
            <w:r>
              <w:rPr>
                <w:rFonts w:ascii="Arial" w:eastAsia="Arial" w:hAnsi="Arial" w:cs="Arial"/>
                <w:color w:val="000000"/>
              </w:rPr>
              <w:t>Divestment or Expansion</w:t>
            </w:r>
            <w:r>
              <w:rPr>
                <w:rFonts w:ascii="Arial" w:eastAsia="Arial" w:hAnsi="Arial" w:cs="Arial"/>
                <w:color w:val="000000"/>
              </w:rPr>
              <w:tab/>
              <w:t>19</w:t>
            </w:r>
          </w:hyperlink>
        </w:p>
        <w:p w14:paraId="5FA0188E"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3o8u5mskw3ki">
            <w:r>
              <w:rPr>
                <w:rFonts w:ascii="Arial" w:eastAsia="Arial" w:hAnsi="Arial" w:cs="Arial"/>
                <w:color w:val="000000"/>
              </w:rPr>
              <w:t>4.3 Impact Evaluation</w:t>
            </w:r>
            <w:r>
              <w:rPr>
                <w:rFonts w:ascii="Arial" w:eastAsia="Arial" w:hAnsi="Arial" w:cs="Arial"/>
                <w:color w:val="000000"/>
              </w:rPr>
              <w:tab/>
              <w:t>19</w:t>
            </w:r>
          </w:hyperlink>
        </w:p>
        <w:p w14:paraId="1BDAF06E"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odfu3ygffffl">
            <w:r>
              <w:rPr>
                <w:rFonts w:ascii="Arial" w:eastAsia="Arial" w:hAnsi="Arial" w:cs="Arial"/>
                <w:color w:val="000000"/>
              </w:rPr>
              <w:t>Shareholder Value</w:t>
            </w:r>
            <w:r>
              <w:rPr>
                <w:rFonts w:ascii="Arial" w:eastAsia="Arial" w:hAnsi="Arial" w:cs="Arial"/>
                <w:color w:val="000000"/>
              </w:rPr>
              <w:tab/>
              <w:t>19</w:t>
            </w:r>
          </w:hyperlink>
        </w:p>
        <w:p w14:paraId="39467491"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q61rd5102xo6">
            <w:r>
              <w:rPr>
                <w:rFonts w:ascii="Arial" w:eastAsia="Arial" w:hAnsi="Arial" w:cs="Arial"/>
                <w:color w:val="000000"/>
              </w:rPr>
              <w:t>Capital Structure</w:t>
            </w:r>
            <w:r>
              <w:rPr>
                <w:rFonts w:ascii="Arial" w:eastAsia="Arial" w:hAnsi="Arial" w:cs="Arial"/>
                <w:color w:val="000000"/>
              </w:rPr>
              <w:tab/>
              <w:t>19</w:t>
            </w:r>
          </w:hyperlink>
        </w:p>
        <w:p w14:paraId="5EF2B8E3"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elg60pe5cftt">
            <w:r>
              <w:rPr>
                <w:rFonts w:ascii="Arial" w:eastAsia="Arial" w:hAnsi="Arial" w:cs="Arial"/>
                <w:color w:val="000000"/>
              </w:rPr>
              <w:t>Operational Flexibility</w:t>
            </w:r>
            <w:r>
              <w:rPr>
                <w:rFonts w:ascii="Arial" w:eastAsia="Arial" w:hAnsi="Arial" w:cs="Arial"/>
                <w:color w:val="000000"/>
              </w:rPr>
              <w:tab/>
              <w:t>20</w:t>
            </w:r>
          </w:hyperlink>
        </w:p>
        <w:p w14:paraId="20ABD0FB"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69xboeezmdif">
            <w:r>
              <w:rPr>
                <w:rFonts w:ascii="Arial" w:eastAsia="Arial" w:hAnsi="Arial" w:cs="Arial"/>
                <w:color w:val="000000"/>
              </w:rPr>
              <w:t>4.4 Global &amp; Ethical Considerations</w:t>
            </w:r>
            <w:r>
              <w:rPr>
                <w:rFonts w:ascii="Arial" w:eastAsia="Arial" w:hAnsi="Arial" w:cs="Arial"/>
                <w:color w:val="000000"/>
              </w:rPr>
              <w:tab/>
              <w:t>20</w:t>
            </w:r>
          </w:hyperlink>
        </w:p>
        <w:p w14:paraId="7A7CF1F7"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cyn8si4eqmk3">
            <w:r>
              <w:rPr>
                <w:rFonts w:ascii="Arial" w:eastAsia="Arial" w:hAnsi="Arial" w:cs="Arial"/>
                <w:color w:val="000000"/>
              </w:rPr>
              <w:t>Currency Risk</w:t>
            </w:r>
            <w:r>
              <w:rPr>
                <w:rFonts w:ascii="Arial" w:eastAsia="Arial" w:hAnsi="Arial" w:cs="Arial"/>
                <w:color w:val="000000"/>
              </w:rPr>
              <w:tab/>
              <w:t>20</w:t>
            </w:r>
          </w:hyperlink>
        </w:p>
        <w:p w14:paraId="265B8732"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pvwjquhay5md">
            <w:r>
              <w:rPr>
                <w:rFonts w:ascii="Arial" w:eastAsia="Arial" w:hAnsi="Arial" w:cs="Arial"/>
                <w:color w:val="000000"/>
              </w:rPr>
              <w:t>Inflation</w:t>
            </w:r>
            <w:r>
              <w:rPr>
                <w:rFonts w:ascii="Arial" w:eastAsia="Arial" w:hAnsi="Arial" w:cs="Arial"/>
                <w:color w:val="000000"/>
              </w:rPr>
              <w:tab/>
              <w:t>20</w:t>
            </w:r>
          </w:hyperlink>
        </w:p>
        <w:p w14:paraId="205E4363"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32qhj2s5yp46">
            <w:r>
              <w:rPr>
                <w:rFonts w:ascii="Arial" w:eastAsia="Arial" w:hAnsi="Arial" w:cs="Arial"/>
                <w:color w:val="000000"/>
              </w:rPr>
              <w:t>Taxation</w:t>
            </w:r>
            <w:r>
              <w:rPr>
                <w:rFonts w:ascii="Arial" w:eastAsia="Arial" w:hAnsi="Arial" w:cs="Arial"/>
                <w:color w:val="000000"/>
              </w:rPr>
              <w:tab/>
              <w:t>21</w:t>
            </w:r>
          </w:hyperlink>
        </w:p>
        <w:p w14:paraId="5B4BE59C"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v11g0mbsxid5">
            <w:r>
              <w:rPr>
                <w:rFonts w:ascii="Arial" w:eastAsia="Arial" w:hAnsi="Arial" w:cs="Arial"/>
                <w:color w:val="000000"/>
              </w:rPr>
              <w:t>CSR &amp; Sustainability</w:t>
            </w:r>
            <w:r>
              <w:rPr>
                <w:rFonts w:ascii="Arial" w:eastAsia="Arial" w:hAnsi="Arial" w:cs="Arial"/>
                <w:color w:val="000000"/>
              </w:rPr>
              <w:tab/>
              <w:t>21</w:t>
            </w:r>
          </w:hyperlink>
        </w:p>
        <w:p w14:paraId="09B477CE"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gwqs8z3qppzs">
            <w:r>
              <w:rPr>
                <w:rFonts w:ascii="Arial" w:eastAsia="Arial" w:hAnsi="Arial" w:cs="Arial"/>
                <w:color w:val="000000"/>
              </w:rPr>
              <w:t>5. Investment Appraisal &amp; Capital Budgeting</w:t>
            </w:r>
            <w:r>
              <w:rPr>
                <w:rFonts w:ascii="Arial" w:eastAsia="Arial" w:hAnsi="Arial" w:cs="Arial"/>
                <w:color w:val="000000"/>
              </w:rPr>
              <w:tab/>
              <w:t>22</w:t>
            </w:r>
          </w:hyperlink>
        </w:p>
        <w:p w14:paraId="6B64BD0D"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k03nnparvkiq">
            <w:r>
              <w:rPr>
                <w:rFonts w:ascii="Arial" w:eastAsia="Arial" w:hAnsi="Arial" w:cs="Arial"/>
                <w:color w:val="000000"/>
              </w:rPr>
              <w:t>5.1 Project Evaluation (A)</w:t>
            </w:r>
            <w:r>
              <w:rPr>
                <w:rFonts w:ascii="Arial" w:eastAsia="Arial" w:hAnsi="Arial" w:cs="Arial"/>
                <w:color w:val="000000"/>
              </w:rPr>
              <w:tab/>
              <w:t>22</w:t>
            </w:r>
          </w:hyperlink>
        </w:p>
        <w:p w14:paraId="12B583CD"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1qkhg6rrnv03">
            <w:r>
              <w:rPr>
                <w:rFonts w:ascii="Arial" w:eastAsia="Arial" w:hAnsi="Arial" w:cs="Arial"/>
                <w:color w:val="000000"/>
              </w:rPr>
              <w:t>5.2 Project Evaluation (B)</w:t>
            </w:r>
            <w:r>
              <w:rPr>
                <w:rFonts w:ascii="Arial" w:eastAsia="Arial" w:hAnsi="Arial" w:cs="Arial"/>
                <w:color w:val="000000"/>
              </w:rPr>
              <w:tab/>
              <w:t>23</w:t>
            </w:r>
          </w:hyperlink>
        </w:p>
        <w:p w14:paraId="588E0E7C"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ka33quiq5ghz">
            <w:r>
              <w:rPr>
                <w:rFonts w:ascii="Arial" w:eastAsia="Arial" w:hAnsi="Arial" w:cs="Arial"/>
                <w:color w:val="000000"/>
              </w:rPr>
              <w:t>5.3 Project Evaluation (C)</w:t>
            </w:r>
            <w:r>
              <w:rPr>
                <w:rFonts w:ascii="Arial" w:eastAsia="Arial" w:hAnsi="Arial" w:cs="Arial"/>
                <w:color w:val="000000"/>
              </w:rPr>
              <w:tab/>
              <w:t>24</w:t>
            </w:r>
          </w:hyperlink>
        </w:p>
        <w:p w14:paraId="5CCEA208"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iuxxq5wqxhai">
            <w:r>
              <w:rPr>
                <w:rFonts w:ascii="Arial" w:eastAsia="Arial" w:hAnsi="Arial" w:cs="Arial"/>
                <w:color w:val="000000"/>
              </w:rPr>
              <w:t>5.4 Project Comparison</w:t>
            </w:r>
            <w:r>
              <w:rPr>
                <w:rFonts w:ascii="Arial" w:eastAsia="Arial" w:hAnsi="Arial" w:cs="Arial"/>
                <w:color w:val="000000"/>
              </w:rPr>
              <w:tab/>
              <w:t>25</w:t>
            </w:r>
          </w:hyperlink>
        </w:p>
        <w:p w14:paraId="7E2AF7D3"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ciql35qcwpka">
            <w:r>
              <w:rPr>
                <w:rFonts w:ascii="Arial" w:eastAsia="Arial" w:hAnsi="Arial" w:cs="Arial"/>
                <w:color w:val="000000"/>
              </w:rPr>
              <w:t>5.5 Recommended Project</w:t>
            </w:r>
            <w:r>
              <w:rPr>
                <w:rFonts w:ascii="Arial" w:eastAsia="Arial" w:hAnsi="Arial" w:cs="Arial"/>
                <w:color w:val="000000"/>
              </w:rPr>
              <w:tab/>
              <w:t>25</w:t>
            </w:r>
          </w:hyperlink>
        </w:p>
        <w:p w14:paraId="51726192"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lgpvji2fipt">
            <w:r>
              <w:rPr>
                <w:rFonts w:ascii="Arial" w:eastAsia="Arial" w:hAnsi="Arial" w:cs="Arial"/>
                <w:color w:val="000000"/>
              </w:rPr>
              <w:t>Based on BYD’s Financial Position</w:t>
            </w:r>
            <w:r>
              <w:rPr>
                <w:rFonts w:ascii="Arial" w:eastAsia="Arial" w:hAnsi="Arial" w:cs="Arial"/>
                <w:color w:val="000000"/>
              </w:rPr>
              <w:tab/>
              <w:t>25</w:t>
            </w:r>
          </w:hyperlink>
        </w:p>
        <w:p w14:paraId="2C160B10"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go6eknxkek8t">
            <w:r>
              <w:rPr>
                <w:rFonts w:ascii="Arial" w:eastAsia="Arial" w:hAnsi="Arial" w:cs="Arial"/>
                <w:color w:val="000000"/>
              </w:rPr>
              <w:t>Based on Risk Factors</w:t>
            </w:r>
            <w:r>
              <w:rPr>
                <w:rFonts w:ascii="Arial" w:eastAsia="Arial" w:hAnsi="Arial" w:cs="Arial"/>
                <w:color w:val="000000"/>
              </w:rPr>
              <w:tab/>
              <w:t>26</w:t>
            </w:r>
          </w:hyperlink>
        </w:p>
        <w:p w14:paraId="64B3234D"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rd37otpzuqhq">
            <w:r>
              <w:rPr>
                <w:rFonts w:ascii="Arial" w:eastAsia="Arial" w:hAnsi="Arial" w:cs="Arial"/>
                <w:color w:val="000000"/>
              </w:rPr>
              <w:t>5.4 Capital Rationing Decision</w:t>
            </w:r>
            <w:r>
              <w:rPr>
                <w:rFonts w:ascii="Arial" w:eastAsia="Arial" w:hAnsi="Arial" w:cs="Arial"/>
                <w:color w:val="000000"/>
              </w:rPr>
              <w:tab/>
              <w:t>26</w:t>
            </w:r>
          </w:hyperlink>
        </w:p>
        <w:p w14:paraId="475E2D8B"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8k3liksnlj6">
            <w:r>
              <w:rPr>
                <w:rFonts w:ascii="Arial" w:eastAsia="Arial" w:hAnsi="Arial" w:cs="Arial"/>
                <w:color w:val="000000"/>
              </w:rPr>
              <w:t>Budget Limit: £100 Million</w:t>
            </w:r>
            <w:r>
              <w:rPr>
                <w:rFonts w:ascii="Arial" w:eastAsia="Arial" w:hAnsi="Arial" w:cs="Arial"/>
                <w:color w:val="000000"/>
              </w:rPr>
              <w:tab/>
              <w:t>26</w:t>
            </w:r>
          </w:hyperlink>
        </w:p>
        <w:p w14:paraId="03060EE8" w14:textId="77777777" w:rsidR="00EB4B26" w:rsidRDefault="00000000">
          <w:pPr>
            <w:pBdr>
              <w:top w:val="nil"/>
              <w:left w:val="nil"/>
              <w:bottom w:val="nil"/>
              <w:right w:val="nil"/>
              <w:between w:val="nil"/>
            </w:pBdr>
            <w:tabs>
              <w:tab w:val="right" w:leader="dot" w:pos="9019"/>
            </w:tabs>
            <w:spacing w:after="100"/>
            <w:ind w:left="480"/>
            <w:rPr>
              <w:rFonts w:ascii="Arial" w:eastAsia="Arial" w:hAnsi="Arial" w:cs="Arial"/>
              <w:color w:val="000000"/>
            </w:rPr>
          </w:pPr>
          <w:hyperlink w:anchor="_vq8awdxz2w6k">
            <w:r>
              <w:rPr>
                <w:rFonts w:ascii="Arial" w:eastAsia="Arial" w:hAnsi="Arial" w:cs="Arial"/>
                <w:color w:val="000000"/>
              </w:rPr>
              <w:t>Best Combination of Projects</w:t>
            </w:r>
            <w:r>
              <w:rPr>
                <w:rFonts w:ascii="Arial" w:eastAsia="Arial" w:hAnsi="Arial" w:cs="Arial"/>
                <w:color w:val="000000"/>
              </w:rPr>
              <w:tab/>
              <w:t>27</w:t>
            </w:r>
          </w:hyperlink>
        </w:p>
        <w:p w14:paraId="1A7692DB"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k7drz83v8sum">
            <w:r>
              <w:rPr>
                <w:rFonts w:ascii="Arial" w:eastAsia="Arial" w:hAnsi="Arial" w:cs="Arial"/>
                <w:color w:val="000000"/>
              </w:rPr>
              <w:t>6. Conclusion</w:t>
            </w:r>
            <w:r>
              <w:rPr>
                <w:rFonts w:ascii="Arial" w:eastAsia="Arial" w:hAnsi="Arial" w:cs="Arial"/>
                <w:color w:val="000000"/>
              </w:rPr>
              <w:tab/>
              <w:t>27</w:t>
            </w:r>
          </w:hyperlink>
        </w:p>
        <w:p w14:paraId="51EC945B"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hu7lkyv6gdzs">
            <w:r>
              <w:rPr>
                <w:rFonts w:ascii="Arial" w:eastAsia="Arial" w:hAnsi="Arial" w:cs="Arial"/>
                <w:color w:val="000000"/>
              </w:rPr>
              <w:t>6.1 Summary of Findings</w:t>
            </w:r>
            <w:r>
              <w:rPr>
                <w:rFonts w:ascii="Arial" w:eastAsia="Arial" w:hAnsi="Arial" w:cs="Arial"/>
                <w:color w:val="000000"/>
              </w:rPr>
              <w:tab/>
              <w:t>27</w:t>
            </w:r>
          </w:hyperlink>
        </w:p>
        <w:p w14:paraId="7C044BC2"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dhuyp6q1les3">
            <w:r>
              <w:rPr>
                <w:rFonts w:ascii="Arial" w:eastAsia="Arial" w:hAnsi="Arial" w:cs="Arial"/>
                <w:color w:val="000000"/>
              </w:rPr>
              <w:t>6.2 Final Strategic Recommendations</w:t>
            </w:r>
            <w:r>
              <w:rPr>
                <w:rFonts w:ascii="Arial" w:eastAsia="Arial" w:hAnsi="Arial" w:cs="Arial"/>
                <w:color w:val="000000"/>
              </w:rPr>
              <w:tab/>
              <w:t>27</w:t>
            </w:r>
          </w:hyperlink>
        </w:p>
        <w:p w14:paraId="4BDB5679"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rajmoh13otte">
            <w:r>
              <w:rPr>
                <w:rFonts w:ascii="Arial" w:eastAsia="Arial" w:hAnsi="Arial" w:cs="Arial"/>
                <w:color w:val="000000"/>
              </w:rPr>
              <w:t>7. References</w:t>
            </w:r>
            <w:r>
              <w:rPr>
                <w:rFonts w:ascii="Arial" w:eastAsia="Arial" w:hAnsi="Arial" w:cs="Arial"/>
                <w:color w:val="000000"/>
              </w:rPr>
              <w:tab/>
              <w:t>29</w:t>
            </w:r>
          </w:hyperlink>
        </w:p>
        <w:p w14:paraId="389149AE" w14:textId="77777777" w:rsidR="00EB4B26" w:rsidRDefault="00000000">
          <w:pPr>
            <w:pBdr>
              <w:top w:val="nil"/>
              <w:left w:val="nil"/>
              <w:bottom w:val="nil"/>
              <w:right w:val="nil"/>
              <w:between w:val="nil"/>
            </w:pBdr>
            <w:tabs>
              <w:tab w:val="right" w:leader="dot" w:pos="9019"/>
            </w:tabs>
            <w:spacing w:after="100"/>
            <w:rPr>
              <w:rFonts w:ascii="Arial" w:eastAsia="Arial" w:hAnsi="Arial" w:cs="Arial"/>
              <w:color w:val="000000"/>
            </w:rPr>
          </w:pPr>
          <w:hyperlink w:anchor="_pz1j9t543ian">
            <w:r>
              <w:rPr>
                <w:rFonts w:ascii="Arial" w:eastAsia="Arial" w:hAnsi="Arial" w:cs="Arial"/>
                <w:color w:val="000000"/>
              </w:rPr>
              <w:t>8. Appendices</w:t>
            </w:r>
            <w:r>
              <w:rPr>
                <w:rFonts w:ascii="Arial" w:eastAsia="Arial" w:hAnsi="Arial" w:cs="Arial"/>
                <w:color w:val="000000"/>
              </w:rPr>
              <w:tab/>
              <w:t>32</w:t>
            </w:r>
          </w:hyperlink>
        </w:p>
        <w:p w14:paraId="38C47D5D"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5e9tmtv216sv">
            <w:r>
              <w:rPr>
                <w:rFonts w:ascii="Arial" w:eastAsia="Arial" w:hAnsi="Arial" w:cs="Arial"/>
                <w:color w:val="000000"/>
              </w:rPr>
              <w:t>Appendix A: BYD’s Ratio</w:t>
            </w:r>
            <w:r>
              <w:rPr>
                <w:rFonts w:ascii="Arial" w:eastAsia="Arial" w:hAnsi="Arial" w:cs="Arial"/>
                <w:color w:val="000000"/>
              </w:rPr>
              <w:tab/>
              <w:t>32</w:t>
            </w:r>
          </w:hyperlink>
        </w:p>
        <w:p w14:paraId="650A3ADD" w14:textId="77777777" w:rsidR="00EB4B26" w:rsidRDefault="00000000">
          <w:pPr>
            <w:pBdr>
              <w:top w:val="nil"/>
              <w:left w:val="nil"/>
              <w:bottom w:val="nil"/>
              <w:right w:val="nil"/>
              <w:between w:val="nil"/>
            </w:pBdr>
            <w:tabs>
              <w:tab w:val="right" w:leader="dot" w:pos="9019"/>
            </w:tabs>
            <w:spacing w:after="100"/>
            <w:ind w:left="240"/>
            <w:rPr>
              <w:rFonts w:ascii="Arial" w:eastAsia="Arial" w:hAnsi="Arial" w:cs="Arial"/>
              <w:color w:val="000000"/>
            </w:rPr>
          </w:pPr>
          <w:hyperlink w:anchor="_ikuy7dd77767">
            <w:r>
              <w:rPr>
                <w:rFonts w:ascii="Arial" w:eastAsia="Arial" w:hAnsi="Arial" w:cs="Arial"/>
                <w:color w:val="000000"/>
              </w:rPr>
              <w:t>Appendix B: Investment Calculations for Project (A, B, C)</w:t>
            </w:r>
            <w:r>
              <w:rPr>
                <w:rFonts w:ascii="Arial" w:eastAsia="Arial" w:hAnsi="Arial" w:cs="Arial"/>
                <w:color w:val="000000"/>
              </w:rPr>
              <w:tab/>
              <w:t>37</w:t>
            </w:r>
          </w:hyperlink>
        </w:p>
        <w:p w14:paraId="54812792" w14:textId="77777777" w:rsidR="00EB4B26" w:rsidRDefault="00000000">
          <w:pPr>
            <w:pBdr>
              <w:top w:val="nil"/>
              <w:left w:val="nil"/>
              <w:bottom w:val="nil"/>
              <w:right w:val="nil"/>
              <w:between w:val="nil"/>
            </w:pBdr>
            <w:tabs>
              <w:tab w:val="right" w:leader="dot" w:pos="9019"/>
            </w:tabs>
            <w:spacing w:after="100"/>
            <w:rPr>
              <w:rFonts w:ascii="Cambria" w:eastAsia="Cambria" w:hAnsi="Cambria" w:cs="Cambria"/>
              <w:color w:val="000000"/>
            </w:rPr>
          </w:pPr>
          <w:hyperlink w:anchor="_fcvjob1y336j">
            <w:r>
              <w:rPr>
                <w:rFonts w:ascii="Arial" w:eastAsia="Arial" w:hAnsi="Arial" w:cs="Arial"/>
                <w:color w:val="000000"/>
              </w:rPr>
              <w:t>AI Acknowledgement</w:t>
            </w:r>
            <w:r>
              <w:rPr>
                <w:rFonts w:ascii="Arial" w:eastAsia="Arial" w:hAnsi="Arial" w:cs="Arial"/>
                <w:color w:val="000000"/>
              </w:rPr>
              <w:tab/>
              <w:t>42</w:t>
            </w:r>
          </w:hyperlink>
        </w:p>
        <w:p w14:paraId="79D7EC78" w14:textId="77777777" w:rsidR="00EB4B26" w:rsidRDefault="00000000">
          <w:pPr>
            <w:widowControl w:val="0"/>
            <w:tabs>
              <w:tab w:val="right" w:pos="12000"/>
            </w:tabs>
            <w:spacing w:before="0" w:after="0"/>
            <w:ind w:left="360"/>
            <w:jc w:val="left"/>
            <w:rPr>
              <w:rFonts w:ascii="Arial" w:eastAsia="Arial" w:hAnsi="Arial" w:cs="Arial"/>
              <w:color w:val="000000"/>
              <w:sz w:val="22"/>
              <w:szCs w:val="22"/>
            </w:rPr>
          </w:pPr>
          <w:r>
            <w:fldChar w:fldCharType="end"/>
          </w:r>
        </w:p>
      </w:sdtContent>
    </w:sdt>
    <w:p w14:paraId="6B97AF07" w14:textId="77777777" w:rsidR="00EB4B26" w:rsidRDefault="00000000">
      <w:pPr>
        <w:spacing w:before="0"/>
        <w:rPr>
          <w:rFonts w:ascii="Arial" w:eastAsia="Arial" w:hAnsi="Arial" w:cs="Arial"/>
        </w:rPr>
      </w:pPr>
      <w:r>
        <w:br w:type="page"/>
      </w:r>
    </w:p>
    <w:p w14:paraId="35228E10" w14:textId="77777777" w:rsidR="00EB4B26" w:rsidRDefault="00000000">
      <w:pPr>
        <w:pStyle w:val="Heading1"/>
      </w:pPr>
      <w:bookmarkStart w:id="0" w:name="_b6bgo9ee2d4b" w:colFirst="0" w:colLast="0"/>
      <w:bookmarkEnd w:id="0"/>
      <w:r>
        <w:lastRenderedPageBreak/>
        <w:t>1. Introduction</w:t>
      </w:r>
    </w:p>
    <w:p w14:paraId="09B0D2A8" w14:textId="77777777" w:rsidR="00EB4B26" w:rsidRDefault="00000000">
      <w:pPr>
        <w:pStyle w:val="Heading2"/>
      </w:pPr>
      <w:bookmarkStart w:id="1" w:name="_z5jhoa9bdibi" w:colFirst="0" w:colLast="0"/>
      <w:bookmarkEnd w:id="1"/>
      <w:r>
        <w:t>1.1 Overview of BYD</w:t>
      </w:r>
    </w:p>
    <w:p w14:paraId="5F8E3E83" w14:textId="77777777" w:rsidR="00EB4B26" w:rsidRDefault="00000000">
      <w:pPr>
        <w:spacing w:before="0"/>
        <w:rPr>
          <w:rFonts w:ascii="Arial" w:eastAsia="Arial" w:hAnsi="Arial" w:cs="Arial"/>
        </w:rPr>
      </w:pPr>
      <w:r>
        <w:rPr>
          <w:rFonts w:ascii="Arial" w:eastAsia="Arial" w:hAnsi="Arial" w:cs="Arial"/>
        </w:rPr>
        <w:t>BYD Company Limited is arguably one of the most successful manufacturers of electric vehicle (EV) in the world with its corporate headquarters in China and high reputation in battery technology and new energy vehicles. In recent years, BYD has grown at a very fast rate as the global market has developed and greater attention to sustainable transportation as well as the relevant governmental policies in the field of low-carbon development. Between 2024 automobiles, rechargeable batteries, and electronic components, the company is in many segments, which offers it a vertically integrated business model and competitive cost and innovation advantages (BYD, 2024). The EV market has grown tremendously all over the world, and China has become one of the leading players, owing to the favourable regulations and technology.</w:t>
      </w:r>
    </w:p>
    <w:p w14:paraId="6F010C5E" w14:textId="77777777" w:rsidR="00EB4B26" w:rsidRDefault="00000000">
      <w:pPr>
        <w:pStyle w:val="Heading1"/>
      </w:pPr>
      <w:bookmarkStart w:id="2" w:name="_h6l94k32iu9f" w:colFirst="0" w:colLast="0"/>
      <w:bookmarkEnd w:id="2"/>
      <w:r>
        <w:lastRenderedPageBreak/>
        <w:t>2. Financial Health Check</w:t>
      </w:r>
    </w:p>
    <w:p w14:paraId="164457C1" w14:textId="77777777" w:rsidR="00EB4B26" w:rsidRDefault="00000000">
      <w:pPr>
        <w:pStyle w:val="Heading2"/>
      </w:pPr>
      <w:bookmarkStart w:id="3" w:name="_c9enwzpsf2y4" w:colFirst="0" w:colLast="0"/>
      <w:bookmarkEnd w:id="3"/>
      <w:r>
        <w:t>2.1 Financial Statements Overview (5 years)</w:t>
      </w:r>
    </w:p>
    <w:p w14:paraId="56E74647" w14:textId="77777777" w:rsidR="00EB4B26" w:rsidRDefault="00000000">
      <w:pPr>
        <w:pStyle w:val="Heading3"/>
      </w:pPr>
      <w:bookmarkStart w:id="4" w:name="_z561m6ttgrhy" w:colFirst="0" w:colLast="0"/>
      <w:bookmarkEnd w:id="4"/>
      <w:r>
        <w:t>BYD's Income Statement</w:t>
      </w:r>
    </w:p>
    <w:p w14:paraId="017FF05B"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3A59D841" wp14:editId="23CA1A8B">
            <wp:extent cx="4771903" cy="4771633"/>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771903" cy="4771633"/>
                    </a:xfrm>
                    <a:prstGeom prst="rect">
                      <a:avLst/>
                    </a:prstGeom>
                    <a:ln/>
                  </pic:spPr>
                </pic:pic>
              </a:graphicData>
            </a:graphic>
          </wp:inline>
        </w:drawing>
      </w:r>
    </w:p>
    <w:p w14:paraId="24348F61" w14:textId="77777777" w:rsidR="00EB4B26" w:rsidRDefault="00000000">
      <w:pPr>
        <w:spacing w:before="0"/>
        <w:jc w:val="center"/>
        <w:rPr>
          <w:rFonts w:ascii="Arial" w:eastAsia="Arial" w:hAnsi="Arial" w:cs="Arial"/>
          <w:b/>
          <w:bCs/>
        </w:rPr>
      </w:pPr>
      <w:r>
        <w:rPr>
          <w:rFonts w:ascii="Arial" w:eastAsia="Arial" w:hAnsi="Arial" w:cs="Arial"/>
          <w:b/>
          <w:bCs/>
        </w:rPr>
        <w:t xml:space="preserve">Figure 1: Income Statement for BYD </w:t>
      </w:r>
    </w:p>
    <w:p w14:paraId="0F6D382F" w14:textId="77777777" w:rsidR="00EB4B26" w:rsidRDefault="00000000">
      <w:pPr>
        <w:spacing w:before="0"/>
        <w:jc w:val="center"/>
        <w:rPr>
          <w:rFonts w:ascii="Arial" w:eastAsia="Arial" w:hAnsi="Arial" w:cs="Arial"/>
        </w:rPr>
      </w:pPr>
      <w:r>
        <w:rPr>
          <w:rFonts w:ascii="Arial" w:eastAsia="Arial" w:hAnsi="Arial" w:cs="Arial"/>
        </w:rPr>
        <w:t>(Source: MS-Excel)</w:t>
      </w:r>
    </w:p>
    <w:p w14:paraId="6C112E0A" w14:textId="77777777" w:rsidR="00EB4B26" w:rsidRDefault="00000000">
      <w:pPr>
        <w:spacing w:before="0"/>
        <w:rPr>
          <w:rFonts w:ascii="Arial" w:eastAsia="Arial" w:hAnsi="Arial" w:cs="Arial"/>
        </w:rPr>
      </w:pPr>
      <w:r>
        <w:rPr>
          <w:rFonts w:ascii="Arial" w:eastAsia="Arial" w:hAnsi="Arial" w:cs="Arial"/>
        </w:rPr>
        <w:t xml:space="preserve">The income statement of BYD shows a good growth of revenue during the years; the sales are higher in 2024 with sales amounting to RMB 777,102 million, as compared to 2020 due to a revenue of RMB 153,469 million. This is an indication of fast growth, leading to increased international demand for electric cars and market positioning. Nevertheless, the operating cost, too, scaled up accordingly, surpassing RMB 620,046 million in 2024, which suggests that margins are under strain because of inflated </w:t>
      </w:r>
      <w:r>
        <w:rPr>
          <w:rFonts w:ascii="Arial" w:eastAsia="Arial" w:hAnsi="Arial" w:cs="Arial"/>
        </w:rPr>
        <w:lastRenderedPageBreak/>
        <w:t>production and material expenses (BYD, 2024). The net profit increased significantly, from 4,516 million in 2020 to 41,588 million in 2024, indicating that it managed to operate at a better profit level despite the cost issues. The growth of selling and administrative costs implies the continuous investment into growth and market expansion (BYD, 2023). Altogether, the financial performance of BYD brings to the fore high growth rates of revenue based on scaling operations but under maintenance of costs.</w:t>
      </w:r>
    </w:p>
    <w:p w14:paraId="6A201859" w14:textId="77777777" w:rsidR="00EB4B26" w:rsidRDefault="00000000">
      <w:pPr>
        <w:pStyle w:val="Heading3"/>
      </w:pPr>
      <w:bookmarkStart w:id="5" w:name="_isvmjwlof0o1" w:colFirst="0" w:colLast="0"/>
      <w:bookmarkEnd w:id="5"/>
      <w:r>
        <w:lastRenderedPageBreak/>
        <w:t>BYD's Balance Sheet</w:t>
      </w:r>
    </w:p>
    <w:p w14:paraId="6C530757"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1B6913AD" wp14:editId="29248AC6">
            <wp:extent cx="4122712" cy="6789901"/>
            <wp:effectExtent l="0" t="0" r="0" b="0"/>
            <wp:docPr id="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8"/>
                    <a:srcRect/>
                    <a:stretch>
                      <a:fillRect/>
                    </a:stretch>
                  </pic:blipFill>
                  <pic:spPr>
                    <a:xfrm>
                      <a:off x="0" y="0"/>
                      <a:ext cx="4122712" cy="6789901"/>
                    </a:xfrm>
                    <a:prstGeom prst="rect">
                      <a:avLst/>
                    </a:prstGeom>
                    <a:ln/>
                  </pic:spPr>
                </pic:pic>
              </a:graphicData>
            </a:graphic>
          </wp:inline>
        </w:drawing>
      </w:r>
    </w:p>
    <w:p w14:paraId="484D7BDB" w14:textId="77777777" w:rsidR="00EB4B26" w:rsidRDefault="00000000">
      <w:pPr>
        <w:spacing w:before="0"/>
        <w:jc w:val="center"/>
        <w:rPr>
          <w:rFonts w:ascii="Arial" w:eastAsia="Arial" w:hAnsi="Arial" w:cs="Arial"/>
          <w:b/>
          <w:bCs/>
        </w:rPr>
      </w:pPr>
      <w:r>
        <w:rPr>
          <w:rFonts w:ascii="Arial" w:eastAsia="Arial" w:hAnsi="Arial" w:cs="Arial"/>
          <w:b/>
          <w:bCs/>
        </w:rPr>
        <w:t xml:space="preserve">Figure 2: Balance Sheet for BYD </w:t>
      </w:r>
    </w:p>
    <w:p w14:paraId="5F956616" w14:textId="77777777" w:rsidR="00EB4B26" w:rsidRDefault="00000000">
      <w:pPr>
        <w:spacing w:before="0"/>
        <w:jc w:val="center"/>
        <w:rPr>
          <w:rFonts w:ascii="Arial" w:eastAsia="Arial" w:hAnsi="Arial" w:cs="Arial"/>
        </w:rPr>
      </w:pPr>
      <w:r>
        <w:rPr>
          <w:rFonts w:ascii="Arial" w:eastAsia="Arial" w:hAnsi="Arial" w:cs="Arial"/>
        </w:rPr>
        <w:t>(Source: MS-Excel)</w:t>
      </w:r>
    </w:p>
    <w:p w14:paraId="017A388E" w14:textId="77777777" w:rsidR="00EB4B26" w:rsidRDefault="00000000">
      <w:pPr>
        <w:spacing w:before="0"/>
        <w:rPr>
          <w:rFonts w:ascii="Arial" w:eastAsia="Arial" w:hAnsi="Arial" w:cs="Arial"/>
        </w:rPr>
      </w:pPr>
      <w:r>
        <w:rPr>
          <w:rFonts w:ascii="Arial" w:eastAsia="Arial" w:hAnsi="Arial" w:cs="Arial"/>
        </w:rPr>
        <w:lastRenderedPageBreak/>
        <w:t>According to the balance sheet, BYD has experienced a significant growth in its asset base during the period of five years, with the total assets becoming RMB 679,548 million in 2024, compared to around RMB 201,017 million in 2020. The reason behind this growth is largely the massive growth in non-current assets, which denote great investments in production capacities and technology (BYD, 2022). Current assets increased steadily as well, with the help of the increase in inventories and due to growth in sales volumes, and receivables. On the liabilities section, there was an increase in total liabilities as RMB 116,321 million increased to RMB 475,003 million, which implies the use of debt financing to finance growth. But, the equity of shareholders also improved, becoming RMB 204.545 million in 2024, which indicates the increase in retained earnings (BYD, 2024). The balance sheet (on the whole) shows rapid growth with growing financial leverage and a better capital base.</w:t>
      </w:r>
    </w:p>
    <w:p w14:paraId="48D85BE7" w14:textId="77777777" w:rsidR="00EB4B26" w:rsidRDefault="00000000">
      <w:pPr>
        <w:pStyle w:val="Heading3"/>
      </w:pPr>
      <w:bookmarkStart w:id="6" w:name="_c2xii7zgbe0m" w:colFirst="0" w:colLast="0"/>
      <w:bookmarkEnd w:id="6"/>
      <w:r>
        <w:t>BYD’s Cash Flow Statement</w:t>
      </w:r>
    </w:p>
    <w:p w14:paraId="2F4A8F3A"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79EC86DF" wp14:editId="01FF1B04">
            <wp:extent cx="5731200" cy="1054100"/>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731200" cy="1054100"/>
                    </a:xfrm>
                    <a:prstGeom prst="rect">
                      <a:avLst/>
                    </a:prstGeom>
                    <a:ln/>
                  </pic:spPr>
                </pic:pic>
              </a:graphicData>
            </a:graphic>
          </wp:inline>
        </w:drawing>
      </w:r>
    </w:p>
    <w:p w14:paraId="5A656EFF" w14:textId="77777777" w:rsidR="00EB4B26" w:rsidRDefault="00000000">
      <w:pPr>
        <w:spacing w:before="0"/>
        <w:jc w:val="center"/>
        <w:rPr>
          <w:rFonts w:ascii="Arial" w:eastAsia="Arial" w:hAnsi="Arial" w:cs="Arial"/>
          <w:b/>
          <w:bCs/>
        </w:rPr>
      </w:pPr>
      <w:r>
        <w:rPr>
          <w:rFonts w:ascii="Arial" w:eastAsia="Arial" w:hAnsi="Arial" w:cs="Arial"/>
          <w:b/>
          <w:bCs/>
        </w:rPr>
        <w:t xml:space="preserve">Figure 3: Cash Flow Statement for BYD </w:t>
      </w:r>
    </w:p>
    <w:p w14:paraId="00601F0E" w14:textId="77777777" w:rsidR="00EB4B26" w:rsidRDefault="00000000">
      <w:pPr>
        <w:spacing w:before="0"/>
        <w:jc w:val="center"/>
        <w:rPr>
          <w:rFonts w:ascii="Arial" w:eastAsia="Arial" w:hAnsi="Arial" w:cs="Arial"/>
        </w:rPr>
      </w:pPr>
      <w:r>
        <w:rPr>
          <w:rFonts w:ascii="Arial" w:eastAsia="Arial" w:hAnsi="Arial" w:cs="Arial"/>
        </w:rPr>
        <w:t>(Source: MS-Excel)</w:t>
      </w:r>
    </w:p>
    <w:p w14:paraId="02941D94" w14:textId="77777777" w:rsidR="00EB4B26" w:rsidRDefault="00000000">
      <w:pPr>
        <w:spacing w:before="0"/>
        <w:rPr>
          <w:rFonts w:ascii="Arial" w:eastAsia="Arial" w:hAnsi="Arial" w:cs="Arial"/>
        </w:rPr>
      </w:pPr>
      <w:r>
        <w:rPr>
          <w:rFonts w:ascii="Arial" w:eastAsia="Arial" w:hAnsi="Arial" w:cs="Arial"/>
        </w:rPr>
        <w:t xml:space="preserve">According to the cash flow statement of BYD, the operating cash flows experienced a positive growth throughout the five years with the operating cash flows rising significantly between 2020 and 2024 to approximately RMB 45,707 million and RMB 169,725 million, respectively (BYD, 2020; BYD, 2024). This is an indication of better core business performance and an increase in cash generation due to the increased vehicle sales. Nevertheless, the investing operations are characterized by always negative cash flows, which amounted to approximately RMB -12,90,82,282 in 2024 because of large investments in production facilities and technology development. The financing of cash flows also varied greatly, as over recent years, the inflows have been higher, which means that it depends on external funding to sustain growth. Generally, the company has a high operational cash generation business, but the large </w:t>
      </w:r>
      <w:r>
        <w:rPr>
          <w:rFonts w:ascii="Arial" w:eastAsia="Arial" w:hAnsi="Arial" w:cs="Arial"/>
        </w:rPr>
        <w:lastRenderedPageBreak/>
        <w:t>investment outflow speaks more about the ambitious expansion plan and highly capital-intensive business model that BYD pursues.</w:t>
      </w:r>
    </w:p>
    <w:p w14:paraId="073F60CE" w14:textId="77777777" w:rsidR="00EB4B26" w:rsidRDefault="00000000">
      <w:pPr>
        <w:pStyle w:val="Heading2"/>
      </w:pPr>
      <w:bookmarkStart w:id="7" w:name="_9pzkvggwje64" w:colFirst="0" w:colLast="0"/>
      <w:bookmarkEnd w:id="7"/>
      <w:r>
        <w:t>2.2 Ratio Analysis</w:t>
      </w:r>
    </w:p>
    <w:p w14:paraId="25717CDE" w14:textId="77777777" w:rsidR="00EB4B26" w:rsidRDefault="00000000">
      <w:pPr>
        <w:pStyle w:val="Heading3"/>
      </w:pPr>
      <w:bookmarkStart w:id="8" w:name="_6ileif5tk37r" w:colFirst="0" w:colLast="0"/>
      <w:bookmarkEnd w:id="8"/>
      <w:r>
        <w:t>Profitability Ratios</w:t>
      </w:r>
    </w:p>
    <w:p w14:paraId="0DD01386" w14:textId="77777777" w:rsidR="00EB4B26" w:rsidRDefault="00000000">
      <w:pPr>
        <w:spacing w:before="0"/>
        <w:rPr>
          <w:rFonts w:ascii="Arial" w:eastAsia="Arial" w:hAnsi="Arial" w:cs="Arial"/>
        </w:rPr>
      </w:pPr>
      <w:r>
        <w:rPr>
          <w:rFonts w:ascii="Arial" w:eastAsia="Arial" w:hAnsi="Arial" w:cs="Arial"/>
        </w:rPr>
        <w:t>The ratios of profitability show the capacity of the firm to make returns in comparison to revenue and equity. BYD’s return on equity increased significantly from 3.81% in 2021 to 20.93% in 2024, indicating improved shareholder returns. Equally, net profit margin increased by 1.84% to 5.35%, indicating improved cost management and efficiency. Such an advancement is motivated by economies of scale along with increased EV demand in the world (Khaleel et al., 2024). This positive trend indicates higher financial performance and competitive positioning, though margins are quite that due to the large cost of production and investments in technologies (Ma, 2023).</w:t>
      </w:r>
    </w:p>
    <w:p w14:paraId="0289C6B9" w14:textId="77777777" w:rsidR="00EB4B26" w:rsidRDefault="00000000">
      <w:pPr>
        <w:spacing w:before="0"/>
        <w:jc w:val="center"/>
        <w:rPr>
          <w:rFonts w:ascii="Arial" w:eastAsia="Arial" w:hAnsi="Arial" w:cs="Arial"/>
        </w:rPr>
      </w:pPr>
      <w:r>
        <w:rPr>
          <w:noProof/>
        </w:rPr>
        <w:drawing>
          <wp:inline distT="0" distB="0" distL="0" distR="0" wp14:anchorId="32BC21A0" wp14:editId="7662C14E">
            <wp:extent cx="5066215" cy="2908044"/>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066215" cy="2908044"/>
                    </a:xfrm>
                    <a:prstGeom prst="rect">
                      <a:avLst/>
                    </a:prstGeom>
                    <a:ln/>
                  </pic:spPr>
                </pic:pic>
              </a:graphicData>
            </a:graphic>
          </wp:inline>
        </w:drawing>
      </w:r>
    </w:p>
    <w:p w14:paraId="7A996A87" w14:textId="77777777" w:rsidR="00EB4B26" w:rsidRDefault="00000000">
      <w:pPr>
        <w:spacing w:before="0"/>
        <w:jc w:val="center"/>
        <w:rPr>
          <w:rFonts w:ascii="Arial" w:eastAsia="Arial" w:hAnsi="Arial" w:cs="Arial"/>
          <w:b/>
          <w:bCs/>
        </w:rPr>
      </w:pPr>
      <w:r>
        <w:rPr>
          <w:rFonts w:ascii="Arial" w:eastAsia="Arial" w:hAnsi="Arial" w:cs="Arial"/>
          <w:b/>
          <w:bCs/>
        </w:rPr>
        <w:t>Figure 4: Profitability Ratios for BYD</w:t>
      </w:r>
    </w:p>
    <w:p w14:paraId="6A98B1E5" w14:textId="77777777" w:rsidR="00EB4B26" w:rsidRDefault="00000000">
      <w:pPr>
        <w:spacing w:before="0"/>
        <w:jc w:val="center"/>
        <w:rPr>
          <w:rFonts w:ascii="Arial" w:eastAsia="Arial" w:hAnsi="Arial" w:cs="Arial"/>
        </w:rPr>
      </w:pPr>
      <w:r>
        <w:rPr>
          <w:rFonts w:ascii="Arial" w:eastAsia="Arial" w:hAnsi="Arial" w:cs="Arial"/>
        </w:rPr>
        <w:t>(Source: Excel)</w:t>
      </w:r>
    </w:p>
    <w:p w14:paraId="7EED8643" w14:textId="77777777" w:rsidR="00EB4B26" w:rsidRDefault="00000000">
      <w:pPr>
        <w:pStyle w:val="Heading3"/>
      </w:pPr>
      <w:bookmarkStart w:id="9" w:name="_6o7adbexxqxl" w:colFirst="0" w:colLast="0"/>
      <w:bookmarkEnd w:id="9"/>
      <w:r>
        <w:t>Liquidity Ratios</w:t>
      </w:r>
    </w:p>
    <w:p w14:paraId="7944C401" w14:textId="77777777" w:rsidR="00EB4B26" w:rsidRDefault="00000000">
      <w:pPr>
        <w:spacing w:before="0"/>
        <w:rPr>
          <w:rFonts w:ascii="Arial" w:eastAsia="Arial" w:hAnsi="Arial" w:cs="Arial"/>
        </w:rPr>
      </w:pPr>
      <w:r>
        <w:rPr>
          <w:rFonts w:ascii="Arial" w:eastAsia="Arial" w:hAnsi="Arial" w:cs="Arial"/>
        </w:rPr>
        <w:t xml:space="preserve">Liquidity ratios determine how a given firm can fulfil short-term liquidity needs. Compared to 2020 (1.05) and 2024 (0.75), BYD experienced a decrease in its current </w:t>
      </w:r>
      <w:r>
        <w:rPr>
          <w:rFonts w:ascii="Arial" w:eastAsia="Arial" w:hAnsi="Arial" w:cs="Arial"/>
        </w:rPr>
        <w:lastRenderedPageBreak/>
        <w:t>ratio (0.51), and in its acid-test ratio (0.75), thus a decrease in short-term liquidity. A ratio of less than 1 indicates a possible inability to meet the current liabilities without funding through the sale of assets. The “Cash ratio” increased from 2020 (0.13) to 2024 (0.21). The reason behind this reduction is probably the rapid growth, which is accompanied by short-term liabilities and working capital strain. Nevertheless, it is typical of fast-developing EV companies with significant investment in operations (Wang et al., 2024). On the whole, BYD is struggling with liquidity constraints despite high growth.</w:t>
      </w:r>
    </w:p>
    <w:p w14:paraId="5E204A61" w14:textId="77777777" w:rsidR="00EB4B26" w:rsidRDefault="00000000">
      <w:pPr>
        <w:spacing w:before="0"/>
        <w:jc w:val="center"/>
        <w:rPr>
          <w:rFonts w:ascii="Arial" w:eastAsia="Arial" w:hAnsi="Arial" w:cs="Arial"/>
        </w:rPr>
      </w:pPr>
      <w:r>
        <w:rPr>
          <w:noProof/>
        </w:rPr>
        <w:drawing>
          <wp:inline distT="0" distB="0" distL="0" distR="0" wp14:anchorId="459EB76F" wp14:editId="74EFFEF4">
            <wp:extent cx="4541914" cy="2712955"/>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41914" cy="2712955"/>
                    </a:xfrm>
                    <a:prstGeom prst="rect">
                      <a:avLst/>
                    </a:prstGeom>
                    <a:ln/>
                  </pic:spPr>
                </pic:pic>
              </a:graphicData>
            </a:graphic>
          </wp:inline>
        </w:drawing>
      </w:r>
    </w:p>
    <w:p w14:paraId="17D25A5C" w14:textId="77777777" w:rsidR="00EB4B26" w:rsidRDefault="00000000">
      <w:pPr>
        <w:spacing w:before="0"/>
        <w:jc w:val="center"/>
        <w:rPr>
          <w:rFonts w:ascii="Arial" w:eastAsia="Arial" w:hAnsi="Arial" w:cs="Arial"/>
          <w:b/>
          <w:bCs/>
        </w:rPr>
      </w:pPr>
      <w:r>
        <w:rPr>
          <w:rFonts w:ascii="Arial" w:eastAsia="Arial" w:hAnsi="Arial" w:cs="Arial"/>
          <w:b/>
          <w:bCs/>
        </w:rPr>
        <w:t>Figure 5: Liquidity Ratios for BYD</w:t>
      </w:r>
    </w:p>
    <w:p w14:paraId="7BE13D35" w14:textId="77777777" w:rsidR="00EB4B26" w:rsidRDefault="00000000">
      <w:pPr>
        <w:spacing w:before="0"/>
        <w:jc w:val="center"/>
        <w:rPr>
          <w:rFonts w:ascii="Arial" w:eastAsia="Arial" w:hAnsi="Arial" w:cs="Arial"/>
        </w:rPr>
      </w:pPr>
      <w:r>
        <w:rPr>
          <w:rFonts w:ascii="Arial" w:eastAsia="Arial" w:hAnsi="Arial" w:cs="Arial"/>
        </w:rPr>
        <w:t>(Source: Excel)</w:t>
      </w:r>
    </w:p>
    <w:p w14:paraId="0AF60687" w14:textId="77777777" w:rsidR="00EB4B26" w:rsidRDefault="00000000">
      <w:pPr>
        <w:pStyle w:val="Heading3"/>
      </w:pPr>
      <w:bookmarkStart w:id="10" w:name="_5cu9okyk90c5" w:colFirst="0" w:colLast="0"/>
      <w:bookmarkEnd w:id="10"/>
      <w:r>
        <w:t>Efficiency Ratios</w:t>
      </w:r>
    </w:p>
    <w:p w14:paraId="1B652EA7" w14:textId="77777777" w:rsidR="00EB4B26" w:rsidRDefault="00000000">
      <w:pPr>
        <w:spacing w:before="0"/>
        <w:rPr>
          <w:rFonts w:ascii="Arial" w:eastAsia="Arial" w:hAnsi="Arial" w:cs="Arial"/>
        </w:rPr>
      </w:pPr>
      <w:r>
        <w:rPr>
          <w:rFonts w:ascii="Arial" w:eastAsia="Arial" w:hAnsi="Arial" w:cs="Arial"/>
        </w:rPr>
        <w:t xml:space="preserve">Efficiency ratios are used to assess the efficiency with which the company utilizes its assets. The receivables turnover at BYD showed varied trends, indicating that it experienced decreased receivables turnover in 2020 and 2024, respectively, 28.71 and 12.47. Contrarily, the inventory turnover increased to 6.70, compared to 4.89, which means that the company has better inventory management and a quicker stock turnover. The “asset turnover” and “fixed asset turnover” are improved in 2024 like 0.99 and 2.34 respectively. This indicates a more productive production level and market demand in EV (Mo et al., 2022). There is an increase in inventory management, </w:t>
      </w:r>
      <w:r>
        <w:rPr>
          <w:rFonts w:ascii="Arial" w:eastAsia="Arial" w:hAnsi="Arial" w:cs="Arial"/>
        </w:rPr>
        <w:lastRenderedPageBreak/>
        <w:t>but reducing the efficiency of receivables could mean a longer credit term or higher volume of sales and special attention to working capital needs.</w:t>
      </w:r>
    </w:p>
    <w:p w14:paraId="13BB8CB2" w14:textId="77777777" w:rsidR="00EB4B26" w:rsidRDefault="00000000">
      <w:pPr>
        <w:spacing w:before="0"/>
        <w:jc w:val="center"/>
        <w:rPr>
          <w:rFonts w:ascii="Arial" w:eastAsia="Arial" w:hAnsi="Arial" w:cs="Arial"/>
        </w:rPr>
      </w:pPr>
      <w:r>
        <w:rPr>
          <w:noProof/>
        </w:rPr>
        <w:drawing>
          <wp:inline distT="0" distB="0" distL="0" distR="0" wp14:anchorId="3614CA7B" wp14:editId="56A8A3A1">
            <wp:extent cx="4535817" cy="2908044"/>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35817" cy="2908044"/>
                    </a:xfrm>
                    <a:prstGeom prst="rect">
                      <a:avLst/>
                    </a:prstGeom>
                    <a:ln/>
                  </pic:spPr>
                </pic:pic>
              </a:graphicData>
            </a:graphic>
          </wp:inline>
        </w:drawing>
      </w:r>
    </w:p>
    <w:p w14:paraId="1D113BD8" w14:textId="77777777" w:rsidR="00EB4B26" w:rsidRDefault="00000000">
      <w:pPr>
        <w:spacing w:before="0"/>
        <w:jc w:val="center"/>
        <w:rPr>
          <w:rFonts w:ascii="Arial" w:eastAsia="Arial" w:hAnsi="Arial" w:cs="Arial"/>
          <w:b/>
          <w:bCs/>
        </w:rPr>
      </w:pPr>
      <w:r>
        <w:rPr>
          <w:rFonts w:ascii="Arial" w:eastAsia="Arial" w:hAnsi="Arial" w:cs="Arial"/>
          <w:b/>
          <w:bCs/>
        </w:rPr>
        <w:t>Figure 6: Efficiency Ratios for BYD</w:t>
      </w:r>
    </w:p>
    <w:p w14:paraId="39318345" w14:textId="77777777" w:rsidR="00EB4B26" w:rsidRDefault="00000000">
      <w:pPr>
        <w:spacing w:before="0"/>
        <w:jc w:val="center"/>
        <w:rPr>
          <w:rFonts w:ascii="Arial" w:eastAsia="Arial" w:hAnsi="Arial" w:cs="Arial"/>
        </w:rPr>
      </w:pPr>
      <w:r>
        <w:rPr>
          <w:rFonts w:ascii="Arial" w:eastAsia="Arial" w:hAnsi="Arial" w:cs="Arial"/>
        </w:rPr>
        <w:t>(Source: Excel)</w:t>
      </w:r>
    </w:p>
    <w:p w14:paraId="3B85B194" w14:textId="77777777" w:rsidR="00EB4B26" w:rsidRDefault="00000000">
      <w:pPr>
        <w:pStyle w:val="Heading3"/>
      </w:pPr>
      <w:bookmarkStart w:id="11" w:name="_gtj0vd90zkid" w:colFirst="0" w:colLast="0"/>
      <w:bookmarkEnd w:id="11"/>
      <w:r>
        <w:t>Gearing Ratios</w:t>
      </w:r>
    </w:p>
    <w:p w14:paraId="12FA477F" w14:textId="77777777" w:rsidR="00EB4B26" w:rsidRDefault="00000000">
      <w:pPr>
        <w:spacing w:before="0"/>
        <w:rPr>
          <w:rFonts w:ascii="Arial" w:eastAsia="Arial" w:hAnsi="Arial" w:cs="Arial"/>
        </w:rPr>
      </w:pPr>
      <w:r>
        <w:rPr>
          <w:rFonts w:ascii="Arial" w:eastAsia="Arial" w:hAnsi="Arial" w:cs="Arial"/>
        </w:rPr>
        <w:t>Gearing ratios are a measure of risk and financial leverage. BYD also had a high debt-to-equity ratio, with a peak of 3.52 in 2023 and a marginal decrease to 2.94 in 2024, which means that it is heavily dependent on debt financing. Nevertheless, the percentage of times interest earned ratio has significantly increased to 23.73 in 2024 compared to 2.37 in 2021, which indicates better earnings and increased capacity to meet an interest payment. This indicates that leverage is high, but profitability is high and, as a result, minimises financial risk (Kumalawati and Noveria, 2026). The trend emphasizes the aggressive growth with the aid of debt, counterweighted by the enhancement of operational performance.</w:t>
      </w:r>
    </w:p>
    <w:p w14:paraId="2695869D" w14:textId="77777777" w:rsidR="00EB4B26" w:rsidRDefault="00000000">
      <w:pPr>
        <w:spacing w:before="0"/>
        <w:jc w:val="center"/>
        <w:rPr>
          <w:rFonts w:ascii="Arial" w:eastAsia="Arial" w:hAnsi="Arial" w:cs="Arial"/>
        </w:rPr>
      </w:pPr>
      <w:r>
        <w:rPr>
          <w:noProof/>
        </w:rPr>
        <w:lastRenderedPageBreak/>
        <w:drawing>
          <wp:inline distT="0" distB="0" distL="0" distR="0" wp14:anchorId="1E9A3440" wp14:editId="1CD35025">
            <wp:extent cx="4822354" cy="2877561"/>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4822354" cy="2877561"/>
                    </a:xfrm>
                    <a:prstGeom prst="rect">
                      <a:avLst/>
                    </a:prstGeom>
                    <a:ln/>
                  </pic:spPr>
                </pic:pic>
              </a:graphicData>
            </a:graphic>
          </wp:inline>
        </w:drawing>
      </w:r>
    </w:p>
    <w:p w14:paraId="515A06B5" w14:textId="77777777" w:rsidR="00EB4B26" w:rsidRDefault="00000000">
      <w:pPr>
        <w:spacing w:before="0"/>
        <w:jc w:val="center"/>
        <w:rPr>
          <w:rFonts w:ascii="Arial" w:eastAsia="Arial" w:hAnsi="Arial" w:cs="Arial"/>
          <w:b/>
          <w:bCs/>
        </w:rPr>
      </w:pPr>
      <w:r>
        <w:rPr>
          <w:rFonts w:ascii="Arial" w:eastAsia="Arial" w:hAnsi="Arial" w:cs="Arial"/>
          <w:b/>
          <w:bCs/>
        </w:rPr>
        <w:t>Figure 7: Gearing Ratios for BYD</w:t>
      </w:r>
    </w:p>
    <w:p w14:paraId="05C02726" w14:textId="77777777" w:rsidR="00EB4B26" w:rsidRDefault="00000000">
      <w:pPr>
        <w:spacing w:before="0"/>
        <w:jc w:val="center"/>
        <w:rPr>
          <w:rFonts w:ascii="Arial" w:eastAsia="Arial" w:hAnsi="Arial" w:cs="Arial"/>
        </w:rPr>
      </w:pPr>
      <w:r>
        <w:rPr>
          <w:rFonts w:ascii="Arial" w:eastAsia="Arial" w:hAnsi="Arial" w:cs="Arial"/>
        </w:rPr>
        <w:t>(Source: Excel)</w:t>
      </w:r>
    </w:p>
    <w:p w14:paraId="37AA84AB" w14:textId="77777777" w:rsidR="00EB4B26" w:rsidRDefault="00000000">
      <w:pPr>
        <w:pStyle w:val="Heading3"/>
      </w:pPr>
      <w:bookmarkStart w:id="12" w:name="_u5auu2vmn95" w:colFirst="0" w:colLast="0"/>
      <w:bookmarkEnd w:id="12"/>
      <w:r>
        <w:t>Investment Ratios</w:t>
      </w:r>
    </w:p>
    <w:p w14:paraId="23B05FE0" w14:textId="77777777" w:rsidR="00EB4B26" w:rsidRDefault="00000000">
      <w:pPr>
        <w:spacing w:before="0"/>
        <w:rPr>
          <w:rFonts w:ascii="Arial" w:eastAsia="Arial" w:hAnsi="Arial" w:cs="Arial"/>
        </w:rPr>
      </w:pPr>
      <w:r>
        <w:rPr>
          <w:rFonts w:ascii="Arial" w:eastAsia="Arial" w:hAnsi="Arial" w:cs="Arial"/>
        </w:rPr>
        <w:t>Investment interests gauge returns to equity position as well as valuation. The dividend payout ratio of BYD rose in 2020 (0.03) to 2024 (0.22) reflecting an increased level of dedication towards shareholders. In the meantime, the P/E ratio went down considerably (51.86 in 2021 to 4.86 in 2024), implying that the focus has moved out of the growth prospects to a more reasonable valuation. This fall could be market corrections and higher profits (Companiesmarketcap, 2026; Investing, 2026). All in all, the firm is showing rising investor returns, but lower P/E ratios can be an indication of declining growth speculations.</w:t>
      </w:r>
    </w:p>
    <w:p w14:paraId="405AE05A" w14:textId="77777777" w:rsidR="00EB4B26" w:rsidRDefault="00000000">
      <w:pPr>
        <w:spacing w:before="0"/>
        <w:jc w:val="center"/>
        <w:rPr>
          <w:rFonts w:ascii="Arial" w:eastAsia="Arial" w:hAnsi="Arial" w:cs="Arial"/>
        </w:rPr>
      </w:pPr>
      <w:r>
        <w:rPr>
          <w:noProof/>
        </w:rPr>
        <w:lastRenderedPageBreak/>
        <w:drawing>
          <wp:inline distT="0" distB="0" distL="0" distR="0" wp14:anchorId="71B66D8F" wp14:editId="7E960A25">
            <wp:extent cx="4688230" cy="3078747"/>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688230" cy="3078747"/>
                    </a:xfrm>
                    <a:prstGeom prst="rect">
                      <a:avLst/>
                    </a:prstGeom>
                    <a:ln/>
                  </pic:spPr>
                </pic:pic>
              </a:graphicData>
            </a:graphic>
          </wp:inline>
        </w:drawing>
      </w:r>
    </w:p>
    <w:p w14:paraId="795DBD93" w14:textId="77777777" w:rsidR="00EB4B26" w:rsidRDefault="00000000">
      <w:pPr>
        <w:spacing w:before="0"/>
        <w:jc w:val="center"/>
        <w:rPr>
          <w:rFonts w:ascii="Arial" w:eastAsia="Arial" w:hAnsi="Arial" w:cs="Arial"/>
          <w:b/>
          <w:bCs/>
        </w:rPr>
      </w:pPr>
      <w:r>
        <w:rPr>
          <w:rFonts w:ascii="Arial" w:eastAsia="Arial" w:hAnsi="Arial" w:cs="Arial"/>
          <w:b/>
          <w:bCs/>
        </w:rPr>
        <w:t>Figure 8: Investment Ratio for BYD</w:t>
      </w:r>
    </w:p>
    <w:p w14:paraId="1C3EAB4A" w14:textId="77777777" w:rsidR="00EB4B26" w:rsidRDefault="00000000">
      <w:pPr>
        <w:spacing w:before="0"/>
        <w:jc w:val="center"/>
        <w:rPr>
          <w:rFonts w:ascii="Arial" w:eastAsia="Arial" w:hAnsi="Arial" w:cs="Arial"/>
        </w:rPr>
      </w:pPr>
      <w:r>
        <w:rPr>
          <w:rFonts w:ascii="Arial" w:eastAsia="Arial" w:hAnsi="Arial" w:cs="Arial"/>
        </w:rPr>
        <w:t>(Source: Excel)</w:t>
      </w:r>
    </w:p>
    <w:p w14:paraId="2B3DE52A" w14:textId="77777777" w:rsidR="00EB4B26" w:rsidRDefault="00000000">
      <w:pPr>
        <w:pStyle w:val="Heading3"/>
      </w:pPr>
      <w:bookmarkStart w:id="13" w:name="_x6janyetalj9" w:colFirst="0" w:colLast="0"/>
      <w:bookmarkEnd w:id="13"/>
      <w:r>
        <w:t>Cash Flow Ratio</w:t>
      </w:r>
    </w:p>
    <w:p w14:paraId="008D4757" w14:textId="77777777" w:rsidR="00EB4B26" w:rsidRDefault="00000000">
      <w:pPr>
        <w:spacing w:before="0"/>
        <w:rPr>
          <w:rFonts w:ascii="Arial" w:eastAsia="Arial" w:hAnsi="Arial" w:cs="Arial"/>
        </w:rPr>
      </w:pPr>
      <w:r>
        <w:rPr>
          <w:rFonts w:ascii="Arial" w:eastAsia="Arial" w:hAnsi="Arial" w:cs="Arial"/>
        </w:rPr>
        <w:t>The cash flow ratio measures how well the firm can generate cash to pay off. The operating cash flow ratio of BYD decreased to 0.27 in 2024 as compared to 0.43 in 2020, which implies that there is less short-term cash coverage of liabilities. On the same note, the cash flow to debt ratio decreased to 0.23 as compared to 0.33, which indicates a lesser ability to clear debt using operating cash.  The “free cash flow margin” declined from 2020 (0.17) to 2024 (0.04). Although it boasts a robust revenue growth, higher capital spending and growth have restricted its cash flow efficiency (Yao, 2024). This highlights the capital-intensive nature of the EV industry and the need for effective cash flow management to sustain long-term growth.</w:t>
      </w:r>
    </w:p>
    <w:p w14:paraId="46F6883B" w14:textId="77777777" w:rsidR="00EB4B26" w:rsidRDefault="00000000">
      <w:pPr>
        <w:spacing w:before="0"/>
        <w:jc w:val="center"/>
        <w:rPr>
          <w:rFonts w:ascii="Arial" w:eastAsia="Arial" w:hAnsi="Arial" w:cs="Arial"/>
        </w:rPr>
      </w:pPr>
      <w:r>
        <w:rPr>
          <w:noProof/>
        </w:rPr>
        <w:lastRenderedPageBreak/>
        <w:drawing>
          <wp:inline distT="0" distB="0" distL="0" distR="0" wp14:anchorId="5D102FBE" wp14:editId="51046111">
            <wp:extent cx="4523624" cy="2853175"/>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4523624" cy="2853175"/>
                    </a:xfrm>
                    <a:prstGeom prst="rect">
                      <a:avLst/>
                    </a:prstGeom>
                    <a:ln/>
                  </pic:spPr>
                </pic:pic>
              </a:graphicData>
            </a:graphic>
          </wp:inline>
        </w:drawing>
      </w:r>
    </w:p>
    <w:p w14:paraId="7AD51F0A" w14:textId="77777777" w:rsidR="00EB4B26" w:rsidRDefault="00000000">
      <w:pPr>
        <w:spacing w:before="0"/>
        <w:jc w:val="center"/>
        <w:rPr>
          <w:rFonts w:ascii="Arial" w:eastAsia="Arial" w:hAnsi="Arial" w:cs="Arial"/>
          <w:b/>
          <w:bCs/>
        </w:rPr>
      </w:pPr>
      <w:r>
        <w:rPr>
          <w:rFonts w:ascii="Arial" w:eastAsia="Arial" w:hAnsi="Arial" w:cs="Arial"/>
          <w:b/>
          <w:bCs/>
        </w:rPr>
        <w:t>Figure 9: Cash Flow Ratio for BYD</w:t>
      </w:r>
    </w:p>
    <w:p w14:paraId="5D14C59B" w14:textId="77777777" w:rsidR="00EB4B26" w:rsidRDefault="00000000">
      <w:pPr>
        <w:spacing w:before="0"/>
        <w:jc w:val="center"/>
        <w:rPr>
          <w:rFonts w:ascii="Arial" w:eastAsia="Arial" w:hAnsi="Arial" w:cs="Arial"/>
        </w:rPr>
      </w:pPr>
      <w:r>
        <w:rPr>
          <w:rFonts w:ascii="Arial" w:eastAsia="Arial" w:hAnsi="Arial" w:cs="Arial"/>
        </w:rPr>
        <w:t>(Source: Excel)</w:t>
      </w:r>
    </w:p>
    <w:p w14:paraId="00EDB8A2" w14:textId="77777777" w:rsidR="00EB4B26" w:rsidRDefault="00000000">
      <w:pPr>
        <w:pStyle w:val="Heading2"/>
      </w:pPr>
      <w:bookmarkStart w:id="14" w:name="_wwigm346jyft" w:colFirst="0" w:colLast="0"/>
      <w:bookmarkEnd w:id="14"/>
      <w:r>
        <w:t>2.3 Identify Trends, Strengths and Threats</w:t>
      </w:r>
    </w:p>
    <w:p w14:paraId="3AD0D2DA" w14:textId="77777777" w:rsidR="00EB4B26" w:rsidRDefault="00000000">
      <w:pPr>
        <w:spacing w:before="0"/>
        <w:rPr>
          <w:rFonts w:ascii="Arial" w:eastAsia="Arial" w:hAnsi="Arial" w:cs="Arial"/>
        </w:rPr>
      </w:pPr>
      <w:r>
        <w:rPr>
          <w:rFonts w:ascii="Arial" w:eastAsia="Arial" w:hAnsi="Arial" w:cs="Arial"/>
        </w:rPr>
        <w:t xml:space="preserve">Within the five years, BYD has had a vigorous growth curve marked by rising profits and business expansion, and augmented financial stress. The trends in profitability demonstrate steady growth, as the profits being returned to the shares rose, reaching 9.33% in 2020 and reaching 20.93% in 2024, which implies increased efficiency and improved earnings generation. It indicates growing interest in electric cars globally and the competitiveness of BYD in the market (Khaleel et al., 2024). This has also enhanced efficiency, especially on inventory turnover, which implies better operational management with optimisation of production (Mo et al., 2022). Nevertheless, the liquidity indicators portray a downward trend, and the current ratio is decreasing by 1.05 to 0.75, indicating less short-term financial flexibility. Also, the gearing is high as it has debt-to-equity ratios that are more than 2.9 and this is an indication of depending on external funds to enhance the expansion. Overall cash flow ratios have deteriorated as well, suggesting that there is pressure on the internal cash flow as a result of capital-intensive investment (Yao, 2024). The main strengths are the ability to achieve high profitability, increase efficiency, and shape the market with EV dominance. On the other hand, liquidity deterioration, high leverage, and limited cash flows are major </w:t>
      </w:r>
      <w:r>
        <w:rPr>
          <w:rFonts w:ascii="Arial" w:eastAsia="Arial" w:hAnsi="Arial" w:cs="Arial"/>
        </w:rPr>
        <w:lastRenderedPageBreak/>
        <w:t>threats. All these trends indicate that as BYD is gaining momentum, its financial stability is a pressing issue (Wang et al., 2024).</w:t>
      </w:r>
    </w:p>
    <w:p w14:paraId="7835D148" w14:textId="77777777" w:rsidR="00EB4B26" w:rsidRDefault="00000000">
      <w:pPr>
        <w:pStyle w:val="Heading1"/>
      </w:pPr>
      <w:bookmarkStart w:id="15" w:name="_k51y2jtm2l73" w:colFirst="0" w:colLast="0"/>
      <w:bookmarkEnd w:id="15"/>
      <w:r>
        <w:t>3. Working Capital Management</w:t>
      </w:r>
    </w:p>
    <w:p w14:paraId="43AAA587" w14:textId="77777777" w:rsidR="00EB4B26" w:rsidRDefault="00000000">
      <w:pPr>
        <w:pStyle w:val="Heading2"/>
      </w:pPr>
      <w:bookmarkStart w:id="16" w:name="_lroll23k1mp9" w:colFirst="0" w:colLast="0"/>
      <w:bookmarkEnd w:id="16"/>
      <w:r>
        <w:t>3.1 Cash Operating Cycle</w:t>
      </w:r>
    </w:p>
    <w:p w14:paraId="049CF4F4" w14:textId="77777777" w:rsidR="00EB4B26" w:rsidRDefault="00000000">
      <w:pPr>
        <w:spacing w:before="0"/>
        <w:rPr>
          <w:rFonts w:ascii="Arial" w:eastAsia="Arial" w:hAnsi="Arial" w:cs="Arial"/>
        </w:rPr>
      </w:pPr>
      <w:r>
        <w:rPr>
          <w:rFonts w:ascii="Arial" w:eastAsia="Arial" w:hAnsi="Arial" w:cs="Arial"/>
        </w:rPr>
        <w:t>The cash operating cycle is used to determine the efficiency of a company in utilizing its short-term liabilities and assets. Compared to 2020 (74.67 days), the turnover in inventory decreased to 54.50 days in 2024, which shows a stimulated inventory turnover and effective management of production. The receivable days varied and stabilised at 29.26 days in 2024, which is relatively faster collection than that of 2021 (61.22 days) because credit control must have been improved. Payable days were also very stable (113.50 days in 2024), indicating that BYD has high bargaining power with suppliers.</w:t>
      </w:r>
    </w:p>
    <w:p w14:paraId="146DDE01" w14:textId="77777777" w:rsidR="00EB4B26" w:rsidRDefault="00000000">
      <w:pPr>
        <w:spacing w:before="0"/>
        <w:jc w:val="center"/>
        <w:rPr>
          <w:rFonts w:ascii="Arial" w:eastAsia="Arial" w:hAnsi="Arial" w:cs="Arial"/>
        </w:rPr>
      </w:pPr>
      <w:r>
        <w:rPr>
          <w:rFonts w:ascii="Arial" w:eastAsia="Arial" w:hAnsi="Arial" w:cs="Arial"/>
          <w:noProof/>
        </w:rPr>
        <w:drawing>
          <wp:inline distT="0" distB="0" distL="0" distR="0" wp14:anchorId="300CA93C" wp14:editId="70C53763">
            <wp:extent cx="5733415" cy="148971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33415" cy="1489710"/>
                    </a:xfrm>
                    <a:prstGeom prst="rect">
                      <a:avLst/>
                    </a:prstGeom>
                    <a:ln/>
                  </pic:spPr>
                </pic:pic>
              </a:graphicData>
            </a:graphic>
          </wp:inline>
        </w:drawing>
      </w:r>
    </w:p>
    <w:p w14:paraId="55EA8A07" w14:textId="77777777" w:rsidR="00EB4B26" w:rsidRDefault="00000000">
      <w:pPr>
        <w:spacing w:before="0"/>
        <w:jc w:val="center"/>
        <w:rPr>
          <w:rFonts w:ascii="Arial" w:eastAsia="Arial" w:hAnsi="Arial" w:cs="Arial"/>
        </w:rPr>
      </w:pPr>
      <w:r>
        <w:rPr>
          <w:noProof/>
        </w:rPr>
        <w:lastRenderedPageBreak/>
        <w:drawing>
          <wp:inline distT="0" distB="0" distL="0" distR="0" wp14:anchorId="58EAD3F0" wp14:editId="43D18B82">
            <wp:extent cx="5456393" cy="3182388"/>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456393" cy="3182388"/>
                    </a:xfrm>
                    <a:prstGeom prst="rect">
                      <a:avLst/>
                    </a:prstGeom>
                    <a:ln/>
                  </pic:spPr>
                </pic:pic>
              </a:graphicData>
            </a:graphic>
          </wp:inline>
        </w:drawing>
      </w:r>
    </w:p>
    <w:p w14:paraId="21BE1B31" w14:textId="77777777" w:rsidR="00EB4B26" w:rsidRDefault="00000000">
      <w:pPr>
        <w:spacing w:before="0"/>
        <w:jc w:val="center"/>
        <w:rPr>
          <w:rFonts w:ascii="Arial" w:eastAsia="Arial" w:hAnsi="Arial" w:cs="Arial"/>
          <w:b/>
          <w:bCs/>
        </w:rPr>
      </w:pPr>
      <w:r>
        <w:rPr>
          <w:rFonts w:ascii="Arial" w:eastAsia="Arial" w:hAnsi="Arial" w:cs="Arial"/>
          <w:b/>
          <w:bCs/>
        </w:rPr>
        <w:t>Figure 10: Cash Operating Cycle for BYD</w:t>
      </w:r>
    </w:p>
    <w:p w14:paraId="1525E8D1" w14:textId="77777777" w:rsidR="00EB4B26" w:rsidRDefault="00000000">
      <w:pPr>
        <w:spacing w:before="0"/>
        <w:jc w:val="center"/>
        <w:rPr>
          <w:rFonts w:ascii="Arial" w:eastAsia="Arial" w:hAnsi="Arial" w:cs="Arial"/>
        </w:rPr>
      </w:pPr>
      <w:r>
        <w:rPr>
          <w:rFonts w:ascii="Arial" w:eastAsia="Arial" w:hAnsi="Arial" w:cs="Arial"/>
        </w:rPr>
        <w:t>(Source: Excel)</w:t>
      </w:r>
    </w:p>
    <w:p w14:paraId="6A614E60" w14:textId="77777777" w:rsidR="00EB4B26" w:rsidRDefault="00000000">
      <w:pPr>
        <w:spacing w:before="0"/>
        <w:rPr>
          <w:rFonts w:ascii="Arial" w:eastAsia="Arial" w:hAnsi="Arial" w:cs="Arial"/>
        </w:rPr>
      </w:pPr>
      <w:r>
        <w:rPr>
          <w:rFonts w:ascii="Arial" w:eastAsia="Arial" w:hAnsi="Arial" w:cs="Arial"/>
        </w:rPr>
        <w:t>The total cash conversion cycle had a negative value (–29.74 days in 2024), indicating that the business gets the money before the supplier is paid by customers. This is a good working capital efficiency and liquidity strength. This efficiency is typical of top EV companies that capitalize on the benefits of a robust and large supply chain (Lyu et al., 2025). Nevertheless, variations suggest the susceptibility to growth and market forces.</w:t>
      </w:r>
    </w:p>
    <w:p w14:paraId="32089869" w14:textId="77777777" w:rsidR="00EB4B26" w:rsidRDefault="00000000">
      <w:pPr>
        <w:pStyle w:val="Heading2"/>
      </w:pPr>
      <w:bookmarkStart w:id="17" w:name="_w0mxrty8ywv9" w:colFirst="0" w:colLast="0"/>
      <w:bookmarkEnd w:id="17"/>
      <w:r>
        <w:t>3.2 Liquidity Assessment</w:t>
      </w:r>
    </w:p>
    <w:p w14:paraId="0ECBBE54" w14:textId="77777777" w:rsidR="00EB4B26" w:rsidRDefault="00000000">
      <w:pPr>
        <w:spacing w:before="0"/>
        <w:rPr>
          <w:rFonts w:ascii="Arial" w:eastAsia="Arial" w:hAnsi="Arial" w:cs="Arial"/>
        </w:rPr>
      </w:pPr>
      <w:r>
        <w:rPr>
          <w:rFonts w:ascii="Arial" w:eastAsia="Arial" w:hAnsi="Arial" w:cs="Arial"/>
        </w:rPr>
        <w:t xml:space="preserve">The current working capital position of BYD means that it is under pressure as the business runs efficiently. The current ratio (0.75 in 2024) and the acid-test ratio (0.51) are decreasing, which points out that current liabilities are more than current assets and financial flexibility in the short term is limited. Though the company has a negative cash conversion cycle, enhancing cash inflows, a high dependency on high payables and short-term financing creates more risk (Wang et al., 2025). This liquidity strain has been brought about by rapid growth and capital-intensive investments in EV manufacturing (Yao, 2024). Though good operating cash flows are useful to some </w:t>
      </w:r>
      <w:r>
        <w:rPr>
          <w:rFonts w:ascii="Arial" w:eastAsia="Arial" w:hAnsi="Arial" w:cs="Arial"/>
        </w:rPr>
        <w:lastRenderedPageBreak/>
        <w:t>extent to offset these issues, dwindling cash flow ratios signal less capacity to cover obligations within a company. Altogether, the liquidity position of BYD is stable but needs serious attention to prevent the possible financial stress in the near future.</w:t>
      </w:r>
    </w:p>
    <w:p w14:paraId="39514940" w14:textId="77777777" w:rsidR="00EB4B26" w:rsidRDefault="00000000">
      <w:pPr>
        <w:pStyle w:val="Heading2"/>
      </w:pPr>
      <w:bookmarkStart w:id="18" w:name="_jj1ezsdqx0li" w:colFirst="0" w:colLast="0"/>
      <w:bookmarkEnd w:id="18"/>
      <w:r>
        <w:t>3.3 Improvement Strategies</w:t>
      </w:r>
    </w:p>
    <w:p w14:paraId="7E73E095" w14:textId="77777777" w:rsidR="00EB4B26" w:rsidRDefault="00000000">
      <w:pPr>
        <w:pStyle w:val="Heading3"/>
      </w:pPr>
      <w:bookmarkStart w:id="19" w:name="_w4qgh3xtsckh" w:colFirst="0" w:colLast="0"/>
      <w:bookmarkEnd w:id="19"/>
      <w:r>
        <w:t>Inventory Management</w:t>
      </w:r>
    </w:p>
    <w:p w14:paraId="3E7BA725" w14:textId="77777777" w:rsidR="00EB4B26" w:rsidRDefault="00000000">
      <w:pPr>
        <w:spacing w:before="0"/>
        <w:rPr>
          <w:rFonts w:ascii="Arial" w:eastAsia="Arial" w:hAnsi="Arial" w:cs="Arial"/>
        </w:rPr>
      </w:pPr>
      <w:r>
        <w:rPr>
          <w:rFonts w:ascii="Arial" w:eastAsia="Arial" w:hAnsi="Arial" w:cs="Arial"/>
        </w:rPr>
        <w:t>BYD will be able to enhance inventory efficiency by implementing sophisticated demand forecasting and just-in-time (JIT) systems. Inventory days of the company have fallen; further optimisation can lead to decreased holding costs and cash flow. By utilizing digital supply chain technologies, it is possible to improve real-time inventory monitoring and reduce surplus inventory, which can support the effectiveness of operations in a competitive EV market (Mo et al., 2022).</w:t>
      </w:r>
    </w:p>
    <w:p w14:paraId="28C80964" w14:textId="77777777" w:rsidR="00EB4B26" w:rsidRDefault="00000000">
      <w:pPr>
        <w:pStyle w:val="Heading3"/>
      </w:pPr>
      <w:bookmarkStart w:id="20" w:name="_fab0r2ll4vki" w:colFirst="0" w:colLast="0"/>
      <w:bookmarkEnd w:id="20"/>
      <w:r>
        <w:t>Receivables Collection</w:t>
      </w:r>
    </w:p>
    <w:p w14:paraId="1D1CF7BB" w14:textId="77777777" w:rsidR="00EB4B26" w:rsidRDefault="00000000">
      <w:pPr>
        <w:spacing w:before="0"/>
        <w:rPr>
          <w:rFonts w:ascii="Arial" w:eastAsia="Arial" w:hAnsi="Arial" w:cs="Arial"/>
        </w:rPr>
      </w:pPr>
      <w:r>
        <w:rPr>
          <w:rFonts w:ascii="Arial" w:eastAsia="Arial" w:hAnsi="Arial" w:cs="Arial"/>
        </w:rPr>
        <w:t>An additional decrease in receivable days can be achieved by enhancing receivables management by tightening credit policy and automating collection mechanisms. There could be better cash inflows by providing early payment discounts and better customer credit assessment. A high collection rate is critical when it comes to keeping the cash flow going, particularly in booming sectors such as electric cars (Khaleel et al., 2024).</w:t>
      </w:r>
    </w:p>
    <w:p w14:paraId="7B586F76" w14:textId="77777777" w:rsidR="00EB4B26" w:rsidRDefault="00000000">
      <w:pPr>
        <w:pStyle w:val="Heading3"/>
      </w:pPr>
      <w:bookmarkStart w:id="21" w:name="_pb8zvb4lust6" w:colFirst="0" w:colLast="0"/>
      <w:bookmarkEnd w:id="21"/>
      <w:r>
        <w:t>Payables Optimisation</w:t>
      </w:r>
    </w:p>
    <w:p w14:paraId="0AB8FA5B" w14:textId="77777777" w:rsidR="00EB4B26" w:rsidRDefault="00000000">
      <w:pPr>
        <w:spacing w:before="0"/>
        <w:rPr>
          <w:rFonts w:ascii="Arial" w:eastAsia="Arial" w:hAnsi="Arial" w:cs="Arial"/>
        </w:rPr>
      </w:pPr>
      <w:r>
        <w:rPr>
          <w:rFonts w:ascii="Arial" w:eastAsia="Arial" w:hAnsi="Arial" w:cs="Arial"/>
        </w:rPr>
        <w:t>BYD must not harm its supplier negotiation status, but at the same time, a good relationship should not be compromised. Prolonged terms of payment enhance liquidity, whereas too many delays can affect the trust of the suppliers. Liquidity benefits can be counterbalanced by strategic financing of the suppliers and agreements over a long period of time (Lyu et al., 2025).</w:t>
      </w:r>
    </w:p>
    <w:p w14:paraId="75692B87" w14:textId="77777777" w:rsidR="00EB4B26" w:rsidRDefault="00000000">
      <w:pPr>
        <w:pStyle w:val="Heading2"/>
      </w:pPr>
      <w:bookmarkStart w:id="22" w:name="_xq8girbjcfob" w:colFirst="0" w:colLast="0"/>
      <w:bookmarkEnd w:id="22"/>
      <w:r>
        <w:t>3.4 Financing Options</w:t>
      </w:r>
    </w:p>
    <w:p w14:paraId="5EB7DC44" w14:textId="77777777" w:rsidR="00EB4B26" w:rsidRDefault="00000000">
      <w:pPr>
        <w:pStyle w:val="Heading3"/>
      </w:pPr>
      <w:bookmarkStart w:id="23" w:name="_nnusxaasqdrb" w:colFirst="0" w:colLast="0"/>
      <w:bookmarkEnd w:id="23"/>
      <w:r>
        <w:t>Short-Term Financing</w:t>
      </w:r>
    </w:p>
    <w:p w14:paraId="4E8A1137" w14:textId="77777777" w:rsidR="00EB4B26" w:rsidRDefault="00000000">
      <w:pPr>
        <w:spacing w:before="0"/>
        <w:rPr>
          <w:rFonts w:ascii="Arial" w:eastAsia="Arial" w:hAnsi="Arial" w:cs="Arial"/>
        </w:rPr>
      </w:pPr>
      <w:r>
        <w:rPr>
          <w:rFonts w:ascii="Arial" w:eastAsia="Arial" w:hAnsi="Arial" w:cs="Arial"/>
        </w:rPr>
        <w:t xml:space="preserve">Trade credit, bank overdraft and short-term loans are short-term sources of finance that allow the management to be able to operate around working capital needs. These </w:t>
      </w:r>
      <w:r>
        <w:rPr>
          <w:rFonts w:ascii="Arial" w:eastAsia="Arial" w:hAnsi="Arial" w:cs="Arial"/>
        </w:rPr>
        <w:lastRenderedPageBreak/>
        <w:t>sources can be used to fill the gaps of operations but could become a financial risk when they are excessive. Considering that the liquidity ratios of BYD are decreasing, short-term financing is to be applied with caution so as not to be overreliant on it (Wang et al., 2024).</w:t>
      </w:r>
    </w:p>
    <w:p w14:paraId="21C35621" w14:textId="77777777" w:rsidR="00EB4B26" w:rsidRDefault="00000000">
      <w:pPr>
        <w:pStyle w:val="Heading3"/>
      </w:pPr>
      <w:bookmarkStart w:id="24" w:name="_5qxdeb9eimh5" w:colFirst="0" w:colLast="0"/>
      <w:bookmarkEnd w:id="24"/>
      <w:r>
        <w:t>Long-Term Financing</w:t>
      </w:r>
    </w:p>
    <w:p w14:paraId="5DCC0016" w14:textId="77777777" w:rsidR="00EB4B26" w:rsidRDefault="00000000">
      <w:pPr>
        <w:spacing w:before="0"/>
        <w:rPr>
          <w:rFonts w:ascii="Arial" w:eastAsia="Arial" w:hAnsi="Arial" w:cs="Arial"/>
        </w:rPr>
      </w:pPr>
      <w:r>
        <w:rPr>
          <w:rFonts w:ascii="Arial" w:eastAsia="Arial" w:hAnsi="Arial" w:cs="Arial"/>
        </w:rPr>
        <w:t>The long-term finance, such as long-term debt and equity financing, contributes to long-term sustainable growth and capital investments. In the case of BYD, a long-term investment is necessary to invest in mass production of EVs and technological development. Though that raises financial commitments, it makes it stable and in line with the nature of the capital-intensive industry (Yao, 2024).</w:t>
      </w:r>
    </w:p>
    <w:p w14:paraId="762C2C7F" w14:textId="77777777" w:rsidR="00EB4B26" w:rsidRDefault="00000000">
      <w:pPr>
        <w:pStyle w:val="Heading1"/>
      </w:pPr>
      <w:bookmarkStart w:id="25" w:name="_4npjixiwounc" w:colFirst="0" w:colLast="0"/>
      <w:bookmarkEnd w:id="25"/>
      <w:r>
        <w:t xml:space="preserve">4. Strategic Financial Restructuring Plan </w:t>
      </w:r>
    </w:p>
    <w:p w14:paraId="17B4028B" w14:textId="77777777" w:rsidR="00EB4B26" w:rsidRDefault="00000000">
      <w:pPr>
        <w:pStyle w:val="Heading2"/>
      </w:pPr>
      <w:bookmarkStart w:id="26" w:name="_hwuxy8w6vk2o" w:colFirst="0" w:colLast="0"/>
      <w:bookmarkEnd w:id="26"/>
      <w:r>
        <w:t>4.1 Identified Financial Problems</w:t>
      </w:r>
    </w:p>
    <w:p w14:paraId="6FD25274" w14:textId="77777777" w:rsidR="00EB4B26" w:rsidRDefault="00000000">
      <w:pPr>
        <w:spacing w:before="0"/>
        <w:rPr>
          <w:rFonts w:ascii="Arial" w:eastAsia="Arial" w:hAnsi="Arial" w:cs="Arial"/>
        </w:rPr>
      </w:pPr>
      <w:r>
        <w:rPr>
          <w:rFonts w:ascii="Arial" w:eastAsia="Arial" w:hAnsi="Arial" w:cs="Arial"/>
        </w:rPr>
        <w:t>According to the ratio analysis, BYD has significant financial difficulties, though its growth is good. Current ratio stands at 0.75, and the acid-test ratio is 0.51, implying that the company may face a challenge in covering the short-term liabilities. A debt-to-equity ratio of 2.94 indicates high leverage, indicating external financing. Also, the decreasing ratings on cash flow may indicate a lower rate of internal funding. Rapid growth and capital-intensive investment in the EV industry are the main factors that contribute to these kinds of issues (Wang et al., 2024; Yao, 2024).</w:t>
      </w:r>
    </w:p>
    <w:p w14:paraId="72B222AD" w14:textId="77777777" w:rsidR="00EB4B26" w:rsidRDefault="00000000">
      <w:pPr>
        <w:pStyle w:val="Heading2"/>
      </w:pPr>
      <w:bookmarkStart w:id="27" w:name="_cyrad6qvnxyt" w:colFirst="0" w:colLast="0"/>
      <w:bookmarkEnd w:id="27"/>
      <w:r>
        <w:t>4.2 Restructuring Options</w:t>
      </w:r>
    </w:p>
    <w:p w14:paraId="36E92E79" w14:textId="77777777" w:rsidR="00EB4B26" w:rsidRDefault="00000000">
      <w:pPr>
        <w:pStyle w:val="Heading3"/>
      </w:pPr>
      <w:bookmarkStart w:id="28" w:name="_m4xnb6db34zo" w:colFirst="0" w:colLast="0"/>
      <w:bookmarkEnd w:id="28"/>
      <w:r>
        <w:t>Equity Injection</w:t>
      </w:r>
    </w:p>
    <w:p w14:paraId="2AA8B9E4" w14:textId="77777777" w:rsidR="00EB4B26" w:rsidRDefault="00000000">
      <w:pPr>
        <w:spacing w:before="0"/>
        <w:rPr>
          <w:rFonts w:ascii="Arial" w:eastAsia="Arial" w:hAnsi="Arial" w:cs="Arial"/>
        </w:rPr>
      </w:pPr>
      <w:r>
        <w:rPr>
          <w:rFonts w:ascii="Arial" w:eastAsia="Arial" w:hAnsi="Arial" w:cs="Arial"/>
        </w:rPr>
        <w:t>Equity injection: BYD could improve its financial position, building shareholders' equity and decreasing its debt financing. The strategy raises the liquidity ratios and increases the capacity of the firm in financing massive projects to produce EVs and technology. It also facilitates stability of the economy in the long run and investor confidence. The issue of issuing new equity can dilute the ownership of the existing stockholders. Such a strategy is especially applicable to capital-intensive technologies, including electric vehicles (Lib, 2024).</w:t>
      </w:r>
    </w:p>
    <w:p w14:paraId="25F022D1" w14:textId="77777777" w:rsidR="00EB4B26" w:rsidRDefault="00000000">
      <w:pPr>
        <w:pStyle w:val="Heading3"/>
      </w:pPr>
      <w:bookmarkStart w:id="29" w:name="_93db2f6f818" w:colFirst="0" w:colLast="0"/>
      <w:bookmarkEnd w:id="29"/>
      <w:r>
        <w:lastRenderedPageBreak/>
        <w:t>Debt Restructuring</w:t>
      </w:r>
    </w:p>
    <w:p w14:paraId="08746E3E" w14:textId="77777777" w:rsidR="00EB4B26" w:rsidRDefault="00000000">
      <w:pPr>
        <w:spacing w:before="0"/>
        <w:rPr>
          <w:rFonts w:ascii="Arial" w:eastAsia="Arial" w:hAnsi="Arial" w:cs="Arial"/>
        </w:rPr>
      </w:pPr>
      <w:r>
        <w:rPr>
          <w:rFonts w:ascii="Arial" w:eastAsia="Arial" w:hAnsi="Arial" w:cs="Arial"/>
        </w:rPr>
        <w:t>Debt restructuring may enable BYD to deal with its excessive leverage through interest rate renegotiation (lengthening the repayment period) or refinancing of the current debt. This decreases financial strain and cash flow is better, particularly as the company is experiencing decreasing cash flow ratios. Less cost of interest increases profitability and flexibility. In fast-growing companies, such as BYD, debt restructuring can stabilise business activities and ensure sustainable growth (Wang et al., 2024).</w:t>
      </w:r>
    </w:p>
    <w:p w14:paraId="75B5EA7B" w14:textId="77777777" w:rsidR="00EB4B26" w:rsidRDefault="00000000">
      <w:pPr>
        <w:pStyle w:val="Heading3"/>
      </w:pPr>
      <w:bookmarkStart w:id="30" w:name="_geoo3qdfb7yh" w:colFirst="0" w:colLast="0"/>
      <w:bookmarkEnd w:id="30"/>
      <w:r>
        <w:t>Divestment or Expansion</w:t>
      </w:r>
    </w:p>
    <w:p w14:paraId="5EF16618" w14:textId="77777777" w:rsidR="00EB4B26" w:rsidRDefault="00000000">
      <w:pPr>
        <w:spacing w:before="0"/>
        <w:rPr>
          <w:rFonts w:ascii="Arial" w:eastAsia="Arial" w:hAnsi="Arial" w:cs="Arial"/>
        </w:rPr>
      </w:pPr>
      <w:r>
        <w:rPr>
          <w:rFonts w:ascii="Arial" w:eastAsia="Arial" w:hAnsi="Arial" w:cs="Arial"/>
        </w:rPr>
        <w:t>Sale of non-core or underperforming assets can be a quick source of liquidity as well as enhance operation effectiveness. At the same time, revenue and a competitive edge can be enhanced with strategic growth into high-growth EV markets. This allows BYD to leverage its allocation of resources by prioritising profitable segments with the lowering of inefficiencies. Such a moderate strategy promotes sustainable development and conforms to the trends of the EV market around the world (Khaleel et al., 2024).</w:t>
      </w:r>
    </w:p>
    <w:p w14:paraId="6DE698D5" w14:textId="77777777" w:rsidR="00EB4B26" w:rsidRDefault="00000000">
      <w:pPr>
        <w:pStyle w:val="Heading2"/>
      </w:pPr>
      <w:bookmarkStart w:id="31" w:name="_3o8u5mskw3ki" w:colFirst="0" w:colLast="0"/>
      <w:bookmarkEnd w:id="31"/>
      <w:r>
        <w:t>4.3 Impact Evaluation</w:t>
      </w:r>
    </w:p>
    <w:p w14:paraId="428215B8" w14:textId="77777777" w:rsidR="00EB4B26" w:rsidRDefault="00000000">
      <w:pPr>
        <w:pStyle w:val="Heading3"/>
      </w:pPr>
      <w:bookmarkStart w:id="32" w:name="_odfu3ygffffl" w:colFirst="0" w:colLast="0"/>
      <w:bookmarkEnd w:id="32"/>
      <w:r>
        <w:t>Shareholder Value</w:t>
      </w:r>
    </w:p>
    <w:p w14:paraId="138814E1" w14:textId="77777777" w:rsidR="00EB4B26" w:rsidRDefault="00000000">
      <w:pPr>
        <w:spacing w:before="0"/>
        <w:rPr>
          <w:rFonts w:ascii="Arial" w:eastAsia="Arial" w:hAnsi="Arial" w:cs="Arial"/>
        </w:rPr>
      </w:pPr>
      <w:r>
        <w:rPr>
          <w:rFonts w:ascii="Arial" w:eastAsia="Arial" w:hAnsi="Arial" w:cs="Arial"/>
        </w:rPr>
        <w:t>Restructuring of finances will also raise the value of shareholders by increasing profitability, decreasing the financial risk, and stabilising cash flows. Increasing returns and dividend potential (through increasing dividend payout ratio) can be achieved by equity injection and enhanced operational efficiency. The problem, however, is that issuing new shares will dilute ownership, which can have an impact on earnings per share. A successful reorganization will help value-generating in the long term and investor trust in a competitive EV market (Zhang, 2025; Lib, 2024).</w:t>
      </w:r>
    </w:p>
    <w:p w14:paraId="6695B7D4" w14:textId="77777777" w:rsidR="00EB4B26" w:rsidRDefault="00000000">
      <w:pPr>
        <w:pStyle w:val="Heading3"/>
      </w:pPr>
      <w:bookmarkStart w:id="33" w:name="_q61rd5102xo6" w:colFirst="0" w:colLast="0"/>
      <w:bookmarkEnd w:id="33"/>
      <w:r>
        <w:t>Capital Structure</w:t>
      </w:r>
    </w:p>
    <w:p w14:paraId="18BA33C8" w14:textId="77777777" w:rsidR="00EB4B26" w:rsidRDefault="00000000">
      <w:pPr>
        <w:spacing w:before="0"/>
        <w:rPr>
          <w:rFonts w:ascii="Arial" w:eastAsia="Arial" w:hAnsi="Arial" w:cs="Arial"/>
        </w:rPr>
      </w:pPr>
      <w:r>
        <w:rPr>
          <w:rFonts w:ascii="Arial" w:eastAsia="Arial" w:hAnsi="Arial" w:cs="Arial"/>
        </w:rPr>
        <w:t xml:space="preserve">By restructuring, BYD can greatly enhance its capital structure by bringing down the over-dependence on debt, as seen in the high debt-equity ratio of 2.94. Bringing in more equity and reducing the amounts of debt can reduce financial risk as well as </w:t>
      </w:r>
      <w:r>
        <w:rPr>
          <w:rFonts w:ascii="Arial" w:eastAsia="Arial" w:hAnsi="Arial" w:cs="Arial"/>
        </w:rPr>
        <w:lastRenderedPageBreak/>
        <w:t>increase creditworthiness. The combination of a balanced capital structure enables improved access to outside funds and sustaining growth. This is necessary in capital-intensive EV companies working in a highly competitive environment (Wang et al., 2024).</w:t>
      </w:r>
    </w:p>
    <w:p w14:paraId="3A614B7C" w14:textId="77777777" w:rsidR="00EB4B26" w:rsidRDefault="00000000">
      <w:pPr>
        <w:pStyle w:val="Heading3"/>
      </w:pPr>
      <w:bookmarkStart w:id="34" w:name="_elg60pe5cftt" w:colFirst="0" w:colLast="0"/>
      <w:bookmarkEnd w:id="34"/>
      <w:r>
        <w:t>Operational Flexibility</w:t>
      </w:r>
    </w:p>
    <w:p w14:paraId="4199A6FE" w14:textId="77777777" w:rsidR="00EB4B26" w:rsidRDefault="00000000">
      <w:pPr>
        <w:spacing w:before="0"/>
        <w:rPr>
          <w:rFonts w:ascii="Arial" w:eastAsia="Arial" w:hAnsi="Arial" w:cs="Arial"/>
        </w:rPr>
      </w:pPr>
      <w:r>
        <w:rPr>
          <w:rFonts w:ascii="Arial" w:eastAsia="Arial" w:hAnsi="Arial" w:cs="Arial"/>
        </w:rPr>
        <w:t>Better financial condition increases the flexibility of their operations, enabling BYD to be more efficient in terms of resource allocation towards innovation, expansion and planned activities. A decrease in debt payment and an improved cash flow management will help the company to adapt swiftly to changes in the market and technological shifts. This flexibility is essential in the constantly changing industry of EVs, where ongoing research and development is needed to stay competitive (Mo et al., 2022).</w:t>
      </w:r>
    </w:p>
    <w:p w14:paraId="3EA83B09" w14:textId="77777777" w:rsidR="00EB4B26" w:rsidRDefault="00000000">
      <w:pPr>
        <w:pStyle w:val="Heading2"/>
      </w:pPr>
      <w:bookmarkStart w:id="35" w:name="_69xboeezmdif" w:colFirst="0" w:colLast="0"/>
      <w:bookmarkEnd w:id="35"/>
      <w:r>
        <w:t>4.4 Global &amp; Ethical Considerations</w:t>
      </w:r>
    </w:p>
    <w:p w14:paraId="56ED9D2A" w14:textId="77777777" w:rsidR="00EB4B26" w:rsidRDefault="00000000">
      <w:pPr>
        <w:pStyle w:val="Heading3"/>
      </w:pPr>
      <w:bookmarkStart w:id="36" w:name="_cyn8si4eqmk3" w:colFirst="0" w:colLast="0"/>
      <w:bookmarkEnd w:id="36"/>
      <w:r>
        <w:t>Currency Risk</w:t>
      </w:r>
    </w:p>
    <w:p w14:paraId="74B32660" w14:textId="77777777" w:rsidR="00EB4B26" w:rsidRDefault="00000000">
      <w:pPr>
        <w:spacing w:before="0"/>
        <w:rPr>
          <w:rFonts w:ascii="Arial" w:eastAsia="Arial" w:hAnsi="Arial" w:cs="Arial"/>
        </w:rPr>
      </w:pPr>
      <w:r>
        <w:rPr>
          <w:rFonts w:ascii="Arial" w:eastAsia="Arial" w:hAnsi="Arial" w:cs="Arial"/>
        </w:rPr>
        <w:t>By going international, BYD is highly vulnerable to currency fluctuations, which may impact revenues, costs and profitability. Exchange rates can also be volatile, and this can decrease earnings when foreign revenues are translated into local currency. The risk is especially topical since the international presence of BYD is growing. To ensure the mitigation of these risks and financial stability in an already competitive industry of EVs on a global level, it is crucial to employ efficient hedging strategies and diversification in markets (Khaleel et al., 2024).</w:t>
      </w:r>
    </w:p>
    <w:p w14:paraId="17D43414" w14:textId="77777777" w:rsidR="00EB4B26" w:rsidRDefault="00000000">
      <w:pPr>
        <w:pStyle w:val="Heading3"/>
      </w:pPr>
      <w:bookmarkStart w:id="37" w:name="_pvwjquhay5md" w:colFirst="0" w:colLast="0"/>
      <w:bookmarkEnd w:id="37"/>
      <w:r>
        <w:t>Inflation</w:t>
      </w:r>
    </w:p>
    <w:p w14:paraId="42DE98D7" w14:textId="77777777" w:rsidR="00EB4B26" w:rsidRDefault="00000000">
      <w:pPr>
        <w:spacing w:before="0"/>
        <w:rPr>
          <w:rFonts w:ascii="Arial" w:eastAsia="Arial" w:hAnsi="Arial" w:cs="Arial"/>
        </w:rPr>
      </w:pPr>
      <w:r>
        <w:rPr>
          <w:rFonts w:ascii="Arial" w:eastAsia="Arial" w:hAnsi="Arial" w:cs="Arial"/>
        </w:rPr>
        <w:t xml:space="preserve">Inflation is also a significant threat to BYD on the side of rising prices of raw materials, especially battery materials, including lithium and cobalt. An increase in the cost of production may squeeze the profit margins unless the company increases its prices with equivalent efficiency or efficiency gains. The high capital intensity of the EV industry can also raise operational costs because sustained inflation can raise expenditures. Thus, cost control initiatives and technological creativity will also play </w:t>
      </w:r>
      <w:r>
        <w:rPr>
          <w:rFonts w:ascii="Arial" w:eastAsia="Arial" w:hAnsi="Arial" w:cs="Arial"/>
        </w:rPr>
        <w:lastRenderedPageBreak/>
        <w:t>vital roles to keep the business profitable amid inflationary conditions (Yuan and Ma, 2024).</w:t>
      </w:r>
    </w:p>
    <w:p w14:paraId="709A4512" w14:textId="77777777" w:rsidR="00EB4B26" w:rsidRDefault="00000000">
      <w:pPr>
        <w:pStyle w:val="Heading3"/>
      </w:pPr>
      <w:bookmarkStart w:id="38" w:name="_32qhj2s5yp46" w:colFirst="0" w:colLast="0"/>
      <w:bookmarkEnd w:id="38"/>
      <w:r>
        <w:t>Taxation</w:t>
      </w:r>
    </w:p>
    <w:p w14:paraId="6958C2FD" w14:textId="77777777" w:rsidR="00EB4B26" w:rsidRDefault="00000000">
      <w:pPr>
        <w:spacing w:before="0"/>
        <w:rPr>
          <w:rFonts w:ascii="Arial" w:eastAsia="Arial" w:hAnsi="Arial" w:cs="Arial"/>
        </w:rPr>
      </w:pPr>
      <w:r>
        <w:rPr>
          <w:rFonts w:ascii="Arial" w:eastAsia="Arial" w:hAnsi="Arial" w:cs="Arial"/>
        </w:rPr>
        <w:t>Taxation is also a major determinant of the financial performance of BYD and especially due to government subsidies to electric vehicles. Historically, tax incentives and subsidies have aided the expansion of the EV industry in China. Nonetheless, profitability and investments may be affected due to changes in tax laws or a decline in subsidies. As BYD proceeds to expand globally, strategic tax planning and adherence to the international tax systems are crucial requirements (Li et al., 2023).</w:t>
      </w:r>
    </w:p>
    <w:p w14:paraId="0D3D6311" w14:textId="77777777" w:rsidR="00EB4B26" w:rsidRDefault="00000000">
      <w:pPr>
        <w:pStyle w:val="Heading3"/>
      </w:pPr>
      <w:bookmarkStart w:id="39" w:name="_v11g0mbsxid5" w:colFirst="0" w:colLast="0"/>
      <w:bookmarkEnd w:id="39"/>
      <w:r>
        <w:t>CSR &amp; Sustainability</w:t>
      </w:r>
    </w:p>
    <w:p w14:paraId="070E4005" w14:textId="77777777" w:rsidR="00EB4B26" w:rsidRDefault="00000000">
      <w:pPr>
        <w:spacing w:before="0"/>
        <w:rPr>
          <w:rFonts w:ascii="Arial" w:eastAsia="Arial" w:hAnsi="Arial" w:cs="Arial"/>
        </w:rPr>
      </w:pPr>
      <w:r>
        <w:rPr>
          <w:rFonts w:ascii="Arial" w:eastAsia="Arial" w:hAnsi="Arial" w:cs="Arial"/>
        </w:rPr>
        <w:t>The business model of BYD revolves around corporate social responsibility and sustainability since the company aims at lowering carbon emissions by means of clean energy cars. This is in tandem with worldwide environmental objectives and improves brand image. Being ethical and adopting sustainability activities also leads to competitiveness in the long term and stakeholder confidence. Moreover, the growing regulatory and consumer awareness also make sustainability an important issue in the process of strategic decision-making (Yu et al., 2024).</w:t>
      </w:r>
    </w:p>
    <w:p w14:paraId="48BAC62D" w14:textId="77777777" w:rsidR="00EB4B26" w:rsidRDefault="00000000">
      <w:pPr>
        <w:pStyle w:val="Heading1"/>
      </w:pPr>
      <w:bookmarkStart w:id="40" w:name="_gwqs8z3qppzs" w:colFirst="0" w:colLast="0"/>
      <w:bookmarkEnd w:id="40"/>
      <w:r>
        <w:lastRenderedPageBreak/>
        <w:t>5. Investment Appraisal &amp; Capital Budgeting</w:t>
      </w:r>
    </w:p>
    <w:p w14:paraId="40517554" w14:textId="77777777" w:rsidR="00EB4B26" w:rsidRDefault="00000000">
      <w:pPr>
        <w:pStyle w:val="Heading2"/>
      </w:pPr>
      <w:bookmarkStart w:id="41" w:name="_k03nnparvkiq" w:colFirst="0" w:colLast="0"/>
      <w:bookmarkEnd w:id="41"/>
      <w:r>
        <w:t>5.1 Project Evaluation (A)</w:t>
      </w:r>
    </w:p>
    <w:p w14:paraId="100EEE36"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58E1D497" wp14:editId="6AA580F1">
            <wp:extent cx="5731200" cy="5473700"/>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731200" cy="5473700"/>
                    </a:xfrm>
                    <a:prstGeom prst="rect">
                      <a:avLst/>
                    </a:prstGeom>
                    <a:ln/>
                  </pic:spPr>
                </pic:pic>
              </a:graphicData>
            </a:graphic>
          </wp:inline>
        </w:drawing>
      </w:r>
    </w:p>
    <w:p w14:paraId="27D5472A" w14:textId="77777777" w:rsidR="00EB4B26" w:rsidRDefault="00000000">
      <w:pPr>
        <w:spacing w:before="0"/>
        <w:jc w:val="center"/>
        <w:rPr>
          <w:rFonts w:ascii="Arial" w:eastAsia="Arial" w:hAnsi="Arial" w:cs="Arial"/>
          <w:b/>
          <w:bCs/>
        </w:rPr>
      </w:pPr>
      <w:r>
        <w:rPr>
          <w:rFonts w:ascii="Arial" w:eastAsia="Arial" w:hAnsi="Arial" w:cs="Arial"/>
          <w:b/>
          <w:bCs/>
        </w:rPr>
        <w:t>Figure 11: Project-A</w:t>
      </w:r>
    </w:p>
    <w:p w14:paraId="3C17DCEA" w14:textId="77777777" w:rsidR="00EB4B26" w:rsidRDefault="00000000">
      <w:pPr>
        <w:spacing w:before="0"/>
        <w:jc w:val="center"/>
        <w:rPr>
          <w:rFonts w:ascii="Arial" w:eastAsia="Arial" w:hAnsi="Arial" w:cs="Arial"/>
        </w:rPr>
      </w:pPr>
      <w:r>
        <w:rPr>
          <w:rFonts w:ascii="Arial" w:eastAsia="Arial" w:hAnsi="Arial" w:cs="Arial"/>
        </w:rPr>
        <w:t>(Source: Excel)</w:t>
      </w:r>
    </w:p>
    <w:p w14:paraId="7A82E1DC" w14:textId="77777777" w:rsidR="00EB4B26" w:rsidRDefault="00000000">
      <w:pPr>
        <w:spacing w:before="0"/>
        <w:rPr>
          <w:rFonts w:ascii="Arial" w:eastAsia="Arial" w:hAnsi="Arial" w:cs="Arial"/>
        </w:rPr>
      </w:pPr>
      <w:r>
        <w:rPr>
          <w:rFonts w:ascii="Arial" w:eastAsia="Arial" w:hAnsi="Arial" w:cs="Arial"/>
        </w:rPr>
        <w:t xml:space="preserve">Key capital budgeting techniques are used to assess the viability of Project A in terms of financial viability. The payback period is around 4.6 years, which implies a rather long recovery period and thereby increases the risk. The growth of the accounting rate of return (ARR) is average, not extra high, but stable in terms of profitability (Yao, 2024; Zhang, 2025). The net present value (NPV) with a discount rate of 10% indicates </w:t>
      </w:r>
      <w:r>
        <w:rPr>
          <w:rFonts w:ascii="Arial" w:eastAsia="Arial" w:hAnsi="Arial" w:cs="Arial"/>
        </w:rPr>
        <w:lastRenderedPageBreak/>
        <w:t>only a slight negative value, implying that the project might not be contributing value. Likewise, the profitability index (PI) is lower than 1, which supports this conclusion. The internal rate of return (IRR) is less than the required rate, which makes the project less appealing. On the whole, Project A has a low financial potential and might not be in line with the strategic goals of BYD.</w:t>
      </w:r>
    </w:p>
    <w:p w14:paraId="0A1FA17F" w14:textId="77777777" w:rsidR="00EB4B26" w:rsidRDefault="00000000">
      <w:pPr>
        <w:pStyle w:val="Heading2"/>
      </w:pPr>
      <w:bookmarkStart w:id="42" w:name="_1qkhg6rrnv03" w:colFirst="0" w:colLast="0"/>
      <w:bookmarkEnd w:id="42"/>
      <w:r>
        <w:t>5.2 Project Evaluation (B)</w:t>
      </w:r>
    </w:p>
    <w:p w14:paraId="7A834040"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6A508074" wp14:editId="2D5CD95A">
            <wp:extent cx="5731200" cy="58674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731200" cy="5867400"/>
                    </a:xfrm>
                    <a:prstGeom prst="rect">
                      <a:avLst/>
                    </a:prstGeom>
                    <a:ln/>
                  </pic:spPr>
                </pic:pic>
              </a:graphicData>
            </a:graphic>
          </wp:inline>
        </w:drawing>
      </w:r>
    </w:p>
    <w:p w14:paraId="1844E385" w14:textId="77777777" w:rsidR="00EB4B26" w:rsidRDefault="00000000">
      <w:pPr>
        <w:spacing w:before="0"/>
        <w:jc w:val="center"/>
        <w:rPr>
          <w:rFonts w:ascii="Arial" w:eastAsia="Arial" w:hAnsi="Arial" w:cs="Arial"/>
          <w:b/>
          <w:bCs/>
        </w:rPr>
      </w:pPr>
      <w:r>
        <w:rPr>
          <w:rFonts w:ascii="Arial" w:eastAsia="Arial" w:hAnsi="Arial" w:cs="Arial"/>
          <w:b/>
          <w:bCs/>
        </w:rPr>
        <w:t>Figure 12: Project-B</w:t>
      </w:r>
    </w:p>
    <w:p w14:paraId="25D919FE" w14:textId="77777777" w:rsidR="00EB4B26" w:rsidRDefault="00000000">
      <w:pPr>
        <w:spacing w:before="0"/>
        <w:jc w:val="center"/>
        <w:rPr>
          <w:rFonts w:ascii="Arial" w:eastAsia="Arial" w:hAnsi="Arial" w:cs="Arial"/>
        </w:rPr>
      </w:pPr>
      <w:r>
        <w:rPr>
          <w:rFonts w:ascii="Arial" w:eastAsia="Arial" w:hAnsi="Arial" w:cs="Arial"/>
        </w:rPr>
        <w:t>(Source: Excel)</w:t>
      </w:r>
    </w:p>
    <w:p w14:paraId="14C6F35A" w14:textId="77777777" w:rsidR="00EB4B26" w:rsidRDefault="00000000">
      <w:pPr>
        <w:spacing w:before="0"/>
        <w:rPr>
          <w:rFonts w:ascii="Arial" w:eastAsia="Arial" w:hAnsi="Arial" w:cs="Arial"/>
        </w:rPr>
      </w:pPr>
      <w:r>
        <w:rPr>
          <w:rFonts w:ascii="Arial" w:eastAsia="Arial" w:hAnsi="Arial" w:cs="Arial"/>
        </w:rPr>
        <w:lastRenderedPageBreak/>
        <w:t>Project B shares a fairly steady and stable cash flow, which makes it financially appealing. The payoff period is even less at 4.5 years, lower than Project A, which represents a moderate risk. Equal annual inflows give the accounting rate of return (ARR) a steady rate of prediction of profitability (Yao, 2024; Zhang, 2025). The net present value (NPV) with a 10% discount value is slightly above zero, implying that the project is beneficial. The profitability index (PI) is somewhat above 1, which justifies acceptance. The internal rate of return (IRR) is near to the required rate, which means that the performance is acceptable. Generally, Project B is a viable project as it presents a moderate risk and return with stable financial results.</w:t>
      </w:r>
    </w:p>
    <w:p w14:paraId="2F728183" w14:textId="77777777" w:rsidR="00EB4B26" w:rsidRDefault="00000000">
      <w:pPr>
        <w:pStyle w:val="Heading2"/>
      </w:pPr>
      <w:bookmarkStart w:id="43" w:name="_ka33quiq5ghz" w:colFirst="0" w:colLast="0"/>
      <w:bookmarkEnd w:id="43"/>
      <w:r>
        <w:t>5.3 Project Evaluation (C)</w:t>
      </w:r>
    </w:p>
    <w:p w14:paraId="56DF52CF" w14:textId="77777777" w:rsidR="00EB4B26" w:rsidRDefault="00000000">
      <w:pPr>
        <w:spacing w:before="0"/>
        <w:jc w:val="center"/>
        <w:rPr>
          <w:rFonts w:ascii="Arial" w:eastAsia="Arial" w:hAnsi="Arial" w:cs="Arial"/>
        </w:rPr>
      </w:pPr>
      <w:r>
        <w:rPr>
          <w:rFonts w:ascii="Arial" w:eastAsia="Arial" w:hAnsi="Arial" w:cs="Arial"/>
          <w:noProof/>
        </w:rPr>
        <w:drawing>
          <wp:inline distT="114300" distB="114300" distL="114300" distR="114300" wp14:anchorId="5E0B2B28" wp14:editId="6D839916">
            <wp:extent cx="5731200" cy="5600700"/>
            <wp:effectExtent l="0" t="0" r="0" b="0"/>
            <wp:docPr id="1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200" cy="5600700"/>
                    </a:xfrm>
                    <a:prstGeom prst="rect">
                      <a:avLst/>
                    </a:prstGeom>
                    <a:ln/>
                  </pic:spPr>
                </pic:pic>
              </a:graphicData>
            </a:graphic>
          </wp:inline>
        </w:drawing>
      </w:r>
    </w:p>
    <w:p w14:paraId="5078AF55" w14:textId="77777777" w:rsidR="00EB4B26" w:rsidRDefault="00000000">
      <w:pPr>
        <w:spacing w:before="0"/>
        <w:jc w:val="center"/>
        <w:rPr>
          <w:rFonts w:ascii="Arial" w:eastAsia="Arial" w:hAnsi="Arial" w:cs="Arial"/>
          <w:b/>
          <w:bCs/>
        </w:rPr>
      </w:pPr>
      <w:r>
        <w:rPr>
          <w:rFonts w:ascii="Arial" w:eastAsia="Arial" w:hAnsi="Arial" w:cs="Arial"/>
          <w:b/>
          <w:bCs/>
        </w:rPr>
        <w:lastRenderedPageBreak/>
        <w:t>Figure 13: Project-C</w:t>
      </w:r>
    </w:p>
    <w:p w14:paraId="40EB2B71" w14:textId="77777777" w:rsidR="00EB4B26" w:rsidRDefault="00000000">
      <w:pPr>
        <w:spacing w:before="0"/>
        <w:jc w:val="center"/>
        <w:rPr>
          <w:rFonts w:ascii="Arial" w:eastAsia="Arial" w:hAnsi="Arial" w:cs="Arial"/>
        </w:rPr>
      </w:pPr>
      <w:r>
        <w:rPr>
          <w:rFonts w:ascii="Arial" w:eastAsia="Arial" w:hAnsi="Arial" w:cs="Arial"/>
        </w:rPr>
        <w:t>(Source: Excel)</w:t>
      </w:r>
    </w:p>
    <w:p w14:paraId="18EE668B" w14:textId="77777777" w:rsidR="00EB4B26" w:rsidRDefault="00000000">
      <w:pPr>
        <w:spacing w:before="0"/>
        <w:rPr>
          <w:rFonts w:ascii="Arial" w:eastAsia="Arial" w:hAnsi="Arial" w:cs="Arial"/>
        </w:rPr>
      </w:pPr>
      <w:r>
        <w:rPr>
          <w:rFonts w:ascii="Arial" w:eastAsia="Arial" w:hAnsi="Arial" w:cs="Arial"/>
        </w:rPr>
        <w:t>Project C has a different risk-return profile since it has uneven cash flows. It’s payback period is about 3.4 years, the shortest payback period of all the projects and reflects a minor liquidity risk. Accounting rate of return (ARR) has been good, which indicates a good overall profitability. The net present value (NPV) at 10% discount rate is positive, and this means that it creates value. The profitability index (PI) is more than 1, which justifies the acceptance. The internal rate of return (IRR) is more than needed to prove financial health (Yao, 2024; Zhang, 2025). Although there are greater variations in cash flows, Project C has better returns and good investment opportunities.</w:t>
      </w:r>
    </w:p>
    <w:p w14:paraId="0CE0A9D5" w14:textId="77777777" w:rsidR="00EB4B26" w:rsidRDefault="00000000">
      <w:pPr>
        <w:pStyle w:val="Heading2"/>
      </w:pPr>
      <w:bookmarkStart w:id="44" w:name="_iuxxq5wqxhai" w:colFirst="0" w:colLast="0"/>
      <w:bookmarkEnd w:id="44"/>
      <w:r>
        <w:t>5.4 Project Comparison</w:t>
      </w:r>
    </w:p>
    <w:p w14:paraId="21E000DC" w14:textId="77777777" w:rsidR="00EB4B26" w:rsidRDefault="00000000">
      <w:pPr>
        <w:spacing w:before="0"/>
        <w:rPr>
          <w:rFonts w:ascii="Arial" w:eastAsia="Arial" w:hAnsi="Arial" w:cs="Arial"/>
        </w:rPr>
      </w:pPr>
      <w:r>
        <w:rPr>
          <w:rFonts w:ascii="Arial" w:eastAsia="Arial" w:hAnsi="Arial" w:cs="Arial"/>
        </w:rPr>
        <w:t>The comparison of the financial interests of the three projects shows there are evident differences in value generation, risk and potential returns. Project A has the poorest financial performance; it has a negative net present value (NPV) and an internal rate of return (IRR) lower than the required 10%, which means that the project does not produce enough returns to reflect the investment it has made. In contrast, Project B provides stable and consistent cash flows, resulting in a slightly positive NPV and a profitability index (PI) above 1. This renders it a rather safe choice, yet its returns are moderate as they are equal because of consistent inflows (Yao, 2024; Zhang, 2025). Project C scores the highest on the NPV, PI, which is above 1 and IRR, which surpasses the discount rate, implying that it is a high value-creating project. Also, it has the shortest payback period, enhancing liquidity and decreasing the risk of an investment. Project C cannot boast of smooth cash flows, but its improved returns offset such irregularities. Project C is the most financially sound, Project B would be more stable, and the worst of all, Project A is not financially appealing.</w:t>
      </w:r>
    </w:p>
    <w:p w14:paraId="298DBF68" w14:textId="77777777" w:rsidR="00EB4B26" w:rsidRDefault="00000000">
      <w:pPr>
        <w:pStyle w:val="Heading2"/>
      </w:pPr>
      <w:bookmarkStart w:id="45" w:name="_ciql35qcwpka" w:colFirst="0" w:colLast="0"/>
      <w:bookmarkEnd w:id="45"/>
      <w:r>
        <w:t>5.5 Recommended Project</w:t>
      </w:r>
    </w:p>
    <w:p w14:paraId="3DF4B732" w14:textId="77777777" w:rsidR="00EB4B26" w:rsidRDefault="00000000">
      <w:pPr>
        <w:pStyle w:val="Heading3"/>
      </w:pPr>
      <w:bookmarkStart w:id="46" w:name="_lgpvji2fipt" w:colFirst="0" w:colLast="0"/>
      <w:bookmarkEnd w:id="46"/>
      <w:r>
        <w:t>Based on BYD’s Financial Position</w:t>
      </w:r>
    </w:p>
    <w:p w14:paraId="7024DEC4" w14:textId="77777777" w:rsidR="00EB4B26" w:rsidRDefault="00000000">
      <w:pPr>
        <w:spacing w:before="0"/>
        <w:rPr>
          <w:rFonts w:ascii="Arial" w:eastAsia="Arial" w:hAnsi="Arial" w:cs="Arial"/>
        </w:rPr>
      </w:pPr>
      <w:r>
        <w:rPr>
          <w:rFonts w:ascii="Arial" w:eastAsia="Arial" w:hAnsi="Arial" w:cs="Arial"/>
        </w:rPr>
        <w:t xml:space="preserve">Project C is the best investment to undertake based on the financial position of BYD. It has been experiencing high profitability growth, improvement in the returns of equity </w:t>
      </w:r>
      <w:r>
        <w:rPr>
          <w:rFonts w:ascii="Arial" w:eastAsia="Arial" w:hAnsi="Arial" w:cs="Arial"/>
        </w:rPr>
        <w:lastRenderedPageBreak/>
        <w:t>and net profits, but has liquidity constraints and high leverage as indicated by decreasing current ratios, and a high debt to equity ratio (Yao, 2024). Hence, it is necessary to have a project with faster payoffs and more solid cash flows. Project C has the best NPV and shorter payback time, which can assist in enhancing the cash flow status of BYD and decrease financial pressure. Furthermore, its superior returns warrant shareholder value and augur well with the requirements of BYD to continue to grow in a capital-intensive industry. Project C, therefore, suits the financial strategy and operations of the company.</w:t>
      </w:r>
    </w:p>
    <w:p w14:paraId="5182EABB" w14:textId="77777777" w:rsidR="00EB4B26" w:rsidRDefault="00000000">
      <w:pPr>
        <w:pStyle w:val="Heading3"/>
      </w:pPr>
      <w:bookmarkStart w:id="47" w:name="_go6eknxkek8t" w:colFirst="0" w:colLast="0"/>
      <w:bookmarkEnd w:id="47"/>
      <w:r>
        <w:t>Based on Risk Factors</w:t>
      </w:r>
    </w:p>
    <w:p w14:paraId="2673E692" w14:textId="77777777" w:rsidR="00EB4B26" w:rsidRDefault="00000000">
      <w:pPr>
        <w:spacing w:before="0"/>
        <w:rPr>
          <w:rFonts w:ascii="Arial" w:eastAsia="Arial" w:hAnsi="Arial" w:cs="Arial"/>
        </w:rPr>
      </w:pPr>
      <w:r>
        <w:rPr>
          <w:rFonts w:ascii="Arial" w:eastAsia="Arial" w:hAnsi="Arial" w:cs="Arial"/>
        </w:rPr>
        <w:t>In terms of risk, Project C is more susceptible to cash flow variability than Project B; thus, a higher uncertainty may occur. This risk is offset by its much higher IRR and NPV, showing that there is good potential for profitability. The existing financial risks affecting BYD are the high leverage and deteriorating liquidity; moderate risk, which leads to higher returns, is a reasonable choice (Zhang, 2025). Conversely, Project B will have fewer returns and less risk, whereas Project A does not have any financial viability as it will have a negative NPV. Moreover, the EV market is very dynamic and competitive, and companies should focus on investments that yield high returns to stay on top of the market. Thus, Project C offers the optimal exposure and risk-return ratio.</w:t>
      </w:r>
    </w:p>
    <w:p w14:paraId="47613253" w14:textId="77777777" w:rsidR="00EB4B26" w:rsidRDefault="00000000">
      <w:pPr>
        <w:pStyle w:val="Heading2"/>
      </w:pPr>
      <w:bookmarkStart w:id="48" w:name="_rd37otpzuqhq" w:colFirst="0" w:colLast="0"/>
      <w:bookmarkEnd w:id="48"/>
      <w:r>
        <w:t>5.4 Capital Rationing Decision</w:t>
      </w:r>
    </w:p>
    <w:p w14:paraId="76D47856" w14:textId="77777777" w:rsidR="00EB4B26" w:rsidRDefault="00000000">
      <w:pPr>
        <w:pStyle w:val="Heading3"/>
      </w:pPr>
      <w:bookmarkStart w:id="49" w:name="_8k3liksnlj6" w:colFirst="0" w:colLast="0"/>
      <w:bookmarkEnd w:id="49"/>
      <w:r>
        <w:t>Budget Limit: £100 Million</w:t>
      </w:r>
    </w:p>
    <w:p w14:paraId="50196172" w14:textId="77777777" w:rsidR="00EB4B26" w:rsidRDefault="00000000">
      <w:pPr>
        <w:spacing w:before="0"/>
        <w:rPr>
          <w:rFonts w:ascii="Arial" w:eastAsia="Arial" w:hAnsi="Arial" w:cs="Arial"/>
        </w:rPr>
      </w:pPr>
      <w:r>
        <w:rPr>
          <w:rFonts w:ascii="Arial" w:eastAsia="Arial" w:hAnsi="Arial" w:cs="Arial"/>
        </w:rPr>
        <w:t>With a capital rationing limit of £100 million, BYD needs to distribute its scarce financial resources prudently to attain the optimum returns. The company can only continue with two projects since each project needs to be initially invested at 50 million. This constraint requires projects that would bring the greatest value based on NPV and profitability to be prioritised. Capital rationing can be used especially in BYD because of its high leverage and liquidity constraints, as events of the previous analysis have revealed. Consequently, attaining efficiency in making investment decisions is essential as the funds at hand should be directed to investments that increase financial performance and reduce risk and improve cash flow stability.</w:t>
      </w:r>
    </w:p>
    <w:p w14:paraId="78BC22F5" w14:textId="77777777" w:rsidR="00EB4B26" w:rsidRDefault="00000000">
      <w:pPr>
        <w:pStyle w:val="Heading3"/>
      </w:pPr>
      <w:bookmarkStart w:id="50" w:name="_vq8awdxz2w6k" w:colFirst="0" w:colLast="0"/>
      <w:bookmarkEnd w:id="50"/>
      <w:r>
        <w:lastRenderedPageBreak/>
        <w:t>Best Combination of Projects</w:t>
      </w:r>
    </w:p>
    <w:p w14:paraId="64961B52" w14:textId="77777777" w:rsidR="00EB4B26" w:rsidRDefault="00000000">
      <w:pPr>
        <w:spacing w:before="0"/>
        <w:rPr>
          <w:rFonts w:ascii="Arial" w:eastAsia="Arial" w:hAnsi="Arial" w:cs="Arial"/>
        </w:rPr>
      </w:pPr>
      <w:r>
        <w:rPr>
          <w:rFonts w:ascii="Arial" w:eastAsia="Arial" w:hAnsi="Arial" w:cs="Arial"/>
        </w:rPr>
        <w:t>The most optimum mix of projects includes Project B and Project C. Project C has the best returns, which have the best NPV and the best IRR, and thus it is the first project that will give value. Project B as a complement to this offers predictive and stable cash flows and lowers the overall investment risk. This mix will provide a diversification between risky and non-risky projects that will optimise the total NPV given the budget constraint. Project A is not included because of its negative NPV and lower financial viability. This moderate strategy is aligned with the financial necessity of BYD, which contributes to its development as well as its financial stability (Yao, 2024; Zhang, 2025).</w:t>
      </w:r>
    </w:p>
    <w:p w14:paraId="6DA2FE9D" w14:textId="77777777" w:rsidR="00EB4B26" w:rsidRDefault="00000000">
      <w:pPr>
        <w:pStyle w:val="Heading1"/>
      </w:pPr>
      <w:bookmarkStart w:id="51" w:name="_k7drz83v8sum" w:colFirst="0" w:colLast="0"/>
      <w:bookmarkEnd w:id="51"/>
      <w:r>
        <w:t xml:space="preserve">6. Conclusion </w:t>
      </w:r>
    </w:p>
    <w:p w14:paraId="210EC778" w14:textId="77777777" w:rsidR="00EB4B26" w:rsidRDefault="00000000">
      <w:pPr>
        <w:pStyle w:val="Heading2"/>
      </w:pPr>
      <w:bookmarkStart w:id="52" w:name="_hu7lkyv6gdzs" w:colFirst="0" w:colLast="0"/>
      <w:bookmarkEnd w:id="52"/>
      <w:r>
        <w:t>6.1 Summary of Findings</w:t>
      </w:r>
    </w:p>
    <w:p w14:paraId="4F0718F0" w14:textId="77777777" w:rsidR="00EB4B26" w:rsidRDefault="00000000">
      <w:pPr>
        <w:spacing w:before="0"/>
        <w:rPr>
          <w:rFonts w:ascii="Arial" w:eastAsia="Arial" w:hAnsi="Arial" w:cs="Arial"/>
        </w:rPr>
      </w:pPr>
      <w:r>
        <w:rPr>
          <w:rFonts w:ascii="Arial" w:eastAsia="Arial" w:hAnsi="Arial" w:cs="Arial"/>
        </w:rPr>
        <w:t>The analysis has found that BYD has had a robust growth in revenues and profitability over the last five years due to the robust demand in the electric vehicle industry. The company is grappling with monetary difficulties such as dwindling liquidity, high leverage, and strain on cash flows because of capital-intensive expansion. Though operational efficiency has been enhanced, especially in inventory management, financial risks are still apparent. The appraisal conducted on the investments shows that Project C would provide the best value and will suit the financial requirements of BYD. In general, BYD has a high growth potential, but needing to tackle issues of financial stability.</w:t>
      </w:r>
    </w:p>
    <w:p w14:paraId="5E54A0ED" w14:textId="77777777" w:rsidR="00EB4B26" w:rsidRDefault="00000000">
      <w:pPr>
        <w:pStyle w:val="Heading2"/>
      </w:pPr>
      <w:bookmarkStart w:id="53" w:name="_dhuyp6q1les3" w:colFirst="0" w:colLast="0"/>
      <w:bookmarkEnd w:id="53"/>
      <w:r>
        <w:t>6.2 Final Strategic Recommendations</w:t>
      </w:r>
    </w:p>
    <w:p w14:paraId="6FAE99F5" w14:textId="77777777" w:rsidR="00EB4B26" w:rsidRDefault="00000000">
      <w:pPr>
        <w:spacing w:before="0"/>
        <w:rPr>
          <w:rFonts w:ascii="Arial" w:eastAsia="Arial" w:hAnsi="Arial" w:cs="Arial"/>
        </w:rPr>
      </w:pPr>
      <w:r>
        <w:rPr>
          <w:rFonts w:ascii="Arial" w:eastAsia="Arial" w:hAnsi="Arial" w:cs="Arial"/>
        </w:rPr>
        <w:t xml:space="preserve">BYD should focus on financial stability and maintain growth. To begin with, the company needs to enhance liquidity by enhancing management of working capital, especially in terms of improved receivables collection and a regulated inventory level. Second, the decrease of the dependency on debt by the use of equity financing or retained earnings will also optimise the capital structure and decrease financial risk (Wang et al., 2024). Thirdly, BYD ought to persist in investing in high-yield projects like Project C to enhance cash flows and shareholder value (Yao, 2024). Also, the </w:t>
      </w:r>
      <w:r>
        <w:rPr>
          <w:rFonts w:ascii="Arial" w:eastAsia="Arial" w:hAnsi="Arial" w:cs="Arial"/>
        </w:rPr>
        <w:lastRenderedPageBreak/>
        <w:t>appropriate instruments to combat inflation pressures, such as currency hedging and cost control, should be an instrument in terms of which effective risk management practices are supported to ensure the strategic expansion to the global markets. Sustainability and innovation should be part of the company's sustainable agenda as well to stay competitive in the ever-changing EV sector (Mo et al., 2022). Lastly, it is necessary to advise a balanced investment plan with higher projects to yield and stabilize finances in the long term.</w:t>
      </w:r>
    </w:p>
    <w:p w14:paraId="1855417F" w14:textId="77777777" w:rsidR="00EB4B26" w:rsidRDefault="00000000">
      <w:pPr>
        <w:spacing w:before="0"/>
        <w:rPr>
          <w:rFonts w:ascii="Arial" w:eastAsia="Arial" w:hAnsi="Arial" w:cs="Arial"/>
        </w:rPr>
      </w:pPr>
      <w:r>
        <w:br w:type="page"/>
      </w:r>
    </w:p>
    <w:p w14:paraId="19BE516C" w14:textId="77777777" w:rsidR="00EB4B26" w:rsidRDefault="00000000">
      <w:pPr>
        <w:pStyle w:val="Heading1"/>
      </w:pPr>
      <w:bookmarkStart w:id="54" w:name="_rajmoh13otte" w:colFirst="0" w:colLast="0"/>
      <w:bookmarkEnd w:id="54"/>
      <w:r>
        <w:lastRenderedPageBreak/>
        <w:t>7. References</w:t>
      </w:r>
    </w:p>
    <w:p w14:paraId="35465D20" w14:textId="77777777" w:rsidR="00EB4B26" w:rsidRDefault="00000000">
      <w:pPr>
        <w:rPr>
          <w:rFonts w:ascii="Arial" w:eastAsia="Arial" w:hAnsi="Arial" w:cs="Arial"/>
        </w:rPr>
      </w:pPr>
      <w:r>
        <w:rPr>
          <w:rFonts w:ascii="Arial" w:eastAsia="Arial" w:hAnsi="Arial" w:cs="Arial"/>
        </w:rPr>
        <w:t xml:space="preserve">BYD. 2020. </w:t>
      </w:r>
      <w:r>
        <w:rPr>
          <w:rFonts w:ascii="Arial" w:eastAsia="Arial" w:hAnsi="Arial" w:cs="Arial"/>
          <w:i/>
          <w:iCs/>
        </w:rPr>
        <w:t xml:space="preserve">BYD’s Annual Report 2020.  </w:t>
      </w:r>
      <w:r>
        <w:rPr>
          <w:rFonts w:ascii="Arial" w:eastAsia="Arial" w:hAnsi="Arial" w:cs="Arial"/>
        </w:rPr>
        <w:t xml:space="preserve">Available at: </w:t>
      </w:r>
      <w:hyperlink r:id="rId21">
        <w:r>
          <w:rPr>
            <w:rFonts w:ascii="Arial" w:eastAsia="Arial" w:hAnsi="Arial" w:cs="Arial"/>
            <w:color w:val="1155CC"/>
            <w:u w:val="single"/>
          </w:rPr>
          <w:t>https://www.hkexnews.hk/listedco/listconews/sehk/2021/0329/2021032902856.pdf</w:t>
        </w:r>
      </w:hyperlink>
      <w:r>
        <w:rPr>
          <w:rFonts w:ascii="Arial" w:eastAsia="Arial" w:hAnsi="Arial" w:cs="Arial"/>
        </w:rPr>
        <w:t xml:space="preserve"> [Accessed 14th April 2026]</w:t>
      </w:r>
    </w:p>
    <w:p w14:paraId="676F53A3" w14:textId="77777777" w:rsidR="00EB4B26" w:rsidRDefault="00000000">
      <w:pPr>
        <w:rPr>
          <w:rFonts w:ascii="Arial" w:eastAsia="Arial" w:hAnsi="Arial" w:cs="Arial"/>
        </w:rPr>
      </w:pPr>
      <w:r>
        <w:rPr>
          <w:rFonts w:ascii="Arial" w:eastAsia="Arial" w:hAnsi="Arial" w:cs="Arial"/>
        </w:rPr>
        <w:t xml:space="preserve">BYD. 2021. </w:t>
      </w:r>
      <w:r>
        <w:rPr>
          <w:rFonts w:ascii="Arial" w:eastAsia="Arial" w:hAnsi="Arial" w:cs="Arial"/>
          <w:i/>
          <w:iCs/>
        </w:rPr>
        <w:t xml:space="preserve">BYD’s Annual Report 2021.  </w:t>
      </w:r>
      <w:r>
        <w:rPr>
          <w:rFonts w:ascii="Arial" w:eastAsia="Arial" w:hAnsi="Arial" w:cs="Arial"/>
        </w:rPr>
        <w:t xml:space="preserve">Available at: </w:t>
      </w:r>
      <w:hyperlink r:id="rId22">
        <w:r>
          <w:rPr>
            <w:rFonts w:ascii="Arial" w:eastAsia="Arial" w:hAnsi="Arial" w:cs="Arial"/>
            <w:color w:val="1155CC"/>
            <w:u w:val="single"/>
          </w:rPr>
          <w:t>https://www1.hkexnews.hk/listedco/listconews/sehk/2022/0329/2022032902620.pdf</w:t>
        </w:r>
      </w:hyperlink>
      <w:r>
        <w:rPr>
          <w:rFonts w:ascii="Arial" w:eastAsia="Arial" w:hAnsi="Arial" w:cs="Arial"/>
        </w:rPr>
        <w:t xml:space="preserve"> [Accessed 14th April 2026]</w:t>
      </w:r>
    </w:p>
    <w:p w14:paraId="34E88B34" w14:textId="77777777" w:rsidR="00EB4B26" w:rsidRDefault="00000000">
      <w:pPr>
        <w:rPr>
          <w:rFonts w:ascii="Arial" w:eastAsia="Arial" w:hAnsi="Arial" w:cs="Arial"/>
        </w:rPr>
      </w:pPr>
      <w:r>
        <w:rPr>
          <w:rFonts w:ascii="Arial" w:eastAsia="Arial" w:hAnsi="Arial" w:cs="Arial"/>
        </w:rPr>
        <w:t xml:space="preserve">BYD. 2022. </w:t>
      </w:r>
      <w:r>
        <w:rPr>
          <w:rFonts w:ascii="Arial" w:eastAsia="Arial" w:hAnsi="Arial" w:cs="Arial"/>
          <w:i/>
          <w:iCs/>
        </w:rPr>
        <w:t xml:space="preserve">BYD’s Annual Report 2022.  </w:t>
      </w:r>
      <w:r>
        <w:rPr>
          <w:rFonts w:ascii="Arial" w:eastAsia="Arial" w:hAnsi="Arial" w:cs="Arial"/>
        </w:rPr>
        <w:t xml:space="preserve">Available at: </w:t>
      </w:r>
      <w:hyperlink r:id="rId23">
        <w:r>
          <w:rPr>
            <w:rFonts w:ascii="Arial" w:eastAsia="Arial" w:hAnsi="Arial" w:cs="Arial"/>
            <w:color w:val="1155CC"/>
            <w:u w:val="single"/>
          </w:rPr>
          <w:t>https://www.hkexnews.hk/listedco/listconews/sehk/2023/0328/2023032802305.pdf</w:t>
        </w:r>
      </w:hyperlink>
      <w:r>
        <w:rPr>
          <w:rFonts w:ascii="Arial" w:eastAsia="Arial" w:hAnsi="Arial" w:cs="Arial"/>
        </w:rPr>
        <w:t xml:space="preserve"> [Accessed 14th April 2026]</w:t>
      </w:r>
    </w:p>
    <w:p w14:paraId="58310E73" w14:textId="77777777" w:rsidR="00EB4B26" w:rsidRDefault="00000000">
      <w:pPr>
        <w:rPr>
          <w:rFonts w:ascii="Arial" w:eastAsia="Arial" w:hAnsi="Arial" w:cs="Arial"/>
        </w:rPr>
      </w:pPr>
      <w:r>
        <w:rPr>
          <w:rFonts w:ascii="Arial" w:eastAsia="Arial" w:hAnsi="Arial" w:cs="Arial"/>
        </w:rPr>
        <w:t xml:space="preserve">BYD. 2023. </w:t>
      </w:r>
      <w:r>
        <w:rPr>
          <w:rFonts w:ascii="Arial" w:eastAsia="Arial" w:hAnsi="Arial" w:cs="Arial"/>
          <w:i/>
          <w:iCs/>
        </w:rPr>
        <w:t xml:space="preserve">BYD’s Annual Report 2023.  </w:t>
      </w:r>
      <w:r>
        <w:rPr>
          <w:rFonts w:ascii="Arial" w:eastAsia="Arial" w:hAnsi="Arial" w:cs="Arial"/>
        </w:rPr>
        <w:t xml:space="preserve">Available at: </w:t>
      </w:r>
      <w:hyperlink r:id="rId24">
        <w:r>
          <w:rPr>
            <w:rFonts w:ascii="Arial" w:eastAsia="Arial" w:hAnsi="Arial" w:cs="Arial"/>
            <w:color w:val="1155CC"/>
            <w:u w:val="single"/>
          </w:rPr>
          <w:t>https://www1.hkexnews.hk/listedco/listconews/sehk/2024/0326/2024032602559.pdf</w:t>
        </w:r>
      </w:hyperlink>
      <w:r>
        <w:rPr>
          <w:rFonts w:ascii="Arial" w:eastAsia="Arial" w:hAnsi="Arial" w:cs="Arial"/>
        </w:rPr>
        <w:t xml:space="preserve"> [Accessed 14th April 2026]</w:t>
      </w:r>
    </w:p>
    <w:p w14:paraId="6D043355" w14:textId="77777777" w:rsidR="00EB4B26" w:rsidRDefault="00000000">
      <w:pPr>
        <w:rPr>
          <w:rFonts w:ascii="Arial" w:eastAsia="Arial" w:hAnsi="Arial" w:cs="Arial"/>
        </w:rPr>
      </w:pPr>
      <w:r>
        <w:rPr>
          <w:rFonts w:ascii="Arial" w:eastAsia="Arial" w:hAnsi="Arial" w:cs="Arial"/>
        </w:rPr>
        <w:t xml:space="preserve">BYD. 2024. </w:t>
      </w:r>
      <w:r>
        <w:rPr>
          <w:rFonts w:ascii="Arial" w:eastAsia="Arial" w:hAnsi="Arial" w:cs="Arial"/>
          <w:i/>
          <w:iCs/>
        </w:rPr>
        <w:t xml:space="preserve">BYD’s Annual Report 2024. </w:t>
      </w:r>
      <w:r>
        <w:rPr>
          <w:rFonts w:ascii="Arial" w:eastAsia="Arial" w:hAnsi="Arial" w:cs="Arial"/>
        </w:rPr>
        <w:t xml:space="preserve">Available at: </w:t>
      </w:r>
      <w:hyperlink r:id="rId25">
        <w:r>
          <w:rPr>
            <w:rFonts w:ascii="Arial" w:eastAsia="Arial" w:hAnsi="Arial" w:cs="Arial"/>
            <w:color w:val="1155CC"/>
            <w:u w:val="single"/>
          </w:rPr>
          <w:t>https://www1.hkexnews.hk/listedco/listconews/sehk/2025/0324/2025032401238.pdf</w:t>
        </w:r>
      </w:hyperlink>
      <w:r>
        <w:rPr>
          <w:rFonts w:ascii="Arial" w:eastAsia="Arial" w:hAnsi="Arial" w:cs="Arial"/>
        </w:rPr>
        <w:t xml:space="preserve"> [Accessed 14th April 2026]</w:t>
      </w:r>
    </w:p>
    <w:p w14:paraId="553230C0" w14:textId="77777777" w:rsidR="00EB4B26" w:rsidRDefault="00000000">
      <w:pPr>
        <w:rPr>
          <w:rFonts w:ascii="Arial" w:eastAsia="Arial" w:hAnsi="Arial" w:cs="Arial"/>
        </w:rPr>
      </w:pPr>
      <w:r>
        <w:rPr>
          <w:rFonts w:ascii="Arial" w:eastAsia="Arial" w:hAnsi="Arial" w:cs="Arial"/>
        </w:rPr>
        <w:t xml:space="preserve">Chen, B., Zhang, K., Moore, A., Jia, B. and Cao, M., 2025. Electric Vehicle Public Charging Equity Considerations: A Systematic Review. </w:t>
      </w:r>
      <w:r>
        <w:rPr>
          <w:rFonts w:ascii="Arial" w:eastAsia="Arial" w:hAnsi="Arial" w:cs="Arial"/>
          <w:i/>
          <w:iCs/>
        </w:rPr>
        <w:t>arXiv preprint arXiv:2507.09726</w:t>
      </w:r>
      <w:r>
        <w:rPr>
          <w:rFonts w:ascii="Arial" w:eastAsia="Arial" w:hAnsi="Arial" w:cs="Arial"/>
        </w:rPr>
        <w:t xml:space="preserve">. </w:t>
      </w:r>
      <w:hyperlink r:id="rId26">
        <w:r>
          <w:rPr>
            <w:rFonts w:ascii="Arial" w:eastAsia="Arial" w:hAnsi="Arial" w:cs="Arial"/>
            <w:color w:val="1155CC"/>
            <w:u w:val="single"/>
          </w:rPr>
          <w:t>https://arxiv.org/pdf/2507.09726</w:t>
        </w:r>
      </w:hyperlink>
      <w:r>
        <w:rPr>
          <w:rFonts w:ascii="Arial" w:eastAsia="Arial" w:hAnsi="Arial" w:cs="Arial"/>
        </w:rPr>
        <w:t xml:space="preserve"> </w:t>
      </w:r>
    </w:p>
    <w:p w14:paraId="01850CBF" w14:textId="77777777" w:rsidR="00EB4B26" w:rsidRDefault="00000000">
      <w:pPr>
        <w:rPr>
          <w:rFonts w:ascii="Arial" w:eastAsia="Arial" w:hAnsi="Arial" w:cs="Arial"/>
        </w:rPr>
      </w:pPr>
      <w:r>
        <w:rPr>
          <w:rFonts w:ascii="Arial" w:eastAsia="Arial" w:hAnsi="Arial" w:cs="Arial"/>
        </w:rPr>
        <w:t xml:space="preserve">Companiesmarketcap. 2026. </w:t>
      </w:r>
      <w:r>
        <w:rPr>
          <w:rFonts w:ascii="Arial" w:eastAsia="Arial" w:hAnsi="Arial" w:cs="Arial"/>
          <w:i/>
          <w:iCs/>
        </w:rPr>
        <w:t xml:space="preserve">BYD Reports.  </w:t>
      </w:r>
      <w:r>
        <w:rPr>
          <w:rFonts w:ascii="Arial" w:eastAsia="Arial" w:hAnsi="Arial" w:cs="Arial"/>
        </w:rPr>
        <w:t xml:space="preserve">Available at: </w:t>
      </w:r>
      <w:hyperlink r:id="rId27">
        <w:r>
          <w:rPr>
            <w:rFonts w:ascii="Arial" w:eastAsia="Arial" w:hAnsi="Arial" w:cs="Arial"/>
            <w:color w:val="1155CC"/>
            <w:u w:val="single"/>
          </w:rPr>
          <w:t>https://companiesmarketcap.com/byd/annual-reports/</w:t>
        </w:r>
      </w:hyperlink>
      <w:r>
        <w:rPr>
          <w:rFonts w:ascii="Arial" w:eastAsia="Arial" w:hAnsi="Arial" w:cs="Arial"/>
        </w:rPr>
        <w:t xml:space="preserve"> [Accessed 14th April 2026]</w:t>
      </w:r>
    </w:p>
    <w:p w14:paraId="6846AA71" w14:textId="77777777" w:rsidR="00EB4B26" w:rsidRDefault="00000000">
      <w:pPr>
        <w:rPr>
          <w:rFonts w:ascii="Arial" w:eastAsia="Arial" w:hAnsi="Arial" w:cs="Arial"/>
        </w:rPr>
      </w:pPr>
      <w:r>
        <w:rPr>
          <w:rFonts w:ascii="Arial" w:eastAsia="Arial" w:hAnsi="Arial" w:cs="Arial"/>
        </w:rPr>
        <w:t xml:space="preserve">Investing. 2026. </w:t>
      </w:r>
      <w:r>
        <w:rPr>
          <w:rFonts w:ascii="Arial" w:eastAsia="Arial" w:hAnsi="Arial" w:cs="Arial"/>
          <w:i/>
          <w:iCs/>
        </w:rPr>
        <w:t xml:space="preserve">BYD Co Ltd-H (1211) Share Price History. </w:t>
      </w:r>
      <w:r>
        <w:rPr>
          <w:rFonts w:ascii="Arial" w:eastAsia="Arial" w:hAnsi="Arial" w:cs="Arial"/>
        </w:rPr>
        <w:t xml:space="preserve">Available at: </w:t>
      </w:r>
      <w:hyperlink r:id="rId28">
        <w:r>
          <w:rPr>
            <w:rFonts w:ascii="Arial" w:eastAsia="Arial" w:hAnsi="Arial" w:cs="Arial"/>
            <w:color w:val="1155CC"/>
            <w:u w:val="single"/>
          </w:rPr>
          <w:t>https://in.investing.com/equities/byd-co.-historical-data</w:t>
        </w:r>
      </w:hyperlink>
      <w:r>
        <w:rPr>
          <w:rFonts w:ascii="Arial" w:eastAsia="Arial" w:hAnsi="Arial" w:cs="Arial"/>
        </w:rPr>
        <w:t xml:space="preserve"> [Accessed 14th April 2026]</w:t>
      </w:r>
    </w:p>
    <w:p w14:paraId="7A058D96" w14:textId="77777777" w:rsidR="00EB4B26" w:rsidRDefault="00000000">
      <w:pPr>
        <w:rPr>
          <w:rFonts w:ascii="Arial" w:eastAsia="Arial" w:hAnsi="Arial" w:cs="Arial"/>
        </w:rPr>
      </w:pPr>
      <w:r>
        <w:rPr>
          <w:rFonts w:ascii="Arial" w:eastAsia="Arial" w:hAnsi="Arial" w:cs="Arial"/>
        </w:rPr>
        <w:t xml:space="preserve">Khaleel, M., Nassar, Y., El-Khozondar, H.J., Elmnifi, M., Rajab, Z., Yaghoubi, E. and Yaghoubi, E., 2024. Electric vehicles in China, Europe, and the United States: Current trend and market comparison. </w:t>
      </w:r>
      <w:r>
        <w:rPr>
          <w:rFonts w:ascii="Arial" w:eastAsia="Arial" w:hAnsi="Arial" w:cs="Arial"/>
          <w:i/>
          <w:iCs/>
        </w:rPr>
        <w:t>Int. J. Electr. Eng. and Sustain.</w:t>
      </w:r>
      <w:r>
        <w:rPr>
          <w:rFonts w:ascii="Arial" w:eastAsia="Arial" w:hAnsi="Arial" w:cs="Arial"/>
        </w:rPr>
        <w:t xml:space="preserve">, pp.1-20. </w:t>
      </w:r>
      <w:hyperlink r:id="rId29">
        <w:r>
          <w:rPr>
            <w:rFonts w:ascii="Arial" w:eastAsia="Arial" w:hAnsi="Arial" w:cs="Arial"/>
            <w:color w:val="1155CC"/>
            <w:u w:val="single"/>
          </w:rPr>
          <w:t>https://ijees.org/index.php/ijees/article/download/70/36</w:t>
        </w:r>
      </w:hyperlink>
      <w:r>
        <w:rPr>
          <w:rFonts w:ascii="Arial" w:eastAsia="Arial" w:hAnsi="Arial" w:cs="Arial"/>
        </w:rPr>
        <w:t xml:space="preserve"> </w:t>
      </w:r>
    </w:p>
    <w:p w14:paraId="4215A54F" w14:textId="77777777" w:rsidR="00EB4B26" w:rsidRDefault="00000000">
      <w:pPr>
        <w:rPr>
          <w:rFonts w:ascii="Arial" w:eastAsia="Arial" w:hAnsi="Arial" w:cs="Arial"/>
        </w:rPr>
      </w:pPr>
      <w:r>
        <w:rPr>
          <w:rFonts w:ascii="Arial" w:eastAsia="Arial" w:hAnsi="Arial" w:cs="Arial"/>
        </w:rPr>
        <w:lastRenderedPageBreak/>
        <w:t xml:space="preserve">Kumalawati, N.I. and Noveria, A., 2026. Electric Vehicle Strategies: A Literature Review on Their Impact on Firm Performance and Market Value. </w:t>
      </w:r>
      <w:r>
        <w:rPr>
          <w:rFonts w:ascii="Arial" w:eastAsia="Arial" w:hAnsi="Arial" w:cs="Arial"/>
          <w:i/>
          <w:iCs/>
        </w:rPr>
        <w:t>Journal Research of Social Science, Economics &amp; Management</w:t>
      </w:r>
      <w:r>
        <w:rPr>
          <w:rFonts w:ascii="Arial" w:eastAsia="Arial" w:hAnsi="Arial" w:cs="Arial"/>
        </w:rPr>
        <w:t xml:space="preserve">, </w:t>
      </w:r>
      <w:r>
        <w:rPr>
          <w:rFonts w:ascii="Arial" w:eastAsia="Arial" w:hAnsi="Arial" w:cs="Arial"/>
          <w:i/>
          <w:iCs/>
        </w:rPr>
        <w:t>5</w:t>
      </w:r>
      <w:r>
        <w:rPr>
          <w:rFonts w:ascii="Arial" w:eastAsia="Arial" w:hAnsi="Arial" w:cs="Arial"/>
        </w:rPr>
        <w:t xml:space="preserve">(6). </w:t>
      </w:r>
      <w:hyperlink r:id="rId30">
        <w:r>
          <w:rPr>
            <w:rFonts w:ascii="Arial" w:eastAsia="Arial" w:hAnsi="Arial" w:cs="Arial"/>
            <w:color w:val="1155CC"/>
            <w:u w:val="single"/>
          </w:rPr>
          <w:t>https://search.ebscohost.com/login.aspx?direct=true&amp;profile=ehost&amp;scope=site&amp;authtype=crawler&amp;jrnl=28076494&amp;AN=191568258&amp;h=LELOemIyxrytnNBivHn29O%2F0KPQ0uokxGPB47Ltig6LJTn4vyDvoiZ63NH32U3y08w7GMkrDmRd4BgwOU1dMtA%3D%3D&amp;crl=c</w:t>
        </w:r>
      </w:hyperlink>
      <w:r>
        <w:rPr>
          <w:rFonts w:ascii="Arial" w:eastAsia="Arial" w:hAnsi="Arial" w:cs="Arial"/>
        </w:rPr>
        <w:t xml:space="preserve"> </w:t>
      </w:r>
    </w:p>
    <w:p w14:paraId="53739E3E" w14:textId="77777777" w:rsidR="00EB4B26" w:rsidRDefault="00000000">
      <w:pPr>
        <w:rPr>
          <w:rFonts w:ascii="Arial" w:eastAsia="Arial" w:hAnsi="Arial" w:cs="Arial"/>
        </w:rPr>
      </w:pPr>
      <w:r>
        <w:rPr>
          <w:rFonts w:ascii="Arial" w:eastAsia="Arial" w:hAnsi="Arial" w:cs="Arial"/>
        </w:rPr>
        <w:t xml:space="preserve">Li, T., Ma, L., Liu, Z., Yi, C. and Liang, K., 2023. Dual carbon goal-based quadrilateral evolutionary game: Study on the new energy vehicle industry in China. </w:t>
      </w:r>
      <w:r>
        <w:rPr>
          <w:rFonts w:ascii="Arial" w:eastAsia="Arial" w:hAnsi="Arial" w:cs="Arial"/>
          <w:i/>
          <w:iCs/>
        </w:rPr>
        <w:t>International journal of environmental research and public health</w:t>
      </w:r>
      <w:r>
        <w:rPr>
          <w:rFonts w:ascii="Arial" w:eastAsia="Arial" w:hAnsi="Arial" w:cs="Arial"/>
        </w:rPr>
        <w:t xml:space="preserve">, </w:t>
      </w:r>
      <w:r>
        <w:rPr>
          <w:rFonts w:ascii="Arial" w:eastAsia="Arial" w:hAnsi="Arial" w:cs="Arial"/>
          <w:i/>
          <w:iCs/>
        </w:rPr>
        <w:t>20</w:t>
      </w:r>
      <w:r>
        <w:rPr>
          <w:rFonts w:ascii="Arial" w:eastAsia="Arial" w:hAnsi="Arial" w:cs="Arial"/>
        </w:rPr>
        <w:t xml:space="preserve">(4), p.3217. </w:t>
      </w:r>
      <w:hyperlink r:id="rId31">
        <w:r>
          <w:rPr>
            <w:rFonts w:ascii="Arial" w:eastAsia="Arial" w:hAnsi="Arial" w:cs="Arial"/>
            <w:color w:val="1155CC"/>
            <w:u w:val="single"/>
          </w:rPr>
          <w:t>https://www.mdpi.com/1660-4601/20/4/3217</w:t>
        </w:r>
      </w:hyperlink>
      <w:r>
        <w:rPr>
          <w:rFonts w:ascii="Arial" w:eastAsia="Arial" w:hAnsi="Arial" w:cs="Arial"/>
        </w:rPr>
        <w:t xml:space="preserve"> </w:t>
      </w:r>
    </w:p>
    <w:p w14:paraId="158A827F" w14:textId="77777777" w:rsidR="00EB4B26" w:rsidRDefault="00000000">
      <w:pPr>
        <w:rPr>
          <w:rFonts w:ascii="Arial" w:eastAsia="Arial" w:hAnsi="Arial" w:cs="Arial"/>
        </w:rPr>
      </w:pPr>
      <w:r>
        <w:rPr>
          <w:rFonts w:ascii="Arial" w:eastAsia="Arial" w:hAnsi="Arial" w:cs="Arial"/>
        </w:rPr>
        <w:t xml:space="preserve">Lib, Q.L.X., 2024. Analysis of Investment Value in China's New Energy Vehicle Industry-Taking BYD Company as an Example. </w:t>
      </w:r>
      <w:r>
        <w:rPr>
          <w:rFonts w:ascii="Arial" w:eastAsia="Arial" w:hAnsi="Arial" w:cs="Arial"/>
          <w:i/>
          <w:iCs/>
        </w:rPr>
        <w:t>Journal of Advanced Academic Research and Studies</w:t>
      </w:r>
      <w:r>
        <w:rPr>
          <w:rFonts w:ascii="Arial" w:eastAsia="Arial" w:hAnsi="Arial" w:cs="Arial"/>
        </w:rPr>
        <w:t xml:space="preserve">, </w:t>
      </w:r>
      <w:r>
        <w:rPr>
          <w:rFonts w:ascii="Arial" w:eastAsia="Arial" w:hAnsi="Arial" w:cs="Arial"/>
          <w:i/>
          <w:iCs/>
        </w:rPr>
        <w:t>1</w:t>
      </w:r>
      <w:r>
        <w:rPr>
          <w:rFonts w:ascii="Arial" w:eastAsia="Arial" w:hAnsi="Arial" w:cs="Arial"/>
        </w:rPr>
        <w:t xml:space="preserve">(4), pp.1-17. </w:t>
      </w:r>
      <w:hyperlink r:id="rId32" w:anchor="page=6">
        <w:r>
          <w:rPr>
            <w:rFonts w:ascii="Arial" w:eastAsia="Arial" w:hAnsi="Arial" w:cs="Arial"/>
            <w:color w:val="1155CC"/>
            <w:u w:val="single"/>
          </w:rPr>
          <w:t>http://www.nlbaeai.org/static/upload/file/20240620/1718853113563757.pdf#page=6</w:t>
        </w:r>
      </w:hyperlink>
      <w:r>
        <w:rPr>
          <w:rFonts w:ascii="Arial" w:eastAsia="Arial" w:hAnsi="Arial" w:cs="Arial"/>
        </w:rPr>
        <w:t xml:space="preserve"> </w:t>
      </w:r>
    </w:p>
    <w:p w14:paraId="7DBD1108" w14:textId="77777777" w:rsidR="00EB4B26" w:rsidRDefault="00000000">
      <w:pPr>
        <w:rPr>
          <w:rFonts w:ascii="Arial" w:eastAsia="Arial" w:hAnsi="Arial" w:cs="Arial"/>
        </w:rPr>
      </w:pPr>
      <w:r>
        <w:rPr>
          <w:rFonts w:ascii="Arial" w:eastAsia="Arial" w:hAnsi="Arial" w:cs="Arial"/>
        </w:rPr>
        <w:t xml:space="preserve">Lyu, R., Arisian, S. and Li, Z., 2025. Strategic battery procurement in new energy vehicle supply chains. </w:t>
      </w:r>
      <w:r>
        <w:rPr>
          <w:rFonts w:ascii="Arial" w:eastAsia="Arial" w:hAnsi="Arial" w:cs="Arial"/>
          <w:i/>
          <w:iCs/>
        </w:rPr>
        <w:t>International Journal of Production Research</w:t>
      </w:r>
      <w:r>
        <w:rPr>
          <w:rFonts w:ascii="Arial" w:eastAsia="Arial" w:hAnsi="Arial" w:cs="Arial"/>
        </w:rPr>
        <w:t xml:space="preserve">, </w:t>
      </w:r>
      <w:r>
        <w:rPr>
          <w:rFonts w:ascii="Arial" w:eastAsia="Arial" w:hAnsi="Arial" w:cs="Arial"/>
          <w:i/>
          <w:iCs/>
        </w:rPr>
        <w:t>63</w:t>
      </w:r>
      <w:r>
        <w:rPr>
          <w:rFonts w:ascii="Arial" w:eastAsia="Arial" w:hAnsi="Arial" w:cs="Arial"/>
        </w:rPr>
        <w:t xml:space="preserve">(22), pp.8540-8569. </w:t>
      </w:r>
      <w:hyperlink r:id="rId33">
        <w:r>
          <w:rPr>
            <w:rFonts w:ascii="Arial" w:eastAsia="Arial" w:hAnsi="Arial" w:cs="Arial"/>
            <w:color w:val="1155CC"/>
            <w:u w:val="single"/>
          </w:rPr>
          <w:t>https://www.tandfonline.com/doi/pdf/10.1080/00207543.2025.2546652</w:t>
        </w:r>
      </w:hyperlink>
      <w:r>
        <w:rPr>
          <w:rFonts w:ascii="Arial" w:eastAsia="Arial" w:hAnsi="Arial" w:cs="Arial"/>
        </w:rPr>
        <w:t xml:space="preserve"> </w:t>
      </w:r>
    </w:p>
    <w:p w14:paraId="59436A5F" w14:textId="77777777" w:rsidR="00EB4B26" w:rsidRDefault="00000000">
      <w:pPr>
        <w:rPr>
          <w:rFonts w:ascii="Arial" w:eastAsia="Arial" w:hAnsi="Arial" w:cs="Arial"/>
        </w:rPr>
      </w:pPr>
      <w:r>
        <w:rPr>
          <w:rFonts w:ascii="Arial" w:eastAsia="Arial" w:hAnsi="Arial" w:cs="Arial"/>
        </w:rPr>
        <w:t xml:space="preserve">Ma, T., 2023, August. Analyzing the Reasons of BYD's Low-Profit Margin Through Financial Data. In </w:t>
      </w:r>
      <w:r>
        <w:rPr>
          <w:rFonts w:ascii="Arial" w:eastAsia="Arial" w:hAnsi="Arial" w:cs="Arial"/>
          <w:i/>
          <w:iCs/>
        </w:rPr>
        <w:t>International Conference on Economic Management and Green Development</w:t>
      </w:r>
      <w:r>
        <w:rPr>
          <w:rFonts w:ascii="Arial" w:eastAsia="Arial" w:hAnsi="Arial" w:cs="Arial"/>
        </w:rPr>
        <w:t xml:space="preserve"> (pp. 555-565). Singapore: Springer Nature Singapore. </w:t>
      </w:r>
      <w:hyperlink r:id="rId34">
        <w:r>
          <w:rPr>
            <w:rFonts w:ascii="Arial" w:eastAsia="Arial" w:hAnsi="Arial" w:cs="Arial"/>
            <w:color w:val="1155CC"/>
            <w:u w:val="single"/>
          </w:rPr>
          <w:t>https://link.springer.com/chapter/10.1007/978-981-97-0523-8_53</w:t>
        </w:r>
      </w:hyperlink>
      <w:r>
        <w:rPr>
          <w:rFonts w:ascii="Arial" w:eastAsia="Arial" w:hAnsi="Arial" w:cs="Arial"/>
        </w:rPr>
        <w:t xml:space="preserve"> </w:t>
      </w:r>
    </w:p>
    <w:p w14:paraId="0A54B221" w14:textId="77777777" w:rsidR="00EB4B26" w:rsidRDefault="00000000">
      <w:pPr>
        <w:rPr>
          <w:rFonts w:ascii="Arial" w:eastAsia="Arial" w:hAnsi="Arial" w:cs="Arial"/>
        </w:rPr>
      </w:pPr>
      <w:r>
        <w:rPr>
          <w:rFonts w:ascii="Arial" w:eastAsia="Arial" w:hAnsi="Arial" w:cs="Arial"/>
        </w:rPr>
        <w:t xml:space="preserve">Mo, T., Li, Y., Lau, K.T., Poon, C.K., Wu, Y. and Luo, Y., 2022. Trends and emerging technologies for the development of electric vehicles. </w:t>
      </w:r>
      <w:r>
        <w:rPr>
          <w:rFonts w:ascii="Arial" w:eastAsia="Arial" w:hAnsi="Arial" w:cs="Arial"/>
          <w:i/>
          <w:iCs/>
        </w:rPr>
        <w:t>Energies</w:t>
      </w:r>
      <w:r>
        <w:rPr>
          <w:rFonts w:ascii="Arial" w:eastAsia="Arial" w:hAnsi="Arial" w:cs="Arial"/>
        </w:rPr>
        <w:t xml:space="preserve">, </w:t>
      </w:r>
      <w:r>
        <w:rPr>
          <w:rFonts w:ascii="Arial" w:eastAsia="Arial" w:hAnsi="Arial" w:cs="Arial"/>
          <w:i/>
          <w:iCs/>
        </w:rPr>
        <w:t>15</w:t>
      </w:r>
      <w:r>
        <w:rPr>
          <w:rFonts w:ascii="Arial" w:eastAsia="Arial" w:hAnsi="Arial" w:cs="Arial"/>
        </w:rPr>
        <w:t xml:space="preserve">(17), p.6271. </w:t>
      </w:r>
      <w:hyperlink r:id="rId35">
        <w:r>
          <w:rPr>
            <w:rFonts w:ascii="Arial" w:eastAsia="Arial" w:hAnsi="Arial" w:cs="Arial"/>
            <w:color w:val="1155CC"/>
            <w:u w:val="single"/>
          </w:rPr>
          <w:t>https://www.mdpi.com/1996-1073/15/17/6271</w:t>
        </w:r>
      </w:hyperlink>
      <w:r>
        <w:rPr>
          <w:rFonts w:ascii="Arial" w:eastAsia="Arial" w:hAnsi="Arial" w:cs="Arial"/>
        </w:rPr>
        <w:t xml:space="preserve"> </w:t>
      </w:r>
    </w:p>
    <w:p w14:paraId="6E4259E0" w14:textId="77777777" w:rsidR="00EB4B26" w:rsidRDefault="00000000">
      <w:pPr>
        <w:rPr>
          <w:rFonts w:ascii="Arial" w:eastAsia="Arial" w:hAnsi="Arial" w:cs="Arial"/>
        </w:rPr>
      </w:pPr>
      <w:r>
        <w:rPr>
          <w:rFonts w:ascii="Arial" w:eastAsia="Arial" w:hAnsi="Arial" w:cs="Arial"/>
        </w:rPr>
        <w:t xml:space="preserve">Wang, H., He, H. and Yang, N., 2024. Analysis of financing issues and strategies for BYD New Energy Vehicle Company. </w:t>
      </w:r>
      <w:r>
        <w:rPr>
          <w:rFonts w:ascii="Arial" w:eastAsia="Arial" w:hAnsi="Arial" w:cs="Arial"/>
          <w:i/>
          <w:iCs/>
        </w:rPr>
        <w:t>Academic Journal of Business &amp; Management</w:t>
      </w:r>
      <w:r>
        <w:rPr>
          <w:rFonts w:ascii="Arial" w:eastAsia="Arial" w:hAnsi="Arial" w:cs="Arial"/>
        </w:rPr>
        <w:t xml:space="preserve">, </w:t>
      </w:r>
      <w:r>
        <w:rPr>
          <w:rFonts w:ascii="Arial" w:eastAsia="Arial" w:hAnsi="Arial" w:cs="Arial"/>
          <w:i/>
          <w:iCs/>
        </w:rPr>
        <w:t>6</w:t>
      </w:r>
      <w:r>
        <w:rPr>
          <w:rFonts w:ascii="Arial" w:eastAsia="Arial" w:hAnsi="Arial" w:cs="Arial"/>
        </w:rPr>
        <w:t xml:space="preserve">(10), pp.19-24. </w:t>
      </w:r>
      <w:hyperlink r:id="rId36">
        <w:r>
          <w:rPr>
            <w:rFonts w:ascii="Arial" w:eastAsia="Arial" w:hAnsi="Arial" w:cs="Arial"/>
            <w:color w:val="1155CC"/>
            <w:u w:val="single"/>
          </w:rPr>
          <w:t>https://francis-press.com/uploads/papers/Hjei7duhTER36s9QtE6L5q1nxIRuoPDX2FCxbqb9.pdf</w:t>
        </w:r>
      </w:hyperlink>
      <w:r>
        <w:rPr>
          <w:rFonts w:ascii="Arial" w:eastAsia="Arial" w:hAnsi="Arial" w:cs="Arial"/>
        </w:rPr>
        <w:t xml:space="preserve"> </w:t>
      </w:r>
    </w:p>
    <w:p w14:paraId="027EE7EE" w14:textId="77777777" w:rsidR="00EB4B26" w:rsidRDefault="00000000">
      <w:pPr>
        <w:rPr>
          <w:rFonts w:ascii="Arial" w:eastAsia="Arial" w:hAnsi="Arial" w:cs="Arial"/>
        </w:rPr>
      </w:pPr>
      <w:r>
        <w:rPr>
          <w:rFonts w:ascii="Arial" w:eastAsia="Arial" w:hAnsi="Arial" w:cs="Arial"/>
        </w:rPr>
        <w:lastRenderedPageBreak/>
        <w:t xml:space="preserve">Wang, S., Luo, Y., Yu, P. and Yu, R., 2025. Integrated coordinated control of source–grid–load–storage in active distribution network with electric vehicle integration. </w:t>
      </w:r>
      <w:r>
        <w:rPr>
          <w:rFonts w:ascii="Arial" w:eastAsia="Arial" w:hAnsi="Arial" w:cs="Arial"/>
          <w:i/>
          <w:iCs/>
        </w:rPr>
        <w:t>Processes</w:t>
      </w:r>
      <w:r>
        <w:rPr>
          <w:rFonts w:ascii="Arial" w:eastAsia="Arial" w:hAnsi="Arial" w:cs="Arial"/>
        </w:rPr>
        <w:t xml:space="preserve">, </w:t>
      </w:r>
      <w:r>
        <w:rPr>
          <w:rFonts w:ascii="Arial" w:eastAsia="Arial" w:hAnsi="Arial" w:cs="Arial"/>
          <w:i/>
          <w:iCs/>
        </w:rPr>
        <w:t>13</w:t>
      </w:r>
      <w:r>
        <w:rPr>
          <w:rFonts w:ascii="Arial" w:eastAsia="Arial" w:hAnsi="Arial" w:cs="Arial"/>
        </w:rPr>
        <w:t xml:space="preserve">(5), p.1285. </w:t>
      </w:r>
      <w:hyperlink r:id="rId37">
        <w:r>
          <w:rPr>
            <w:rFonts w:ascii="Arial" w:eastAsia="Arial" w:hAnsi="Arial" w:cs="Arial"/>
            <w:color w:val="1155CC"/>
            <w:u w:val="single"/>
          </w:rPr>
          <w:t>https://www.mdpi.com/2227-9717/13/5/1285</w:t>
        </w:r>
      </w:hyperlink>
      <w:r>
        <w:rPr>
          <w:rFonts w:ascii="Arial" w:eastAsia="Arial" w:hAnsi="Arial" w:cs="Arial"/>
        </w:rPr>
        <w:t xml:space="preserve"> </w:t>
      </w:r>
    </w:p>
    <w:p w14:paraId="59944B2F" w14:textId="77777777" w:rsidR="00EB4B26" w:rsidRDefault="00000000">
      <w:pPr>
        <w:rPr>
          <w:rFonts w:ascii="Arial" w:eastAsia="Arial" w:hAnsi="Arial" w:cs="Arial"/>
        </w:rPr>
      </w:pPr>
      <w:r>
        <w:rPr>
          <w:rFonts w:ascii="Arial" w:eastAsia="Arial" w:hAnsi="Arial" w:cs="Arial"/>
        </w:rPr>
        <w:t xml:space="preserve">Yao, Y., 2024. New Energy Vehicle Financial Analysis and ROI-based Valuation: A Case Study of BYD. </w:t>
      </w:r>
      <w:hyperlink r:id="rId38">
        <w:r>
          <w:rPr>
            <w:rFonts w:ascii="Arial" w:eastAsia="Arial" w:hAnsi="Arial" w:cs="Arial"/>
            <w:color w:val="1155CC"/>
            <w:u w:val="single"/>
          </w:rPr>
          <w:t>https://en.front-sci.com/index.php/memf/article/view/3946/4257</w:t>
        </w:r>
      </w:hyperlink>
      <w:r>
        <w:rPr>
          <w:rFonts w:ascii="Arial" w:eastAsia="Arial" w:hAnsi="Arial" w:cs="Arial"/>
        </w:rPr>
        <w:t xml:space="preserve"> </w:t>
      </w:r>
    </w:p>
    <w:p w14:paraId="29152CFC" w14:textId="77777777" w:rsidR="00EB4B26" w:rsidRDefault="00000000">
      <w:pPr>
        <w:rPr>
          <w:rFonts w:ascii="Arial" w:eastAsia="Arial" w:hAnsi="Arial" w:cs="Arial"/>
        </w:rPr>
      </w:pPr>
      <w:r>
        <w:rPr>
          <w:rFonts w:ascii="Arial" w:eastAsia="Arial" w:hAnsi="Arial" w:cs="Arial"/>
        </w:rPr>
        <w:t xml:space="preserve">Yong-Peng, S., Xiao-Fang, Y., Su-Na, Z., Bu-Min, M. and Yao-Nan, W., 2023. Energy-saving optimiza-tion control for connected automated electric vehicles: State of the art and perspective. </w:t>
      </w:r>
      <w:r>
        <w:rPr>
          <w:rFonts w:ascii="Arial" w:eastAsia="Arial" w:hAnsi="Arial" w:cs="Arial"/>
          <w:i/>
          <w:iCs/>
        </w:rPr>
        <w:t>Acta Automatica Sinica</w:t>
      </w:r>
      <w:r>
        <w:rPr>
          <w:rFonts w:ascii="Arial" w:eastAsia="Arial" w:hAnsi="Arial" w:cs="Arial"/>
        </w:rPr>
        <w:t xml:space="preserve">, </w:t>
      </w:r>
      <w:r>
        <w:rPr>
          <w:rFonts w:ascii="Arial" w:eastAsia="Arial" w:hAnsi="Arial" w:cs="Arial"/>
          <w:i/>
          <w:iCs/>
        </w:rPr>
        <w:t>49</w:t>
      </w:r>
      <w:r>
        <w:rPr>
          <w:rFonts w:ascii="Arial" w:eastAsia="Arial" w:hAnsi="Arial" w:cs="Arial"/>
        </w:rPr>
        <w:t xml:space="preserve">(12), pp.2437-2456. </w:t>
      </w:r>
      <w:hyperlink r:id="rId39">
        <w:r>
          <w:rPr>
            <w:rFonts w:ascii="Arial" w:eastAsia="Arial" w:hAnsi="Arial" w:cs="Arial"/>
            <w:color w:val="1155CC"/>
            <w:u w:val="single"/>
          </w:rPr>
          <w:t>https://aas.net.cn/cn/article/pdf/preview/10.16383/j.aas.c220819.pdf</w:t>
        </w:r>
      </w:hyperlink>
      <w:r>
        <w:rPr>
          <w:rFonts w:ascii="Arial" w:eastAsia="Arial" w:hAnsi="Arial" w:cs="Arial"/>
        </w:rPr>
        <w:t xml:space="preserve"> </w:t>
      </w:r>
    </w:p>
    <w:p w14:paraId="2C6B8109" w14:textId="77777777" w:rsidR="00EB4B26" w:rsidRDefault="00000000">
      <w:pPr>
        <w:rPr>
          <w:rFonts w:ascii="Arial" w:eastAsia="Arial" w:hAnsi="Arial" w:cs="Arial"/>
        </w:rPr>
      </w:pPr>
      <w:r>
        <w:rPr>
          <w:rFonts w:ascii="Arial" w:eastAsia="Arial" w:hAnsi="Arial" w:cs="Arial"/>
        </w:rPr>
        <w:t xml:space="preserve">Yu, H., Zhang, Y. and Ahmad, N., 2024. Modeling challenges in low-carbon manufacturing adoption using the ISM-MICMAC approach: a case of green tech projects of the Chinese automotive industry. </w:t>
      </w:r>
      <w:r>
        <w:rPr>
          <w:rFonts w:ascii="Arial" w:eastAsia="Arial" w:hAnsi="Arial" w:cs="Arial"/>
          <w:i/>
          <w:iCs/>
        </w:rPr>
        <w:t>Processes</w:t>
      </w:r>
      <w:r>
        <w:rPr>
          <w:rFonts w:ascii="Arial" w:eastAsia="Arial" w:hAnsi="Arial" w:cs="Arial"/>
        </w:rPr>
        <w:t xml:space="preserve">, </w:t>
      </w:r>
      <w:r>
        <w:rPr>
          <w:rFonts w:ascii="Arial" w:eastAsia="Arial" w:hAnsi="Arial" w:cs="Arial"/>
          <w:i/>
          <w:iCs/>
        </w:rPr>
        <w:t>12</w:t>
      </w:r>
      <w:r>
        <w:rPr>
          <w:rFonts w:ascii="Arial" w:eastAsia="Arial" w:hAnsi="Arial" w:cs="Arial"/>
        </w:rPr>
        <w:t xml:space="preserve">(4), p.749. </w:t>
      </w:r>
      <w:hyperlink r:id="rId40">
        <w:r>
          <w:rPr>
            <w:rFonts w:ascii="Arial" w:eastAsia="Arial" w:hAnsi="Arial" w:cs="Arial"/>
            <w:color w:val="1155CC"/>
            <w:u w:val="single"/>
          </w:rPr>
          <w:t>https://www.mdpi.com/2227-9717/12/4/749</w:t>
        </w:r>
      </w:hyperlink>
      <w:r>
        <w:rPr>
          <w:rFonts w:ascii="Arial" w:eastAsia="Arial" w:hAnsi="Arial" w:cs="Arial"/>
        </w:rPr>
        <w:t xml:space="preserve"> </w:t>
      </w:r>
    </w:p>
    <w:p w14:paraId="334206AB" w14:textId="77777777" w:rsidR="00EB4B26" w:rsidRDefault="00000000">
      <w:pPr>
        <w:rPr>
          <w:rFonts w:ascii="Arial" w:eastAsia="Arial" w:hAnsi="Arial" w:cs="Arial"/>
        </w:rPr>
      </w:pPr>
      <w:r>
        <w:rPr>
          <w:rFonts w:ascii="Arial" w:eastAsia="Arial" w:hAnsi="Arial" w:cs="Arial"/>
        </w:rPr>
        <w:t xml:space="preserve">Yuan, H. and Ma, M., 2024. Bottom-up approach to assess carbon emissions of battery electric vehicle operations in China. </w:t>
      </w:r>
      <w:r>
        <w:rPr>
          <w:rFonts w:ascii="Arial" w:eastAsia="Arial" w:hAnsi="Arial" w:cs="Arial"/>
          <w:i/>
          <w:iCs/>
        </w:rPr>
        <w:t>arXiv preprint arXiv:2405.10851</w:t>
      </w:r>
      <w:r>
        <w:rPr>
          <w:rFonts w:ascii="Arial" w:eastAsia="Arial" w:hAnsi="Arial" w:cs="Arial"/>
        </w:rPr>
        <w:t xml:space="preserve">. </w:t>
      </w:r>
      <w:hyperlink r:id="rId41">
        <w:r>
          <w:rPr>
            <w:rFonts w:ascii="Arial" w:eastAsia="Arial" w:hAnsi="Arial" w:cs="Arial"/>
            <w:color w:val="1155CC"/>
            <w:u w:val="single"/>
          </w:rPr>
          <w:t>https://arxiv.org/pdf/2405.10851</w:t>
        </w:r>
      </w:hyperlink>
      <w:r>
        <w:rPr>
          <w:rFonts w:ascii="Arial" w:eastAsia="Arial" w:hAnsi="Arial" w:cs="Arial"/>
        </w:rPr>
        <w:t xml:space="preserve"> </w:t>
      </w:r>
    </w:p>
    <w:p w14:paraId="0706A424" w14:textId="77777777" w:rsidR="00EB4B26" w:rsidRDefault="00000000">
      <w:pPr>
        <w:rPr>
          <w:rFonts w:ascii="Arial" w:eastAsia="Arial" w:hAnsi="Arial" w:cs="Arial"/>
        </w:rPr>
      </w:pPr>
      <w:r>
        <w:rPr>
          <w:rFonts w:ascii="Arial" w:eastAsia="Arial" w:hAnsi="Arial" w:cs="Arial"/>
        </w:rPr>
        <w:t xml:space="preserve">Zhang, W., 2025, November. Research on Valuation Heterogeneity in the New Energy Vehicle Industry: An Integrated Financial-Market Analysis of BYD, Tesla, and NIO. In </w:t>
      </w:r>
      <w:r>
        <w:rPr>
          <w:rFonts w:ascii="Arial" w:eastAsia="Arial" w:hAnsi="Arial" w:cs="Arial"/>
          <w:i/>
          <w:iCs/>
        </w:rPr>
        <w:t>2025 10th International Conference on Modern Management, Education and Social Sciences (MMET 2025)</w:t>
      </w:r>
      <w:r>
        <w:rPr>
          <w:rFonts w:ascii="Arial" w:eastAsia="Arial" w:hAnsi="Arial" w:cs="Arial"/>
        </w:rPr>
        <w:t xml:space="preserve"> (pp. 1080-1086). Atlantis Press. </w:t>
      </w:r>
      <w:hyperlink r:id="rId42">
        <w:r>
          <w:rPr>
            <w:rFonts w:ascii="Arial" w:eastAsia="Arial" w:hAnsi="Arial" w:cs="Arial"/>
            <w:color w:val="1155CC"/>
            <w:u w:val="single"/>
          </w:rPr>
          <w:t>https://www.atlantis-press.com/article/126017900.pdf</w:t>
        </w:r>
      </w:hyperlink>
      <w:r>
        <w:rPr>
          <w:rFonts w:ascii="Arial" w:eastAsia="Arial" w:hAnsi="Arial" w:cs="Arial"/>
        </w:rPr>
        <w:t xml:space="preserve"> </w:t>
      </w:r>
    </w:p>
    <w:p w14:paraId="24D3C0A3" w14:textId="77777777" w:rsidR="00EB4B26" w:rsidRDefault="00000000">
      <w:pPr>
        <w:spacing w:before="0"/>
        <w:rPr>
          <w:rFonts w:ascii="Arial" w:eastAsia="Arial" w:hAnsi="Arial" w:cs="Arial"/>
        </w:rPr>
      </w:pPr>
      <w:r>
        <w:br w:type="page"/>
      </w:r>
    </w:p>
    <w:p w14:paraId="6A91F299" w14:textId="77777777" w:rsidR="00EB4B26" w:rsidRDefault="00000000">
      <w:pPr>
        <w:pStyle w:val="Heading1"/>
      </w:pPr>
      <w:bookmarkStart w:id="55" w:name="_pz1j9t543ian" w:colFirst="0" w:colLast="0"/>
      <w:bookmarkEnd w:id="55"/>
      <w:r>
        <w:lastRenderedPageBreak/>
        <w:t>8. Appendices</w:t>
      </w:r>
    </w:p>
    <w:p w14:paraId="7C14B90F" w14:textId="77777777" w:rsidR="00EB4B26" w:rsidRDefault="00000000">
      <w:pPr>
        <w:pStyle w:val="Heading2"/>
      </w:pPr>
      <w:bookmarkStart w:id="56" w:name="_5e9tmtv216sv" w:colFirst="0" w:colLast="0"/>
      <w:bookmarkEnd w:id="56"/>
      <w:r>
        <w:t xml:space="preserve">Appendix A: BYD’s Ratio </w:t>
      </w:r>
    </w:p>
    <w:tbl>
      <w:tblPr>
        <w:tblStyle w:val="a"/>
        <w:tblW w:w="9014" w:type="dxa"/>
        <w:jc w:val="center"/>
        <w:tblInd w:w="0" w:type="dxa"/>
        <w:tblLayout w:type="fixed"/>
        <w:tblLook w:val="0400" w:firstRow="0" w:lastRow="0" w:firstColumn="0" w:lastColumn="0" w:noHBand="0" w:noVBand="1"/>
      </w:tblPr>
      <w:tblGrid>
        <w:gridCol w:w="1897"/>
        <w:gridCol w:w="1457"/>
        <w:gridCol w:w="1132"/>
        <w:gridCol w:w="1132"/>
        <w:gridCol w:w="1132"/>
        <w:gridCol w:w="1132"/>
        <w:gridCol w:w="1132"/>
      </w:tblGrid>
      <w:tr w:rsidR="00EB4B26" w14:paraId="74B2C784" w14:textId="77777777">
        <w:trPr>
          <w:trHeight w:val="312"/>
          <w:jc w:val="center"/>
        </w:trPr>
        <w:tc>
          <w:tcPr>
            <w:tcW w:w="9014" w:type="dxa"/>
            <w:gridSpan w:val="7"/>
            <w:tcBorders>
              <w:top w:val="nil"/>
              <w:left w:val="single" w:sz="8" w:space="0" w:color="000000"/>
              <w:bottom w:val="single" w:sz="4" w:space="0" w:color="000000"/>
              <w:right w:val="single" w:sz="4" w:space="0" w:color="000000"/>
            </w:tcBorders>
            <w:vAlign w:val="bottom"/>
          </w:tcPr>
          <w:p w14:paraId="420C80B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"Profitability Ratio"</w:t>
            </w:r>
          </w:p>
        </w:tc>
      </w:tr>
      <w:tr w:rsidR="00EB4B26" w14:paraId="68316BA8"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099D076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"Return on Equity"</w:t>
            </w:r>
          </w:p>
        </w:tc>
      </w:tr>
      <w:tr w:rsidR="00EB4B26" w14:paraId="4B62A7F2"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4AFBEE3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3DED7F5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5B3A95D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7192B77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249514B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06488B3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2811BBE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60C8088B"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22D1C1A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"Net Income"</w:t>
            </w:r>
          </w:p>
        </w:tc>
        <w:tc>
          <w:tcPr>
            <w:tcW w:w="1457" w:type="dxa"/>
            <w:vMerge w:val="restart"/>
            <w:tcBorders>
              <w:top w:val="nil"/>
              <w:left w:val="single" w:sz="4" w:space="0" w:color="000000"/>
              <w:bottom w:val="single" w:sz="4" w:space="0" w:color="000000"/>
              <w:right w:val="single" w:sz="4" w:space="0" w:color="000000"/>
            </w:tcBorders>
            <w:vAlign w:val="center"/>
          </w:tcPr>
          <w:p w14:paraId="63FE521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income/Shareholders equity)"</w:t>
            </w:r>
          </w:p>
        </w:tc>
        <w:tc>
          <w:tcPr>
            <w:tcW w:w="1132" w:type="dxa"/>
            <w:tcBorders>
              <w:top w:val="nil"/>
              <w:left w:val="nil"/>
              <w:bottom w:val="single" w:sz="4" w:space="0" w:color="000000"/>
              <w:right w:val="single" w:sz="4" w:space="0" w:color="000000"/>
            </w:tcBorders>
            <w:vAlign w:val="bottom"/>
          </w:tcPr>
          <w:p w14:paraId="2E9F5DC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4,15,87,940.00 </w:t>
            </w:r>
          </w:p>
        </w:tc>
        <w:tc>
          <w:tcPr>
            <w:tcW w:w="1132" w:type="dxa"/>
            <w:tcBorders>
              <w:top w:val="nil"/>
              <w:left w:val="nil"/>
              <w:bottom w:val="single" w:sz="4" w:space="0" w:color="000000"/>
              <w:right w:val="single" w:sz="4" w:space="0" w:color="000000"/>
            </w:tcBorders>
            <w:vAlign w:val="bottom"/>
          </w:tcPr>
          <w:p w14:paraId="32DE2C1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3,13,44,070.00 </w:t>
            </w:r>
          </w:p>
        </w:tc>
        <w:tc>
          <w:tcPr>
            <w:tcW w:w="1132" w:type="dxa"/>
            <w:tcBorders>
              <w:top w:val="nil"/>
              <w:left w:val="nil"/>
              <w:bottom w:val="single" w:sz="4" w:space="0" w:color="000000"/>
              <w:right w:val="single" w:sz="4" w:space="0" w:color="000000"/>
            </w:tcBorders>
            <w:vAlign w:val="bottom"/>
          </w:tcPr>
          <w:p w14:paraId="104EEF3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1,77,13,104.00 </w:t>
            </w:r>
          </w:p>
        </w:tc>
        <w:tc>
          <w:tcPr>
            <w:tcW w:w="1132" w:type="dxa"/>
            <w:tcBorders>
              <w:top w:val="nil"/>
              <w:left w:val="nil"/>
              <w:bottom w:val="single" w:sz="4" w:space="0" w:color="000000"/>
              <w:right w:val="single" w:sz="4" w:space="0" w:color="000000"/>
            </w:tcBorders>
            <w:vAlign w:val="bottom"/>
          </w:tcPr>
          <w:p w14:paraId="3F3BB79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39,67,266.00 </w:t>
            </w:r>
          </w:p>
        </w:tc>
        <w:tc>
          <w:tcPr>
            <w:tcW w:w="1132" w:type="dxa"/>
            <w:tcBorders>
              <w:top w:val="nil"/>
              <w:left w:val="nil"/>
              <w:bottom w:val="single" w:sz="4" w:space="0" w:color="000000"/>
              <w:right w:val="single" w:sz="4" w:space="0" w:color="000000"/>
            </w:tcBorders>
            <w:vAlign w:val="bottom"/>
          </w:tcPr>
          <w:p w14:paraId="70FE246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60,13,963.00 </w:t>
            </w:r>
          </w:p>
        </w:tc>
      </w:tr>
      <w:tr w:rsidR="00EB4B26" w14:paraId="44A9CDB2"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74FC971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Shareholders Equity"</w:t>
            </w:r>
          </w:p>
        </w:tc>
        <w:tc>
          <w:tcPr>
            <w:tcW w:w="1457" w:type="dxa"/>
            <w:vMerge/>
            <w:tcBorders>
              <w:top w:val="nil"/>
              <w:left w:val="single" w:sz="4" w:space="0" w:color="000000"/>
              <w:bottom w:val="single" w:sz="4" w:space="0" w:color="000000"/>
              <w:right w:val="single" w:sz="4" w:space="0" w:color="000000"/>
            </w:tcBorders>
            <w:vAlign w:val="center"/>
          </w:tcPr>
          <w:p w14:paraId="193CF1A0"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520E374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19,86,88,809.00 </w:t>
            </w:r>
          </w:p>
        </w:tc>
        <w:tc>
          <w:tcPr>
            <w:tcW w:w="1132" w:type="dxa"/>
            <w:tcBorders>
              <w:top w:val="nil"/>
              <w:left w:val="nil"/>
              <w:bottom w:val="single" w:sz="4" w:space="0" w:color="000000"/>
              <w:right w:val="single" w:sz="4" w:space="0" w:color="000000"/>
            </w:tcBorders>
            <w:vAlign w:val="bottom"/>
          </w:tcPr>
          <w:p w14:paraId="066C7D5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15,04,62,113.00 </w:t>
            </w:r>
          </w:p>
        </w:tc>
        <w:tc>
          <w:tcPr>
            <w:tcW w:w="1132" w:type="dxa"/>
            <w:tcBorders>
              <w:top w:val="nil"/>
              <w:left w:val="nil"/>
              <w:bottom w:val="single" w:sz="4" w:space="0" w:color="000000"/>
              <w:right w:val="single" w:sz="4" w:space="0" w:color="000000"/>
            </w:tcBorders>
            <w:vAlign w:val="bottom"/>
          </w:tcPr>
          <w:p w14:paraId="0B100E9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12,13,89,837.00 </w:t>
            </w:r>
          </w:p>
        </w:tc>
        <w:tc>
          <w:tcPr>
            <w:tcW w:w="1132" w:type="dxa"/>
            <w:tcBorders>
              <w:top w:val="nil"/>
              <w:left w:val="nil"/>
              <w:bottom w:val="single" w:sz="4" w:space="0" w:color="000000"/>
              <w:right w:val="single" w:sz="4" w:space="0" w:color="000000"/>
            </w:tcBorders>
            <w:vAlign w:val="bottom"/>
          </w:tcPr>
          <w:p w14:paraId="020CE7B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10,42,44,209.00 </w:t>
            </w:r>
          </w:p>
        </w:tc>
        <w:tc>
          <w:tcPr>
            <w:tcW w:w="1132" w:type="dxa"/>
            <w:tcBorders>
              <w:top w:val="nil"/>
              <w:left w:val="nil"/>
              <w:bottom w:val="single" w:sz="4" w:space="0" w:color="000000"/>
              <w:right w:val="single" w:sz="4" w:space="0" w:color="000000"/>
            </w:tcBorders>
            <w:vAlign w:val="bottom"/>
          </w:tcPr>
          <w:p w14:paraId="4421183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6,44,53,912.00 </w:t>
            </w:r>
          </w:p>
        </w:tc>
      </w:tr>
      <w:tr w:rsidR="00EB4B26" w14:paraId="147EA185"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4144F17E"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"Return on Equity"</w:t>
            </w:r>
          </w:p>
        </w:tc>
        <w:tc>
          <w:tcPr>
            <w:tcW w:w="1457" w:type="dxa"/>
            <w:vMerge/>
            <w:tcBorders>
              <w:top w:val="nil"/>
              <w:left w:val="single" w:sz="4" w:space="0" w:color="000000"/>
              <w:bottom w:val="single" w:sz="4" w:space="0" w:color="000000"/>
              <w:right w:val="single" w:sz="4" w:space="0" w:color="000000"/>
            </w:tcBorders>
            <w:vAlign w:val="center"/>
          </w:tcPr>
          <w:p w14:paraId="0CF141B9"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1E730C9B"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20.93%</w:t>
            </w:r>
          </w:p>
        </w:tc>
        <w:tc>
          <w:tcPr>
            <w:tcW w:w="1132" w:type="dxa"/>
            <w:tcBorders>
              <w:top w:val="nil"/>
              <w:left w:val="nil"/>
              <w:bottom w:val="single" w:sz="4" w:space="0" w:color="000000"/>
              <w:right w:val="single" w:sz="4" w:space="0" w:color="000000"/>
            </w:tcBorders>
            <w:vAlign w:val="bottom"/>
          </w:tcPr>
          <w:p w14:paraId="3EB76B34"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20.83%</w:t>
            </w:r>
          </w:p>
        </w:tc>
        <w:tc>
          <w:tcPr>
            <w:tcW w:w="1132" w:type="dxa"/>
            <w:tcBorders>
              <w:top w:val="nil"/>
              <w:left w:val="nil"/>
              <w:bottom w:val="single" w:sz="4" w:space="0" w:color="000000"/>
              <w:right w:val="single" w:sz="4" w:space="0" w:color="000000"/>
            </w:tcBorders>
            <w:vAlign w:val="bottom"/>
          </w:tcPr>
          <w:p w14:paraId="1D987C04"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14.59%</w:t>
            </w:r>
          </w:p>
        </w:tc>
        <w:tc>
          <w:tcPr>
            <w:tcW w:w="1132" w:type="dxa"/>
            <w:tcBorders>
              <w:top w:val="nil"/>
              <w:left w:val="nil"/>
              <w:bottom w:val="single" w:sz="4" w:space="0" w:color="000000"/>
              <w:right w:val="single" w:sz="4" w:space="0" w:color="000000"/>
            </w:tcBorders>
            <w:vAlign w:val="bottom"/>
          </w:tcPr>
          <w:p w14:paraId="7DDA5BE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3.81%</w:t>
            </w:r>
          </w:p>
        </w:tc>
        <w:tc>
          <w:tcPr>
            <w:tcW w:w="1132" w:type="dxa"/>
            <w:tcBorders>
              <w:top w:val="nil"/>
              <w:left w:val="nil"/>
              <w:bottom w:val="single" w:sz="4" w:space="0" w:color="000000"/>
              <w:right w:val="single" w:sz="4" w:space="0" w:color="000000"/>
            </w:tcBorders>
            <w:vAlign w:val="bottom"/>
          </w:tcPr>
          <w:p w14:paraId="3D056EF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9.33%</w:t>
            </w:r>
          </w:p>
        </w:tc>
      </w:tr>
      <w:tr w:rsidR="00EB4B26" w14:paraId="046D0AAB"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59073019"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single" w:sz="4" w:space="0" w:color="000000"/>
              <w:right w:val="single" w:sz="4" w:space="0" w:color="000000"/>
            </w:tcBorders>
            <w:vAlign w:val="bottom"/>
          </w:tcPr>
          <w:p w14:paraId="03CD258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7026260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028CCC6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6E8A75B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50D3CA3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6800DEB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1A6628FA"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663F031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Profit Margin"</w:t>
            </w:r>
          </w:p>
        </w:tc>
      </w:tr>
      <w:tr w:rsidR="00EB4B26" w14:paraId="7CC16F6A"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5C3ECB5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700AF41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6F42CE0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70E6BAE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5E9C4FE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2DB369F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56F47F3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1CF21893"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23DC412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"Net Income"</w:t>
            </w:r>
          </w:p>
        </w:tc>
        <w:tc>
          <w:tcPr>
            <w:tcW w:w="1457" w:type="dxa"/>
            <w:vMerge w:val="restart"/>
            <w:tcBorders>
              <w:top w:val="nil"/>
              <w:left w:val="single" w:sz="4" w:space="0" w:color="000000"/>
              <w:bottom w:val="single" w:sz="4" w:space="0" w:color="000000"/>
              <w:right w:val="single" w:sz="4" w:space="0" w:color="000000"/>
            </w:tcBorders>
            <w:vAlign w:val="center"/>
          </w:tcPr>
          <w:p w14:paraId="53BD250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income/Sales)"</w:t>
            </w:r>
          </w:p>
        </w:tc>
        <w:tc>
          <w:tcPr>
            <w:tcW w:w="1132" w:type="dxa"/>
            <w:tcBorders>
              <w:top w:val="nil"/>
              <w:left w:val="nil"/>
              <w:bottom w:val="single" w:sz="4" w:space="0" w:color="000000"/>
              <w:right w:val="single" w:sz="4" w:space="0" w:color="000000"/>
            </w:tcBorders>
            <w:vAlign w:val="bottom"/>
          </w:tcPr>
          <w:p w14:paraId="1A41600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4,15,87,940.00 </w:t>
            </w:r>
          </w:p>
        </w:tc>
        <w:tc>
          <w:tcPr>
            <w:tcW w:w="1132" w:type="dxa"/>
            <w:tcBorders>
              <w:top w:val="nil"/>
              <w:left w:val="nil"/>
              <w:bottom w:val="single" w:sz="4" w:space="0" w:color="000000"/>
              <w:right w:val="single" w:sz="4" w:space="0" w:color="000000"/>
            </w:tcBorders>
            <w:vAlign w:val="bottom"/>
          </w:tcPr>
          <w:p w14:paraId="590E672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3,13,44,070.00 </w:t>
            </w:r>
          </w:p>
        </w:tc>
        <w:tc>
          <w:tcPr>
            <w:tcW w:w="1132" w:type="dxa"/>
            <w:tcBorders>
              <w:top w:val="nil"/>
              <w:left w:val="nil"/>
              <w:bottom w:val="single" w:sz="4" w:space="0" w:color="000000"/>
              <w:right w:val="single" w:sz="4" w:space="0" w:color="000000"/>
            </w:tcBorders>
            <w:vAlign w:val="bottom"/>
          </w:tcPr>
          <w:p w14:paraId="189919B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1,77,13,104.00 </w:t>
            </w:r>
          </w:p>
        </w:tc>
        <w:tc>
          <w:tcPr>
            <w:tcW w:w="1132" w:type="dxa"/>
            <w:tcBorders>
              <w:top w:val="nil"/>
              <w:left w:val="nil"/>
              <w:bottom w:val="single" w:sz="4" w:space="0" w:color="000000"/>
              <w:right w:val="single" w:sz="4" w:space="0" w:color="000000"/>
            </w:tcBorders>
            <w:vAlign w:val="bottom"/>
          </w:tcPr>
          <w:p w14:paraId="447D532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39,67,266.00 </w:t>
            </w:r>
          </w:p>
        </w:tc>
        <w:tc>
          <w:tcPr>
            <w:tcW w:w="1132" w:type="dxa"/>
            <w:tcBorders>
              <w:top w:val="nil"/>
              <w:left w:val="nil"/>
              <w:bottom w:val="single" w:sz="4" w:space="0" w:color="000000"/>
              <w:right w:val="single" w:sz="4" w:space="0" w:color="000000"/>
            </w:tcBorders>
            <w:vAlign w:val="bottom"/>
          </w:tcPr>
          <w:p w14:paraId="16ECFEA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60,13,963.00 </w:t>
            </w:r>
          </w:p>
        </w:tc>
      </w:tr>
      <w:tr w:rsidR="00EB4B26" w14:paraId="6DC76486"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0EA572F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Sales"</w:t>
            </w:r>
          </w:p>
        </w:tc>
        <w:tc>
          <w:tcPr>
            <w:tcW w:w="1457" w:type="dxa"/>
            <w:vMerge/>
            <w:tcBorders>
              <w:top w:val="nil"/>
              <w:left w:val="single" w:sz="4" w:space="0" w:color="000000"/>
              <w:bottom w:val="single" w:sz="4" w:space="0" w:color="000000"/>
              <w:right w:val="single" w:sz="4" w:space="0" w:color="000000"/>
            </w:tcBorders>
            <w:vAlign w:val="center"/>
          </w:tcPr>
          <w:p w14:paraId="7C37D347"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04B1466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32" w:type="dxa"/>
            <w:tcBorders>
              <w:top w:val="nil"/>
              <w:left w:val="nil"/>
              <w:bottom w:val="single" w:sz="4" w:space="0" w:color="000000"/>
              <w:right w:val="single" w:sz="4" w:space="0" w:color="000000"/>
            </w:tcBorders>
            <w:vAlign w:val="bottom"/>
          </w:tcPr>
          <w:p w14:paraId="1FE79259"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32" w:type="dxa"/>
            <w:tcBorders>
              <w:top w:val="nil"/>
              <w:left w:val="nil"/>
              <w:bottom w:val="single" w:sz="4" w:space="0" w:color="000000"/>
              <w:right w:val="single" w:sz="4" w:space="0" w:color="000000"/>
            </w:tcBorders>
            <w:vAlign w:val="bottom"/>
          </w:tcPr>
          <w:p w14:paraId="11E6368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32" w:type="dxa"/>
            <w:tcBorders>
              <w:top w:val="nil"/>
              <w:left w:val="nil"/>
              <w:bottom w:val="single" w:sz="4" w:space="0" w:color="000000"/>
              <w:right w:val="single" w:sz="4" w:space="0" w:color="000000"/>
            </w:tcBorders>
            <w:vAlign w:val="bottom"/>
          </w:tcPr>
          <w:p w14:paraId="47C5A1F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32" w:type="dxa"/>
            <w:tcBorders>
              <w:top w:val="nil"/>
              <w:left w:val="nil"/>
              <w:bottom w:val="single" w:sz="4" w:space="0" w:color="000000"/>
              <w:right w:val="single" w:sz="4" w:space="0" w:color="000000"/>
            </w:tcBorders>
            <w:vAlign w:val="bottom"/>
          </w:tcPr>
          <w:p w14:paraId="03E470C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72C86F78"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1568478B"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"Net Profit Margin"</w:t>
            </w:r>
          </w:p>
        </w:tc>
        <w:tc>
          <w:tcPr>
            <w:tcW w:w="1457" w:type="dxa"/>
            <w:vMerge/>
            <w:tcBorders>
              <w:top w:val="nil"/>
              <w:left w:val="single" w:sz="4" w:space="0" w:color="000000"/>
              <w:bottom w:val="single" w:sz="4" w:space="0" w:color="000000"/>
              <w:right w:val="single" w:sz="4" w:space="0" w:color="000000"/>
            </w:tcBorders>
            <w:vAlign w:val="center"/>
          </w:tcPr>
          <w:p w14:paraId="5C8D5179"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347B6EB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5.35%</w:t>
            </w:r>
          </w:p>
        </w:tc>
        <w:tc>
          <w:tcPr>
            <w:tcW w:w="1132" w:type="dxa"/>
            <w:tcBorders>
              <w:top w:val="nil"/>
              <w:left w:val="nil"/>
              <w:bottom w:val="single" w:sz="4" w:space="0" w:color="000000"/>
              <w:right w:val="single" w:sz="4" w:space="0" w:color="000000"/>
            </w:tcBorders>
            <w:vAlign w:val="bottom"/>
          </w:tcPr>
          <w:p w14:paraId="7E53419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5.20%</w:t>
            </w:r>
          </w:p>
        </w:tc>
        <w:tc>
          <w:tcPr>
            <w:tcW w:w="1132" w:type="dxa"/>
            <w:tcBorders>
              <w:top w:val="nil"/>
              <w:left w:val="nil"/>
              <w:bottom w:val="single" w:sz="4" w:space="0" w:color="000000"/>
              <w:right w:val="single" w:sz="4" w:space="0" w:color="000000"/>
            </w:tcBorders>
            <w:vAlign w:val="bottom"/>
          </w:tcPr>
          <w:p w14:paraId="5B071E6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4.18%</w:t>
            </w:r>
          </w:p>
        </w:tc>
        <w:tc>
          <w:tcPr>
            <w:tcW w:w="1132" w:type="dxa"/>
            <w:tcBorders>
              <w:top w:val="nil"/>
              <w:left w:val="nil"/>
              <w:bottom w:val="single" w:sz="4" w:space="0" w:color="000000"/>
              <w:right w:val="single" w:sz="4" w:space="0" w:color="000000"/>
            </w:tcBorders>
            <w:vAlign w:val="bottom"/>
          </w:tcPr>
          <w:p w14:paraId="3B26679B"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1.84%</w:t>
            </w:r>
          </w:p>
        </w:tc>
        <w:tc>
          <w:tcPr>
            <w:tcW w:w="1132" w:type="dxa"/>
            <w:tcBorders>
              <w:top w:val="nil"/>
              <w:left w:val="nil"/>
              <w:bottom w:val="single" w:sz="4" w:space="0" w:color="000000"/>
              <w:right w:val="single" w:sz="4" w:space="0" w:color="000000"/>
            </w:tcBorders>
            <w:vAlign w:val="bottom"/>
          </w:tcPr>
          <w:p w14:paraId="4B616765"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3.92%</w:t>
            </w:r>
          </w:p>
        </w:tc>
      </w:tr>
      <w:tr w:rsidR="00EB4B26" w14:paraId="4F6F7643" w14:textId="77777777">
        <w:trPr>
          <w:trHeight w:val="300"/>
          <w:jc w:val="center"/>
        </w:trPr>
        <w:tc>
          <w:tcPr>
            <w:tcW w:w="1897" w:type="dxa"/>
            <w:tcBorders>
              <w:top w:val="nil"/>
              <w:left w:val="single" w:sz="8" w:space="0" w:color="000000"/>
              <w:bottom w:val="nil"/>
              <w:right w:val="nil"/>
            </w:tcBorders>
            <w:vAlign w:val="bottom"/>
          </w:tcPr>
          <w:p w14:paraId="0E69505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nil"/>
              <w:right w:val="nil"/>
            </w:tcBorders>
            <w:vAlign w:val="bottom"/>
          </w:tcPr>
          <w:p w14:paraId="793D1710" w14:textId="77777777" w:rsidR="00EB4B26" w:rsidRDefault="00EB4B26">
            <w:pPr>
              <w:spacing w:before="0" w:after="0" w:line="240" w:lineRule="auto"/>
              <w:jc w:val="left"/>
              <w:rPr>
                <w:rFonts w:ascii="Arial" w:eastAsia="Arial" w:hAnsi="Arial" w:cs="Arial"/>
                <w:color w:val="000000"/>
              </w:rPr>
            </w:pPr>
          </w:p>
        </w:tc>
        <w:tc>
          <w:tcPr>
            <w:tcW w:w="1132" w:type="dxa"/>
            <w:tcBorders>
              <w:top w:val="nil"/>
              <w:left w:val="nil"/>
              <w:bottom w:val="nil"/>
              <w:right w:val="nil"/>
            </w:tcBorders>
            <w:vAlign w:val="bottom"/>
          </w:tcPr>
          <w:p w14:paraId="37AAB6C0"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2B31B9FE"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2DB921BD"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325008AF"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4369DDD1" w14:textId="77777777" w:rsidR="00EB4B26" w:rsidRDefault="00EB4B26">
            <w:pPr>
              <w:spacing w:before="0" w:after="0" w:line="240" w:lineRule="auto"/>
              <w:jc w:val="left"/>
              <w:rPr>
                <w:sz w:val="20"/>
                <w:szCs w:val="20"/>
              </w:rPr>
            </w:pPr>
          </w:p>
        </w:tc>
      </w:tr>
      <w:tr w:rsidR="00EB4B26" w14:paraId="0D483495" w14:textId="77777777">
        <w:trPr>
          <w:trHeight w:val="312"/>
          <w:jc w:val="center"/>
        </w:trPr>
        <w:tc>
          <w:tcPr>
            <w:tcW w:w="9014" w:type="dxa"/>
            <w:gridSpan w:val="7"/>
            <w:tcBorders>
              <w:top w:val="single" w:sz="4" w:space="0" w:color="000000"/>
              <w:left w:val="single" w:sz="4" w:space="0" w:color="000000"/>
              <w:bottom w:val="single" w:sz="4" w:space="0" w:color="000000"/>
              <w:right w:val="single" w:sz="4" w:space="0" w:color="000000"/>
            </w:tcBorders>
            <w:vAlign w:val="bottom"/>
          </w:tcPr>
          <w:p w14:paraId="0218D24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"Liquidity ratio"</w:t>
            </w:r>
          </w:p>
        </w:tc>
      </w:tr>
      <w:tr w:rsidR="00EB4B26" w14:paraId="315E6917" w14:textId="77777777">
        <w:trPr>
          <w:trHeight w:val="312"/>
          <w:jc w:val="center"/>
        </w:trPr>
        <w:tc>
          <w:tcPr>
            <w:tcW w:w="9014" w:type="dxa"/>
            <w:gridSpan w:val="7"/>
            <w:tcBorders>
              <w:top w:val="single" w:sz="4" w:space="0" w:color="000000"/>
              <w:left w:val="single" w:sz="4" w:space="0" w:color="000000"/>
              <w:bottom w:val="single" w:sz="4" w:space="0" w:color="000000"/>
              <w:right w:val="single" w:sz="4" w:space="0" w:color="000000"/>
            </w:tcBorders>
            <w:vAlign w:val="bottom"/>
          </w:tcPr>
          <w:p w14:paraId="2615E77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"Current ratio"</w:t>
            </w:r>
          </w:p>
        </w:tc>
      </w:tr>
      <w:tr w:rsidR="00EB4B26" w14:paraId="7B25D5F8"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0DF254E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24B03DA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183A316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0B863D0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37E040B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311FCF1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2C595BD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283BFEC3"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758E7D2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"Current assets"</w:t>
            </w:r>
          </w:p>
        </w:tc>
        <w:tc>
          <w:tcPr>
            <w:tcW w:w="1457" w:type="dxa"/>
            <w:vMerge w:val="restart"/>
            <w:tcBorders>
              <w:top w:val="nil"/>
              <w:left w:val="single" w:sz="4" w:space="0" w:color="000000"/>
              <w:bottom w:val="single" w:sz="4" w:space="0" w:color="000000"/>
              <w:right w:val="single" w:sz="4" w:space="0" w:color="000000"/>
            </w:tcBorders>
            <w:vAlign w:val="center"/>
          </w:tcPr>
          <w:p w14:paraId="76636CD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"Current assets/Current liabilities"</w:t>
            </w:r>
          </w:p>
        </w:tc>
        <w:tc>
          <w:tcPr>
            <w:tcW w:w="1132" w:type="dxa"/>
            <w:tcBorders>
              <w:top w:val="nil"/>
              <w:left w:val="nil"/>
              <w:bottom w:val="single" w:sz="4" w:space="0" w:color="000000"/>
              <w:right w:val="single" w:sz="4" w:space="0" w:color="000000"/>
            </w:tcBorders>
            <w:vAlign w:val="bottom"/>
          </w:tcPr>
          <w:p w14:paraId="5F549A0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37,05,72,244.00 </w:t>
            </w:r>
          </w:p>
        </w:tc>
        <w:tc>
          <w:tcPr>
            <w:tcW w:w="1132" w:type="dxa"/>
            <w:tcBorders>
              <w:top w:val="nil"/>
              <w:left w:val="nil"/>
              <w:bottom w:val="single" w:sz="4" w:space="0" w:color="000000"/>
              <w:right w:val="single" w:sz="4" w:space="0" w:color="000000"/>
            </w:tcBorders>
            <w:vAlign w:val="bottom"/>
          </w:tcPr>
          <w:p w14:paraId="4BA5D17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30,21,21,446.00 </w:t>
            </w:r>
          </w:p>
        </w:tc>
        <w:tc>
          <w:tcPr>
            <w:tcW w:w="1132" w:type="dxa"/>
            <w:tcBorders>
              <w:top w:val="nil"/>
              <w:left w:val="nil"/>
              <w:bottom w:val="single" w:sz="4" w:space="0" w:color="000000"/>
              <w:right w:val="single" w:sz="4" w:space="0" w:color="000000"/>
            </w:tcBorders>
            <w:vAlign w:val="bottom"/>
          </w:tcPr>
          <w:p w14:paraId="3362852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24,08,03,507.00 </w:t>
            </w:r>
          </w:p>
        </w:tc>
        <w:tc>
          <w:tcPr>
            <w:tcW w:w="1132" w:type="dxa"/>
            <w:tcBorders>
              <w:top w:val="nil"/>
              <w:left w:val="nil"/>
              <w:bottom w:val="single" w:sz="4" w:space="0" w:color="000000"/>
              <w:right w:val="single" w:sz="4" w:space="0" w:color="000000"/>
            </w:tcBorders>
            <w:vAlign w:val="bottom"/>
          </w:tcPr>
          <w:p w14:paraId="659BBDE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16,61,10,189.00 </w:t>
            </w:r>
          </w:p>
        </w:tc>
        <w:tc>
          <w:tcPr>
            <w:tcW w:w="1132" w:type="dxa"/>
            <w:tcBorders>
              <w:top w:val="nil"/>
              <w:left w:val="nil"/>
              <w:bottom w:val="single" w:sz="4" w:space="0" w:color="000000"/>
              <w:right w:val="single" w:sz="4" w:space="0" w:color="000000"/>
            </w:tcBorders>
            <w:vAlign w:val="bottom"/>
          </w:tcPr>
          <w:p w14:paraId="22D032D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11,16,05,110.00 </w:t>
            </w:r>
          </w:p>
        </w:tc>
      </w:tr>
      <w:tr w:rsidR="00EB4B26" w14:paraId="4A7F89F9"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20A9345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Current Liabilities"</w:t>
            </w:r>
          </w:p>
        </w:tc>
        <w:tc>
          <w:tcPr>
            <w:tcW w:w="1457" w:type="dxa"/>
            <w:vMerge/>
            <w:tcBorders>
              <w:top w:val="nil"/>
              <w:left w:val="single" w:sz="4" w:space="0" w:color="000000"/>
              <w:bottom w:val="single" w:sz="4" w:space="0" w:color="000000"/>
              <w:right w:val="single" w:sz="4" w:space="0" w:color="000000"/>
            </w:tcBorders>
            <w:vAlign w:val="center"/>
          </w:tcPr>
          <w:p w14:paraId="1649BB9C"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25AF068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49,59,85,176.00 </w:t>
            </w:r>
          </w:p>
        </w:tc>
        <w:tc>
          <w:tcPr>
            <w:tcW w:w="1132" w:type="dxa"/>
            <w:tcBorders>
              <w:top w:val="nil"/>
              <w:left w:val="nil"/>
              <w:bottom w:val="single" w:sz="4" w:space="0" w:color="000000"/>
              <w:right w:val="single" w:sz="4" w:space="0" w:color="000000"/>
            </w:tcBorders>
            <w:vAlign w:val="bottom"/>
          </w:tcPr>
          <w:p w14:paraId="4699F4A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45,36,66,671.00 </w:t>
            </w:r>
          </w:p>
        </w:tc>
        <w:tc>
          <w:tcPr>
            <w:tcW w:w="1132" w:type="dxa"/>
            <w:tcBorders>
              <w:top w:val="nil"/>
              <w:left w:val="nil"/>
              <w:bottom w:val="single" w:sz="4" w:space="0" w:color="000000"/>
              <w:right w:val="single" w:sz="4" w:space="0" w:color="000000"/>
            </w:tcBorders>
            <w:vAlign w:val="bottom"/>
          </w:tcPr>
          <w:p w14:paraId="1B4BB0C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33,33,44,561.00 </w:t>
            </w:r>
          </w:p>
        </w:tc>
        <w:tc>
          <w:tcPr>
            <w:tcW w:w="1132" w:type="dxa"/>
            <w:tcBorders>
              <w:top w:val="nil"/>
              <w:left w:val="nil"/>
              <w:bottom w:val="single" w:sz="4" w:space="0" w:color="000000"/>
              <w:right w:val="single" w:sz="4" w:space="0" w:color="000000"/>
            </w:tcBorders>
            <w:vAlign w:val="bottom"/>
          </w:tcPr>
          <w:p w14:paraId="41CA147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17,13,03,944.00 </w:t>
            </w:r>
          </w:p>
        </w:tc>
        <w:tc>
          <w:tcPr>
            <w:tcW w:w="1132" w:type="dxa"/>
            <w:tcBorders>
              <w:top w:val="nil"/>
              <w:left w:val="nil"/>
              <w:bottom w:val="single" w:sz="4" w:space="0" w:color="000000"/>
              <w:right w:val="single" w:sz="4" w:space="0" w:color="000000"/>
            </w:tcBorders>
            <w:vAlign w:val="bottom"/>
          </w:tcPr>
          <w:p w14:paraId="0080065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10,64,30,696.00 </w:t>
            </w:r>
          </w:p>
        </w:tc>
      </w:tr>
      <w:tr w:rsidR="00EB4B26" w14:paraId="353FD247"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19DCFDE9"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"Current ratio"</w:t>
            </w:r>
          </w:p>
        </w:tc>
        <w:tc>
          <w:tcPr>
            <w:tcW w:w="1457" w:type="dxa"/>
            <w:vMerge/>
            <w:tcBorders>
              <w:top w:val="nil"/>
              <w:left w:val="single" w:sz="4" w:space="0" w:color="000000"/>
              <w:bottom w:val="single" w:sz="4" w:space="0" w:color="000000"/>
              <w:right w:val="single" w:sz="4" w:space="0" w:color="000000"/>
            </w:tcBorders>
            <w:vAlign w:val="center"/>
          </w:tcPr>
          <w:p w14:paraId="4E059A87"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4806007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0.75</w:t>
            </w:r>
          </w:p>
        </w:tc>
        <w:tc>
          <w:tcPr>
            <w:tcW w:w="1132" w:type="dxa"/>
            <w:tcBorders>
              <w:top w:val="nil"/>
              <w:left w:val="nil"/>
              <w:bottom w:val="single" w:sz="4" w:space="0" w:color="000000"/>
              <w:right w:val="single" w:sz="4" w:space="0" w:color="000000"/>
            </w:tcBorders>
            <w:vAlign w:val="bottom"/>
          </w:tcPr>
          <w:p w14:paraId="294BA8E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0.67</w:t>
            </w:r>
          </w:p>
        </w:tc>
        <w:tc>
          <w:tcPr>
            <w:tcW w:w="1132" w:type="dxa"/>
            <w:tcBorders>
              <w:top w:val="nil"/>
              <w:left w:val="nil"/>
              <w:bottom w:val="single" w:sz="4" w:space="0" w:color="000000"/>
              <w:right w:val="single" w:sz="4" w:space="0" w:color="000000"/>
            </w:tcBorders>
            <w:vAlign w:val="bottom"/>
          </w:tcPr>
          <w:p w14:paraId="569B3BB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0.72</w:t>
            </w:r>
          </w:p>
        </w:tc>
        <w:tc>
          <w:tcPr>
            <w:tcW w:w="1132" w:type="dxa"/>
            <w:tcBorders>
              <w:top w:val="nil"/>
              <w:left w:val="nil"/>
              <w:bottom w:val="single" w:sz="4" w:space="0" w:color="000000"/>
              <w:right w:val="single" w:sz="4" w:space="0" w:color="000000"/>
            </w:tcBorders>
            <w:vAlign w:val="bottom"/>
          </w:tcPr>
          <w:p w14:paraId="1C4EFC94"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0.97</w:t>
            </w:r>
          </w:p>
        </w:tc>
        <w:tc>
          <w:tcPr>
            <w:tcW w:w="1132" w:type="dxa"/>
            <w:tcBorders>
              <w:top w:val="nil"/>
              <w:left w:val="nil"/>
              <w:bottom w:val="single" w:sz="4" w:space="0" w:color="000000"/>
              <w:right w:val="single" w:sz="4" w:space="0" w:color="000000"/>
            </w:tcBorders>
            <w:vAlign w:val="bottom"/>
          </w:tcPr>
          <w:p w14:paraId="1D3C817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1.05</w:t>
            </w:r>
          </w:p>
        </w:tc>
      </w:tr>
      <w:tr w:rsidR="00EB4B26" w14:paraId="2644AA20"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6C72C70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single" w:sz="4" w:space="0" w:color="000000"/>
              <w:right w:val="single" w:sz="4" w:space="0" w:color="000000"/>
            </w:tcBorders>
            <w:vAlign w:val="bottom"/>
          </w:tcPr>
          <w:p w14:paraId="0A4A649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6300961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288AEFE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752190C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23BC472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0901D49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1F68F4D3" w14:textId="77777777">
        <w:trPr>
          <w:trHeight w:val="312"/>
          <w:jc w:val="center"/>
        </w:trPr>
        <w:tc>
          <w:tcPr>
            <w:tcW w:w="9014" w:type="dxa"/>
            <w:gridSpan w:val="7"/>
            <w:tcBorders>
              <w:top w:val="single" w:sz="4" w:space="0" w:color="000000"/>
              <w:left w:val="single" w:sz="4" w:space="0" w:color="000000"/>
              <w:bottom w:val="single" w:sz="4" w:space="0" w:color="000000"/>
              <w:right w:val="single" w:sz="4" w:space="0" w:color="000000"/>
            </w:tcBorders>
            <w:vAlign w:val="bottom"/>
          </w:tcPr>
          <w:p w14:paraId="333F533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lastRenderedPageBreak/>
              <w:t>"Acid test ratio"</w:t>
            </w:r>
          </w:p>
        </w:tc>
      </w:tr>
      <w:tr w:rsidR="00EB4B26" w14:paraId="1213992A"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1884F5D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3FD7A22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4E75823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0D11917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7605292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3F0901E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579BE10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2EE74744"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14E7A3C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"Current assets"</w:t>
            </w:r>
          </w:p>
        </w:tc>
        <w:tc>
          <w:tcPr>
            <w:tcW w:w="1457" w:type="dxa"/>
            <w:vMerge w:val="restart"/>
            <w:tcBorders>
              <w:top w:val="nil"/>
              <w:left w:val="single" w:sz="4" w:space="0" w:color="000000"/>
              <w:bottom w:val="single" w:sz="4" w:space="0" w:color="000000"/>
              <w:right w:val="single" w:sz="4" w:space="0" w:color="000000"/>
            </w:tcBorders>
            <w:vAlign w:val="center"/>
          </w:tcPr>
          <w:p w14:paraId="1582894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"(Current assets-Inventories)/Current liabilities"</w:t>
            </w:r>
          </w:p>
        </w:tc>
        <w:tc>
          <w:tcPr>
            <w:tcW w:w="1132" w:type="dxa"/>
            <w:tcBorders>
              <w:top w:val="nil"/>
              <w:left w:val="nil"/>
              <w:bottom w:val="single" w:sz="4" w:space="0" w:color="000000"/>
              <w:right w:val="single" w:sz="4" w:space="0" w:color="000000"/>
            </w:tcBorders>
            <w:vAlign w:val="bottom"/>
          </w:tcPr>
          <w:p w14:paraId="4BD9DC1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37,05,72,244.00 </w:t>
            </w:r>
          </w:p>
        </w:tc>
        <w:tc>
          <w:tcPr>
            <w:tcW w:w="1132" w:type="dxa"/>
            <w:tcBorders>
              <w:top w:val="nil"/>
              <w:left w:val="nil"/>
              <w:bottom w:val="single" w:sz="4" w:space="0" w:color="000000"/>
              <w:right w:val="single" w:sz="4" w:space="0" w:color="000000"/>
            </w:tcBorders>
            <w:vAlign w:val="bottom"/>
          </w:tcPr>
          <w:p w14:paraId="7FDD09A9"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30,21,21,446.00 </w:t>
            </w:r>
          </w:p>
        </w:tc>
        <w:tc>
          <w:tcPr>
            <w:tcW w:w="1132" w:type="dxa"/>
            <w:tcBorders>
              <w:top w:val="nil"/>
              <w:left w:val="nil"/>
              <w:bottom w:val="single" w:sz="4" w:space="0" w:color="000000"/>
              <w:right w:val="single" w:sz="4" w:space="0" w:color="000000"/>
            </w:tcBorders>
            <w:vAlign w:val="bottom"/>
          </w:tcPr>
          <w:p w14:paraId="5DC8982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24,08,03,507.00 </w:t>
            </w:r>
          </w:p>
        </w:tc>
        <w:tc>
          <w:tcPr>
            <w:tcW w:w="1132" w:type="dxa"/>
            <w:tcBorders>
              <w:top w:val="nil"/>
              <w:left w:val="nil"/>
              <w:bottom w:val="single" w:sz="4" w:space="0" w:color="000000"/>
              <w:right w:val="single" w:sz="4" w:space="0" w:color="000000"/>
            </w:tcBorders>
            <w:vAlign w:val="bottom"/>
          </w:tcPr>
          <w:p w14:paraId="7381B81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16,61,10,189.00 </w:t>
            </w:r>
          </w:p>
        </w:tc>
        <w:tc>
          <w:tcPr>
            <w:tcW w:w="1132" w:type="dxa"/>
            <w:tcBorders>
              <w:top w:val="nil"/>
              <w:left w:val="nil"/>
              <w:bottom w:val="single" w:sz="4" w:space="0" w:color="000000"/>
              <w:right w:val="single" w:sz="4" w:space="0" w:color="000000"/>
            </w:tcBorders>
            <w:vAlign w:val="bottom"/>
          </w:tcPr>
          <w:p w14:paraId="5280B68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11,16,05,110.00 </w:t>
            </w:r>
          </w:p>
        </w:tc>
      </w:tr>
      <w:tr w:rsidR="00EB4B26" w14:paraId="28534A5E"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79A5B69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Inventories"</w:t>
            </w:r>
          </w:p>
        </w:tc>
        <w:tc>
          <w:tcPr>
            <w:tcW w:w="1457" w:type="dxa"/>
            <w:vMerge/>
            <w:tcBorders>
              <w:top w:val="nil"/>
              <w:left w:val="single" w:sz="4" w:space="0" w:color="000000"/>
              <w:bottom w:val="single" w:sz="4" w:space="0" w:color="000000"/>
              <w:right w:val="single" w:sz="4" w:space="0" w:color="000000"/>
            </w:tcBorders>
            <w:vAlign w:val="center"/>
          </w:tcPr>
          <w:p w14:paraId="655ADC94"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69CD013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11,60,36,237.00 </w:t>
            </w:r>
          </w:p>
        </w:tc>
        <w:tc>
          <w:tcPr>
            <w:tcW w:w="1132" w:type="dxa"/>
            <w:tcBorders>
              <w:top w:val="nil"/>
              <w:left w:val="nil"/>
              <w:bottom w:val="single" w:sz="4" w:space="0" w:color="000000"/>
              <w:right w:val="single" w:sz="4" w:space="0" w:color="000000"/>
            </w:tcBorders>
            <w:vAlign w:val="bottom"/>
          </w:tcPr>
          <w:p w14:paraId="78B57B7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8,76,76,748.00 </w:t>
            </w:r>
          </w:p>
        </w:tc>
        <w:tc>
          <w:tcPr>
            <w:tcW w:w="1132" w:type="dxa"/>
            <w:tcBorders>
              <w:top w:val="nil"/>
              <w:left w:val="nil"/>
              <w:bottom w:val="single" w:sz="4" w:space="0" w:color="000000"/>
              <w:right w:val="single" w:sz="4" w:space="0" w:color="000000"/>
            </w:tcBorders>
            <w:vAlign w:val="bottom"/>
          </w:tcPr>
          <w:p w14:paraId="654D88A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7,91,07,199.00 </w:t>
            </w:r>
          </w:p>
        </w:tc>
        <w:tc>
          <w:tcPr>
            <w:tcW w:w="1132" w:type="dxa"/>
            <w:tcBorders>
              <w:top w:val="nil"/>
              <w:left w:val="nil"/>
              <w:bottom w:val="single" w:sz="4" w:space="0" w:color="000000"/>
              <w:right w:val="single" w:sz="4" w:space="0" w:color="000000"/>
            </w:tcBorders>
            <w:vAlign w:val="bottom"/>
          </w:tcPr>
          <w:p w14:paraId="6A811A9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4,33,54,782.00 </w:t>
            </w:r>
          </w:p>
        </w:tc>
        <w:tc>
          <w:tcPr>
            <w:tcW w:w="1132" w:type="dxa"/>
            <w:tcBorders>
              <w:top w:val="nil"/>
              <w:left w:val="nil"/>
              <w:bottom w:val="single" w:sz="4" w:space="0" w:color="000000"/>
              <w:right w:val="single" w:sz="4" w:space="0" w:color="000000"/>
            </w:tcBorders>
            <w:vAlign w:val="bottom"/>
          </w:tcPr>
          <w:p w14:paraId="75E68A4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3,13,96,358.00 </w:t>
            </w:r>
          </w:p>
        </w:tc>
      </w:tr>
      <w:tr w:rsidR="00EB4B26" w14:paraId="74BF004C"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1E58AEC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"Difference"</w:t>
            </w:r>
          </w:p>
        </w:tc>
        <w:tc>
          <w:tcPr>
            <w:tcW w:w="1457" w:type="dxa"/>
            <w:vMerge/>
            <w:tcBorders>
              <w:top w:val="nil"/>
              <w:left w:val="single" w:sz="4" w:space="0" w:color="000000"/>
              <w:bottom w:val="single" w:sz="4" w:space="0" w:color="000000"/>
              <w:right w:val="single" w:sz="4" w:space="0" w:color="000000"/>
            </w:tcBorders>
            <w:vAlign w:val="center"/>
          </w:tcPr>
          <w:p w14:paraId="4B35A55D"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6415CCE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25,45,36,007.00 </w:t>
            </w:r>
          </w:p>
        </w:tc>
        <w:tc>
          <w:tcPr>
            <w:tcW w:w="1132" w:type="dxa"/>
            <w:tcBorders>
              <w:top w:val="nil"/>
              <w:left w:val="nil"/>
              <w:bottom w:val="single" w:sz="4" w:space="0" w:color="000000"/>
              <w:right w:val="single" w:sz="4" w:space="0" w:color="000000"/>
            </w:tcBorders>
            <w:vAlign w:val="bottom"/>
          </w:tcPr>
          <w:p w14:paraId="3362BE3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21,44,44,698.00 </w:t>
            </w:r>
          </w:p>
        </w:tc>
        <w:tc>
          <w:tcPr>
            <w:tcW w:w="1132" w:type="dxa"/>
            <w:tcBorders>
              <w:top w:val="nil"/>
              <w:left w:val="nil"/>
              <w:bottom w:val="single" w:sz="4" w:space="0" w:color="000000"/>
              <w:right w:val="single" w:sz="4" w:space="0" w:color="000000"/>
            </w:tcBorders>
            <w:vAlign w:val="bottom"/>
          </w:tcPr>
          <w:p w14:paraId="6E2921D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16,16,96,308.00 </w:t>
            </w:r>
          </w:p>
        </w:tc>
        <w:tc>
          <w:tcPr>
            <w:tcW w:w="1132" w:type="dxa"/>
            <w:tcBorders>
              <w:top w:val="nil"/>
              <w:left w:val="nil"/>
              <w:bottom w:val="single" w:sz="4" w:space="0" w:color="000000"/>
              <w:right w:val="single" w:sz="4" w:space="0" w:color="000000"/>
            </w:tcBorders>
            <w:vAlign w:val="bottom"/>
          </w:tcPr>
          <w:p w14:paraId="3B03523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12,27,55,407.00 </w:t>
            </w:r>
          </w:p>
        </w:tc>
        <w:tc>
          <w:tcPr>
            <w:tcW w:w="1132" w:type="dxa"/>
            <w:tcBorders>
              <w:top w:val="nil"/>
              <w:left w:val="nil"/>
              <w:bottom w:val="single" w:sz="4" w:space="0" w:color="000000"/>
              <w:right w:val="single" w:sz="4" w:space="0" w:color="000000"/>
            </w:tcBorders>
            <w:vAlign w:val="bottom"/>
          </w:tcPr>
          <w:p w14:paraId="0975515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8,02,08,752.00 </w:t>
            </w:r>
          </w:p>
        </w:tc>
      </w:tr>
      <w:tr w:rsidR="00EB4B26" w14:paraId="0A0113C8"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5E7B678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Current Liabilities"</w:t>
            </w:r>
          </w:p>
        </w:tc>
        <w:tc>
          <w:tcPr>
            <w:tcW w:w="1457" w:type="dxa"/>
            <w:vMerge/>
            <w:tcBorders>
              <w:top w:val="nil"/>
              <w:left w:val="single" w:sz="4" w:space="0" w:color="000000"/>
              <w:bottom w:val="single" w:sz="4" w:space="0" w:color="000000"/>
              <w:right w:val="single" w:sz="4" w:space="0" w:color="000000"/>
            </w:tcBorders>
            <w:vAlign w:val="center"/>
          </w:tcPr>
          <w:p w14:paraId="3F40ADD8"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2F5A099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49,59,85,176.00 </w:t>
            </w:r>
          </w:p>
        </w:tc>
        <w:tc>
          <w:tcPr>
            <w:tcW w:w="1132" w:type="dxa"/>
            <w:tcBorders>
              <w:top w:val="nil"/>
              <w:left w:val="nil"/>
              <w:bottom w:val="single" w:sz="4" w:space="0" w:color="000000"/>
              <w:right w:val="single" w:sz="4" w:space="0" w:color="000000"/>
            </w:tcBorders>
            <w:vAlign w:val="bottom"/>
          </w:tcPr>
          <w:p w14:paraId="2C2EC2B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45,36,66,671.00 </w:t>
            </w:r>
          </w:p>
        </w:tc>
        <w:tc>
          <w:tcPr>
            <w:tcW w:w="1132" w:type="dxa"/>
            <w:tcBorders>
              <w:top w:val="nil"/>
              <w:left w:val="nil"/>
              <w:bottom w:val="single" w:sz="4" w:space="0" w:color="000000"/>
              <w:right w:val="single" w:sz="4" w:space="0" w:color="000000"/>
            </w:tcBorders>
            <w:vAlign w:val="bottom"/>
          </w:tcPr>
          <w:p w14:paraId="18EFDC2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33,33,44,561.00 </w:t>
            </w:r>
          </w:p>
        </w:tc>
        <w:tc>
          <w:tcPr>
            <w:tcW w:w="1132" w:type="dxa"/>
            <w:tcBorders>
              <w:top w:val="nil"/>
              <w:left w:val="nil"/>
              <w:bottom w:val="single" w:sz="4" w:space="0" w:color="000000"/>
              <w:right w:val="single" w:sz="4" w:space="0" w:color="000000"/>
            </w:tcBorders>
            <w:vAlign w:val="bottom"/>
          </w:tcPr>
          <w:p w14:paraId="44DE054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17,13,03,944.00 </w:t>
            </w:r>
          </w:p>
        </w:tc>
        <w:tc>
          <w:tcPr>
            <w:tcW w:w="1132" w:type="dxa"/>
            <w:tcBorders>
              <w:top w:val="nil"/>
              <w:left w:val="nil"/>
              <w:bottom w:val="single" w:sz="4" w:space="0" w:color="000000"/>
              <w:right w:val="single" w:sz="4" w:space="0" w:color="000000"/>
            </w:tcBorders>
            <w:vAlign w:val="bottom"/>
          </w:tcPr>
          <w:p w14:paraId="147C923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10,64,30,696.00 </w:t>
            </w:r>
          </w:p>
        </w:tc>
      </w:tr>
      <w:tr w:rsidR="00EB4B26" w14:paraId="3D666A53"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6660990D"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"Acid test ratio"</w:t>
            </w:r>
          </w:p>
        </w:tc>
        <w:tc>
          <w:tcPr>
            <w:tcW w:w="1457" w:type="dxa"/>
            <w:vMerge/>
            <w:tcBorders>
              <w:top w:val="nil"/>
              <w:left w:val="single" w:sz="4" w:space="0" w:color="000000"/>
              <w:bottom w:val="single" w:sz="4" w:space="0" w:color="000000"/>
              <w:right w:val="single" w:sz="4" w:space="0" w:color="000000"/>
            </w:tcBorders>
            <w:vAlign w:val="center"/>
          </w:tcPr>
          <w:p w14:paraId="22DC66CF"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7C60D9E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0.51</w:t>
            </w:r>
          </w:p>
        </w:tc>
        <w:tc>
          <w:tcPr>
            <w:tcW w:w="1132" w:type="dxa"/>
            <w:tcBorders>
              <w:top w:val="nil"/>
              <w:left w:val="nil"/>
              <w:bottom w:val="single" w:sz="4" w:space="0" w:color="000000"/>
              <w:right w:val="single" w:sz="4" w:space="0" w:color="000000"/>
            </w:tcBorders>
            <w:vAlign w:val="bottom"/>
          </w:tcPr>
          <w:p w14:paraId="2A956B4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0.47</w:t>
            </w:r>
          </w:p>
        </w:tc>
        <w:tc>
          <w:tcPr>
            <w:tcW w:w="1132" w:type="dxa"/>
            <w:tcBorders>
              <w:top w:val="nil"/>
              <w:left w:val="nil"/>
              <w:bottom w:val="single" w:sz="4" w:space="0" w:color="000000"/>
              <w:right w:val="single" w:sz="4" w:space="0" w:color="000000"/>
            </w:tcBorders>
            <w:vAlign w:val="bottom"/>
          </w:tcPr>
          <w:p w14:paraId="414191A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0.49</w:t>
            </w:r>
          </w:p>
        </w:tc>
        <w:tc>
          <w:tcPr>
            <w:tcW w:w="1132" w:type="dxa"/>
            <w:tcBorders>
              <w:top w:val="nil"/>
              <w:left w:val="nil"/>
              <w:bottom w:val="single" w:sz="4" w:space="0" w:color="000000"/>
              <w:right w:val="single" w:sz="4" w:space="0" w:color="000000"/>
            </w:tcBorders>
            <w:vAlign w:val="bottom"/>
          </w:tcPr>
          <w:p w14:paraId="0B7EA8F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0.72</w:t>
            </w:r>
          </w:p>
        </w:tc>
        <w:tc>
          <w:tcPr>
            <w:tcW w:w="1132" w:type="dxa"/>
            <w:tcBorders>
              <w:top w:val="nil"/>
              <w:left w:val="nil"/>
              <w:bottom w:val="single" w:sz="4" w:space="0" w:color="000000"/>
              <w:right w:val="single" w:sz="4" w:space="0" w:color="000000"/>
            </w:tcBorders>
            <w:vAlign w:val="bottom"/>
          </w:tcPr>
          <w:p w14:paraId="1524BCA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0.75</w:t>
            </w:r>
          </w:p>
        </w:tc>
      </w:tr>
      <w:tr w:rsidR="00EB4B26" w14:paraId="7B6D0163"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1D09BE3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single" w:sz="4" w:space="0" w:color="000000"/>
              <w:right w:val="single" w:sz="4" w:space="0" w:color="000000"/>
            </w:tcBorders>
            <w:vAlign w:val="bottom"/>
          </w:tcPr>
          <w:p w14:paraId="19D2B8B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4406216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3A3D024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518C3F2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0C60405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639237A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3774C84D" w14:textId="77777777">
        <w:trPr>
          <w:trHeight w:val="312"/>
          <w:jc w:val="center"/>
        </w:trPr>
        <w:tc>
          <w:tcPr>
            <w:tcW w:w="9014" w:type="dxa"/>
            <w:gridSpan w:val="7"/>
            <w:tcBorders>
              <w:top w:val="single" w:sz="4" w:space="0" w:color="000000"/>
              <w:left w:val="single" w:sz="4" w:space="0" w:color="000000"/>
              <w:bottom w:val="single" w:sz="4" w:space="0" w:color="000000"/>
              <w:right w:val="single" w:sz="4" w:space="0" w:color="000000"/>
            </w:tcBorders>
            <w:vAlign w:val="bottom"/>
          </w:tcPr>
          <w:p w14:paraId="1FDB345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ratio"</w:t>
            </w:r>
          </w:p>
        </w:tc>
      </w:tr>
      <w:tr w:rsidR="00EB4B26" w14:paraId="5EBA8613"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1634F6C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08EB409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441927E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141CEDB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34D73CD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404533D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39E3442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28EB873F"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34B6750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"Cash"</w:t>
            </w:r>
          </w:p>
        </w:tc>
        <w:tc>
          <w:tcPr>
            <w:tcW w:w="1457" w:type="dxa"/>
            <w:vMerge w:val="restart"/>
            <w:tcBorders>
              <w:top w:val="nil"/>
              <w:left w:val="single" w:sz="4" w:space="0" w:color="000000"/>
              <w:bottom w:val="single" w:sz="4" w:space="0" w:color="000000"/>
              <w:right w:val="single" w:sz="4" w:space="0" w:color="000000"/>
            </w:tcBorders>
            <w:vAlign w:val="center"/>
          </w:tcPr>
          <w:p w14:paraId="56B527A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"Cash/Current liabilities"</w:t>
            </w:r>
          </w:p>
        </w:tc>
        <w:tc>
          <w:tcPr>
            <w:tcW w:w="1132" w:type="dxa"/>
            <w:tcBorders>
              <w:top w:val="nil"/>
              <w:left w:val="nil"/>
              <w:bottom w:val="single" w:sz="4" w:space="0" w:color="000000"/>
              <w:right w:val="single" w:sz="4" w:space="0" w:color="000000"/>
            </w:tcBorders>
            <w:vAlign w:val="bottom"/>
          </w:tcPr>
          <w:p w14:paraId="7EBEE06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10,22,56,542.00 </w:t>
            </w:r>
          </w:p>
        </w:tc>
        <w:tc>
          <w:tcPr>
            <w:tcW w:w="1132" w:type="dxa"/>
            <w:tcBorders>
              <w:top w:val="nil"/>
              <w:left w:val="nil"/>
              <w:bottom w:val="single" w:sz="4" w:space="0" w:color="000000"/>
              <w:right w:val="single" w:sz="4" w:space="0" w:color="000000"/>
            </w:tcBorders>
            <w:vAlign w:val="bottom"/>
          </w:tcPr>
          <w:p w14:paraId="7BB4764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10,85,11,745.00 </w:t>
            </w:r>
          </w:p>
        </w:tc>
        <w:tc>
          <w:tcPr>
            <w:tcW w:w="1132" w:type="dxa"/>
            <w:tcBorders>
              <w:top w:val="nil"/>
              <w:left w:val="nil"/>
              <w:bottom w:val="single" w:sz="4" w:space="0" w:color="000000"/>
              <w:right w:val="single" w:sz="4" w:space="0" w:color="000000"/>
            </w:tcBorders>
            <w:vAlign w:val="bottom"/>
          </w:tcPr>
          <w:p w14:paraId="5529B8E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5,11,82,457.00 </w:t>
            </w:r>
          </w:p>
        </w:tc>
        <w:tc>
          <w:tcPr>
            <w:tcW w:w="1132" w:type="dxa"/>
            <w:tcBorders>
              <w:top w:val="nil"/>
              <w:left w:val="nil"/>
              <w:bottom w:val="single" w:sz="4" w:space="0" w:color="000000"/>
              <w:right w:val="single" w:sz="4" w:space="0" w:color="000000"/>
            </w:tcBorders>
            <w:vAlign w:val="bottom"/>
          </w:tcPr>
          <w:p w14:paraId="3CA6C07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4,98,19,860.00 </w:t>
            </w:r>
          </w:p>
        </w:tc>
        <w:tc>
          <w:tcPr>
            <w:tcW w:w="1132" w:type="dxa"/>
            <w:tcBorders>
              <w:top w:val="nil"/>
              <w:left w:val="nil"/>
              <w:bottom w:val="single" w:sz="4" w:space="0" w:color="000000"/>
              <w:right w:val="single" w:sz="4" w:space="0" w:color="000000"/>
            </w:tcBorders>
            <w:vAlign w:val="bottom"/>
          </w:tcPr>
          <w:p w14:paraId="64338E6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1,37,38,498.00 </w:t>
            </w:r>
          </w:p>
        </w:tc>
      </w:tr>
      <w:tr w:rsidR="00EB4B26" w14:paraId="1EAE7DF1" w14:textId="77777777">
        <w:trPr>
          <w:trHeight w:val="300"/>
          <w:jc w:val="center"/>
        </w:trPr>
        <w:tc>
          <w:tcPr>
            <w:tcW w:w="1897" w:type="dxa"/>
            <w:tcBorders>
              <w:top w:val="nil"/>
              <w:left w:val="single" w:sz="4" w:space="0" w:color="000000"/>
              <w:bottom w:val="single" w:sz="4" w:space="0" w:color="000000"/>
              <w:right w:val="single" w:sz="4" w:space="0" w:color="000000"/>
            </w:tcBorders>
            <w:vAlign w:val="bottom"/>
          </w:tcPr>
          <w:p w14:paraId="6EB056B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Current Liabilities"</w:t>
            </w:r>
          </w:p>
        </w:tc>
        <w:tc>
          <w:tcPr>
            <w:tcW w:w="1457" w:type="dxa"/>
            <w:vMerge/>
            <w:tcBorders>
              <w:top w:val="nil"/>
              <w:left w:val="single" w:sz="4" w:space="0" w:color="000000"/>
              <w:bottom w:val="single" w:sz="4" w:space="0" w:color="000000"/>
              <w:right w:val="single" w:sz="4" w:space="0" w:color="000000"/>
            </w:tcBorders>
            <w:vAlign w:val="center"/>
          </w:tcPr>
          <w:p w14:paraId="7DFAF08F"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1EEB8E9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49,59,85,176.00 </w:t>
            </w:r>
          </w:p>
        </w:tc>
        <w:tc>
          <w:tcPr>
            <w:tcW w:w="1132" w:type="dxa"/>
            <w:tcBorders>
              <w:top w:val="nil"/>
              <w:left w:val="nil"/>
              <w:bottom w:val="single" w:sz="4" w:space="0" w:color="000000"/>
              <w:right w:val="single" w:sz="4" w:space="0" w:color="000000"/>
            </w:tcBorders>
            <w:vAlign w:val="bottom"/>
          </w:tcPr>
          <w:p w14:paraId="4DC92AD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45,36,66,671.00 </w:t>
            </w:r>
          </w:p>
        </w:tc>
        <w:tc>
          <w:tcPr>
            <w:tcW w:w="1132" w:type="dxa"/>
            <w:tcBorders>
              <w:top w:val="nil"/>
              <w:left w:val="nil"/>
              <w:bottom w:val="single" w:sz="4" w:space="0" w:color="000000"/>
              <w:right w:val="single" w:sz="4" w:space="0" w:color="000000"/>
            </w:tcBorders>
            <w:vAlign w:val="bottom"/>
          </w:tcPr>
          <w:p w14:paraId="397C5B1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33,33,44,561.00 </w:t>
            </w:r>
          </w:p>
        </w:tc>
        <w:tc>
          <w:tcPr>
            <w:tcW w:w="1132" w:type="dxa"/>
            <w:tcBorders>
              <w:top w:val="nil"/>
              <w:left w:val="nil"/>
              <w:bottom w:val="single" w:sz="4" w:space="0" w:color="000000"/>
              <w:right w:val="single" w:sz="4" w:space="0" w:color="000000"/>
            </w:tcBorders>
            <w:vAlign w:val="bottom"/>
          </w:tcPr>
          <w:p w14:paraId="72C00A1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17,13,03,944.00 </w:t>
            </w:r>
          </w:p>
        </w:tc>
        <w:tc>
          <w:tcPr>
            <w:tcW w:w="1132" w:type="dxa"/>
            <w:tcBorders>
              <w:top w:val="nil"/>
              <w:left w:val="nil"/>
              <w:bottom w:val="single" w:sz="4" w:space="0" w:color="000000"/>
              <w:right w:val="single" w:sz="4" w:space="0" w:color="000000"/>
            </w:tcBorders>
            <w:vAlign w:val="bottom"/>
          </w:tcPr>
          <w:p w14:paraId="4C4F70F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10,64,30,696.00 </w:t>
            </w:r>
          </w:p>
        </w:tc>
      </w:tr>
      <w:tr w:rsidR="00EB4B26" w14:paraId="5A85A4AD" w14:textId="77777777">
        <w:trPr>
          <w:trHeight w:val="312"/>
          <w:jc w:val="center"/>
        </w:trPr>
        <w:tc>
          <w:tcPr>
            <w:tcW w:w="1897" w:type="dxa"/>
            <w:tcBorders>
              <w:top w:val="nil"/>
              <w:left w:val="single" w:sz="4" w:space="0" w:color="000000"/>
              <w:bottom w:val="single" w:sz="4" w:space="0" w:color="000000"/>
              <w:right w:val="single" w:sz="4" w:space="0" w:color="000000"/>
            </w:tcBorders>
            <w:vAlign w:val="bottom"/>
          </w:tcPr>
          <w:p w14:paraId="27224CD6"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"Cash ratio"</w:t>
            </w:r>
          </w:p>
        </w:tc>
        <w:tc>
          <w:tcPr>
            <w:tcW w:w="1457" w:type="dxa"/>
            <w:vMerge/>
            <w:tcBorders>
              <w:top w:val="nil"/>
              <w:left w:val="single" w:sz="4" w:space="0" w:color="000000"/>
              <w:bottom w:val="single" w:sz="4" w:space="0" w:color="000000"/>
              <w:right w:val="single" w:sz="4" w:space="0" w:color="000000"/>
            </w:tcBorders>
            <w:vAlign w:val="center"/>
          </w:tcPr>
          <w:p w14:paraId="69EA6FC0"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61CE19ED"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0.21</w:t>
            </w:r>
          </w:p>
        </w:tc>
        <w:tc>
          <w:tcPr>
            <w:tcW w:w="1132" w:type="dxa"/>
            <w:tcBorders>
              <w:top w:val="nil"/>
              <w:left w:val="nil"/>
              <w:bottom w:val="single" w:sz="4" w:space="0" w:color="000000"/>
              <w:right w:val="single" w:sz="4" w:space="0" w:color="000000"/>
            </w:tcBorders>
            <w:vAlign w:val="bottom"/>
          </w:tcPr>
          <w:p w14:paraId="3AC578A2"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0.24</w:t>
            </w:r>
          </w:p>
        </w:tc>
        <w:tc>
          <w:tcPr>
            <w:tcW w:w="1132" w:type="dxa"/>
            <w:tcBorders>
              <w:top w:val="nil"/>
              <w:left w:val="nil"/>
              <w:bottom w:val="single" w:sz="4" w:space="0" w:color="000000"/>
              <w:right w:val="single" w:sz="4" w:space="0" w:color="000000"/>
            </w:tcBorders>
            <w:vAlign w:val="bottom"/>
          </w:tcPr>
          <w:p w14:paraId="44B1A90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0.15</w:t>
            </w:r>
          </w:p>
        </w:tc>
        <w:tc>
          <w:tcPr>
            <w:tcW w:w="1132" w:type="dxa"/>
            <w:tcBorders>
              <w:top w:val="nil"/>
              <w:left w:val="nil"/>
              <w:bottom w:val="single" w:sz="4" w:space="0" w:color="000000"/>
              <w:right w:val="single" w:sz="4" w:space="0" w:color="000000"/>
            </w:tcBorders>
            <w:vAlign w:val="bottom"/>
          </w:tcPr>
          <w:p w14:paraId="6EAE6B0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0.29</w:t>
            </w:r>
          </w:p>
        </w:tc>
        <w:tc>
          <w:tcPr>
            <w:tcW w:w="1132" w:type="dxa"/>
            <w:tcBorders>
              <w:top w:val="nil"/>
              <w:left w:val="nil"/>
              <w:bottom w:val="single" w:sz="4" w:space="0" w:color="000000"/>
              <w:right w:val="single" w:sz="4" w:space="0" w:color="000000"/>
            </w:tcBorders>
            <w:vAlign w:val="bottom"/>
          </w:tcPr>
          <w:p w14:paraId="344BC9B3"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0.13</w:t>
            </w:r>
          </w:p>
        </w:tc>
      </w:tr>
      <w:tr w:rsidR="00EB4B26" w14:paraId="2282F4A0" w14:textId="77777777">
        <w:trPr>
          <w:trHeight w:val="312"/>
          <w:jc w:val="center"/>
        </w:trPr>
        <w:tc>
          <w:tcPr>
            <w:tcW w:w="1897" w:type="dxa"/>
            <w:tcBorders>
              <w:top w:val="nil"/>
              <w:left w:val="single" w:sz="8" w:space="0" w:color="000000"/>
              <w:bottom w:val="single" w:sz="4" w:space="0" w:color="000000"/>
              <w:right w:val="nil"/>
            </w:tcBorders>
            <w:vAlign w:val="bottom"/>
          </w:tcPr>
          <w:p w14:paraId="540B7A15"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c>
          <w:tcPr>
            <w:tcW w:w="1457" w:type="dxa"/>
            <w:tcBorders>
              <w:top w:val="nil"/>
              <w:left w:val="nil"/>
              <w:bottom w:val="single" w:sz="4" w:space="0" w:color="000000"/>
              <w:right w:val="nil"/>
            </w:tcBorders>
            <w:vAlign w:val="center"/>
          </w:tcPr>
          <w:p w14:paraId="57574D6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w:t>
            </w:r>
          </w:p>
        </w:tc>
        <w:tc>
          <w:tcPr>
            <w:tcW w:w="1132" w:type="dxa"/>
            <w:tcBorders>
              <w:top w:val="nil"/>
              <w:left w:val="nil"/>
              <w:bottom w:val="single" w:sz="4" w:space="0" w:color="000000"/>
              <w:right w:val="nil"/>
            </w:tcBorders>
            <w:vAlign w:val="bottom"/>
          </w:tcPr>
          <w:p w14:paraId="4B420140"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c>
          <w:tcPr>
            <w:tcW w:w="1132" w:type="dxa"/>
            <w:tcBorders>
              <w:top w:val="nil"/>
              <w:left w:val="nil"/>
              <w:bottom w:val="single" w:sz="4" w:space="0" w:color="000000"/>
              <w:right w:val="nil"/>
            </w:tcBorders>
            <w:vAlign w:val="bottom"/>
          </w:tcPr>
          <w:p w14:paraId="3E36C5FF"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c>
          <w:tcPr>
            <w:tcW w:w="1132" w:type="dxa"/>
            <w:tcBorders>
              <w:top w:val="nil"/>
              <w:left w:val="nil"/>
              <w:bottom w:val="single" w:sz="4" w:space="0" w:color="000000"/>
              <w:right w:val="nil"/>
            </w:tcBorders>
            <w:vAlign w:val="bottom"/>
          </w:tcPr>
          <w:p w14:paraId="5656A7FE"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c>
          <w:tcPr>
            <w:tcW w:w="1132" w:type="dxa"/>
            <w:tcBorders>
              <w:top w:val="nil"/>
              <w:left w:val="nil"/>
              <w:bottom w:val="single" w:sz="4" w:space="0" w:color="000000"/>
              <w:right w:val="nil"/>
            </w:tcBorders>
            <w:vAlign w:val="bottom"/>
          </w:tcPr>
          <w:p w14:paraId="5577ABBD"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c>
          <w:tcPr>
            <w:tcW w:w="1132" w:type="dxa"/>
            <w:tcBorders>
              <w:top w:val="nil"/>
              <w:left w:val="nil"/>
              <w:bottom w:val="single" w:sz="4" w:space="0" w:color="000000"/>
              <w:right w:val="single" w:sz="4" w:space="0" w:color="000000"/>
            </w:tcBorders>
            <w:vAlign w:val="bottom"/>
          </w:tcPr>
          <w:p w14:paraId="6B046426"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 </w:t>
            </w:r>
          </w:p>
        </w:tc>
      </w:tr>
      <w:tr w:rsidR="00EB4B26" w14:paraId="3FD4A7AE"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14EF6A7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"Efficiency ratio"</w:t>
            </w:r>
          </w:p>
        </w:tc>
      </w:tr>
      <w:tr w:rsidR="00EB4B26" w14:paraId="778026EC"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5C31A47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"Receivables Turnover ratio"</w:t>
            </w:r>
          </w:p>
        </w:tc>
      </w:tr>
      <w:tr w:rsidR="00EB4B26" w14:paraId="64C950D5"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0A6231E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74225D9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656D336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295B118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25BD1B1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62C575D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4C47425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27FAE9FB"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1A2EE8E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"Sales"</w:t>
            </w:r>
          </w:p>
        </w:tc>
        <w:tc>
          <w:tcPr>
            <w:tcW w:w="1457" w:type="dxa"/>
            <w:vMerge w:val="restart"/>
            <w:tcBorders>
              <w:top w:val="nil"/>
              <w:left w:val="single" w:sz="4" w:space="0" w:color="000000"/>
              <w:bottom w:val="single" w:sz="4" w:space="0" w:color="000000"/>
              <w:right w:val="single" w:sz="4" w:space="0" w:color="000000"/>
            </w:tcBorders>
            <w:vAlign w:val="center"/>
          </w:tcPr>
          <w:p w14:paraId="14AA950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"(Sales/Account Receivables)"</w:t>
            </w:r>
          </w:p>
        </w:tc>
        <w:tc>
          <w:tcPr>
            <w:tcW w:w="1132" w:type="dxa"/>
            <w:tcBorders>
              <w:top w:val="nil"/>
              <w:left w:val="nil"/>
              <w:bottom w:val="single" w:sz="4" w:space="0" w:color="000000"/>
              <w:right w:val="single" w:sz="4" w:space="0" w:color="000000"/>
            </w:tcBorders>
            <w:vAlign w:val="bottom"/>
          </w:tcPr>
          <w:p w14:paraId="6F23171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32" w:type="dxa"/>
            <w:tcBorders>
              <w:top w:val="nil"/>
              <w:left w:val="nil"/>
              <w:bottom w:val="single" w:sz="4" w:space="0" w:color="000000"/>
              <w:right w:val="single" w:sz="4" w:space="0" w:color="000000"/>
            </w:tcBorders>
            <w:vAlign w:val="bottom"/>
          </w:tcPr>
          <w:p w14:paraId="30398B0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32" w:type="dxa"/>
            <w:tcBorders>
              <w:top w:val="nil"/>
              <w:left w:val="nil"/>
              <w:bottom w:val="single" w:sz="4" w:space="0" w:color="000000"/>
              <w:right w:val="single" w:sz="4" w:space="0" w:color="000000"/>
            </w:tcBorders>
            <w:vAlign w:val="bottom"/>
          </w:tcPr>
          <w:p w14:paraId="2A972B8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32" w:type="dxa"/>
            <w:tcBorders>
              <w:top w:val="nil"/>
              <w:left w:val="nil"/>
              <w:bottom w:val="single" w:sz="4" w:space="0" w:color="000000"/>
              <w:right w:val="single" w:sz="4" w:space="0" w:color="000000"/>
            </w:tcBorders>
            <w:vAlign w:val="bottom"/>
          </w:tcPr>
          <w:p w14:paraId="046E161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32" w:type="dxa"/>
            <w:tcBorders>
              <w:top w:val="nil"/>
              <w:left w:val="nil"/>
              <w:bottom w:val="single" w:sz="4" w:space="0" w:color="000000"/>
              <w:right w:val="single" w:sz="4" w:space="0" w:color="000000"/>
            </w:tcBorders>
            <w:vAlign w:val="bottom"/>
          </w:tcPr>
          <w:p w14:paraId="0E532D3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75738F27"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5FEF08D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Accounts Receivable"</w:t>
            </w:r>
          </w:p>
        </w:tc>
        <w:tc>
          <w:tcPr>
            <w:tcW w:w="1457" w:type="dxa"/>
            <w:vMerge/>
            <w:tcBorders>
              <w:top w:val="nil"/>
              <w:left w:val="single" w:sz="4" w:space="0" w:color="000000"/>
              <w:bottom w:val="single" w:sz="4" w:space="0" w:color="000000"/>
              <w:right w:val="single" w:sz="4" w:space="0" w:color="000000"/>
            </w:tcBorders>
            <w:vAlign w:val="center"/>
          </w:tcPr>
          <w:p w14:paraId="703304F5"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7052179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6,22,98,988.00 </w:t>
            </w:r>
          </w:p>
        </w:tc>
        <w:tc>
          <w:tcPr>
            <w:tcW w:w="1132" w:type="dxa"/>
            <w:tcBorders>
              <w:top w:val="nil"/>
              <w:left w:val="nil"/>
              <w:bottom w:val="single" w:sz="4" w:space="0" w:color="000000"/>
              <w:right w:val="single" w:sz="4" w:space="0" w:color="000000"/>
            </w:tcBorders>
            <w:vAlign w:val="bottom"/>
          </w:tcPr>
          <w:p w14:paraId="185F43E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6,18,66,019.00 </w:t>
            </w:r>
          </w:p>
        </w:tc>
        <w:tc>
          <w:tcPr>
            <w:tcW w:w="1132" w:type="dxa"/>
            <w:tcBorders>
              <w:top w:val="nil"/>
              <w:left w:val="nil"/>
              <w:bottom w:val="single" w:sz="4" w:space="0" w:color="000000"/>
              <w:right w:val="single" w:sz="4" w:space="0" w:color="000000"/>
            </w:tcBorders>
            <w:vAlign w:val="bottom"/>
          </w:tcPr>
          <w:p w14:paraId="19BC1B1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3,88,28,494.00 </w:t>
            </w:r>
          </w:p>
        </w:tc>
        <w:tc>
          <w:tcPr>
            <w:tcW w:w="1132" w:type="dxa"/>
            <w:tcBorders>
              <w:top w:val="nil"/>
              <w:left w:val="nil"/>
              <w:bottom w:val="single" w:sz="4" w:space="0" w:color="000000"/>
              <w:right w:val="single" w:sz="4" w:space="0" w:color="000000"/>
            </w:tcBorders>
            <w:vAlign w:val="bottom"/>
          </w:tcPr>
          <w:p w14:paraId="6067B04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3,62,51,280.00 </w:t>
            </w:r>
          </w:p>
        </w:tc>
        <w:tc>
          <w:tcPr>
            <w:tcW w:w="1132" w:type="dxa"/>
            <w:tcBorders>
              <w:top w:val="nil"/>
              <w:left w:val="nil"/>
              <w:bottom w:val="single" w:sz="4" w:space="0" w:color="000000"/>
              <w:right w:val="single" w:sz="4" w:space="0" w:color="000000"/>
            </w:tcBorders>
            <w:vAlign w:val="bottom"/>
          </w:tcPr>
          <w:p w14:paraId="04E2376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53,46,105.00 </w:t>
            </w:r>
          </w:p>
        </w:tc>
      </w:tr>
      <w:tr w:rsidR="00EB4B26" w14:paraId="63B99F02"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6D47C23A"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lastRenderedPageBreak/>
              <w:t>"Receivables Turnover ratio"</w:t>
            </w:r>
          </w:p>
        </w:tc>
        <w:tc>
          <w:tcPr>
            <w:tcW w:w="1457" w:type="dxa"/>
            <w:vMerge/>
            <w:tcBorders>
              <w:top w:val="nil"/>
              <w:left w:val="single" w:sz="4" w:space="0" w:color="000000"/>
              <w:bottom w:val="single" w:sz="4" w:space="0" w:color="000000"/>
              <w:right w:val="single" w:sz="4" w:space="0" w:color="000000"/>
            </w:tcBorders>
            <w:vAlign w:val="center"/>
          </w:tcPr>
          <w:p w14:paraId="74F31D09"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2DADC6C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12.47</w:t>
            </w:r>
          </w:p>
        </w:tc>
        <w:tc>
          <w:tcPr>
            <w:tcW w:w="1132" w:type="dxa"/>
            <w:tcBorders>
              <w:top w:val="nil"/>
              <w:left w:val="nil"/>
              <w:bottom w:val="single" w:sz="4" w:space="0" w:color="000000"/>
              <w:right w:val="single" w:sz="4" w:space="0" w:color="000000"/>
            </w:tcBorders>
            <w:vAlign w:val="bottom"/>
          </w:tcPr>
          <w:p w14:paraId="7EAE7D8D"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9.74</w:t>
            </w:r>
          </w:p>
        </w:tc>
        <w:tc>
          <w:tcPr>
            <w:tcW w:w="1132" w:type="dxa"/>
            <w:tcBorders>
              <w:top w:val="nil"/>
              <w:left w:val="nil"/>
              <w:bottom w:val="single" w:sz="4" w:space="0" w:color="000000"/>
              <w:right w:val="single" w:sz="4" w:space="0" w:color="000000"/>
            </w:tcBorders>
            <w:vAlign w:val="bottom"/>
          </w:tcPr>
          <w:p w14:paraId="07138735"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10.92</w:t>
            </w:r>
          </w:p>
        </w:tc>
        <w:tc>
          <w:tcPr>
            <w:tcW w:w="1132" w:type="dxa"/>
            <w:tcBorders>
              <w:top w:val="nil"/>
              <w:left w:val="nil"/>
              <w:bottom w:val="single" w:sz="4" w:space="0" w:color="000000"/>
              <w:right w:val="single" w:sz="4" w:space="0" w:color="000000"/>
            </w:tcBorders>
            <w:vAlign w:val="bottom"/>
          </w:tcPr>
          <w:p w14:paraId="1336AED5"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5.96</w:t>
            </w:r>
          </w:p>
        </w:tc>
        <w:tc>
          <w:tcPr>
            <w:tcW w:w="1132" w:type="dxa"/>
            <w:tcBorders>
              <w:top w:val="nil"/>
              <w:left w:val="nil"/>
              <w:bottom w:val="single" w:sz="4" w:space="0" w:color="000000"/>
              <w:right w:val="single" w:sz="4" w:space="0" w:color="000000"/>
            </w:tcBorders>
            <w:vAlign w:val="bottom"/>
          </w:tcPr>
          <w:p w14:paraId="33DDEC2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28.71</w:t>
            </w:r>
          </w:p>
        </w:tc>
      </w:tr>
      <w:tr w:rsidR="00EB4B26" w14:paraId="547FB376"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6315FFD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single" w:sz="4" w:space="0" w:color="000000"/>
              <w:right w:val="single" w:sz="4" w:space="0" w:color="000000"/>
            </w:tcBorders>
            <w:vAlign w:val="bottom"/>
          </w:tcPr>
          <w:p w14:paraId="5E03EAF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5758D63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06201FA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196B31A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405D4B7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5624954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2B7AB1AD"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42149A9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"Inventory Turnover ratio"</w:t>
            </w:r>
          </w:p>
        </w:tc>
      </w:tr>
      <w:tr w:rsidR="00EB4B26" w14:paraId="3884A8F0"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1CFEFD2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7D41DF8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632970F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47DFD10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7061F75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7959C41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03C5060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3EA20BF9"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5451BEB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"Sales"</w:t>
            </w:r>
          </w:p>
        </w:tc>
        <w:tc>
          <w:tcPr>
            <w:tcW w:w="1457" w:type="dxa"/>
            <w:vMerge w:val="restart"/>
            <w:tcBorders>
              <w:top w:val="nil"/>
              <w:left w:val="single" w:sz="4" w:space="0" w:color="000000"/>
              <w:bottom w:val="single" w:sz="8" w:space="0" w:color="000000"/>
              <w:right w:val="single" w:sz="4" w:space="0" w:color="000000"/>
            </w:tcBorders>
            <w:vAlign w:val="center"/>
          </w:tcPr>
          <w:p w14:paraId="5F0EC09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"(Sales/Inventories)"</w:t>
            </w:r>
          </w:p>
        </w:tc>
        <w:tc>
          <w:tcPr>
            <w:tcW w:w="1132" w:type="dxa"/>
            <w:tcBorders>
              <w:top w:val="nil"/>
              <w:left w:val="nil"/>
              <w:bottom w:val="single" w:sz="4" w:space="0" w:color="000000"/>
              <w:right w:val="single" w:sz="4" w:space="0" w:color="000000"/>
            </w:tcBorders>
            <w:vAlign w:val="bottom"/>
          </w:tcPr>
          <w:p w14:paraId="53FFEEB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32" w:type="dxa"/>
            <w:tcBorders>
              <w:top w:val="nil"/>
              <w:left w:val="nil"/>
              <w:bottom w:val="single" w:sz="4" w:space="0" w:color="000000"/>
              <w:right w:val="single" w:sz="4" w:space="0" w:color="000000"/>
            </w:tcBorders>
            <w:vAlign w:val="bottom"/>
          </w:tcPr>
          <w:p w14:paraId="1C76F99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32" w:type="dxa"/>
            <w:tcBorders>
              <w:top w:val="nil"/>
              <w:left w:val="nil"/>
              <w:bottom w:val="single" w:sz="4" w:space="0" w:color="000000"/>
              <w:right w:val="single" w:sz="4" w:space="0" w:color="000000"/>
            </w:tcBorders>
            <w:vAlign w:val="bottom"/>
          </w:tcPr>
          <w:p w14:paraId="1B5103E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32" w:type="dxa"/>
            <w:tcBorders>
              <w:top w:val="nil"/>
              <w:left w:val="nil"/>
              <w:bottom w:val="single" w:sz="4" w:space="0" w:color="000000"/>
              <w:right w:val="single" w:sz="4" w:space="0" w:color="000000"/>
            </w:tcBorders>
            <w:vAlign w:val="bottom"/>
          </w:tcPr>
          <w:p w14:paraId="0E0F485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32" w:type="dxa"/>
            <w:tcBorders>
              <w:top w:val="nil"/>
              <w:left w:val="nil"/>
              <w:bottom w:val="single" w:sz="4" w:space="0" w:color="000000"/>
              <w:right w:val="single" w:sz="4" w:space="0" w:color="000000"/>
            </w:tcBorders>
            <w:vAlign w:val="bottom"/>
          </w:tcPr>
          <w:p w14:paraId="7B5673B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37DCB0ED"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69B216D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Inventories"</w:t>
            </w:r>
          </w:p>
        </w:tc>
        <w:tc>
          <w:tcPr>
            <w:tcW w:w="1457" w:type="dxa"/>
            <w:vMerge/>
            <w:tcBorders>
              <w:top w:val="nil"/>
              <w:left w:val="single" w:sz="4" w:space="0" w:color="000000"/>
              <w:bottom w:val="single" w:sz="8" w:space="0" w:color="000000"/>
              <w:right w:val="single" w:sz="4" w:space="0" w:color="000000"/>
            </w:tcBorders>
            <w:vAlign w:val="center"/>
          </w:tcPr>
          <w:p w14:paraId="7023FA18"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2F3E547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11,60,36,237.00 </w:t>
            </w:r>
          </w:p>
        </w:tc>
        <w:tc>
          <w:tcPr>
            <w:tcW w:w="1132" w:type="dxa"/>
            <w:tcBorders>
              <w:top w:val="nil"/>
              <w:left w:val="nil"/>
              <w:bottom w:val="single" w:sz="4" w:space="0" w:color="000000"/>
              <w:right w:val="single" w:sz="4" w:space="0" w:color="000000"/>
            </w:tcBorders>
            <w:vAlign w:val="bottom"/>
          </w:tcPr>
          <w:p w14:paraId="053A584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8,76,76,748.00 </w:t>
            </w:r>
          </w:p>
        </w:tc>
        <w:tc>
          <w:tcPr>
            <w:tcW w:w="1132" w:type="dxa"/>
            <w:tcBorders>
              <w:top w:val="nil"/>
              <w:left w:val="nil"/>
              <w:bottom w:val="single" w:sz="4" w:space="0" w:color="000000"/>
              <w:right w:val="single" w:sz="4" w:space="0" w:color="000000"/>
            </w:tcBorders>
            <w:vAlign w:val="bottom"/>
          </w:tcPr>
          <w:p w14:paraId="2A5984D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7,91,07,199.00 </w:t>
            </w:r>
          </w:p>
        </w:tc>
        <w:tc>
          <w:tcPr>
            <w:tcW w:w="1132" w:type="dxa"/>
            <w:tcBorders>
              <w:top w:val="nil"/>
              <w:left w:val="nil"/>
              <w:bottom w:val="single" w:sz="4" w:space="0" w:color="000000"/>
              <w:right w:val="single" w:sz="4" w:space="0" w:color="000000"/>
            </w:tcBorders>
            <w:vAlign w:val="bottom"/>
          </w:tcPr>
          <w:p w14:paraId="474A1F4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4,33,54,782.00 </w:t>
            </w:r>
          </w:p>
        </w:tc>
        <w:tc>
          <w:tcPr>
            <w:tcW w:w="1132" w:type="dxa"/>
            <w:tcBorders>
              <w:top w:val="nil"/>
              <w:left w:val="nil"/>
              <w:bottom w:val="single" w:sz="4" w:space="0" w:color="000000"/>
              <w:right w:val="single" w:sz="4" w:space="0" w:color="000000"/>
            </w:tcBorders>
            <w:vAlign w:val="bottom"/>
          </w:tcPr>
          <w:p w14:paraId="019E7AE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3,13,96,358.00 </w:t>
            </w:r>
          </w:p>
        </w:tc>
      </w:tr>
      <w:tr w:rsidR="00EB4B26" w14:paraId="3486CCCE" w14:textId="77777777">
        <w:trPr>
          <w:trHeight w:val="324"/>
          <w:jc w:val="center"/>
        </w:trPr>
        <w:tc>
          <w:tcPr>
            <w:tcW w:w="1897" w:type="dxa"/>
            <w:tcBorders>
              <w:top w:val="nil"/>
              <w:left w:val="single" w:sz="8" w:space="0" w:color="000000"/>
              <w:bottom w:val="single" w:sz="8" w:space="0" w:color="000000"/>
              <w:right w:val="single" w:sz="4" w:space="0" w:color="000000"/>
            </w:tcBorders>
            <w:vAlign w:val="bottom"/>
          </w:tcPr>
          <w:p w14:paraId="287C4DDD"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"Inventory Turnover ratio"</w:t>
            </w:r>
          </w:p>
        </w:tc>
        <w:tc>
          <w:tcPr>
            <w:tcW w:w="1457" w:type="dxa"/>
            <w:vMerge/>
            <w:tcBorders>
              <w:top w:val="nil"/>
              <w:left w:val="single" w:sz="4" w:space="0" w:color="000000"/>
              <w:bottom w:val="single" w:sz="8" w:space="0" w:color="000000"/>
              <w:right w:val="single" w:sz="4" w:space="0" w:color="000000"/>
            </w:tcBorders>
            <w:vAlign w:val="center"/>
          </w:tcPr>
          <w:p w14:paraId="43C3ED74"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8" w:space="0" w:color="000000"/>
              <w:right w:val="single" w:sz="4" w:space="0" w:color="000000"/>
            </w:tcBorders>
            <w:vAlign w:val="bottom"/>
          </w:tcPr>
          <w:p w14:paraId="4E7950A2"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6.70</w:t>
            </w:r>
          </w:p>
        </w:tc>
        <w:tc>
          <w:tcPr>
            <w:tcW w:w="1132" w:type="dxa"/>
            <w:tcBorders>
              <w:top w:val="nil"/>
              <w:left w:val="nil"/>
              <w:bottom w:val="single" w:sz="8" w:space="0" w:color="000000"/>
              <w:right w:val="single" w:sz="4" w:space="0" w:color="000000"/>
            </w:tcBorders>
            <w:vAlign w:val="bottom"/>
          </w:tcPr>
          <w:p w14:paraId="1F173A5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6.87</w:t>
            </w:r>
          </w:p>
        </w:tc>
        <w:tc>
          <w:tcPr>
            <w:tcW w:w="1132" w:type="dxa"/>
            <w:tcBorders>
              <w:top w:val="nil"/>
              <w:left w:val="nil"/>
              <w:bottom w:val="single" w:sz="8" w:space="0" w:color="000000"/>
              <w:right w:val="single" w:sz="4" w:space="0" w:color="000000"/>
            </w:tcBorders>
            <w:vAlign w:val="bottom"/>
          </w:tcPr>
          <w:p w14:paraId="5926974A"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5.36</w:t>
            </w:r>
          </w:p>
        </w:tc>
        <w:tc>
          <w:tcPr>
            <w:tcW w:w="1132" w:type="dxa"/>
            <w:tcBorders>
              <w:top w:val="nil"/>
              <w:left w:val="nil"/>
              <w:bottom w:val="single" w:sz="8" w:space="0" w:color="000000"/>
              <w:right w:val="single" w:sz="4" w:space="0" w:color="000000"/>
            </w:tcBorders>
            <w:vAlign w:val="bottom"/>
          </w:tcPr>
          <w:p w14:paraId="3886D0B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4.99</w:t>
            </w:r>
          </w:p>
        </w:tc>
        <w:tc>
          <w:tcPr>
            <w:tcW w:w="1132" w:type="dxa"/>
            <w:tcBorders>
              <w:top w:val="nil"/>
              <w:left w:val="nil"/>
              <w:bottom w:val="single" w:sz="8" w:space="0" w:color="000000"/>
              <w:right w:val="single" w:sz="4" w:space="0" w:color="000000"/>
            </w:tcBorders>
            <w:vAlign w:val="bottom"/>
          </w:tcPr>
          <w:p w14:paraId="2702E13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4.89</w:t>
            </w:r>
          </w:p>
        </w:tc>
      </w:tr>
      <w:tr w:rsidR="00EB4B26" w14:paraId="7695C020" w14:textId="77777777">
        <w:trPr>
          <w:trHeight w:val="300"/>
          <w:jc w:val="center"/>
        </w:trPr>
        <w:tc>
          <w:tcPr>
            <w:tcW w:w="1897" w:type="dxa"/>
            <w:tcBorders>
              <w:top w:val="nil"/>
              <w:left w:val="nil"/>
              <w:bottom w:val="nil"/>
              <w:right w:val="nil"/>
            </w:tcBorders>
            <w:vAlign w:val="bottom"/>
          </w:tcPr>
          <w:p w14:paraId="326BBBCD" w14:textId="77777777" w:rsidR="00EB4B26" w:rsidRDefault="00EB4B26">
            <w:pPr>
              <w:spacing w:before="0" w:after="0" w:line="240" w:lineRule="auto"/>
              <w:jc w:val="right"/>
              <w:rPr>
                <w:rFonts w:ascii="Arial" w:eastAsia="Arial" w:hAnsi="Arial" w:cs="Arial"/>
                <w:b/>
                <w:bCs/>
                <w:color w:val="000000"/>
              </w:rPr>
            </w:pPr>
          </w:p>
        </w:tc>
        <w:tc>
          <w:tcPr>
            <w:tcW w:w="1457" w:type="dxa"/>
            <w:tcBorders>
              <w:top w:val="nil"/>
              <w:left w:val="nil"/>
              <w:bottom w:val="nil"/>
              <w:right w:val="nil"/>
            </w:tcBorders>
            <w:vAlign w:val="bottom"/>
          </w:tcPr>
          <w:p w14:paraId="6A106D74"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1343EE02"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300E87A9"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38773C6E"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5156203A" w14:textId="77777777" w:rsidR="00EB4B26" w:rsidRDefault="00EB4B26">
            <w:pPr>
              <w:spacing w:before="0" w:after="0" w:line="240" w:lineRule="auto"/>
              <w:jc w:val="left"/>
              <w:rPr>
                <w:sz w:val="20"/>
                <w:szCs w:val="20"/>
              </w:rPr>
            </w:pPr>
          </w:p>
        </w:tc>
        <w:tc>
          <w:tcPr>
            <w:tcW w:w="1132" w:type="dxa"/>
            <w:tcBorders>
              <w:top w:val="nil"/>
              <w:left w:val="nil"/>
              <w:bottom w:val="nil"/>
              <w:right w:val="nil"/>
            </w:tcBorders>
            <w:vAlign w:val="bottom"/>
          </w:tcPr>
          <w:p w14:paraId="701F29DC" w14:textId="77777777" w:rsidR="00EB4B26" w:rsidRDefault="00EB4B26">
            <w:pPr>
              <w:spacing w:before="0" w:after="0" w:line="240" w:lineRule="auto"/>
              <w:jc w:val="left"/>
              <w:rPr>
                <w:sz w:val="20"/>
                <w:szCs w:val="20"/>
              </w:rPr>
            </w:pPr>
          </w:p>
        </w:tc>
      </w:tr>
      <w:tr w:rsidR="00EB4B26" w14:paraId="7C2DB762"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69F8785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"Asset Turnover"</w:t>
            </w:r>
          </w:p>
        </w:tc>
      </w:tr>
      <w:tr w:rsidR="00EB4B26" w14:paraId="2E07ED26"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00E12EA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59C68C1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30F816C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388EDB3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5B7C775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50FA29F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2828531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17CDAC65"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01219E3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"Sales"</w:t>
            </w:r>
          </w:p>
        </w:tc>
        <w:tc>
          <w:tcPr>
            <w:tcW w:w="1457" w:type="dxa"/>
            <w:vMerge w:val="restart"/>
            <w:tcBorders>
              <w:top w:val="nil"/>
              <w:left w:val="single" w:sz="4" w:space="0" w:color="000000"/>
              <w:bottom w:val="single" w:sz="4" w:space="0" w:color="000000"/>
              <w:right w:val="single" w:sz="4" w:space="0" w:color="000000"/>
            </w:tcBorders>
            <w:vAlign w:val="center"/>
          </w:tcPr>
          <w:p w14:paraId="01BEEAB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"(Sales / Total Assets)"</w:t>
            </w:r>
          </w:p>
        </w:tc>
        <w:tc>
          <w:tcPr>
            <w:tcW w:w="1132" w:type="dxa"/>
            <w:tcBorders>
              <w:top w:val="nil"/>
              <w:left w:val="nil"/>
              <w:bottom w:val="single" w:sz="4" w:space="0" w:color="000000"/>
              <w:right w:val="single" w:sz="4" w:space="0" w:color="000000"/>
            </w:tcBorders>
            <w:vAlign w:val="bottom"/>
          </w:tcPr>
          <w:p w14:paraId="144010D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32" w:type="dxa"/>
            <w:tcBorders>
              <w:top w:val="nil"/>
              <w:left w:val="nil"/>
              <w:bottom w:val="single" w:sz="4" w:space="0" w:color="000000"/>
              <w:right w:val="single" w:sz="4" w:space="0" w:color="000000"/>
            </w:tcBorders>
            <w:vAlign w:val="bottom"/>
          </w:tcPr>
          <w:p w14:paraId="78D274E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32" w:type="dxa"/>
            <w:tcBorders>
              <w:top w:val="nil"/>
              <w:left w:val="nil"/>
              <w:bottom w:val="single" w:sz="4" w:space="0" w:color="000000"/>
              <w:right w:val="single" w:sz="4" w:space="0" w:color="000000"/>
            </w:tcBorders>
            <w:vAlign w:val="bottom"/>
          </w:tcPr>
          <w:p w14:paraId="3CDAE7D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32" w:type="dxa"/>
            <w:tcBorders>
              <w:top w:val="nil"/>
              <w:left w:val="nil"/>
              <w:bottom w:val="single" w:sz="4" w:space="0" w:color="000000"/>
              <w:right w:val="single" w:sz="4" w:space="0" w:color="000000"/>
            </w:tcBorders>
            <w:vAlign w:val="bottom"/>
          </w:tcPr>
          <w:p w14:paraId="34FC19C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32" w:type="dxa"/>
            <w:tcBorders>
              <w:top w:val="nil"/>
              <w:left w:val="nil"/>
              <w:bottom w:val="single" w:sz="4" w:space="0" w:color="000000"/>
              <w:right w:val="single" w:sz="4" w:space="0" w:color="000000"/>
            </w:tcBorders>
            <w:vAlign w:val="bottom"/>
          </w:tcPr>
          <w:p w14:paraId="467529B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2F4F2415"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485B558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Total Assets"</w:t>
            </w:r>
          </w:p>
        </w:tc>
        <w:tc>
          <w:tcPr>
            <w:tcW w:w="1457" w:type="dxa"/>
            <w:vMerge/>
            <w:tcBorders>
              <w:top w:val="nil"/>
              <w:left w:val="single" w:sz="4" w:space="0" w:color="000000"/>
              <w:bottom w:val="single" w:sz="4" w:space="0" w:color="000000"/>
              <w:right w:val="single" w:sz="4" w:space="0" w:color="000000"/>
            </w:tcBorders>
            <w:vAlign w:val="center"/>
          </w:tcPr>
          <w:p w14:paraId="72ED6778"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18A76CB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78,33,55,855.00 </w:t>
            </w:r>
          </w:p>
        </w:tc>
        <w:tc>
          <w:tcPr>
            <w:tcW w:w="1132" w:type="dxa"/>
            <w:tcBorders>
              <w:top w:val="nil"/>
              <w:left w:val="nil"/>
              <w:bottom w:val="single" w:sz="4" w:space="0" w:color="000000"/>
              <w:right w:val="single" w:sz="4" w:space="0" w:color="000000"/>
            </w:tcBorders>
            <w:vAlign w:val="bottom"/>
          </w:tcPr>
          <w:p w14:paraId="6A0287B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67,95,47,670.00 </w:t>
            </w:r>
          </w:p>
        </w:tc>
        <w:tc>
          <w:tcPr>
            <w:tcW w:w="1132" w:type="dxa"/>
            <w:tcBorders>
              <w:top w:val="nil"/>
              <w:left w:val="nil"/>
              <w:bottom w:val="single" w:sz="4" w:space="0" w:color="000000"/>
              <w:right w:val="single" w:sz="4" w:space="0" w:color="000000"/>
            </w:tcBorders>
            <w:vAlign w:val="bottom"/>
          </w:tcPr>
          <w:p w14:paraId="7E1D4C2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49,38,60,646.00 </w:t>
            </w:r>
          </w:p>
        </w:tc>
        <w:tc>
          <w:tcPr>
            <w:tcW w:w="1132" w:type="dxa"/>
            <w:tcBorders>
              <w:top w:val="nil"/>
              <w:left w:val="nil"/>
              <w:bottom w:val="single" w:sz="4" w:space="0" w:color="000000"/>
              <w:right w:val="single" w:sz="4" w:space="0" w:color="000000"/>
            </w:tcBorders>
            <w:vAlign w:val="bottom"/>
          </w:tcPr>
          <w:p w14:paraId="44FF316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29,57,80,147.00 </w:t>
            </w:r>
          </w:p>
        </w:tc>
        <w:tc>
          <w:tcPr>
            <w:tcW w:w="1132" w:type="dxa"/>
            <w:tcBorders>
              <w:top w:val="nil"/>
              <w:left w:val="nil"/>
              <w:bottom w:val="single" w:sz="4" w:space="0" w:color="000000"/>
              <w:right w:val="single" w:sz="4" w:space="0" w:color="000000"/>
            </w:tcBorders>
            <w:vAlign w:val="bottom"/>
          </w:tcPr>
          <w:p w14:paraId="0D1665E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20,10,17,321.00 </w:t>
            </w:r>
          </w:p>
        </w:tc>
      </w:tr>
      <w:tr w:rsidR="00EB4B26" w14:paraId="64D32BC9" w14:textId="77777777">
        <w:trPr>
          <w:trHeight w:val="324"/>
          <w:jc w:val="center"/>
        </w:trPr>
        <w:tc>
          <w:tcPr>
            <w:tcW w:w="1897" w:type="dxa"/>
            <w:tcBorders>
              <w:top w:val="nil"/>
              <w:left w:val="single" w:sz="8" w:space="0" w:color="000000"/>
              <w:bottom w:val="single" w:sz="4" w:space="0" w:color="000000"/>
              <w:right w:val="single" w:sz="4" w:space="0" w:color="000000"/>
            </w:tcBorders>
            <w:vAlign w:val="bottom"/>
          </w:tcPr>
          <w:p w14:paraId="0A280E14"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"Asset Turnover"</w:t>
            </w:r>
          </w:p>
        </w:tc>
        <w:tc>
          <w:tcPr>
            <w:tcW w:w="1457" w:type="dxa"/>
            <w:vMerge/>
            <w:tcBorders>
              <w:top w:val="nil"/>
              <w:left w:val="single" w:sz="4" w:space="0" w:color="000000"/>
              <w:bottom w:val="single" w:sz="4" w:space="0" w:color="000000"/>
              <w:right w:val="single" w:sz="4" w:space="0" w:color="000000"/>
            </w:tcBorders>
            <w:vAlign w:val="center"/>
          </w:tcPr>
          <w:p w14:paraId="3DB0BD94"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4" w:space="0" w:color="000000"/>
              <w:right w:val="single" w:sz="4" w:space="0" w:color="000000"/>
            </w:tcBorders>
            <w:vAlign w:val="bottom"/>
          </w:tcPr>
          <w:p w14:paraId="4065A5F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0.99</w:t>
            </w:r>
          </w:p>
        </w:tc>
        <w:tc>
          <w:tcPr>
            <w:tcW w:w="1132" w:type="dxa"/>
            <w:tcBorders>
              <w:top w:val="nil"/>
              <w:left w:val="nil"/>
              <w:bottom w:val="single" w:sz="4" w:space="0" w:color="000000"/>
              <w:right w:val="single" w:sz="4" w:space="0" w:color="000000"/>
            </w:tcBorders>
            <w:vAlign w:val="bottom"/>
          </w:tcPr>
          <w:p w14:paraId="169CCE5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0.89</w:t>
            </w:r>
          </w:p>
        </w:tc>
        <w:tc>
          <w:tcPr>
            <w:tcW w:w="1132" w:type="dxa"/>
            <w:tcBorders>
              <w:top w:val="nil"/>
              <w:left w:val="nil"/>
              <w:bottom w:val="single" w:sz="4" w:space="0" w:color="000000"/>
              <w:right w:val="single" w:sz="4" w:space="0" w:color="000000"/>
            </w:tcBorders>
            <w:vAlign w:val="bottom"/>
          </w:tcPr>
          <w:p w14:paraId="18A4E91A"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0.86</w:t>
            </w:r>
          </w:p>
        </w:tc>
        <w:tc>
          <w:tcPr>
            <w:tcW w:w="1132" w:type="dxa"/>
            <w:tcBorders>
              <w:top w:val="nil"/>
              <w:left w:val="nil"/>
              <w:bottom w:val="single" w:sz="4" w:space="0" w:color="000000"/>
              <w:right w:val="single" w:sz="4" w:space="0" w:color="000000"/>
            </w:tcBorders>
            <w:vAlign w:val="bottom"/>
          </w:tcPr>
          <w:p w14:paraId="098F49D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0.73</w:t>
            </w:r>
          </w:p>
        </w:tc>
        <w:tc>
          <w:tcPr>
            <w:tcW w:w="1132" w:type="dxa"/>
            <w:tcBorders>
              <w:top w:val="nil"/>
              <w:left w:val="nil"/>
              <w:bottom w:val="single" w:sz="4" w:space="0" w:color="000000"/>
              <w:right w:val="single" w:sz="4" w:space="0" w:color="000000"/>
            </w:tcBorders>
            <w:vAlign w:val="bottom"/>
          </w:tcPr>
          <w:p w14:paraId="591063D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0.76</w:t>
            </w:r>
          </w:p>
        </w:tc>
      </w:tr>
      <w:tr w:rsidR="00EB4B26" w14:paraId="09CAEBA3"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1443A17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457" w:type="dxa"/>
            <w:tcBorders>
              <w:top w:val="nil"/>
              <w:left w:val="nil"/>
              <w:bottom w:val="single" w:sz="4" w:space="0" w:color="000000"/>
              <w:right w:val="single" w:sz="4" w:space="0" w:color="000000"/>
            </w:tcBorders>
            <w:vAlign w:val="bottom"/>
          </w:tcPr>
          <w:p w14:paraId="0195940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625D269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2A9F2CD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3788880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0BD65BE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2" w:type="dxa"/>
            <w:tcBorders>
              <w:top w:val="nil"/>
              <w:left w:val="nil"/>
              <w:bottom w:val="single" w:sz="4" w:space="0" w:color="000000"/>
              <w:right w:val="single" w:sz="4" w:space="0" w:color="000000"/>
            </w:tcBorders>
            <w:vAlign w:val="bottom"/>
          </w:tcPr>
          <w:p w14:paraId="3990F9C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4FC254A3"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48BE835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"Fixed Asset Turnover"</w:t>
            </w:r>
          </w:p>
        </w:tc>
      </w:tr>
      <w:tr w:rsidR="00EB4B26" w14:paraId="1ECCEC0C" w14:textId="77777777">
        <w:trPr>
          <w:trHeight w:val="312"/>
          <w:jc w:val="center"/>
        </w:trPr>
        <w:tc>
          <w:tcPr>
            <w:tcW w:w="1897" w:type="dxa"/>
            <w:tcBorders>
              <w:top w:val="nil"/>
              <w:left w:val="single" w:sz="8" w:space="0" w:color="000000"/>
              <w:bottom w:val="single" w:sz="4" w:space="0" w:color="000000"/>
              <w:right w:val="single" w:sz="4" w:space="0" w:color="000000"/>
            </w:tcBorders>
            <w:vAlign w:val="bottom"/>
          </w:tcPr>
          <w:p w14:paraId="6D35C07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457" w:type="dxa"/>
            <w:tcBorders>
              <w:top w:val="nil"/>
              <w:left w:val="nil"/>
              <w:bottom w:val="single" w:sz="4" w:space="0" w:color="000000"/>
              <w:right w:val="single" w:sz="4" w:space="0" w:color="000000"/>
            </w:tcBorders>
            <w:vAlign w:val="bottom"/>
          </w:tcPr>
          <w:p w14:paraId="42265BF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2" w:type="dxa"/>
            <w:tcBorders>
              <w:top w:val="nil"/>
              <w:left w:val="nil"/>
              <w:bottom w:val="single" w:sz="4" w:space="0" w:color="000000"/>
              <w:right w:val="single" w:sz="4" w:space="0" w:color="000000"/>
            </w:tcBorders>
            <w:vAlign w:val="bottom"/>
          </w:tcPr>
          <w:p w14:paraId="54A3FE5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2" w:type="dxa"/>
            <w:tcBorders>
              <w:top w:val="nil"/>
              <w:left w:val="nil"/>
              <w:bottom w:val="single" w:sz="4" w:space="0" w:color="000000"/>
              <w:right w:val="single" w:sz="4" w:space="0" w:color="000000"/>
            </w:tcBorders>
            <w:vAlign w:val="bottom"/>
          </w:tcPr>
          <w:p w14:paraId="3261D62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2" w:type="dxa"/>
            <w:tcBorders>
              <w:top w:val="nil"/>
              <w:left w:val="nil"/>
              <w:bottom w:val="single" w:sz="4" w:space="0" w:color="000000"/>
              <w:right w:val="single" w:sz="4" w:space="0" w:color="000000"/>
            </w:tcBorders>
            <w:vAlign w:val="bottom"/>
          </w:tcPr>
          <w:p w14:paraId="6E6181F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2" w:type="dxa"/>
            <w:tcBorders>
              <w:top w:val="nil"/>
              <w:left w:val="nil"/>
              <w:bottom w:val="single" w:sz="4" w:space="0" w:color="000000"/>
              <w:right w:val="single" w:sz="4" w:space="0" w:color="000000"/>
            </w:tcBorders>
            <w:vAlign w:val="bottom"/>
          </w:tcPr>
          <w:p w14:paraId="2DC4AF5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2" w:type="dxa"/>
            <w:tcBorders>
              <w:top w:val="nil"/>
              <w:left w:val="nil"/>
              <w:bottom w:val="single" w:sz="4" w:space="0" w:color="000000"/>
              <w:right w:val="single" w:sz="4" w:space="0" w:color="000000"/>
            </w:tcBorders>
            <w:vAlign w:val="bottom"/>
          </w:tcPr>
          <w:p w14:paraId="6D883E5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32D338A8"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36884AD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"Sales"</w:t>
            </w:r>
          </w:p>
        </w:tc>
        <w:tc>
          <w:tcPr>
            <w:tcW w:w="1457" w:type="dxa"/>
            <w:vMerge w:val="restart"/>
            <w:tcBorders>
              <w:top w:val="nil"/>
              <w:left w:val="single" w:sz="4" w:space="0" w:color="000000"/>
              <w:bottom w:val="single" w:sz="8" w:space="0" w:color="000000"/>
              <w:right w:val="single" w:sz="4" w:space="0" w:color="000000"/>
            </w:tcBorders>
            <w:vAlign w:val="center"/>
          </w:tcPr>
          <w:p w14:paraId="25AB388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"(Sales / Fixed Assets)"</w:t>
            </w:r>
          </w:p>
        </w:tc>
        <w:tc>
          <w:tcPr>
            <w:tcW w:w="1132" w:type="dxa"/>
            <w:tcBorders>
              <w:top w:val="nil"/>
              <w:left w:val="nil"/>
              <w:bottom w:val="single" w:sz="4" w:space="0" w:color="000000"/>
              <w:right w:val="single" w:sz="4" w:space="0" w:color="000000"/>
            </w:tcBorders>
            <w:vAlign w:val="bottom"/>
          </w:tcPr>
          <w:p w14:paraId="34A5400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32" w:type="dxa"/>
            <w:tcBorders>
              <w:top w:val="nil"/>
              <w:left w:val="nil"/>
              <w:bottom w:val="single" w:sz="4" w:space="0" w:color="000000"/>
              <w:right w:val="single" w:sz="4" w:space="0" w:color="000000"/>
            </w:tcBorders>
            <w:vAlign w:val="bottom"/>
          </w:tcPr>
          <w:p w14:paraId="42963F5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32" w:type="dxa"/>
            <w:tcBorders>
              <w:top w:val="nil"/>
              <w:left w:val="nil"/>
              <w:bottom w:val="single" w:sz="4" w:space="0" w:color="000000"/>
              <w:right w:val="single" w:sz="4" w:space="0" w:color="000000"/>
            </w:tcBorders>
            <w:vAlign w:val="bottom"/>
          </w:tcPr>
          <w:p w14:paraId="1908843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32" w:type="dxa"/>
            <w:tcBorders>
              <w:top w:val="nil"/>
              <w:left w:val="nil"/>
              <w:bottom w:val="single" w:sz="4" w:space="0" w:color="000000"/>
              <w:right w:val="single" w:sz="4" w:space="0" w:color="000000"/>
            </w:tcBorders>
            <w:vAlign w:val="bottom"/>
          </w:tcPr>
          <w:p w14:paraId="76C4C76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32" w:type="dxa"/>
            <w:tcBorders>
              <w:top w:val="nil"/>
              <w:left w:val="nil"/>
              <w:bottom w:val="single" w:sz="4" w:space="0" w:color="000000"/>
              <w:right w:val="single" w:sz="4" w:space="0" w:color="000000"/>
            </w:tcBorders>
            <w:vAlign w:val="bottom"/>
          </w:tcPr>
          <w:p w14:paraId="7622DF0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43F007F9" w14:textId="77777777">
        <w:trPr>
          <w:trHeight w:val="300"/>
          <w:jc w:val="center"/>
        </w:trPr>
        <w:tc>
          <w:tcPr>
            <w:tcW w:w="1897" w:type="dxa"/>
            <w:tcBorders>
              <w:top w:val="nil"/>
              <w:left w:val="single" w:sz="8" w:space="0" w:color="000000"/>
              <w:bottom w:val="single" w:sz="4" w:space="0" w:color="000000"/>
              <w:right w:val="single" w:sz="4" w:space="0" w:color="000000"/>
            </w:tcBorders>
            <w:vAlign w:val="bottom"/>
          </w:tcPr>
          <w:p w14:paraId="6C315D8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Fixed Assets"</w:t>
            </w:r>
          </w:p>
        </w:tc>
        <w:tc>
          <w:tcPr>
            <w:tcW w:w="1457" w:type="dxa"/>
            <w:vMerge/>
            <w:tcBorders>
              <w:top w:val="nil"/>
              <w:left w:val="single" w:sz="4" w:space="0" w:color="000000"/>
              <w:bottom w:val="single" w:sz="8" w:space="0" w:color="000000"/>
              <w:right w:val="single" w:sz="4" w:space="0" w:color="000000"/>
            </w:tcBorders>
            <w:vAlign w:val="center"/>
          </w:tcPr>
          <w:p w14:paraId="3CDDA503"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2" w:type="dxa"/>
            <w:tcBorders>
              <w:top w:val="nil"/>
              <w:left w:val="nil"/>
              <w:bottom w:val="single" w:sz="4" w:space="0" w:color="000000"/>
              <w:right w:val="single" w:sz="4" w:space="0" w:color="000000"/>
            </w:tcBorders>
            <w:vAlign w:val="bottom"/>
          </w:tcPr>
          <w:p w14:paraId="1E103AE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33,18,75,000.00 </w:t>
            </w:r>
          </w:p>
        </w:tc>
        <w:tc>
          <w:tcPr>
            <w:tcW w:w="1132" w:type="dxa"/>
            <w:tcBorders>
              <w:top w:val="nil"/>
              <w:left w:val="nil"/>
              <w:bottom w:val="single" w:sz="4" w:space="0" w:color="000000"/>
              <w:right w:val="single" w:sz="4" w:space="0" w:color="000000"/>
            </w:tcBorders>
            <w:vAlign w:val="bottom"/>
          </w:tcPr>
          <w:p w14:paraId="6FB1AA4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31,77,88,000.00 </w:t>
            </w:r>
          </w:p>
        </w:tc>
        <w:tc>
          <w:tcPr>
            <w:tcW w:w="1132" w:type="dxa"/>
            <w:tcBorders>
              <w:top w:val="nil"/>
              <w:left w:val="nil"/>
              <w:bottom w:val="single" w:sz="4" w:space="0" w:color="000000"/>
              <w:right w:val="single" w:sz="4" w:space="0" w:color="000000"/>
            </w:tcBorders>
            <w:vAlign w:val="bottom"/>
          </w:tcPr>
          <w:p w14:paraId="0DDF571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22,23,85,000.00 </w:t>
            </w:r>
          </w:p>
        </w:tc>
        <w:tc>
          <w:tcPr>
            <w:tcW w:w="1132" w:type="dxa"/>
            <w:tcBorders>
              <w:top w:val="nil"/>
              <w:left w:val="nil"/>
              <w:bottom w:val="single" w:sz="4" w:space="0" w:color="000000"/>
              <w:right w:val="single" w:sz="4" w:space="0" w:color="000000"/>
            </w:tcBorders>
            <w:vAlign w:val="bottom"/>
          </w:tcPr>
          <w:p w14:paraId="4C1DD93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11,58,30,000.00 </w:t>
            </w:r>
          </w:p>
        </w:tc>
        <w:tc>
          <w:tcPr>
            <w:tcW w:w="1132" w:type="dxa"/>
            <w:tcBorders>
              <w:top w:val="nil"/>
              <w:left w:val="nil"/>
              <w:bottom w:val="single" w:sz="4" w:space="0" w:color="000000"/>
              <w:right w:val="single" w:sz="4" w:space="0" w:color="000000"/>
            </w:tcBorders>
            <w:vAlign w:val="bottom"/>
          </w:tcPr>
          <w:p w14:paraId="3022D91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8,00,00,000.00 </w:t>
            </w:r>
          </w:p>
        </w:tc>
      </w:tr>
      <w:tr w:rsidR="00EB4B26" w14:paraId="7E0C69F6" w14:textId="77777777">
        <w:trPr>
          <w:trHeight w:val="324"/>
          <w:jc w:val="center"/>
        </w:trPr>
        <w:tc>
          <w:tcPr>
            <w:tcW w:w="1897" w:type="dxa"/>
            <w:tcBorders>
              <w:top w:val="nil"/>
              <w:left w:val="single" w:sz="8" w:space="0" w:color="000000"/>
              <w:bottom w:val="single" w:sz="8" w:space="0" w:color="000000"/>
              <w:right w:val="single" w:sz="4" w:space="0" w:color="000000"/>
            </w:tcBorders>
            <w:vAlign w:val="bottom"/>
          </w:tcPr>
          <w:p w14:paraId="6A6EBE83"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"Fixed Asset Turnover"</w:t>
            </w:r>
          </w:p>
        </w:tc>
        <w:tc>
          <w:tcPr>
            <w:tcW w:w="1457" w:type="dxa"/>
            <w:vMerge/>
            <w:tcBorders>
              <w:top w:val="nil"/>
              <w:left w:val="single" w:sz="4" w:space="0" w:color="000000"/>
              <w:bottom w:val="single" w:sz="8" w:space="0" w:color="000000"/>
              <w:right w:val="single" w:sz="4" w:space="0" w:color="000000"/>
            </w:tcBorders>
            <w:vAlign w:val="center"/>
          </w:tcPr>
          <w:p w14:paraId="358F8660"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2" w:type="dxa"/>
            <w:tcBorders>
              <w:top w:val="nil"/>
              <w:left w:val="nil"/>
              <w:bottom w:val="single" w:sz="8" w:space="0" w:color="000000"/>
              <w:right w:val="single" w:sz="4" w:space="0" w:color="000000"/>
            </w:tcBorders>
            <w:vAlign w:val="bottom"/>
          </w:tcPr>
          <w:p w14:paraId="5E22E21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2.34</w:t>
            </w:r>
          </w:p>
        </w:tc>
        <w:tc>
          <w:tcPr>
            <w:tcW w:w="1132" w:type="dxa"/>
            <w:tcBorders>
              <w:top w:val="nil"/>
              <w:left w:val="nil"/>
              <w:bottom w:val="single" w:sz="8" w:space="0" w:color="000000"/>
              <w:right w:val="single" w:sz="4" w:space="0" w:color="000000"/>
            </w:tcBorders>
            <w:vAlign w:val="bottom"/>
          </w:tcPr>
          <w:p w14:paraId="7B48AF0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1.90</w:t>
            </w:r>
          </w:p>
        </w:tc>
        <w:tc>
          <w:tcPr>
            <w:tcW w:w="1132" w:type="dxa"/>
            <w:tcBorders>
              <w:top w:val="nil"/>
              <w:left w:val="nil"/>
              <w:bottom w:val="single" w:sz="8" w:space="0" w:color="000000"/>
              <w:right w:val="single" w:sz="4" w:space="0" w:color="000000"/>
            </w:tcBorders>
            <w:vAlign w:val="bottom"/>
          </w:tcPr>
          <w:p w14:paraId="2E6F6022"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1.91</w:t>
            </w:r>
          </w:p>
        </w:tc>
        <w:tc>
          <w:tcPr>
            <w:tcW w:w="1132" w:type="dxa"/>
            <w:tcBorders>
              <w:top w:val="nil"/>
              <w:left w:val="nil"/>
              <w:bottom w:val="single" w:sz="8" w:space="0" w:color="000000"/>
              <w:right w:val="single" w:sz="4" w:space="0" w:color="000000"/>
            </w:tcBorders>
            <w:vAlign w:val="bottom"/>
          </w:tcPr>
          <w:p w14:paraId="01C7C203"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1.87</w:t>
            </w:r>
          </w:p>
        </w:tc>
        <w:tc>
          <w:tcPr>
            <w:tcW w:w="1132" w:type="dxa"/>
            <w:tcBorders>
              <w:top w:val="nil"/>
              <w:left w:val="nil"/>
              <w:bottom w:val="single" w:sz="8" w:space="0" w:color="000000"/>
              <w:right w:val="single" w:sz="4" w:space="0" w:color="000000"/>
            </w:tcBorders>
            <w:vAlign w:val="bottom"/>
          </w:tcPr>
          <w:p w14:paraId="676A8F6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1.92</w:t>
            </w:r>
          </w:p>
        </w:tc>
      </w:tr>
    </w:tbl>
    <w:p w14:paraId="3D4A09C3" w14:textId="77777777" w:rsidR="00EB4B26" w:rsidRDefault="00EB4B26">
      <w:pPr>
        <w:spacing w:before="0"/>
        <w:jc w:val="center"/>
        <w:rPr>
          <w:rFonts w:ascii="Arial" w:eastAsia="Arial" w:hAnsi="Arial" w:cs="Arial"/>
        </w:rPr>
      </w:pPr>
    </w:p>
    <w:p w14:paraId="5C65605E" w14:textId="77777777" w:rsidR="00EB4B26" w:rsidRDefault="00EB4B26">
      <w:pPr>
        <w:spacing w:before="0"/>
        <w:jc w:val="center"/>
        <w:rPr>
          <w:rFonts w:ascii="Arial" w:eastAsia="Arial" w:hAnsi="Arial" w:cs="Arial"/>
        </w:rPr>
      </w:pPr>
    </w:p>
    <w:tbl>
      <w:tblPr>
        <w:tblStyle w:val="a0"/>
        <w:tblW w:w="9013" w:type="dxa"/>
        <w:jc w:val="center"/>
        <w:tblInd w:w="0" w:type="dxa"/>
        <w:tblLayout w:type="fixed"/>
        <w:tblLook w:val="0400" w:firstRow="0" w:lastRow="0" w:firstColumn="0" w:lastColumn="0" w:noHBand="0" w:noVBand="1"/>
      </w:tblPr>
      <w:tblGrid>
        <w:gridCol w:w="1946"/>
        <w:gridCol w:w="1397"/>
        <w:gridCol w:w="1134"/>
        <w:gridCol w:w="1134"/>
        <w:gridCol w:w="1134"/>
        <w:gridCol w:w="1134"/>
        <w:gridCol w:w="1134"/>
      </w:tblGrid>
      <w:tr w:rsidR="00EB4B26" w14:paraId="7BDBD5CE" w14:textId="77777777">
        <w:trPr>
          <w:trHeight w:val="312"/>
          <w:jc w:val="center"/>
        </w:trPr>
        <w:tc>
          <w:tcPr>
            <w:tcW w:w="9014" w:type="dxa"/>
            <w:gridSpan w:val="7"/>
            <w:tcBorders>
              <w:top w:val="single" w:sz="4" w:space="0" w:color="000000"/>
              <w:left w:val="single" w:sz="4" w:space="0" w:color="000000"/>
              <w:bottom w:val="single" w:sz="4" w:space="0" w:color="000000"/>
              <w:right w:val="single" w:sz="8" w:space="0" w:color="000000"/>
            </w:tcBorders>
            <w:vAlign w:val="bottom"/>
          </w:tcPr>
          <w:p w14:paraId="382EF0E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"Gearing Ratio"</w:t>
            </w:r>
          </w:p>
        </w:tc>
      </w:tr>
      <w:tr w:rsidR="00EB4B26" w14:paraId="72F97C8E" w14:textId="77777777">
        <w:trPr>
          <w:trHeight w:val="312"/>
          <w:jc w:val="center"/>
        </w:trPr>
        <w:tc>
          <w:tcPr>
            <w:tcW w:w="9014" w:type="dxa"/>
            <w:gridSpan w:val="7"/>
            <w:tcBorders>
              <w:top w:val="single" w:sz="4" w:space="0" w:color="000000"/>
              <w:left w:val="single" w:sz="4" w:space="0" w:color="000000"/>
              <w:bottom w:val="single" w:sz="4" w:space="0" w:color="000000"/>
              <w:right w:val="single" w:sz="8" w:space="0" w:color="000000"/>
            </w:tcBorders>
            <w:vAlign w:val="bottom"/>
          </w:tcPr>
          <w:p w14:paraId="3BA6398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"Debt to Equity Ratio"</w:t>
            </w:r>
          </w:p>
        </w:tc>
      </w:tr>
      <w:tr w:rsidR="00EB4B26" w14:paraId="3E495D9B"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682C3A3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397" w:type="dxa"/>
            <w:tcBorders>
              <w:top w:val="nil"/>
              <w:left w:val="nil"/>
              <w:bottom w:val="single" w:sz="4" w:space="0" w:color="000000"/>
              <w:right w:val="single" w:sz="4" w:space="0" w:color="000000"/>
            </w:tcBorders>
            <w:vAlign w:val="bottom"/>
          </w:tcPr>
          <w:p w14:paraId="03C30A4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4" w:type="dxa"/>
            <w:tcBorders>
              <w:top w:val="nil"/>
              <w:left w:val="nil"/>
              <w:bottom w:val="single" w:sz="4" w:space="0" w:color="000000"/>
              <w:right w:val="single" w:sz="4" w:space="0" w:color="000000"/>
            </w:tcBorders>
            <w:vAlign w:val="bottom"/>
          </w:tcPr>
          <w:p w14:paraId="6C6F2B8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4" w:type="dxa"/>
            <w:tcBorders>
              <w:top w:val="nil"/>
              <w:left w:val="nil"/>
              <w:bottom w:val="single" w:sz="4" w:space="0" w:color="000000"/>
              <w:right w:val="single" w:sz="4" w:space="0" w:color="000000"/>
            </w:tcBorders>
            <w:vAlign w:val="bottom"/>
          </w:tcPr>
          <w:p w14:paraId="7FE4AD2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4" w:type="dxa"/>
            <w:tcBorders>
              <w:top w:val="nil"/>
              <w:left w:val="nil"/>
              <w:bottom w:val="single" w:sz="4" w:space="0" w:color="000000"/>
              <w:right w:val="single" w:sz="4" w:space="0" w:color="000000"/>
            </w:tcBorders>
            <w:vAlign w:val="bottom"/>
          </w:tcPr>
          <w:p w14:paraId="02D4BC4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4" w:type="dxa"/>
            <w:tcBorders>
              <w:top w:val="nil"/>
              <w:left w:val="nil"/>
              <w:bottom w:val="single" w:sz="4" w:space="0" w:color="000000"/>
              <w:right w:val="single" w:sz="4" w:space="0" w:color="000000"/>
            </w:tcBorders>
            <w:vAlign w:val="bottom"/>
          </w:tcPr>
          <w:p w14:paraId="36474E9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4" w:type="dxa"/>
            <w:tcBorders>
              <w:top w:val="nil"/>
              <w:left w:val="nil"/>
              <w:bottom w:val="single" w:sz="4" w:space="0" w:color="000000"/>
              <w:right w:val="single" w:sz="8" w:space="0" w:color="000000"/>
            </w:tcBorders>
            <w:vAlign w:val="bottom"/>
          </w:tcPr>
          <w:p w14:paraId="689F31E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12B87422"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1F98C71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"Total Debt"</w:t>
            </w:r>
          </w:p>
        </w:tc>
        <w:tc>
          <w:tcPr>
            <w:tcW w:w="1397" w:type="dxa"/>
            <w:vMerge w:val="restart"/>
            <w:tcBorders>
              <w:top w:val="nil"/>
              <w:left w:val="single" w:sz="4" w:space="0" w:color="000000"/>
              <w:bottom w:val="single" w:sz="4" w:space="0" w:color="000000"/>
              <w:right w:val="single" w:sz="4" w:space="0" w:color="000000"/>
            </w:tcBorders>
            <w:vAlign w:val="center"/>
          </w:tcPr>
          <w:p w14:paraId="431BB28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"(Total debt/Total equity)"</w:t>
            </w:r>
          </w:p>
        </w:tc>
        <w:tc>
          <w:tcPr>
            <w:tcW w:w="1134" w:type="dxa"/>
            <w:tcBorders>
              <w:top w:val="nil"/>
              <w:left w:val="nil"/>
              <w:bottom w:val="single" w:sz="4" w:space="0" w:color="000000"/>
              <w:right w:val="single" w:sz="4" w:space="0" w:color="000000"/>
            </w:tcBorders>
            <w:vAlign w:val="bottom"/>
          </w:tcPr>
          <w:p w14:paraId="189BA1D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58,46,67,646.00 </w:t>
            </w:r>
          </w:p>
        </w:tc>
        <w:tc>
          <w:tcPr>
            <w:tcW w:w="1134" w:type="dxa"/>
            <w:tcBorders>
              <w:top w:val="nil"/>
              <w:left w:val="nil"/>
              <w:bottom w:val="single" w:sz="4" w:space="0" w:color="000000"/>
              <w:right w:val="single" w:sz="4" w:space="0" w:color="000000"/>
            </w:tcBorders>
            <w:vAlign w:val="bottom"/>
          </w:tcPr>
          <w:p w14:paraId="259D21B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52,90,85,557.00 </w:t>
            </w:r>
          </w:p>
        </w:tc>
        <w:tc>
          <w:tcPr>
            <w:tcW w:w="1134" w:type="dxa"/>
            <w:tcBorders>
              <w:top w:val="nil"/>
              <w:left w:val="nil"/>
              <w:bottom w:val="single" w:sz="4" w:space="0" w:color="000000"/>
              <w:right w:val="single" w:sz="4" w:space="0" w:color="000000"/>
            </w:tcBorders>
            <w:vAlign w:val="bottom"/>
          </w:tcPr>
          <w:p w14:paraId="1823CE3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37,24,70,809.00 </w:t>
            </w:r>
          </w:p>
        </w:tc>
        <w:tc>
          <w:tcPr>
            <w:tcW w:w="1134" w:type="dxa"/>
            <w:tcBorders>
              <w:top w:val="nil"/>
              <w:left w:val="nil"/>
              <w:bottom w:val="single" w:sz="4" w:space="0" w:color="000000"/>
              <w:right w:val="single" w:sz="4" w:space="0" w:color="000000"/>
            </w:tcBorders>
            <w:vAlign w:val="bottom"/>
          </w:tcPr>
          <w:p w14:paraId="30ABC2B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19,15,35,938.00 </w:t>
            </w:r>
          </w:p>
        </w:tc>
        <w:tc>
          <w:tcPr>
            <w:tcW w:w="1134" w:type="dxa"/>
            <w:tcBorders>
              <w:top w:val="nil"/>
              <w:left w:val="nil"/>
              <w:bottom w:val="single" w:sz="4" w:space="0" w:color="000000"/>
              <w:right w:val="single" w:sz="4" w:space="0" w:color="000000"/>
            </w:tcBorders>
            <w:vAlign w:val="bottom"/>
          </w:tcPr>
          <w:p w14:paraId="4858D38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13,65,63,409.00 </w:t>
            </w:r>
          </w:p>
        </w:tc>
      </w:tr>
      <w:tr w:rsidR="00EB4B26" w14:paraId="6E03EE6A"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494C00C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Total Equity"</w:t>
            </w:r>
          </w:p>
        </w:tc>
        <w:tc>
          <w:tcPr>
            <w:tcW w:w="1397" w:type="dxa"/>
            <w:vMerge/>
            <w:tcBorders>
              <w:top w:val="nil"/>
              <w:left w:val="single" w:sz="4" w:space="0" w:color="000000"/>
              <w:bottom w:val="single" w:sz="4" w:space="0" w:color="000000"/>
              <w:right w:val="single" w:sz="4" w:space="0" w:color="000000"/>
            </w:tcBorders>
            <w:vAlign w:val="center"/>
          </w:tcPr>
          <w:p w14:paraId="03C60C77"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4" w:type="dxa"/>
            <w:tcBorders>
              <w:top w:val="nil"/>
              <w:left w:val="nil"/>
              <w:bottom w:val="single" w:sz="4" w:space="0" w:color="000000"/>
              <w:right w:val="single" w:sz="4" w:space="0" w:color="000000"/>
            </w:tcBorders>
            <w:vAlign w:val="bottom"/>
          </w:tcPr>
          <w:p w14:paraId="5FD8D99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19,86,88,809.00 </w:t>
            </w:r>
          </w:p>
        </w:tc>
        <w:tc>
          <w:tcPr>
            <w:tcW w:w="1134" w:type="dxa"/>
            <w:tcBorders>
              <w:top w:val="nil"/>
              <w:left w:val="nil"/>
              <w:bottom w:val="single" w:sz="4" w:space="0" w:color="000000"/>
              <w:right w:val="single" w:sz="4" w:space="0" w:color="000000"/>
            </w:tcBorders>
            <w:vAlign w:val="bottom"/>
          </w:tcPr>
          <w:p w14:paraId="1D21589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15,04,62,113.00 </w:t>
            </w:r>
          </w:p>
        </w:tc>
        <w:tc>
          <w:tcPr>
            <w:tcW w:w="1134" w:type="dxa"/>
            <w:tcBorders>
              <w:top w:val="nil"/>
              <w:left w:val="nil"/>
              <w:bottom w:val="single" w:sz="4" w:space="0" w:color="000000"/>
              <w:right w:val="single" w:sz="4" w:space="0" w:color="000000"/>
            </w:tcBorders>
            <w:vAlign w:val="bottom"/>
          </w:tcPr>
          <w:p w14:paraId="234F882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12,13,89,837.00 </w:t>
            </w:r>
          </w:p>
        </w:tc>
        <w:tc>
          <w:tcPr>
            <w:tcW w:w="1134" w:type="dxa"/>
            <w:tcBorders>
              <w:top w:val="nil"/>
              <w:left w:val="nil"/>
              <w:bottom w:val="single" w:sz="4" w:space="0" w:color="000000"/>
              <w:right w:val="single" w:sz="4" w:space="0" w:color="000000"/>
            </w:tcBorders>
            <w:vAlign w:val="bottom"/>
          </w:tcPr>
          <w:p w14:paraId="3D27BD2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10,42,44,209.00 </w:t>
            </w:r>
          </w:p>
        </w:tc>
        <w:tc>
          <w:tcPr>
            <w:tcW w:w="1134" w:type="dxa"/>
            <w:tcBorders>
              <w:top w:val="nil"/>
              <w:left w:val="nil"/>
              <w:bottom w:val="single" w:sz="4" w:space="0" w:color="000000"/>
              <w:right w:val="single" w:sz="8" w:space="0" w:color="000000"/>
            </w:tcBorders>
            <w:vAlign w:val="bottom"/>
          </w:tcPr>
          <w:p w14:paraId="388F56D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6,44,53,912.00 </w:t>
            </w:r>
          </w:p>
        </w:tc>
      </w:tr>
      <w:tr w:rsidR="00EB4B26" w14:paraId="4549822F"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27DE5710"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"Debt to Equity Ratio"</w:t>
            </w:r>
          </w:p>
        </w:tc>
        <w:tc>
          <w:tcPr>
            <w:tcW w:w="1397" w:type="dxa"/>
            <w:vMerge/>
            <w:tcBorders>
              <w:top w:val="nil"/>
              <w:left w:val="single" w:sz="4" w:space="0" w:color="000000"/>
              <w:bottom w:val="single" w:sz="4" w:space="0" w:color="000000"/>
              <w:right w:val="single" w:sz="4" w:space="0" w:color="000000"/>
            </w:tcBorders>
            <w:vAlign w:val="center"/>
          </w:tcPr>
          <w:p w14:paraId="17BED2B6"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4" w:type="dxa"/>
            <w:tcBorders>
              <w:top w:val="nil"/>
              <w:left w:val="nil"/>
              <w:bottom w:val="single" w:sz="4" w:space="0" w:color="000000"/>
              <w:right w:val="single" w:sz="4" w:space="0" w:color="000000"/>
            </w:tcBorders>
            <w:vAlign w:val="bottom"/>
          </w:tcPr>
          <w:p w14:paraId="0EA6580D"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2.94</w:t>
            </w:r>
          </w:p>
        </w:tc>
        <w:tc>
          <w:tcPr>
            <w:tcW w:w="1134" w:type="dxa"/>
            <w:tcBorders>
              <w:top w:val="nil"/>
              <w:left w:val="nil"/>
              <w:bottom w:val="single" w:sz="4" w:space="0" w:color="000000"/>
              <w:right w:val="single" w:sz="4" w:space="0" w:color="000000"/>
            </w:tcBorders>
            <w:vAlign w:val="bottom"/>
          </w:tcPr>
          <w:p w14:paraId="1E8CAC9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3.52</w:t>
            </w:r>
          </w:p>
        </w:tc>
        <w:tc>
          <w:tcPr>
            <w:tcW w:w="1134" w:type="dxa"/>
            <w:tcBorders>
              <w:top w:val="nil"/>
              <w:left w:val="nil"/>
              <w:bottom w:val="single" w:sz="4" w:space="0" w:color="000000"/>
              <w:right w:val="single" w:sz="4" w:space="0" w:color="000000"/>
            </w:tcBorders>
            <w:vAlign w:val="bottom"/>
          </w:tcPr>
          <w:p w14:paraId="15C5C35F"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3.07</w:t>
            </w:r>
          </w:p>
        </w:tc>
        <w:tc>
          <w:tcPr>
            <w:tcW w:w="1134" w:type="dxa"/>
            <w:tcBorders>
              <w:top w:val="nil"/>
              <w:left w:val="nil"/>
              <w:bottom w:val="single" w:sz="4" w:space="0" w:color="000000"/>
              <w:right w:val="single" w:sz="4" w:space="0" w:color="000000"/>
            </w:tcBorders>
            <w:vAlign w:val="bottom"/>
          </w:tcPr>
          <w:p w14:paraId="5EE4D4E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1.84</w:t>
            </w:r>
          </w:p>
        </w:tc>
        <w:tc>
          <w:tcPr>
            <w:tcW w:w="1134" w:type="dxa"/>
            <w:tcBorders>
              <w:top w:val="nil"/>
              <w:left w:val="nil"/>
              <w:bottom w:val="single" w:sz="4" w:space="0" w:color="000000"/>
              <w:right w:val="single" w:sz="8" w:space="0" w:color="000000"/>
            </w:tcBorders>
            <w:vAlign w:val="bottom"/>
          </w:tcPr>
          <w:p w14:paraId="0BC9518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2.12</w:t>
            </w:r>
          </w:p>
        </w:tc>
      </w:tr>
      <w:tr w:rsidR="00EB4B26" w14:paraId="6DE1BABF"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30140C4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397" w:type="dxa"/>
            <w:tcBorders>
              <w:top w:val="nil"/>
              <w:left w:val="nil"/>
              <w:bottom w:val="single" w:sz="4" w:space="0" w:color="000000"/>
              <w:right w:val="single" w:sz="4" w:space="0" w:color="000000"/>
            </w:tcBorders>
            <w:vAlign w:val="bottom"/>
          </w:tcPr>
          <w:p w14:paraId="0C2708E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508C95D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3C5CA3A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490036D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284557E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8" w:space="0" w:color="000000"/>
            </w:tcBorders>
            <w:vAlign w:val="bottom"/>
          </w:tcPr>
          <w:p w14:paraId="074B46A4"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7ABF5842" w14:textId="77777777">
        <w:trPr>
          <w:trHeight w:val="312"/>
          <w:jc w:val="center"/>
        </w:trPr>
        <w:tc>
          <w:tcPr>
            <w:tcW w:w="5612" w:type="dxa"/>
            <w:gridSpan w:val="4"/>
            <w:tcBorders>
              <w:top w:val="single" w:sz="4" w:space="0" w:color="000000"/>
              <w:left w:val="single" w:sz="4" w:space="0" w:color="000000"/>
              <w:bottom w:val="single" w:sz="4" w:space="0" w:color="000000"/>
              <w:right w:val="single" w:sz="4" w:space="0" w:color="000000"/>
            </w:tcBorders>
            <w:vAlign w:val="bottom"/>
          </w:tcPr>
          <w:p w14:paraId="07C621E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"Times Interest Earned Ratio"</w:t>
            </w:r>
          </w:p>
        </w:tc>
        <w:tc>
          <w:tcPr>
            <w:tcW w:w="1134" w:type="dxa"/>
            <w:tcBorders>
              <w:top w:val="nil"/>
              <w:left w:val="nil"/>
              <w:bottom w:val="single" w:sz="4" w:space="0" w:color="000000"/>
              <w:right w:val="single" w:sz="4" w:space="0" w:color="000000"/>
            </w:tcBorders>
            <w:vAlign w:val="bottom"/>
          </w:tcPr>
          <w:p w14:paraId="57107AB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2E40440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8" w:space="0" w:color="000000"/>
            </w:tcBorders>
            <w:vAlign w:val="bottom"/>
          </w:tcPr>
          <w:p w14:paraId="727E84F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6AD636B6"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19A9D11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397" w:type="dxa"/>
            <w:tcBorders>
              <w:top w:val="nil"/>
              <w:left w:val="nil"/>
              <w:bottom w:val="single" w:sz="4" w:space="0" w:color="000000"/>
              <w:right w:val="single" w:sz="4" w:space="0" w:color="000000"/>
            </w:tcBorders>
            <w:vAlign w:val="bottom"/>
          </w:tcPr>
          <w:p w14:paraId="22C7359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4" w:type="dxa"/>
            <w:tcBorders>
              <w:top w:val="nil"/>
              <w:left w:val="nil"/>
              <w:bottom w:val="single" w:sz="4" w:space="0" w:color="000000"/>
              <w:right w:val="single" w:sz="4" w:space="0" w:color="000000"/>
            </w:tcBorders>
            <w:vAlign w:val="bottom"/>
          </w:tcPr>
          <w:p w14:paraId="4F600B0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4" w:type="dxa"/>
            <w:tcBorders>
              <w:top w:val="nil"/>
              <w:left w:val="nil"/>
              <w:bottom w:val="single" w:sz="4" w:space="0" w:color="000000"/>
              <w:right w:val="single" w:sz="4" w:space="0" w:color="000000"/>
            </w:tcBorders>
            <w:vAlign w:val="bottom"/>
          </w:tcPr>
          <w:p w14:paraId="3294846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4" w:type="dxa"/>
            <w:tcBorders>
              <w:top w:val="nil"/>
              <w:left w:val="nil"/>
              <w:bottom w:val="single" w:sz="4" w:space="0" w:color="000000"/>
              <w:right w:val="single" w:sz="4" w:space="0" w:color="000000"/>
            </w:tcBorders>
            <w:vAlign w:val="bottom"/>
          </w:tcPr>
          <w:p w14:paraId="06A75FD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4" w:type="dxa"/>
            <w:tcBorders>
              <w:top w:val="nil"/>
              <w:left w:val="nil"/>
              <w:bottom w:val="single" w:sz="4" w:space="0" w:color="000000"/>
              <w:right w:val="single" w:sz="4" w:space="0" w:color="000000"/>
            </w:tcBorders>
            <w:vAlign w:val="bottom"/>
          </w:tcPr>
          <w:p w14:paraId="5E14BCC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4" w:type="dxa"/>
            <w:tcBorders>
              <w:top w:val="nil"/>
              <w:left w:val="nil"/>
              <w:bottom w:val="single" w:sz="4" w:space="0" w:color="000000"/>
              <w:right w:val="single" w:sz="8" w:space="0" w:color="000000"/>
            </w:tcBorders>
            <w:vAlign w:val="bottom"/>
          </w:tcPr>
          <w:p w14:paraId="5C9C14C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60DB0F5C"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36FDE03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"EBIT"</w:t>
            </w:r>
          </w:p>
        </w:tc>
        <w:tc>
          <w:tcPr>
            <w:tcW w:w="1397" w:type="dxa"/>
            <w:vMerge w:val="restart"/>
            <w:tcBorders>
              <w:top w:val="nil"/>
              <w:left w:val="single" w:sz="4" w:space="0" w:color="000000"/>
              <w:bottom w:val="single" w:sz="4" w:space="0" w:color="000000"/>
              <w:right w:val="single" w:sz="4" w:space="0" w:color="000000"/>
            </w:tcBorders>
            <w:vAlign w:val="center"/>
          </w:tcPr>
          <w:p w14:paraId="448ED69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"(EBIT/Interest payable)"</w:t>
            </w:r>
          </w:p>
        </w:tc>
        <w:tc>
          <w:tcPr>
            <w:tcW w:w="1134" w:type="dxa"/>
            <w:tcBorders>
              <w:top w:val="nil"/>
              <w:left w:val="nil"/>
              <w:bottom w:val="single" w:sz="4" w:space="0" w:color="000000"/>
              <w:right w:val="single" w:sz="4" w:space="0" w:color="000000"/>
            </w:tcBorders>
            <w:vAlign w:val="bottom"/>
          </w:tcPr>
          <w:p w14:paraId="36CA9B4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4,96,80,677.00 </w:t>
            </w:r>
          </w:p>
        </w:tc>
        <w:tc>
          <w:tcPr>
            <w:tcW w:w="1134" w:type="dxa"/>
            <w:tcBorders>
              <w:top w:val="nil"/>
              <w:left w:val="nil"/>
              <w:bottom w:val="single" w:sz="4" w:space="0" w:color="000000"/>
              <w:right w:val="single" w:sz="4" w:space="0" w:color="000000"/>
            </w:tcBorders>
            <w:vAlign w:val="bottom"/>
          </w:tcPr>
          <w:p w14:paraId="15B3860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3,72,68,637.00 </w:t>
            </w:r>
          </w:p>
        </w:tc>
        <w:tc>
          <w:tcPr>
            <w:tcW w:w="1134" w:type="dxa"/>
            <w:tcBorders>
              <w:top w:val="nil"/>
              <w:left w:val="nil"/>
              <w:bottom w:val="single" w:sz="4" w:space="0" w:color="000000"/>
              <w:right w:val="single" w:sz="4" w:space="0" w:color="000000"/>
            </w:tcBorders>
            <w:vAlign w:val="bottom"/>
          </w:tcPr>
          <w:p w14:paraId="232A6E5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2,10,79,729.00 </w:t>
            </w:r>
          </w:p>
        </w:tc>
        <w:tc>
          <w:tcPr>
            <w:tcW w:w="1134" w:type="dxa"/>
            <w:tcBorders>
              <w:top w:val="nil"/>
              <w:left w:val="nil"/>
              <w:bottom w:val="single" w:sz="4" w:space="0" w:color="000000"/>
              <w:right w:val="single" w:sz="4" w:space="0" w:color="000000"/>
            </w:tcBorders>
            <w:vAlign w:val="bottom"/>
          </w:tcPr>
          <w:p w14:paraId="2DD82D1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45,18,003.00 </w:t>
            </w:r>
          </w:p>
        </w:tc>
        <w:tc>
          <w:tcPr>
            <w:tcW w:w="1134" w:type="dxa"/>
            <w:tcBorders>
              <w:top w:val="nil"/>
              <w:left w:val="nil"/>
              <w:bottom w:val="single" w:sz="4" w:space="0" w:color="000000"/>
              <w:right w:val="single" w:sz="4" w:space="0" w:color="000000"/>
            </w:tcBorders>
            <w:vAlign w:val="bottom"/>
          </w:tcPr>
          <w:p w14:paraId="5945ABC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68,82,587.00 </w:t>
            </w:r>
          </w:p>
        </w:tc>
      </w:tr>
      <w:tr w:rsidR="00EB4B26" w14:paraId="0B1D9366"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4EE92D1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Interest Payable"</w:t>
            </w:r>
          </w:p>
        </w:tc>
        <w:tc>
          <w:tcPr>
            <w:tcW w:w="1397" w:type="dxa"/>
            <w:vMerge/>
            <w:tcBorders>
              <w:top w:val="nil"/>
              <w:left w:val="single" w:sz="4" w:space="0" w:color="000000"/>
              <w:bottom w:val="single" w:sz="4" w:space="0" w:color="000000"/>
              <w:right w:val="single" w:sz="4" w:space="0" w:color="000000"/>
            </w:tcBorders>
            <w:vAlign w:val="center"/>
          </w:tcPr>
          <w:p w14:paraId="62749291"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4" w:type="dxa"/>
            <w:tcBorders>
              <w:top w:val="nil"/>
              <w:left w:val="nil"/>
              <w:bottom w:val="single" w:sz="4" w:space="0" w:color="000000"/>
              <w:right w:val="single" w:sz="4" w:space="0" w:color="000000"/>
            </w:tcBorders>
            <w:vAlign w:val="bottom"/>
          </w:tcPr>
          <w:p w14:paraId="2D27A72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20,93,781.00 </w:t>
            </w:r>
          </w:p>
        </w:tc>
        <w:tc>
          <w:tcPr>
            <w:tcW w:w="1134" w:type="dxa"/>
            <w:tcBorders>
              <w:top w:val="nil"/>
              <w:left w:val="nil"/>
              <w:bottom w:val="single" w:sz="4" w:space="0" w:color="000000"/>
              <w:right w:val="single" w:sz="4" w:space="0" w:color="000000"/>
            </w:tcBorders>
            <w:vAlign w:val="bottom"/>
          </w:tcPr>
          <w:p w14:paraId="654390C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18,27,605.00 </w:t>
            </w:r>
          </w:p>
        </w:tc>
        <w:tc>
          <w:tcPr>
            <w:tcW w:w="1134" w:type="dxa"/>
            <w:tcBorders>
              <w:top w:val="nil"/>
              <w:left w:val="nil"/>
              <w:bottom w:val="single" w:sz="4" w:space="0" w:color="000000"/>
              <w:right w:val="single" w:sz="4" w:space="0" w:color="000000"/>
            </w:tcBorders>
            <w:vAlign w:val="bottom"/>
          </w:tcPr>
          <w:p w14:paraId="6C1507F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13,16,350.00 </w:t>
            </w:r>
          </w:p>
        </w:tc>
        <w:tc>
          <w:tcPr>
            <w:tcW w:w="1134" w:type="dxa"/>
            <w:tcBorders>
              <w:top w:val="nil"/>
              <w:left w:val="nil"/>
              <w:bottom w:val="single" w:sz="4" w:space="0" w:color="000000"/>
              <w:right w:val="single" w:sz="4" w:space="0" w:color="000000"/>
            </w:tcBorders>
            <w:vAlign w:val="bottom"/>
          </w:tcPr>
          <w:p w14:paraId="7DDE7B7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19,07,642.00 </w:t>
            </w:r>
          </w:p>
        </w:tc>
        <w:tc>
          <w:tcPr>
            <w:tcW w:w="1134" w:type="dxa"/>
            <w:tcBorders>
              <w:top w:val="nil"/>
              <w:left w:val="nil"/>
              <w:bottom w:val="single" w:sz="4" w:space="0" w:color="000000"/>
              <w:right w:val="single" w:sz="4" w:space="0" w:color="000000"/>
            </w:tcBorders>
            <w:vAlign w:val="bottom"/>
          </w:tcPr>
          <w:p w14:paraId="5B3493F9"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20,56,691.00 </w:t>
            </w:r>
          </w:p>
        </w:tc>
      </w:tr>
      <w:tr w:rsidR="00EB4B26" w14:paraId="3FD06790"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08AC5EAA"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"Times Interest Earned Ratio"</w:t>
            </w:r>
          </w:p>
        </w:tc>
        <w:tc>
          <w:tcPr>
            <w:tcW w:w="1397" w:type="dxa"/>
            <w:vMerge/>
            <w:tcBorders>
              <w:top w:val="nil"/>
              <w:left w:val="single" w:sz="4" w:space="0" w:color="000000"/>
              <w:bottom w:val="single" w:sz="4" w:space="0" w:color="000000"/>
              <w:right w:val="single" w:sz="4" w:space="0" w:color="000000"/>
            </w:tcBorders>
            <w:vAlign w:val="center"/>
          </w:tcPr>
          <w:p w14:paraId="57B8527C"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4" w:type="dxa"/>
            <w:tcBorders>
              <w:top w:val="nil"/>
              <w:left w:val="nil"/>
              <w:bottom w:val="single" w:sz="4" w:space="0" w:color="000000"/>
              <w:right w:val="single" w:sz="4" w:space="0" w:color="000000"/>
            </w:tcBorders>
            <w:vAlign w:val="bottom"/>
          </w:tcPr>
          <w:p w14:paraId="554137C3"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23.73</w:t>
            </w:r>
          </w:p>
        </w:tc>
        <w:tc>
          <w:tcPr>
            <w:tcW w:w="1134" w:type="dxa"/>
            <w:tcBorders>
              <w:top w:val="nil"/>
              <w:left w:val="nil"/>
              <w:bottom w:val="single" w:sz="4" w:space="0" w:color="000000"/>
              <w:right w:val="single" w:sz="4" w:space="0" w:color="000000"/>
            </w:tcBorders>
            <w:vAlign w:val="bottom"/>
          </w:tcPr>
          <w:p w14:paraId="42051014"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20.39</w:t>
            </w:r>
          </w:p>
        </w:tc>
        <w:tc>
          <w:tcPr>
            <w:tcW w:w="1134" w:type="dxa"/>
            <w:tcBorders>
              <w:top w:val="nil"/>
              <w:left w:val="nil"/>
              <w:bottom w:val="single" w:sz="4" w:space="0" w:color="000000"/>
              <w:right w:val="single" w:sz="4" w:space="0" w:color="000000"/>
            </w:tcBorders>
            <w:vAlign w:val="bottom"/>
          </w:tcPr>
          <w:p w14:paraId="574699B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16.01</w:t>
            </w:r>
          </w:p>
        </w:tc>
        <w:tc>
          <w:tcPr>
            <w:tcW w:w="1134" w:type="dxa"/>
            <w:tcBorders>
              <w:top w:val="nil"/>
              <w:left w:val="nil"/>
              <w:bottom w:val="single" w:sz="4" w:space="0" w:color="000000"/>
              <w:right w:val="single" w:sz="4" w:space="0" w:color="000000"/>
            </w:tcBorders>
            <w:vAlign w:val="bottom"/>
          </w:tcPr>
          <w:p w14:paraId="4A84FCF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2.37</w:t>
            </w:r>
          </w:p>
        </w:tc>
        <w:tc>
          <w:tcPr>
            <w:tcW w:w="1134" w:type="dxa"/>
            <w:tcBorders>
              <w:top w:val="nil"/>
              <w:left w:val="nil"/>
              <w:bottom w:val="single" w:sz="4" w:space="0" w:color="000000"/>
              <w:right w:val="single" w:sz="8" w:space="0" w:color="000000"/>
            </w:tcBorders>
            <w:vAlign w:val="bottom"/>
          </w:tcPr>
          <w:p w14:paraId="6AEA767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3.35</w:t>
            </w:r>
          </w:p>
        </w:tc>
      </w:tr>
      <w:tr w:rsidR="00EB4B26" w14:paraId="3514E436" w14:textId="77777777">
        <w:trPr>
          <w:trHeight w:val="300"/>
          <w:jc w:val="center"/>
        </w:trPr>
        <w:tc>
          <w:tcPr>
            <w:tcW w:w="1947" w:type="dxa"/>
            <w:tcBorders>
              <w:top w:val="nil"/>
              <w:left w:val="nil"/>
              <w:bottom w:val="nil"/>
              <w:right w:val="nil"/>
            </w:tcBorders>
            <w:vAlign w:val="bottom"/>
          </w:tcPr>
          <w:p w14:paraId="3921C42C" w14:textId="77777777" w:rsidR="00EB4B26" w:rsidRDefault="00EB4B26">
            <w:pPr>
              <w:spacing w:before="0" w:after="0" w:line="240" w:lineRule="auto"/>
              <w:jc w:val="right"/>
              <w:rPr>
                <w:rFonts w:ascii="Arial" w:eastAsia="Arial" w:hAnsi="Arial" w:cs="Arial"/>
                <w:b/>
                <w:bCs/>
                <w:color w:val="000000"/>
              </w:rPr>
            </w:pPr>
          </w:p>
        </w:tc>
        <w:tc>
          <w:tcPr>
            <w:tcW w:w="1397" w:type="dxa"/>
            <w:tcBorders>
              <w:top w:val="nil"/>
              <w:left w:val="nil"/>
              <w:bottom w:val="nil"/>
              <w:right w:val="nil"/>
            </w:tcBorders>
            <w:vAlign w:val="bottom"/>
          </w:tcPr>
          <w:p w14:paraId="5F6FA30D" w14:textId="77777777" w:rsidR="00EB4B26" w:rsidRDefault="00EB4B26">
            <w:pPr>
              <w:spacing w:before="0" w:after="0" w:line="240" w:lineRule="auto"/>
              <w:jc w:val="left"/>
              <w:rPr>
                <w:sz w:val="20"/>
                <w:szCs w:val="20"/>
              </w:rPr>
            </w:pPr>
          </w:p>
        </w:tc>
        <w:tc>
          <w:tcPr>
            <w:tcW w:w="1134" w:type="dxa"/>
            <w:tcBorders>
              <w:top w:val="nil"/>
              <w:left w:val="nil"/>
              <w:bottom w:val="nil"/>
              <w:right w:val="nil"/>
            </w:tcBorders>
            <w:vAlign w:val="bottom"/>
          </w:tcPr>
          <w:p w14:paraId="58CF061C" w14:textId="77777777" w:rsidR="00EB4B26" w:rsidRDefault="00EB4B26">
            <w:pPr>
              <w:spacing w:before="0" w:after="0" w:line="240" w:lineRule="auto"/>
              <w:jc w:val="left"/>
              <w:rPr>
                <w:sz w:val="20"/>
                <w:szCs w:val="20"/>
              </w:rPr>
            </w:pPr>
          </w:p>
        </w:tc>
        <w:tc>
          <w:tcPr>
            <w:tcW w:w="1134" w:type="dxa"/>
            <w:tcBorders>
              <w:top w:val="nil"/>
              <w:left w:val="nil"/>
              <w:bottom w:val="nil"/>
              <w:right w:val="nil"/>
            </w:tcBorders>
            <w:vAlign w:val="bottom"/>
          </w:tcPr>
          <w:p w14:paraId="192A3897" w14:textId="77777777" w:rsidR="00EB4B26" w:rsidRDefault="00EB4B26">
            <w:pPr>
              <w:spacing w:before="0" w:after="0" w:line="240" w:lineRule="auto"/>
              <w:jc w:val="left"/>
              <w:rPr>
                <w:sz w:val="20"/>
                <w:szCs w:val="20"/>
              </w:rPr>
            </w:pPr>
          </w:p>
        </w:tc>
        <w:tc>
          <w:tcPr>
            <w:tcW w:w="1134" w:type="dxa"/>
            <w:tcBorders>
              <w:top w:val="nil"/>
              <w:left w:val="nil"/>
              <w:bottom w:val="nil"/>
              <w:right w:val="nil"/>
            </w:tcBorders>
            <w:vAlign w:val="bottom"/>
          </w:tcPr>
          <w:p w14:paraId="03C9B939" w14:textId="77777777" w:rsidR="00EB4B26" w:rsidRDefault="00EB4B26">
            <w:pPr>
              <w:spacing w:before="0" w:after="0" w:line="240" w:lineRule="auto"/>
              <w:jc w:val="left"/>
              <w:rPr>
                <w:sz w:val="20"/>
                <w:szCs w:val="20"/>
              </w:rPr>
            </w:pPr>
          </w:p>
        </w:tc>
        <w:tc>
          <w:tcPr>
            <w:tcW w:w="1134" w:type="dxa"/>
            <w:tcBorders>
              <w:top w:val="nil"/>
              <w:left w:val="nil"/>
              <w:bottom w:val="nil"/>
              <w:right w:val="nil"/>
            </w:tcBorders>
            <w:vAlign w:val="bottom"/>
          </w:tcPr>
          <w:p w14:paraId="6CD3744E" w14:textId="77777777" w:rsidR="00EB4B26" w:rsidRDefault="00EB4B26">
            <w:pPr>
              <w:spacing w:before="0" w:after="0" w:line="240" w:lineRule="auto"/>
              <w:jc w:val="left"/>
              <w:rPr>
                <w:sz w:val="20"/>
                <w:szCs w:val="20"/>
              </w:rPr>
            </w:pPr>
          </w:p>
        </w:tc>
        <w:tc>
          <w:tcPr>
            <w:tcW w:w="1134" w:type="dxa"/>
            <w:tcBorders>
              <w:top w:val="nil"/>
              <w:left w:val="nil"/>
              <w:bottom w:val="nil"/>
              <w:right w:val="single" w:sz="8" w:space="0" w:color="000000"/>
            </w:tcBorders>
            <w:vAlign w:val="bottom"/>
          </w:tcPr>
          <w:p w14:paraId="0721C1C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4360497F" w14:textId="77777777">
        <w:trPr>
          <w:trHeight w:val="312"/>
          <w:jc w:val="center"/>
        </w:trPr>
        <w:tc>
          <w:tcPr>
            <w:tcW w:w="9014" w:type="dxa"/>
            <w:gridSpan w:val="7"/>
            <w:tcBorders>
              <w:top w:val="single" w:sz="4" w:space="0" w:color="000000"/>
              <w:left w:val="single" w:sz="4" w:space="0" w:color="000000"/>
              <w:bottom w:val="single" w:sz="4" w:space="0" w:color="000000"/>
              <w:right w:val="single" w:sz="8" w:space="0" w:color="000000"/>
            </w:tcBorders>
            <w:vAlign w:val="bottom"/>
          </w:tcPr>
          <w:p w14:paraId="7D83C66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"Investment ratio"</w:t>
            </w:r>
          </w:p>
        </w:tc>
      </w:tr>
      <w:tr w:rsidR="00EB4B26" w14:paraId="22557165" w14:textId="77777777">
        <w:trPr>
          <w:trHeight w:val="312"/>
          <w:jc w:val="center"/>
        </w:trPr>
        <w:tc>
          <w:tcPr>
            <w:tcW w:w="9014" w:type="dxa"/>
            <w:gridSpan w:val="7"/>
            <w:tcBorders>
              <w:top w:val="single" w:sz="4" w:space="0" w:color="000000"/>
              <w:left w:val="single" w:sz="4" w:space="0" w:color="000000"/>
              <w:bottom w:val="single" w:sz="4" w:space="0" w:color="000000"/>
              <w:right w:val="single" w:sz="8" w:space="0" w:color="000000"/>
            </w:tcBorders>
            <w:vAlign w:val="bottom"/>
          </w:tcPr>
          <w:p w14:paraId="5FF0576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"Dividend Payout"</w:t>
            </w:r>
          </w:p>
        </w:tc>
      </w:tr>
      <w:tr w:rsidR="00EB4B26" w14:paraId="79EDC13A"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42EBEFE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397" w:type="dxa"/>
            <w:tcBorders>
              <w:top w:val="nil"/>
              <w:left w:val="nil"/>
              <w:bottom w:val="single" w:sz="4" w:space="0" w:color="000000"/>
              <w:right w:val="single" w:sz="4" w:space="0" w:color="000000"/>
            </w:tcBorders>
            <w:vAlign w:val="bottom"/>
          </w:tcPr>
          <w:p w14:paraId="705F644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4" w:type="dxa"/>
            <w:tcBorders>
              <w:top w:val="nil"/>
              <w:left w:val="nil"/>
              <w:bottom w:val="single" w:sz="4" w:space="0" w:color="000000"/>
              <w:right w:val="single" w:sz="4" w:space="0" w:color="000000"/>
            </w:tcBorders>
            <w:vAlign w:val="bottom"/>
          </w:tcPr>
          <w:p w14:paraId="1697FA0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4" w:type="dxa"/>
            <w:tcBorders>
              <w:top w:val="nil"/>
              <w:left w:val="nil"/>
              <w:bottom w:val="single" w:sz="4" w:space="0" w:color="000000"/>
              <w:right w:val="single" w:sz="4" w:space="0" w:color="000000"/>
            </w:tcBorders>
            <w:vAlign w:val="bottom"/>
          </w:tcPr>
          <w:p w14:paraId="5F6085F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4" w:type="dxa"/>
            <w:tcBorders>
              <w:top w:val="nil"/>
              <w:left w:val="nil"/>
              <w:bottom w:val="single" w:sz="4" w:space="0" w:color="000000"/>
              <w:right w:val="single" w:sz="4" w:space="0" w:color="000000"/>
            </w:tcBorders>
            <w:vAlign w:val="bottom"/>
          </w:tcPr>
          <w:p w14:paraId="1500F66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4" w:type="dxa"/>
            <w:tcBorders>
              <w:top w:val="nil"/>
              <w:left w:val="nil"/>
              <w:bottom w:val="single" w:sz="4" w:space="0" w:color="000000"/>
              <w:right w:val="single" w:sz="4" w:space="0" w:color="000000"/>
            </w:tcBorders>
            <w:vAlign w:val="bottom"/>
          </w:tcPr>
          <w:p w14:paraId="60F9AFC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4" w:type="dxa"/>
            <w:tcBorders>
              <w:top w:val="nil"/>
              <w:left w:val="nil"/>
              <w:bottom w:val="single" w:sz="4" w:space="0" w:color="000000"/>
              <w:right w:val="single" w:sz="8" w:space="0" w:color="000000"/>
            </w:tcBorders>
            <w:vAlign w:val="bottom"/>
          </w:tcPr>
          <w:p w14:paraId="65DA11E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12483C9A"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311AC70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"Dividend"</w:t>
            </w:r>
          </w:p>
        </w:tc>
        <w:tc>
          <w:tcPr>
            <w:tcW w:w="1397" w:type="dxa"/>
            <w:vMerge w:val="restart"/>
            <w:tcBorders>
              <w:top w:val="nil"/>
              <w:left w:val="single" w:sz="4" w:space="0" w:color="000000"/>
              <w:bottom w:val="single" w:sz="4" w:space="0" w:color="000000"/>
              <w:right w:val="single" w:sz="4" w:space="0" w:color="000000"/>
            </w:tcBorders>
            <w:vAlign w:val="center"/>
          </w:tcPr>
          <w:p w14:paraId="6B5151C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income/Outstanding shares)"</w:t>
            </w:r>
          </w:p>
        </w:tc>
        <w:tc>
          <w:tcPr>
            <w:tcW w:w="1134" w:type="dxa"/>
            <w:tcBorders>
              <w:top w:val="nil"/>
              <w:left w:val="nil"/>
              <w:bottom w:val="single" w:sz="4" w:space="0" w:color="000000"/>
              <w:right w:val="single" w:sz="4" w:space="0" w:color="000000"/>
            </w:tcBorders>
            <w:vAlign w:val="bottom"/>
          </w:tcPr>
          <w:p w14:paraId="29BBD02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91,70,390.00 </w:t>
            </w:r>
          </w:p>
        </w:tc>
        <w:tc>
          <w:tcPr>
            <w:tcW w:w="1134" w:type="dxa"/>
            <w:tcBorders>
              <w:top w:val="nil"/>
              <w:left w:val="nil"/>
              <w:bottom w:val="single" w:sz="4" w:space="0" w:color="000000"/>
              <w:right w:val="single" w:sz="4" w:space="0" w:color="000000"/>
            </w:tcBorders>
            <w:vAlign w:val="bottom"/>
          </w:tcPr>
          <w:p w14:paraId="252E633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36,16,588.00 </w:t>
            </w:r>
          </w:p>
        </w:tc>
        <w:tc>
          <w:tcPr>
            <w:tcW w:w="1134" w:type="dxa"/>
            <w:tcBorders>
              <w:top w:val="nil"/>
              <w:left w:val="nil"/>
              <w:bottom w:val="single" w:sz="4" w:space="0" w:color="000000"/>
              <w:right w:val="single" w:sz="4" w:space="0" w:color="000000"/>
            </w:tcBorders>
            <w:vAlign w:val="bottom"/>
          </w:tcPr>
          <w:p w14:paraId="7FA1A53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16,32,852.00 </w:t>
            </w:r>
          </w:p>
        </w:tc>
        <w:tc>
          <w:tcPr>
            <w:tcW w:w="1134" w:type="dxa"/>
            <w:tcBorders>
              <w:top w:val="nil"/>
              <w:left w:val="nil"/>
              <w:bottom w:val="single" w:sz="4" w:space="0" w:color="000000"/>
              <w:right w:val="single" w:sz="4" w:space="0" w:color="000000"/>
            </w:tcBorders>
            <w:vAlign w:val="bottom"/>
          </w:tcPr>
          <w:p w14:paraId="774B7C6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26,19,303.00 </w:t>
            </w:r>
          </w:p>
        </w:tc>
        <w:tc>
          <w:tcPr>
            <w:tcW w:w="1134" w:type="dxa"/>
            <w:tcBorders>
              <w:top w:val="nil"/>
              <w:left w:val="nil"/>
              <w:bottom w:val="single" w:sz="4" w:space="0" w:color="000000"/>
              <w:right w:val="single" w:sz="8" w:space="0" w:color="000000"/>
            </w:tcBorders>
            <w:vAlign w:val="bottom"/>
          </w:tcPr>
          <w:p w14:paraId="25F0646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1,63,689.00 </w:t>
            </w:r>
          </w:p>
        </w:tc>
      </w:tr>
      <w:tr w:rsidR="00EB4B26" w14:paraId="1F10A313"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7849A57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"Net Income"</w:t>
            </w:r>
          </w:p>
        </w:tc>
        <w:tc>
          <w:tcPr>
            <w:tcW w:w="1397" w:type="dxa"/>
            <w:vMerge/>
            <w:tcBorders>
              <w:top w:val="nil"/>
              <w:left w:val="single" w:sz="4" w:space="0" w:color="000000"/>
              <w:bottom w:val="single" w:sz="4" w:space="0" w:color="000000"/>
              <w:right w:val="single" w:sz="4" w:space="0" w:color="000000"/>
            </w:tcBorders>
            <w:vAlign w:val="center"/>
          </w:tcPr>
          <w:p w14:paraId="3C5E28BD"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4" w:type="dxa"/>
            <w:tcBorders>
              <w:top w:val="nil"/>
              <w:left w:val="nil"/>
              <w:bottom w:val="single" w:sz="4" w:space="0" w:color="000000"/>
              <w:right w:val="single" w:sz="4" w:space="0" w:color="000000"/>
            </w:tcBorders>
            <w:vAlign w:val="bottom"/>
          </w:tcPr>
          <w:p w14:paraId="034DB86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4,15,87,940.00 </w:t>
            </w:r>
          </w:p>
        </w:tc>
        <w:tc>
          <w:tcPr>
            <w:tcW w:w="1134" w:type="dxa"/>
            <w:tcBorders>
              <w:top w:val="nil"/>
              <w:left w:val="nil"/>
              <w:bottom w:val="single" w:sz="4" w:space="0" w:color="000000"/>
              <w:right w:val="single" w:sz="4" w:space="0" w:color="000000"/>
            </w:tcBorders>
            <w:vAlign w:val="bottom"/>
          </w:tcPr>
          <w:p w14:paraId="57A7DD7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3,13,44,070.00 </w:t>
            </w:r>
          </w:p>
        </w:tc>
        <w:tc>
          <w:tcPr>
            <w:tcW w:w="1134" w:type="dxa"/>
            <w:tcBorders>
              <w:top w:val="nil"/>
              <w:left w:val="nil"/>
              <w:bottom w:val="single" w:sz="4" w:space="0" w:color="000000"/>
              <w:right w:val="single" w:sz="4" w:space="0" w:color="000000"/>
            </w:tcBorders>
            <w:vAlign w:val="bottom"/>
          </w:tcPr>
          <w:p w14:paraId="5DE747B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1,77,13,104.00 </w:t>
            </w:r>
          </w:p>
        </w:tc>
        <w:tc>
          <w:tcPr>
            <w:tcW w:w="1134" w:type="dxa"/>
            <w:tcBorders>
              <w:top w:val="nil"/>
              <w:left w:val="nil"/>
              <w:bottom w:val="single" w:sz="4" w:space="0" w:color="000000"/>
              <w:right w:val="single" w:sz="4" w:space="0" w:color="000000"/>
            </w:tcBorders>
            <w:vAlign w:val="bottom"/>
          </w:tcPr>
          <w:p w14:paraId="0CB623A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39,67,266.00 </w:t>
            </w:r>
          </w:p>
        </w:tc>
        <w:tc>
          <w:tcPr>
            <w:tcW w:w="1134" w:type="dxa"/>
            <w:tcBorders>
              <w:top w:val="nil"/>
              <w:left w:val="nil"/>
              <w:bottom w:val="single" w:sz="4" w:space="0" w:color="000000"/>
              <w:right w:val="single" w:sz="8" w:space="0" w:color="000000"/>
            </w:tcBorders>
            <w:vAlign w:val="bottom"/>
          </w:tcPr>
          <w:p w14:paraId="428262A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60,13,963.00 </w:t>
            </w:r>
          </w:p>
        </w:tc>
      </w:tr>
      <w:tr w:rsidR="00EB4B26" w14:paraId="079F6424"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5C4CDF06"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"Dividend Payout"</w:t>
            </w:r>
          </w:p>
        </w:tc>
        <w:tc>
          <w:tcPr>
            <w:tcW w:w="1397" w:type="dxa"/>
            <w:vMerge/>
            <w:tcBorders>
              <w:top w:val="nil"/>
              <w:left w:val="single" w:sz="4" w:space="0" w:color="000000"/>
              <w:bottom w:val="single" w:sz="4" w:space="0" w:color="000000"/>
              <w:right w:val="single" w:sz="4" w:space="0" w:color="000000"/>
            </w:tcBorders>
            <w:vAlign w:val="center"/>
          </w:tcPr>
          <w:p w14:paraId="0C14E231"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4" w:type="dxa"/>
            <w:tcBorders>
              <w:top w:val="nil"/>
              <w:left w:val="nil"/>
              <w:bottom w:val="single" w:sz="4" w:space="0" w:color="000000"/>
              <w:right w:val="single" w:sz="4" w:space="0" w:color="000000"/>
            </w:tcBorders>
            <w:vAlign w:val="bottom"/>
          </w:tcPr>
          <w:p w14:paraId="183632B1"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0.22</w:t>
            </w:r>
          </w:p>
        </w:tc>
        <w:tc>
          <w:tcPr>
            <w:tcW w:w="1134" w:type="dxa"/>
            <w:tcBorders>
              <w:top w:val="nil"/>
              <w:left w:val="nil"/>
              <w:bottom w:val="single" w:sz="4" w:space="0" w:color="000000"/>
              <w:right w:val="single" w:sz="4" w:space="0" w:color="000000"/>
            </w:tcBorders>
            <w:vAlign w:val="bottom"/>
          </w:tcPr>
          <w:p w14:paraId="72436F5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0.12</w:t>
            </w:r>
          </w:p>
        </w:tc>
        <w:tc>
          <w:tcPr>
            <w:tcW w:w="1134" w:type="dxa"/>
            <w:tcBorders>
              <w:top w:val="nil"/>
              <w:left w:val="nil"/>
              <w:bottom w:val="single" w:sz="4" w:space="0" w:color="000000"/>
              <w:right w:val="single" w:sz="4" w:space="0" w:color="000000"/>
            </w:tcBorders>
            <w:vAlign w:val="bottom"/>
          </w:tcPr>
          <w:p w14:paraId="2012470D"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0.09</w:t>
            </w:r>
          </w:p>
        </w:tc>
        <w:tc>
          <w:tcPr>
            <w:tcW w:w="1134" w:type="dxa"/>
            <w:tcBorders>
              <w:top w:val="nil"/>
              <w:left w:val="nil"/>
              <w:bottom w:val="single" w:sz="4" w:space="0" w:color="000000"/>
              <w:right w:val="single" w:sz="4" w:space="0" w:color="000000"/>
            </w:tcBorders>
            <w:vAlign w:val="bottom"/>
          </w:tcPr>
          <w:p w14:paraId="783C824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0.66</w:t>
            </w:r>
          </w:p>
        </w:tc>
        <w:tc>
          <w:tcPr>
            <w:tcW w:w="1134" w:type="dxa"/>
            <w:tcBorders>
              <w:top w:val="nil"/>
              <w:left w:val="nil"/>
              <w:bottom w:val="single" w:sz="4" w:space="0" w:color="000000"/>
              <w:right w:val="single" w:sz="8" w:space="0" w:color="000000"/>
            </w:tcBorders>
            <w:vAlign w:val="bottom"/>
          </w:tcPr>
          <w:p w14:paraId="445EE5B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0.03</w:t>
            </w:r>
          </w:p>
        </w:tc>
      </w:tr>
      <w:tr w:rsidR="00EB4B26" w14:paraId="55EA82F4"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08D1779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397" w:type="dxa"/>
            <w:tcBorders>
              <w:top w:val="nil"/>
              <w:left w:val="nil"/>
              <w:bottom w:val="single" w:sz="4" w:space="0" w:color="000000"/>
              <w:right w:val="single" w:sz="4" w:space="0" w:color="000000"/>
            </w:tcBorders>
            <w:vAlign w:val="bottom"/>
          </w:tcPr>
          <w:p w14:paraId="66E4E23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75C86C4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24EF582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0D16BBF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4" w:space="0" w:color="000000"/>
            </w:tcBorders>
            <w:vAlign w:val="bottom"/>
          </w:tcPr>
          <w:p w14:paraId="3C35079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34" w:type="dxa"/>
            <w:tcBorders>
              <w:top w:val="nil"/>
              <w:left w:val="nil"/>
              <w:bottom w:val="single" w:sz="4" w:space="0" w:color="000000"/>
              <w:right w:val="single" w:sz="8" w:space="0" w:color="000000"/>
            </w:tcBorders>
            <w:vAlign w:val="bottom"/>
          </w:tcPr>
          <w:p w14:paraId="5970C2B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37802C8B" w14:textId="77777777">
        <w:trPr>
          <w:trHeight w:val="312"/>
          <w:jc w:val="center"/>
        </w:trPr>
        <w:tc>
          <w:tcPr>
            <w:tcW w:w="5612" w:type="dxa"/>
            <w:gridSpan w:val="4"/>
            <w:tcBorders>
              <w:top w:val="single" w:sz="4" w:space="0" w:color="000000"/>
              <w:left w:val="single" w:sz="4" w:space="0" w:color="000000"/>
              <w:bottom w:val="single" w:sz="4" w:space="0" w:color="000000"/>
              <w:right w:val="single" w:sz="4" w:space="0" w:color="000000"/>
            </w:tcBorders>
            <w:vAlign w:val="bottom"/>
          </w:tcPr>
          <w:p w14:paraId="20AEA56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"PE Ratio"</w:t>
            </w:r>
          </w:p>
        </w:tc>
        <w:tc>
          <w:tcPr>
            <w:tcW w:w="1134" w:type="dxa"/>
            <w:tcBorders>
              <w:top w:val="nil"/>
              <w:left w:val="nil"/>
              <w:bottom w:val="single" w:sz="4" w:space="0" w:color="000000"/>
              <w:right w:val="single" w:sz="4" w:space="0" w:color="000000"/>
            </w:tcBorders>
            <w:vAlign w:val="bottom"/>
          </w:tcPr>
          <w:p w14:paraId="670B52C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w:t>
            </w:r>
          </w:p>
        </w:tc>
        <w:tc>
          <w:tcPr>
            <w:tcW w:w="1134" w:type="dxa"/>
            <w:tcBorders>
              <w:top w:val="nil"/>
              <w:left w:val="nil"/>
              <w:bottom w:val="single" w:sz="4" w:space="0" w:color="000000"/>
              <w:right w:val="single" w:sz="4" w:space="0" w:color="000000"/>
            </w:tcBorders>
            <w:vAlign w:val="bottom"/>
          </w:tcPr>
          <w:p w14:paraId="3874772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w:t>
            </w:r>
          </w:p>
        </w:tc>
        <w:tc>
          <w:tcPr>
            <w:tcW w:w="1134" w:type="dxa"/>
            <w:tcBorders>
              <w:top w:val="nil"/>
              <w:left w:val="nil"/>
              <w:bottom w:val="single" w:sz="4" w:space="0" w:color="000000"/>
              <w:right w:val="single" w:sz="8" w:space="0" w:color="000000"/>
            </w:tcBorders>
            <w:vAlign w:val="bottom"/>
          </w:tcPr>
          <w:p w14:paraId="670B4C6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w:t>
            </w:r>
          </w:p>
        </w:tc>
      </w:tr>
      <w:tr w:rsidR="00EB4B26" w14:paraId="494B8FD9"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4B39B1C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397" w:type="dxa"/>
            <w:tcBorders>
              <w:top w:val="nil"/>
              <w:left w:val="nil"/>
              <w:bottom w:val="single" w:sz="4" w:space="0" w:color="000000"/>
              <w:right w:val="single" w:sz="4" w:space="0" w:color="000000"/>
            </w:tcBorders>
            <w:vAlign w:val="bottom"/>
          </w:tcPr>
          <w:p w14:paraId="7F650A1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34" w:type="dxa"/>
            <w:tcBorders>
              <w:top w:val="nil"/>
              <w:left w:val="nil"/>
              <w:bottom w:val="single" w:sz="4" w:space="0" w:color="000000"/>
              <w:right w:val="single" w:sz="4" w:space="0" w:color="000000"/>
            </w:tcBorders>
            <w:vAlign w:val="bottom"/>
          </w:tcPr>
          <w:p w14:paraId="6241BB9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34" w:type="dxa"/>
            <w:tcBorders>
              <w:top w:val="nil"/>
              <w:left w:val="nil"/>
              <w:bottom w:val="single" w:sz="4" w:space="0" w:color="000000"/>
              <w:right w:val="single" w:sz="4" w:space="0" w:color="000000"/>
            </w:tcBorders>
            <w:vAlign w:val="bottom"/>
          </w:tcPr>
          <w:p w14:paraId="0EC5C35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34" w:type="dxa"/>
            <w:tcBorders>
              <w:top w:val="nil"/>
              <w:left w:val="nil"/>
              <w:bottom w:val="single" w:sz="4" w:space="0" w:color="000000"/>
              <w:right w:val="single" w:sz="4" w:space="0" w:color="000000"/>
            </w:tcBorders>
            <w:vAlign w:val="bottom"/>
          </w:tcPr>
          <w:p w14:paraId="53E4427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34" w:type="dxa"/>
            <w:tcBorders>
              <w:top w:val="nil"/>
              <w:left w:val="nil"/>
              <w:bottom w:val="single" w:sz="4" w:space="0" w:color="000000"/>
              <w:right w:val="single" w:sz="4" w:space="0" w:color="000000"/>
            </w:tcBorders>
            <w:vAlign w:val="bottom"/>
          </w:tcPr>
          <w:p w14:paraId="76D5AE5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34" w:type="dxa"/>
            <w:tcBorders>
              <w:top w:val="nil"/>
              <w:left w:val="nil"/>
              <w:bottom w:val="single" w:sz="4" w:space="0" w:color="000000"/>
              <w:right w:val="single" w:sz="8" w:space="0" w:color="000000"/>
            </w:tcBorders>
            <w:vAlign w:val="bottom"/>
          </w:tcPr>
          <w:p w14:paraId="7E8ED9E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1C959568"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72DA529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lastRenderedPageBreak/>
              <w:t>"Market Price of Share"</w:t>
            </w:r>
          </w:p>
        </w:tc>
        <w:tc>
          <w:tcPr>
            <w:tcW w:w="1397" w:type="dxa"/>
            <w:vMerge w:val="restart"/>
            <w:tcBorders>
              <w:top w:val="nil"/>
              <w:left w:val="single" w:sz="4" w:space="0" w:color="000000"/>
              <w:bottom w:val="single" w:sz="4" w:space="0" w:color="000000"/>
              <w:right w:val="single" w:sz="4" w:space="0" w:color="000000"/>
            </w:tcBorders>
            <w:vAlign w:val="center"/>
          </w:tcPr>
          <w:p w14:paraId="3C9E839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"(Market price of share/EPS)"</w:t>
            </w:r>
          </w:p>
        </w:tc>
        <w:tc>
          <w:tcPr>
            <w:tcW w:w="1134" w:type="dxa"/>
            <w:tcBorders>
              <w:top w:val="nil"/>
              <w:left w:val="nil"/>
              <w:bottom w:val="single" w:sz="4" w:space="0" w:color="000000"/>
              <w:right w:val="single" w:sz="4" w:space="0" w:color="000000"/>
            </w:tcBorders>
            <w:vAlign w:val="bottom"/>
          </w:tcPr>
          <w:p w14:paraId="282B9FC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67.20 </w:t>
            </w:r>
          </w:p>
        </w:tc>
        <w:tc>
          <w:tcPr>
            <w:tcW w:w="1134" w:type="dxa"/>
            <w:tcBorders>
              <w:top w:val="nil"/>
              <w:left w:val="nil"/>
              <w:bottom w:val="single" w:sz="4" w:space="0" w:color="000000"/>
              <w:right w:val="single" w:sz="4" w:space="0" w:color="000000"/>
            </w:tcBorders>
            <w:vAlign w:val="bottom"/>
          </w:tcPr>
          <w:p w14:paraId="2C9CB62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76.60 </w:t>
            </w:r>
          </w:p>
        </w:tc>
        <w:tc>
          <w:tcPr>
            <w:tcW w:w="1134" w:type="dxa"/>
            <w:tcBorders>
              <w:top w:val="nil"/>
              <w:left w:val="nil"/>
              <w:bottom w:val="single" w:sz="4" w:space="0" w:color="000000"/>
              <w:right w:val="single" w:sz="4" w:space="0" w:color="000000"/>
            </w:tcBorders>
            <w:vAlign w:val="bottom"/>
          </w:tcPr>
          <w:p w14:paraId="13041C5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74.80 </w:t>
            </w:r>
          </w:p>
        </w:tc>
        <w:tc>
          <w:tcPr>
            <w:tcW w:w="1134" w:type="dxa"/>
            <w:tcBorders>
              <w:top w:val="nil"/>
              <w:left w:val="nil"/>
              <w:bottom w:val="single" w:sz="4" w:space="0" w:color="000000"/>
              <w:right w:val="single" w:sz="4" w:space="0" w:color="000000"/>
            </w:tcBorders>
            <w:vAlign w:val="bottom"/>
          </w:tcPr>
          <w:p w14:paraId="1FBFA48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54.97 </w:t>
            </w:r>
          </w:p>
        </w:tc>
        <w:tc>
          <w:tcPr>
            <w:tcW w:w="1134" w:type="dxa"/>
            <w:tcBorders>
              <w:top w:val="nil"/>
              <w:left w:val="nil"/>
              <w:bottom w:val="single" w:sz="4" w:space="0" w:color="000000"/>
              <w:right w:val="single" w:sz="8" w:space="0" w:color="000000"/>
            </w:tcBorders>
            <w:vAlign w:val="bottom"/>
          </w:tcPr>
          <w:p w14:paraId="161772A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16.27 </w:t>
            </w:r>
          </w:p>
        </w:tc>
      </w:tr>
      <w:tr w:rsidR="00EB4B26" w14:paraId="5789B2D4" w14:textId="77777777">
        <w:trPr>
          <w:trHeight w:val="300"/>
          <w:jc w:val="center"/>
        </w:trPr>
        <w:tc>
          <w:tcPr>
            <w:tcW w:w="1947" w:type="dxa"/>
            <w:tcBorders>
              <w:top w:val="nil"/>
              <w:left w:val="single" w:sz="4" w:space="0" w:color="000000"/>
              <w:bottom w:val="single" w:sz="4" w:space="0" w:color="000000"/>
              <w:right w:val="single" w:sz="4" w:space="0" w:color="000000"/>
            </w:tcBorders>
            <w:vAlign w:val="bottom"/>
          </w:tcPr>
          <w:p w14:paraId="3191877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EPS"</w:t>
            </w:r>
          </w:p>
        </w:tc>
        <w:tc>
          <w:tcPr>
            <w:tcW w:w="1397" w:type="dxa"/>
            <w:vMerge/>
            <w:tcBorders>
              <w:top w:val="nil"/>
              <w:left w:val="single" w:sz="4" w:space="0" w:color="000000"/>
              <w:bottom w:val="single" w:sz="4" w:space="0" w:color="000000"/>
              <w:right w:val="single" w:sz="4" w:space="0" w:color="000000"/>
            </w:tcBorders>
            <w:vAlign w:val="center"/>
          </w:tcPr>
          <w:p w14:paraId="37074536"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34" w:type="dxa"/>
            <w:tcBorders>
              <w:top w:val="nil"/>
              <w:left w:val="nil"/>
              <w:bottom w:val="single" w:sz="4" w:space="0" w:color="000000"/>
              <w:right w:val="single" w:sz="4" w:space="0" w:color="000000"/>
            </w:tcBorders>
            <w:vAlign w:val="bottom"/>
          </w:tcPr>
          <w:p w14:paraId="2CF7060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13.84 </w:t>
            </w:r>
          </w:p>
        </w:tc>
        <w:tc>
          <w:tcPr>
            <w:tcW w:w="1134" w:type="dxa"/>
            <w:tcBorders>
              <w:top w:val="nil"/>
              <w:left w:val="nil"/>
              <w:bottom w:val="single" w:sz="4" w:space="0" w:color="000000"/>
              <w:right w:val="single" w:sz="4" w:space="0" w:color="000000"/>
            </w:tcBorders>
            <w:vAlign w:val="bottom"/>
          </w:tcPr>
          <w:p w14:paraId="1BB00DF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10.32 </w:t>
            </w:r>
          </w:p>
        </w:tc>
        <w:tc>
          <w:tcPr>
            <w:tcW w:w="1134" w:type="dxa"/>
            <w:tcBorders>
              <w:top w:val="nil"/>
              <w:left w:val="nil"/>
              <w:bottom w:val="single" w:sz="4" w:space="0" w:color="000000"/>
              <w:right w:val="single" w:sz="4" w:space="0" w:color="000000"/>
            </w:tcBorders>
            <w:vAlign w:val="bottom"/>
          </w:tcPr>
          <w:p w14:paraId="4C14B67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5.71 </w:t>
            </w:r>
          </w:p>
        </w:tc>
        <w:tc>
          <w:tcPr>
            <w:tcW w:w="1134" w:type="dxa"/>
            <w:tcBorders>
              <w:top w:val="nil"/>
              <w:left w:val="nil"/>
              <w:bottom w:val="single" w:sz="4" w:space="0" w:color="000000"/>
              <w:right w:val="single" w:sz="4" w:space="0" w:color="000000"/>
            </w:tcBorders>
            <w:vAlign w:val="bottom"/>
          </w:tcPr>
          <w:p w14:paraId="51A9B99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1.06 </w:t>
            </w:r>
          </w:p>
        </w:tc>
        <w:tc>
          <w:tcPr>
            <w:tcW w:w="1134" w:type="dxa"/>
            <w:tcBorders>
              <w:top w:val="nil"/>
              <w:left w:val="nil"/>
              <w:bottom w:val="single" w:sz="4" w:space="0" w:color="000000"/>
              <w:right w:val="single" w:sz="4" w:space="0" w:color="000000"/>
            </w:tcBorders>
            <w:vAlign w:val="bottom"/>
          </w:tcPr>
          <w:p w14:paraId="7742C4E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1.47 </w:t>
            </w:r>
          </w:p>
        </w:tc>
      </w:tr>
      <w:tr w:rsidR="00EB4B26" w14:paraId="388F7775" w14:textId="77777777">
        <w:trPr>
          <w:trHeight w:val="312"/>
          <w:jc w:val="center"/>
        </w:trPr>
        <w:tc>
          <w:tcPr>
            <w:tcW w:w="1947" w:type="dxa"/>
            <w:tcBorders>
              <w:top w:val="nil"/>
              <w:left w:val="single" w:sz="4" w:space="0" w:color="000000"/>
              <w:bottom w:val="single" w:sz="4" w:space="0" w:color="000000"/>
              <w:right w:val="single" w:sz="4" w:space="0" w:color="000000"/>
            </w:tcBorders>
            <w:vAlign w:val="bottom"/>
          </w:tcPr>
          <w:p w14:paraId="589E5D3C"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"PE Ratio"</w:t>
            </w:r>
          </w:p>
        </w:tc>
        <w:tc>
          <w:tcPr>
            <w:tcW w:w="1397" w:type="dxa"/>
            <w:vMerge/>
            <w:tcBorders>
              <w:top w:val="nil"/>
              <w:left w:val="single" w:sz="4" w:space="0" w:color="000000"/>
              <w:bottom w:val="single" w:sz="4" w:space="0" w:color="000000"/>
              <w:right w:val="single" w:sz="4" w:space="0" w:color="000000"/>
            </w:tcBorders>
            <w:vAlign w:val="center"/>
          </w:tcPr>
          <w:p w14:paraId="4E6BA80E"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34" w:type="dxa"/>
            <w:tcBorders>
              <w:top w:val="nil"/>
              <w:left w:val="nil"/>
              <w:bottom w:val="single" w:sz="4" w:space="0" w:color="000000"/>
              <w:right w:val="single" w:sz="4" w:space="0" w:color="000000"/>
            </w:tcBorders>
            <w:vAlign w:val="bottom"/>
          </w:tcPr>
          <w:p w14:paraId="131AF21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4.86</w:t>
            </w:r>
          </w:p>
        </w:tc>
        <w:tc>
          <w:tcPr>
            <w:tcW w:w="1134" w:type="dxa"/>
            <w:tcBorders>
              <w:top w:val="nil"/>
              <w:left w:val="nil"/>
              <w:bottom w:val="single" w:sz="4" w:space="0" w:color="000000"/>
              <w:right w:val="single" w:sz="4" w:space="0" w:color="000000"/>
            </w:tcBorders>
            <w:vAlign w:val="bottom"/>
          </w:tcPr>
          <w:p w14:paraId="0BC5F709"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7.42</w:t>
            </w:r>
          </w:p>
        </w:tc>
        <w:tc>
          <w:tcPr>
            <w:tcW w:w="1134" w:type="dxa"/>
            <w:tcBorders>
              <w:top w:val="nil"/>
              <w:left w:val="nil"/>
              <w:bottom w:val="single" w:sz="4" w:space="0" w:color="000000"/>
              <w:right w:val="single" w:sz="4" w:space="0" w:color="000000"/>
            </w:tcBorders>
            <w:vAlign w:val="bottom"/>
          </w:tcPr>
          <w:p w14:paraId="44A2BAD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13.10</w:t>
            </w:r>
          </w:p>
        </w:tc>
        <w:tc>
          <w:tcPr>
            <w:tcW w:w="1134" w:type="dxa"/>
            <w:tcBorders>
              <w:top w:val="nil"/>
              <w:left w:val="nil"/>
              <w:bottom w:val="single" w:sz="4" w:space="0" w:color="000000"/>
              <w:right w:val="single" w:sz="4" w:space="0" w:color="000000"/>
            </w:tcBorders>
            <w:vAlign w:val="bottom"/>
          </w:tcPr>
          <w:p w14:paraId="31E7524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51.86</w:t>
            </w:r>
          </w:p>
        </w:tc>
        <w:tc>
          <w:tcPr>
            <w:tcW w:w="1134" w:type="dxa"/>
            <w:tcBorders>
              <w:top w:val="nil"/>
              <w:left w:val="nil"/>
              <w:bottom w:val="single" w:sz="4" w:space="0" w:color="000000"/>
              <w:right w:val="single" w:sz="8" w:space="0" w:color="000000"/>
            </w:tcBorders>
            <w:vAlign w:val="bottom"/>
          </w:tcPr>
          <w:p w14:paraId="124D3FA6"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11.07</w:t>
            </w:r>
          </w:p>
        </w:tc>
      </w:tr>
    </w:tbl>
    <w:p w14:paraId="72E68729" w14:textId="77777777" w:rsidR="00EB4B26" w:rsidRDefault="00EB4B26">
      <w:pPr>
        <w:spacing w:before="0"/>
        <w:rPr>
          <w:rFonts w:ascii="Arial" w:eastAsia="Arial" w:hAnsi="Arial" w:cs="Arial"/>
        </w:rPr>
      </w:pPr>
    </w:p>
    <w:tbl>
      <w:tblPr>
        <w:tblStyle w:val="a1"/>
        <w:tblW w:w="9014" w:type="dxa"/>
        <w:jc w:val="center"/>
        <w:tblInd w:w="0" w:type="dxa"/>
        <w:tblLayout w:type="fixed"/>
        <w:tblLook w:val="0400" w:firstRow="0" w:lastRow="0" w:firstColumn="0" w:lastColumn="0" w:noHBand="0" w:noVBand="1"/>
      </w:tblPr>
      <w:tblGrid>
        <w:gridCol w:w="2008"/>
        <w:gridCol w:w="1021"/>
        <w:gridCol w:w="1197"/>
        <w:gridCol w:w="1197"/>
        <w:gridCol w:w="1197"/>
        <w:gridCol w:w="1197"/>
        <w:gridCol w:w="1197"/>
      </w:tblGrid>
      <w:tr w:rsidR="00EB4B26" w14:paraId="6A4D9F7B"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10DC30E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 Ratios"</w:t>
            </w:r>
          </w:p>
        </w:tc>
      </w:tr>
      <w:tr w:rsidR="00EB4B26" w14:paraId="017CFA1B"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3EEC120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"Operating Cash Flow Ratio"</w:t>
            </w:r>
          </w:p>
        </w:tc>
      </w:tr>
      <w:tr w:rsidR="00EB4B26" w14:paraId="0B731ED1" w14:textId="77777777">
        <w:trPr>
          <w:trHeight w:val="312"/>
          <w:jc w:val="center"/>
        </w:trPr>
        <w:tc>
          <w:tcPr>
            <w:tcW w:w="2008" w:type="dxa"/>
            <w:tcBorders>
              <w:top w:val="nil"/>
              <w:left w:val="single" w:sz="8" w:space="0" w:color="000000"/>
              <w:bottom w:val="single" w:sz="4" w:space="0" w:color="000000"/>
              <w:right w:val="single" w:sz="4" w:space="0" w:color="000000"/>
            </w:tcBorders>
            <w:vAlign w:val="bottom"/>
          </w:tcPr>
          <w:p w14:paraId="3293839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021" w:type="dxa"/>
            <w:tcBorders>
              <w:top w:val="nil"/>
              <w:left w:val="nil"/>
              <w:bottom w:val="single" w:sz="4" w:space="0" w:color="000000"/>
              <w:right w:val="single" w:sz="4" w:space="0" w:color="000000"/>
            </w:tcBorders>
            <w:vAlign w:val="bottom"/>
          </w:tcPr>
          <w:p w14:paraId="602B66D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97" w:type="dxa"/>
            <w:tcBorders>
              <w:top w:val="nil"/>
              <w:left w:val="nil"/>
              <w:bottom w:val="single" w:sz="4" w:space="0" w:color="000000"/>
              <w:right w:val="single" w:sz="4" w:space="0" w:color="000000"/>
            </w:tcBorders>
            <w:vAlign w:val="bottom"/>
          </w:tcPr>
          <w:p w14:paraId="7C15DDB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97" w:type="dxa"/>
            <w:tcBorders>
              <w:top w:val="nil"/>
              <w:left w:val="nil"/>
              <w:bottom w:val="single" w:sz="4" w:space="0" w:color="000000"/>
              <w:right w:val="single" w:sz="4" w:space="0" w:color="000000"/>
            </w:tcBorders>
            <w:vAlign w:val="bottom"/>
          </w:tcPr>
          <w:p w14:paraId="6DE7010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97" w:type="dxa"/>
            <w:tcBorders>
              <w:top w:val="nil"/>
              <w:left w:val="nil"/>
              <w:bottom w:val="single" w:sz="4" w:space="0" w:color="000000"/>
              <w:right w:val="single" w:sz="4" w:space="0" w:color="000000"/>
            </w:tcBorders>
            <w:vAlign w:val="bottom"/>
          </w:tcPr>
          <w:p w14:paraId="521F640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97" w:type="dxa"/>
            <w:tcBorders>
              <w:top w:val="nil"/>
              <w:left w:val="nil"/>
              <w:bottom w:val="single" w:sz="4" w:space="0" w:color="000000"/>
              <w:right w:val="single" w:sz="4" w:space="0" w:color="000000"/>
            </w:tcBorders>
            <w:vAlign w:val="bottom"/>
          </w:tcPr>
          <w:p w14:paraId="194E1FF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97" w:type="dxa"/>
            <w:tcBorders>
              <w:top w:val="nil"/>
              <w:left w:val="nil"/>
              <w:bottom w:val="single" w:sz="4" w:space="0" w:color="000000"/>
              <w:right w:val="single" w:sz="4" w:space="0" w:color="000000"/>
            </w:tcBorders>
            <w:vAlign w:val="bottom"/>
          </w:tcPr>
          <w:p w14:paraId="652D070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727C8DD9"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5A71DCC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"Operating Cash Flow"</w:t>
            </w:r>
          </w:p>
        </w:tc>
        <w:tc>
          <w:tcPr>
            <w:tcW w:w="1021" w:type="dxa"/>
            <w:vMerge w:val="restart"/>
            <w:tcBorders>
              <w:top w:val="nil"/>
              <w:left w:val="single" w:sz="4" w:space="0" w:color="000000"/>
              <w:bottom w:val="single" w:sz="4" w:space="0" w:color="000000"/>
              <w:right w:val="single" w:sz="4" w:space="0" w:color="000000"/>
            </w:tcBorders>
            <w:vAlign w:val="center"/>
          </w:tcPr>
          <w:p w14:paraId="5D30194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"(Operating Cash Flow/Current Liabilities)"</w:t>
            </w:r>
          </w:p>
        </w:tc>
        <w:tc>
          <w:tcPr>
            <w:tcW w:w="1197" w:type="dxa"/>
            <w:tcBorders>
              <w:top w:val="nil"/>
              <w:left w:val="nil"/>
              <w:bottom w:val="single" w:sz="4" w:space="0" w:color="000000"/>
              <w:right w:val="single" w:sz="4" w:space="0" w:color="000000"/>
            </w:tcBorders>
            <w:vAlign w:val="bottom"/>
          </w:tcPr>
          <w:p w14:paraId="1947C31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13,34,53,873.00 </w:t>
            </w:r>
          </w:p>
        </w:tc>
        <w:tc>
          <w:tcPr>
            <w:tcW w:w="1197" w:type="dxa"/>
            <w:tcBorders>
              <w:top w:val="nil"/>
              <w:left w:val="nil"/>
              <w:bottom w:val="single" w:sz="4" w:space="0" w:color="000000"/>
              <w:right w:val="single" w:sz="4" w:space="0" w:color="000000"/>
            </w:tcBorders>
            <w:vAlign w:val="bottom"/>
          </w:tcPr>
          <w:p w14:paraId="7113351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16,97,25,025.00 </w:t>
            </w:r>
          </w:p>
        </w:tc>
        <w:tc>
          <w:tcPr>
            <w:tcW w:w="1197" w:type="dxa"/>
            <w:tcBorders>
              <w:top w:val="nil"/>
              <w:left w:val="nil"/>
              <w:bottom w:val="single" w:sz="4" w:space="0" w:color="000000"/>
              <w:right w:val="single" w:sz="4" w:space="0" w:color="000000"/>
            </w:tcBorders>
            <w:vAlign w:val="bottom"/>
          </w:tcPr>
          <w:p w14:paraId="08E7E1D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14,08,37,657.00 </w:t>
            </w:r>
          </w:p>
        </w:tc>
        <w:tc>
          <w:tcPr>
            <w:tcW w:w="1197" w:type="dxa"/>
            <w:tcBorders>
              <w:top w:val="nil"/>
              <w:left w:val="nil"/>
              <w:bottom w:val="single" w:sz="4" w:space="0" w:color="000000"/>
              <w:right w:val="single" w:sz="4" w:space="0" w:color="000000"/>
            </w:tcBorders>
            <w:vAlign w:val="bottom"/>
          </w:tcPr>
          <w:p w14:paraId="42CF909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6,54,66,682.00 </w:t>
            </w:r>
          </w:p>
        </w:tc>
        <w:tc>
          <w:tcPr>
            <w:tcW w:w="1197" w:type="dxa"/>
            <w:tcBorders>
              <w:top w:val="nil"/>
              <w:left w:val="nil"/>
              <w:bottom w:val="single" w:sz="4" w:space="0" w:color="000000"/>
              <w:right w:val="single" w:sz="4" w:space="0" w:color="000000"/>
            </w:tcBorders>
            <w:vAlign w:val="bottom"/>
          </w:tcPr>
          <w:p w14:paraId="2FEB573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4,53,92,668.00 </w:t>
            </w:r>
          </w:p>
        </w:tc>
      </w:tr>
      <w:tr w:rsidR="00EB4B26" w14:paraId="7C1D9CFB"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2F5AADA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Current Liabilities"</w:t>
            </w:r>
          </w:p>
        </w:tc>
        <w:tc>
          <w:tcPr>
            <w:tcW w:w="1021" w:type="dxa"/>
            <w:vMerge/>
            <w:tcBorders>
              <w:top w:val="nil"/>
              <w:left w:val="single" w:sz="4" w:space="0" w:color="000000"/>
              <w:bottom w:val="single" w:sz="4" w:space="0" w:color="000000"/>
              <w:right w:val="single" w:sz="4" w:space="0" w:color="000000"/>
            </w:tcBorders>
            <w:vAlign w:val="center"/>
          </w:tcPr>
          <w:p w14:paraId="44C3AD44"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97" w:type="dxa"/>
            <w:tcBorders>
              <w:top w:val="nil"/>
              <w:left w:val="nil"/>
              <w:bottom w:val="single" w:sz="4" w:space="0" w:color="000000"/>
              <w:right w:val="single" w:sz="4" w:space="0" w:color="000000"/>
            </w:tcBorders>
            <w:vAlign w:val="bottom"/>
          </w:tcPr>
          <w:p w14:paraId="21DAD0E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49,59,85,176.00 </w:t>
            </w:r>
          </w:p>
        </w:tc>
        <w:tc>
          <w:tcPr>
            <w:tcW w:w="1197" w:type="dxa"/>
            <w:tcBorders>
              <w:top w:val="nil"/>
              <w:left w:val="nil"/>
              <w:bottom w:val="single" w:sz="4" w:space="0" w:color="000000"/>
              <w:right w:val="single" w:sz="4" w:space="0" w:color="000000"/>
            </w:tcBorders>
            <w:vAlign w:val="bottom"/>
          </w:tcPr>
          <w:p w14:paraId="628C5D5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45,36,66,671.00 </w:t>
            </w:r>
          </w:p>
        </w:tc>
        <w:tc>
          <w:tcPr>
            <w:tcW w:w="1197" w:type="dxa"/>
            <w:tcBorders>
              <w:top w:val="nil"/>
              <w:left w:val="nil"/>
              <w:bottom w:val="single" w:sz="4" w:space="0" w:color="000000"/>
              <w:right w:val="single" w:sz="4" w:space="0" w:color="000000"/>
            </w:tcBorders>
            <w:vAlign w:val="bottom"/>
          </w:tcPr>
          <w:p w14:paraId="3DE6D53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33,33,44,561.00 </w:t>
            </w:r>
          </w:p>
        </w:tc>
        <w:tc>
          <w:tcPr>
            <w:tcW w:w="1197" w:type="dxa"/>
            <w:tcBorders>
              <w:top w:val="nil"/>
              <w:left w:val="nil"/>
              <w:bottom w:val="single" w:sz="4" w:space="0" w:color="000000"/>
              <w:right w:val="single" w:sz="4" w:space="0" w:color="000000"/>
            </w:tcBorders>
            <w:vAlign w:val="bottom"/>
          </w:tcPr>
          <w:p w14:paraId="5B8F42D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17,13,03,944.00 </w:t>
            </w:r>
          </w:p>
        </w:tc>
        <w:tc>
          <w:tcPr>
            <w:tcW w:w="1197" w:type="dxa"/>
            <w:tcBorders>
              <w:top w:val="nil"/>
              <w:left w:val="nil"/>
              <w:bottom w:val="single" w:sz="4" w:space="0" w:color="000000"/>
              <w:right w:val="single" w:sz="4" w:space="0" w:color="000000"/>
            </w:tcBorders>
            <w:vAlign w:val="bottom"/>
          </w:tcPr>
          <w:p w14:paraId="2203854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10,64,30,696.00 </w:t>
            </w:r>
          </w:p>
        </w:tc>
      </w:tr>
      <w:tr w:rsidR="00EB4B26" w14:paraId="56338787" w14:textId="77777777">
        <w:trPr>
          <w:trHeight w:val="312"/>
          <w:jc w:val="center"/>
        </w:trPr>
        <w:tc>
          <w:tcPr>
            <w:tcW w:w="2008" w:type="dxa"/>
            <w:tcBorders>
              <w:top w:val="nil"/>
              <w:left w:val="single" w:sz="8" w:space="0" w:color="000000"/>
              <w:bottom w:val="single" w:sz="4" w:space="0" w:color="000000"/>
              <w:right w:val="single" w:sz="4" w:space="0" w:color="000000"/>
            </w:tcBorders>
            <w:vAlign w:val="bottom"/>
          </w:tcPr>
          <w:p w14:paraId="171C4A5D"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"Operating Cash Flow Ratio"</w:t>
            </w:r>
          </w:p>
        </w:tc>
        <w:tc>
          <w:tcPr>
            <w:tcW w:w="1021" w:type="dxa"/>
            <w:vMerge/>
            <w:tcBorders>
              <w:top w:val="nil"/>
              <w:left w:val="single" w:sz="4" w:space="0" w:color="000000"/>
              <w:bottom w:val="single" w:sz="4" w:space="0" w:color="000000"/>
              <w:right w:val="single" w:sz="4" w:space="0" w:color="000000"/>
            </w:tcBorders>
            <w:vAlign w:val="center"/>
          </w:tcPr>
          <w:p w14:paraId="335D8AF5"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97" w:type="dxa"/>
            <w:tcBorders>
              <w:top w:val="nil"/>
              <w:left w:val="nil"/>
              <w:bottom w:val="single" w:sz="4" w:space="0" w:color="000000"/>
              <w:right w:val="single" w:sz="4" w:space="0" w:color="000000"/>
            </w:tcBorders>
            <w:vAlign w:val="bottom"/>
          </w:tcPr>
          <w:p w14:paraId="26A8A32F"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0.27</w:t>
            </w:r>
          </w:p>
        </w:tc>
        <w:tc>
          <w:tcPr>
            <w:tcW w:w="1197" w:type="dxa"/>
            <w:tcBorders>
              <w:top w:val="nil"/>
              <w:left w:val="nil"/>
              <w:bottom w:val="single" w:sz="4" w:space="0" w:color="000000"/>
              <w:right w:val="single" w:sz="4" w:space="0" w:color="000000"/>
            </w:tcBorders>
            <w:vAlign w:val="bottom"/>
          </w:tcPr>
          <w:p w14:paraId="2E89152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0.37</w:t>
            </w:r>
          </w:p>
        </w:tc>
        <w:tc>
          <w:tcPr>
            <w:tcW w:w="1197" w:type="dxa"/>
            <w:tcBorders>
              <w:top w:val="nil"/>
              <w:left w:val="nil"/>
              <w:bottom w:val="single" w:sz="4" w:space="0" w:color="000000"/>
              <w:right w:val="single" w:sz="4" w:space="0" w:color="000000"/>
            </w:tcBorders>
            <w:vAlign w:val="bottom"/>
          </w:tcPr>
          <w:p w14:paraId="5BFDFD51"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0.42</w:t>
            </w:r>
          </w:p>
        </w:tc>
        <w:tc>
          <w:tcPr>
            <w:tcW w:w="1197" w:type="dxa"/>
            <w:tcBorders>
              <w:top w:val="nil"/>
              <w:left w:val="nil"/>
              <w:bottom w:val="single" w:sz="4" w:space="0" w:color="000000"/>
              <w:right w:val="single" w:sz="4" w:space="0" w:color="000000"/>
            </w:tcBorders>
            <w:vAlign w:val="bottom"/>
          </w:tcPr>
          <w:p w14:paraId="39EBFF71"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0.38</w:t>
            </w:r>
          </w:p>
        </w:tc>
        <w:tc>
          <w:tcPr>
            <w:tcW w:w="1197" w:type="dxa"/>
            <w:tcBorders>
              <w:top w:val="nil"/>
              <w:left w:val="nil"/>
              <w:bottom w:val="single" w:sz="4" w:space="0" w:color="000000"/>
              <w:right w:val="single" w:sz="4" w:space="0" w:color="000000"/>
            </w:tcBorders>
            <w:vAlign w:val="bottom"/>
          </w:tcPr>
          <w:p w14:paraId="2DB364EC"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0.43</w:t>
            </w:r>
          </w:p>
        </w:tc>
      </w:tr>
      <w:tr w:rsidR="00EB4B26" w14:paraId="51BEFAA9"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11E31F1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021" w:type="dxa"/>
            <w:tcBorders>
              <w:top w:val="nil"/>
              <w:left w:val="nil"/>
              <w:bottom w:val="single" w:sz="4" w:space="0" w:color="000000"/>
              <w:right w:val="single" w:sz="4" w:space="0" w:color="000000"/>
            </w:tcBorders>
            <w:vAlign w:val="bottom"/>
          </w:tcPr>
          <w:p w14:paraId="512B543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97" w:type="dxa"/>
            <w:tcBorders>
              <w:top w:val="nil"/>
              <w:left w:val="nil"/>
              <w:bottom w:val="single" w:sz="4" w:space="0" w:color="000000"/>
              <w:right w:val="single" w:sz="4" w:space="0" w:color="000000"/>
            </w:tcBorders>
            <w:vAlign w:val="bottom"/>
          </w:tcPr>
          <w:p w14:paraId="0649E28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97" w:type="dxa"/>
            <w:tcBorders>
              <w:top w:val="nil"/>
              <w:left w:val="nil"/>
              <w:bottom w:val="single" w:sz="4" w:space="0" w:color="000000"/>
              <w:right w:val="single" w:sz="4" w:space="0" w:color="000000"/>
            </w:tcBorders>
            <w:vAlign w:val="bottom"/>
          </w:tcPr>
          <w:p w14:paraId="5B83F8C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97" w:type="dxa"/>
            <w:tcBorders>
              <w:top w:val="nil"/>
              <w:left w:val="nil"/>
              <w:bottom w:val="single" w:sz="4" w:space="0" w:color="000000"/>
              <w:right w:val="single" w:sz="4" w:space="0" w:color="000000"/>
            </w:tcBorders>
            <w:vAlign w:val="bottom"/>
          </w:tcPr>
          <w:p w14:paraId="70EC032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97" w:type="dxa"/>
            <w:tcBorders>
              <w:top w:val="nil"/>
              <w:left w:val="nil"/>
              <w:bottom w:val="single" w:sz="4" w:space="0" w:color="000000"/>
              <w:right w:val="single" w:sz="4" w:space="0" w:color="000000"/>
            </w:tcBorders>
            <w:vAlign w:val="bottom"/>
          </w:tcPr>
          <w:p w14:paraId="2941914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c>
          <w:tcPr>
            <w:tcW w:w="1197" w:type="dxa"/>
            <w:tcBorders>
              <w:top w:val="nil"/>
              <w:left w:val="nil"/>
              <w:bottom w:val="single" w:sz="4" w:space="0" w:color="000000"/>
              <w:right w:val="single" w:sz="4" w:space="0" w:color="000000"/>
            </w:tcBorders>
            <w:vAlign w:val="bottom"/>
          </w:tcPr>
          <w:p w14:paraId="536E83B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w:t>
            </w:r>
          </w:p>
        </w:tc>
      </w:tr>
      <w:tr w:rsidR="00EB4B26" w14:paraId="58039D00"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26A30BA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 to Debt Ratio"</w:t>
            </w:r>
          </w:p>
        </w:tc>
      </w:tr>
      <w:tr w:rsidR="00EB4B26" w14:paraId="42A195C8" w14:textId="77777777">
        <w:trPr>
          <w:trHeight w:val="312"/>
          <w:jc w:val="center"/>
        </w:trPr>
        <w:tc>
          <w:tcPr>
            <w:tcW w:w="2008" w:type="dxa"/>
            <w:tcBorders>
              <w:top w:val="nil"/>
              <w:left w:val="single" w:sz="8" w:space="0" w:color="000000"/>
              <w:bottom w:val="single" w:sz="4" w:space="0" w:color="000000"/>
              <w:right w:val="single" w:sz="4" w:space="0" w:color="000000"/>
            </w:tcBorders>
            <w:vAlign w:val="bottom"/>
          </w:tcPr>
          <w:p w14:paraId="1DAAE8D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021" w:type="dxa"/>
            <w:tcBorders>
              <w:top w:val="nil"/>
              <w:left w:val="nil"/>
              <w:bottom w:val="single" w:sz="4" w:space="0" w:color="000000"/>
              <w:right w:val="single" w:sz="4" w:space="0" w:color="000000"/>
            </w:tcBorders>
            <w:vAlign w:val="bottom"/>
          </w:tcPr>
          <w:p w14:paraId="40B3196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97" w:type="dxa"/>
            <w:tcBorders>
              <w:top w:val="nil"/>
              <w:left w:val="nil"/>
              <w:bottom w:val="single" w:sz="4" w:space="0" w:color="000000"/>
              <w:right w:val="single" w:sz="4" w:space="0" w:color="000000"/>
            </w:tcBorders>
            <w:vAlign w:val="bottom"/>
          </w:tcPr>
          <w:p w14:paraId="31E379F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97" w:type="dxa"/>
            <w:tcBorders>
              <w:top w:val="nil"/>
              <w:left w:val="nil"/>
              <w:bottom w:val="single" w:sz="4" w:space="0" w:color="000000"/>
              <w:right w:val="single" w:sz="4" w:space="0" w:color="000000"/>
            </w:tcBorders>
            <w:vAlign w:val="bottom"/>
          </w:tcPr>
          <w:p w14:paraId="7EC9B20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97" w:type="dxa"/>
            <w:tcBorders>
              <w:top w:val="nil"/>
              <w:left w:val="nil"/>
              <w:bottom w:val="single" w:sz="4" w:space="0" w:color="000000"/>
              <w:right w:val="single" w:sz="4" w:space="0" w:color="000000"/>
            </w:tcBorders>
            <w:vAlign w:val="bottom"/>
          </w:tcPr>
          <w:p w14:paraId="1ABF4EB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97" w:type="dxa"/>
            <w:tcBorders>
              <w:top w:val="nil"/>
              <w:left w:val="nil"/>
              <w:bottom w:val="single" w:sz="4" w:space="0" w:color="000000"/>
              <w:right w:val="single" w:sz="4" w:space="0" w:color="000000"/>
            </w:tcBorders>
            <w:vAlign w:val="bottom"/>
          </w:tcPr>
          <w:p w14:paraId="383CC2A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97" w:type="dxa"/>
            <w:tcBorders>
              <w:top w:val="nil"/>
              <w:left w:val="nil"/>
              <w:bottom w:val="single" w:sz="4" w:space="0" w:color="000000"/>
              <w:right w:val="single" w:sz="4" w:space="0" w:color="000000"/>
            </w:tcBorders>
            <w:vAlign w:val="bottom"/>
          </w:tcPr>
          <w:p w14:paraId="0E03CB7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6D05EE97"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4BFBF5A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"Operating Cash Flow"</w:t>
            </w:r>
          </w:p>
        </w:tc>
        <w:tc>
          <w:tcPr>
            <w:tcW w:w="1021" w:type="dxa"/>
            <w:vMerge w:val="restart"/>
            <w:tcBorders>
              <w:top w:val="nil"/>
              <w:left w:val="single" w:sz="4" w:space="0" w:color="000000"/>
              <w:bottom w:val="single" w:sz="8" w:space="0" w:color="000000"/>
              <w:right w:val="single" w:sz="4" w:space="0" w:color="000000"/>
            </w:tcBorders>
            <w:vAlign w:val="center"/>
          </w:tcPr>
          <w:p w14:paraId="1C0C7D1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"(Operating Cash Flow/Total Debt)"</w:t>
            </w:r>
          </w:p>
        </w:tc>
        <w:tc>
          <w:tcPr>
            <w:tcW w:w="1197" w:type="dxa"/>
            <w:tcBorders>
              <w:top w:val="nil"/>
              <w:left w:val="nil"/>
              <w:bottom w:val="single" w:sz="4" w:space="0" w:color="000000"/>
              <w:right w:val="single" w:sz="4" w:space="0" w:color="000000"/>
            </w:tcBorders>
            <w:vAlign w:val="bottom"/>
          </w:tcPr>
          <w:p w14:paraId="26267D6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13,34,53,873.00 </w:t>
            </w:r>
          </w:p>
        </w:tc>
        <w:tc>
          <w:tcPr>
            <w:tcW w:w="1197" w:type="dxa"/>
            <w:tcBorders>
              <w:top w:val="nil"/>
              <w:left w:val="nil"/>
              <w:bottom w:val="single" w:sz="4" w:space="0" w:color="000000"/>
              <w:right w:val="single" w:sz="4" w:space="0" w:color="000000"/>
            </w:tcBorders>
            <w:vAlign w:val="bottom"/>
          </w:tcPr>
          <w:p w14:paraId="2DA64AF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16,97,25,025.00 </w:t>
            </w:r>
          </w:p>
        </w:tc>
        <w:tc>
          <w:tcPr>
            <w:tcW w:w="1197" w:type="dxa"/>
            <w:tcBorders>
              <w:top w:val="nil"/>
              <w:left w:val="nil"/>
              <w:bottom w:val="single" w:sz="4" w:space="0" w:color="000000"/>
              <w:right w:val="single" w:sz="4" w:space="0" w:color="000000"/>
            </w:tcBorders>
            <w:vAlign w:val="bottom"/>
          </w:tcPr>
          <w:p w14:paraId="5F96981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14,08,37,657.00 </w:t>
            </w:r>
          </w:p>
        </w:tc>
        <w:tc>
          <w:tcPr>
            <w:tcW w:w="1197" w:type="dxa"/>
            <w:tcBorders>
              <w:top w:val="nil"/>
              <w:left w:val="nil"/>
              <w:bottom w:val="single" w:sz="4" w:space="0" w:color="000000"/>
              <w:right w:val="single" w:sz="4" w:space="0" w:color="000000"/>
            </w:tcBorders>
            <w:vAlign w:val="bottom"/>
          </w:tcPr>
          <w:p w14:paraId="2F5539D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6,54,66,682.00 </w:t>
            </w:r>
          </w:p>
        </w:tc>
        <w:tc>
          <w:tcPr>
            <w:tcW w:w="1197" w:type="dxa"/>
            <w:tcBorders>
              <w:top w:val="nil"/>
              <w:left w:val="nil"/>
              <w:bottom w:val="single" w:sz="4" w:space="0" w:color="000000"/>
              <w:right w:val="single" w:sz="4" w:space="0" w:color="000000"/>
            </w:tcBorders>
            <w:vAlign w:val="bottom"/>
          </w:tcPr>
          <w:p w14:paraId="7399C42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4,53,92,668.00 </w:t>
            </w:r>
          </w:p>
        </w:tc>
      </w:tr>
      <w:tr w:rsidR="00EB4B26" w14:paraId="0E0D8055"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179F178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Total Debt"</w:t>
            </w:r>
          </w:p>
        </w:tc>
        <w:tc>
          <w:tcPr>
            <w:tcW w:w="1021" w:type="dxa"/>
            <w:vMerge/>
            <w:tcBorders>
              <w:top w:val="nil"/>
              <w:left w:val="single" w:sz="4" w:space="0" w:color="000000"/>
              <w:bottom w:val="single" w:sz="8" w:space="0" w:color="000000"/>
              <w:right w:val="single" w:sz="4" w:space="0" w:color="000000"/>
            </w:tcBorders>
            <w:vAlign w:val="center"/>
          </w:tcPr>
          <w:p w14:paraId="4D55AB6B"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97" w:type="dxa"/>
            <w:tcBorders>
              <w:top w:val="nil"/>
              <w:left w:val="nil"/>
              <w:bottom w:val="single" w:sz="4" w:space="0" w:color="000000"/>
              <w:right w:val="single" w:sz="4" w:space="0" w:color="000000"/>
            </w:tcBorders>
            <w:vAlign w:val="bottom"/>
          </w:tcPr>
          <w:p w14:paraId="6A9E15D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58,46,67,646.00 </w:t>
            </w:r>
          </w:p>
        </w:tc>
        <w:tc>
          <w:tcPr>
            <w:tcW w:w="1197" w:type="dxa"/>
            <w:tcBorders>
              <w:top w:val="nil"/>
              <w:left w:val="nil"/>
              <w:bottom w:val="single" w:sz="4" w:space="0" w:color="000000"/>
              <w:right w:val="single" w:sz="4" w:space="0" w:color="000000"/>
            </w:tcBorders>
            <w:vAlign w:val="bottom"/>
          </w:tcPr>
          <w:p w14:paraId="4DB9B20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52,90,85,557.00 </w:t>
            </w:r>
          </w:p>
        </w:tc>
        <w:tc>
          <w:tcPr>
            <w:tcW w:w="1197" w:type="dxa"/>
            <w:tcBorders>
              <w:top w:val="nil"/>
              <w:left w:val="nil"/>
              <w:bottom w:val="single" w:sz="4" w:space="0" w:color="000000"/>
              <w:right w:val="single" w:sz="4" w:space="0" w:color="000000"/>
            </w:tcBorders>
            <w:vAlign w:val="bottom"/>
          </w:tcPr>
          <w:p w14:paraId="67EE875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37,24,70,809.00 </w:t>
            </w:r>
          </w:p>
        </w:tc>
        <w:tc>
          <w:tcPr>
            <w:tcW w:w="1197" w:type="dxa"/>
            <w:tcBorders>
              <w:top w:val="nil"/>
              <w:left w:val="nil"/>
              <w:bottom w:val="single" w:sz="4" w:space="0" w:color="000000"/>
              <w:right w:val="single" w:sz="4" w:space="0" w:color="000000"/>
            </w:tcBorders>
            <w:vAlign w:val="bottom"/>
          </w:tcPr>
          <w:p w14:paraId="44CBBAB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19,15,35,938.00 </w:t>
            </w:r>
          </w:p>
        </w:tc>
        <w:tc>
          <w:tcPr>
            <w:tcW w:w="1197" w:type="dxa"/>
            <w:tcBorders>
              <w:top w:val="nil"/>
              <w:left w:val="nil"/>
              <w:bottom w:val="single" w:sz="4" w:space="0" w:color="000000"/>
              <w:right w:val="single" w:sz="4" w:space="0" w:color="000000"/>
            </w:tcBorders>
            <w:vAlign w:val="bottom"/>
          </w:tcPr>
          <w:p w14:paraId="56C63C8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13,65,63,409.00 </w:t>
            </w:r>
          </w:p>
        </w:tc>
      </w:tr>
      <w:tr w:rsidR="00EB4B26" w14:paraId="32AB1456" w14:textId="77777777">
        <w:trPr>
          <w:trHeight w:val="324"/>
          <w:jc w:val="center"/>
        </w:trPr>
        <w:tc>
          <w:tcPr>
            <w:tcW w:w="2008" w:type="dxa"/>
            <w:tcBorders>
              <w:top w:val="nil"/>
              <w:left w:val="single" w:sz="8" w:space="0" w:color="000000"/>
              <w:bottom w:val="single" w:sz="8" w:space="0" w:color="000000"/>
              <w:right w:val="single" w:sz="4" w:space="0" w:color="000000"/>
            </w:tcBorders>
            <w:vAlign w:val="bottom"/>
          </w:tcPr>
          <w:p w14:paraId="3700FC92"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"Cash Flow to Debt Ratio"</w:t>
            </w:r>
          </w:p>
        </w:tc>
        <w:tc>
          <w:tcPr>
            <w:tcW w:w="1021" w:type="dxa"/>
            <w:vMerge/>
            <w:tcBorders>
              <w:top w:val="nil"/>
              <w:left w:val="single" w:sz="4" w:space="0" w:color="000000"/>
              <w:bottom w:val="single" w:sz="8" w:space="0" w:color="000000"/>
              <w:right w:val="single" w:sz="4" w:space="0" w:color="000000"/>
            </w:tcBorders>
            <w:vAlign w:val="center"/>
          </w:tcPr>
          <w:p w14:paraId="3BE62FA7"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97" w:type="dxa"/>
            <w:tcBorders>
              <w:top w:val="nil"/>
              <w:left w:val="nil"/>
              <w:bottom w:val="single" w:sz="8" w:space="0" w:color="000000"/>
              <w:right w:val="single" w:sz="4" w:space="0" w:color="000000"/>
            </w:tcBorders>
            <w:vAlign w:val="bottom"/>
          </w:tcPr>
          <w:p w14:paraId="08BEDF81"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0.23</w:t>
            </w:r>
          </w:p>
        </w:tc>
        <w:tc>
          <w:tcPr>
            <w:tcW w:w="1197" w:type="dxa"/>
            <w:tcBorders>
              <w:top w:val="nil"/>
              <w:left w:val="nil"/>
              <w:bottom w:val="single" w:sz="8" w:space="0" w:color="000000"/>
              <w:right w:val="single" w:sz="4" w:space="0" w:color="000000"/>
            </w:tcBorders>
            <w:vAlign w:val="bottom"/>
          </w:tcPr>
          <w:p w14:paraId="1D91166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0.32</w:t>
            </w:r>
          </w:p>
        </w:tc>
        <w:tc>
          <w:tcPr>
            <w:tcW w:w="1197" w:type="dxa"/>
            <w:tcBorders>
              <w:top w:val="nil"/>
              <w:left w:val="nil"/>
              <w:bottom w:val="single" w:sz="8" w:space="0" w:color="000000"/>
              <w:right w:val="single" w:sz="4" w:space="0" w:color="000000"/>
            </w:tcBorders>
            <w:vAlign w:val="bottom"/>
          </w:tcPr>
          <w:p w14:paraId="62164723"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0.38</w:t>
            </w:r>
          </w:p>
        </w:tc>
        <w:tc>
          <w:tcPr>
            <w:tcW w:w="1197" w:type="dxa"/>
            <w:tcBorders>
              <w:top w:val="nil"/>
              <w:left w:val="nil"/>
              <w:bottom w:val="single" w:sz="8" w:space="0" w:color="000000"/>
              <w:right w:val="single" w:sz="4" w:space="0" w:color="000000"/>
            </w:tcBorders>
            <w:vAlign w:val="bottom"/>
          </w:tcPr>
          <w:p w14:paraId="0BB3E701"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0.34</w:t>
            </w:r>
          </w:p>
        </w:tc>
        <w:tc>
          <w:tcPr>
            <w:tcW w:w="1197" w:type="dxa"/>
            <w:tcBorders>
              <w:top w:val="nil"/>
              <w:left w:val="nil"/>
              <w:bottom w:val="single" w:sz="8" w:space="0" w:color="000000"/>
              <w:right w:val="single" w:sz="4" w:space="0" w:color="000000"/>
            </w:tcBorders>
            <w:vAlign w:val="bottom"/>
          </w:tcPr>
          <w:p w14:paraId="0FB1CA50"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0.33</w:t>
            </w:r>
          </w:p>
        </w:tc>
      </w:tr>
      <w:tr w:rsidR="00EB4B26" w14:paraId="70823C24" w14:textId="77777777">
        <w:trPr>
          <w:trHeight w:val="300"/>
          <w:jc w:val="center"/>
        </w:trPr>
        <w:tc>
          <w:tcPr>
            <w:tcW w:w="2008" w:type="dxa"/>
            <w:tcBorders>
              <w:top w:val="nil"/>
              <w:left w:val="nil"/>
              <w:bottom w:val="nil"/>
              <w:right w:val="nil"/>
            </w:tcBorders>
            <w:vAlign w:val="bottom"/>
          </w:tcPr>
          <w:p w14:paraId="683806B3" w14:textId="77777777" w:rsidR="00EB4B26" w:rsidRDefault="00EB4B26">
            <w:pPr>
              <w:spacing w:before="0" w:after="0" w:line="240" w:lineRule="auto"/>
              <w:jc w:val="right"/>
              <w:rPr>
                <w:rFonts w:ascii="Arial" w:eastAsia="Arial" w:hAnsi="Arial" w:cs="Arial"/>
                <w:b/>
                <w:bCs/>
                <w:color w:val="000000"/>
              </w:rPr>
            </w:pPr>
          </w:p>
        </w:tc>
        <w:tc>
          <w:tcPr>
            <w:tcW w:w="1021" w:type="dxa"/>
            <w:tcBorders>
              <w:top w:val="nil"/>
              <w:left w:val="nil"/>
              <w:bottom w:val="nil"/>
              <w:right w:val="nil"/>
            </w:tcBorders>
            <w:vAlign w:val="bottom"/>
          </w:tcPr>
          <w:p w14:paraId="4865EA9A" w14:textId="77777777" w:rsidR="00EB4B26" w:rsidRDefault="00EB4B26">
            <w:pPr>
              <w:spacing w:before="0" w:after="0" w:line="240" w:lineRule="auto"/>
              <w:jc w:val="left"/>
              <w:rPr>
                <w:sz w:val="20"/>
                <w:szCs w:val="20"/>
              </w:rPr>
            </w:pPr>
          </w:p>
        </w:tc>
        <w:tc>
          <w:tcPr>
            <w:tcW w:w="1197" w:type="dxa"/>
            <w:tcBorders>
              <w:top w:val="nil"/>
              <w:left w:val="nil"/>
              <w:bottom w:val="nil"/>
              <w:right w:val="nil"/>
            </w:tcBorders>
            <w:vAlign w:val="bottom"/>
          </w:tcPr>
          <w:p w14:paraId="08E5ED2A" w14:textId="77777777" w:rsidR="00EB4B26" w:rsidRDefault="00EB4B26">
            <w:pPr>
              <w:spacing w:before="0" w:after="0" w:line="240" w:lineRule="auto"/>
              <w:jc w:val="left"/>
              <w:rPr>
                <w:sz w:val="20"/>
                <w:szCs w:val="20"/>
              </w:rPr>
            </w:pPr>
          </w:p>
        </w:tc>
        <w:tc>
          <w:tcPr>
            <w:tcW w:w="1197" w:type="dxa"/>
            <w:tcBorders>
              <w:top w:val="nil"/>
              <w:left w:val="nil"/>
              <w:bottom w:val="nil"/>
              <w:right w:val="nil"/>
            </w:tcBorders>
            <w:vAlign w:val="bottom"/>
          </w:tcPr>
          <w:p w14:paraId="77C82837" w14:textId="77777777" w:rsidR="00EB4B26" w:rsidRDefault="00EB4B26">
            <w:pPr>
              <w:spacing w:before="0" w:after="0" w:line="240" w:lineRule="auto"/>
              <w:jc w:val="left"/>
              <w:rPr>
                <w:sz w:val="20"/>
                <w:szCs w:val="20"/>
              </w:rPr>
            </w:pPr>
          </w:p>
        </w:tc>
        <w:tc>
          <w:tcPr>
            <w:tcW w:w="1197" w:type="dxa"/>
            <w:tcBorders>
              <w:top w:val="nil"/>
              <w:left w:val="nil"/>
              <w:bottom w:val="nil"/>
              <w:right w:val="nil"/>
            </w:tcBorders>
            <w:vAlign w:val="bottom"/>
          </w:tcPr>
          <w:p w14:paraId="54BBBC84" w14:textId="77777777" w:rsidR="00EB4B26" w:rsidRDefault="00EB4B26">
            <w:pPr>
              <w:spacing w:before="0" w:after="0" w:line="240" w:lineRule="auto"/>
              <w:jc w:val="left"/>
              <w:rPr>
                <w:sz w:val="20"/>
                <w:szCs w:val="20"/>
              </w:rPr>
            </w:pPr>
          </w:p>
        </w:tc>
        <w:tc>
          <w:tcPr>
            <w:tcW w:w="1197" w:type="dxa"/>
            <w:tcBorders>
              <w:top w:val="nil"/>
              <w:left w:val="nil"/>
              <w:bottom w:val="nil"/>
              <w:right w:val="nil"/>
            </w:tcBorders>
            <w:vAlign w:val="bottom"/>
          </w:tcPr>
          <w:p w14:paraId="413BFB94" w14:textId="77777777" w:rsidR="00EB4B26" w:rsidRDefault="00EB4B26">
            <w:pPr>
              <w:spacing w:before="0" w:after="0" w:line="240" w:lineRule="auto"/>
              <w:jc w:val="left"/>
              <w:rPr>
                <w:sz w:val="20"/>
                <w:szCs w:val="20"/>
              </w:rPr>
            </w:pPr>
          </w:p>
        </w:tc>
        <w:tc>
          <w:tcPr>
            <w:tcW w:w="1197" w:type="dxa"/>
            <w:tcBorders>
              <w:top w:val="nil"/>
              <w:left w:val="nil"/>
              <w:bottom w:val="nil"/>
              <w:right w:val="nil"/>
            </w:tcBorders>
            <w:vAlign w:val="bottom"/>
          </w:tcPr>
          <w:p w14:paraId="352F3E9F" w14:textId="77777777" w:rsidR="00EB4B26" w:rsidRDefault="00EB4B26">
            <w:pPr>
              <w:spacing w:before="0" w:after="0" w:line="240" w:lineRule="auto"/>
              <w:jc w:val="left"/>
              <w:rPr>
                <w:sz w:val="20"/>
                <w:szCs w:val="20"/>
              </w:rPr>
            </w:pPr>
          </w:p>
        </w:tc>
      </w:tr>
      <w:tr w:rsidR="00EB4B26" w14:paraId="6968EA52" w14:textId="77777777">
        <w:trPr>
          <w:trHeight w:val="312"/>
          <w:jc w:val="center"/>
        </w:trPr>
        <w:tc>
          <w:tcPr>
            <w:tcW w:w="9014" w:type="dxa"/>
            <w:gridSpan w:val="7"/>
            <w:tcBorders>
              <w:top w:val="single" w:sz="4" w:space="0" w:color="000000"/>
              <w:left w:val="single" w:sz="8" w:space="0" w:color="000000"/>
              <w:bottom w:val="single" w:sz="4" w:space="0" w:color="000000"/>
              <w:right w:val="single" w:sz="4" w:space="0" w:color="000000"/>
            </w:tcBorders>
            <w:vAlign w:val="bottom"/>
          </w:tcPr>
          <w:p w14:paraId="4F4A1DE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"Free Cash Flow Margin"</w:t>
            </w:r>
          </w:p>
        </w:tc>
      </w:tr>
      <w:tr w:rsidR="00EB4B26" w14:paraId="011ED4AF" w14:textId="77777777">
        <w:trPr>
          <w:trHeight w:val="312"/>
          <w:jc w:val="center"/>
        </w:trPr>
        <w:tc>
          <w:tcPr>
            <w:tcW w:w="2008" w:type="dxa"/>
            <w:tcBorders>
              <w:top w:val="nil"/>
              <w:left w:val="single" w:sz="8" w:space="0" w:color="000000"/>
              <w:bottom w:val="single" w:sz="4" w:space="0" w:color="000000"/>
              <w:right w:val="single" w:sz="4" w:space="0" w:color="000000"/>
            </w:tcBorders>
            <w:vAlign w:val="bottom"/>
          </w:tcPr>
          <w:p w14:paraId="78F244B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"Financial aspects"</w:t>
            </w:r>
          </w:p>
        </w:tc>
        <w:tc>
          <w:tcPr>
            <w:tcW w:w="1021" w:type="dxa"/>
            <w:tcBorders>
              <w:top w:val="nil"/>
              <w:left w:val="nil"/>
              <w:bottom w:val="single" w:sz="4" w:space="0" w:color="000000"/>
              <w:right w:val="single" w:sz="4" w:space="0" w:color="000000"/>
            </w:tcBorders>
            <w:vAlign w:val="bottom"/>
          </w:tcPr>
          <w:p w14:paraId="01434D7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"Formula"</w:t>
            </w:r>
          </w:p>
        </w:tc>
        <w:tc>
          <w:tcPr>
            <w:tcW w:w="1197" w:type="dxa"/>
            <w:tcBorders>
              <w:top w:val="nil"/>
              <w:left w:val="nil"/>
              <w:bottom w:val="single" w:sz="4" w:space="0" w:color="000000"/>
              <w:right w:val="single" w:sz="4" w:space="0" w:color="000000"/>
            </w:tcBorders>
            <w:vAlign w:val="bottom"/>
          </w:tcPr>
          <w:p w14:paraId="0E009DF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2024</w:t>
            </w:r>
          </w:p>
        </w:tc>
        <w:tc>
          <w:tcPr>
            <w:tcW w:w="1197" w:type="dxa"/>
            <w:tcBorders>
              <w:top w:val="nil"/>
              <w:left w:val="nil"/>
              <w:bottom w:val="single" w:sz="4" w:space="0" w:color="000000"/>
              <w:right w:val="single" w:sz="4" w:space="0" w:color="000000"/>
            </w:tcBorders>
            <w:vAlign w:val="bottom"/>
          </w:tcPr>
          <w:p w14:paraId="48B9A3C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2023</w:t>
            </w:r>
          </w:p>
        </w:tc>
        <w:tc>
          <w:tcPr>
            <w:tcW w:w="1197" w:type="dxa"/>
            <w:tcBorders>
              <w:top w:val="nil"/>
              <w:left w:val="nil"/>
              <w:bottom w:val="single" w:sz="4" w:space="0" w:color="000000"/>
              <w:right w:val="single" w:sz="4" w:space="0" w:color="000000"/>
            </w:tcBorders>
            <w:vAlign w:val="bottom"/>
          </w:tcPr>
          <w:p w14:paraId="14CC65A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2022</w:t>
            </w:r>
          </w:p>
        </w:tc>
        <w:tc>
          <w:tcPr>
            <w:tcW w:w="1197" w:type="dxa"/>
            <w:tcBorders>
              <w:top w:val="nil"/>
              <w:left w:val="nil"/>
              <w:bottom w:val="single" w:sz="4" w:space="0" w:color="000000"/>
              <w:right w:val="single" w:sz="4" w:space="0" w:color="000000"/>
            </w:tcBorders>
            <w:vAlign w:val="bottom"/>
          </w:tcPr>
          <w:p w14:paraId="0065099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2021</w:t>
            </w:r>
          </w:p>
        </w:tc>
        <w:tc>
          <w:tcPr>
            <w:tcW w:w="1197" w:type="dxa"/>
            <w:tcBorders>
              <w:top w:val="nil"/>
              <w:left w:val="nil"/>
              <w:bottom w:val="single" w:sz="4" w:space="0" w:color="000000"/>
              <w:right w:val="single" w:sz="4" w:space="0" w:color="000000"/>
            </w:tcBorders>
            <w:vAlign w:val="bottom"/>
          </w:tcPr>
          <w:p w14:paraId="3F2ECA9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2020</w:t>
            </w:r>
          </w:p>
        </w:tc>
      </w:tr>
      <w:tr w:rsidR="00EB4B26" w14:paraId="31EDB866"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16D1E69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Free Cash Flow</w:t>
            </w:r>
          </w:p>
        </w:tc>
        <w:tc>
          <w:tcPr>
            <w:tcW w:w="1021" w:type="dxa"/>
            <w:vMerge w:val="restart"/>
            <w:tcBorders>
              <w:top w:val="nil"/>
              <w:left w:val="single" w:sz="4" w:space="0" w:color="000000"/>
              <w:bottom w:val="single" w:sz="8" w:space="0" w:color="000000"/>
              <w:right w:val="single" w:sz="4" w:space="0" w:color="000000"/>
            </w:tcBorders>
            <w:vAlign w:val="center"/>
          </w:tcPr>
          <w:p w14:paraId="0D86E38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"=(Free Cash Flow)/Sales"</w:t>
            </w:r>
          </w:p>
        </w:tc>
        <w:tc>
          <w:tcPr>
            <w:tcW w:w="1197" w:type="dxa"/>
            <w:tcBorders>
              <w:top w:val="nil"/>
              <w:left w:val="nil"/>
              <w:bottom w:val="single" w:sz="4" w:space="0" w:color="000000"/>
              <w:right w:val="single" w:sz="4" w:space="0" w:color="000000"/>
            </w:tcBorders>
            <w:vAlign w:val="bottom"/>
          </w:tcPr>
          <w:p w14:paraId="0AD28BE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2,98,53,873.00 </w:t>
            </w:r>
          </w:p>
        </w:tc>
        <w:tc>
          <w:tcPr>
            <w:tcW w:w="1197" w:type="dxa"/>
            <w:tcBorders>
              <w:top w:val="nil"/>
              <w:left w:val="nil"/>
              <w:bottom w:val="single" w:sz="4" w:space="0" w:color="000000"/>
              <w:right w:val="single" w:sz="4" w:space="0" w:color="000000"/>
            </w:tcBorders>
            <w:vAlign w:val="bottom"/>
          </w:tcPr>
          <w:p w14:paraId="4A4D789D"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3,54,25,025.00 </w:t>
            </w:r>
          </w:p>
        </w:tc>
        <w:tc>
          <w:tcPr>
            <w:tcW w:w="1197" w:type="dxa"/>
            <w:tcBorders>
              <w:top w:val="nil"/>
              <w:left w:val="nil"/>
              <w:bottom w:val="single" w:sz="4" w:space="0" w:color="000000"/>
              <w:right w:val="single" w:sz="4" w:space="0" w:color="000000"/>
            </w:tcBorders>
            <w:vAlign w:val="bottom"/>
          </w:tcPr>
          <w:p w14:paraId="19190BD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3,05,37,657.00 </w:t>
            </w:r>
          </w:p>
        </w:tc>
        <w:tc>
          <w:tcPr>
            <w:tcW w:w="1197" w:type="dxa"/>
            <w:tcBorders>
              <w:top w:val="nil"/>
              <w:left w:val="nil"/>
              <w:bottom w:val="single" w:sz="4" w:space="0" w:color="000000"/>
              <w:right w:val="single" w:sz="4" w:space="0" w:color="000000"/>
            </w:tcBorders>
            <w:vAlign w:val="bottom"/>
          </w:tcPr>
          <w:p w14:paraId="70E92A4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1,96,51,682.00 </w:t>
            </w:r>
          </w:p>
        </w:tc>
        <w:tc>
          <w:tcPr>
            <w:tcW w:w="1197" w:type="dxa"/>
            <w:tcBorders>
              <w:top w:val="nil"/>
              <w:left w:val="nil"/>
              <w:bottom w:val="single" w:sz="4" w:space="0" w:color="000000"/>
              <w:right w:val="single" w:sz="4" w:space="0" w:color="000000"/>
            </w:tcBorders>
            <w:vAlign w:val="bottom"/>
          </w:tcPr>
          <w:p w14:paraId="3C089FF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2,53,92,668.00 </w:t>
            </w:r>
          </w:p>
        </w:tc>
      </w:tr>
      <w:tr w:rsidR="00EB4B26" w14:paraId="181F63F5" w14:textId="77777777">
        <w:trPr>
          <w:trHeight w:val="300"/>
          <w:jc w:val="center"/>
        </w:trPr>
        <w:tc>
          <w:tcPr>
            <w:tcW w:w="2008" w:type="dxa"/>
            <w:tcBorders>
              <w:top w:val="nil"/>
              <w:left w:val="single" w:sz="8" w:space="0" w:color="000000"/>
              <w:bottom w:val="single" w:sz="4" w:space="0" w:color="000000"/>
              <w:right w:val="single" w:sz="4" w:space="0" w:color="000000"/>
            </w:tcBorders>
            <w:vAlign w:val="bottom"/>
          </w:tcPr>
          <w:p w14:paraId="07C7E99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Sales"</w:t>
            </w:r>
          </w:p>
        </w:tc>
        <w:tc>
          <w:tcPr>
            <w:tcW w:w="1021" w:type="dxa"/>
            <w:vMerge/>
            <w:tcBorders>
              <w:top w:val="nil"/>
              <w:left w:val="single" w:sz="4" w:space="0" w:color="000000"/>
              <w:bottom w:val="single" w:sz="8" w:space="0" w:color="000000"/>
              <w:right w:val="single" w:sz="4" w:space="0" w:color="000000"/>
            </w:tcBorders>
            <w:vAlign w:val="center"/>
          </w:tcPr>
          <w:p w14:paraId="1B58F2BD"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color w:val="000000"/>
              </w:rPr>
            </w:pPr>
          </w:p>
        </w:tc>
        <w:tc>
          <w:tcPr>
            <w:tcW w:w="1197" w:type="dxa"/>
            <w:tcBorders>
              <w:top w:val="nil"/>
              <w:left w:val="nil"/>
              <w:bottom w:val="single" w:sz="4" w:space="0" w:color="000000"/>
              <w:right w:val="single" w:sz="4" w:space="0" w:color="000000"/>
            </w:tcBorders>
            <w:vAlign w:val="bottom"/>
          </w:tcPr>
          <w:p w14:paraId="3E650EE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77,71,02,455.00 </w:t>
            </w:r>
          </w:p>
        </w:tc>
        <w:tc>
          <w:tcPr>
            <w:tcW w:w="1197" w:type="dxa"/>
            <w:tcBorders>
              <w:top w:val="nil"/>
              <w:left w:val="nil"/>
              <w:bottom w:val="single" w:sz="4" w:space="0" w:color="000000"/>
              <w:right w:val="single" w:sz="4" w:space="0" w:color="000000"/>
            </w:tcBorders>
            <w:vAlign w:val="bottom"/>
          </w:tcPr>
          <w:p w14:paraId="45FAAB3C"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60,23,15,354.00 </w:t>
            </w:r>
          </w:p>
        </w:tc>
        <w:tc>
          <w:tcPr>
            <w:tcW w:w="1197" w:type="dxa"/>
            <w:tcBorders>
              <w:top w:val="nil"/>
              <w:left w:val="nil"/>
              <w:bottom w:val="single" w:sz="4" w:space="0" w:color="000000"/>
              <w:right w:val="single" w:sz="4" w:space="0" w:color="000000"/>
            </w:tcBorders>
            <w:vAlign w:val="bottom"/>
          </w:tcPr>
          <w:p w14:paraId="3C87F06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42,40,60,635.00 </w:t>
            </w:r>
          </w:p>
        </w:tc>
        <w:tc>
          <w:tcPr>
            <w:tcW w:w="1197" w:type="dxa"/>
            <w:tcBorders>
              <w:top w:val="nil"/>
              <w:left w:val="nil"/>
              <w:bottom w:val="single" w:sz="4" w:space="0" w:color="000000"/>
              <w:right w:val="single" w:sz="4" w:space="0" w:color="000000"/>
            </w:tcBorders>
            <w:vAlign w:val="bottom"/>
          </w:tcPr>
          <w:p w14:paraId="461F079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21,61,42,395.00 </w:t>
            </w:r>
          </w:p>
        </w:tc>
        <w:tc>
          <w:tcPr>
            <w:tcW w:w="1197" w:type="dxa"/>
            <w:tcBorders>
              <w:top w:val="nil"/>
              <w:left w:val="nil"/>
              <w:bottom w:val="single" w:sz="4" w:space="0" w:color="000000"/>
              <w:right w:val="single" w:sz="4" w:space="0" w:color="000000"/>
            </w:tcBorders>
            <w:vAlign w:val="bottom"/>
          </w:tcPr>
          <w:p w14:paraId="2F7434EE"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15,34,69,184.00 </w:t>
            </w:r>
          </w:p>
        </w:tc>
      </w:tr>
      <w:tr w:rsidR="00EB4B26" w14:paraId="2A854494" w14:textId="77777777">
        <w:trPr>
          <w:trHeight w:val="324"/>
          <w:jc w:val="center"/>
        </w:trPr>
        <w:tc>
          <w:tcPr>
            <w:tcW w:w="2008" w:type="dxa"/>
            <w:tcBorders>
              <w:top w:val="nil"/>
              <w:left w:val="single" w:sz="8" w:space="0" w:color="000000"/>
              <w:bottom w:val="single" w:sz="8" w:space="0" w:color="000000"/>
              <w:right w:val="single" w:sz="4" w:space="0" w:color="000000"/>
            </w:tcBorders>
            <w:vAlign w:val="bottom"/>
          </w:tcPr>
          <w:p w14:paraId="074A6B26"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"Free Cash Flow Margin"</w:t>
            </w:r>
          </w:p>
        </w:tc>
        <w:tc>
          <w:tcPr>
            <w:tcW w:w="1021" w:type="dxa"/>
            <w:vMerge/>
            <w:tcBorders>
              <w:top w:val="nil"/>
              <w:left w:val="single" w:sz="4" w:space="0" w:color="000000"/>
              <w:bottom w:val="single" w:sz="8" w:space="0" w:color="000000"/>
              <w:right w:val="single" w:sz="4" w:space="0" w:color="000000"/>
            </w:tcBorders>
            <w:vAlign w:val="center"/>
          </w:tcPr>
          <w:p w14:paraId="4CFD4CAC"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1197" w:type="dxa"/>
            <w:tcBorders>
              <w:top w:val="nil"/>
              <w:left w:val="nil"/>
              <w:bottom w:val="single" w:sz="8" w:space="0" w:color="000000"/>
              <w:right w:val="single" w:sz="4" w:space="0" w:color="000000"/>
            </w:tcBorders>
            <w:vAlign w:val="bottom"/>
          </w:tcPr>
          <w:p w14:paraId="2C73415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0.04</w:t>
            </w:r>
          </w:p>
        </w:tc>
        <w:tc>
          <w:tcPr>
            <w:tcW w:w="1197" w:type="dxa"/>
            <w:tcBorders>
              <w:top w:val="nil"/>
              <w:left w:val="nil"/>
              <w:bottom w:val="single" w:sz="8" w:space="0" w:color="000000"/>
              <w:right w:val="single" w:sz="4" w:space="0" w:color="000000"/>
            </w:tcBorders>
            <w:vAlign w:val="bottom"/>
          </w:tcPr>
          <w:p w14:paraId="5C9EA528"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0.06</w:t>
            </w:r>
          </w:p>
        </w:tc>
        <w:tc>
          <w:tcPr>
            <w:tcW w:w="1197" w:type="dxa"/>
            <w:tcBorders>
              <w:top w:val="nil"/>
              <w:left w:val="nil"/>
              <w:bottom w:val="single" w:sz="8" w:space="0" w:color="000000"/>
              <w:right w:val="single" w:sz="4" w:space="0" w:color="000000"/>
            </w:tcBorders>
            <w:vAlign w:val="bottom"/>
          </w:tcPr>
          <w:p w14:paraId="4D32E7B7"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0.07</w:t>
            </w:r>
          </w:p>
        </w:tc>
        <w:tc>
          <w:tcPr>
            <w:tcW w:w="1197" w:type="dxa"/>
            <w:tcBorders>
              <w:top w:val="nil"/>
              <w:left w:val="nil"/>
              <w:bottom w:val="single" w:sz="8" w:space="0" w:color="000000"/>
              <w:right w:val="single" w:sz="4" w:space="0" w:color="000000"/>
            </w:tcBorders>
            <w:vAlign w:val="bottom"/>
          </w:tcPr>
          <w:p w14:paraId="34F03ECF"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0.09</w:t>
            </w:r>
          </w:p>
        </w:tc>
        <w:tc>
          <w:tcPr>
            <w:tcW w:w="1197" w:type="dxa"/>
            <w:tcBorders>
              <w:top w:val="nil"/>
              <w:left w:val="nil"/>
              <w:bottom w:val="single" w:sz="8" w:space="0" w:color="000000"/>
              <w:right w:val="single" w:sz="4" w:space="0" w:color="000000"/>
            </w:tcBorders>
            <w:vAlign w:val="bottom"/>
          </w:tcPr>
          <w:p w14:paraId="7FA6512E" w14:textId="77777777" w:rsidR="00EB4B26" w:rsidRDefault="00000000">
            <w:pPr>
              <w:spacing w:before="0" w:after="0" w:line="240" w:lineRule="auto"/>
              <w:jc w:val="right"/>
              <w:rPr>
                <w:rFonts w:ascii="Arial" w:eastAsia="Arial" w:hAnsi="Arial" w:cs="Arial"/>
                <w:b/>
                <w:bCs/>
                <w:color w:val="000000"/>
              </w:rPr>
            </w:pPr>
            <w:r>
              <w:rPr>
                <w:rFonts w:ascii="Arial" w:eastAsia="Arial" w:hAnsi="Arial" w:cs="Arial"/>
                <w:b/>
                <w:bCs/>
                <w:color w:val="000000"/>
              </w:rPr>
              <w:t>0.17</w:t>
            </w:r>
          </w:p>
        </w:tc>
      </w:tr>
    </w:tbl>
    <w:p w14:paraId="55A4A6C6" w14:textId="77777777" w:rsidR="00EB4B26" w:rsidRDefault="00000000">
      <w:pPr>
        <w:spacing w:before="0"/>
        <w:jc w:val="center"/>
        <w:rPr>
          <w:rFonts w:ascii="Arial" w:eastAsia="Arial" w:hAnsi="Arial" w:cs="Arial"/>
        </w:rPr>
      </w:pPr>
      <w:r>
        <w:rPr>
          <w:rFonts w:ascii="Arial" w:eastAsia="Arial" w:hAnsi="Arial" w:cs="Arial"/>
        </w:rPr>
        <w:t xml:space="preserve"> (Source: Excel)</w:t>
      </w:r>
    </w:p>
    <w:p w14:paraId="289EDEEF" w14:textId="77777777" w:rsidR="00EB4B26" w:rsidRDefault="00000000">
      <w:pPr>
        <w:pStyle w:val="Heading2"/>
      </w:pPr>
      <w:bookmarkStart w:id="57" w:name="_ikuy7dd77767" w:colFirst="0" w:colLast="0"/>
      <w:bookmarkEnd w:id="57"/>
      <w:r>
        <w:lastRenderedPageBreak/>
        <w:t>Appendix B: Investment Calculations for Project (A, B, C)</w:t>
      </w:r>
    </w:p>
    <w:tbl>
      <w:tblPr>
        <w:tblStyle w:val="a2"/>
        <w:tblW w:w="9019" w:type="dxa"/>
        <w:jc w:val="center"/>
        <w:tblInd w:w="0" w:type="dxa"/>
        <w:tblLayout w:type="fixed"/>
        <w:tblLook w:val="0400" w:firstRow="0" w:lastRow="0" w:firstColumn="0" w:lastColumn="0" w:noHBand="0" w:noVBand="1"/>
      </w:tblPr>
      <w:tblGrid>
        <w:gridCol w:w="948"/>
        <w:gridCol w:w="1978"/>
        <w:gridCol w:w="1861"/>
        <w:gridCol w:w="2317"/>
        <w:gridCol w:w="1665"/>
        <w:gridCol w:w="250"/>
      </w:tblGrid>
      <w:tr w:rsidR="00EB4B26" w14:paraId="10E2733A" w14:textId="77777777">
        <w:trPr>
          <w:gridAfter w:val="1"/>
          <w:trHeight w:val="312"/>
          <w:jc w:val="center"/>
        </w:trPr>
        <w:tc>
          <w:tcPr>
            <w:tcW w:w="951" w:type="dxa"/>
            <w:tcBorders>
              <w:top w:val="single" w:sz="4" w:space="0" w:color="000000"/>
              <w:left w:val="single" w:sz="4" w:space="0" w:color="000000"/>
              <w:bottom w:val="single" w:sz="4" w:space="0" w:color="000000"/>
              <w:right w:val="single" w:sz="4" w:space="0" w:color="000000"/>
            </w:tcBorders>
            <w:vAlign w:val="center"/>
          </w:tcPr>
          <w:p w14:paraId="71DB4AF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984" w:type="dxa"/>
            <w:tcBorders>
              <w:top w:val="single" w:sz="4" w:space="0" w:color="000000"/>
              <w:left w:val="nil"/>
              <w:bottom w:val="single" w:sz="4" w:space="0" w:color="000000"/>
              <w:right w:val="single" w:sz="4" w:space="0" w:color="000000"/>
            </w:tcBorders>
            <w:vAlign w:val="center"/>
          </w:tcPr>
          <w:p w14:paraId="04D7E54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867" w:type="dxa"/>
            <w:tcBorders>
              <w:top w:val="single" w:sz="4" w:space="0" w:color="000000"/>
              <w:left w:val="nil"/>
              <w:bottom w:val="single" w:sz="4" w:space="0" w:color="000000"/>
              <w:right w:val="nil"/>
            </w:tcBorders>
            <w:vAlign w:val="center"/>
          </w:tcPr>
          <w:p w14:paraId="6982F4C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5FF68F4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r>
      <w:tr w:rsidR="00EB4B26" w14:paraId="3FC64D66"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5A6B3DE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984" w:type="dxa"/>
            <w:tcBorders>
              <w:top w:val="nil"/>
              <w:left w:val="nil"/>
              <w:bottom w:val="single" w:sz="4" w:space="0" w:color="000000"/>
              <w:right w:val="single" w:sz="4" w:space="0" w:color="000000"/>
            </w:tcBorders>
            <w:vAlign w:val="bottom"/>
          </w:tcPr>
          <w:p w14:paraId="5F32ABD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867" w:type="dxa"/>
            <w:tcBorders>
              <w:top w:val="nil"/>
              <w:left w:val="nil"/>
              <w:bottom w:val="single" w:sz="4" w:space="0" w:color="000000"/>
              <w:right w:val="nil"/>
            </w:tcBorders>
            <w:vAlign w:val="bottom"/>
          </w:tcPr>
          <w:p w14:paraId="35F7710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70B7370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r>
      <w:tr w:rsidR="00EB4B26" w14:paraId="7BAC6882"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35941DB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984" w:type="dxa"/>
            <w:tcBorders>
              <w:top w:val="nil"/>
              <w:left w:val="nil"/>
              <w:bottom w:val="single" w:sz="4" w:space="0" w:color="000000"/>
              <w:right w:val="single" w:sz="4" w:space="0" w:color="000000"/>
            </w:tcBorders>
            <w:vAlign w:val="bottom"/>
          </w:tcPr>
          <w:p w14:paraId="0E43EEC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bottom"/>
          </w:tcPr>
          <w:p w14:paraId="5F2B720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20C333F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r>
      <w:tr w:rsidR="00EB4B26" w14:paraId="46CAB74F"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203239C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984" w:type="dxa"/>
            <w:tcBorders>
              <w:top w:val="nil"/>
              <w:left w:val="nil"/>
              <w:bottom w:val="single" w:sz="4" w:space="0" w:color="000000"/>
              <w:right w:val="single" w:sz="4" w:space="0" w:color="000000"/>
            </w:tcBorders>
            <w:vAlign w:val="bottom"/>
          </w:tcPr>
          <w:p w14:paraId="41DED57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12.00 </w:t>
            </w:r>
          </w:p>
        </w:tc>
        <w:tc>
          <w:tcPr>
            <w:tcW w:w="1867" w:type="dxa"/>
            <w:tcBorders>
              <w:top w:val="nil"/>
              <w:left w:val="nil"/>
              <w:bottom w:val="single" w:sz="4" w:space="0" w:color="000000"/>
              <w:right w:val="nil"/>
            </w:tcBorders>
            <w:vAlign w:val="bottom"/>
          </w:tcPr>
          <w:p w14:paraId="1CB0181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2A98E66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9.92 </w:t>
            </w:r>
          </w:p>
        </w:tc>
      </w:tr>
      <w:tr w:rsidR="00EB4B26" w14:paraId="53E453A7"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69E721A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984" w:type="dxa"/>
            <w:tcBorders>
              <w:top w:val="nil"/>
              <w:left w:val="nil"/>
              <w:bottom w:val="single" w:sz="4" w:space="0" w:color="000000"/>
              <w:right w:val="single" w:sz="4" w:space="0" w:color="000000"/>
            </w:tcBorders>
            <w:vAlign w:val="bottom"/>
          </w:tcPr>
          <w:p w14:paraId="6302AFE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14.00 </w:t>
            </w:r>
          </w:p>
        </w:tc>
        <w:tc>
          <w:tcPr>
            <w:tcW w:w="1867" w:type="dxa"/>
            <w:tcBorders>
              <w:top w:val="nil"/>
              <w:left w:val="nil"/>
              <w:bottom w:val="single" w:sz="4" w:space="0" w:color="000000"/>
              <w:right w:val="nil"/>
            </w:tcBorders>
            <w:vAlign w:val="bottom"/>
          </w:tcPr>
          <w:p w14:paraId="792204A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29198A8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10.52 </w:t>
            </w:r>
          </w:p>
        </w:tc>
      </w:tr>
      <w:tr w:rsidR="00EB4B26" w14:paraId="573A6211"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796A1C1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984" w:type="dxa"/>
            <w:tcBorders>
              <w:top w:val="nil"/>
              <w:left w:val="nil"/>
              <w:bottom w:val="single" w:sz="4" w:space="0" w:color="000000"/>
              <w:right w:val="single" w:sz="4" w:space="0" w:color="000000"/>
            </w:tcBorders>
            <w:vAlign w:val="bottom"/>
          </w:tcPr>
          <w:p w14:paraId="76C5545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bottom"/>
          </w:tcPr>
          <w:p w14:paraId="0B412BF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5E3FF8D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r>
      <w:tr w:rsidR="00EB4B26" w14:paraId="793FF69E" w14:textId="77777777">
        <w:trPr>
          <w:gridAfter w:val="1"/>
          <w:trHeight w:val="300"/>
          <w:jc w:val="center"/>
        </w:trPr>
        <w:tc>
          <w:tcPr>
            <w:tcW w:w="951" w:type="dxa"/>
            <w:tcBorders>
              <w:top w:val="nil"/>
              <w:left w:val="single" w:sz="4" w:space="0" w:color="000000"/>
              <w:bottom w:val="single" w:sz="4" w:space="0" w:color="000000"/>
              <w:right w:val="single" w:sz="4" w:space="0" w:color="000000"/>
            </w:tcBorders>
            <w:vAlign w:val="bottom"/>
          </w:tcPr>
          <w:p w14:paraId="75D0F9B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984" w:type="dxa"/>
            <w:tcBorders>
              <w:top w:val="nil"/>
              <w:left w:val="nil"/>
              <w:bottom w:val="single" w:sz="4" w:space="0" w:color="000000"/>
              <w:right w:val="single" w:sz="4" w:space="0" w:color="000000"/>
            </w:tcBorders>
            <w:vAlign w:val="bottom"/>
          </w:tcPr>
          <w:p w14:paraId="6D08F5F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8.00 </w:t>
            </w:r>
          </w:p>
        </w:tc>
        <w:tc>
          <w:tcPr>
            <w:tcW w:w="1867" w:type="dxa"/>
            <w:tcBorders>
              <w:top w:val="nil"/>
              <w:left w:val="nil"/>
              <w:bottom w:val="single" w:sz="4" w:space="0" w:color="000000"/>
              <w:right w:val="nil"/>
            </w:tcBorders>
            <w:vAlign w:val="bottom"/>
          </w:tcPr>
          <w:p w14:paraId="0BD1C55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098CCA7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4.97 </w:t>
            </w:r>
          </w:p>
        </w:tc>
      </w:tr>
      <w:tr w:rsidR="00EB4B26" w14:paraId="1F61E940" w14:textId="77777777">
        <w:trPr>
          <w:gridAfter w:val="1"/>
          <w:trHeight w:val="894"/>
          <w:jc w:val="center"/>
        </w:trPr>
        <w:tc>
          <w:tcPr>
            <w:tcW w:w="4802" w:type="dxa"/>
            <w:gridSpan w:val="3"/>
            <w:vMerge w:val="restart"/>
            <w:tcBorders>
              <w:top w:val="single" w:sz="4" w:space="0" w:color="000000"/>
              <w:left w:val="single" w:sz="4" w:space="0" w:color="000000"/>
              <w:bottom w:val="nil"/>
              <w:right w:val="nil"/>
            </w:tcBorders>
            <w:vAlign w:val="center"/>
          </w:tcPr>
          <w:p w14:paraId="25E4FED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Present Value (NPV) of Project A"</w:t>
            </w:r>
          </w:p>
        </w:tc>
        <w:tc>
          <w:tcPr>
            <w:tcW w:w="3995" w:type="dxa"/>
            <w:gridSpan w:val="2"/>
            <w:vMerge w:val="restart"/>
            <w:tcBorders>
              <w:top w:val="single" w:sz="4" w:space="0" w:color="000000"/>
              <w:left w:val="single" w:sz="4" w:space="0" w:color="000000"/>
              <w:bottom w:val="single" w:sz="4" w:space="0" w:color="000000"/>
              <w:right w:val="single" w:sz="4" w:space="0" w:color="000000"/>
            </w:tcBorders>
            <w:vAlign w:val="center"/>
          </w:tcPr>
          <w:p w14:paraId="5D123AA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                                              8.68 </w:t>
            </w:r>
          </w:p>
        </w:tc>
      </w:tr>
      <w:tr w:rsidR="00EB4B26" w14:paraId="443EF2EF" w14:textId="77777777">
        <w:trPr>
          <w:trHeight w:val="300"/>
          <w:jc w:val="center"/>
        </w:trPr>
        <w:tc>
          <w:tcPr>
            <w:tcW w:w="4802" w:type="dxa"/>
            <w:gridSpan w:val="3"/>
            <w:vMerge/>
            <w:tcBorders>
              <w:top w:val="single" w:sz="4" w:space="0" w:color="000000"/>
              <w:left w:val="single" w:sz="4" w:space="0" w:color="000000"/>
              <w:bottom w:val="nil"/>
              <w:right w:val="nil"/>
            </w:tcBorders>
            <w:vAlign w:val="center"/>
          </w:tcPr>
          <w:p w14:paraId="0A3DED08"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3995" w:type="dxa"/>
            <w:gridSpan w:val="2"/>
            <w:vMerge/>
            <w:tcBorders>
              <w:top w:val="single" w:sz="4" w:space="0" w:color="000000"/>
              <w:left w:val="single" w:sz="4" w:space="0" w:color="000000"/>
              <w:bottom w:val="single" w:sz="4" w:space="0" w:color="000000"/>
              <w:right w:val="single" w:sz="4" w:space="0" w:color="000000"/>
            </w:tcBorders>
            <w:vAlign w:val="center"/>
          </w:tcPr>
          <w:p w14:paraId="04BB08E7"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222" w:type="dxa"/>
            <w:tcBorders>
              <w:top w:val="nil"/>
              <w:left w:val="nil"/>
              <w:bottom w:val="nil"/>
              <w:right w:val="nil"/>
            </w:tcBorders>
            <w:vAlign w:val="bottom"/>
          </w:tcPr>
          <w:p w14:paraId="165133DA" w14:textId="77777777" w:rsidR="00EB4B26" w:rsidRDefault="00EB4B26">
            <w:pPr>
              <w:spacing w:before="0" w:after="0" w:line="240" w:lineRule="auto"/>
              <w:jc w:val="center"/>
              <w:rPr>
                <w:rFonts w:ascii="Arial" w:eastAsia="Arial" w:hAnsi="Arial" w:cs="Arial"/>
                <w:b/>
                <w:bCs/>
                <w:color w:val="000000"/>
              </w:rPr>
            </w:pPr>
          </w:p>
        </w:tc>
      </w:tr>
      <w:tr w:rsidR="00EB4B26" w14:paraId="66CAEC6E" w14:textId="77777777">
        <w:trPr>
          <w:trHeight w:val="312"/>
          <w:jc w:val="center"/>
        </w:trPr>
        <w:tc>
          <w:tcPr>
            <w:tcW w:w="4802" w:type="dxa"/>
            <w:gridSpan w:val="3"/>
            <w:tcBorders>
              <w:top w:val="single" w:sz="4" w:space="0" w:color="000000"/>
              <w:left w:val="single" w:sz="4" w:space="0" w:color="000000"/>
              <w:bottom w:val="single" w:sz="4" w:space="0" w:color="000000"/>
              <w:right w:val="single" w:sz="4" w:space="0" w:color="000000"/>
            </w:tcBorders>
            <w:vAlign w:val="center"/>
          </w:tcPr>
          <w:p w14:paraId="3DFA924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"Profitability Index (PI) of Project A" (NPV+Initial investment)/Initial investment</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50CA139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1.17</w:t>
            </w:r>
          </w:p>
        </w:tc>
        <w:tc>
          <w:tcPr>
            <w:tcW w:w="222" w:type="dxa"/>
            <w:vAlign w:val="center"/>
          </w:tcPr>
          <w:p w14:paraId="735D8BD9" w14:textId="77777777" w:rsidR="00EB4B26" w:rsidRDefault="00EB4B26">
            <w:pPr>
              <w:spacing w:before="0" w:after="0" w:line="240" w:lineRule="auto"/>
              <w:jc w:val="left"/>
              <w:rPr>
                <w:sz w:val="20"/>
                <w:szCs w:val="20"/>
              </w:rPr>
            </w:pPr>
          </w:p>
        </w:tc>
      </w:tr>
      <w:tr w:rsidR="00EB4B26" w14:paraId="0B58D293" w14:textId="77777777">
        <w:trPr>
          <w:trHeight w:val="300"/>
          <w:jc w:val="center"/>
        </w:trPr>
        <w:tc>
          <w:tcPr>
            <w:tcW w:w="951" w:type="dxa"/>
            <w:tcBorders>
              <w:top w:val="nil"/>
              <w:left w:val="nil"/>
              <w:bottom w:val="nil"/>
              <w:right w:val="nil"/>
            </w:tcBorders>
            <w:vAlign w:val="bottom"/>
          </w:tcPr>
          <w:p w14:paraId="11DD27AF" w14:textId="77777777" w:rsidR="00EB4B26" w:rsidRDefault="00EB4B26">
            <w:pPr>
              <w:spacing w:before="0" w:after="0" w:line="240" w:lineRule="auto"/>
              <w:jc w:val="center"/>
              <w:rPr>
                <w:rFonts w:ascii="Arial" w:eastAsia="Arial" w:hAnsi="Arial" w:cs="Arial"/>
                <w:b/>
                <w:bCs/>
                <w:color w:val="000000"/>
              </w:rPr>
            </w:pPr>
          </w:p>
        </w:tc>
        <w:tc>
          <w:tcPr>
            <w:tcW w:w="1984" w:type="dxa"/>
            <w:tcBorders>
              <w:top w:val="nil"/>
              <w:left w:val="nil"/>
              <w:bottom w:val="nil"/>
              <w:right w:val="nil"/>
            </w:tcBorders>
            <w:vAlign w:val="bottom"/>
          </w:tcPr>
          <w:p w14:paraId="6C481161" w14:textId="77777777" w:rsidR="00EB4B26" w:rsidRDefault="00EB4B26">
            <w:pPr>
              <w:spacing w:before="0" w:after="0" w:line="240" w:lineRule="auto"/>
              <w:jc w:val="left"/>
              <w:rPr>
                <w:sz w:val="20"/>
                <w:szCs w:val="20"/>
              </w:rPr>
            </w:pPr>
          </w:p>
        </w:tc>
        <w:tc>
          <w:tcPr>
            <w:tcW w:w="1867" w:type="dxa"/>
            <w:tcBorders>
              <w:top w:val="nil"/>
              <w:left w:val="nil"/>
              <w:bottom w:val="nil"/>
              <w:right w:val="nil"/>
            </w:tcBorders>
            <w:vAlign w:val="bottom"/>
          </w:tcPr>
          <w:p w14:paraId="23CFA7E8" w14:textId="77777777" w:rsidR="00EB4B26" w:rsidRDefault="00EB4B26">
            <w:pPr>
              <w:spacing w:before="0" w:after="0" w:line="240" w:lineRule="auto"/>
              <w:jc w:val="left"/>
              <w:rPr>
                <w:sz w:val="20"/>
                <w:szCs w:val="20"/>
              </w:rPr>
            </w:pPr>
          </w:p>
        </w:tc>
        <w:tc>
          <w:tcPr>
            <w:tcW w:w="2325" w:type="dxa"/>
            <w:tcBorders>
              <w:top w:val="nil"/>
              <w:left w:val="nil"/>
              <w:bottom w:val="nil"/>
              <w:right w:val="nil"/>
            </w:tcBorders>
            <w:vAlign w:val="bottom"/>
          </w:tcPr>
          <w:p w14:paraId="706937E2" w14:textId="77777777" w:rsidR="00EB4B26" w:rsidRDefault="00EB4B26">
            <w:pPr>
              <w:spacing w:before="0" w:after="0" w:line="240" w:lineRule="auto"/>
              <w:jc w:val="left"/>
              <w:rPr>
                <w:sz w:val="20"/>
                <w:szCs w:val="20"/>
              </w:rPr>
            </w:pPr>
          </w:p>
        </w:tc>
        <w:tc>
          <w:tcPr>
            <w:tcW w:w="1670" w:type="dxa"/>
            <w:tcBorders>
              <w:top w:val="nil"/>
              <w:left w:val="nil"/>
              <w:bottom w:val="nil"/>
              <w:right w:val="nil"/>
            </w:tcBorders>
            <w:vAlign w:val="bottom"/>
          </w:tcPr>
          <w:p w14:paraId="0F91D9AF" w14:textId="77777777" w:rsidR="00EB4B26" w:rsidRDefault="00EB4B26">
            <w:pPr>
              <w:spacing w:before="0" w:after="0" w:line="240" w:lineRule="auto"/>
              <w:jc w:val="left"/>
              <w:rPr>
                <w:sz w:val="20"/>
                <w:szCs w:val="20"/>
              </w:rPr>
            </w:pPr>
          </w:p>
        </w:tc>
        <w:tc>
          <w:tcPr>
            <w:tcW w:w="222" w:type="dxa"/>
            <w:vAlign w:val="center"/>
          </w:tcPr>
          <w:p w14:paraId="6958B65C" w14:textId="77777777" w:rsidR="00EB4B26" w:rsidRDefault="00EB4B26">
            <w:pPr>
              <w:spacing w:before="0" w:after="0" w:line="240" w:lineRule="auto"/>
              <w:jc w:val="left"/>
              <w:rPr>
                <w:sz w:val="20"/>
                <w:szCs w:val="20"/>
              </w:rPr>
            </w:pPr>
          </w:p>
        </w:tc>
      </w:tr>
      <w:tr w:rsidR="00EB4B26" w14:paraId="4380BE24" w14:textId="77777777">
        <w:trPr>
          <w:trHeight w:val="312"/>
          <w:jc w:val="center"/>
        </w:trPr>
        <w:tc>
          <w:tcPr>
            <w:tcW w:w="951" w:type="dxa"/>
            <w:tcBorders>
              <w:top w:val="single" w:sz="4" w:space="0" w:color="000000"/>
              <w:left w:val="single" w:sz="4" w:space="0" w:color="000000"/>
              <w:bottom w:val="single" w:sz="4" w:space="0" w:color="000000"/>
              <w:right w:val="single" w:sz="4" w:space="0" w:color="000000"/>
            </w:tcBorders>
            <w:vAlign w:val="center"/>
          </w:tcPr>
          <w:p w14:paraId="6992FB2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984" w:type="dxa"/>
            <w:tcBorders>
              <w:top w:val="single" w:sz="4" w:space="0" w:color="000000"/>
              <w:left w:val="nil"/>
              <w:bottom w:val="single" w:sz="4" w:space="0" w:color="000000"/>
              <w:right w:val="single" w:sz="4" w:space="0" w:color="000000"/>
            </w:tcBorders>
            <w:vAlign w:val="center"/>
          </w:tcPr>
          <w:p w14:paraId="46B94E3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867" w:type="dxa"/>
            <w:tcBorders>
              <w:top w:val="single" w:sz="4" w:space="0" w:color="000000"/>
              <w:left w:val="nil"/>
              <w:bottom w:val="single" w:sz="4" w:space="0" w:color="000000"/>
              <w:right w:val="single" w:sz="4" w:space="0" w:color="000000"/>
            </w:tcBorders>
            <w:vAlign w:val="center"/>
          </w:tcPr>
          <w:p w14:paraId="4DFAB8B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2325" w:type="dxa"/>
            <w:tcBorders>
              <w:top w:val="single" w:sz="4" w:space="0" w:color="000000"/>
              <w:left w:val="nil"/>
              <w:bottom w:val="single" w:sz="4" w:space="0" w:color="000000"/>
              <w:right w:val="single" w:sz="4" w:space="0" w:color="000000"/>
            </w:tcBorders>
            <w:vAlign w:val="center"/>
          </w:tcPr>
          <w:p w14:paraId="268E61A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1670" w:type="dxa"/>
            <w:tcBorders>
              <w:top w:val="single" w:sz="4" w:space="0" w:color="000000"/>
              <w:left w:val="nil"/>
              <w:bottom w:val="single" w:sz="4" w:space="0" w:color="000000"/>
              <w:right w:val="single" w:sz="4" w:space="0" w:color="000000"/>
            </w:tcBorders>
            <w:vAlign w:val="center"/>
          </w:tcPr>
          <w:p w14:paraId="3F44736C"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Cumulative</w:t>
            </w:r>
          </w:p>
        </w:tc>
        <w:tc>
          <w:tcPr>
            <w:tcW w:w="222" w:type="dxa"/>
            <w:vAlign w:val="center"/>
          </w:tcPr>
          <w:p w14:paraId="400CBB78" w14:textId="77777777" w:rsidR="00EB4B26" w:rsidRDefault="00EB4B26">
            <w:pPr>
              <w:spacing w:before="0" w:after="0" w:line="240" w:lineRule="auto"/>
              <w:jc w:val="left"/>
              <w:rPr>
                <w:sz w:val="20"/>
                <w:szCs w:val="20"/>
              </w:rPr>
            </w:pPr>
          </w:p>
        </w:tc>
      </w:tr>
      <w:tr w:rsidR="00EB4B26" w14:paraId="7D79CDF8"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3D0B32D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984" w:type="dxa"/>
            <w:tcBorders>
              <w:top w:val="nil"/>
              <w:left w:val="nil"/>
              <w:bottom w:val="single" w:sz="4" w:space="0" w:color="000000"/>
              <w:right w:val="single" w:sz="4" w:space="0" w:color="000000"/>
            </w:tcBorders>
            <w:vAlign w:val="bottom"/>
          </w:tcPr>
          <w:p w14:paraId="71AAFC3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867" w:type="dxa"/>
            <w:tcBorders>
              <w:top w:val="nil"/>
              <w:left w:val="nil"/>
              <w:bottom w:val="single" w:sz="4" w:space="0" w:color="000000"/>
              <w:right w:val="single" w:sz="4" w:space="0" w:color="000000"/>
            </w:tcBorders>
            <w:vAlign w:val="bottom"/>
          </w:tcPr>
          <w:p w14:paraId="479A78B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2325" w:type="dxa"/>
            <w:tcBorders>
              <w:top w:val="nil"/>
              <w:left w:val="nil"/>
              <w:bottom w:val="single" w:sz="4" w:space="0" w:color="000000"/>
              <w:right w:val="single" w:sz="4" w:space="0" w:color="000000"/>
            </w:tcBorders>
            <w:vAlign w:val="bottom"/>
          </w:tcPr>
          <w:p w14:paraId="0C16AB5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670" w:type="dxa"/>
            <w:tcBorders>
              <w:top w:val="nil"/>
              <w:left w:val="nil"/>
              <w:bottom w:val="single" w:sz="4" w:space="0" w:color="000000"/>
              <w:right w:val="single" w:sz="4" w:space="0" w:color="000000"/>
            </w:tcBorders>
            <w:vAlign w:val="bottom"/>
          </w:tcPr>
          <w:p w14:paraId="5CB75FA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50.00 </w:t>
            </w:r>
          </w:p>
        </w:tc>
        <w:tc>
          <w:tcPr>
            <w:tcW w:w="222" w:type="dxa"/>
            <w:vAlign w:val="center"/>
          </w:tcPr>
          <w:p w14:paraId="01DC5A1D" w14:textId="77777777" w:rsidR="00EB4B26" w:rsidRDefault="00EB4B26">
            <w:pPr>
              <w:spacing w:before="0" w:after="0" w:line="240" w:lineRule="auto"/>
              <w:jc w:val="left"/>
              <w:rPr>
                <w:sz w:val="20"/>
                <w:szCs w:val="20"/>
              </w:rPr>
            </w:pPr>
          </w:p>
        </w:tc>
      </w:tr>
      <w:tr w:rsidR="00EB4B26" w14:paraId="79BCCD8C"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44DF8F3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984" w:type="dxa"/>
            <w:tcBorders>
              <w:top w:val="nil"/>
              <w:left w:val="nil"/>
              <w:bottom w:val="single" w:sz="4" w:space="0" w:color="000000"/>
              <w:right w:val="single" w:sz="4" w:space="0" w:color="000000"/>
            </w:tcBorders>
            <w:vAlign w:val="bottom"/>
          </w:tcPr>
          <w:p w14:paraId="4F8625F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single" w:sz="4" w:space="0" w:color="000000"/>
            </w:tcBorders>
            <w:vAlign w:val="bottom"/>
          </w:tcPr>
          <w:p w14:paraId="686A7D2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2325" w:type="dxa"/>
            <w:tcBorders>
              <w:top w:val="nil"/>
              <w:left w:val="nil"/>
              <w:bottom w:val="single" w:sz="4" w:space="0" w:color="000000"/>
              <w:right w:val="single" w:sz="4" w:space="0" w:color="000000"/>
            </w:tcBorders>
            <w:vAlign w:val="bottom"/>
          </w:tcPr>
          <w:p w14:paraId="584FD22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c>
          <w:tcPr>
            <w:tcW w:w="1670" w:type="dxa"/>
            <w:tcBorders>
              <w:top w:val="nil"/>
              <w:left w:val="nil"/>
              <w:bottom w:val="single" w:sz="4" w:space="0" w:color="000000"/>
              <w:right w:val="single" w:sz="4" w:space="0" w:color="000000"/>
            </w:tcBorders>
            <w:vAlign w:val="bottom"/>
          </w:tcPr>
          <w:p w14:paraId="093EEB1B"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40.91 </w:t>
            </w:r>
          </w:p>
        </w:tc>
        <w:tc>
          <w:tcPr>
            <w:tcW w:w="222" w:type="dxa"/>
            <w:vAlign w:val="center"/>
          </w:tcPr>
          <w:p w14:paraId="4DCE2DB8" w14:textId="77777777" w:rsidR="00EB4B26" w:rsidRDefault="00EB4B26">
            <w:pPr>
              <w:spacing w:before="0" w:after="0" w:line="240" w:lineRule="auto"/>
              <w:jc w:val="left"/>
              <w:rPr>
                <w:sz w:val="20"/>
                <w:szCs w:val="20"/>
              </w:rPr>
            </w:pPr>
          </w:p>
        </w:tc>
      </w:tr>
      <w:tr w:rsidR="00EB4B26" w14:paraId="0E5A3601"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5B266EA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984" w:type="dxa"/>
            <w:tcBorders>
              <w:top w:val="nil"/>
              <w:left w:val="nil"/>
              <w:bottom w:val="single" w:sz="4" w:space="0" w:color="000000"/>
              <w:right w:val="single" w:sz="4" w:space="0" w:color="000000"/>
            </w:tcBorders>
            <w:vAlign w:val="bottom"/>
          </w:tcPr>
          <w:p w14:paraId="6C7064D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12.00 </w:t>
            </w:r>
          </w:p>
        </w:tc>
        <w:tc>
          <w:tcPr>
            <w:tcW w:w="1867" w:type="dxa"/>
            <w:tcBorders>
              <w:top w:val="nil"/>
              <w:left w:val="nil"/>
              <w:bottom w:val="single" w:sz="4" w:space="0" w:color="000000"/>
              <w:right w:val="single" w:sz="4" w:space="0" w:color="000000"/>
            </w:tcBorders>
            <w:vAlign w:val="bottom"/>
          </w:tcPr>
          <w:p w14:paraId="2EDA952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2325" w:type="dxa"/>
            <w:tcBorders>
              <w:top w:val="nil"/>
              <w:left w:val="nil"/>
              <w:bottom w:val="single" w:sz="4" w:space="0" w:color="000000"/>
              <w:right w:val="single" w:sz="4" w:space="0" w:color="000000"/>
            </w:tcBorders>
            <w:vAlign w:val="bottom"/>
          </w:tcPr>
          <w:p w14:paraId="1299DB5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9.92 </w:t>
            </w:r>
          </w:p>
        </w:tc>
        <w:tc>
          <w:tcPr>
            <w:tcW w:w="1670" w:type="dxa"/>
            <w:tcBorders>
              <w:top w:val="nil"/>
              <w:left w:val="nil"/>
              <w:bottom w:val="single" w:sz="4" w:space="0" w:color="000000"/>
              <w:right w:val="single" w:sz="4" w:space="0" w:color="000000"/>
            </w:tcBorders>
            <w:vAlign w:val="bottom"/>
          </w:tcPr>
          <w:p w14:paraId="3380FD2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30.99 </w:t>
            </w:r>
          </w:p>
        </w:tc>
        <w:tc>
          <w:tcPr>
            <w:tcW w:w="222" w:type="dxa"/>
            <w:vAlign w:val="center"/>
          </w:tcPr>
          <w:p w14:paraId="767C01B3" w14:textId="77777777" w:rsidR="00EB4B26" w:rsidRDefault="00EB4B26">
            <w:pPr>
              <w:spacing w:before="0" w:after="0" w:line="240" w:lineRule="auto"/>
              <w:jc w:val="left"/>
              <w:rPr>
                <w:sz w:val="20"/>
                <w:szCs w:val="20"/>
              </w:rPr>
            </w:pPr>
          </w:p>
        </w:tc>
      </w:tr>
      <w:tr w:rsidR="00EB4B26" w14:paraId="03BBAA9B"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35D66F2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984" w:type="dxa"/>
            <w:tcBorders>
              <w:top w:val="nil"/>
              <w:left w:val="nil"/>
              <w:bottom w:val="single" w:sz="4" w:space="0" w:color="000000"/>
              <w:right w:val="single" w:sz="4" w:space="0" w:color="000000"/>
            </w:tcBorders>
            <w:vAlign w:val="bottom"/>
          </w:tcPr>
          <w:p w14:paraId="7E72D3C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14.00 </w:t>
            </w:r>
          </w:p>
        </w:tc>
        <w:tc>
          <w:tcPr>
            <w:tcW w:w="1867" w:type="dxa"/>
            <w:tcBorders>
              <w:top w:val="nil"/>
              <w:left w:val="nil"/>
              <w:bottom w:val="single" w:sz="4" w:space="0" w:color="000000"/>
              <w:right w:val="single" w:sz="4" w:space="0" w:color="000000"/>
            </w:tcBorders>
            <w:vAlign w:val="bottom"/>
          </w:tcPr>
          <w:p w14:paraId="1633645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2325" w:type="dxa"/>
            <w:tcBorders>
              <w:top w:val="nil"/>
              <w:left w:val="nil"/>
              <w:bottom w:val="single" w:sz="4" w:space="0" w:color="000000"/>
              <w:right w:val="single" w:sz="4" w:space="0" w:color="000000"/>
            </w:tcBorders>
            <w:vAlign w:val="bottom"/>
          </w:tcPr>
          <w:p w14:paraId="4C9E335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10.52 </w:t>
            </w:r>
          </w:p>
        </w:tc>
        <w:tc>
          <w:tcPr>
            <w:tcW w:w="1670" w:type="dxa"/>
            <w:tcBorders>
              <w:top w:val="nil"/>
              <w:left w:val="nil"/>
              <w:bottom w:val="single" w:sz="4" w:space="0" w:color="000000"/>
              <w:right w:val="single" w:sz="4" w:space="0" w:color="000000"/>
            </w:tcBorders>
            <w:vAlign w:val="bottom"/>
          </w:tcPr>
          <w:p w14:paraId="6C24EF4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20.47 </w:t>
            </w:r>
          </w:p>
        </w:tc>
        <w:tc>
          <w:tcPr>
            <w:tcW w:w="222" w:type="dxa"/>
            <w:vAlign w:val="center"/>
          </w:tcPr>
          <w:p w14:paraId="5FFCE3CA" w14:textId="77777777" w:rsidR="00EB4B26" w:rsidRDefault="00EB4B26">
            <w:pPr>
              <w:spacing w:before="0" w:after="0" w:line="240" w:lineRule="auto"/>
              <w:jc w:val="left"/>
              <w:rPr>
                <w:sz w:val="20"/>
                <w:szCs w:val="20"/>
              </w:rPr>
            </w:pPr>
          </w:p>
        </w:tc>
      </w:tr>
      <w:tr w:rsidR="00EB4B26" w14:paraId="78201BED"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518CB73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984" w:type="dxa"/>
            <w:tcBorders>
              <w:top w:val="nil"/>
              <w:left w:val="nil"/>
              <w:bottom w:val="single" w:sz="4" w:space="0" w:color="000000"/>
              <w:right w:val="single" w:sz="4" w:space="0" w:color="000000"/>
            </w:tcBorders>
            <w:vAlign w:val="bottom"/>
          </w:tcPr>
          <w:p w14:paraId="1E5D16E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single" w:sz="4" w:space="0" w:color="000000"/>
            </w:tcBorders>
            <w:vAlign w:val="bottom"/>
          </w:tcPr>
          <w:p w14:paraId="7443E9D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2325" w:type="dxa"/>
            <w:tcBorders>
              <w:top w:val="nil"/>
              <w:left w:val="nil"/>
              <w:bottom w:val="single" w:sz="4" w:space="0" w:color="000000"/>
              <w:right w:val="single" w:sz="4" w:space="0" w:color="000000"/>
            </w:tcBorders>
            <w:vAlign w:val="bottom"/>
          </w:tcPr>
          <w:p w14:paraId="6C6FB69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c>
          <w:tcPr>
            <w:tcW w:w="1670" w:type="dxa"/>
            <w:tcBorders>
              <w:top w:val="nil"/>
              <w:left w:val="nil"/>
              <w:bottom w:val="single" w:sz="4" w:space="0" w:color="000000"/>
              <w:right w:val="single" w:sz="4" w:space="0" w:color="000000"/>
            </w:tcBorders>
            <w:vAlign w:val="bottom"/>
          </w:tcPr>
          <w:p w14:paraId="14BCFA67"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13.64 </w:t>
            </w:r>
          </w:p>
        </w:tc>
        <w:tc>
          <w:tcPr>
            <w:tcW w:w="222" w:type="dxa"/>
            <w:vAlign w:val="center"/>
          </w:tcPr>
          <w:p w14:paraId="30DF0DC5" w14:textId="77777777" w:rsidR="00EB4B26" w:rsidRDefault="00EB4B26">
            <w:pPr>
              <w:spacing w:before="0" w:after="0" w:line="240" w:lineRule="auto"/>
              <w:jc w:val="left"/>
              <w:rPr>
                <w:sz w:val="20"/>
                <w:szCs w:val="20"/>
              </w:rPr>
            </w:pPr>
          </w:p>
        </w:tc>
      </w:tr>
      <w:tr w:rsidR="00EB4B26" w14:paraId="7CE5767A"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02DC396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984" w:type="dxa"/>
            <w:tcBorders>
              <w:top w:val="nil"/>
              <w:left w:val="nil"/>
              <w:bottom w:val="single" w:sz="4" w:space="0" w:color="000000"/>
              <w:right w:val="single" w:sz="4" w:space="0" w:color="000000"/>
            </w:tcBorders>
            <w:vAlign w:val="bottom"/>
          </w:tcPr>
          <w:p w14:paraId="5591EF7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8.00 </w:t>
            </w:r>
          </w:p>
        </w:tc>
        <w:tc>
          <w:tcPr>
            <w:tcW w:w="1867" w:type="dxa"/>
            <w:tcBorders>
              <w:top w:val="nil"/>
              <w:left w:val="nil"/>
              <w:bottom w:val="single" w:sz="4" w:space="0" w:color="000000"/>
              <w:right w:val="single" w:sz="4" w:space="0" w:color="000000"/>
            </w:tcBorders>
            <w:vAlign w:val="bottom"/>
          </w:tcPr>
          <w:p w14:paraId="5A9C8F0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2325" w:type="dxa"/>
            <w:tcBorders>
              <w:top w:val="nil"/>
              <w:left w:val="nil"/>
              <w:bottom w:val="single" w:sz="4" w:space="0" w:color="000000"/>
              <w:right w:val="single" w:sz="4" w:space="0" w:color="000000"/>
            </w:tcBorders>
            <w:vAlign w:val="bottom"/>
          </w:tcPr>
          <w:p w14:paraId="43281ED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4.97 </w:t>
            </w:r>
          </w:p>
        </w:tc>
        <w:tc>
          <w:tcPr>
            <w:tcW w:w="1670" w:type="dxa"/>
            <w:tcBorders>
              <w:top w:val="nil"/>
              <w:left w:val="nil"/>
              <w:bottom w:val="single" w:sz="4" w:space="0" w:color="000000"/>
              <w:right w:val="single" w:sz="4" w:space="0" w:color="000000"/>
            </w:tcBorders>
            <w:vAlign w:val="bottom"/>
          </w:tcPr>
          <w:p w14:paraId="7533FE6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8.68 </w:t>
            </w:r>
          </w:p>
        </w:tc>
        <w:tc>
          <w:tcPr>
            <w:tcW w:w="222" w:type="dxa"/>
            <w:vAlign w:val="center"/>
          </w:tcPr>
          <w:p w14:paraId="66B30576" w14:textId="77777777" w:rsidR="00EB4B26" w:rsidRDefault="00EB4B26">
            <w:pPr>
              <w:spacing w:before="0" w:after="0" w:line="240" w:lineRule="auto"/>
              <w:jc w:val="left"/>
              <w:rPr>
                <w:sz w:val="20"/>
                <w:szCs w:val="20"/>
              </w:rPr>
            </w:pPr>
          </w:p>
        </w:tc>
      </w:tr>
      <w:tr w:rsidR="00EB4B26" w14:paraId="359A3FF2" w14:textId="77777777">
        <w:trPr>
          <w:trHeight w:val="624"/>
          <w:jc w:val="center"/>
        </w:trPr>
        <w:tc>
          <w:tcPr>
            <w:tcW w:w="7127" w:type="dxa"/>
            <w:gridSpan w:val="4"/>
            <w:tcBorders>
              <w:top w:val="single" w:sz="4" w:space="0" w:color="000000"/>
              <w:left w:val="single" w:sz="4" w:space="0" w:color="000000"/>
              <w:bottom w:val="single" w:sz="4" w:space="0" w:color="000000"/>
              <w:right w:val="single" w:sz="4" w:space="0" w:color="000000"/>
            </w:tcBorders>
            <w:vAlign w:val="center"/>
          </w:tcPr>
          <w:p w14:paraId="09FF14C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"Payback Period (PBP) of Project A"</w:t>
            </w:r>
          </w:p>
        </w:tc>
        <w:tc>
          <w:tcPr>
            <w:tcW w:w="1670" w:type="dxa"/>
            <w:tcBorders>
              <w:top w:val="nil"/>
              <w:left w:val="nil"/>
              <w:bottom w:val="single" w:sz="4" w:space="0" w:color="000000"/>
              <w:right w:val="single" w:sz="4" w:space="0" w:color="000000"/>
            </w:tcBorders>
            <w:vAlign w:val="center"/>
          </w:tcPr>
          <w:p w14:paraId="19CC732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Not Recovered</w:t>
            </w:r>
          </w:p>
        </w:tc>
        <w:tc>
          <w:tcPr>
            <w:tcW w:w="222" w:type="dxa"/>
            <w:vAlign w:val="center"/>
          </w:tcPr>
          <w:p w14:paraId="536A71BD" w14:textId="77777777" w:rsidR="00EB4B26" w:rsidRDefault="00EB4B26">
            <w:pPr>
              <w:spacing w:before="0" w:after="0" w:line="240" w:lineRule="auto"/>
              <w:jc w:val="left"/>
              <w:rPr>
                <w:sz w:val="20"/>
                <w:szCs w:val="20"/>
              </w:rPr>
            </w:pPr>
          </w:p>
        </w:tc>
      </w:tr>
      <w:tr w:rsidR="00EB4B26" w14:paraId="553A53A9" w14:textId="77777777">
        <w:trPr>
          <w:trHeight w:val="300"/>
          <w:jc w:val="center"/>
        </w:trPr>
        <w:tc>
          <w:tcPr>
            <w:tcW w:w="951" w:type="dxa"/>
            <w:tcBorders>
              <w:top w:val="nil"/>
              <w:left w:val="nil"/>
              <w:bottom w:val="nil"/>
              <w:right w:val="nil"/>
            </w:tcBorders>
            <w:vAlign w:val="bottom"/>
          </w:tcPr>
          <w:p w14:paraId="7993EA0C" w14:textId="77777777" w:rsidR="00EB4B26" w:rsidRDefault="00EB4B26">
            <w:pPr>
              <w:spacing w:before="0" w:after="0" w:line="240" w:lineRule="auto"/>
              <w:jc w:val="center"/>
              <w:rPr>
                <w:rFonts w:ascii="Arial" w:eastAsia="Arial" w:hAnsi="Arial" w:cs="Arial"/>
                <w:b/>
                <w:bCs/>
                <w:color w:val="000000"/>
              </w:rPr>
            </w:pPr>
          </w:p>
        </w:tc>
        <w:tc>
          <w:tcPr>
            <w:tcW w:w="1984" w:type="dxa"/>
            <w:tcBorders>
              <w:top w:val="nil"/>
              <w:left w:val="nil"/>
              <w:bottom w:val="nil"/>
              <w:right w:val="nil"/>
            </w:tcBorders>
            <w:vAlign w:val="bottom"/>
          </w:tcPr>
          <w:p w14:paraId="3A86C4F9" w14:textId="77777777" w:rsidR="00EB4B26" w:rsidRDefault="00EB4B26">
            <w:pPr>
              <w:spacing w:before="0" w:after="0" w:line="240" w:lineRule="auto"/>
              <w:jc w:val="left"/>
              <w:rPr>
                <w:sz w:val="20"/>
                <w:szCs w:val="20"/>
              </w:rPr>
            </w:pPr>
          </w:p>
        </w:tc>
        <w:tc>
          <w:tcPr>
            <w:tcW w:w="1867" w:type="dxa"/>
            <w:tcBorders>
              <w:top w:val="nil"/>
              <w:left w:val="nil"/>
              <w:bottom w:val="nil"/>
              <w:right w:val="nil"/>
            </w:tcBorders>
            <w:vAlign w:val="bottom"/>
          </w:tcPr>
          <w:p w14:paraId="5F3F4C9D" w14:textId="77777777" w:rsidR="00EB4B26" w:rsidRDefault="00EB4B26">
            <w:pPr>
              <w:spacing w:before="0" w:after="0" w:line="240" w:lineRule="auto"/>
              <w:jc w:val="left"/>
              <w:rPr>
                <w:sz w:val="20"/>
                <w:szCs w:val="20"/>
              </w:rPr>
            </w:pPr>
          </w:p>
        </w:tc>
        <w:tc>
          <w:tcPr>
            <w:tcW w:w="2325" w:type="dxa"/>
            <w:tcBorders>
              <w:top w:val="nil"/>
              <w:left w:val="nil"/>
              <w:bottom w:val="nil"/>
              <w:right w:val="nil"/>
            </w:tcBorders>
            <w:vAlign w:val="bottom"/>
          </w:tcPr>
          <w:p w14:paraId="1A6AF9CE" w14:textId="77777777" w:rsidR="00EB4B26" w:rsidRDefault="00EB4B26">
            <w:pPr>
              <w:spacing w:before="0" w:after="0" w:line="240" w:lineRule="auto"/>
              <w:jc w:val="left"/>
              <w:rPr>
                <w:sz w:val="20"/>
                <w:szCs w:val="20"/>
              </w:rPr>
            </w:pPr>
          </w:p>
        </w:tc>
        <w:tc>
          <w:tcPr>
            <w:tcW w:w="1670" w:type="dxa"/>
            <w:tcBorders>
              <w:top w:val="nil"/>
              <w:left w:val="nil"/>
              <w:bottom w:val="nil"/>
              <w:right w:val="nil"/>
            </w:tcBorders>
            <w:vAlign w:val="bottom"/>
          </w:tcPr>
          <w:p w14:paraId="14FE145A" w14:textId="77777777" w:rsidR="00EB4B26" w:rsidRDefault="00EB4B26">
            <w:pPr>
              <w:spacing w:before="0" w:after="0" w:line="240" w:lineRule="auto"/>
              <w:jc w:val="left"/>
              <w:rPr>
                <w:sz w:val="20"/>
                <w:szCs w:val="20"/>
              </w:rPr>
            </w:pPr>
          </w:p>
        </w:tc>
        <w:tc>
          <w:tcPr>
            <w:tcW w:w="222" w:type="dxa"/>
            <w:vAlign w:val="center"/>
          </w:tcPr>
          <w:p w14:paraId="725F833B" w14:textId="77777777" w:rsidR="00EB4B26" w:rsidRDefault="00EB4B26">
            <w:pPr>
              <w:spacing w:before="0" w:after="0" w:line="240" w:lineRule="auto"/>
              <w:jc w:val="left"/>
              <w:rPr>
                <w:sz w:val="20"/>
                <w:szCs w:val="20"/>
              </w:rPr>
            </w:pPr>
          </w:p>
        </w:tc>
      </w:tr>
      <w:tr w:rsidR="00EB4B26" w14:paraId="0A535178" w14:textId="77777777">
        <w:trPr>
          <w:trHeight w:val="312"/>
          <w:jc w:val="center"/>
        </w:trPr>
        <w:tc>
          <w:tcPr>
            <w:tcW w:w="951" w:type="dxa"/>
            <w:tcBorders>
              <w:top w:val="single" w:sz="4" w:space="0" w:color="000000"/>
              <w:left w:val="single" w:sz="4" w:space="0" w:color="000000"/>
              <w:bottom w:val="single" w:sz="4" w:space="0" w:color="000000"/>
              <w:right w:val="single" w:sz="4" w:space="0" w:color="000000"/>
            </w:tcBorders>
            <w:vAlign w:val="center"/>
          </w:tcPr>
          <w:p w14:paraId="39A8638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984" w:type="dxa"/>
            <w:tcBorders>
              <w:top w:val="single" w:sz="4" w:space="0" w:color="000000"/>
              <w:left w:val="nil"/>
              <w:bottom w:val="single" w:sz="4" w:space="0" w:color="000000"/>
              <w:right w:val="single" w:sz="4" w:space="0" w:color="000000"/>
            </w:tcBorders>
            <w:vAlign w:val="center"/>
          </w:tcPr>
          <w:p w14:paraId="0BFEB91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Cashflow</w:t>
            </w:r>
          </w:p>
        </w:tc>
        <w:tc>
          <w:tcPr>
            <w:tcW w:w="1867" w:type="dxa"/>
            <w:tcBorders>
              <w:top w:val="single" w:sz="4" w:space="0" w:color="000000"/>
              <w:left w:val="nil"/>
              <w:bottom w:val="single" w:sz="4" w:space="0" w:color="000000"/>
              <w:right w:val="nil"/>
            </w:tcBorders>
            <w:vAlign w:val="center"/>
          </w:tcPr>
          <w:p w14:paraId="460F5DA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5689AA2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2" w:type="dxa"/>
            <w:vAlign w:val="center"/>
          </w:tcPr>
          <w:p w14:paraId="7A50D6F4" w14:textId="77777777" w:rsidR="00EB4B26" w:rsidRDefault="00EB4B26">
            <w:pPr>
              <w:spacing w:before="0" w:after="0" w:line="240" w:lineRule="auto"/>
              <w:jc w:val="left"/>
              <w:rPr>
                <w:sz w:val="20"/>
                <w:szCs w:val="20"/>
              </w:rPr>
            </w:pPr>
          </w:p>
        </w:tc>
      </w:tr>
      <w:tr w:rsidR="00EB4B26" w14:paraId="58E0068F"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396921C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984" w:type="dxa"/>
            <w:tcBorders>
              <w:top w:val="nil"/>
              <w:left w:val="nil"/>
              <w:bottom w:val="single" w:sz="4" w:space="0" w:color="000000"/>
              <w:right w:val="single" w:sz="4" w:space="0" w:color="000000"/>
            </w:tcBorders>
            <w:vAlign w:val="bottom"/>
          </w:tcPr>
          <w:p w14:paraId="1141266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867" w:type="dxa"/>
            <w:tcBorders>
              <w:top w:val="nil"/>
              <w:left w:val="nil"/>
              <w:bottom w:val="single" w:sz="4" w:space="0" w:color="000000"/>
              <w:right w:val="nil"/>
            </w:tcBorders>
            <w:vAlign w:val="bottom"/>
          </w:tcPr>
          <w:p w14:paraId="0B6A50B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08A6A75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2" w:type="dxa"/>
            <w:vAlign w:val="center"/>
          </w:tcPr>
          <w:p w14:paraId="7C6F676F" w14:textId="77777777" w:rsidR="00EB4B26" w:rsidRDefault="00EB4B26">
            <w:pPr>
              <w:spacing w:before="0" w:after="0" w:line="240" w:lineRule="auto"/>
              <w:jc w:val="left"/>
              <w:rPr>
                <w:sz w:val="20"/>
                <w:szCs w:val="20"/>
              </w:rPr>
            </w:pPr>
          </w:p>
        </w:tc>
      </w:tr>
      <w:tr w:rsidR="00EB4B26" w14:paraId="5A17C1E0"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256871E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984" w:type="dxa"/>
            <w:tcBorders>
              <w:top w:val="nil"/>
              <w:left w:val="nil"/>
              <w:bottom w:val="single" w:sz="4" w:space="0" w:color="000000"/>
              <w:right w:val="single" w:sz="4" w:space="0" w:color="000000"/>
            </w:tcBorders>
            <w:vAlign w:val="bottom"/>
          </w:tcPr>
          <w:p w14:paraId="32E61EC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bottom"/>
          </w:tcPr>
          <w:p w14:paraId="4137A82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0F3B0E0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c>
          <w:tcPr>
            <w:tcW w:w="222" w:type="dxa"/>
            <w:vAlign w:val="center"/>
          </w:tcPr>
          <w:p w14:paraId="6794FF6C" w14:textId="77777777" w:rsidR="00EB4B26" w:rsidRDefault="00EB4B26">
            <w:pPr>
              <w:spacing w:before="0" w:after="0" w:line="240" w:lineRule="auto"/>
              <w:jc w:val="left"/>
              <w:rPr>
                <w:sz w:val="20"/>
                <w:szCs w:val="20"/>
              </w:rPr>
            </w:pPr>
          </w:p>
        </w:tc>
      </w:tr>
      <w:tr w:rsidR="00EB4B26" w14:paraId="2667B30D"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5C75A0F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984" w:type="dxa"/>
            <w:tcBorders>
              <w:top w:val="nil"/>
              <w:left w:val="nil"/>
              <w:bottom w:val="single" w:sz="4" w:space="0" w:color="000000"/>
              <w:right w:val="single" w:sz="4" w:space="0" w:color="000000"/>
            </w:tcBorders>
            <w:vAlign w:val="bottom"/>
          </w:tcPr>
          <w:p w14:paraId="27AC0CF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12.00 </w:t>
            </w:r>
          </w:p>
        </w:tc>
        <w:tc>
          <w:tcPr>
            <w:tcW w:w="1867" w:type="dxa"/>
            <w:tcBorders>
              <w:top w:val="nil"/>
              <w:left w:val="nil"/>
              <w:bottom w:val="single" w:sz="4" w:space="0" w:color="000000"/>
              <w:right w:val="nil"/>
            </w:tcBorders>
            <w:vAlign w:val="bottom"/>
          </w:tcPr>
          <w:p w14:paraId="0E7A9AF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10983F9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9.92 </w:t>
            </w:r>
          </w:p>
        </w:tc>
        <w:tc>
          <w:tcPr>
            <w:tcW w:w="222" w:type="dxa"/>
            <w:vAlign w:val="center"/>
          </w:tcPr>
          <w:p w14:paraId="3BCC445F" w14:textId="77777777" w:rsidR="00EB4B26" w:rsidRDefault="00EB4B26">
            <w:pPr>
              <w:spacing w:before="0" w:after="0" w:line="240" w:lineRule="auto"/>
              <w:jc w:val="left"/>
              <w:rPr>
                <w:sz w:val="20"/>
                <w:szCs w:val="20"/>
              </w:rPr>
            </w:pPr>
          </w:p>
        </w:tc>
      </w:tr>
      <w:tr w:rsidR="00EB4B26" w14:paraId="19841B68"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734CB89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lastRenderedPageBreak/>
              <w:t>3</w:t>
            </w:r>
          </w:p>
        </w:tc>
        <w:tc>
          <w:tcPr>
            <w:tcW w:w="1984" w:type="dxa"/>
            <w:tcBorders>
              <w:top w:val="nil"/>
              <w:left w:val="nil"/>
              <w:bottom w:val="single" w:sz="4" w:space="0" w:color="000000"/>
              <w:right w:val="single" w:sz="4" w:space="0" w:color="000000"/>
            </w:tcBorders>
            <w:vAlign w:val="bottom"/>
          </w:tcPr>
          <w:p w14:paraId="61523B8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14.00 </w:t>
            </w:r>
          </w:p>
        </w:tc>
        <w:tc>
          <w:tcPr>
            <w:tcW w:w="1867" w:type="dxa"/>
            <w:tcBorders>
              <w:top w:val="nil"/>
              <w:left w:val="nil"/>
              <w:bottom w:val="single" w:sz="4" w:space="0" w:color="000000"/>
              <w:right w:val="nil"/>
            </w:tcBorders>
            <w:vAlign w:val="bottom"/>
          </w:tcPr>
          <w:p w14:paraId="2AC3107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185AD42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10.52 </w:t>
            </w:r>
          </w:p>
        </w:tc>
        <w:tc>
          <w:tcPr>
            <w:tcW w:w="222" w:type="dxa"/>
            <w:vAlign w:val="center"/>
          </w:tcPr>
          <w:p w14:paraId="6F89EE33" w14:textId="77777777" w:rsidR="00EB4B26" w:rsidRDefault="00EB4B26">
            <w:pPr>
              <w:spacing w:before="0" w:after="0" w:line="240" w:lineRule="auto"/>
              <w:jc w:val="left"/>
              <w:rPr>
                <w:sz w:val="20"/>
                <w:szCs w:val="20"/>
              </w:rPr>
            </w:pPr>
          </w:p>
        </w:tc>
      </w:tr>
      <w:tr w:rsidR="00EB4B26" w14:paraId="40F1B60B"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7C1C287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984" w:type="dxa"/>
            <w:tcBorders>
              <w:top w:val="nil"/>
              <w:left w:val="nil"/>
              <w:bottom w:val="single" w:sz="4" w:space="0" w:color="000000"/>
              <w:right w:val="single" w:sz="4" w:space="0" w:color="000000"/>
            </w:tcBorders>
            <w:vAlign w:val="bottom"/>
          </w:tcPr>
          <w:p w14:paraId="5F4851B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bottom"/>
          </w:tcPr>
          <w:p w14:paraId="7473AB3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147CB06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c>
          <w:tcPr>
            <w:tcW w:w="222" w:type="dxa"/>
            <w:vAlign w:val="center"/>
          </w:tcPr>
          <w:p w14:paraId="0E893638" w14:textId="77777777" w:rsidR="00EB4B26" w:rsidRDefault="00EB4B26">
            <w:pPr>
              <w:spacing w:before="0" w:after="0" w:line="240" w:lineRule="auto"/>
              <w:jc w:val="left"/>
              <w:rPr>
                <w:sz w:val="20"/>
                <w:szCs w:val="20"/>
              </w:rPr>
            </w:pPr>
          </w:p>
        </w:tc>
      </w:tr>
      <w:tr w:rsidR="00EB4B26" w14:paraId="2680AA38" w14:textId="77777777">
        <w:trPr>
          <w:trHeight w:val="300"/>
          <w:jc w:val="center"/>
        </w:trPr>
        <w:tc>
          <w:tcPr>
            <w:tcW w:w="951" w:type="dxa"/>
            <w:tcBorders>
              <w:top w:val="nil"/>
              <w:left w:val="single" w:sz="4" w:space="0" w:color="000000"/>
              <w:bottom w:val="single" w:sz="4" w:space="0" w:color="000000"/>
              <w:right w:val="single" w:sz="4" w:space="0" w:color="000000"/>
            </w:tcBorders>
            <w:vAlign w:val="bottom"/>
          </w:tcPr>
          <w:p w14:paraId="13E1AA9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984" w:type="dxa"/>
            <w:tcBorders>
              <w:top w:val="nil"/>
              <w:left w:val="nil"/>
              <w:bottom w:val="single" w:sz="4" w:space="0" w:color="000000"/>
              <w:right w:val="single" w:sz="4" w:space="0" w:color="000000"/>
            </w:tcBorders>
            <w:vAlign w:val="bottom"/>
          </w:tcPr>
          <w:p w14:paraId="5359966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8.00 </w:t>
            </w:r>
          </w:p>
        </w:tc>
        <w:tc>
          <w:tcPr>
            <w:tcW w:w="1867" w:type="dxa"/>
            <w:tcBorders>
              <w:top w:val="nil"/>
              <w:left w:val="nil"/>
              <w:bottom w:val="single" w:sz="4" w:space="0" w:color="000000"/>
              <w:right w:val="nil"/>
            </w:tcBorders>
            <w:vAlign w:val="bottom"/>
          </w:tcPr>
          <w:p w14:paraId="2EECC95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3995" w:type="dxa"/>
            <w:gridSpan w:val="2"/>
            <w:tcBorders>
              <w:top w:val="single" w:sz="4" w:space="0" w:color="000000"/>
              <w:left w:val="single" w:sz="4" w:space="0" w:color="000000"/>
              <w:bottom w:val="single" w:sz="4" w:space="0" w:color="000000"/>
              <w:right w:val="single" w:sz="4" w:space="0" w:color="000000"/>
            </w:tcBorders>
            <w:vAlign w:val="bottom"/>
          </w:tcPr>
          <w:p w14:paraId="4CF3C34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4.97 </w:t>
            </w:r>
          </w:p>
        </w:tc>
        <w:tc>
          <w:tcPr>
            <w:tcW w:w="222" w:type="dxa"/>
            <w:vAlign w:val="center"/>
          </w:tcPr>
          <w:p w14:paraId="3E964923" w14:textId="77777777" w:rsidR="00EB4B26" w:rsidRDefault="00EB4B26">
            <w:pPr>
              <w:spacing w:before="0" w:after="0" w:line="240" w:lineRule="auto"/>
              <w:jc w:val="left"/>
              <w:rPr>
                <w:sz w:val="20"/>
                <w:szCs w:val="20"/>
              </w:rPr>
            </w:pPr>
          </w:p>
        </w:tc>
      </w:tr>
      <w:tr w:rsidR="00EB4B26" w14:paraId="77A73EFC" w14:textId="77777777">
        <w:trPr>
          <w:trHeight w:val="312"/>
          <w:jc w:val="center"/>
        </w:trPr>
        <w:tc>
          <w:tcPr>
            <w:tcW w:w="4802" w:type="dxa"/>
            <w:gridSpan w:val="3"/>
            <w:tcBorders>
              <w:top w:val="single" w:sz="4" w:space="0" w:color="000000"/>
              <w:left w:val="single" w:sz="4" w:space="0" w:color="000000"/>
              <w:bottom w:val="single" w:sz="4" w:space="0" w:color="000000"/>
              <w:right w:val="nil"/>
            </w:tcBorders>
            <w:vAlign w:val="center"/>
          </w:tcPr>
          <w:p w14:paraId="310EEC6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"Internal Rate of Return (IRR) of Project A"</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248FFEE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2.72%</w:t>
            </w:r>
          </w:p>
        </w:tc>
        <w:tc>
          <w:tcPr>
            <w:tcW w:w="222" w:type="dxa"/>
            <w:vAlign w:val="center"/>
          </w:tcPr>
          <w:p w14:paraId="433231A4" w14:textId="77777777" w:rsidR="00EB4B26" w:rsidRDefault="00EB4B26">
            <w:pPr>
              <w:spacing w:before="0" w:after="0" w:line="240" w:lineRule="auto"/>
              <w:jc w:val="left"/>
              <w:rPr>
                <w:sz w:val="20"/>
                <w:szCs w:val="20"/>
              </w:rPr>
            </w:pPr>
          </w:p>
        </w:tc>
      </w:tr>
      <w:tr w:rsidR="00EB4B26" w14:paraId="49517466" w14:textId="77777777">
        <w:trPr>
          <w:trHeight w:val="300"/>
          <w:jc w:val="center"/>
        </w:trPr>
        <w:tc>
          <w:tcPr>
            <w:tcW w:w="951" w:type="dxa"/>
            <w:tcBorders>
              <w:top w:val="nil"/>
              <w:left w:val="nil"/>
              <w:bottom w:val="nil"/>
              <w:right w:val="nil"/>
            </w:tcBorders>
            <w:vAlign w:val="bottom"/>
          </w:tcPr>
          <w:p w14:paraId="662844A7" w14:textId="77777777" w:rsidR="00EB4B26" w:rsidRDefault="00EB4B26">
            <w:pPr>
              <w:spacing w:before="0" w:after="0" w:line="240" w:lineRule="auto"/>
              <w:jc w:val="center"/>
              <w:rPr>
                <w:rFonts w:ascii="Arial" w:eastAsia="Arial" w:hAnsi="Arial" w:cs="Arial"/>
                <w:b/>
                <w:bCs/>
                <w:color w:val="000000"/>
              </w:rPr>
            </w:pPr>
          </w:p>
        </w:tc>
        <w:tc>
          <w:tcPr>
            <w:tcW w:w="1984" w:type="dxa"/>
            <w:tcBorders>
              <w:top w:val="nil"/>
              <w:left w:val="nil"/>
              <w:bottom w:val="nil"/>
              <w:right w:val="nil"/>
            </w:tcBorders>
            <w:vAlign w:val="bottom"/>
          </w:tcPr>
          <w:p w14:paraId="31DEA54B" w14:textId="77777777" w:rsidR="00EB4B26" w:rsidRDefault="00EB4B26">
            <w:pPr>
              <w:spacing w:before="0" w:after="0" w:line="240" w:lineRule="auto"/>
              <w:jc w:val="left"/>
              <w:rPr>
                <w:sz w:val="20"/>
                <w:szCs w:val="20"/>
              </w:rPr>
            </w:pPr>
          </w:p>
        </w:tc>
        <w:tc>
          <w:tcPr>
            <w:tcW w:w="1867" w:type="dxa"/>
            <w:tcBorders>
              <w:top w:val="nil"/>
              <w:left w:val="nil"/>
              <w:bottom w:val="nil"/>
              <w:right w:val="nil"/>
            </w:tcBorders>
            <w:vAlign w:val="bottom"/>
          </w:tcPr>
          <w:p w14:paraId="4577F3EE" w14:textId="77777777" w:rsidR="00EB4B26" w:rsidRDefault="00EB4B26">
            <w:pPr>
              <w:spacing w:before="0" w:after="0" w:line="240" w:lineRule="auto"/>
              <w:jc w:val="left"/>
              <w:rPr>
                <w:sz w:val="20"/>
                <w:szCs w:val="20"/>
              </w:rPr>
            </w:pPr>
          </w:p>
        </w:tc>
        <w:tc>
          <w:tcPr>
            <w:tcW w:w="2325" w:type="dxa"/>
            <w:tcBorders>
              <w:top w:val="nil"/>
              <w:left w:val="nil"/>
              <w:bottom w:val="nil"/>
              <w:right w:val="nil"/>
            </w:tcBorders>
            <w:vAlign w:val="bottom"/>
          </w:tcPr>
          <w:p w14:paraId="25D5C874" w14:textId="77777777" w:rsidR="00EB4B26" w:rsidRDefault="00EB4B26">
            <w:pPr>
              <w:spacing w:before="0" w:after="0" w:line="240" w:lineRule="auto"/>
              <w:jc w:val="left"/>
              <w:rPr>
                <w:sz w:val="20"/>
                <w:szCs w:val="20"/>
              </w:rPr>
            </w:pPr>
          </w:p>
        </w:tc>
        <w:tc>
          <w:tcPr>
            <w:tcW w:w="1670" w:type="dxa"/>
            <w:tcBorders>
              <w:top w:val="nil"/>
              <w:left w:val="nil"/>
              <w:bottom w:val="nil"/>
              <w:right w:val="nil"/>
            </w:tcBorders>
            <w:vAlign w:val="bottom"/>
          </w:tcPr>
          <w:p w14:paraId="1577DF90" w14:textId="77777777" w:rsidR="00EB4B26" w:rsidRDefault="00EB4B26">
            <w:pPr>
              <w:spacing w:before="0" w:after="0" w:line="240" w:lineRule="auto"/>
              <w:jc w:val="left"/>
              <w:rPr>
                <w:sz w:val="20"/>
                <w:szCs w:val="20"/>
              </w:rPr>
            </w:pPr>
          </w:p>
        </w:tc>
        <w:tc>
          <w:tcPr>
            <w:tcW w:w="222" w:type="dxa"/>
            <w:vAlign w:val="center"/>
          </w:tcPr>
          <w:p w14:paraId="32C84D7D" w14:textId="77777777" w:rsidR="00EB4B26" w:rsidRDefault="00EB4B26">
            <w:pPr>
              <w:spacing w:before="0" w:after="0" w:line="240" w:lineRule="auto"/>
              <w:jc w:val="left"/>
              <w:rPr>
                <w:sz w:val="20"/>
                <w:szCs w:val="20"/>
              </w:rPr>
            </w:pPr>
          </w:p>
        </w:tc>
      </w:tr>
      <w:tr w:rsidR="00EB4B26" w14:paraId="20A6F736" w14:textId="77777777">
        <w:trPr>
          <w:trHeight w:val="312"/>
          <w:jc w:val="center"/>
        </w:trPr>
        <w:tc>
          <w:tcPr>
            <w:tcW w:w="951" w:type="dxa"/>
            <w:tcBorders>
              <w:top w:val="single" w:sz="4" w:space="0" w:color="000000"/>
              <w:left w:val="single" w:sz="4" w:space="0" w:color="000000"/>
              <w:bottom w:val="single" w:sz="4" w:space="0" w:color="000000"/>
              <w:right w:val="single" w:sz="4" w:space="0" w:color="000000"/>
            </w:tcBorders>
            <w:vAlign w:val="center"/>
          </w:tcPr>
          <w:p w14:paraId="54EB4B8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984" w:type="dxa"/>
            <w:tcBorders>
              <w:top w:val="single" w:sz="4" w:space="0" w:color="000000"/>
              <w:left w:val="nil"/>
              <w:bottom w:val="single" w:sz="4" w:space="0" w:color="000000"/>
              <w:right w:val="single" w:sz="4" w:space="0" w:color="000000"/>
            </w:tcBorders>
            <w:vAlign w:val="center"/>
          </w:tcPr>
          <w:p w14:paraId="61BDC8D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867" w:type="dxa"/>
            <w:tcBorders>
              <w:top w:val="single" w:sz="4" w:space="0" w:color="000000"/>
              <w:left w:val="nil"/>
              <w:bottom w:val="single" w:sz="4" w:space="0" w:color="000000"/>
              <w:right w:val="nil"/>
            </w:tcBorders>
            <w:vAlign w:val="center"/>
          </w:tcPr>
          <w:p w14:paraId="48CEECE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"Depreciation" </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4562F2A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2" w:type="dxa"/>
            <w:vAlign w:val="center"/>
          </w:tcPr>
          <w:p w14:paraId="00037B89" w14:textId="77777777" w:rsidR="00EB4B26" w:rsidRDefault="00EB4B26">
            <w:pPr>
              <w:spacing w:before="0" w:after="0" w:line="240" w:lineRule="auto"/>
              <w:jc w:val="left"/>
              <w:rPr>
                <w:sz w:val="20"/>
                <w:szCs w:val="20"/>
              </w:rPr>
            </w:pPr>
          </w:p>
        </w:tc>
      </w:tr>
      <w:tr w:rsidR="00EB4B26" w14:paraId="16C552CE"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40668E3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984" w:type="dxa"/>
            <w:tcBorders>
              <w:top w:val="nil"/>
              <w:left w:val="nil"/>
              <w:bottom w:val="single" w:sz="4" w:space="0" w:color="000000"/>
              <w:right w:val="single" w:sz="4" w:space="0" w:color="000000"/>
            </w:tcBorders>
            <w:vAlign w:val="center"/>
          </w:tcPr>
          <w:p w14:paraId="3969984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867" w:type="dxa"/>
            <w:tcBorders>
              <w:top w:val="nil"/>
              <w:left w:val="nil"/>
              <w:bottom w:val="single" w:sz="4" w:space="0" w:color="000000"/>
              <w:right w:val="nil"/>
            </w:tcBorders>
            <w:vAlign w:val="center"/>
          </w:tcPr>
          <w:p w14:paraId="23029217"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34AB30B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2" w:type="dxa"/>
            <w:vAlign w:val="center"/>
          </w:tcPr>
          <w:p w14:paraId="26794E80" w14:textId="77777777" w:rsidR="00EB4B26" w:rsidRDefault="00EB4B26">
            <w:pPr>
              <w:spacing w:before="0" w:after="0" w:line="240" w:lineRule="auto"/>
              <w:jc w:val="left"/>
              <w:rPr>
                <w:sz w:val="20"/>
                <w:szCs w:val="20"/>
              </w:rPr>
            </w:pPr>
          </w:p>
        </w:tc>
      </w:tr>
      <w:tr w:rsidR="00EB4B26" w14:paraId="0E7756F5"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2B06553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984" w:type="dxa"/>
            <w:tcBorders>
              <w:top w:val="nil"/>
              <w:left w:val="nil"/>
              <w:bottom w:val="single" w:sz="4" w:space="0" w:color="000000"/>
              <w:right w:val="single" w:sz="4" w:space="0" w:color="000000"/>
            </w:tcBorders>
            <w:vAlign w:val="center"/>
          </w:tcPr>
          <w:p w14:paraId="2CFF270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center"/>
          </w:tcPr>
          <w:p w14:paraId="5388CC13"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4209C5E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   </w:t>
            </w:r>
          </w:p>
        </w:tc>
        <w:tc>
          <w:tcPr>
            <w:tcW w:w="222" w:type="dxa"/>
            <w:vAlign w:val="center"/>
          </w:tcPr>
          <w:p w14:paraId="0BF9EFF6" w14:textId="77777777" w:rsidR="00EB4B26" w:rsidRDefault="00EB4B26">
            <w:pPr>
              <w:spacing w:before="0" w:after="0" w:line="240" w:lineRule="auto"/>
              <w:jc w:val="left"/>
              <w:rPr>
                <w:sz w:val="20"/>
                <w:szCs w:val="20"/>
              </w:rPr>
            </w:pPr>
          </w:p>
        </w:tc>
      </w:tr>
      <w:tr w:rsidR="00EB4B26" w14:paraId="63E22DC5"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134FBD6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984" w:type="dxa"/>
            <w:tcBorders>
              <w:top w:val="nil"/>
              <w:left w:val="nil"/>
              <w:bottom w:val="single" w:sz="4" w:space="0" w:color="000000"/>
              <w:right w:val="single" w:sz="4" w:space="0" w:color="000000"/>
            </w:tcBorders>
            <w:vAlign w:val="center"/>
          </w:tcPr>
          <w:p w14:paraId="7521444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12.00 </w:t>
            </w:r>
          </w:p>
        </w:tc>
        <w:tc>
          <w:tcPr>
            <w:tcW w:w="1867" w:type="dxa"/>
            <w:tcBorders>
              <w:top w:val="nil"/>
              <w:left w:val="nil"/>
              <w:bottom w:val="single" w:sz="4" w:space="0" w:color="000000"/>
              <w:right w:val="nil"/>
            </w:tcBorders>
            <w:vAlign w:val="center"/>
          </w:tcPr>
          <w:p w14:paraId="18450BF2"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2BE8069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2.00 </w:t>
            </w:r>
          </w:p>
        </w:tc>
        <w:tc>
          <w:tcPr>
            <w:tcW w:w="222" w:type="dxa"/>
            <w:vAlign w:val="center"/>
          </w:tcPr>
          <w:p w14:paraId="7F511010" w14:textId="77777777" w:rsidR="00EB4B26" w:rsidRDefault="00EB4B26">
            <w:pPr>
              <w:spacing w:before="0" w:after="0" w:line="240" w:lineRule="auto"/>
              <w:jc w:val="left"/>
              <w:rPr>
                <w:sz w:val="20"/>
                <w:szCs w:val="20"/>
              </w:rPr>
            </w:pPr>
          </w:p>
        </w:tc>
      </w:tr>
      <w:tr w:rsidR="00EB4B26" w14:paraId="5E5D40A0"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7702D76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984" w:type="dxa"/>
            <w:tcBorders>
              <w:top w:val="nil"/>
              <w:left w:val="nil"/>
              <w:bottom w:val="single" w:sz="4" w:space="0" w:color="000000"/>
              <w:right w:val="single" w:sz="4" w:space="0" w:color="000000"/>
            </w:tcBorders>
            <w:vAlign w:val="center"/>
          </w:tcPr>
          <w:p w14:paraId="430F49E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14.00 </w:t>
            </w:r>
          </w:p>
        </w:tc>
        <w:tc>
          <w:tcPr>
            <w:tcW w:w="1867" w:type="dxa"/>
            <w:tcBorders>
              <w:top w:val="nil"/>
              <w:left w:val="nil"/>
              <w:bottom w:val="single" w:sz="4" w:space="0" w:color="000000"/>
              <w:right w:val="nil"/>
            </w:tcBorders>
            <w:vAlign w:val="center"/>
          </w:tcPr>
          <w:p w14:paraId="3C935D44"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7C6DC99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4.00 </w:t>
            </w:r>
          </w:p>
        </w:tc>
        <w:tc>
          <w:tcPr>
            <w:tcW w:w="222" w:type="dxa"/>
            <w:vAlign w:val="center"/>
          </w:tcPr>
          <w:p w14:paraId="1ADAFE5F" w14:textId="77777777" w:rsidR="00EB4B26" w:rsidRDefault="00EB4B26">
            <w:pPr>
              <w:spacing w:before="0" w:after="0" w:line="240" w:lineRule="auto"/>
              <w:jc w:val="left"/>
              <w:rPr>
                <w:sz w:val="20"/>
                <w:szCs w:val="20"/>
              </w:rPr>
            </w:pPr>
          </w:p>
        </w:tc>
      </w:tr>
      <w:tr w:rsidR="00EB4B26" w14:paraId="0CBE73E4"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3A852A3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984" w:type="dxa"/>
            <w:tcBorders>
              <w:top w:val="nil"/>
              <w:left w:val="nil"/>
              <w:bottom w:val="single" w:sz="4" w:space="0" w:color="000000"/>
              <w:right w:val="single" w:sz="4" w:space="0" w:color="000000"/>
            </w:tcBorders>
            <w:vAlign w:val="center"/>
          </w:tcPr>
          <w:p w14:paraId="21B175F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867" w:type="dxa"/>
            <w:tcBorders>
              <w:top w:val="nil"/>
              <w:left w:val="nil"/>
              <w:bottom w:val="single" w:sz="4" w:space="0" w:color="000000"/>
              <w:right w:val="nil"/>
            </w:tcBorders>
            <w:vAlign w:val="center"/>
          </w:tcPr>
          <w:p w14:paraId="30086E56"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4E7DA3A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   </w:t>
            </w:r>
          </w:p>
        </w:tc>
        <w:tc>
          <w:tcPr>
            <w:tcW w:w="222" w:type="dxa"/>
            <w:vAlign w:val="center"/>
          </w:tcPr>
          <w:p w14:paraId="44FBD8F1" w14:textId="77777777" w:rsidR="00EB4B26" w:rsidRDefault="00EB4B26">
            <w:pPr>
              <w:spacing w:before="0" w:after="0" w:line="240" w:lineRule="auto"/>
              <w:jc w:val="left"/>
              <w:rPr>
                <w:sz w:val="20"/>
                <w:szCs w:val="20"/>
              </w:rPr>
            </w:pPr>
          </w:p>
        </w:tc>
      </w:tr>
      <w:tr w:rsidR="00EB4B26" w14:paraId="74D37B8C" w14:textId="77777777">
        <w:trPr>
          <w:trHeight w:val="300"/>
          <w:jc w:val="center"/>
        </w:trPr>
        <w:tc>
          <w:tcPr>
            <w:tcW w:w="951" w:type="dxa"/>
            <w:tcBorders>
              <w:top w:val="nil"/>
              <w:left w:val="single" w:sz="4" w:space="0" w:color="000000"/>
              <w:bottom w:val="single" w:sz="4" w:space="0" w:color="000000"/>
              <w:right w:val="single" w:sz="4" w:space="0" w:color="000000"/>
            </w:tcBorders>
            <w:vAlign w:val="center"/>
          </w:tcPr>
          <w:p w14:paraId="0170993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984" w:type="dxa"/>
            <w:tcBorders>
              <w:top w:val="nil"/>
              <w:left w:val="nil"/>
              <w:bottom w:val="single" w:sz="4" w:space="0" w:color="000000"/>
              <w:right w:val="single" w:sz="4" w:space="0" w:color="000000"/>
            </w:tcBorders>
            <w:vAlign w:val="center"/>
          </w:tcPr>
          <w:p w14:paraId="57B3A7D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8.00 </w:t>
            </w:r>
          </w:p>
        </w:tc>
        <w:tc>
          <w:tcPr>
            <w:tcW w:w="1867" w:type="dxa"/>
            <w:tcBorders>
              <w:top w:val="nil"/>
              <w:left w:val="nil"/>
              <w:bottom w:val="single" w:sz="4" w:space="0" w:color="000000"/>
              <w:right w:val="nil"/>
            </w:tcBorders>
            <w:vAlign w:val="center"/>
          </w:tcPr>
          <w:p w14:paraId="223A54B9"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32D100F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2.00 </w:t>
            </w:r>
          </w:p>
        </w:tc>
        <w:tc>
          <w:tcPr>
            <w:tcW w:w="222" w:type="dxa"/>
            <w:vAlign w:val="center"/>
          </w:tcPr>
          <w:p w14:paraId="171DFF2F" w14:textId="77777777" w:rsidR="00EB4B26" w:rsidRDefault="00EB4B26">
            <w:pPr>
              <w:spacing w:before="0" w:after="0" w:line="240" w:lineRule="auto"/>
              <w:jc w:val="left"/>
              <w:rPr>
                <w:sz w:val="20"/>
                <w:szCs w:val="20"/>
              </w:rPr>
            </w:pPr>
          </w:p>
        </w:tc>
      </w:tr>
      <w:tr w:rsidR="00EB4B26" w14:paraId="2793E49E" w14:textId="77777777">
        <w:trPr>
          <w:trHeight w:val="312"/>
          <w:jc w:val="center"/>
        </w:trPr>
        <w:tc>
          <w:tcPr>
            <w:tcW w:w="4802" w:type="dxa"/>
            <w:gridSpan w:val="3"/>
            <w:tcBorders>
              <w:top w:val="single" w:sz="4" w:space="0" w:color="000000"/>
              <w:left w:val="single" w:sz="4" w:space="0" w:color="000000"/>
              <w:bottom w:val="single" w:sz="4" w:space="0" w:color="000000"/>
              <w:right w:val="nil"/>
            </w:tcBorders>
            <w:vAlign w:val="center"/>
          </w:tcPr>
          <w:p w14:paraId="7037A30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"Accounting Rate of Return (ARR) of Project A" </w:t>
            </w:r>
          </w:p>
        </w:tc>
        <w:tc>
          <w:tcPr>
            <w:tcW w:w="3995" w:type="dxa"/>
            <w:gridSpan w:val="2"/>
            <w:tcBorders>
              <w:top w:val="single" w:sz="4" w:space="0" w:color="000000"/>
              <w:left w:val="single" w:sz="4" w:space="0" w:color="000000"/>
              <w:bottom w:val="single" w:sz="4" w:space="0" w:color="000000"/>
              <w:right w:val="single" w:sz="4" w:space="0" w:color="000000"/>
            </w:tcBorders>
            <w:vAlign w:val="center"/>
          </w:tcPr>
          <w:p w14:paraId="2175C5B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1.60%</w:t>
            </w:r>
          </w:p>
        </w:tc>
        <w:tc>
          <w:tcPr>
            <w:tcW w:w="222" w:type="dxa"/>
            <w:vAlign w:val="center"/>
          </w:tcPr>
          <w:p w14:paraId="3E2EE1A9" w14:textId="77777777" w:rsidR="00EB4B26" w:rsidRDefault="00EB4B26">
            <w:pPr>
              <w:spacing w:before="0" w:after="0" w:line="240" w:lineRule="auto"/>
              <w:jc w:val="left"/>
              <w:rPr>
                <w:sz w:val="20"/>
                <w:szCs w:val="20"/>
              </w:rPr>
            </w:pPr>
          </w:p>
        </w:tc>
      </w:tr>
    </w:tbl>
    <w:p w14:paraId="6FB63B2A" w14:textId="77777777" w:rsidR="00EB4B26" w:rsidRDefault="00000000">
      <w:pPr>
        <w:spacing w:before="0"/>
        <w:jc w:val="center"/>
        <w:rPr>
          <w:rFonts w:ascii="Arial" w:eastAsia="Arial" w:hAnsi="Arial" w:cs="Arial"/>
        </w:rPr>
      </w:pPr>
      <w:r>
        <w:rPr>
          <w:rFonts w:ascii="Arial" w:eastAsia="Arial" w:hAnsi="Arial" w:cs="Arial"/>
        </w:rPr>
        <w:t>(Source: Excel)</w:t>
      </w:r>
    </w:p>
    <w:tbl>
      <w:tblPr>
        <w:tblStyle w:val="a3"/>
        <w:tblW w:w="9019" w:type="dxa"/>
        <w:tblInd w:w="0" w:type="dxa"/>
        <w:tblLayout w:type="fixed"/>
        <w:tblLook w:val="0400" w:firstRow="0" w:lastRow="0" w:firstColumn="0" w:lastColumn="0" w:noHBand="0" w:noVBand="1"/>
      </w:tblPr>
      <w:tblGrid>
        <w:gridCol w:w="886"/>
        <w:gridCol w:w="1837"/>
        <w:gridCol w:w="1718"/>
        <w:gridCol w:w="2611"/>
        <w:gridCol w:w="1717"/>
        <w:gridCol w:w="250"/>
      </w:tblGrid>
      <w:tr w:rsidR="00EB4B26" w14:paraId="3045FCED" w14:textId="77777777">
        <w:trPr>
          <w:gridAfter w:val="1"/>
          <w:trHeight w:val="312"/>
        </w:trPr>
        <w:tc>
          <w:tcPr>
            <w:tcW w:w="888" w:type="dxa"/>
            <w:tcBorders>
              <w:top w:val="single" w:sz="4" w:space="0" w:color="000000"/>
              <w:left w:val="single" w:sz="4" w:space="0" w:color="000000"/>
              <w:bottom w:val="single" w:sz="4" w:space="0" w:color="000000"/>
              <w:right w:val="single" w:sz="4" w:space="0" w:color="000000"/>
            </w:tcBorders>
            <w:vAlign w:val="center"/>
          </w:tcPr>
          <w:p w14:paraId="3D08BC2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13282FB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nil"/>
            </w:tcBorders>
            <w:vAlign w:val="center"/>
          </w:tcPr>
          <w:p w14:paraId="07BB54C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38AF185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r>
      <w:tr w:rsidR="00EB4B26" w14:paraId="35229AD3"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0804EDD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4024E72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bottom"/>
          </w:tcPr>
          <w:p w14:paraId="62C3ECA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115997D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r>
      <w:tr w:rsidR="00EB4B26" w14:paraId="3D609796"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0B9A5F5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3C47E8B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2DB78E1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75D311D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r>
      <w:tr w:rsidR="00EB4B26" w14:paraId="35FCD01A"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3DA422B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5CD5B74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0DE4F9F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2456EE3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r>
      <w:tr w:rsidR="00EB4B26" w14:paraId="308CB950"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3EC84A6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24DB9D9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1839CF4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7CD272D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r>
      <w:tr w:rsidR="00EB4B26" w14:paraId="57562728"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21ADFAD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2A7C0C1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73E8212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2B4D80E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7.51 </w:t>
            </w:r>
          </w:p>
        </w:tc>
      </w:tr>
      <w:tr w:rsidR="00EB4B26" w14:paraId="66963026" w14:textId="77777777">
        <w:trPr>
          <w:gridAfter w:val="1"/>
          <w:trHeight w:val="312"/>
        </w:trPr>
        <w:tc>
          <w:tcPr>
            <w:tcW w:w="888" w:type="dxa"/>
            <w:tcBorders>
              <w:top w:val="nil"/>
              <w:left w:val="single" w:sz="4" w:space="0" w:color="000000"/>
              <w:bottom w:val="single" w:sz="4" w:space="0" w:color="000000"/>
              <w:right w:val="single" w:sz="4" w:space="0" w:color="000000"/>
            </w:tcBorders>
            <w:vAlign w:val="bottom"/>
          </w:tcPr>
          <w:p w14:paraId="1F29073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0405BE9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6B6D6DE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601D7EC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r>
      <w:tr w:rsidR="00EB4B26" w14:paraId="6E43887A" w14:textId="77777777">
        <w:trPr>
          <w:gridAfter w:val="1"/>
          <w:trHeight w:val="894"/>
        </w:trPr>
        <w:tc>
          <w:tcPr>
            <w:tcW w:w="4455" w:type="dxa"/>
            <w:gridSpan w:val="3"/>
            <w:vMerge w:val="restart"/>
            <w:tcBorders>
              <w:top w:val="single" w:sz="4" w:space="0" w:color="000000"/>
              <w:left w:val="single" w:sz="4" w:space="0" w:color="000000"/>
              <w:bottom w:val="nil"/>
              <w:right w:val="nil"/>
            </w:tcBorders>
            <w:vAlign w:val="center"/>
          </w:tcPr>
          <w:p w14:paraId="2AC20C0E"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Present Value (NPV) of Project B"</w:t>
            </w:r>
          </w:p>
        </w:tc>
        <w:tc>
          <w:tcPr>
            <w:tcW w:w="4343" w:type="dxa"/>
            <w:gridSpan w:val="2"/>
            <w:vMerge w:val="restart"/>
            <w:tcBorders>
              <w:top w:val="single" w:sz="4" w:space="0" w:color="000000"/>
              <w:left w:val="single" w:sz="4" w:space="0" w:color="000000"/>
              <w:bottom w:val="single" w:sz="4" w:space="0" w:color="000000"/>
              <w:right w:val="single" w:sz="4" w:space="0" w:color="000000"/>
            </w:tcBorders>
            <w:vAlign w:val="center"/>
          </w:tcPr>
          <w:p w14:paraId="71553E4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                                                         8.30 </w:t>
            </w:r>
          </w:p>
        </w:tc>
      </w:tr>
      <w:tr w:rsidR="00EB4B26" w14:paraId="66FA7739" w14:textId="77777777">
        <w:trPr>
          <w:trHeight w:val="312"/>
        </w:trPr>
        <w:tc>
          <w:tcPr>
            <w:tcW w:w="4455" w:type="dxa"/>
            <w:gridSpan w:val="3"/>
            <w:vMerge/>
            <w:tcBorders>
              <w:top w:val="single" w:sz="4" w:space="0" w:color="000000"/>
              <w:left w:val="single" w:sz="4" w:space="0" w:color="000000"/>
              <w:bottom w:val="nil"/>
              <w:right w:val="nil"/>
            </w:tcBorders>
            <w:vAlign w:val="center"/>
          </w:tcPr>
          <w:p w14:paraId="2FD7AA3B"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4343" w:type="dxa"/>
            <w:gridSpan w:val="2"/>
            <w:vMerge/>
            <w:tcBorders>
              <w:top w:val="single" w:sz="4" w:space="0" w:color="000000"/>
              <w:left w:val="single" w:sz="4" w:space="0" w:color="000000"/>
              <w:bottom w:val="single" w:sz="4" w:space="0" w:color="000000"/>
              <w:right w:val="single" w:sz="4" w:space="0" w:color="000000"/>
            </w:tcBorders>
            <w:vAlign w:val="center"/>
          </w:tcPr>
          <w:p w14:paraId="7FAA6149"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221" w:type="dxa"/>
            <w:tcBorders>
              <w:top w:val="nil"/>
              <w:left w:val="nil"/>
              <w:bottom w:val="nil"/>
              <w:right w:val="nil"/>
            </w:tcBorders>
            <w:vAlign w:val="bottom"/>
          </w:tcPr>
          <w:p w14:paraId="46633524" w14:textId="77777777" w:rsidR="00EB4B26" w:rsidRDefault="00EB4B26">
            <w:pPr>
              <w:spacing w:before="0" w:after="0" w:line="240" w:lineRule="auto"/>
              <w:jc w:val="center"/>
              <w:rPr>
                <w:rFonts w:ascii="Arial" w:eastAsia="Arial" w:hAnsi="Arial" w:cs="Arial"/>
                <w:b/>
                <w:bCs/>
                <w:color w:val="000000"/>
              </w:rPr>
            </w:pPr>
          </w:p>
        </w:tc>
      </w:tr>
      <w:tr w:rsidR="00EB4B26" w14:paraId="764CB3BF" w14:textId="77777777">
        <w:trPr>
          <w:trHeight w:val="312"/>
        </w:trPr>
        <w:tc>
          <w:tcPr>
            <w:tcW w:w="4455" w:type="dxa"/>
            <w:gridSpan w:val="3"/>
            <w:tcBorders>
              <w:top w:val="single" w:sz="4" w:space="0" w:color="000000"/>
              <w:left w:val="single" w:sz="4" w:space="0" w:color="000000"/>
              <w:bottom w:val="single" w:sz="4" w:space="0" w:color="000000"/>
              <w:right w:val="single" w:sz="4" w:space="0" w:color="000000"/>
            </w:tcBorders>
            <w:vAlign w:val="bottom"/>
          </w:tcPr>
          <w:p w14:paraId="31BCBB0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"Profitability Index (PI) of Project B"</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3060801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1.17</w:t>
            </w:r>
          </w:p>
        </w:tc>
        <w:tc>
          <w:tcPr>
            <w:tcW w:w="221" w:type="dxa"/>
            <w:vAlign w:val="center"/>
          </w:tcPr>
          <w:p w14:paraId="011DFBAC" w14:textId="77777777" w:rsidR="00EB4B26" w:rsidRDefault="00EB4B26">
            <w:pPr>
              <w:spacing w:before="0" w:after="0" w:line="240" w:lineRule="auto"/>
              <w:jc w:val="left"/>
              <w:rPr>
                <w:sz w:val="20"/>
                <w:szCs w:val="20"/>
              </w:rPr>
            </w:pPr>
          </w:p>
        </w:tc>
      </w:tr>
      <w:tr w:rsidR="00EB4B26" w14:paraId="64544F79" w14:textId="77777777">
        <w:trPr>
          <w:trHeight w:val="312"/>
        </w:trPr>
        <w:tc>
          <w:tcPr>
            <w:tcW w:w="888" w:type="dxa"/>
            <w:tcBorders>
              <w:top w:val="nil"/>
              <w:left w:val="nil"/>
              <w:bottom w:val="nil"/>
              <w:right w:val="nil"/>
            </w:tcBorders>
            <w:vAlign w:val="bottom"/>
          </w:tcPr>
          <w:p w14:paraId="7798A46A"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35E86FD1"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311681C3"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477CF1B4"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1F515465" w14:textId="77777777" w:rsidR="00EB4B26" w:rsidRDefault="00EB4B26">
            <w:pPr>
              <w:spacing w:before="0" w:after="0" w:line="240" w:lineRule="auto"/>
              <w:jc w:val="left"/>
              <w:rPr>
                <w:sz w:val="20"/>
                <w:szCs w:val="20"/>
              </w:rPr>
            </w:pPr>
          </w:p>
        </w:tc>
        <w:tc>
          <w:tcPr>
            <w:tcW w:w="221" w:type="dxa"/>
            <w:vAlign w:val="center"/>
          </w:tcPr>
          <w:p w14:paraId="0E1F5D8B" w14:textId="77777777" w:rsidR="00EB4B26" w:rsidRDefault="00EB4B26">
            <w:pPr>
              <w:spacing w:before="0" w:after="0" w:line="240" w:lineRule="auto"/>
              <w:jc w:val="left"/>
              <w:rPr>
                <w:sz w:val="20"/>
                <w:szCs w:val="20"/>
              </w:rPr>
            </w:pPr>
          </w:p>
        </w:tc>
      </w:tr>
      <w:tr w:rsidR="00EB4B26" w14:paraId="1A1E265F" w14:textId="77777777">
        <w:trPr>
          <w:trHeight w:val="312"/>
        </w:trPr>
        <w:tc>
          <w:tcPr>
            <w:tcW w:w="888" w:type="dxa"/>
            <w:tcBorders>
              <w:top w:val="single" w:sz="4" w:space="0" w:color="000000"/>
              <w:left w:val="single" w:sz="4" w:space="0" w:color="000000"/>
              <w:bottom w:val="single" w:sz="4" w:space="0" w:color="000000"/>
              <w:right w:val="single" w:sz="4" w:space="0" w:color="000000"/>
            </w:tcBorders>
            <w:vAlign w:val="center"/>
          </w:tcPr>
          <w:p w14:paraId="1179B4B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lastRenderedPageBreak/>
              <w:t>"Year"</w:t>
            </w:r>
          </w:p>
        </w:tc>
        <w:tc>
          <w:tcPr>
            <w:tcW w:w="1843" w:type="dxa"/>
            <w:tcBorders>
              <w:top w:val="single" w:sz="4" w:space="0" w:color="000000"/>
              <w:left w:val="nil"/>
              <w:bottom w:val="single" w:sz="4" w:space="0" w:color="000000"/>
              <w:right w:val="single" w:sz="4" w:space="0" w:color="000000"/>
            </w:tcBorders>
            <w:vAlign w:val="center"/>
          </w:tcPr>
          <w:p w14:paraId="0516AF9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single" w:sz="4" w:space="0" w:color="000000"/>
            </w:tcBorders>
            <w:vAlign w:val="center"/>
          </w:tcPr>
          <w:p w14:paraId="525A146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2620" w:type="dxa"/>
            <w:tcBorders>
              <w:top w:val="single" w:sz="4" w:space="0" w:color="000000"/>
              <w:left w:val="nil"/>
              <w:bottom w:val="single" w:sz="4" w:space="0" w:color="000000"/>
              <w:right w:val="single" w:sz="4" w:space="0" w:color="000000"/>
            </w:tcBorders>
            <w:vAlign w:val="center"/>
          </w:tcPr>
          <w:p w14:paraId="64CDC59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1723" w:type="dxa"/>
            <w:tcBorders>
              <w:top w:val="single" w:sz="4" w:space="0" w:color="000000"/>
              <w:left w:val="nil"/>
              <w:bottom w:val="single" w:sz="4" w:space="0" w:color="000000"/>
              <w:right w:val="single" w:sz="4" w:space="0" w:color="000000"/>
            </w:tcBorders>
            <w:vAlign w:val="center"/>
          </w:tcPr>
          <w:p w14:paraId="45228D65"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Cumulative</w:t>
            </w:r>
          </w:p>
        </w:tc>
        <w:tc>
          <w:tcPr>
            <w:tcW w:w="221" w:type="dxa"/>
            <w:vAlign w:val="center"/>
          </w:tcPr>
          <w:p w14:paraId="59973D79" w14:textId="77777777" w:rsidR="00EB4B26" w:rsidRDefault="00EB4B26">
            <w:pPr>
              <w:spacing w:before="0" w:after="0" w:line="240" w:lineRule="auto"/>
              <w:jc w:val="left"/>
              <w:rPr>
                <w:sz w:val="20"/>
                <w:szCs w:val="20"/>
              </w:rPr>
            </w:pPr>
          </w:p>
        </w:tc>
      </w:tr>
      <w:tr w:rsidR="00EB4B26" w14:paraId="060D55AE"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11B2D51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14A4BCC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single" w:sz="4" w:space="0" w:color="000000"/>
            </w:tcBorders>
            <w:vAlign w:val="bottom"/>
          </w:tcPr>
          <w:p w14:paraId="0EE9E7D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2620" w:type="dxa"/>
            <w:tcBorders>
              <w:top w:val="nil"/>
              <w:left w:val="nil"/>
              <w:bottom w:val="single" w:sz="4" w:space="0" w:color="000000"/>
              <w:right w:val="single" w:sz="4" w:space="0" w:color="000000"/>
            </w:tcBorders>
            <w:vAlign w:val="bottom"/>
          </w:tcPr>
          <w:p w14:paraId="3E7017F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3" w:type="dxa"/>
            <w:tcBorders>
              <w:top w:val="nil"/>
              <w:left w:val="nil"/>
              <w:bottom w:val="single" w:sz="4" w:space="0" w:color="000000"/>
              <w:right w:val="single" w:sz="4" w:space="0" w:color="000000"/>
            </w:tcBorders>
            <w:vAlign w:val="bottom"/>
          </w:tcPr>
          <w:p w14:paraId="6D5552E6"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50.00 </w:t>
            </w:r>
          </w:p>
        </w:tc>
        <w:tc>
          <w:tcPr>
            <w:tcW w:w="221" w:type="dxa"/>
            <w:vAlign w:val="center"/>
          </w:tcPr>
          <w:p w14:paraId="7D5A2368" w14:textId="77777777" w:rsidR="00EB4B26" w:rsidRDefault="00EB4B26">
            <w:pPr>
              <w:spacing w:before="0" w:after="0" w:line="240" w:lineRule="auto"/>
              <w:jc w:val="left"/>
              <w:rPr>
                <w:sz w:val="20"/>
                <w:szCs w:val="20"/>
              </w:rPr>
            </w:pPr>
          </w:p>
        </w:tc>
      </w:tr>
      <w:tr w:rsidR="00EB4B26" w14:paraId="4BF85D50"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489CA24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3C0AE5E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single" w:sz="4" w:space="0" w:color="000000"/>
            </w:tcBorders>
            <w:vAlign w:val="bottom"/>
          </w:tcPr>
          <w:p w14:paraId="09235DF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2620" w:type="dxa"/>
            <w:tcBorders>
              <w:top w:val="nil"/>
              <w:left w:val="nil"/>
              <w:bottom w:val="single" w:sz="4" w:space="0" w:color="000000"/>
              <w:right w:val="single" w:sz="4" w:space="0" w:color="000000"/>
            </w:tcBorders>
            <w:vAlign w:val="bottom"/>
          </w:tcPr>
          <w:p w14:paraId="2CD7737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723" w:type="dxa"/>
            <w:tcBorders>
              <w:top w:val="nil"/>
              <w:left w:val="nil"/>
              <w:bottom w:val="single" w:sz="4" w:space="0" w:color="000000"/>
              <w:right w:val="single" w:sz="4" w:space="0" w:color="000000"/>
            </w:tcBorders>
            <w:vAlign w:val="bottom"/>
          </w:tcPr>
          <w:p w14:paraId="607472D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40.00 </w:t>
            </w:r>
          </w:p>
        </w:tc>
        <w:tc>
          <w:tcPr>
            <w:tcW w:w="221" w:type="dxa"/>
            <w:vAlign w:val="center"/>
          </w:tcPr>
          <w:p w14:paraId="6E65A1AD" w14:textId="77777777" w:rsidR="00EB4B26" w:rsidRDefault="00EB4B26">
            <w:pPr>
              <w:spacing w:before="0" w:after="0" w:line="240" w:lineRule="auto"/>
              <w:jc w:val="left"/>
              <w:rPr>
                <w:sz w:val="20"/>
                <w:szCs w:val="20"/>
              </w:rPr>
            </w:pPr>
          </w:p>
        </w:tc>
      </w:tr>
      <w:tr w:rsidR="00EB4B26" w14:paraId="7C36CEB2"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12209C7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081EF88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single" w:sz="4" w:space="0" w:color="000000"/>
            </w:tcBorders>
            <w:vAlign w:val="bottom"/>
          </w:tcPr>
          <w:p w14:paraId="27319D4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2620" w:type="dxa"/>
            <w:tcBorders>
              <w:top w:val="nil"/>
              <w:left w:val="nil"/>
              <w:bottom w:val="single" w:sz="4" w:space="0" w:color="000000"/>
              <w:right w:val="single" w:sz="4" w:space="0" w:color="000000"/>
            </w:tcBorders>
            <w:vAlign w:val="bottom"/>
          </w:tcPr>
          <w:p w14:paraId="356B69C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c>
          <w:tcPr>
            <w:tcW w:w="1723" w:type="dxa"/>
            <w:tcBorders>
              <w:top w:val="nil"/>
              <w:left w:val="nil"/>
              <w:bottom w:val="single" w:sz="4" w:space="0" w:color="000000"/>
              <w:right w:val="single" w:sz="4" w:space="0" w:color="000000"/>
            </w:tcBorders>
            <w:vAlign w:val="bottom"/>
          </w:tcPr>
          <w:p w14:paraId="74C61850"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30.91 </w:t>
            </w:r>
          </w:p>
        </w:tc>
        <w:tc>
          <w:tcPr>
            <w:tcW w:w="221" w:type="dxa"/>
            <w:vAlign w:val="center"/>
          </w:tcPr>
          <w:p w14:paraId="6E9F9C29" w14:textId="77777777" w:rsidR="00EB4B26" w:rsidRDefault="00EB4B26">
            <w:pPr>
              <w:spacing w:before="0" w:after="0" w:line="240" w:lineRule="auto"/>
              <w:jc w:val="left"/>
              <w:rPr>
                <w:sz w:val="20"/>
                <w:szCs w:val="20"/>
              </w:rPr>
            </w:pPr>
          </w:p>
        </w:tc>
      </w:tr>
      <w:tr w:rsidR="00EB4B26" w14:paraId="63FB70FA"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5DA481F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0B1AD1F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single" w:sz="4" w:space="0" w:color="000000"/>
            </w:tcBorders>
            <w:vAlign w:val="bottom"/>
          </w:tcPr>
          <w:p w14:paraId="1EF51C5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2620" w:type="dxa"/>
            <w:tcBorders>
              <w:top w:val="nil"/>
              <w:left w:val="nil"/>
              <w:bottom w:val="single" w:sz="4" w:space="0" w:color="000000"/>
              <w:right w:val="single" w:sz="4" w:space="0" w:color="000000"/>
            </w:tcBorders>
            <w:vAlign w:val="bottom"/>
          </w:tcPr>
          <w:p w14:paraId="3C4DE16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c>
          <w:tcPr>
            <w:tcW w:w="1723" w:type="dxa"/>
            <w:tcBorders>
              <w:top w:val="nil"/>
              <w:left w:val="nil"/>
              <w:bottom w:val="single" w:sz="4" w:space="0" w:color="000000"/>
              <w:right w:val="single" w:sz="4" w:space="0" w:color="000000"/>
            </w:tcBorders>
            <w:vAlign w:val="bottom"/>
          </w:tcPr>
          <w:p w14:paraId="12CCAFB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22.64 </w:t>
            </w:r>
          </w:p>
        </w:tc>
        <w:tc>
          <w:tcPr>
            <w:tcW w:w="221" w:type="dxa"/>
            <w:vAlign w:val="center"/>
          </w:tcPr>
          <w:p w14:paraId="517DD905" w14:textId="77777777" w:rsidR="00EB4B26" w:rsidRDefault="00EB4B26">
            <w:pPr>
              <w:spacing w:before="0" w:after="0" w:line="240" w:lineRule="auto"/>
              <w:jc w:val="left"/>
              <w:rPr>
                <w:sz w:val="20"/>
                <w:szCs w:val="20"/>
              </w:rPr>
            </w:pPr>
          </w:p>
        </w:tc>
      </w:tr>
      <w:tr w:rsidR="00EB4B26" w14:paraId="779C09CD"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402A10B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28CF496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single" w:sz="4" w:space="0" w:color="000000"/>
            </w:tcBorders>
            <w:vAlign w:val="bottom"/>
          </w:tcPr>
          <w:p w14:paraId="333F5B2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2620" w:type="dxa"/>
            <w:tcBorders>
              <w:top w:val="nil"/>
              <w:left w:val="nil"/>
              <w:bottom w:val="single" w:sz="4" w:space="0" w:color="000000"/>
              <w:right w:val="single" w:sz="4" w:space="0" w:color="000000"/>
            </w:tcBorders>
            <w:vAlign w:val="bottom"/>
          </w:tcPr>
          <w:p w14:paraId="2099524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7.51 </w:t>
            </w:r>
          </w:p>
        </w:tc>
        <w:tc>
          <w:tcPr>
            <w:tcW w:w="1723" w:type="dxa"/>
            <w:tcBorders>
              <w:top w:val="nil"/>
              <w:left w:val="nil"/>
              <w:bottom w:val="single" w:sz="4" w:space="0" w:color="000000"/>
              <w:right w:val="single" w:sz="4" w:space="0" w:color="000000"/>
            </w:tcBorders>
            <w:vAlign w:val="bottom"/>
          </w:tcPr>
          <w:p w14:paraId="34F6E0A3"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15.13 </w:t>
            </w:r>
          </w:p>
        </w:tc>
        <w:tc>
          <w:tcPr>
            <w:tcW w:w="221" w:type="dxa"/>
            <w:vAlign w:val="center"/>
          </w:tcPr>
          <w:p w14:paraId="7E149B70" w14:textId="77777777" w:rsidR="00EB4B26" w:rsidRDefault="00EB4B26">
            <w:pPr>
              <w:spacing w:before="0" w:after="0" w:line="240" w:lineRule="auto"/>
              <w:jc w:val="left"/>
              <w:rPr>
                <w:sz w:val="20"/>
                <w:szCs w:val="20"/>
              </w:rPr>
            </w:pPr>
          </w:p>
        </w:tc>
      </w:tr>
      <w:tr w:rsidR="00EB4B26" w14:paraId="728ADCCB"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3830EFE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486FBF6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single" w:sz="4" w:space="0" w:color="000000"/>
            </w:tcBorders>
            <w:vAlign w:val="bottom"/>
          </w:tcPr>
          <w:p w14:paraId="020E36B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2620" w:type="dxa"/>
            <w:tcBorders>
              <w:top w:val="nil"/>
              <w:left w:val="nil"/>
              <w:bottom w:val="single" w:sz="4" w:space="0" w:color="000000"/>
              <w:right w:val="single" w:sz="4" w:space="0" w:color="000000"/>
            </w:tcBorders>
            <w:vAlign w:val="bottom"/>
          </w:tcPr>
          <w:p w14:paraId="76551C8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c>
          <w:tcPr>
            <w:tcW w:w="1723" w:type="dxa"/>
            <w:tcBorders>
              <w:top w:val="nil"/>
              <w:left w:val="nil"/>
              <w:bottom w:val="single" w:sz="4" w:space="0" w:color="000000"/>
              <w:right w:val="single" w:sz="4" w:space="0" w:color="000000"/>
            </w:tcBorders>
            <w:vAlign w:val="bottom"/>
          </w:tcPr>
          <w:p w14:paraId="3A35883F"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8.30 </w:t>
            </w:r>
          </w:p>
        </w:tc>
        <w:tc>
          <w:tcPr>
            <w:tcW w:w="221" w:type="dxa"/>
            <w:vAlign w:val="center"/>
          </w:tcPr>
          <w:p w14:paraId="32B8B1D4" w14:textId="77777777" w:rsidR="00EB4B26" w:rsidRDefault="00EB4B26">
            <w:pPr>
              <w:spacing w:before="0" w:after="0" w:line="240" w:lineRule="auto"/>
              <w:jc w:val="left"/>
              <w:rPr>
                <w:sz w:val="20"/>
                <w:szCs w:val="20"/>
              </w:rPr>
            </w:pPr>
          </w:p>
        </w:tc>
      </w:tr>
      <w:tr w:rsidR="00EB4B26" w14:paraId="33814A37" w14:textId="77777777">
        <w:trPr>
          <w:trHeight w:val="312"/>
        </w:trPr>
        <w:tc>
          <w:tcPr>
            <w:tcW w:w="7075" w:type="dxa"/>
            <w:gridSpan w:val="4"/>
            <w:tcBorders>
              <w:top w:val="single" w:sz="4" w:space="0" w:color="000000"/>
              <w:left w:val="single" w:sz="4" w:space="0" w:color="000000"/>
              <w:bottom w:val="single" w:sz="4" w:space="0" w:color="000000"/>
              <w:right w:val="single" w:sz="4" w:space="0" w:color="000000"/>
            </w:tcBorders>
            <w:vAlign w:val="center"/>
          </w:tcPr>
          <w:p w14:paraId="54453C3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"Payback Period (PBP) of Project B"</w:t>
            </w:r>
          </w:p>
        </w:tc>
        <w:tc>
          <w:tcPr>
            <w:tcW w:w="1723" w:type="dxa"/>
            <w:tcBorders>
              <w:top w:val="nil"/>
              <w:left w:val="nil"/>
              <w:bottom w:val="single" w:sz="4" w:space="0" w:color="000000"/>
              <w:right w:val="single" w:sz="4" w:space="0" w:color="000000"/>
            </w:tcBorders>
            <w:vAlign w:val="center"/>
          </w:tcPr>
          <w:p w14:paraId="7F2446D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Not Recovered</w:t>
            </w:r>
          </w:p>
        </w:tc>
        <w:tc>
          <w:tcPr>
            <w:tcW w:w="221" w:type="dxa"/>
            <w:vAlign w:val="center"/>
          </w:tcPr>
          <w:p w14:paraId="2DBFD5FE" w14:textId="77777777" w:rsidR="00EB4B26" w:rsidRDefault="00EB4B26">
            <w:pPr>
              <w:spacing w:before="0" w:after="0" w:line="240" w:lineRule="auto"/>
              <w:jc w:val="left"/>
              <w:rPr>
                <w:sz w:val="20"/>
                <w:szCs w:val="20"/>
              </w:rPr>
            </w:pPr>
          </w:p>
        </w:tc>
      </w:tr>
      <w:tr w:rsidR="00EB4B26" w14:paraId="798E30BC" w14:textId="77777777">
        <w:trPr>
          <w:trHeight w:val="312"/>
        </w:trPr>
        <w:tc>
          <w:tcPr>
            <w:tcW w:w="888" w:type="dxa"/>
            <w:tcBorders>
              <w:top w:val="nil"/>
              <w:left w:val="nil"/>
              <w:bottom w:val="nil"/>
              <w:right w:val="nil"/>
            </w:tcBorders>
            <w:vAlign w:val="bottom"/>
          </w:tcPr>
          <w:p w14:paraId="0208EAC3"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2B22F8F5"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77B598BC"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0CB14AF4"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0895206D" w14:textId="77777777" w:rsidR="00EB4B26" w:rsidRDefault="00EB4B26">
            <w:pPr>
              <w:spacing w:before="0" w:after="0" w:line="240" w:lineRule="auto"/>
              <w:jc w:val="left"/>
              <w:rPr>
                <w:sz w:val="20"/>
                <w:szCs w:val="20"/>
              </w:rPr>
            </w:pPr>
          </w:p>
        </w:tc>
        <w:tc>
          <w:tcPr>
            <w:tcW w:w="221" w:type="dxa"/>
            <w:vAlign w:val="center"/>
          </w:tcPr>
          <w:p w14:paraId="5C09A866" w14:textId="77777777" w:rsidR="00EB4B26" w:rsidRDefault="00EB4B26">
            <w:pPr>
              <w:spacing w:before="0" w:after="0" w:line="240" w:lineRule="auto"/>
              <w:jc w:val="left"/>
              <w:rPr>
                <w:sz w:val="20"/>
                <w:szCs w:val="20"/>
              </w:rPr>
            </w:pPr>
          </w:p>
        </w:tc>
      </w:tr>
      <w:tr w:rsidR="00EB4B26" w14:paraId="52DAD4A8" w14:textId="77777777">
        <w:trPr>
          <w:trHeight w:val="312"/>
        </w:trPr>
        <w:tc>
          <w:tcPr>
            <w:tcW w:w="888" w:type="dxa"/>
            <w:tcBorders>
              <w:top w:val="single" w:sz="4" w:space="0" w:color="000000"/>
              <w:left w:val="single" w:sz="4" w:space="0" w:color="000000"/>
              <w:bottom w:val="single" w:sz="4" w:space="0" w:color="000000"/>
              <w:right w:val="single" w:sz="4" w:space="0" w:color="000000"/>
            </w:tcBorders>
            <w:vAlign w:val="center"/>
          </w:tcPr>
          <w:p w14:paraId="5EF09AC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4F6E8F2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Cashflow</w:t>
            </w:r>
          </w:p>
        </w:tc>
        <w:tc>
          <w:tcPr>
            <w:tcW w:w="1724" w:type="dxa"/>
            <w:tcBorders>
              <w:top w:val="single" w:sz="4" w:space="0" w:color="000000"/>
              <w:left w:val="nil"/>
              <w:bottom w:val="single" w:sz="4" w:space="0" w:color="000000"/>
              <w:right w:val="nil"/>
            </w:tcBorders>
            <w:vAlign w:val="center"/>
          </w:tcPr>
          <w:p w14:paraId="5F7669E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5CC9156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1" w:type="dxa"/>
            <w:vAlign w:val="center"/>
          </w:tcPr>
          <w:p w14:paraId="294839B6" w14:textId="77777777" w:rsidR="00EB4B26" w:rsidRDefault="00EB4B26">
            <w:pPr>
              <w:spacing w:before="0" w:after="0" w:line="240" w:lineRule="auto"/>
              <w:jc w:val="left"/>
              <w:rPr>
                <w:sz w:val="20"/>
                <w:szCs w:val="20"/>
              </w:rPr>
            </w:pPr>
          </w:p>
        </w:tc>
      </w:tr>
      <w:tr w:rsidR="00EB4B26" w14:paraId="032EE38F"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301D0D3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658FFAA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bottom"/>
          </w:tcPr>
          <w:p w14:paraId="5F908B9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4747603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1" w:type="dxa"/>
            <w:vAlign w:val="center"/>
          </w:tcPr>
          <w:p w14:paraId="1843FC33" w14:textId="77777777" w:rsidR="00EB4B26" w:rsidRDefault="00EB4B26">
            <w:pPr>
              <w:spacing w:before="0" w:after="0" w:line="240" w:lineRule="auto"/>
              <w:jc w:val="left"/>
              <w:rPr>
                <w:sz w:val="20"/>
                <w:szCs w:val="20"/>
              </w:rPr>
            </w:pPr>
          </w:p>
        </w:tc>
      </w:tr>
      <w:tr w:rsidR="00EB4B26" w14:paraId="6945B1DE"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38DC8CD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0012D35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6D41AD6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0BA6469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221" w:type="dxa"/>
            <w:vAlign w:val="center"/>
          </w:tcPr>
          <w:p w14:paraId="04EF3EB7" w14:textId="77777777" w:rsidR="00EB4B26" w:rsidRDefault="00EB4B26">
            <w:pPr>
              <w:spacing w:before="0" w:after="0" w:line="240" w:lineRule="auto"/>
              <w:jc w:val="left"/>
              <w:rPr>
                <w:sz w:val="20"/>
                <w:szCs w:val="20"/>
              </w:rPr>
            </w:pPr>
          </w:p>
        </w:tc>
      </w:tr>
      <w:tr w:rsidR="00EB4B26" w14:paraId="725CE1EA"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31C5851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01907FD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1F85B1A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66FC226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9.09 </w:t>
            </w:r>
          </w:p>
        </w:tc>
        <w:tc>
          <w:tcPr>
            <w:tcW w:w="221" w:type="dxa"/>
            <w:vAlign w:val="center"/>
          </w:tcPr>
          <w:p w14:paraId="71C01E72" w14:textId="77777777" w:rsidR="00EB4B26" w:rsidRDefault="00EB4B26">
            <w:pPr>
              <w:spacing w:before="0" w:after="0" w:line="240" w:lineRule="auto"/>
              <w:jc w:val="left"/>
              <w:rPr>
                <w:sz w:val="20"/>
                <w:szCs w:val="20"/>
              </w:rPr>
            </w:pPr>
          </w:p>
        </w:tc>
      </w:tr>
      <w:tr w:rsidR="00EB4B26" w14:paraId="258DAD45"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7053BA6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5723E18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168F001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070306E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c>
          <w:tcPr>
            <w:tcW w:w="221" w:type="dxa"/>
            <w:vAlign w:val="center"/>
          </w:tcPr>
          <w:p w14:paraId="1A2C0377" w14:textId="77777777" w:rsidR="00EB4B26" w:rsidRDefault="00EB4B26">
            <w:pPr>
              <w:spacing w:before="0" w:after="0" w:line="240" w:lineRule="auto"/>
              <w:jc w:val="left"/>
              <w:rPr>
                <w:sz w:val="20"/>
                <w:szCs w:val="20"/>
              </w:rPr>
            </w:pPr>
          </w:p>
        </w:tc>
      </w:tr>
      <w:tr w:rsidR="00EB4B26" w14:paraId="231F8CE1"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473CFD0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09C3713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29DA76D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3D0DCA4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7.51 </w:t>
            </w:r>
          </w:p>
        </w:tc>
        <w:tc>
          <w:tcPr>
            <w:tcW w:w="221" w:type="dxa"/>
            <w:vAlign w:val="center"/>
          </w:tcPr>
          <w:p w14:paraId="551509A3" w14:textId="77777777" w:rsidR="00EB4B26" w:rsidRDefault="00EB4B26">
            <w:pPr>
              <w:spacing w:before="0" w:after="0" w:line="240" w:lineRule="auto"/>
              <w:jc w:val="left"/>
              <w:rPr>
                <w:sz w:val="20"/>
                <w:szCs w:val="20"/>
              </w:rPr>
            </w:pPr>
          </w:p>
        </w:tc>
      </w:tr>
      <w:tr w:rsidR="00EB4B26" w14:paraId="70DD574F" w14:textId="77777777">
        <w:trPr>
          <w:trHeight w:val="312"/>
        </w:trPr>
        <w:tc>
          <w:tcPr>
            <w:tcW w:w="888" w:type="dxa"/>
            <w:tcBorders>
              <w:top w:val="nil"/>
              <w:left w:val="single" w:sz="4" w:space="0" w:color="000000"/>
              <w:bottom w:val="single" w:sz="4" w:space="0" w:color="000000"/>
              <w:right w:val="single" w:sz="4" w:space="0" w:color="000000"/>
            </w:tcBorders>
            <w:vAlign w:val="bottom"/>
          </w:tcPr>
          <w:p w14:paraId="0C6C655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357866A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bottom"/>
          </w:tcPr>
          <w:p w14:paraId="67075A1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2018893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6.83 </w:t>
            </w:r>
          </w:p>
        </w:tc>
        <w:tc>
          <w:tcPr>
            <w:tcW w:w="221" w:type="dxa"/>
            <w:vAlign w:val="center"/>
          </w:tcPr>
          <w:p w14:paraId="6853C5EF" w14:textId="77777777" w:rsidR="00EB4B26" w:rsidRDefault="00EB4B26">
            <w:pPr>
              <w:spacing w:before="0" w:after="0" w:line="240" w:lineRule="auto"/>
              <w:jc w:val="left"/>
              <w:rPr>
                <w:sz w:val="20"/>
                <w:szCs w:val="20"/>
              </w:rPr>
            </w:pPr>
          </w:p>
        </w:tc>
      </w:tr>
      <w:tr w:rsidR="00EB4B26" w14:paraId="7E532367" w14:textId="77777777">
        <w:trPr>
          <w:trHeight w:val="312"/>
        </w:trPr>
        <w:tc>
          <w:tcPr>
            <w:tcW w:w="4455" w:type="dxa"/>
            <w:gridSpan w:val="3"/>
            <w:tcBorders>
              <w:top w:val="single" w:sz="4" w:space="0" w:color="000000"/>
              <w:left w:val="single" w:sz="4" w:space="0" w:color="000000"/>
              <w:bottom w:val="single" w:sz="4" w:space="0" w:color="000000"/>
              <w:right w:val="nil"/>
            </w:tcBorders>
            <w:vAlign w:val="center"/>
          </w:tcPr>
          <w:p w14:paraId="766B6AB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"Internal Rate of Return (IRR) of Project B"</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11E9891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3.26%</w:t>
            </w:r>
          </w:p>
        </w:tc>
        <w:tc>
          <w:tcPr>
            <w:tcW w:w="221" w:type="dxa"/>
            <w:vAlign w:val="center"/>
          </w:tcPr>
          <w:p w14:paraId="473CB0B0" w14:textId="77777777" w:rsidR="00EB4B26" w:rsidRDefault="00EB4B26">
            <w:pPr>
              <w:spacing w:before="0" w:after="0" w:line="240" w:lineRule="auto"/>
              <w:jc w:val="left"/>
              <w:rPr>
                <w:sz w:val="20"/>
                <w:szCs w:val="20"/>
              </w:rPr>
            </w:pPr>
          </w:p>
        </w:tc>
      </w:tr>
      <w:tr w:rsidR="00EB4B26" w14:paraId="6D9F4610" w14:textId="77777777">
        <w:trPr>
          <w:trHeight w:val="312"/>
        </w:trPr>
        <w:tc>
          <w:tcPr>
            <w:tcW w:w="888" w:type="dxa"/>
            <w:tcBorders>
              <w:top w:val="nil"/>
              <w:left w:val="nil"/>
              <w:bottom w:val="nil"/>
              <w:right w:val="nil"/>
            </w:tcBorders>
            <w:vAlign w:val="bottom"/>
          </w:tcPr>
          <w:p w14:paraId="568233F5"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5C101C7D"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7121C31F"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374762B1"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48A1DF77" w14:textId="77777777" w:rsidR="00EB4B26" w:rsidRDefault="00EB4B26">
            <w:pPr>
              <w:spacing w:before="0" w:after="0" w:line="240" w:lineRule="auto"/>
              <w:jc w:val="left"/>
              <w:rPr>
                <w:sz w:val="20"/>
                <w:szCs w:val="20"/>
              </w:rPr>
            </w:pPr>
          </w:p>
        </w:tc>
        <w:tc>
          <w:tcPr>
            <w:tcW w:w="221" w:type="dxa"/>
            <w:vAlign w:val="center"/>
          </w:tcPr>
          <w:p w14:paraId="0506B6CB" w14:textId="77777777" w:rsidR="00EB4B26" w:rsidRDefault="00EB4B26">
            <w:pPr>
              <w:spacing w:before="0" w:after="0" w:line="240" w:lineRule="auto"/>
              <w:jc w:val="left"/>
              <w:rPr>
                <w:sz w:val="20"/>
                <w:szCs w:val="20"/>
              </w:rPr>
            </w:pPr>
          </w:p>
        </w:tc>
      </w:tr>
      <w:tr w:rsidR="00EB4B26" w14:paraId="384BE50A" w14:textId="77777777">
        <w:trPr>
          <w:trHeight w:val="312"/>
        </w:trPr>
        <w:tc>
          <w:tcPr>
            <w:tcW w:w="888" w:type="dxa"/>
            <w:tcBorders>
              <w:top w:val="single" w:sz="4" w:space="0" w:color="000000"/>
              <w:left w:val="single" w:sz="4" w:space="0" w:color="000000"/>
              <w:bottom w:val="single" w:sz="4" w:space="0" w:color="000000"/>
              <w:right w:val="single" w:sz="4" w:space="0" w:color="000000"/>
            </w:tcBorders>
            <w:vAlign w:val="center"/>
          </w:tcPr>
          <w:p w14:paraId="124FB61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170A82B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nil"/>
            </w:tcBorders>
            <w:vAlign w:val="center"/>
          </w:tcPr>
          <w:p w14:paraId="0945EDA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"Depreciation" </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5ABA7EC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1" w:type="dxa"/>
            <w:vAlign w:val="center"/>
          </w:tcPr>
          <w:p w14:paraId="3F9E55BC" w14:textId="77777777" w:rsidR="00EB4B26" w:rsidRDefault="00EB4B26">
            <w:pPr>
              <w:spacing w:before="0" w:after="0" w:line="240" w:lineRule="auto"/>
              <w:jc w:val="left"/>
              <w:rPr>
                <w:sz w:val="20"/>
                <w:szCs w:val="20"/>
              </w:rPr>
            </w:pPr>
          </w:p>
        </w:tc>
      </w:tr>
      <w:tr w:rsidR="00EB4B26" w14:paraId="59F30656"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529E7F0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center"/>
          </w:tcPr>
          <w:p w14:paraId="257B496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center"/>
          </w:tcPr>
          <w:p w14:paraId="05BC519C"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249388F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1" w:type="dxa"/>
            <w:vAlign w:val="center"/>
          </w:tcPr>
          <w:p w14:paraId="4AF95307" w14:textId="77777777" w:rsidR="00EB4B26" w:rsidRDefault="00EB4B26">
            <w:pPr>
              <w:spacing w:before="0" w:after="0" w:line="240" w:lineRule="auto"/>
              <w:jc w:val="left"/>
              <w:rPr>
                <w:sz w:val="20"/>
                <w:szCs w:val="20"/>
              </w:rPr>
            </w:pPr>
          </w:p>
        </w:tc>
      </w:tr>
      <w:tr w:rsidR="00EB4B26" w14:paraId="49BA684C"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5B47066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center"/>
          </w:tcPr>
          <w:p w14:paraId="4ECE871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center"/>
          </w:tcPr>
          <w:p w14:paraId="64219B74"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7855950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 </w:t>
            </w:r>
          </w:p>
        </w:tc>
        <w:tc>
          <w:tcPr>
            <w:tcW w:w="221" w:type="dxa"/>
            <w:vAlign w:val="center"/>
          </w:tcPr>
          <w:p w14:paraId="0642BF88" w14:textId="77777777" w:rsidR="00EB4B26" w:rsidRDefault="00EB4B26">
            <w:pPr>
              <w:spacing w:before="0" w:after="0" w:line="240" w:lineRule="auto"/>
              <w:jc w:val="left"/>
              <w:rPr>
                <w:sz w:val="20"/>
                <w:szCs w:val="20"/>
              </w:rPr>
            </w:pPr>
          </w:p>
        </w:tc>
      </w:tr>
      <w:tr w:rsidR="00EB4B26" w14:paraId="3FFE3D30"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0F4005A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center"/>
          </w:tcPr>
          <w:p w14:paraId="26267E1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center"/>
          </w:tcPr>
          <w:p w14:paraId="2DBEF8D7"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125D1F7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 </w:t>
            </w:r>
          </w:p>
        </w:tc>
        <w:tc>
          <w:tcPr>
            <w:tcW w:w="221" w:type="dxa"/>
            <w:vAlign w:val="center"/>
          </w:tcPr>
          <w:p w14:paraId="198C8CB2" w14:textId="77777777" w:rsidR="00EB4B26" w:rsidRDefault="00EB4B26">
            <w:pPr>
              <w:spacing w:before="0" w:after="0" w:line="240" w:lineRule="auto"/>
              <w:jc w:val="left"/>
              <w:rPr>
                <w:sz w:val="20"/>
                <w:szCs w:val="20"/>
              </w:rPr>
            </w:pPr>
          </w:p>
        </w:tc>
      </w:tr>
      <w:tr w:rsidR="00EB4B26" w14:paraId="265AA9ED"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177E40F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center"/>
          </w:tcPr>
          <w:p w14:paraId="618E239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center"/>
          </w:tcPr>
          <w:p w14:paraId="24F8EB25"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7C61AB4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 </w:t>
            </w:r>
          </w:p>
        </w:tc>
        <w:tc>
          <w:tcPr>
            <w:tcW w:w="221" w:type="dxa"/>
            <w:vAlign w:val="center"/>
          </w:tcPr>
          <w:p w14:paraId="49F3BB06" w14:textId="77777777" w:rsidR="00EB4B26" w:rsidRDefault="00EB4B26">
            <w:pPr>
              <w:spacing w:before="0" w:after="0" w:line="240" w:lineRule="auto"/>
              <w:jc w:val="left"/>
              <w:rPr>
                <w:sz w:val="20"/>
                <w:szCs w:val="20"/>
              </w:rPr>
            </w:pPr>
          </w:p>
        </w:tc>
      </w:tr>
      <w:tr w:rsidR="00EB4B26" w14:paraId="5444756F"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7F35AD4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center"/>
          </w:tcPr>
          <w:p w14:paraId="4945883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center"/>
          </w:tcPr>
          <w:p w14:paraId="0B8840FD"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0531DF9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 </w:t>
            </w:r>
          </w:p>
        </w:tc>
        <w:tc>
          <w:tcPr>
            <w:tcW w:w="221" w:type="dxa"/>
            <w:vAlign w:val="center"/>
          </w:tcPr>
          <w:p w14:paraId="655A4CE2" w14:textId="77777777" w:rsidR="00EB4B26" w:rsidRDefault="00EB4B26">
            <w:pPr>
              <w:spacing w:before="0" w:after="0" w:line="240" w:lineRule="auto"/>
              <w:jc w:val="left"/>
              <w:rPr>
                <w:sz w:val="20"/>
                <w:szCs w:val="20"/>
              </w:rPr>
            </w:pPr>
          </w:p>
        </w:tc>
      </w:tr>
      <w:tr w:rsidR="00EB4B26" w14:paraId="7C238FD2" w14:textId="77777777">
        <w:trPr>
          <w:trHeight w:val="312"/>
        </w:trPr>
        <w:tc>
          <w:tcPr>
            <w:tcW w:w="888" w:type="dxa"/>
            <w:tcBorders>
              <w:top w:val="nil"/>
              <w:left w:val="single" w:sz="4" w:space="0" w:color="000000"/>
              <w:bottom w:val="single" w:sz="4" w:space="0" w:color="000000"/>
              <w:right w:val="single" w:sz="4" w:space="0" w:color="000000"/>
            </w:tcBorders>
            <w:vAlign w:val="center"/>
          </w:tcPr>
          <w:p w14:paraId="6159FC6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lastRenderedPageBreak/>
              <w:t>5</w:t>
            </w:r>
          </w:p>
        </w:tc>
        <w:tc>
          <w:tcPr>
            <w:tcW w:w="1843" w:type="dxa"/>
            <w:tcBorders>
              <w:top w:val="nil"/>
              <w:left w:val="nil"/>
              <w:bottom w:val="single" w:sz="4" w:space="0" w:color="000000"/>
              <w:right w:val="single" w:sz="4" w:space="0" w:color="000000"/>
            </w:tcBorders>
            <w:vAlign w:val="center"/>
          </w:tcPr>
          <w:p w14:paraId="5435473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11.00 </w:t>
            </w:r>
          </w:p>
        </w:tc>
        <w:tc>
          <w:tcPr>
            <w:tcW w:w="1724" w:type="dxa"/>
            <w:tcBorders>
              <w:top w:val="nil"/>
              <w:left w:val="nil"/>
              <w:bottom w:val="single" w:sz="4" w:space="0" w:color="000000"/>
              <w:right w:val="nil"/>
            </w:tcBorders>
            <w:vAlign w:val="center"/>
          </w:tcPr>
          <w:p w14:paraId="1AFA31F2"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0B5ADB6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 </w:t>
            </w:r>
          </w:p>
        </w:tc>
        <w:tc>
          <w:tcPr>
            <w:tcW w:w="221" w:type="dxa"/>
            <w:vAlign w:val="center"/>
          </w:tcPr>
          <w:p w14:paraId="379F7A4C" w14:textId="77777777" w:rsidR="00EB4B26" w:rsidRDefault="00EB4B26">
            <w:pPr>
              <w:spacing w:before="0" w:after="0" w:line="240" w:lineRule="auto"/>
              <w:jc w:val="left"/>
              <w:rPr>
                <w:sz w:val="20"/>
                <w:szCs w:val="20"/>
              </w:rPr>
            </w:pPr>
          </w:p>
        </w:tc>
      </w:tr>
      <w:tr w:rsidR="00EB4B26" w14:paraId="47612F44" w14:textId="77777777">
        <w:trPr>
          <w:trHeight w:val="312"/>
        </w:trPr>
        <w:tc>
          <w:tcPr>
            <w:tcW w:w="4455" w:type="dxa"/>
            <w:gridSpan w:val="3"/>
            <w:tcBorders>
              <w:top w:val="single" w:sz="4" w:space="0" w:color="000000"/>
              <w:left w:val="single" w:sz="4" w:space="0" w:color="000000"/>
              <w:bottom w:val="single" w:sz="4" w:space="0" w:color="000000"/>
              <w:right w:val="nil"/>
            </w:tcBorders>
            <w:vAlign w:val="center"/>
          </w:tcPr>
          <w:p w14:paraId="7B515FC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"Accounting Rate of Return (ARR) of Project B" </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7BD526B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2.00%</w:t>
            </w:r>
          </w:p>
        </w:tc>
        <w:tc>
          <w:tcPr>
            <w:tcW w:w="221" w:type="dxa"/>
            <w:vAlign w:val="center"/>
          </w:tcPr>
          <w:p w14:paraId="3B3A51CE" w14:textId="77777777" w:rsidR="00EB4B26" w:rsidRDefault="00EB4B26">
            <w:pPr>
              <w:spacing w:before="0" w:after="0" w:line="240" w:lineRule="auto"/>
              <w:jc w:val="left"/>
              <w:rPr>
                <w:sz w:val="20"/>
                <w:szCs w:val="20"/>
              </w:rPr>
            </w:pPr>
          </w:p>
        </w:tc>
      </w:tr>
    </w:tbl>
    <w:p w14:paraId="765F1EF6" w14:textId="77777777" w:rsidR="00EB4B26" w:rsidRDefault="00000000">
      <w:pPr>
        <w:spacing w:before="0"/>
        <w:jc w:val="center"/>
        <w:rPr>
          <w:rFonts w:ascii="Arial" w:eastAsia="Arial" w:hAnsi="Arial" w:cs="Arial"/>
        </w:rPr>
      </w:pPr>
      <w:r>
        <w:rPr>
          <w:rFonts w:ascii="Arial" w:eastAsia="Arial" w:hAnsi="Arial" w:cs="Arial"/>
        </w:rPr>
        <w:t>(Source: Excel)</w:t>
      </w:r>
    </w:p>
    <w:tbl>
      <w:tblPr>
        <w:tblStyle w:val="a4"/>
        <w:tblW w:w="9019" w:type="dxa"/>
        <w:jc w:val="center"/>
        <w:tblInd w:w="0" w:type="dxa"/>
        <w:tblLayout w:type="fixed"/>
        <w:tblLook w:val="0400" w:firstRow="0" w:lastRow="0" w:firstColumn="0" w:lastColumn="0" w:noHBand="0" w:noVBand="1"/>
      </w:tblPr>
      <w:tblGrid>
        <w:gridCol w:w="886"/>
        <w:gridCol w:w="1837"/>
        <w:gridCol w:w="1718"/>
        <w:gridCol w:w="2611"/>
        <w:gridCol w:w="1717"/>
        <w:gridCol w:w="250"/>
      </w:tblGrid>
      <w:tr w:rsidR="00EB4B26" w14:paraId="0F79AA1E" w14:textId="77777777">
        <w:trPr>
          <w:gridAfter w:val="1"/>
          <w:trHeight w:val="312"/>
          <w:jc w:val="center"/>
        </w:trPr>
        <w:tc>
          <w:tcPr>
            <w:tcW w:w="888" w:type="dxa"/>
            <w:tcBorders>
              <w:top w:val="single" w:sz="4" w:space="0" w:color="000000"/>
              <w:left w:val="single" w:sz="4" w:space="0" w:color="000000"/>
              <w:bottom w:val="single" w:sz="4" w:space="0" w:color="000000"/>
              <w:right w:val="single" w:sz="4" w:space="0" w:color="000000"/>
            </w:tcBorders>
            <w:vAlign w:val="center"/>
          </w:tcPr>
          <w:p w14:paraId="3A33CCB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70413A0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nil"/>
            </w:tcBorders>
            <w:vAlign w:val="center"/>
          </w:tcPr>
          <w:p w14:paraId="115B3B0B"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73F4C01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r>
      <w:tr w:rsidR="00EB4B26" w14:paraId="28A78981"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497FF54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4CF156F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bottom"/>
          </w:tcPr>
          <w:p w14:paraId="61A342E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4F4BC3E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r>
      <w:tr w:rsidR="00EB4B26" w14:paraId="611F3D54"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3E52D4C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0AB8E77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bottom"/>
          </w:tcPr>
          <w:p w14:paraId="7294F45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576F3A5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4.55 </w:t>
            </w:r>
          </w:p>
        </w:tc>
      </w:tr>
      <w:tr w:rsidR="00EB4B26" w14:paraId="1FDB9621"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0680B22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123F7EE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724" w:type="dxa"/>
            <w:tcBorders>
              <w:top w:val="nil"/>
              <w:left w:val="nil"/>
              <w:bottom w:val="single" w:sz="4" w:space="0" w:color="000000"/>
              <w:right w:val="nil"/>
            </w:tcBorders>
            <w:vAlign w:val="bottom"/>
          </w:tcPr>
          <w:p w14:paraId="28F50E2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5C2C057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r>
      <w:tr w:rsidR="00EB4B26" w14:paraId="71519F78"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461B444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1F17654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20.00 </w:t>
            </w:r>
          </w:p>
        </w:tc>
        <w:tc>
          <w:tcPr>
            <w:tcW w:w="1724" w:type="dxa"/>
            <w:tcBorders>
              <w:top w:val="nil"/>
              <w:left w:val="nil"/>
              <w:bottom w:val="single" w:sz="4" w:space="0" w:color="000000"/>
              <w:right w:val="nil"/>
            </w:tcBorders>
            <w:vAlign w:val="bottom"/>
          </w:tcPr>
          <w:p w14:paraId="5F946C6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5C101DB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15.03 </w:t>
            </w:r>
          </w:p>
        </w:tc>
      </w:tr>
      <w:tr w:rsidR="00EB4B26" w14:paraId="7EDA2602"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635FA73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679DF28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25.00 </w:t>
            </w:r>
          </w:p>
        </w:tc>
        <w:tc>
          <w:tcPr>
            <w:tcW w:w="1724" w:type="dxa"/>
            <w:tcBorders>
              <w:top w:val="nil"/>
              <w:left w:val="nil"/>
              <w:bottom w:val="single" w:sz="4" w:space="0" w:color="000000"/>
              <w:right w:val="nil"/>
            </w:tcBorders>
            <w:vAlign w:val="bottom"/>
          </w:tcPr>
          <w:p w14:paraId="316DAB7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5758A5B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17.08 </w:t>
            </w:r>
          </w:p>
        </w:tc>
      </w:tr>
      <w:tr w:rsidR="00EB4B26" w14:paraId="28C354BC" w14:textId="77777777">
        <w:trPr>
          <w:gridAfter w:val="1"/>
          <w:trHeight w:val="312"/>
          <w:jc w:val="center"/>
        </w:trPr>
        <w:tc>
          <w:tcPr>
            <w:tcW w:w="888" w:type="dxa"/>
            <w:tcBorders>
              <w:top w:val="nil"/>
              <w:left w:val="single" w:sz="4" w:space="0" w:color="000000"/>
              <w:bottom w:val="single" w:sz="4" w:space="0" w:color="000000"/>
              <w:right w:val="single" w:sz="4" w:space="0" w:color="000000"/>
            </w:tcBorders>
            <w:vAlign w:val="bottom"/>
          </w:tcPr>
          <w:p w14:paraId="11F1145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68A5F99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bottom"/>
          </w:tcPr>
          <w:p w14:paraId="4264E13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33218A4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3.10 </w:t>
            </w:r>
          </w:p>
        </w:tc>
      </w:tr>
      <w:tr w:rsidR="00EB4B26" w14:paraId="7CB823D9" w14:textId="77777777">
        <w:trPr>
          <w:gridAfter w:val="1"/>
          <w:trHeight w:val="894"/>
          <w:jc w:val="center"/>
        </w:trPr>
        <w:tc>
          <w:tcPr>
            <w:tcW w:w="4455" w:type="dxa"/>
            <w:gridSpan w:val="3"/>
            <w:vMerge w:val="restart"/>
            <w:tcBorders>
              <w:top w:val="single" w:sz="4" w:space="0" w:color="000000"/>
              <w:left w:val="single" w:sz="4" w:space="0" w:color="000000"/>
              <w:bottom w:val="nil"/>
              <w:right w:val="nil"/>
            </w:tcBorders>
            <w:vAlign w:val="center"/>
          </w:tcPr>
          <w:p w14:paraId="689682F1"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"Net Present Value (NPV) of Project C"</w:t>
            </w:r>
          </w:p>
        </w:tc>
        <w:tc>
          <w:tcPr>
            <w:tcW w:w="4343" w:type="dxa"/>
            <w:gridSpan w:val="2"/>
            <w:vMerge w:val="restart"/>
            <w:tcBorders>
              <w:top w:val="single" w:sz="4" w:space="0" w:color="000000"/>
              <w:left w:val="single" w:sz="4" w:space="0" w:color="000000"/>
              <w:bottom w:val="single" w:sz="4" w:space="0" w:color="000000"/>
              <w:right w:val="single" w:sz="4" w:space="0" w:color="000000"/>
            </w:tcBorders>
            <w:vAlign w:val="center"/>
          </w:tcPr>
          <w:p w14:paraId="712A3EC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                                                         1.98 </w:t>
            </w:r>
          </w:p>
        </w:tc>
      </w:tr>
      <w:tr w:rsidR="00EB4B26" w14:paraId="24BCA0EE" w14:textId="77777777">
        <w:trPr>
          <w:trHeight w:val="312"/>
          <w:jc w:val="center"/>
        </w:trPr>
        <w:tc>
          <w:tcPr>
            <w:tcW w:w="4455" w:type="dxa"/>
            <w:gridSpan w:val="3"/>
            <w:vMerge/>
            <w:tcBorders>
              <w:top w:val="single" w:sz="4" w:space="0" w:color="000000"/>
              <w:left w:val="single" w:sz="4" w:space="0" w:color="000000"/>
              <w:bottom w:val="nil"/>
              <w:right w:val="nil"/>
            </w:tcBorders>
            <w:vAlign w:val="center"/>
          </w:tcPr>
          <w:p w14:paraId="3F4432E5"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4343" w:type="dxa"/>
            <w:gridSpan w:val="2"/>
            <w:vMerge/>
            <w:tcBorders>
              <w:top w:val="single" w:sz="4" w:space="0" w:color="000000"/>
              <w:left w:val="single" w:sz="4" w:space="0" w:color="000000"/>
              <w:bottom w:val="single" w:sz="4" w:space="0" w:color="000000"/>
              <w:right w:val="single" w:sz="4" w:space="0" w:color="000000"/>
            </w:tcBorders>
            <w:vAlign w:val="center"/>
          </w:tcPr>
          <w:p w14:paraId="366146CC" w14:textId="77777777" w:rsidR="00EB4B26" w:rsidRDefault="00EB4B26">
            <w:pPr>
              <w:widowControl w:val="0"/>
              <w:pBdr>
                <w:top w:val="nil"/>
                <w:left w:val="nil"/>
                <w:bottom w:val="nil"/>
                <w:right w:val="nil"/>
                <w:between w:val="nil"/>
              </w:pBdr>
              <w:spacing w:before="0" w:after="0" w:line="276" w:lineRule="auto"/>
              <w:jc w:val="left"/>
              <w:rPr>
                <w:rFonts w:ascii="Arial" w:eastAsia="Arial" w:hAnsi="Arial" w:cs="Arial"/>
                <w:b/>
                <w:bCs/>
                <w:color w:val="000000"/>
              </w:rPr>
            </w:pPr>
          </w:p>
        </w:tc>
        <w:tc>
          <w:tcPr>
            <w:tcW w:w="221" w:type="dxa"/>
            <w:tcBorders>
              <w:top w:val="nil"/>
              <w:left w:val="nil"/>
              <w:bottom w:val="nil"/>
              <w:right w:val="single" w:sz="4" w:space="0" w:color="000000"/>
            </w:tcBorders>
            <w:vAlign w:val="bottom"/>
          </w:tcPr>
          <w:p w14:paraId="4CE5BE26" w14:textId="77777777" w:rsidR="00EB4B26" w:rsidRDefault="00EB4B26">
            <w:pPr>
              <w:spacing w:before="0" w:after="0" w:line="240" w:lineRule="auto"/>
              <w:jc w:val="center"/>
              <w:rPr>
                <w:rFonts w:ascii="Arial" w:eastAsia="Arial" w:hAnsi="Arial" w:cs="Arial"/>
                <w:b/>
                <w:bCs/>
                <w:color w:val="000000"/>
              </w:rPr>
            </w:pPr>
          </w:p>
        </w:tc>
      </w:tr>
      <w:tr w:rsidR="00EB4B26" w14:paraId="442F188D" w14:textId="77777777">
        <w:trPr>
          <w:trHeight w:val="312"/>
          <w:jc w:val="center"/>
        </w:trPr>
        <w:tc>
          <w:tcPr>
            <w:tcW w:w="4455" w:type="dxa"/>
            <w:gridSpan w:val="3"/>
            <w:tcBorders>
              <w:top w:val="single" w:sz="4" w:space="0" w:color="000000"/>
              <w:left w:val="single" w:sz="4" w:space="0" w:color="000000"/>
              <w:bottom w:val="single" w:sz="4" w:space="0" w:color="000000"/>
              <w:right w:val="single" w:sz="4" w:space="0" w:color="000000"/>
            </w:tcBorders>
            <w:vAlign w:val="bottom"/>
          </w:tcPr>
          <w:p w14:paraId="73769E3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"Profitability Index (PI) of Project C"</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28A11A1F"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1.04</w:t>
            </w:r>
          </w:p>
        </w:tc>
        <w:tc>
          <w:tcPr>
            <w:tcW w:w="221" w:type="dxa"/>
            <w:tcBorders>
              <w:right w:val="single" w:sz="4" w:space="0" w:color="000000"/>
            </w:tcBorders>
            <w:vAlign w:val="center"/>
          </w:tcPr>
          <w:p w14:paraId="4773E543" w14:textId="77777777" w:rsidR="00EB4B26" w:rsidRDefault="00EB4B26">
            <w:pPr>
              <w:spacing w:before="0" w:after="0" w:line="240" w:lineRule="auto"/>
              <w:jc w:val="left"/>
              <w:rPr>
                <w:sz w:val="20"/>
                <w:szCs w:val="20"/>
              </w:rPr>
            </w:pPr>
          </w:p>
        </w:tc>
      </w:tr>
      <w:tr w:rsidR="00EB4B26" w14:paraId="201A6198" w14:textId="77777777">
        <w:trPr>
          <w:trHeight w:val="312"/>
          <w:jc w:val="center"/>
        </w:trPr>
        <w:tc>
          <w:tcPr>
            <w:tcW w:w="888" w:type="dxa"/>
            <w:tcBorders>
              <w:top w:val="nil"/>
              <w:left w:val="single" w:sz="4" w:space="0" w:color="000000"/>
              <w:bottom w:val="nil"/>
              <w:right w:val="nil"/>
            </w:tcBorders>
            <w:vAlign w:val="bottom"/>
          </w:tcPr>
          <w:p w14:paraId="5DCDB190"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3721C112"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24F8AEA0"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734FF6DB"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5DBE1B61" w14:textId="77777777" w:rsidR="00EB4B26" w:rsidRDefault="00EB4B26">
            <w:pPr>
              <w:spacing w:before="0" w:after="0" w:line="240" w:lineRule="auto"/>
              <w:jc w:val="left"/>
              <w:rPr>
                <w:sz w:val="20"/>
                <w:szCs w:val="20"/>
              </w:rPr>
            </w:pPr>
          </w:p>
        </w:tc>
        <w:tc>
          <w:tcPr>
            <w:tcW w:w="221" w:type="dxa"/>
            <w:tcBorders>
              <w:right w:val="single" w:sz="4" w:space="0" w:color="000000"/>
            </w:tcBorders>
            <w:vAlign w:val="center"/>
          </w:tcPr>
          <w:p w14:paraId="612D40C3" w14:textId="77777777" w:rsidR="00EB4B26" w:rsidRDefault="00EB4B26">
            <w:pPr>
              <w:spacing w:before="0" w:after="0" w:line="240" w:lineRule="auto"/>
              <w:jc w:val="left"/>
              <w:rPr>
                <w:sz w:val="20"/>
                <w:szCs w:val="20"/>
              </w:rPr>
            </w:pPr>
          </w:p>
        </w:tc>
      </w:tr>
      <w:tr w:rsidR="00EB4B26" w14:paraId="29CC1361" w14:textId="77777777">
        <w:trPr>
          <w:trHeight w:val="312"/>
          <w:jc w:val="center"/>
        </w:trPr>
        <w:tc>
          <w:tcPr>
            <w:tcW w:w="888" w:type="dxa"/>
            <w:tcBorders>
              <w:top w:val="single" w:sz="4" w:space="0" w:color="000000"/>
              <w:left w:val="single" w:sz="4" w:space="0" w:color="000000"/>
              <w:bottom w:val="single" w:sz="4" w:space="0" w:color="000000"/>
              <w:right w:val="single" w:sz="4" w:space="0" w:color="000000"/>
            </w:tcBorders>
            <w:vAlign w:val="center"/>
          </w:tcPr>
          <w:p w14:paraId="2F1EB526"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48183DBC"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single" w:sz="4" w:space="0" w:color="000000"/>
            </w:tcBorders>
            <w:vAlign w:val="center"/>
          </w:tcPr>
          <w:p w14:paraId="65052159"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2620" w:type="dxa"/>
            <w:tcBorders>
              <w:top w:val="single" w:sz="4" w:space="0" w:color="000000"/>
              <w:left w:val="nil"/>
              <w:bottom w:val="single" w:sz="4" w:space="0" w:color="000000"/>
              <w:right w:val="single" w:sz="4" w:space="0" w:color="000000"/>
            </w:tcBorders>
            <w:vAlign w:val="center"/>
          </w:tcPr>
          <w:p w14:paraId="10DD3B3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1723" w:type="dxa"/>
            <w:tcBorders>
              <w:top w:val="single" w:sz="4" w:space="0" w:color="000000"/>
              <w:left w:val="nil"/>
              <w:bottom w:val="single" w:sz="4" w:space="0" w:color="000000"/>
              <w:right w:val="single" w:sz="4" w:space="0" w:color="000000"/>
            </w:tcBorders>
            <w:vAlign w:val="center"/>
          </w:tcPr>
          <w:p w14:paraId="12344A7A" w14:textId="77777777" w:rsidR="00EB4B26" w:rsidRDefault="00000000">
            <w:pPr>
              <w:spacing w:before="0" w:after="0" w:line="240" w:lineRule="auto"/>
              <w:jc w:val="left"/>
              <w:rPr>
                <w:rFonts w:ascii="Arial" w:eastAsia="Arial" w:hAnsi="Arial" w:cs="Arial"/>
                <w:b/>
                <w:bCs/>
                <w:color w:val="000000"/>
              </w:rPr>
            </w:pPr>
            <w:r>
              <w:rPr>
                <w:rFonts w:ascii="Arial" w:eastAsia="Arial" w:hAnsi="Arial" w:cs="Arial"/>
                <w:b/>
                <w:bCs/>
                <w:color w:val="000000"/>
              </w:rPr>
              <w:t>Cumulative</w:t>
            </w:r>
          </w:p>
        </w:tc>
        <w:tc>
          <w:tcPr>
            <w:tcW w:w="221" w:type="dxa"/>
            <w:tcBorders>
              <w:right w:val="single" w:sz="4" w:space="0" w:color="000000"/>
            </w:tcBorders>
            <w:vAlign w:val="center"/>
          </w:tcPr>
          <w:p w14:paraId="7B19D9F9" w14:textId="77777777" w:rsidR="00EB4B26" w:rsidRDefault="00EB4B26">
            <w:pPr>
              <w:spacing w:before="0" w:after="0" w:line="240" w:lineRule="auto"/>
              <w:jc w:val="left"/>
              <w:rPr>
                <w:sz w:val="20"/>
                <w:szCs w:val="20"/>
              </w:rPr>
            </w:pPr>
          </w:p>
        </w:tc>
      </w:tr>
      <w:tr w:rsidR="00EB4B26" w14:paraId="1CF53A10"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151035B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29E8D61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single" w:sz="4" w:space="0" w:color="000000"/>
            </w:tcBorders>
            <w:vAlign w:val="bottom"/>
          </w:tcPr>
          <w:p w14:paraId="646AF85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2620" w:type="dxa"/>
            <w:tcBorders>
              <w:top w:val="nil"/>
              <w:left w:val="nil"/>
              <w:bottom w:val="single" w:sz="4" w:space="0" w:color="000000"/>
              <w:right w:val="single" w:sz="4" w:space="0" w:color="000000"/>
            </w:tcBorders>
            <w:vAlign w:val="bottom"/>
          </w:tcPr>
          <w:p w14:paraId="76C516D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3" w:type="dxa"/>
            <w:tcBorders>
              <w:top w:val="nil"/>
              <w:left w:val="nil"/>
              <w:bottom w:val="single" w:sz="4" w:space="0" w:color="000000"/>
              <w:right w:val="single" w:sz="4" w:space="0" w:color="000000"/>
            </w:tcBorders>
            <w:vAlign w:val="bottom"/>
          </w:tcPr>
          <w:p w14:paraId="020A00A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50.00 </w:t>
            </w:r>
          </w:p>
        </w:tc>
        <w:tc>
          <w:tcPr>
            <w:tcW w:w="221" w:type="dxa"/>
            <w:tcBorders>
              <w:right w:val="single" w:sz="4" w:space="0" w:color="000000"/>
            </w:tcBorders>
            <w:vAlign w:val="center"/>
          </w:tcPr>
          <w:p w14:paraId="54C8230B" w14:textId="77777777" w:rsidR="00EB4B26" w:rsidRDefault="00EB4B26">
            <w:pPr>
              <w:spacing w:before="0" w:after="0" w:line="240" w:lineRule="auto"/>
              <w:jc w:val="left"/>
              <w:rPr>
                <w:sz w:val="20"/>
                <w:szCs w:val="20"/>
              </w:rPr>
            </w:pPr>
          </w:p>
        </w:tc>
      </w:tr>
      <w:tr w:rsidR="00EB4B26" w14:paraId="4E35FE49"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06C132D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3CC8DA7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single" w:sz="4" w:space="0" w:color="000000"/>
            </w:tcBorders>
            <w:vAlign w:val="bottom"/>
          </w:tcPr>
          <w:p w14:paraId="0072F2F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2620" w:type="dxa"/>
            <w:tcBorders>
              <w:top w:val="nil"/>
              <w:left w:val="nil"/>
              <w:bottom w:val="single" w:sz="4" w:space="0" w:color="000000"/>
              <w:right w:val="single" w:sz="4" w:space="0" w:color="000000"/>
            </w:tcBorders>
            <w:vAlign w:val="bottom"/>
          </w:tcPr>
          <w:p w14:paraId="54DE888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4.55 </w:t>
            </w:r>
          </w:p>
        </w:tc>
        <w:tc>
          <w:tcPr>
            <w:tcW w:w="1723" w:type="dxa"/>
            <w:tcBorders>
              <w:top w:val="nil"/>
              <w:left w:val="nil"/>
              <w:bottom w:val="single" w:sz="4" w:space="0" w:color="000000"/>
              <w:right w:val="single" w:sz="4" w:space="0" w:color="000000"/>
            </w:tcBorders>
            <w:vAlign w:val="bottom"/>
          </w:tcPr>
          <w:p w14:paraId="78286461"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45.45 </w:t>
            </w:r>
          </w:p>
        </w:tc>
        <w:tc>
          <w:tcPr>
            <w:tcW w:w="221" w:type="dxa"/>
            <w:tcBorders>
              <w:right w:val="single" w:sz="4" w:space="0" w:color="000000"/>
            </w:tcBorders>
            <w:vAlign w:val="center"/>
          </w:tcPr>
          <w:p w14:paraId="409FD187" w14:textId="77777777" w:rsidR="00EB4B26" w:rsidRDefault="00EB4B26">
            <w:pPr>
              <w:spacing w:before="0" w:after="0" w:line="240" w:lineRule="auto"/>
              <w:jc w:val="left"/>
              <w:rPr>
                <w:sz w:val="20"/>
                <w:szCs w:val="20"/>
              </w:rPr>
            </w:pPr>
          </w:p>
        </w:tc>
      </w:tr>
      <w:tr w:rsidR="00EB4B26" w14:paraId="7F02A6A2"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086912F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420A069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724" w:type="dxa"/>
            <w:tcBorders>
              <w:top w:val="nil"/>
              <w:left w:val="nil"/>
              <w:bottom w:val="single" w:sz="4" w:space="0" w:color="000000"/>
              <w:right w:val="single" w:sz="4" w:space="0" w:color="000000"/>
            </w:tcBorders>
            <w:vAlign w:val="bottom"/>
          </w:tcPr>
          <w:p w14:paraId="15AACB4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2620" w:type="dxa"/>
            <w:tcBorders>
              <w:top w:val="nil"/>
              <w:left w:val="nil"/>
              <w:bottom w:val="single" w:sz="4" w:space="0" w:color="000000"/>
              <w:right w:val="single" w:sz="4" w:space="0" w:color="000000"/>
            </w:tcBorders>
            <w:vAlign w:val="bottom"/>
          </w:tcPr>
          <w:p w14:paraId="5445647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c>
          <w:tcPr>
            <w:tcW w:w="1723" w:type="dxa"/>
            <w:tcBorders>
              <w:top w:val="nil"/>
              <w:left w:val="nil"/>
              <w:bottom w:val="single" w:sz="4" w:space="0" w:color="000000"/>
              <w:right w:val="single" w:sz="4" w:space="0" w:color="000000"/>
            </w:tcBorders>
            <w:vAlign w:val="bottom"/>
          </w:tcPr>
          <w:p w14:paraId="052D1FBA"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37.19 </w:t>
            </w:r>
          </w:p>
        </w:tc>
        <w:tc>
          <w:tcPr>
            <w:tcW w:w="221" w:type="dxa"/>
            <w:tcBorders>
              <w:right w:val="single" w:sz="4" w:space="0" w:color="000000"/>
            </w:tcBorders>
            <w:vAlign w:val="center"/>
          </w:tcPr>
          <w:p w14:paraId="2F26CFE7" w14:textId="77777777" w:rsidR="00EB4B26" w:rsidRDefault="00EB4B26">
            <w:pPr>
              <w:spacing w:before="0" w:after="0" w:line="240" w:lineRule="auto"/>
              <w:jc w:val="left"/>
              <w:rPr>
                <w:sz w:val="20"/>
                <w:szCs w:val="20"/>
              </w:rPr>
            </w:pPr>
          </w:p>
        </w:tc>
      </w:tr>
      <w:tr w:rsidR="00EB4B26" w14:paraId="32E22975"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23BF8D4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069B194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20.00 </w:t>
            </w:r>
          </w:p>
        </w:tc>
        <w:tc>
          <w:tcPr>
            <w:tcW w:w="1724" w:type="dxa"/>
            <w:tcBorders>
              <w:top w:val="nil"/>
              <w:left w:val="nil"/>
              <w:bottom w:val="single" w:sz="4" w:space="0" w:color="000000"/>
              <w:right w:val="single" w:sz="4" w:space="0" w:color="000000"/>
            </w:tcBorders>
            <w:vAlign w:val="bottom"/>
          </w:tcPr>
          <w:p w14:paraId="0725C61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2620" w:type="dxa"/>
            <w:tcBorders>
              <w:top w:val="nil"/>
              <w:left w:val="nil"/>
              <w:bottom w:val="single" w:sz="4" w:space="0" w:color="000000"/>
              <w:right w:val="single" w:sz="4" w:space="0" w:color="000000"/>
            </w:tcBorders>
            <w:vAlign w:val="bottom"/>
          </w:tcPr>
          <w:p w14:paraId="4F2DE9A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15.03 </w:t>
            </w:r>
          </w:p>
        </w:tc>
        <w:tc>
          <w:tcPr>
            <w:tcW w:w="1723" w:type="dxa"/>
            <w:tcBorders>
              <w:top w:val="nil"/>
              <w:left w:val="nil"/>
              <w:bottom w:val="single" w:sz="4" w:space="0" w:color="000000"/>
              <w:right w:val="single" w:sz="4" w:space="0" w:color="000000"/>
            </w:tcBorders>
            <w:vAlign w:val="bottom"/>
          </w:tcPr>
          <w:p w14:paraId="2F6A72F5"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22.16 </w:t>
            </w:r>
          </w:p>
        </w:tc>
        <w:tc>
          <w:tcPr>
            <w:tcW w:w="221" w:type="dxa"/>
            <w:tcBorders>
              <w:right w:val="single" w:sz="4" w:space="0" w:color="000000"/>
            </w:tcBorders>
            <w:vAlign w:val="center"/>
          </w:tcPr>
          <w:p w14:paraId="21C8E411" w14:textId="77777777" w:rsidR="00EB4B26" w:rsidRDefault="00EB4B26">
            <w:pPr>
              <w:spacing w:before="0" w:after="0" w:line="240" w:lineRule="auto"/>
              <w:jc w:val="left"/>
              <w:rPr>
                <w:sz w:val="20"/>
                <w:szCs w:val="20"/>
              </w:rPr>
            </w:pPr>
          </w:p>
        </w:tc>
      </w:tr>
      <w:tr w:rsidR="00EB4B26" w14:paraId="332A33EF"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295D39B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787BA42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25.00 </w:t>
            </w:r>
          </w:p>
        </w:tc>
        <w:tc>
          <w:tcPr>
            <w:tcW w:w="1724" w:type="dxa"/>
            <w:tcBorders>
              <w:top w:val="nil"/>
              <w:left w:val="nil"/>
              <w:bottom w:val="single" w:sz="4" w:space="0" w:color="000000"/>
              <w:right w:val="single" w:sz="4" w:space="0" w:color="000000"/>
            </w:tcBorders>
            <w:vAlign w:val="bottom"/>
          </w:tcPr>
          <w:p w14:paraId="3A5640D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2620" w:type="dxa"/>
            <w:tcBorders>
              <w:top w:val="nil"/>
              <w:left w:val="nil"/>
              <w:bottom w:val="single" w:sz="4" w:space="0" w:color="000000"/>
              <w:right w:val="single" w:sz="4" w:space="0" w:color="000000"/>
            </w:tcBorders>
            <w:vAlign w:val="bottom"/>
          </w:tcPr>
          <w:p w14:paraId="1A035B7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17.08 </w:t>
            </w:r>
          </w:p>
        </w:tc>
        <w:tc>
          <w:tcPr>
            <w:tcW w:w="1723" w:type="dxa"/>
            <w:tcBorders>
              <w:top w:val="nil"/>
              <w:left w:val="nil"/>
              <w:bottom w:val="single" w:sz="4" w:space="0" w:color="000000"/>
              <w:right w:val="single" w:sz="4" w:space="0" w:color="000000"/>
            </w:tcBorders>
            <w:vAlign w:val="bottom"/>
          </w:tcPr>
          <w:p w14:paraId="0DD9B842"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5.09 </w:t>
            </w:r>
          </w:p>
        </w:tc>
        <w:tc>
          <w:tcPr>
            <w:tcW w:w="221" w:type="dxa"/>
            <w:tcBorders>
              <w:right w:val="single" w:sz="4" w:space="0" w:color="000000"/>
            </w:tcBorders>
            <w:vAlign w:val="center"/>
          </w:tcPr>
          <w:p w14:paraId="747E7A64" w14:textId="77777777" w:rsidR="00EB4B26" w:rsidRDefault="00EB4B26">
            <w:pPr>
              <w:spacing w:before="0" w:after="0" w:line="240" w:lineRule="auto"/>
              <w:jc w:val="left"/>
              <w:rPr>
                <w:sz w:val="20"/>
                <w:szCs w:val="20"/>
              </w:rPr>
            </w:pPr>
          </w:p>
        </w:tc>
      </w:tr>
      <w:tr w:rsidR="00EB4B26" w14:paraId="1D29799A"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751716F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11D9C67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single" w:sz="4" w:space="0" w:color="000000"/>
            </w:tcBorders>
            <w:vAlign w:val="bottom"/>
          </w:tcPr>
          <w:p w14:paraId="6A9FCC6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2620" w:type="dxa"/>
            <w:tcBorders>
              <w:top w:val="nil"/>
              <w:left w:val="nil"/>
              <w:bottom w:val="single" w:sz="4" w:space="0" w:color="000000"/>
              <w:right w:val="single" w:sz="4" w:space="0" w:color="000000"/>
            </w:tcBorders>
            <w:vAlign w:val="bottom"/>
          </w:tcPr>
          <w:p w14:paraId="0F723B7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3.10 </w:t>
            </w:r>
          </w:p>
        </w:tc>
        <w:tc>
          <w:tcPr>
            <w:tcW w:w="1723" w:type="dxa"/>
            <w:tcBorders>
              <w:top w:val="nil"/>
              <w:left w:val="nil"/>
              <w:bottom w:val="single" w:sz="4" w:space="0" w:color="000000"/>
              <w:right w:val="single" w:sz="4" w:space="0" w:color="000000"/>
            </w:tcBorders>
            <w:vAlign w:val="bottom"/>
          </w:tcPr>
          <w:p w14:paraId="2C6094E8" w14:textId="77777777" w:rsidR="00EB4B26" w:rsidRDefault="00000000">
            <w:pPr>
              <w:spacing w:before="0" w:after="0" w:line="240" w:lineRule="auto"/>
              <w:jc w:val="left"/>
              <w:rPr>
                <w:rFonts w:ascii="Arial" w:eastAsia="Arial" w:hAnsi="Arial" w:cs="Arial"/>
                <w:color w:val="000000"/>
              </w:rPr>
            </w:pPr>
            <w:r>
              <w:rPr>
                <w:rFonts w:ascii="Arial" w:eastAsia="Arial" w:hAnsi="Arial" w:cs="Arial"/>
                <w:color w:val="000000"/>
              </w:rPr>
              <w:t xml:space="preserve">-£               1.98 </w:t>
            </w:r>
          </w:p>
        </w:tc>
        <w:tc>
          <w:tcPr>
            <w:tcW w:w="221" w:type="dxa"/>
            <w:tcBorders>
              <w:right w:val="single" w:sz="4" w:space="0" w:color="000000"/>
            </w:tcBorders>
            <w:vAlign w:val="center"/>
          </w:tcPr>
          <w:p w14:paraId="103D5D1A" w14:textId="77777777" w:rsidR="00EB4B26" w:rsidRDefault="00EB4B26">
            <w:pPr>
              <w:spacing w:before="0" w:after="0" w:line="240" w:lineRule="auto"/>
              <w:jc w:val="left"/>
              <w:rPr>
                <w:sz w:val="20"/>
                <w:szCs w:val="20"/>
              </w:rPr>
            </w:pPr>
          </w:p>
        </w:tc>
      </w:tr>
      <w:tr w:rsidR="00EB4B26" w14:paraId="178D0CFA" w14:textId="77777777">
        <w:trPr>
          <w:trHeight w:val="312"/>
          <w:jc w:val="center"/>
        </w:trPr>
        <w:tc>
          <w:tcPr>
            <w:tcW w:w="7075" w:type="dxa"/>
            <w:gridSpan w:val="4"/>
            <w:tcBorders>
              <w:top w:val="single" w:sz="4" w:space="0" w:color="000000"/>
              <w:left w:val="single" w:sz="4" w:space="0" w:color="000000"/>
              <w:bottom w:val="single" w:sz="4" w:space="0" w:color="000000"/>
              <w:right w:val="single" w:sz="4" w:space="0" w:color="000000"/>
            </w:tcBorders>
            <w:vAlign w:val="center"/>
          </w:tcPr>
          <w:p w14:paraId="5B2AC38A"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"Payback Period (PBP) of Project C"</w:t>
            </w:r>
          </w:p>
        </w:tc>
        <w:tc>
          <w:tcPr>
            <w:tcW w:w="1723" w:type="dxa"/>
            <w:tcBorders>
              <w:top w:val="nil"/>
              <w:left w:val="nil"/>
              <w:bottom w:val="single" w:sz="4" w:space="0" w:color="000000"/>
              <w:right w:val="single" w:sz="4" w:space="0" w:color="000000"/>
            </w:tcBorders>
            <w:vAlign w:val="center"/>
          </w:tcPr>
          <w:p w14:paraId="129C60A0"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Not Recovered</w:t>
            </w:r>
          </w:p>
        </w:tc>
        <w:tc>
          <w:tcPr>
            <w:tcW w:w="221" w:type="dxa"/>
            <w:tcBorders>
              <w:right w:val="single" w:sz="4" w:space="0" w:color="000000"/>
            </w:tcBorders>
            <w:vAlign w:val="center"/>
          </w:tcPr>
          <w:p w14:paraId="14338549" w14:textId="77777777" w:rsidR="00EB4B26" w:rsidRDefault="00EB4B26">
            <w:pPr>
              <w:spacing w:before="0" w:after="0" w:line="240" w:lineRule="auto"/>
              <w:jc w:val="left"/>
              <w:rPr>
                <w:sz w:val="20"/>
                <w:szCs w:val="20"/>
              </w:rPr>
            </w:pPr>
          </w:p>
        </w:tc>
      </w:tr>
      <w:tr w:rsidR="00EB4B26" w14:paraId="36D53BC5" w14:textId="77777777">
        <w:trPr>
          <w:trHeight w:val="312"/>
          <w:jc w:val="center"/>
        </w:trPr>
        <w:tc>
          <w:tcPr>
            <w:tcW w:w="888" w:type="dxa"/>
            <w:tcBorders>
              <w:top w:val="nil"/>
              <w:left w:val="single" w:sz="4" w:space="0" w:color="000000"/>
              <w:bottom w:val="nil"/>
              <w:right w:val="nil"/>
            </w:tcBorders>
            <w:vAlign w:val="bottom"/>
          </w:tcPr>
          <w:p w14:paraId="193782ED"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01A6891B"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6CE67D77"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616821F6"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72EBB6C0" w14:textId="77777777" w:rsidR="00EB4B26" w:rsidRDefault="00EB4B26">
            <w:pPr>
              <w:spacing w:before="0" w:after="0" w:line="240" w:lineRule="auto"/>
              <w:jc w:val="left"/>
              <w:rPr>
                <w:sz w:val="20"/>
                <w:szCs w:val="20"/>
              </w:rPr>
            </w:pPr>
          </w:p>
        </w:tc>
        <w:tc>
          <w:tcPr>
            <w:tcW w:w="221" w:type="dxa"/>
            <w:tcBorders>
              <w:right w:val="single" w:sz="4" w:space="0" w:color="000000"/>
            </w:tcBorders>
            <w:vAlign w:val="center"/>
          </w:tcPr>
          <w:p w14:paraId="57CEE287" w14:textId="77777777" w:rsidR="00EB4B26" w:rsidRDefault="00EB4B26">
            <w:pPr>
              <w:spacing w:before="0" w:after="0" w:line="240" w:lineRule="auto"/>
              <w:jc w:val="left"/>
              <w:rPr>
                <w:sz w:val="20"/>
                <w:szCs w:val="20"/>
              </w:rPr>
            </w:pPr>
          </w:p>
        </w:tc>
      </w:tr>
      <w:tr w:rsidR="00EB4B26" w14:paraId="621756E1" w14:textId="77777777">
        <w:trPr>
          <w:trHeight w:val="312"/>
          <w:jc w:val="center"/>
        </w:trPr>
        <w:tc>
          <w:tcPr>
            <w:tcW w:w="888" w:type="dxa"/>
            <w:tcBorders>
              <w:top w:val="single" w:sz="4" w:space="0" w:color="000000"/>
              <w:left w:val="single" w:sz="4" w:space="0" w:color="000000"/>
              <w:bottom w:val="single" w:sz="4" w:space="0" w:color="000000"/>
              <w:right w:val="single" w:sz="4" w:space="0" w:color="000000"/>
            </w:tcBorders>
            <w:vAlign w:val="center"/>
          </w:tcPr>
          <w:p w14:paraId="2D62CF88"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lastRenderedPageBreak/>
              <w:t>Year</w:t>
            </w:r>
          </w:p>
        </w:tc>
        <w:tc>
          <w:tcPr>
            <w:tcW w:w="1843" w:type="dxa"/>
            <w:tcBorders>
              <w:top w:val="single" w:sz="4" w:space="0" w:color="000000"/>
              <w:left w:val="nil"/>
              <w:bottom w:val="single" w:sz="4" w:space="0" w:color="000000"/>
              <w:right w:val="single" w:sz="4" w:space="0" w:color="000000"/>
            </w:tcBorders>
            <w:vAlign w:val="center"/>
          </w:tcPr>
          <w:p w14:paraId="42C05B8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Cashflow</w:t>
            </w:r>
          </w:p>
        </w:tc>
        <w:tc>
          <w:tcPr>
            <w:tcW w:w="1724" w:type="dxa"/>
            <w:tcBorders>
              <w:top w:val="single" w:sz="4" w:space="0" w:color="000000"/>
              <w:left w:val="nil"/>
              <w:bottom w:val="single" w:sz="4" w:space="0" w:color="000000"/>
              <w:right w:val="nil"/>
            </w:tcBorders>
            <w:vAlign w:val="center"/>
          </w:tcPr>
          <w:p w14:paraId="688398E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"Discounting Factor @10%"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1B8D36A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1" w:type="dxa"/>
            <w:tcBorders>
              <w:right w:val="single" w:sz="4" w:space="0" w:color="000000"/>
            </w:tcBorders>
            <w:vAlign w:val="center"/>
          </w:tcPr>
          <w:p w14:paraId="13774824" w14:textId="77777777" w:rsidR="00EB4B26" w:rsidRDefault="00EB4B26">
            <w:pPr>
              <w:spacing w:before="0" w:after="0" w:line="240" w:lineRule="auto"/>
              <w:jc w:val="left"/>
              <w:rPr>
                <w:sz w:val="20"/>
                <w:szCs w:val="20"/>
              </w:rPr>
            </w:pPr>
          </w:p>
        </w:tc>
      </w:tr>
      <w:tr w:rsidR="00EB4B26" w14:paraId="1C796425"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346CF2B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bottom"/>
          </w:tcPr>
          <w:p w14:paraId="52A855C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bottom"/>
          </w:tcPr>
          <w:p w14:paraId="1EEFCAC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7043D89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1" w:type="dxa"/>
            <w:tcBorders>
              <w:right w:val="single" w:sz="4" w:space="0" w:color="000000"/>
            </w:tcBorders>
            <w:vAlign w:val="center"/>
          </w:tcPr>
          <w:p w14:paraId="75D8E295" w14:textId="77777777" w:rsidR="00EB4B26" w:rsidRDefault="00EB4B26">
            <w:pPr>
              <w:spacing w:before="0" w:after="0" w:line="240" w:lineRule="auto"/>
              <w:jc w:val="left"/>
              <w:rPr>
                <w:sz w:val="20"/>
                <w:szCs w:val="20"/>
              </w:rPr>
            </w:pPr>
          </w:p>
        </w:tc>
      </w:tr>
      <w:tr w:rsidR="00EB4B26" w14:paraId="1775ACDB"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7803963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bottom"/>
          </w:tcPr>
          <w:p w14:paraId="3CA68D5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bottom"/>
          </w:tcPr>
          <w:p w14:paraId="5C8999B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0.909</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25DB3AD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4.55 </w:t>
            </w:r>
          </w:p>
        </w:tc>
        <w:tc>
          <w:tcPr>
            <w:tcW w:w="221" w:type="dxa"/>
            <w:tcBorders>
              <w:right w:val="single" w:sz="4" w:space="0" w:color="000000"/>
            </w:tcBorders>
            <w:vAlign w:val="center"/>
          </w:tcPr>
          <w:p w14:paraId="666DA592" w14:textId="77777777" w:rsidR="00EB4B26" w:rsidRDefault="00EB4B26">
            <w:pPr>
              <w:spacing w:before="0" w:after="0" w:line="240" w:lineRule="auto"/>
              <w:jc w:val="left"/>
              <w:rPr>
                <w:sz w:val="20"/>
                <w:szCs w:val="20"/>
              </w:rPr>
            </w:pPr>
          </w:p>
        </w:tc>
      </w:tr>
      <w:tr w:rsidR="00EB4B26" w14:paraId="69EA634D"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187506B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bottom"/>
          </w:tcPr>
          <w:p w14:paraId="5C8FFE1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724" w:type="dxa"/>
            <w:tcBorders>
              <w:top w:val="nil"/>
              <w:left w:val="nil"/>
              <w:bottom w:val="single" w:sz="4" w:space="0" w:color="000000"/>
              <w:right w:val="nil"/>
            </w:tcBorders>
            <w:vAlign w:val="bottom"/>
          </w:tcPr>
          <w:p w14:paraId="1B1471A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0.826</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7A58182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8.26 </w:t>
            </w:r>
          </w:p>
        </w:tc>
        <w:tc>
          <w:tcPr>
            <w:tcW w:w="221" w:type="dxa"/>
            <w:tcBorders>
              <w:right w:val="single" w:sz="4" w:space="0" w:color="000000"/>
            </w:tcBorders>
            <w:vAlign w:val="center"/>
          </w:tcPr>
          <w:p w14:paraId="20A4B617" w14:textId="77777777" w:rsidR="00EB4B26" w:rsidRDefault="00EB4B26">
            <w:pPr>
              <w:spacing w:before="0" w:after="0" w:line="240" w:lineRule="auto"/>
              <w:jc w:val="left"/>
              <w:rPr>
                <w:sz w:val="20"/>
                <w:szCs w:val="20"/>
              </w:rPr>
            </w:pPr>
          </w:p>
        </w:tc>
      </w:tr>
      <w:tr w:rsidR="00EB4B26" w14:paraId="4284F8EB"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5FF05DB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bottom"/>
          </w:tcPr>
          <w:p w14:paraId="2348CA31"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20.00 </w:t>
            </w:r>
          </w:p>
        </w:tc>
        <w:tc>
          <w:tcPr>
            <w:tcW w:w="1724" w:type="dxa"/>
            <w:tcBorders>
              <w:top w:val="nil"/>
              <w:left w:val="nil"/>
              <w:bottom w:val="single" w:sz="4" w:space="0" w:color="000000"/>
              <w:right w:val="nil"/>
            </w:tcBorders>
            <w:vAlign w:val="bottom"/>
          </w:tcPr>
          <w:p w14:paraId="3A818BE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0.751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16E1B993"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15.03 </w:t>
            </w:r>
          </w:p>
        </w:tc>
        <w:tc>
          <w:tcPr>
            <w:tcW w:w="221" w:type="dxa"/>
            <w:tcBorders>
              <w:right w:val="single" w:sz="4" w:space="0" w:color="000000"/>
            </w:tcBorders>
            <w:vAlign w:val="center"/>
          </w:tcPr>
          <w:p w14:paraId="6C98F1E6" w14:textId="77777777" w:rsidR="00EB4B26" w:rsidRDefault="00EB4B26">
            <w:pPr>
              <w:spacing w:before="0" w:after="0" w:line="240" w:lineRule="auto"/>
              <w:jc w:val="left"/>
              <w:rPr>
                <w:sz w:val="20"/>
                <w:szCs w:val="20"/>
              </w:rPr>
            </w:pPr>
          </w:p>
        </w:tc>
      </w:tr>
      <w:tr w:rsidR="00EB4B26" w14:paraId="51B9C4CF"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024E2CA9"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bottom"/>
          </w:tcPr>
          <w:p w14:paraId="0C140858"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25.00 </w:t>
            </w:r>
          </w:p>
        </w:tc>
        <w:tc>
          <w:tcPr>
            <w:tcW w:w="1724" w:type="dxa"/>
            <w:tcBorders>
              <w:top w:val="nil"/>
              <w:left w:val="nil"/>
              <w:bottom w:val="single" w:sz="4" w:space="0" w:color="000000"/>
              <w:right w:val="nil"/>
            </w:tcBorders>
            <w:vAlign w:val="bottom"/>
          </w:tcPr>
          <w:p w14:paraId="7790CD3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0.683</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091EB9F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17.08 </w:t>
            </w:r>
          </w:p>
        </w:tc>
        <w:tc>
          <w:tcPr>
            <w:tcW w:w="221" w:type="dxa"/>
            <w:tcBorders>
              <w:right w:val="single" w:sz="4" w:space="0" w:color="000000"/>
            </w:tcBorders>
            <w:vAlign w:val="center"/>
          </w:tcPr>
          <w:p w14:paraId="7AD17D1D" w14:textId="77777777" w:rsidR="00EB4B26" w:rsidRDefault="00EB4B26">
            <w:pPr>
              <w:spacing w:before="0" w:after="0" w:line="240" w:lineRule="auto"/>
              <w:jc w:val="left"/>
              <w:rPr>
                <w:sz w:val="20"/>
                <w:szCs w:val="20"/>
              </w:rPr>
            </w:pPr>
          </w:p>
        </w:tc>
      </w:tr>
      <w:tr w:rsidR="00EB4B26" w14:paraId="0DE44A1D" w14:textId="77777777">
        <w:trPr>
          <w:trHeight w:val="312"/>
          <w:jc w:val="center"/>
        </w:trPr>
        <w:tc>
          <w:tcPr>
            <w:tcW w:w="888" w:type="dxa"/>
            <w:tcBorders>
              <w:top w:val="nil"/>
              <w:left w:val="single" w:sz="4" w:space="0" w:color="000000"/>
              <w:bottom w:val="single" w:sz="4" w:space="0" w:color="000000"/>
              <w:right w:val="single" w:sz="4" w:space="0" w:color="000000"/>
            </w:tcBorders>
            <w:vAlign w:val="bottom"/>
          </w:tcPr>
          <w:p w14:paraId="5EC01C0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bottom"/>
          </w:tcPr>
          <w:p w14:paraId="0B0028C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bottom"/>
          </w:tcPr>
          <w:p w14:paraId="2029849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0.621</w:t>
            </w:r>
          </w:p>
        </w:tc>
        <w:tc>
          <w:tcPr>
            <w:tcW w:w="4343" w:type="dxa"/>
            <w:gridSpan w:val="2"/>
            <w:tcBorders>
              <w:top w:val="single" w:sz="4" w:space="0" w:color="000000"/>
              <w:left w:val="single" w:sz="4" w:space="0" w:color="000000"/>
              <w:bottom w:val="single" w:sz="4" w:space="0" w:color="000000"/>
              <w:right w:val="single" w:sz="4" w:space="0" w:color="000000"/>
            </w:tcBorders>
            <w:vAlign w:val="bottom"/>
          </w:tcPr>
          <w:p w14:paraId="73D1032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3.10 </w:t>
            </w:r>
          </w:p>
        </w:tc>
        <w:tc>
          <w:tcPr>
            <w:tcW w:w="221" w:type="dxa"/>
            <w:tcBorders>
              <w:right w:val="single" w:sz="4" w:space="0" w:color="000000"/>
            </w:tcBorders>
            <w:vAlign w:val="center"/>
          </w:tcPr>
          <w:p w14:paraId="3471D424" w14:textId="77777777" w:rsidR="00EB4B26" w:rsidRDefault="00EB4B26">
            <w:pPr>
              <w:spacing w:before="0" w:after="0" w:line="240" w:lineRule="auto"/>
              <w:jc w:val="left"/>
              <w:rPr>
                <w:sz w:val="20"/>
                <w:szCs w:val="20"/>
              </w:rPr>
            </w:pPr>
          </w:p>
        </w:tc>
      </w:tr>
      <w:tr w:rsidR="00EB4B26" w14:paraId="25CC40FB" w14:textId="77777777">
        <w:trPr>
          <w:trHeight w:val="312"/>
          <w:jc w:val="center"/>
        </w:trPr>
        <w:tc>
          <w:tcPr>
            <w:tcW w:w="4455" w:type="dxa"/>
            <w:gridSpan w:val="3"/>
            <w:tcBorders>
              <w:top w:val="single" w:sz="4" w:space="0" w:color="000000"/>
              <w:left w:val="single" w:sz="4" w:space="0" w:color="000000"/>
              <w:bottom w:val="single" w:sz="4" w:space="0" w:color="000000"/>
              <w:right w:val="nil"/>
            </w:tcBorders>
            <w:vAlign w:val="center"/>
          </w:tcPr>
          <w:p w14:paraId="09FBF6A2"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"Internal Rate of Return (IRR) of Project C"</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22314BE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8.59%</w:t>
            </w:r>
          </w:p>
        </w:tc>
        <w:tc>
          <w:tcPr>
            <w:tcW w:w="221" w:type="dxa"/>
            <w:tcBorders>
              <w:right w:val="single" w:sz="4" w:space="0" w:color="000000"/>
            </w:tcBorders>
            <w:vAlign w:val="center"/>
          </w:tcPr>
          <w:p w14:paraId="583935A8" w14:textId="77777777" w:rsidR="00EB4B26" w:rsidRDefault="00EB4B26">
            <w:pPr>
              <w:spacing w:before="0" w:after="0" w:line="240" w:lineRule="auto"/>
              <w:jc w:val="left"/>
              <w:rPr>
                <w:sz w:val="20"/>
                <w:szCs w:val="20"/>
              </w:rPr>
            </w:pPr>
          </w:p>
        </w:tc>
      </w:tr>
      <w:tr w:rsidR="00EB4B26" w14:paraId="2ABDBEC6" w14:textId="77777777">
        <w:trPr>
          <w:trHeight w:val="312"/>
          <w:jc w:val="center"/>
        </w:trPr>
        <w:tc>
          <w:tcPr>
            <w:tcW w:w="888" w:type="dxa"/>
            <w:tcBorders>
              <w:top w:val="nil"/>
              <w:left w:val="single" w:sz="4" w:space="0" w:color="000000"/>
              <w:bottom w:val="nil"/>
              <w:right w:val="nil"/>
            </w:tcBorders>
            <w:vAlign w:val="bottom"/>
          </w:tcPr>
          <w:p w14:paraId="27E59395" w14:textId="77777777" w:rsidR="00EB4B26" w:rsidRDefault="00EB4B26">
            <w:pPr>
              <w:spacing w:before="0" w:after="0" w:line="240" w:lineRule="auto"/>
              <w:jc w:val="center"/>
              <w:rPr>
                <w:rFonts w:ascii="Arial" w:eastAsia="Arial" w:hAnsi="Arial" w:cs="Arial"/>
                <w:b/>
                <w:bCs/>
                <w:color w:val="000000"/>
              </w:rPr>
            </w:pPr>
          </w:p>
        </w:tc>
        <w:tc>
          <w:tcPr>
            <w:tcW w:w="1843" w:type="dxa"/>
            <w:tcBorders>
              <w:top w:val="nil"/>
              <w:left w:val="nil"/>
              <w:bottom w:val="nil"/>
              <w:right w:val="nil"/>
            </w:tcBorders>
            <w:vAlign w:val="bottom"/>
          </w:tcPr>
          <w:p w14:paraId="2D5B9006" w14:textId="77777777" w:rsidR="00EB4B26" w:rsidRDefault="00EB4B26">
            <w:pPr>
              <w:spacing w:before="0" w:after="0" w:line="240" w:lineRule="auto"/>
              <w:jc w:val="left"/>
              <w:rPr>
                <w:sz w:val="20"/>
                <w:szCs w:val="20"/>
              </w:rPr>
            </w:pPr>
          </w:p>
        </w:tc>
        <w:tc>
          <w:tcPr>
            <w:tcW w:w="1724" w:type="dxa"/>
            <w:tcBorders>
              <w:top w:val="nil"/>
              <w:left w:val="nil"/>
              <w:bottom w:val="nil"/>
              <w:right w:val="nil"/>
            </w:tcBorders>
            <w:vAlign w:val="bottom"/>
          </w:tcPr>
          <w:p w14:paraId="2CB1084D" w14:textId="77777777" w:rsidR="00EB4B26" w:rsidRDefault="00EB4B26">
            <w:pPr>
              <w:spacing w:before="0" w:after="0" w:line="240" w:lineRule="auto"/>
              <w:jc w:val="left"/>
              <w:rPr>
                <w:sz w:val="20"/>
                <w:szCs w:val="20"/>
              </w:rPr>
            </w:pPr>
          </w:p>
        </w:tc>
        <w:tc>
          <w:tcPr>
            <w:tcW w:w="2620" w:type="dxa"/>
            <w:tcBorders>
              <w:top w:val="nil"/>
              <w:left w:val="nil"/>
              <w:bottom w:val="nil"/>
              <w:right w:val="nil"/>
            </w:tcBorders>
            <w:vAlign w:val="bottom"/>
          </w:tcPr>
          <w:p w14:paraId="1E984ED0" w14:textId="77777777" w:rsidR="00EB4B26" w:rsidRDefault="00EB4B26">
            <w:pPr>
              <w:spacing w:before="0" w:after="0" w:line="240" w:lineRule="auto"/>
              <w:jc w:val="left"/>
              <w:rPr>
                <w:sz w:val="20"/>
                <w:szCs w:val="20"/>
              </w:rPr>
            </w:pPr>
          </w:p>
        </w:tc>
        <w:tc>
          <w:tcPr>
            <w:tcW w:w="1723" w:type="dxa"/>
            <w:tcBorders>
              <w:top w:val="nil"/>
              <w:left w:val="nil"/>
              <w:bottom w:val="nil"/>
              <w:right w:val="nil"/>
            </w:tcBorders>
            <w:vAlign w:val="bottom"/>
          </w:tcPr>
          <w:p w14:paraId="5414370F" w14:textId="77777777" w:rsidR="00EB4B26" w:rsidRDefault="00EB4B26">
            <w:pPr>
              <w:spacing w:before="0" w:after="0" w:line="240" w:lineRule="auto"/>
              <w:jc w:val="left"/>
              <w:rPr>
                <w:sz w:val="20"/>
                <w:szCs w:val="20"/>
              </w:rPr>
            </w:pPr>
          </w:p>
        </w:tc>
        <w:tc>
          <w:tcPr>
            <w:tcW w:w="221" w:type="dxa"/>
            <w:tcBorders>
              <w:right w:val="single" w:sz="4" w:space="0" w:color="000000"/>
            </w:tcBorders>
            <w:vAlign w:val="center"/>
          </w:tcPr>
          <w:p w14:paraId="26912ED1" w14:textId="77777777" w:rsidR="00EB4B26" w:rsidRDefault="00EB4B26">
            <w:pPr>
              <w:spacing w:before="0" w:after="0" w:line="240" w:lineRule="auto"/>
              <w:jc w:val="left"/>
              <w:rPr>
                <w:sz w:val="20"/>
                <w:szCs w:val="20"/>
              </w:rPr>
            </w:pPr>
          </w:p>
        </w:tc>
      </w:tr>
      <w:tr w:rsidR="00EB4B26" w14:paraId="13C6CC42" w14:textId="77777777">
        <w:trPr>
          <w:trHeight w:val="312"/>
          <w:jc w:val="center"/>
        </w:trPr>
        <w:tc>
          <w:tcPr>
            <w:tcW w:w="888" w:type="dxa"/>
            <w:tcBorders>
              <w:top w:val="single" w:sz="4" w:space="0" w:color="000000"/>
              <w:left w:val="single" w:sz="4" w:space="0" w:color="000000"/>
              <w:bottom w:val="single" w:sz="4" w:space="0" w:color="000000"/>
              <w:right w:val="single" w:sz="4" w:space="0" w:color="000000"/>
            </w:tcBorders>
            <w:vAlign w:val="center"/>
          </w:tcPr>
          <w:p w14:paraId="4C4C8A45"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"Year"</w:t>
            </w:r>
          </w:p>
        </w:tc>
        <w:tc>
          <w:tcPr>
            <w:tcW w:w="1843" w:type="dxa"/>
            <w:tcBorders>
              <w:top w:val="single" w:sz="4" w:space="0" w:color="000000"/>
              <w:left w:val="nil"/>
              <w:bottom w:val="single" w:sz="4" w:space="0" w:color="000000"/>
              <w:right w:val="single" w:sz="4" w:space="0" w:color="000000"/>
            </w:tcBorders>
            <w:vAlign w:val="center"/>
          </w:tcPr>
          <w:p w14:paraId="2F6158D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"Cash Flow"</w:t>
            </w:r>
          </w:p>
        </w:tc>
        <w:tc>
          <w:tcPr>
            <w:tcW w:w="1724" w:type="dxa"/>
            <w:tcBorders>
              <w:top w:val="single" w:sz="4" w:space="0" w:color="000000"/>
              <w:left w:val="nil"/>
              <w:bottom w:val="single" w:sz="4" w:space="0" w:color="000000"/>
              <w:right w:val="nil"/>
            </w:tcBorders>
            <w:vAlign w:val="center"/>
          </w:tcPr>
          <w:p w14:paraId="449975BD"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"Depreciation" </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4E469A64"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"Present Value"</w:t>
            </w:r>
          </w:p>
        </w:tc>
        <w:tc>
          <w:tcPr>
            <w:tcW w:w="221" w:type="dxa"/>
            <w:tcBorders>
              <w:right w:val="single" w:sz="4" w:space="0" w:color="000000"/>
            </w:tcBorders>
            <w:vAlign w:val="center"/>
          </w:tcPr>
          <w:p w14:paraId="059DDA27" w14:textId="77777777" w:rsidR="00EB4B26" w:rsidRDefault="00EB4B26">
            <w:pPr>
              <w:spacing w:before="0" w:after="0" w:line="240" w:lineRule="auto"/>
              <w:jc w:val="left"/>
              <w:rPr>
                <w:sz w:val="20"/>
                <w:szCs w:val="20"/>
              </w:rPr>
            </w:pPr>
          </w:p>
        </w:tc>
      </w:tr>
      <w:tr w:rsidR="00EB4B26" w14:paraId="57D8FB7A"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4C96BB65"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0</w:t>
            </w:r>
          </w:p>
        </w:tc>
        <w:tc>
          <w:tcPr>
            <w:tcW w:w="1843" w:type="dxa"/>
            <w:tcBorders>
              <w:top w:val="nil"/>
              <w:left w:val="nil"/>
              <w:bottom w:val="single" w:sz="4" w:space="0" w:color="000000"/>
              <w:right w:val="single" w:sz="4" w:space="0" w:color="000000"/>
            </w:tcBorders>
            <w:vAlign w:val="center"/>
          </w:tcPr>
          <w:p w14:paraId="4D9FED1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1724" w:type="dxa"/>
            <w:tcBorders>
              <w:top w:val="nil"/>
              <w:left w:val="nil"/>
              <w:bottom w:val="single" w:sz="4" w:space="0" w:color="000000"/>
              <w:right w:val="nil"/>
            </w:tcBorders>
            <w:vAlign w:val="center"/>
          </w:tcPr>
          <w:p w14:paraId="0B57EF5E"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4786925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50.00 </w:t>
            </w:r>
          </w:p>
        </w:tc>
        <w:tc>
          <w:tcPr>
            <w:tcW w:w="221" w:type="dxa"/>
            <w:tcBorders>
              <w:right w:val="single" w:sz="4" w:space="0" w:color="000000"/>
            </w:tcBorders>
            <w:vAlign w:val="center"/>
          </w:tcPr>
          <w:p w14:paraId="10A9A985" w14:textId="77777777" w:rsidR="00EB4B26" w:rsidRDefault="00EB4B26">
            <w:pPr>
              <w:spacing w:before="0" w:after="0" w:line="240" w:lineRule="auto"/>
              <w:jc w:val="left"/>
              <w:rPr>
                <w:sz w:val="20"/>
                <w:szCs w:val="20"/>
              </w:rPr>
            </w:pPr>
          </w:p>
        </w:tc>
      </w:tr>
      <w:tr w:rsidR="00EB4B26" w14:paraId="47C34ABF"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3A345EF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1</w:t>
            </w:r>
          </w:p>
        </w:tc>
        <w:tc>
          <w:tcPr>
            <w:tcW w:w="1843" w:type="dxa"/>
            <w:tcBorders>
              <w:top w:val="nil"/>
              <w:left w:val="nil"/>
              <w:bottom w:val="single" w:sz="4" w:space="0" w:color="000000"/>
              <w:right w:val="single" w:sz="4" w:space="0" w:color="000000"/>
            </w:tcBorders>
            <w:vAlign w:val="center"/>
          </w:tcPr>
          <w:p w14:paraId="062B4BC6"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center"/>
          </w:tcPr>
          <w:p w14:paraId="4606A6F2"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083F7EB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 </w:t>
            </w:r>
          </w:p>
        </w:tc>
        <w:tc>
          <w:tcPr>
            <w:tcW w:w="221" w:type="dxa"/>
            <w:tcBorders>
              <w:right w:val="single" w:sz="4" w:space="0" w:color="000000"/>
            </w:tcBorders>
            <w:vAlign w:val="center"/>
          </w:tcPr>
          <w:p w14:paraId="06ECDC12" w14:textId="77777777" w:rsidR="00EB4B26" w:rsidRDefault="00EB4B26">
            <w:pPr>
              <w:spacing w:before="0" w:after="0" w:line="240" w:lineRule="auto"/>
              <w:jc w:val="left"/>
              <w:rPr>
                <w:sz w:val="20"/>
                <w:szCs w:val="20"/>
              </w:rPr>
            </w:pPr>
          </w:p>
        </w:tc>
      </w:tr>
      <w:tr w:rsidR="00EB4B26" w14:paraId="09C07BBB"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2A1761A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2</w:t>
            </w:r>
          </w:p>
        </w:tc>
        <w:tc>
          <w:tcPr>
            <w:tcW w:w="1843" w:type="dxa"/>
            <w:tcBorders>
              <w:top w:val="nil"/>
              <w:left w:val="nil"/>
              <w:bottom w:val="single" w:sz="4" w:space="0" w:color="000000"/>
              <w:right w:val="single" w:sz="4" w:space="0" w:color="000000"/>
            </w:tcBorders>
            <w:vAlign w:val="center"/>
          </w:tcPr>
          <w:p w14:paraId="5E0AC69E"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1724" w:type="dxa"/>
            <w:tcBorders>
              <w:top w:val="nil"/>
              <w:left w:val="nil"/>
              <w:bottom w:val="single" w:sz="4" w:space="0" w:color="000000"/>
              <w:right w:val="nil"/>
            </w:tcBorders>
            <w:vAlign w:val="center"/>
          </w:tcPr>
          <w:p w14:paraId="5E729202"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6C58452B"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   </w:t>
            </w:r>
          </w:p>
        </w:tc>
        <w:tc>
          <w:tcPr>
            <w:tcW w:w="221" w:type="dxa"/>
            <w:tcBorders>
              <w:right w:val="single" w:sz="4" w:space="0" w:color="000000"/>
            </w:tcBorders>
            <w:vAlign w:val="center"/>
          </w:tcPr>
          <w:p w14:paraId="116278C9" w14:textId="77777777" w:rsidR="00EB4B26" w:rsidRDefault="00EB4B26">
            <w:pPr>
              <w:spacing w:before="0" w:after="0" w:line="240" w:lineRule="auto"/>
              <w:jc w:val="left"/>
              <w:rPr>
                <w:sz w:val="20"/>
                <w:szCs w:val="20"/>
              </w:rPr>
            </w:pPr>
          </w:p>
        </w:tc>
      </w:tr>
      <w:tr w:rsidR="00EB4B26" w14:paraId="12C4422D"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38577E10"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3</w:t>
            </w:r>
          </w:p>
        </w:tc>
        <w:tc>
          <w:tcPr>
            <w:tcW w:w="1843" w:type="dxa"/>
            <w:tcBorders>
              <w:top w:val="nil"/>
              <w:left w:val="nil"/>
              <w:bottom w:val="single" w:sz="4" w:space="0" w:color="000000"/>
              <w:right w:val="single" w:sz="4" w:space="0" w:color="000000"/>
            </w:tcBorders>
            <w:vAlign w:val="center"/>
          </w:tcPr>
          <w:p w14:paraId="0F8C1072"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20.00 </w:t>
            </w:r>
          </w:p>
        </w:tc>
        <w:tc>
          <w:tcPr>
            <w:tcW w:w="1724" w:type="dxa"/>
            <w:tcBorders>
              <w:top w:val="nil"/>
              <w:left w:val="nil"/>
              <w:bottom w:val="single" w:sz="4" w:space="0" w:color="000000"/>
              <w:right w:val="nil"/>
            </w:tcBorders>
            <w:vAlign w:val="center"/>
          </w:tcPr>
          <w:p w14:paraId="0B5F96B8"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6D25D83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10.00 </w:t>
            </w:r>
          </w:p>
        </w:tc>
        <w:tc>
          <w:tcPr>
            <w:tcW w:w="221" w:type="dxa"/>
            <w:tcBorders>
              <w:right w:val="single" w:sz="4" w:space="0" w:color="000000"/>
            </w:tcBorders>
            <w:vAlign w:val="center"/>
          </w:tcPr>
          <w:p w14:paraId="5FE5ED0F" w14:textId="77777777" w:rsidR="00EB4B26" w:rsidRDefault="00EB4B26">
            <w:pPr>
              <w:spacing w:before="0" w:after="0" w:line="240" w:lineRule="auto"/>
              <w:jc w:val="left"/>
              <w:rPr>
                <w:sz w:val="20"/>
                <w:szCs w:val="20"/>
              </w:rPr>
            </w:pPr>
          </w:p>
        </w:tc>
      </w:tr>
      <w:tr w:rsidR="00EB4B26" w14:paraId="6F793237"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0E2B7724"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4</w:t>
            </w:r>
          </w:p>
        </w:tc>
        <w:tc>
          <w:tcPr>
            <w:tcW w:w="1843" w:type="dxa"/>
            <w:tcBorders>
              <w:top w:val="nil"/>
              <w:left w:val="nil"/>
              <w:bottom w:val="single" w:sz="4" w:space="0" w:color="000000"/>
              <w:right w:val="single" w:sz="4" w:space="0" w:color="000000"/>
            </w:tcBorders>
            <w:vAlign w:val="center"/>
          </w:tcPr>
          <w:p w14:paraId="34865BCC"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25.00 </w:t>
            </w:r>
          </w:p>
        </w:tc>
        <w:tc>
          <w:tcPr>
            <w:tcW w:w="1724" w:type="dxa"/>
            <w:tcBorders>
              <w:top w:val="nil"/>
              <w:left w:val="nil"/>
              <w:bottom w:val="single" w:sz="4" w:space="0" w:color="000000"/>
              <w:right w:val="nil"/>
            </w:tcBorders>
            <w:vAlign w:val="center"/>
          </w:tcPr>
          <w:p w14:paraId="217C7209"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3E2F7D57"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15.00 </w:t>
            </w:r>
          </w:p>
        </w:tc>
        <w:tc>
          <w:tcPr>
            <w:tcW w:w="221" w:type="dxa"/>
            <w:tcBorders>
              <w:right w:val="single" w:sz="4" w:space="0" w:color="000000"/>
            </w:tcBorders>
            <w:vAlign w:val="center"/>
          </w:tcPr>
          <w:p w14:paraId="3EE843AE" w14:textId="77777777" w:rsidR="00EB4B26" w:rsidRDefault="00EB4B26">
            <w:pPr>
              <w:spacing w:before="0" w:after="0" w:line="240" w:lineRule="auto"/>
              <w:jc w:val="left"/>
              <w:rPr>
                <w:sz w:val="20"/>
                <w:szCs w:val="20"/>
              </w:rPr>
            </w:pPr>
          </w:p>
        </w:tc>
      </w:tr>
      <w:tr w:rsidR="00EB4B26" w14:paraId="5F6B98C1" w14:textId="77777777">
        <w:trPr>
          <w:trHeight w:val="312"/>
          <w:jc w:val="center"/>
        </w:trPr>
        <w:tc>
          <w:tcPr>
            <w:tcW w:w="888" w:type="dxa"/>
            <w:tcBorders>
              <w:top w:val="nil"/>
              <w:left w:val="single" w:sz="4" w:space="0" w:color="000000"/>
              <w:bottom w:val="single" w:sz="4" w:space="0" w:color="000000"/>
              <w:right w:val="single" w:sz="4" w:space="0" w:color="000000"/>
            </w:tcBorders>
            <w:vAlign w:val="center"/>
          </w:tcPr>
          <w:p w14:paraId="1788572D"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5</w:t>
            </w:r>
          </w:p>
        </w:tc>
        <w:tc>
          <w:tcPr>
            <w:tcW w:w="1843" w:type="dxa"/>
            <w:tcBorders>
              <w:top w:val="nil"/>
              <w:left w:val="nil"/>
              <w:bottom w:val="single" w:sz="4" w:space="0" w:color="000000"/>
              <w:right w:val="single" w:sz="4" w:space="0" w:color="000000"/>
            </w:tcBorders>
            <w:vAlign w:val="center"/>
          </w:tcPr>
          <w:p w14:paraId="6485221A"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                 5.00 </w:t>
            </w:r>
          </w:p>
        </w:tc>
        <w:tc>
          <w:tcPr>
            <w:tcW w:w="1724" w:type="dxa"/>
            <w:tcBorders>
              <w:top w:val="nil"/>
              <w:left w:val="nil"/>
              <w:bottom w:val="single" w:sz="4" w:space="0" w:color="000000"/>
              <w:right w:val="nil"/>
            </w:tcBorders>
            <w:vAlign w:val="center"/>
          </w:tcPr>
          <w:p w14:paraId="627A2798" w14:textId="77777777" w:rsidR="00EB4B26" w:rsidRDefault="00000000">
            <w:pPr>
              <w:spacing w:before="0" w:after="0" w:line="240" w:lineRule="auto"/>
              <w:jc w:val="right"/>
              <w:rPr>
                <w:rFonts w:ascii="Arial" w:eastAsia="Arial" w:hAnsi="Arial" w:cs="Arial"/>
                <w:color w:val="000000"/>
              </w:rPr>
            </w:pPr>
            <w:r>
              <w:rPr>
                <w:rFonts w:ascii="Arial" w:eastAsia="Arial" w:hAnsi="Arial" w:cs="Arial"/>
                <w:color w:val="000000"/>
              </w:rPr>
              <w:t>10.00</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034DDE7F" w14:textId="77777777" w:rsidR="00EB4B26" w:rsidRDefault="00000000">
            <w:pPr>
              <w:spacing w:before="0" w:after="0" w:line="240" w:lineRule="auto"/>
              <w:jc w:val="center"/>
              <w:rPr>
                <w:rFonts w:ascii="Arial" w:eastAsia="Arial" w:hAnsi="Arial" w:cs="Arial"/>
                <w:color w:val="000000"/>
              </w:rPr>
            </w:pPr>
            <w:r>
              <w:rPr>
                <w:rFonts w:ascii="Arial" w:eastAsia="Arial" w:hAnsi="Arial" w:cs="Arial"/>
                <w:color w:val="000000"/>
              </w:rPr>
              <w:t xml:space="preserve">-£                                                         5.00 </w:t>
            </w:r>
          </w:p>
        </w:tc>
        <w:tc>
          <w:tcPr>
            <w:tcW w:w="221" w:type="dxa"/>
            <w:tcBorders>
              <w:right w:val="single" w:sz="4" w:space="0" w:color="000000"/>
            </w:tcBorders>
            <w:vAlign w:val="center"/>
          </w:tcPr>
          <w:p w14:paraId="5D5D4D4E" w14:textId="77777777" w:rsidR="00EB4B26" w:rsidRDefault="00EB4B26">
            <w:pPr>
              <w:spacing w:before="0" w:after="0" w:line="240" w:lineRule="auto"/>
              <w:jc w:val="left"/>
              <w:rPr>
                <w:sz w:val="20"/>
                <w:szCs w:val="20"/>
              </w:rPr>
            </w:pPr>
          </w:p>
        </w:tc>
      </w:tr>
      <w:tr w:rsidR="00EB4B26" w14:paraId="6677FA07" w14:textId="77777777">
        <w:trPr>
          <w:trHeight w:val="312"/>
          <w:jc w:val="center"/>
        </w:trPr>
        <w:tc>
          <w:tcPr>
            <w:tcW w:w="4455" w:type="dxa"/>
            <w:gridSpan w:val="3"/>
            <w:tcBorders>
              <w:top w:val="single" w:sz="4" w:space="0" w:color="000000"/>
              <w:left w:val="single" w:sz="4" w:space="0" w:color="000000"/>
              <w:bottom w:val="single" w:sz="4" w:space="0" w:color="000000"/>
              <w:right w:val="nil"/>
            </w:tcBorders>
            <w:vAlign w:val="center"/>
          </w:tcPr>
          <w:p w14:paraId="3DD018C7"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 xml:space="preserve">"Accounting Rate of Return (ARR) of Project C" </w:t>
            </w:r>
          </w:p>
        </w:tc>
        <w:tc>
          <w:tcPr>
            <w:tcW w:w="4343" w:type="dxa"/>
            <w:gridSpan w:val="2"/>
            <w:tcBorders>
              <w:top w:val="single" w:sz="4" w:space="0" w:color="000000"/>
              <w:left w:val="single" w:sz="4" w:space="0" w:color="000000"/>
              <w:bottom w:val="single" w:sz="4" w:space="0" w:color="000000"/>
              <w:right w:val="single" w:sz="4" w:space="0" w:color="000000"/>
            </w:tcBorders>
            <w:vAlign w:val="center"/>
          </w:tcPr>
          <w:p w14:paraId="73535D03" w14:textId="77777777" w:rsidR="00EB4B26" w:rsidRDefault="00000000">
            <w:pPr>
              <w:spacing w:before="0" w:after="0" w:line="240" w:lineRule="auto"/>
              <w:jc w:val="center"/>
              <w:rPr>
                <w:rFonts w:ascii="Arial" w:eastAsia="Arial" w:hAnsi="Arial" w:cs="Arial"/>
                <w:b/>
                <w:bCs/>
                <w:color w:val="000000"/>
              </w:rPr>
            </w:pPr>
            <w:r>
              <w:rPr>
                <w:rFonts w:ascii="Arial" w:eastAsia="Arial" w:hAnsi="Arial" w:cs="Arial"/>
                <w:b/>
                <w:bCs/>
                <w:color w:val="000000"/>
              </w:rPr>
              <w:t>6.00%</w:t>
            </w:r>
          </w:p>
        </w:tc>
        <w:tc>
          <w:tcPr>
            <w:tcW w:w="221" w:type="dxa"/>
            <w:tcBorders>
              <w:bottom w:val="single" w:sz="4" w:space="0" w:color="000000"/>
              <w:right w:val="single" w:sz="4" w:space="0" w:color="000000"/>
            </w:tcBorders>
            <w:vAlign w:val="center"/>
          </w:tcPr>
          <w:p w14:paraId="60242A4F" w14:textId="77777777" w:rsidR="00EB4B26" w:rsidRDefault="00EB4B26">
            <w:pPr>
              <w:spacing w:before="0" w:after="0" w:line="240" w:lineRule="auto"/>
              <w:jc w:val="left"/>
              <w:rPr>
                <w:sz w:val="20"/>
                <w:szCs w:val="20"/>
              </w:rPr>
            </w:pPr>
          </w:p>
        </w:tc>
      </w:tr>
    </w:tbl>
    <w:p w14:paraId="23BFDCE0" w14:textId="77777777" w:rsidR="00EB4B26" w:rsidRDefault="00000000">
      <w:pPr>
        <w:spacing w:before="0"/>
        <w:jc w:val="center"/>
        <w:rPr>
          <w:rFonts w:ascii="Arial" w:eastAsia="Arial" w:hAnsi="Arial" w:cs="Arial"/>
        </w:rPr>
      </w:pPr>
      <w:r>
        <w:rPr>
          <w:rFonts w:ascii="Arial" w:eastAsia="Arial" w:hAnsi="Arial" w:cs="Arial"/>
        </w:rPr>
        <w:t>(Source: Excel)</w:t>
      </w:r>
    </w:p>
    <w:p w14:paraId="12893A4B" w14:textId="77777777" w:rsidR="00EB4B26" w:rsidRDefault="00000000">
      <w:pPr>
        <w:rPr>
          <w:rFonts w:ascii="Arial" w:eastAsia="Arial" w:hAnsi="Arial" w:cs="Arial"/>
        </w:rPr>
      </w:pPr>
      <w:r>
        <w:br w:type="page"/>
      </w:r>
    </w:p>
    <w:p w14:paraId="358E1C93" w14:textId="77777777" w:rsidR="00EB4B26" w:rsidRDefault="00000000">
      <w:pPr>
        <w:pStyle w:val="Heading1"/>
      </w:pPr>
      <w:bookmarkStart w:id="58" w:name="_fcvjob1y336j" w:colFirst="0" w:colLast="0"/>
      <w:bookmarkEnd w:id="58"/>
      <w:r>
        <w:lastRenderedPageBreak/>
        <w:t>AI Acknowledgement</w:t>
      </w:r>
    </w:p>
    <w:p w14:paraId="27EAF843" w14:textId="77777777" w:rsidR="00EB4B26" w:rsidRDefault="00000000">
      <w:pPr>
        <w:spacing w:before="0"/>
        <w:rPr>
          <w:rFonts w:ascii="Arial" w:eastAsia="Arial" w:hAnsi="Arial" w:cs="Arial"/>
        </w:rPr>
      </w:pPr>
      <w:r>
        <w:rPr>
          <w:rFonts w:ascii="Arial" w:eastAsia="Arial" w:hAnsi="Arial" w:cs="Arial"/>
        </w:rPr>
        <w:t>I acknowledged using AI tools as a help for creating structure so that I did not miss anything to meet the academic requirement.</w:t>
      </w:r>
    </w:p>
    <w:p w14:paraId="7C42F967" w14:textId="77777777" w:rsidR="00EB4B26" w:rsidRDefault="00EB4B26">
      <w:pPr>
        <w:spacing w:before="0"/>
        <w:rPr>
          <w:rFonts w:ascii="Arial" w:eastAsia="Arial" w:hAnsi="Arial" w:cs="Arial"/>
        </w:rPr>
      </w:pPr>
    </w:p>
    <w:p w14:paraId="3066E72B" w14:textId="77777777" w:rsidR="00EB4B26" w:rsidRDefault="00EB4B26">
      <w:pPr>
        <w:spacing w:before="0"/>
        <w:rPr>
          <w:rFonts w:ascii="Arial" w:eastAsia="Arial" w:hAnsi="Arial" w:cs="Arial"/>
        </w:rPr>
      </w:pPr>
    </w:p>
    <w:p w14:paraId="76BF351C" w14:textId="77777777" w:rsidR="00EB4B26" w:rsidRDefault="00EB4B26">
      <w:pPr>
        <w:spacing w:before="0"/>
        <w:rPr>
          <w:rFonts w:ascii="Arial" w:eastAsia="Arial" w:hAnsi="Arial" w:cs="Arial"/>
        </w:rPr>
      </w:pPr>
    </w:p>
    <w:sectPr w:rsidR="00EB4B26">
      <w:headerReference w:type="default" r:id="rId43"/>
      <w:footerReference w:type="default" r:id="rId44"/>
      <w:footerReference w:type="first" r:id="rId4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BB0EA" w14:textId="77777777" w:rsidR="001171C0" w:rsidRDefault="001171C0">
      <w:pPr>
        <w:spacing w:before="0" w:after="0" w:line="240" w:lineRule="auto"/>
      </w:pPr>
      <w:r>
        <w:separator/>
      </w:r>
    </w:p>
  </w:endnote>
  <w:endnote w:type="continuationSeparator" w:id="0">
    <w:p w14:paraId="511871D1" w14:textId="77777777" w:rsidR="001171C0" w:rsidRDefault="001171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F75CB663-6050-40EB-9054-583730EFD99F}"/>
    <w:embedBold r:id="rId2" w:fontKey="{080BCAD1-D813-488B-8943-800FC82A5E13}"/>
  </w:font>
  <w:font w:name="Shruti">
    <w:panose1 w:val="020B0502040204020203"/>
    <w:charset w:val="00"/>
    <w:family w:val="swiss"/>
    <w:pitch w:val="variable"/>
    <w:sig w:usb0="00040003" w:usb1="00000000" w:usb2="00000000" w:usb3="00000000" w:csb0="00000001" w:csb1="00000000"/>
    <w:embedRegular r:id="rId3" w:fontKey="{3CA8E514-EA83-45F9-8FC0-F1132B87340C}"/>
    <w:embedBold r:id="rId4" w:fontKey="{A079B41D-02C3-4BBF-8CD5-19645DD77277}"/>
  </w:font>
  <w:font w:name="Cambria">
    <w:panose1 w:val="02040503050406030204"/>
    <w:charset w:val="00"/>
    <w:family w:val="roman"/>
    <w:pitch w:val="variable"/>
    <w:sig w:usb0="E00006FF" w:usb1="420024FF" w:usb2="02000000" w:usb3="00000000" w:csb0="0000019F" w:csb1="00000000"/>
    <w:embedRegular r:id="rId5" w:fontKey="{DA9EF0AE-FE0E-433A-8EC6-56BDC76846B1}"/>
  </w:font>
  <w:font w:name="Calibri">
    <w:panose1 w:val="020F0502020204030204"/>
    <w:charset w:val="00"/>
    <w:family w:val="swiss"/>
    <w:pitch w:val="variable"/>
    <w:sig w:usb0="E4002EFF" w:usb1="C200247B" w:usb2="00000009" w:usb3="00000000" w:csb0="000001FF" w:csb1="00000000"/>
    <w:embedRegular r:id="rId6" w:fontKey="{BF3950CD-424C-45BC-B141-32E61D5D2E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1D1F4" w14:textId="77777777" w:rsidR="00EB4B26" w:rsidRDefault="00000000">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022B90">
      <w:rPr>
        <w:rFonts w:ascii="Arial" w:eastAsia="Arial" w:hAnsi="Arial" w:cs="Arial"/>
        <w:noProof/>
        <w:sz w:val="20"/>
        <w:szCs w:val="20"/>
      </w:rPr>
      <w:t>1</w:t>
    </w:r>
    <w:r>
      <w:rPr>
        <w:rFonts w:ascii="Arial" w:eastAsia="Arial" w:hAnsi="Arial" w:cs="Arial"/>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8634E" w14:textId="77777777" w:rsidR="00EB4B26" w:rsidRDefault="00EB4B2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90A46" w14:textId="77777777" w:rsidR="001171C0" w:rsidRDefault="001171C0">
      <w:pPr>
        <w:spacing w:before="0" w:after="0" w:line="240" w:lineRule="auto"/>
      </w:pPr>
      <w:r>
        <w:separator/>
      </w:r>
    </w:p>
  </w:footnote>
  <w:footnote w:type="continuationSeparator" w:id="0">
    <w:p w14:paraId="0EB5289B" w14:textId="77777777" w:rsidR="001171C0" w:rsidRDefault="001171C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88F7E" w14:textId="77777777" w:rsidR="00EB4B26" w:rsidRDefault="00EB4B2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B26"/>
    <w:rsid w:val="00022B90"/>
    <w:rsid w:val="001171C0"/>
    <w:rsid w:val="008156F8"/>
    <w:rsid w:val="0088681F"/>
    <w:rsid w:val="00EB4B2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FDAD9"/>
  <w15:docId w15:val="{C23E2AE8-DA2F-4227-8E6E-5708EB66B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0"/>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spacing w:before="0"/>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spacing w:before="0"/>
      <w:outlineLvl w:val="2"/>
    </w:pPr>
    <w:rPr>
      <w:rFonts w:ascii="Arial" w:eastAsia="Arial" w:hAnsi="Arial" w:cs="Arial"/>
      <w:b/>
      <w:bCs/>
    </w:rPr>
  </w:style>
  <w:style w:type="paragraph" w:styleId="Heading4">
    <w:name w:val="heading 4"/>
    <w:basedOn w:val="Normal"/>
    <w:next w:val="Normal"/>
    <w:uiPriority w:val="9"/>
    <w:semiHidden/>
    <w:unhideWhenUsed/>
    <w:qFormat/>
    <w:pPr>
      <w:keepNext/>
      <w:keepLines/>
      <w:outlineLvl w:val="3"/>
    </w:pPr>
    <w:rPr>
      <w:b/>
      <w:bCs/>
    </w:rPr>
  </w:style>
  <w:style w:type="paragraph" w:styleId="Heading5">
    <w:name w:val="heading 5"/>
    <w:basedOn w:val="Normal"/>
    <w:next w:val="Normal"/>
    <w:uiPriority w:val="9"/>
    <w:semiHidden/>
    <w:unhideWhenUsed/>
    <w:qFormat/>
    <w:pPr>
      <w:keepNext/>
      <w:keepLines/>
      <w:jc w:val="center"/>
      <w:outlineLvl w:val="4"/>
    </w:pPr>
    <w:rPr>
      <w:b/>
      <w:bCs/>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arxiv.org/pdf/2507.09726" TargetMode="External"/><Relationship Id="rId39" Type="http://schemas.openxmlformats.org/officeDocument/2006/relationships/hyperlink" Target="https://aas.net.cn/cn/article/pdf/preview/10.16383/j.aas.c220819.pdf" TargetMode="External"/><Relationship Id="rId21" Type="http://schemas.openxmlformats.org/officeDocument/2006/relationships/hyperlink" Target="https://www.hkexnews.hk/listedco/listconews/sehk/2021/0329/2021032902856.pdf" TargetMode="External"/><Relationship Id="rId34" Type="http://schemas.openxmlformats.org/officeDocument/2006/relationships/hyperlink" Target="https://link.springer.com/chapter/10.1007/978-981-97-0523-8_53" TargetMode="External"/><Relationship Id="rId42" Type="http://schemas.openxmlformats.org/officeDocument/2006/relationships/hyperlink" Target="https://www.atlantis-press.com/article/126017900.pdf"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image" Target="media/image11.png"/><Relationship Id="rId29" Type="http://schemas.openxmlformats.org/officeDocument/2006/relationships/hyperlink" Target="https://ijees.org/index.php/ijees/article/download/70/3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1.hkexnews.hk/listedco/listconews/sehk/2024/0326/2024032602559.pdf" TargetMode="External"/><Relationship Id="rId32" Type="http://schemas.openxmlformats.org/officeDocument/2006/relationships/hyperlink" Target="http://www.nlbaeai.org/static/upload/file/20240620/1718853113563757.pdf" TargetMode="External"/><Relationship Id="rId37" Type="http://schemas.openxmlformats.org/officeDocument/2006/relationships/hyperlink" Target="https://www.mdpi.com/2227-9717/13/5/1285" TargetMode="External"/><Relationship Id="rId40" Type="http://schemas.openxmlformats.org/officeDocument/2006/relationships/hyperlink" Target="https://www.mdpi.com/2227-9717/12/4/749" TargetMode="External"/><Relationship Id="rId45"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hkexnews.hk/listedco/listconews/sehk/2023/0328/2023032802305.pdf" TargetMode="External"/><Relationship Id="rId28" Type="http://schemas.openxmlformats.org/officeDocument/2006/relationships/hyperlink" Target="https://in.investing.com/equities/byd-co.-historical-data" TargetMode="External"/><Relationship Id="rId36" Type="http://schemas.openxmlformats.org/officeDocument/2006/relationships/hyperlink" Target="https://francis-press.com/uploads/papers/Hjei7duhTER36s9QtE6L5q1nxIRuoPDX2FCxbqb9.pdf"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mdpi.com/1660-4601/20/4/3217" TargetMode="External"/><Relationship Id="rId44"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1.hkexnews.hk/listedco/listconews/sehk/2022/0329/2022032902620.pdf" TargetMode="External"/><Relationship Id="rId27" Type="http://schemas.openxmlformats.org/officeDocument/2006/relationships/hyperlink" Target="https://companiesmarketcap.com/byd/annual-reports/" TargetMode="External"/><Relationship Id="rId30" Type="http://schemas.openxmlformats.org/officeDocument/2006/relationships/hyperlink" Target="https://search.ebscohost.com/login.aspx?direct=true&amp;profile=ehost&amp;scope=site&amp;authtype=crawler&amp;jrnl=28076494&amp;AN=191568258&amp;h=LELOemIyxrytnNBivHn29O%2F0KPQ0uokxGPB47Ltig6LJTn4vyDvoiZ63NH32U3y08w7GMkrDmRd4BgwOU1dMtA%3D%3D&amp;crl=c" TargetMode="External"/><Relationship Id="rId35" Type="http://schemas.openxmlformats.org/officeDocument/2006/relationships/hyperlink" Target="https://www.mdpi.com/1996-1073/15/17/6271" TargetMode="External"/><Relationship Id="rId43" Type="http://schemas.openxmlformats.org/officeDocument/2006/relationships/header" Target="header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1.hkexnews.hk/listedco/listconews/sehk/2025/0324/2025032401238.pdf" TargetMode="External"/><Relationship Id="rId33" Type="http://schemas.openxmlformats.org/officeDocument/2006/relationships/hyperlink" Target="https://www.tandfonline.com/doi/pdf/10.1080/00207543.2025.2546652" TargetMode="External"/><Relationship Id="rId38" Type="http://schemas.openxmlformats.org/officeDocument/2006/relationships/hyperlink" Target="https://en.front-sci.com/index.php/memf/article/view/3946/4257" TargetMode="External"/><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hyperlink" Target="https://arxiv.org/pdf/2405.1085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44</Pages>
  <Words>8460</Words>
  <Characters>48226</Characters>
  <Application>Microsoft Office Word</Application>
  <DocSecurity>0</DocSecurity>
  <Lines>401</Lines>
  <Paragraphs>113</Paragraphs>
  <ScaleCrop>false</ScaleCrop>
  <Company/>
  <LinksUpToDate>false</LinksUpToDate>
  <CharactersWithSpaces>56573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ronak devani</cp:lastModifiedBy>
  <cp:revision>4</cp:revision>
  <dcterms:created xsi:type="dcterms:W3CDTF">2026-04-24T10:08:00Z</dcterms:created>
  <dcterms:modified xsi:type="dcterms:W3CDTF">2026-04-24T10:11:00Z</dcterms:modified>
</cp:coreProperties>
</file>