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E982A" w14:textId="1C36DBB9" w:rsidR="00E74578" w:rsidRDefault="00C518C7">
      <w:r>
        <w:rPr>
          <w:noProof/>
        </w:rPr>
        <w:drawing>
          <wp:inline distT="0" distB="0" distL="0" distR="0" wp14:anchorId="143CDA20" wp14:editId="78C9A2DC">
            <wp:extent cx="3078480" cy="1500854"/>
            <wp:effectExtent l="0" t="0" r="7620" b="4445"/>
            <wp:docPr id="201769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6829" cy="1519550"/>
                    </a:xfrm>
                    <a:prstGeom prst="rect">
                      <a:avLst/>
                    </a:prstGeom>
                    <a:noFill/>
                  </pic:spPr>
                </pic:pic>
              </a:graphicData>
            </a:graphic>
          </wp:inline>
        </w:drawing>
      </w:r>
    </w:p>
    <w:p w14:paraId="7252890C" w14:textId="77777777" w:rsidR="00C518C7" w:rsidRDefault="00C518C7"/>
    <w:p w14:paraId="088C8C35" w14:textId="77777777" w:rsidR="00C518C7" w:rsidRDefault="00C518C7"/>
    <w:p w14:paraId="6F577BDF" w14:textId="77777777" w:rsidR="00C518C7" w:rsidRDefault="00C518C7"/>
    <w:p w14:paraId="22A38090" w14:textId="77777777" w:rsidR="00C518C7" w:rsidRDefault="00C518C7"/>
    <w:p w14:paraId="78D6D636" w14:textId="77777777" w:rsidR="00C518C7" w:rsidRDefault="00C518C7"/>
    <w:p w14:paraId="3779073B" w14:textId="77777777" w:rsidR="00C518C7" w:rsidRDefault="00C518C7"/>
    <w:p w14:paraId="49119664" w14:textId="77777777" w:rsidR="00C518C7" w:rsidRDefault="00C518C7"/>
    <w:p w14:paraId="5883FE2F" w14:textId="77777777" w:rsidR="00C518C7" w:rsidRDefault="00C518C7"/>
    <w:p w14:paraId="596D048D" w14:textId="77777777" w:rsidR="00C518C7" w:rsidRDefault="00C518C7"/>
    <w:p w14:paraId="2F863260" w14:textId="77777777" w:rsidR="00C518C7" w:rsidRDefault="00C518C7"/>
    <w:p w14:paraId="55B0F434" w14:textId="77777777" w:rsidR="00BE0DC3" w:rsidRDefault="00BE0DC3"/>
    <w:p w14:paraId="7CFB0E22" w14:textId="77777777" w:rsidR="00BE0DC3" w:rsidRDefault="00BE0DC3"/>
    <w:p w14:paraId="0D769257" w14:textId="77777777" w:rsidR="00BE0DC3" w:rsidRDefault="00BE0DC3"/>
    <w:p w14:paraId="4FA7DECF" w14:textId="77777777" w:rsidR="00BE0DC3" w:rsidRDefault="00BE0DC3"/>
    <w:p w14:paraId="194CFC7D" w14:textId="77777777" w:rsidR="00BE0DC3" w:rsidRDefault="00BE0DC3"/>
    <w:p w14:paraId="1CC9F6F2" w14:textId="77777777" w:rsidR="00273A38" w:rsidRDefault="00273A38"/>
    <w:p w14:paraId="425054AF" w14:textId="531E0C1E" w:rsidR="00C518C7" w:rsidRDefault="00C518C7" w:rsidP="00C518C7">
      <w:pPr>
        <w:jc w:val="center"/>
        <w:rPr>
          <w:rFonts w:ascii="Arial" w:hAnsi="Arial" w:cs="Arial"/>
        </w:rPr>
      </w:pPr>
      <w:r w:rsidRPr="0050325C">
        <w:rPr>
          <w:rFonts w:ascii="Arial" w:hAnsi="Arial" w:cs="Arial"/>
          <w:b/>
          <w:bCs/>
        </w:rPr>
        <w:t>Module</w:t>
      </w:r>
      <w:r>
        <w:rPr>
          <w:rFonts w:ascii="Arial" w:hAnsi="Arial" w:cs="Arial"/>
          <w:b/>
          <w:bCs/>
        </w:rPr>
        <w:t xml:space="preserve"> Code</w:t>
      </w:r>
      <w:r w:rsidRPr="0050325C">
        <w:rPr>
          <w:rFonts w:ascii="Arial" w:hAnsi="Arial" w:cs="Arial"/>
          <w:b/>
          <w:bCs/>
        </w:rPr>
        <w:t>:</w:t>
      </w:r>
      <w:r w:rsidRPr="0050325C">
        <w:rPr>
          <w:rFonts w:ascii="Arial" w:hAnsi="Arial" w:cs="Arial"/>
        </w:rPr>
        <w:t xml:space="preserve"> LCLM600</w:t>
      </w:r>
      <w:r>
        <w:rPr>
          <w:rFonts w:ascii="Arial" w:hAnsi="Arial" w:cs="Arial"/>
        </w:rPr>
        <w:t>4</w:t>
      </w:r>
    </w:p>
    <w:p w14:paraId="1ECD995D" w14:textId="173E4386" w:rsidR="00C518C7" w:rsidRPr="0050325C" w:rsidRDefault="00C518C7" w:rsidP="00C518C7">
      <w:pPr>
        <w:jc w:val="center"/>
        <w:rPr>
          <w:rFonts w:ascii="Arial" w:hAnsi="Arial" w:cs="Arial"/>
        </w:rPr>
      </w:pPr>
      <w:r w:rsidRPr="00005BA2">
        <w:rPr>
          <w:rFonts w:ascii="Arial" w:hAnsi="Arial" w:cs="Arial"/>
          <w:b/>
          <w:bCs/>
        </w:rPr>
        <w:t>Module:</w:t>
      </w:r>
      <w:r w:rsidRPr="00005BA2">
        <w:rPr>
          <w:rFonts w:ascii="Arial" w:hAnsi="Arial" w:cs="Arial"/>
        </w:rPr>
        <w:t xml:space="preserve"> </w:t>
      </w:r>
      <w:r>
        <w:rPr>
          <w:rFonts w:ascii="Arial" w:hAnsi="Arial" w:cs="Arial"/>
        </w:rPr>
        <w:t>Research Methods for Business</w:t>
      </w:r>
    </w:p>
    <w:p w14:paraId="50814BD1" w14:textId="341FEE44" w:rsidR="00C518C7" w:rsidRPr="0050325C" w:rsidRDefault="00C518C7" w:rsidP="00C518C7">
      <w:pPr>
        <w:jc w:val="center"/>
        <w:rPr>
          <w:rFonts w:ascii="Arial" w:hAnsi="Arial" w:cs="Arial"/>
        </w:rPr>
      </w:pPr>
      <w:r w:rsidRPr="0050325C">
        <w:rPr>
          <w:rFonts w:ascii="Arial" w:hAnsi="Arial" w:cs="Arial"/>
          <w:b/>
          <w:bCs/>
        </w:rPr>
        <w:t>Title:</w:t>
      </w:r>
      <w:r w:rsidRPr="0050325C">
        <w:rPr>
          <w:rFonts w:ascii="Arial" w:hAnsi="Arial" w:cs="Arial"/>
        </w:rPr>
        <w:t xml:space="preserve"> </w:t>
      </w:r>
      <w:r>
        <w:rPr>
          <w:rFonts w:ascii="Arial" w:hAnsi="Arial" w:cs="Arial"/>
        </w:rPr>
        <w:t xml:space="preserve">Component 1 – Business Research Proposal </w:t>
      </w:r>
    </w:p>
    <w:p w14:paraId="0B467243" w14:textId="77777777" w:rsidR="00C518C7" w:rsidRPr="0050325C" w:rsidRDefault="00C518C7" w:rsidP="00C518C7">
      <w:pPr>
        <w:jc w:val="center"/>
        <w:rPr>
          <w:rFonts w:ascii="Arial" w:hAnsi="Arial" w:cs="Arial"/>
        </w:rPr>
      </w:pPr>
      <w:r w:rsidRPr="0050325C">
        <w:rPr>
          <w:rFonts w:ascii="Arial" w:hAnsi="Arial" w:cs="Arial"/>
          <w:b/>
          <w:bCs/>
        </w:rPr>
        <w:t>Student Name:</w:t>
      </w:r>
      <w:r w:rsidRPr="0050325C">
        <w:rPr>
          <w:rFonts w:ascii="Arial" w:hAnsi="Arial" w:cs="Arial"/>
        </w:rPr>
        <w:t xml:space="preserve"> Stephanie Johnson</w:t>
      </w:r>
    </w:p>
    <w:p w14:paraId="289A25F2" w14:textId="77777777" w:rsidR="00C518C7" w:rsidRPr="0050325C" w:rsidRDefault="00C518C7" w:rsidP="00C518C7">
      <w:pPr>
        <w:jc w:val="center"/>
        <w:rPr>
          <w:rFonts w:ascii="Arial" w:hAnsi="Arial" w:cs="Arial"/>
        </w:rPr>
      </w:pPr>
      <w:r w:rsidRPr="0050325C">
        <w:rPr>
          <w:rFonts w:ascii="Arial" w:hAnsi="Arial" w:cs="Arial"/>
          <w:b/>
          <w:bCs/>
        </w:rPr>
        <w:t>Student ID:</w:t>
      </w:r>
      <w:r w:rsidRPr="0050325C">
        <w:rPr>
          <w:rFonts w:ascii="Arial" w:hAnsi="Arial" w:cs="Arial"/>
        </w:rPr>
        <w:t xml:space="preserve"> 2319756</w:t>
      </w:r>
    </w:p>
    <w:p w14:paraId="3CAE71D5" w14:textId="279BA2B7" w:rsidR="00C518C7" w:rsidRPr="00C518C7" w:rsidRDefault="00C518C7" w:rsidP="00C518C7">
      <w:pPr>
        <w:jc w:val="center"/>
        <w:rPr>
          <w:rFonts w:ascii="Arial" w:hAnsi="Arial" w:cs="Arial"/>
          <w:color w:val="000000" w:themeColor="text1"/>
        </w:rPr>
      </w:pPr>
      <w:r w:rsidRPr="0050325C">
        <w:rPr>
          <w:rFonts w:ascii="Arial" w:hAnsi="Arial" w:cs="Arial"/>
          <w:b/>
          <w:bCs/>
        </w:rPr>
        <w:t>Lecture Name:</w:t>
      </w:r>
      <w:r w:rsidRPr="0050325C">
        <w:rPr>
          <w:rFonts w:ascii="Arial" w:hAnsi="Arial" w:cs="Arial"/>
        </w:rPr>
        <w:t xml:space="preserve"> </w:t>
      </w:r>
      <w:r w:rsidR="00CD47A7">
        <w:rPr>
          <w:rFonts w:ascii="Arial" w:hAnsi="Arial" w:cs="Arial"/>
        </w:rPr>
        <w:t>Md-</w:t>
      </w:r>
      <w:proofErr w:type="spellStart"/>
      <w:r w:rsidR="00CD47A7">
        <w:rPr>
          <w:rFonts w:ascii="Arial" w:hAnsi="Arial" w:cs="Arial"/>
        </w:rPr>
        <w:t>Ashikul</w:t>
      </w:r>
      <w:proofErr w:type="spellEnd"/>
      <w:r w:rsidR="00CD47A7">
        <w:rPr>
          <w:rFonts w:ascii="Arial" w:hAnsi="Arial" w:cs="Arial"/>
        </w:rPr>
        <w:t xml:space="preserve"> K</w:t>
      </w:r>
      <w:r w:rsidR="00CD47A7" w:rsidRPr="00CD47A7">
        <w:rPr>
          <w:rFonts w:ascii="Arial" w:hAnsi="Arial" w:cs="Arial"/>
        </w:rPr>
        <w:t>ha</w:t>
      </w:r>
      <w:r w:rsidR="00CD47A7">
        <w:rPr>
          <w:rFonts w:ascii="Arial" w:hAnsi="Arial" w:cs="Arial"/>
        </w:rPr>
        <w:t>n</w:t>
      </w:r>
    </w:p>
    <w:p w14:paraId="33E2A3F5" w14:textId="77777777" w:rsidR="00273A38" w:rsidRPr="00273A38" w:rsidRDefault="00C518C7" w:rsidP="00273A38">
      <w:pPr>
        <w:jc w:val="center"/>
        <w:rPr>
          <w:rFonts w:ascii="Arial" w:hAnsi="Arial" w:cs="Arial"/>
        </w:rPr>
      </w:pPr>
      <w:r w:rsidRPr="0050325C">
        <w:rPr>
          <w:rFonts w:ascii="Arial" w:hAnsi="Arial" w:cs="Arial"/>
          <w:b/>
          <w:bCs/>
        </w:rPr>
        <w:t>Date:</w:t>
      </w:r>
      <w:r w:rsidRPr="0050325C">
        <w:rPr>
          <w:rFonts w:ascii="Arial" w:hAnsi="Arial" w:cs="Arial"/>
        </w:rPr>
        <w:t xml:space="preserve"> </w:t>
      </w:r>
      <w:r>
        <w:rPr>
          <w:rFonts w:ascii="Arial" w:hAnsi="Arial" w:cs="Arial"/>
        </w:rPr>
        <w:t>13</w:t>
      </w:r>
      <w:r w:rsidRPr="0050325C">
        <w:rPr>
          <w:rFonts w:ascii="Arial" w:hAnsi="Arial" w:cs="Arial"/>
        </w:rPr>
        <w:t>/</w:t>
      </w:r>
      <w:r>
        <w:rPr>
          <w:rFonts w:ascii="Arial" w:hAnsi="Arial" w:cs="Arial"/>
        </w:rPr>
        <w:t>07</w:t>
      </w:r>
      <w:r w:rsidRPr="0050325C">
        <w:rPr>
          <w:rFonts w:ascii="Arial" w:hAnsi="Arial" w:cs="Arial"/>
        </w:rPr>
        <w:t>/2026</w:t>
      </w:r>
    </w:p>
    <w:sdt>
      <w:sdtPr>
        <w:rPr>
          <w:rFonts w:asciiTheme="minorHAnsi" w:eastAsiaTheme="minorHAnsi" w:hAnsiTheme="minorHAnsi" w:cstheme="minorBidi"/>
          <w:color w:val="000000" w:themeColor="text1"/>
          <w:kern w:val="2"/>
          <w:sz w:val="24"/>
          <w:szCs w:val="24"/>
          <w:lang w:val="en-GB"/>
          <w14:ligatures w14:val="standardContextual"/>
        </w:rPr>
        <w:id w:val="1896002293"/>
        <w:docPartObj>
          <w:docPartGallery w:val="Table of Contents"/>
          <w:docPartUnique/>
        </w:docPartObj>
      </w:sdtPr>
      <w:sdtEndPr>
        <w:rPr>
          <w:b/>
          <w:bCs/>
          <w:noProof/>
        </w:rPr>
      </w:sdtEndPr>
      <w:sdtContent>
        <w:p w14:paraId="18B8BB55" w14:textId="6F3DFF8B" w:rsidR="00273A38" w:rsidRPr="00A445F4" w:rsidRDefault="00273A38">
          <w:pPr>
            <w:pStyle w:val="TOCHeading"/>
            <w:rPr>
              <w:rFonts w:ascii="Arial" w:hAnsi="Arial" w:cs="Arial"/>
              <w:color w:val="000000" w:themeColor="text1"/>
              <w:sz w:val="22"/>
              <w:szCs w:val="22"/>
            </w:rPr>
          </w:pPr>
          <w:r w:rsidRPr="00A445F4">
            <w:rPr>
              <w:rFonts w:ascii="Arial" w:hAnsi="Arial" w:cs="Arial"/>
              <w:color w:val="000000" w:themeColor="text1"/>
              <w:sz w:val="22"/>
              <w:szCs w:val="22"/>
            </w:rPr>
            <w:t>Table of Contents</w:t>
          </w:r>
        </w:p>
        <w:p w14:paraId="7388E106" w14:textId="1E4BA57C" w:rsidR="000A2F54" w:rsidRPr="00A445F4" w:rsidRDefault="00273A38">
          <w:pPr>
            <w:pStyle w:val="TOC1"/>
            <w:tabs>
              <w:tab w:val="right" w:leader="dot" w:pos="9016"/>
            </w:tabs>
            <w:rPr>
              <w:rFonts w:ascii="Arial" w:eastAsiaTheme="minorEastAsia" w:hAnsi="Arial" w:cs="Arial"/>
              <w:noProof/>
              <w:color w:val="000000" w:themeColor="text1"/>
              <w:sz w:val="22"/>
              <w:szCs w:val="22"/>
              <w:lang w:eastAsia="en-GB"/>
            </w:rPr>
          </w:pPr>
          <w:r w:rsidRPr="00A445F4">
            <w:rPr>
              <w:rFonts w:ascii="Arial" w:hAnsi="Arial" w:cs="Arial"/>
              <w:color w:val="000000" w:themeColor="text1"/>
              <w:sz w:val="22"/>
              <w:szCs w:val="22"/>
            </w:rPr>
            <w:fldChar w:fldCharType="begin"/>
          </w:r>
          <w:r w:rsidRPr="00A445F4">
            <w:rPr>
              <w:rFonts w:ascii="Arial" w:hAnsi="Arial" w:cs="Arial"/>
              <w:color w:val="000000" w:themeColor="text1"/>
              <w:sz w:val="22"/>
              <w:szCs w:val="22"/>
            </w:rPr>
            <w:instrText xml:space="preserve"> TOC \o "1-3" \h \z \u </w:instrText>
          </w:r>
          <w:r w:rsidRPr="00A445F4">
            <w:rPr>
              <w:rFonts w:ascii="Arial" w:hAnsi="Arial" w:cs="Arial"/>
              <w:color w:val="000000" w:themeColor="text1"/>
              <w:sz w:val="22"/>
              <w:szCs w:val="22"/>
            </w:rPr>
            <w:fldChar w:fldCharType="separate"/>
          </w:r>
          <w:hyperlink w:anchor="_Toc234841434" w:history="1">
            <w:r w:rsidR="000A2F54" w:rsidRPr="00A445F4">
              <w:rPr>
                <w:rStyle w:val="Hyperlink"/>
                <w:rFonts w:ascii="Arial" w:hAnsi="Arial" w:cs="Arial"/>
                <w:noProof/>
                <w:color w:val="000000" w:themeColor="text1"/>
                <w:sz w:val="22"/>
                <w:szCs w:val="22"/>
              </w:rPr>
              <w:t>Executive Summary:</w:t>
            </w:r>
            <w:r w:rsidR="000A2F54" w:rsidRPr="00A445F4">
              <w:rPr>
                <w:rFonts w:ascii="Arial" w:hAnsi="Arial" w:cs="Arial"/>
                <w:noProof/>
                <w:webHidden/>
                <w:color w:val="000000" w:themeColor="text1"/>
                <w:sz w:val="22"/>
                <w:szCs w:val="22"/>
              </w:rPr>
              <w:tab/>
            </w:r>
            <w:r w:rsidR="000A2F54" w:rsidRPr="00A445F4">
              <w:rPr>
                <w:rFonts w:ascii="Arial" w:hAnsi="Arial" w:cs="Arial"/>
                <w:noProof/>
                <w:webHidden/>
                <w:color w:val="000000" w:themeColor="text1"/>
                <w:sz w:val="22"/>
                <w:szCs w:val="22"/>
              </w:rPr>
              <w:fldChar w:fldCharType="begin"/>
            </w:r>
            <w:r w:rsidR="000A2F54" w:rsidRPr="00A445F4">
              <w:rPr>
                <w:rFonts w:ascii="Arial" w:hAnsi="Arial" w:cs="Arial"/>
                <w:noProof/>
                <w:webHidden/>
                <w:color w:val="000000" w:themeColor="text1"/>
                <w:sz w:val="22"/>
                <w:szCs w:val="22"/>
              </w:rPr>
              <w:instrText xml:space="preserve"> PAGEREF _Toc234841434 \h </w:instrText>
            </w:r>
            <w:r w:rsidR="000A2F54" w:rsidRPr="00A445F4">
              <w:rPr>
                <w:rFonts w:ascii="Arial" w:hAnsi="Arial" w:cs="Arial"/>
                <w:noProof/>
                <w:webHidden/>
                <w:color w:val="000000" w:themeColor="text1"/>
                <w:sz w:val="22"/>
                <w:szCs w:val="22"/>
              </w:rPr>
            </w:r>
            <w:r w:rsidR="000A2F54" w:rsidRPr="00A445F4">
              <w:rPr>
                <w:rFonts w:ascii="Arial" w:hAnsi="Arial" w:cs="Arial"/>
                <w:noProof/>
                <w:webHidden/>
                <w:color w:val="000000" w:themeColor="text1"/>
                <w:sz w:val="22"/>
                <w:szCs w:val="22"/>
              </w:rPr>
              <w:fldChar w:fldCharType="separate"/>
            </w:r>
            <w:r w:rsidR="000A2F54" w:rsidRPr="00A445F4">
              <w:rPr>
                <w:rFonts w:ascii="Arial" w:hAnsi="Arial" w:cs="Arial"/>
                <w:noProof/>
                <w:webHidden/>
                <w:color w:val="000000" w:themeColor="text1"/>
                <w:sz w:val="22"/>
                <w:szCs w:val="22"/>
              </w:rPr>
              <w:t>3</w:t>
            </w:r>
            <w:r w:rsidR="000A2F54" w:rsidRPr="00A445F4">
              <w:rPr>
                <w:rFonts w:ascii="Arial" w:hAnsi="Arial" w:cs="Arial"/>
                <w:noProof/>
                <w:webHidden/>
                <w:color w:val="000000" w:themeColor="text1"/>
                <w:sz w:val="22"/>
                <w:szCs w:val="22"/>
              </w:rPr>
              <w:fldChar w:fldCharType="end"/>
            </w:r>
          </w:hyperlink>
        </w:p>
        <w:p w14:paraId="652D918C" w14:textId="5C2F0421"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35" w:history="1">
            <w:r w:rsidRPr="00A445F4">
              <w:rPr>
                <w:rStyle w:val="Hyperlink"/>
                <w:rFonts w:ascii="Arial" w:hAnsi="Arial" w:cs="Arial"/>
                <w:noProof/>
                <w:color w:val="000000" w:themeColor="text1"/>
                <w:sz w:val="22"/>
                <w:szCs w:val="22"/>
              </w:rPr>
              <w:t>Topic Title: Managing Costs and Loyalty in UK Supermarkets: A Case Study of Tesco</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_Toc234841435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4</w:t>
            </w:r>
            <w:r w:rsidRPr="00A445F4">
              <w:rPr>
                <w:rFonts w:ascii="Arial" w:hAnsi="Arial" w:cs="Arial"/>
                <w:noProof/>
                <w:webHidden/>
                <w:color w:val="000000" w:themeColor="text1"/>
                <w:sz w:val="22"/>
                <w:szCs w:val="22"/>
              </w:rPr>
              <w:fldChar w:fldCharType="end"/>
            </w:r>
          </w:hyperlink>
        </w:p>
        <w:p w14:paraId="20359721" w14:textId="2852D1CD"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36" w:history="1">
            <w:r w:rsidRPr="00A445F4">
              <w:rPr>
                <w:rStyle w:val="Hyperlink"/>
                <w:rFonts w:ascii="Arial" w:hAnsi="Arial" w:cs="Arial"/>
                <w:noProof/>
                <w:color w:val="000000" w:themeColor="text1"/>
                <w:sz w:val="22"/>
                <w:szCs w:val="22"/>
              </w:rPr>
              <w:t>1 Introduction:</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_Toc234841436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4</w:t>
            </w:r>
            <w:r w:rsidRPr="00A445F4">
              <w:rPr>
                <w:rFonts w:ascii="Arial" w:hAnsi="Arial" w:cs="Arial"/>
                <w:noProof/>
                <w:webHidden/>
                <w:color w:val="000000" w:themeColor="text1"/>
                <w:sz w:val="22"/>
                <w:szCs w:val="22"/>
              </w:rPr>
              <w:fldChar w:fldCharType="end"/>
            </w:r>
          </w:hyperlink>
        </w:p>
        <w:p w14:paraId="42F39CB6" w14:textId="2AAD371C"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37" w:history="1">
            <w:r w:rsidRPr="00A445F4">
              <w:rPr>
                <w:rStyle w:val="Hyperlink"/>
                <w:rFonts w:ascii="Arial" w:hAnsi="Arial" w:cs="Arial"/>
                <w:noProof/>
                <w:color w:val="000000" w:themeColor="text1"/>
                <w:sz w:val="22"/>
                <w:szCs w:val="22"/>
              </w:rPr>
              <w:t>2 Research Aim, Objectives, and Questions:</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_Toc234841437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5</w:t>
            </w:r>
            <w:r w:rsidRPr="00A445F4">
              <w:rPr>
                <w:rFonts w:ascii="Arial" w:hAnsi="Arial" w:cs="Arial"/>
                <w:noProof/>
                <w:webHidden/>
                <w:color w:val="000000" w:themeColor="text1"/>
                <w:sz w:val="22"/>
                <w:szCs w:val="22"/>
              </w:rPr>
              <w:fldChar w:fldCharType="end"/>
            </w:r>
          </w:hyperlink>
        </w:p>
        <w:p w14:paraId="16CFD626" w14:textId="64D2AD90" w:rsidR="000A2F54" w:rsidRPr="00A445F4" w:rsidRDefault="000A2F54">
          <w:pPr>
            <w:pStyle w:val="TOC2"/>
            <w:tabs>
              <w:tab w:val="right" w:leader="dot" w:pos="9016"/>
            </w:tabs>
            <w:rPr>
              <w:rFonts w:ascii="Arial" w:eastAsiaTheme="minorEastAsia" w:hAnsi="Arial" w:cs="Arial"/>
              <w:noProof/>
              <w:color w:val="000000" w:themeColor="text1"/>
              <w:sz w:val="22"/>
              <w:szCs w:val="22"/>
              <w:lang w:eastAsia="en-GB"/>
            </w:rPr>
          </w:pPr>
          <w:hyperlink w:anchor="_Toc234841438" w:history="1">
            <w:r w:rsidRPr="00A445F4">
              <w:rPr>
                <w:rStyle w:val="Hyperlink"/>
                <w:rFonts w:ascii="Arial" w:hAnsi="Arial" w:cs="Arial"/>
                <w:noProof/>
                <w:color w:val="000000" w:themeColor="text1"/>
                <w:sz w:val="22"/>
                <w:szCs w:val="22"/>
              </w:rPr>
              <w:t>Research Questions:</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_Toc234841438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6</w:t>
            </w:r>
            <w:r w:rsidRPr="00A445F4">
              <w:rPr>
                <w:rFonts w:ascii="Arial" w:hAnsi="Arial" w:cs="Arial"/>
                <w:noProof/>
                <w:webHidden/>
                <w:color w:val="000000" w:themeColor="text1"/>
                <w:sz w:val="22"/>
                <w:szCs w:val="22"/>
              </w:rPr>
              <w:fldChar w:fldCharType="end"/>
            </w:r>
          </w:hyperlink>
        </w:p>
        <w:p w14:paraId="3E573616" w14:textId="59FA0A1B"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39" w:history="1">
            <w:r w:rsidRPr="00A445F4">
              <w:rPr>
                <w:rStyle w:val="Hyperlink"/>
                <w:rFonts w:ascii="Arial" w:hAnsi="Arial" w:cs="Arial"/>
                <w:noProof/>
                <w:color w:val="000000" w:themeColor="text1"/>
                <w:sz w:val="22"/>
                <w:szCs w:val="22"/>
              </w:rPr>
              <w:t>Part 3.0 Critical Literature Review:</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_Toc234841439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7</w:t>
            </w:r>
            <w:r w:rsidRPr="00A445F4">
              <w:rPr>
                <w:rFonts w:ascii="Arial" w:hAnsi="Arial" w:cs="Arial"/>
                <w:noProof/>
                <w:webHidden/>
                <w:color w:val="000000" w:themeColor="text1"/>
                <w:sz w:val="22"/>
                <w:szCs w:val="22"/>
              </w:rPr>
              <w:fldChar w:fldCharType="end"/>
            </w:r>
          </w:hyperlink>
        </w:p>
        <w:p w14:paraId="32C2D25E" w14:textId="276523A8" w:rsidR="000A2F54" w:rsidRPr="00A445F4" w:rsidRDefault="000A2F54">
          <w:pPr>
            <w:pStyle w:val="TOC2"/>
            <w:tabs>
              <w:tab w:val="right" w:leader="dot" w:pos="9016"/>
            </w:tabs>
            <w:rPr>
              <w:rFonts w:ascii="Arial" w:eastAsiaTheme="minorEastAsia" w:hAnsi="Arial" w:cs="Arial"/>
              <w:noProof/>
              <w:color w:val="000000" w:themeColor="text1"/>
              <w:sz w:val="22"/>
              <w:szCs w:val="22"/>
              <w:lang w:eastAsia="en-GB"/>
            </w:rPr>
          </w:pPr>
          <w:hyperlink w:anchor="_Toc234841440" w:history="1">
            <w:r w:rsidRPr="00A445F4">
              <w:rPr>
                <w:rStyle w:val="Hyperlink"/>
                <w:rFonts w:ascii="Arial" w:hAnsi="Arial" w:cs="Arial"/>
                <w:noProof/>
                <w:color w:val="000000" w:themeColor="text1"/>
                <w:sz w:val="22"/>
                <w:szCs w:val="22"/>
              </w:rPr>
              <w:t>Part 3.1 Key Frameworks and Theories:</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_Toc234841440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7</w:t>
            </w:r>
            <w:r w:rsidRPr="00A445F4">
              <w:rPr>
                <w:rFonts w:ascii="Arial" w:hAnsi="Arial" w:cs="Arial"/>
                <w:noProof/>
                <w:webHidden/>
                <w:color w:val="000000" w:themeColor="text1"/>
                <w:sz w:val="22"/>
                <w:szCs w:val="22"/>
              </w:rPr>
              <w:fldChar w:fldCharType="end"/>
            </w:r>
          </w:hyperlink>
        </w:p>
        <w:p w14:paraId="770D3AF5" w14:textId="5202729E" w:rsidR="000A2F54" w:rsidRPr="00A445F4" w:rsidRDefault="000A2F54">
          <w:pPr>
            <w:pStyle w:val="TOC2"/>
            <w:tabs>
              <w:tab w:val="right" w:leader="dot" w:pos="9016"/>
            </w:tabs>
            <w:rPr>
              <w:rFonts w:ascii="Arial" w:eastAsiaTheme="minorEastAsia" w:hAnsi="Arial" w:cs="Arial"/>
              <w:noProof/>
              <w:color w:val="000000" w:themeColor="text1"/>
              <w:sz w:val="22"/>
              <w:szCs w:val="22"/>
              <w:lang w:eastAsia="en-GB"/>
            </w:rPr>
          </w:pPr>
          <w:hyperlink w:anchor="_Toc234841441" w:history="1">
            <w:r w:rsidRPr="00A445F4">
              <w:rPr>
                <w:rStyle w:val="Hyperlink"/>
                <w:rFonts w:ascii="Arial" w:hAnsi="Arial" w:cs="Arial"/>
                <w:noProof/>
                <w:color w:val="000000" w:themeColor="text1"/>
                <w:sz w:val="22"/>
                <w:szCs w:val="22"/>
              </w:rPr>
              <w:t>Part 3.2 The Rise of Operational Costs:</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_Toc234841441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8</w:t>
            </w:r>
            <w:r w:rsidRPr="00A445F4">
              <w:rPr>
                <w:rFonts w:ascii="Arial" w:hAnsi="Arial" w:cs="Arial"/>
                <w:noProof/>
                <w:webHidden/>
                <w:color w:val="000000" w:themeColor="text1"/>
                <w:sz w:val="22"/>
                <w:szCs w:val="22"/>
              </w:rPr>
              <w:fldChar w:fldCharType="end"/>
            </w:r>
          </w:hyperlink>
        </w:p>
        <w:p w14:paraId="519BCEE6" w14:textId="21F3946C" w:rsidR="000A2F54" w:rsidRPr="00A445F4" w:rsidRDefault="000A2F54">
          <w:pPr>
            <w:pStyle w:val="TOC2"/>
            <w:tabs>
              <w:tab w:val="right" w:leader="dot" w:pos="9016"/>
            </w:tabs>
            <w:rPr>
              <w:rFonts w:ascii="Arial" w:eastAsiaTheme="minorEastAsia" w:hAnsi="Arial" w:cs="Arial"/>
              <w:noProof/>
              <w:color w:val="000000" w:themeColor="text1"/>
              <w:sz w:val="22"/>
              <w:szCs w:val="22"/>
              <w:lang w:eastAsia="en-GB"/>
            </w:rPr>
          </w:pPr>
          <w:hyperlink w:anchor="_Toc234841442" w:history="1">
            <w:r w:rsidRPr="00A445F4">
              <w:rPr>
                <w:rStyle w:val="Hyperlink"/>
                <w:rFonts w:ascii="Arial" w:hAnsi="Arial" w:cs="Arial"/>
                <w:noProof/>
                <w:color w:val="000000" w:themeColor="text1"/>
                <w:sz w:val="22"/>
                <w:szCs w:val="22"/>
              </w:rPr>
              <w:t>3.3 The Fragmentation of Customer Loyalty:</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_Toc234841442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9</w:t>
            </w:r>
            <w:r w:rsidRPr="00A445F4">
              <w:rPr>
                <w:rFonts w:ascii="Arial" w:hAnsi="Arial" w:cs="Arial"/>
                <w:noProof/>
                <w:webHidden/>
                <w:color w:val="000000" w:themeColor="text1"/>
                <w:sz w:val="22"/>
                <w:szCs w:val="22"/>
              </w:rPr>
              <w:fldChar w:fldCharType="end"/>
            </w:r>
          </w:hyperlink>
        </w:p>
        <w:p w14:paraId="615D3E2C" w14:textId="2A24FE38" w:rsidR="000A2F54" w:rsidRPr="00A445F4" w:rsidRDefault="000A2F54">
          <w:pPr>
            <w:pStyle w:val="TOC2"/>
            <w:tabs>
              <w:tab w:val="right" w:leader="dot" w:pos="9016"/>
            </w:tabs>
            <w:rPr>
              <w:rFonts w:ascii="Arial" w:eastAsiaTheme="minorEastAsia" w:hAnsi="Arial" w:cs="Arial"/>
              <w:noProof/>
              <w:color w:val="000000" w:themeColor="text1"/>
              <w:sz w:val="22"/>
              <w:szCs w:val="22"/>
              <w:lang w:eastAsia="en-GB"/>
            </w:rPr>
          </w:pPr>
          <w:hyperlink w:anchor="_Toc234841443" w:history="1">
            <w:r w:rsidRPr="00A445F4">
              <w:rPr>
                <w:rStyle w:val="Hyperlink"/>
                <w:rFonts w:ascii="Arial" w:hAnsi="Arial" w:cs="Arial"/>
                <w:noProof/>
                <w:color w:val="000000" w:themeColor="text1"/>
                <w:sz w:val="22"/>
                <w:szCs w:val="22"/>
              </w:rPr>
              <w:t>Part 3.5 Identifying the Research Gap:</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_Toc234841443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10</w:t>
            </w:r>
            <w:r w:rsidRPr="00A445F4">
              <w:rPr>
                <w:rFonts w:ascii="Arial" w:hAnsi="Arial" w:cs="Arial"/>
                <w:noProof/>
                <w:webHidden/>
                <w:color w:val="000000" w:themeColor="text1"/>
                <w:sz w:val="22"/>
                <w:szCs w:val="22"/>
              </w:rPr>
              <w:fldChar w:fldCharType="end"/>
            </w:r>
          </w:hyperlink>
        </w:p>
        <w:p w14:paraId="5126F80C" w14:textId="7C7D8B33"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44" w:history="1">
            <w:r w:rsidRPr="00A445F4">
              <w:rPr>
                <w:rStyle w:val="Hyperlink"/>
                <w:rFonts w:ascii="Arial" w:hAnsi="Arial" w:cs="Arial"/>
                <w:noProof/>
                <w:color w:val="000000" w:themeColor="text1"/>
                <w:sz w:val="22"/>
                <w:szCs w:val="22"/>
              </w:rPr>
              <w:t>Part 4: Research Methodology and Design:</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_Toc234841444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11</w:t>
            </w:r>
            <w:r w:rsidRPr="00A445F4">
              <w:rPr>
                <w:rFonts w:ascii="Arial" w:hAnsi="Arial" w:cs="Arial"/>
                <w:noProof/>
                <w:webHidden/>
                <w:color w:val="000000" w:themeColor="text1"/>
                <w:sz w:val="22"/>
                <w:szCs w:val="22"/>
              </w:rPr>
              <w:fldChar w:fldCharType="end"/>
            </w:r>
          </w:hyperlink>
        </w:p>
        <w:p w14:paraId="5F06CAEF" w14:textId="2290ECF2"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45" w:history="1">
            <w:r w:rsidRPr="00A445F4">
              <w:rPr>
                <w:rStyle w:val="Hyperlink"/>
                <w:rFonts w:ascii="Arial" w:hAnsi="Arial" w:cs="Arial"/>
                <w:noProof/>
                <w:color w:val="000000" w:themeColor="text1"/>
                <w:sz w:val="22"/>
                <w:szCs w:val="22"/>
              </w:rPr>
              <w:t>Part 6: Business Relevance and Practical Implication:</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_Toc234841445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11</w:t>
            </w:r>
            <w:r w:rsidRPr="00A445F4">
              <w:rPr>
                <w:rFonts w:ascii="Arial" w:hAnsi="Arial" w:cs="Arial"/>
                <w:noProof/>
                <w:webHidden/>
                <w:color w:val="000000" w:themeColor="text1"/>
                <w:sz w:val="22"/>
                <w:szCs w:val="22"/>
              </w:rPr>
              <w:fldChar w:fldCharType="end"/>
            </w:r>
          </w:hyperlink>
        </w:p>
        <w:p w14:paraId="22A42637" w14:textId="785B0090"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46" w:history="1">
            <w:r w:rsidRPr="00A445F4">
              <w:rPr>
                <w:rStyle w:val="Hyperlink"/>
                <w:rFonts w:ascii="Arial" w:hAnsi="Arial" w:cs="Arial"/>
                <w:noProof/>
                <w:color w:val="000000" w:themeColor="text1"/>
                <w:sz w:val="22"/>
                <w:szCs w:val="22"/>
              </w:rPr>
              <w:t>7: Topic Conclusion:</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_Toc234841446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11</w:t>
            </w:r>
            <w:r w:rsidRPr="00A445F4">
              <w:rPr>
                <w:rFonts w:ascii="Arial" w:hAnsi="Arial" w:cs="Arial"/>
                <w:noProof/>
                <w:webHidden/>
                <w:color w:val="000000" w:themeColor="text1"/>
                <w:sz w:val="22"/>
                <w:szCs w:val="22"/>
              </w:rPr>
              <w:fldChar w:fldCharType="end"/>
            </w:r>
          </w:hyperlink>
        </w:p>
        <w:p w14:paraId="0E5ADB55" w14:textId="47325CAA"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47" w:history="1">
            <w:r w:rsidRPr="00A445F4">
              <w:rPr>
                <w:rStyle w:val="Hyperlink"/>
                <w:rFonts w:ascii="Arial" w:hAnsi="Arial" w:cs="Arial"/>
                <w:noProof/>
                <w:color w:val="000000" w:themeColor="text1"/>
                <w:sz w:val="22"/>
                <w:szCs w:val="22"/>
              </w:rPr>
              <w:t>Part 8: Reference List:</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_Toc234841447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12</w:t>
            </w:r>
            <w:r w:rsidRPr="00A445F4">
              <w:rPr>
                <w:rFonts w:ascii="Arial" w:hAnsi="Arial" w:cs="Arial"/>
                <w:noProof/>
                <w:webHidden/>
                <w:color w:val="000000" w:themeColor="text1"/>
                <w:sz w:val="22"/>
                <w:szCs w:val="22"/>
              </w:rPr>
              <w:fldChar w:fldCharType="end"/>
            </w:r>
          </w:hyperlink>
        </w:p>
        <w:p w14:paraId="4E9D0D11" w14:textId="62A12DB0" w:rsidR="000A2F54" w:rsidRPr="00A445F4" w:rsidRDefault="000A2F54">
          <w:pPr>
            <w:pStyle w:val="TOC1"/>
            <w:tabs>
              <w:tab w:val="right" w:leader="dot" w:pos="9016"/>
            </w:tabs>
            <w:rPr>
              <w:rFonts w:ascii="Arial" w:eastAsiaTheme="minorEastAsia" w:hAnsi="Arial" w:cs="Arial"/>
              <w:noProof/>
              <w:color w:val="000000" w:themeColor="text1"/>
              <w:sz w:val="22"/>
              <w:szCs w:val="22"/>
              <w:lang w:eastAsia="en-GB"/>
            </w:rPr>
          </w:pPr>
          <w:hyperlink w:anchor="_Toc234841448" w:history="1">
            <w:r w:rsidRPr="00A445F4">
              <w:rPr>
                <w:rStyle w:val="Hyperlink"/>
                <w:rFonts w:ascii="Arial" w:hAnsi="Arial" w:cs="Arial"/>
                <w:noProof/>
                <w:color w:val="000000" w:themeColor="text1"/>
                <w:sz w:val="22"/>
                <w:szCs w:val="22"/>
              </w:rPr>
              <w:t>Part 9: Topic Research: Links:</w:t>
            </w:r>
            <w:r w:rsidRPr="00A445F4">
              <w:rPr>
                <w:rFonts w:ascii="Arial" w:hAnsi="Arial" w:cs="Arial"/>
                <w:noProof/>
                <w:webHidden/>
                <w:color w:val="000000" w:themeColor="text1"/>
                <w:sz w:val="22"/>
                <w:szCs w:val="22"/>
              </w:rPr>
              <w:tab/>
            </w:r>
            <w:r w:rsidRPr="00A445F4">
              <w:rPr>
                <w:rFonts w:ascii="Arial" w:hAnsi="Arial" w:cs="Arial"/>
                <w:noProof/>
                <w:webHidden/>
                <w:color w:val="000000" w:themeColor="text1"/>
                <w:sz w:val="22"/>
                <w:szCs w:val="22"/>
              </w:rPr>
              <w:fldChar w:fldCharType="begin"/>
            </w:r>
            <w:r w:rsidRPr="00A445F4">
              <w:rPr>
                <w:rFonts w:ascii="Arial" w:hAnsi="Arial" w:cs="Arial"/>
                <w:noProof/>
                <w:webHidden/>
                <w:color w:val="000000" w:themeColor="text1"/>
                <w:sz w:val="22"/>
                <w:szCs w:val="22"/>
              </w:rPr>
              <w:instrText xml:space="preserve"> PAGEREF _Toc234841448 \h </w:instrText>
            </w:r>
            <w:r w:rsidRPr="00A445F4">
              <w:rPr>
                <w:rFonts w:ascii="Arial" w:hAnsi="Arial" w:cs="Arial"/>
                <w:noProof/>
                <w:webHidden/>
                <w:color w:val="000000" w:themeColor="text1"/>
                <w:sz w:val="22"/>
                <w:szCs w:val="22"/>
              </w:rPr>
            </w:r>
            <w:r w:rsidRPr="00A445F4">
              <w:rPr>
                <w:rFonts w:ascii="Arial" w:hAnsi="Arial" w:cs="Arial"/>
                <w:noProof/>
                <w:webHidden/>
                <w:color w:val="000000" w:themeColor="text1"/>
                <w:sz w:val="22"/>
                <w:szCs w:val="22"/>
              </w:rPr>
              <w:fldChar w:fldCharType="separate"/>
            </w:r>
            <w:r w:rsidRPr="00A445F4">
              <w:rPr>
                <w:rFonts w:ascii="Arial" w:hAnsi="Arial" w:cs="Arial"/>
                <w:noProof/>
                <w:webHidden/>
                <w:color w:val="000000" w:themeColor="text1"/>
                <w:sz w:val="22"/>
                <w:szCs w:val="22"/>
              </w:rPr>
              <w:t>14</w:t>
            </w:r>
            <w:r w:rsidRPr="00A445F4">
              <w:rPr>
                <w:rFonts w:ascii="Arial" w:hAnsi="Arial" w:cs="Arial"/>
                <w:noProof/>
                <w:webHidden/>
                <w:color w:val="000000" w:themeColor="text1"/>
                <w:sz w:val="22"/>
                <w:szCs w:val="22"/>
              </w:rPr>
              <w:fldChar w:fldCharType="end"/>
            </w:r>
          </w:hyperlink>
        </w:p>
        <w:p w14:paraId="01F770BE" w14:textId="7A0B2010" w:rsidR="00273A38" w:rsidRPr="00A445F4" w:rsidRDefault="00273A38">
          <w:pPr>
            <w:rPr>
              <w:color w:val="000000" w:themeColor="text1"/>
            </w:rPr>
          </w:pPr>
          <w:r w:rsidRPr="00A445F4">
            <w:rPr>
              <w:rFonts w:ascii="Arial" w:hAnsi="Arial" w:cs="Arial"/>
              <w:b/>
              <w:bCs/>
              <w:noProof/>
              <w:color w:val="000000" w:themeColor="text1"/>
              <w:sz w:val="22"/>
              <w:szCs w:val="22"/>
            </w:rPr>
            <w:fldChar w:fldCharType="end"/>
          </w:r>
        </w:p>
      </w:sdtContent>
    </w:sdt>
    <w:p w14:paraId="40E9AC95" w14:textId="3AF3BE91" w:rsidR="004D4A8C" w:rsidRPr="00A445F4" w:rsidRDefault="004D4A8C" w:rsidP="00273A38">
      <w:pPr>
        <w:jc w:val="center"/>
        <w:rPr>
          <w:rFonts w:ascii="Arial" w:hAnsi="Arial" w:cs="Arial"/>
          <w:color w:val="000000" w:themeColor="text1"/>
        </w:rPr>
      </w:pPr>
    </w:p>
    <w:p w14:paraId="1277E730" w14:textId="77777777" w:rsidR="00273A38" w:rsidRPr="00A445F4" w:rsidRDefault="00273A38" w:rsidP="00273A38">
      <w:pPr>
        <w:jc w:val="center"/>
        <w:rPr>
          <w:rFonts w:ascii="Arial" w:hAnsi="Arial" w:cs="Arial"/>
          <w:color w:val="000000" w:themeColor="text1"/>
        </w:rPr>
      </w:pPr>
    </w:p>
    <w:p w14:paraId="47DC488B" w14:textId="77777777" w:rsidR="00273A38" w:rsidRPr="00A445F4" w:rsidRDefault="00273A38" w:rsidP="00273A38">
      <w:pPr>
        <w:jc w:val="center"/>
        <w:rPr>
          <w:rFonts w:ascii="Arial" w:hAnsi="Arial" w:cs="Arial"/>
          <w:color w:val="000000" w:themeColor="text1"/>
        </w:rPr>
      </w:pPr>
    </w:p>
    <w:p w14:paraId="29EED42D" w14:textId="77777777" w:rsidR="00273A38" w:rsidRPr="00A445F4" w:rsidRDefault="00273A38" w:rsidP="00273A38">
      <w:pPr>
        <w:jc w:val="center"/>
        <w:rPr>
          <w:rFonts w:ascii="Arial" w:hAnsi="Arial" w:cs="Arial"/>
          <w:color w:val="000000" w:themeColor="text1"/>
        </w:rPr>
      </w:pPr>
    </w:p>
    <w:p w14:paraId="3B3B043D" w14:textId="77777777" w:rsidR="00273A38" w:rsidRPr="00A445F4" w:rsidRDefault="00273A38" w:rsidP="00273A38">
      <w:pPr>
        <w:jc w:val="center"/>
        <w:rPr>
          <w:rFonts w:ascii="Arial" w:hAnsi="Arial" w:cs="Arial"/>
          <w:color w:val="000000" w:themeColor="text1"/>
        </w:rPr>
      </w:pPr>
    </w:p>
    <w:p w14:paraId="1D454B25" w14:textId="77777777" w:rsidR="00273A38" w:rsidRPr="00A445F4" w:rsidRDefault="00273A38" w:rsidP="00273A38">
      <w:pPr>
        <w:jc w:val="center"/>
        <w:rPr>
          <w:rFonts w:ascii="Arial" w:hAnsi="Arial" w:cs="Arial"/>
          <w:color w:val="000000" w:themeColor="text1"/>
        </w:rPr>
      </w:pPr>
    </w:p>
    <w:p w14:paraId="41C158CA" w14:textId="77777777" w:rsidR="00273A38" w:rsidRPr="00A445F4" w:rsidRDefault="00273A38" w:rsidP="00273A38">
      <w:pPr>
        <w:jc w:val="center"/>
        <w:rPr>
          <w:rFonts w:ascii="Arial" w:hAnsi="Arial" w:cs="Arial"/>
          <w:color w:val="000000" w:themeColor="text1"/>
        </w:rPr>
      </w:pPr>
    </w:p>
    <w:p w14:paraId="1C2860A0" w14:textId="77777777" w:rsidR="00273A38" w:rsidRPr="00A445F4" w:rsidRDefault="00273A38" w:rsidP="00273A38">
      <w:pPr>
        <w:jc w:val="center"/>
        <w:rPr>
          <w:rFonts w:ascii="Arial" w:hAnsi="Arial" w:cs="Arial"/>
          <w:color w:val="000000" w:themeColor="text1"/>
        </w:rPr>
      </w:pPr>
    </w:p>
    <w:p w14:paraId="72D0D5A5" w14:textId="77777777" w:rsidR="00273A38" w:rsidRPr="00A445F4" w:rsidRDefault="00273A38" w:rsidP="00273A38">
      <w:pPr>
        <w:jc w:val="center"/>
        <w:rPr>
          <w:rFonts w:ascii="Arial" w:hAnsi="Arial" w:cs="Arial"/>
          <w:color w:val="000000" w:themeColor="text1"/>
        </w:rPr>
      </w:pPr>
    </w:p>
    <w:p w14:paraId="78B485A0" w14:textId="77777777" w:rsidR="00273A38" w:rsidRPr="00A445F4" w:rsidRDefault="00273A38" w:rsidP="00273A38">
      <w:pPr>
        <w:jc w:val="center"/>
        <w:rPr>
          <w:rFonts w:ascii="Arial" w:hAnsi="Arial" w:cs="Arial"/>
          <w:color w:val="000000" w:themeColor="text1"/>
        </w:rPr>
      </w:pPr>
    </w:p>
    <w:p w14:paraId="0C640276" w14:textId="77777777" w:rsidR="00273A38" w:rsidRPr="00A445F4" w:rsidRDefault="00273A38" w:rsidP="00273A38">
      <w:pPr>
        <w:jc w:val="center"/>
        <w:rPr>
          <w:rFonts w:ascii="Arial" w:hAnsi="Arial" w:cs="Arial"/>
          <w:color w:val="000000" w:themeColor="text1"/>
        </w:rPr>
      </w:pPr>
    </w:p>
    <w:p w14:paraId="0FB629A8" w14:textId="77777777" w:rsidR="00273A38" w:rsidRPr="00A445F4" w:rsidRDefault="00273A38" w:rsidP="00273A38">
      <w:pPr>
        <w:jc w:val="center"/>
        <w:rPr>
          <w:rFonts w:ascii="Arial" w:hAnsi="Arial" w:cs="Arial"/>
          <w:color w:val="000000" w:themeColor="text1"/>
        </w:rPr>
      </w:pPr>
    </w:p>
    <w:p w14:paraId="5A4118AC" w14:textId="77777777" w:rsidR="00273A38" w:rsidRPr="00A445F4" w:rsidRDefault="00273A38" w:rsidP="00273A38">
      <w:pPr>
        <w:jc w:val="center"/>
        <w:rPr>
          <w:rFonts w:ascii="Arial" w:hAnsi="Arial" w:cs="Arial"/>
          <w:color w:val="000000" w:themeColor="text1"/>
        </w:rPr>
      </w:pPr>
    </w:p>
    <w:p w14:paraId="343EE21F" w14:textId="77777777" w:rsidR="00273A38" w:rsidRPr="00A445F4" w:rsidRDefault="00273A38" w:rsidP="00273A38">
      <w:pPr>
        <w:jc w:val="center"/>
        <w:rPr>
          <w:rFonts w:ascii="Arial" w:hAnsi="Arial" w:cs="Arial"/>
          <w:color w:val="000000" w:themeColor="text1"/>
        </w:rPr>
      </w:pPr>
    </w:p>
    <w:p w14:paraId="6A99A80A" w14:textId="77777777" w:rsidR="00273A38" w:rsidRPr="00A445F4" w:rsidRDefault="00273A38" w:rsidP="00EA736B">
      <w:pPr>
        <w:rPr>
          <w:rFonts w:ascii="Arial" w:hAnsi="Arial" w:cs="Arial"/>
          <w:color w:val="000000" w:themeColor="text1"/>
        </w:rPr>
      </w:pPr>
    </w:p>
    <w:p w14:paraId="7B0B6E0A" w14:textId="463DB8BE" w:rsidR="004D4A8C" w:rsidRPr="00A445F4" w:rsidRDefault="004D4A8C" w:rsidP="004D4A8C">
      <w:pPr>
        <w:pStyle w:val="Heading1"/>
        <w:rPr>
          <w:color w:val="000000" w:themeColor="text1"/>
        </w:rPr>
      </w:pPr>
      <w:bookmarkStart w:id="0" w:name="_Toc234841434"/>
      <w:r w:rsidRPr="00A445F4">
        <w:rPr>
          <w:color w:val="000000" w:themeColor="text1"/>
        </w:rPr>
        <w:lastRenderedPageBreak/>
        <w:t>Executive Summary</w:t>
      </w:r>
      <w:r w:rsidR="00401BD1" w:rsidRPr="00A445F4">
        <w:rPr>
          <w:color w:val="000000" w:themeColor="text1"/>
        </w:rPr>
        <w:t>:</w:t>
      </w:r>
      <w:bookmarkEnd w:id="0"/>
    </w:p>
    <w:p w14:paraId="2B3FD060" w14:textId="0B429169" w:rsidR="00401BD1" w:rsidRPr="00A445F4" w:rsidRDefault="00401BD1" w:rsidP="00401BD1">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This research proposal investigates the dual challenge of rising operational costs and declining customer loyalty in the UK supermarket sector, using Tesco as a case study. The UK grocery market in 2025 and 2026 faces unprecedented pressure from persistent inflation, increased business taxes, and shifting consumer behaviour. In the first half of 2025/26, Tesco reported group sales of £33,051 million, representing 5.1% growth, while adjusted operating profit rose 1.6% to £1,674 million. Net debt increased to £9,884 million, reflecting the financial strain of rising costs, and the company's UK market share reached 28.2%, its highest level in over a decade. </w:t>
      </w:r>
      <w:proofErr w:type="gramStart"/>
      <w:r w:rsidR="00B85670" w:rsidRPr="00A445F4">
        <w:rPr>
          <w:rFonts w:ascii="Arial" w:hAnsi="Arial" w:cs="Arial"/>
          <w:color w:val="000000" w:themeColor="text1"/>
          <w:sz w:val="22"/>
          <w:szCs w:val="22"/>
        </w:rPr>
        <w:t>“</w:t>
      </w:r>
      <w:r w:rsidR="00970DFA" w:rsidRPr="00A445F4">
        <w:rPr>
          <w:rFonts w:ascii="Arial" w:hAnsi="Arial" w:cs="Arial"/>
          <w:color w:val="000000" w:themeColor="text1"/>
          <w:sz w:val="22"/>
          <w:szCs w:val="22"/>
        </w:rPr>
        <w:t xml:space="preserve"> The</w:t>
      </w:r>
      <w:proofErr w:type="gramEnd"/>
      <w:r w:rsidR="00970DFA" w:rsidRPr="00A445F4">
        <w:rPr>
          <w:rFonts w:ascii="Arial" w:hAnsi="Arial" w:cs="Arial"/>
          <w:color w:val="000000" w:themeColor="text1"/>
          <w:sz w:val="22"/>
          <w:szCs w:val="22"/>
        </w:rPr>
        <w:t xml:space="preserve"> food industry </w:t>
      </w:r>
      <w:r w:rsidR="00F43873" w:rsidRPr="00A445F4">
        <w:rPr>
          <w:rFonts w:ascii="Arial" w:hAnsi="Arial" w:cs="Arial"/>
          <w:color w:val="000000" w:themeColor="text1"/>
          <w:sz w:val="22"/>
          <w:szCs w:val="22"/>
        </w:rPr>
        <w:t>is</w:t>
      </w:r>
      <w:r w:rsidR="003F56FA" w:rsidRPr="00A445F4">
        <w:rPr>
          <w:rFonts w:ascii="Arial" w:hAnsi="Arial" w:cs="Arial"/>
          <w:color w:val="000000" w:themeColor="text1"/>
          <w:sz w:val="22"/>
          <w:szCs w:val="22"/>
        </w:rPr>
        <w:t xml:space="preserve"> under pressure due to the current inflation that affects the market</w:t>
      </w:r>
      <w:r w:rsidR="008F1AE9" w:rsidRPr="00A445F4">
        <w:rPr>
          <w:rFonts w:ascii="Arial" w:hAnsi="Arial" w:cs="Arial"/>
          <w:color w:val="000000" w:themeColor="text1"/>
          <w:sz w:val="22"/>
          <w:szCs w:val="22"/>
        </w:rPr>
        <w:t xml:space="preserve">” </w:t>
      </w:r>
      <w:r w:rsidR="00141FBA" w:rsidRPr="00A445F4">
        <w:rPr>
          <w:rFonts w:ascii="Arial" w:hAnsi="Arial" w:cs="Arial"/>
          <w:color w:val="000000" w:themeColor="text1"/>
          <w:sz w:val="22"/>
          <w:szCs w:val="22"/>
        </w:rPr>
        <w:t>(Tesco PLC, 2025).</w:t>
      </w:r>
      <w:r w:rsidR="00DA6F22" w:rsidRPr="00A445F4">
        <w:rPr>
          <w:rFonts w:ascii="Arial" w:hAnsi="Arial" w:cs="Arial"/>
          <w:color w:val="000000" w:themeColor="text1"/>
          <w:sz w:val="22"/>
          <w:szCs w:val="22"/>
        </w:rPr>
        <w:t xml:space="preserve"> </w:t>
      </w:r>
      <w:r w:rsidR="001323D5" w:rsidRPr="00A445F4">
        <w:rPr>
          <w:rFonts w:ascii="Arial" w:hAnsi="Arial" w:cs="Arial"/>
          <w:color w:val="000000" w:themeColor="text1"/>
          <w:sz w:val="22"/>
          <w:szCs w:val="22"/>
        </w:rPr>
        <w:t>“</w:t>
      </w:r>
      <w:r w:rsidR="00DA6F22" w:rsidRPr="00A445F4">
        <w:rPr>
          <w:rFonts w:ascii="Arial" w:hAnsi="Arial" w:cs="Arial"/>
          <w:color w:val="000000" w:themeColor="text1"/>
          <w:sz w:val="22"/>
          <w:szCs w:val="22"/>
        </w:rPr>
        <w:t xml:space="preserve">Tesco sales increased to around </w:t>
      </w:r>
      <w:r w:rsidR="00A449EF" w:rsidRPr="00A445F4">
        <w:rPr>
          <w:rFonts w:ascii="Arial" w:hAnsi="Arial" w:cs="Arial"/>
          <w:color w:val="000000" w:themeColor="text1"/>
          <w:sz w:val="22"/>
          <w:szCs w:val="22"/>
        </w:rPr>
        <w:t>33 million pounds</w:t>
      </w:r>
      <w:r w:rsidR="001323D5" w:rsidRPr="00A445F4">
        <w:rPr>
          <w:rFonts w:ascii="Arial" w:hAnsi="Arial" w:cs="Arial"/>
          <w:color w:val="000000" w:themeColor="text1"/>
          <w:sz w:val="22"/>
          <w:szCs w:val="22"/>
        </w:rPr>
        <w:t>” (Tesco PLC, 2025).</w:t>
      </w:r>
    </w:p>
    <w:p w14:paraId="5432D37F" w14:textId="2D21DCD2" w:rsidR="004D4A8C" w:rsidRPr="00A445F4" w:rsidRDefault="00401BD1" w:rsidP="00467F6B">
      <w:pPr>
        <w:spacing w:line="360" w:lineRule="auto"/>
        <w:rPr>
          <w:color w:val="000000" w:themeColor="text1"/>
        </w:rPr>
      </w:pPr>
      <w:r w:rsidRPr="00A445F4">
        <w:rPr>
          <w:rFonts w:ascii="Arial" w:hAnsi="Arial" w:cs="Arial"/>
          <w:color w:val="000000" w:themeColor="text1"/>
          <w:sz w:val="22"/>
          <w:szCs w:val="22"/>
        </w:rPr>
        <w:t xml:space="preserve">Clubcard remains a cornerstone of the retention strategy, held by 23 million UK households and supporting over 7,600 marketing campaigns annually. The research adopts a mixed-methods approach, combining secondary data analysis with qualitative interviews of Tesco managers, to understand how these interconnected factors affect strategic decision-making. Frameworks including Porter's Five Forces, the Resource-Based View, and the SCOR Model are applied to analyse the competitive landscape and Tesco's internal capabilities. The research follows the six-stage research process model covered in the course materials, ensuring a systematic and rigorous approach. This study aims to provide actionable recommendations </w:t>
      </w:r>
      <w:r w:rsidR="001323D5" w:rsidRPr="00A445F4">
        <w:rPr>
          <w:rFonts w:ascii="Arial" w:hAnsi="Arial" w:cs="Arial"/>
          <w:color w:val="000000" w:themeColor="text1"/>
          <w:sz w:val="22"/>
          <w:szCs w:val="22"/>
        </w:rPr>
        <w:t>to help Tesco</w:t>
      </w:r>
      <w:r w:rsidRPr="00A445F4">
        <w:rPr>
          <w:rFonts w:ascii="Arial" w:hAnsi="Arial" w:cs="Arial"/>
          <w:color w:val="000000" w:themeColor="text1"/>
          <w:sz w:val="22"/>
          <w:szCs w:val="22"/>
        </w:rPr>
        <w:t xml:space="preserve"> improve operational efficiency and rebuild customer loyalty in an increasingly fragmented and competitive market.</w:t>
      </w:r>
      <w:r w:rsidR="001323D5" w:rsidRPr="00A445F4">
        <w:rPr>
          <w:rFonts w:ascii="Arial" w:hAnsi="Arial" w:cs="Arial"/>
          <w:color w:val="000000" w:themeColor="text1"/>
          <w:sz w:val="22"/>
          <w:szCs w:val="22"/>
        </w:rPr>
        <w:t xml:space="preserve"> </w:t>
      </w:r>
      <w:r w:rsidR="002C4052" w:rsidRPr="00A445F4">
        <w:rPr>
          <w:rFonts w:ascii="Arial" w:hAnsi="Arial" w:cs="Arial"/>
          <w:color w:val="000000" w:themeColor="text1"/>
          <w:sz w:val="22"/>
          <w:szCs w:val="22"/>
        </w:rPr>
        <w:t>“</w:t>
      </w:r>
      <w:r w:rsidR="00262C03" w:rsidRPr="00A445F4">
        <w:rPr>
          <w:rFonts w:ascii="Arial" w:hAnsi="Arial" w:cs="Arial"/>
          <w:color w:val="000000" w:themeColor="text1"/>
          <w:sz w:val="22"/>
          <w:szCs w:val="22"/>
        </w:rPr>
        <w:t xml:space="preserve">Secondary data </w:t>
      </w:r>
      <w:r w:rsidR="002C4052" w:rsidRPr="00A445F4">
        <w:rPr>
          <w:rFonts w:ascii="Arial" w:hAnsi="Arial" w:cs="Arial"/>
          <w:color w:val="000000" w:themeColor="text1"/>
          <w:sz w:val="22"/>
          <w:szCs w:val="22"/>
        </w:rPr>
        <w:t xml:space="preserve">analysis identifies and examines </w:t>
      </w:r>
      <w:r w:rsidR="00467F6B" w:rsidRPr="00A445F4">
        <w:rPr>
          <w:rFonts w:ascii="Arial" w:hAnsi="Arial" w:cs="Arial"/>
          <w:color w:val="000000" w:themeColor="text1"/>
          <w:sz w:val="22"/>
          <w:szCs w:val="22"/>
        </w:rPr>
        <w:t>pre-existing</w:t>
      </w:r>
      <w:r w:rsidR="002C4052" w:rsidRPr="00A445F4">
        <w:rPr>
          <w:rFonts w:ascii="Arial" w:hAnsi="Arial" w:cs="Arial"/>
          <w:color w:val="000000" w:themeColor="text1"/>
          <w:sz w:val="22"/>
          <w:szCs w:val="22"/>
        </w:rPr>
        <w:t xml:space="preserve"> data” (</w:t>
      </w:r>
      <w:r w:rsidR="00467F6B" w:rsidRPr="00A445F4">
        <w:rPr>
          <w:rFonts w:ascii="Arial" w:hAnsi="Arial" w:cs="Arial"/>
          <w:color w:val="000000" w:themeColor="text1"/>
          <w:sz w:val="22"/>
          <w:szCs w:val="22"/>
        </w:rPr>
        <w:t xml:space="preserve">Maake, G. and </w:t>
      </w:r>
      <w:proofErr w:type="spellStart"/>
      <w:r w:rsidR="00467F6B" w:rsidRPr="00A445F4">
        <w:rPr>
          <w:rFonts w:ascii="Arial" w:hAnsi="Arial" w:cs="Arial"/>
          <w:color w:val="000000" w:themeColor="text1"/>
          <w:sz w:val="22"/>
          <w:szCs w:val="22"/>
        </w:rPr>
        <w:t>Mathekgane</w:t>
      </w:r>
      <w:proofErr w:type="spellEnd"/>
      <w:r w:rsidR="00467F6B" w:rsidRPr="00A445F4">
        <w:rPr>
          <w:rFonts w:ascii="Arial" w:hAnsi="Arial" w:cs="Arial"/>
          <w:color w:val="000000" w:themeColor="text1"/>
          <w:sz w:val="22"/>
          <w:szCs w:val="22"/>
        </w:rPr>
        <w:t xml:space="preserve">, E., 2025). </w:t>
      </w:r>
    </w:p>
    <w:p w14:paraId="425F9386" w14:textId="77777777" w:rsidR="004D4A8C" w:rsidRPr="00A445F4" w:rsidRDefault="004D4A8C" w:rsidP="004D4A8C">
      <w:pPr>
        <w:rPr>
          <w:color w:val="000000" w:themeColor="text1"/>
        </w:rPr>
      </w:pPr>
    </w:p>
    <w:p w14:paraId="328F65E7" w14:textId="77777777" w:rsidR="004D4A8C" w:rsidRPr="00A445F4" w:rsidRDefault="004D4A8C" w:rsidP="004D4A8C">
      <w:pPr>
        <w:rPr>
          <w:color w:val="000000" w:themeColor="text1"/>
        </w:rPr>
      </w:pPr>
    </w:p>
    <w:p w14:paraId="72A0E77D" w14:textId="77777777" w:rsidR="004D4A8C" w:rsidRPr="00A445F4" w:rsidRDefault="004D4A8C" w:rsidP="004D4A8C">
      <w:pPr>
        <w:rPr>
          <w:color w:val="000000" w:themeColor="text1"/>
        </w:rPr>
      </w:pPr>
    </w:p>
    <w:p w14:paraId="4FFFDEC3" w14:textId="77777777" w:rsidR="004D4A8C" w:rsidRPr="00A445F4" w:rsidRDefault="004D4A8C" w:rsidP="004D4A8C">
      <w:pPr>
        <w:rPr>
          <w:color w:val="000000" w:themeColor="text1"/>
        </w:rPr>
      </w:pPr>
    </w:p>
    <w:p w14:paraId="13D4FB22" w14:textId="77777777" w:rsidR="004D4A8C" w:rsidRPr="00A445F4" w:rsidRDefault="004D4A8C" w:rsidP="004D4A8C">
      <w:pPr>
        <w:rPr>
          <w:color w:val="000000" w:themeColor="text1"/>
        </w:rPr>
      </w:pPr>
    </w:p>
    <w:p w14:paraId="29058BEC" w14:textId="77777777" w:rsidR="004D4A8C" w:rsidRPr="00A445F4" w:rsidRDefault="004D4A8C" w:rsidP="004D4A8C">
      <w:pPr>
        <w:rPr>
          <w:color w:val="000000" w:themeColor="text1"/>
        </w:rPr>
      </w:pPr>
    </w:p>
    <w:p w14:paraId="23ECCC8B" w14:textId="77777777" w:rsidR="004D4A8C" w:rsidRPr="00A445F4" w:rsidRDefault="004D4A8C" w:rsidP="004D4A8C">
      <w:pPr>
        <w:rPr>
          <w:color w:val="000000" w:themeColor="text1"/>
        </w:rPr>
      </w:pPr>
    </w:p>
    <w:p w14:paraId="30A9A2D0" w14:textId="77777777" w:rsidR="004D4A8C" w:rsidRPr="00A445F4" w:rsidRDefault="004D4A8C" w:rsidP="004D4A8C">
      <w:pPr>
        <w:rPr>
          <w:color w:val="000000" w:themeColor="text1"/>
        </w:rPr>
      </w:pPr>
    </w:p>
    <w:p w14:paraId="5FEF0015" w14:textId="77777777" w:rsidR="004D4A8C" w:rsidRPr="00A445F4" w:rsidRDefault="004D4A8C" w:rsidP="004D4A8C">
      <w:pPr>
        <w:rPr>
          <w:color w:val="000000" w:themeColor="text1"/>
        </w:rPr>
      </w:pPr>
    </w:p>
    <w:p w14:paraId="3549333B" w14:textId="38F56E0F" w:rsidR="004D4A8C" w:rsidRPr="00A445F4" w:rsidRDefault="00997C47" w:rsidP="00997C47">
      <w:pPr>
        <w:pStyle w:val="Heading1"/>
        <w:rPr>
          <w:color w:val="000000" w:themeColor="text1"/>
        </w:rPr>
      </w:pPr>
      <w:bookmarkStart w:id="1" w:name="_Toc234841435"/>
      <w:r w:rsidRPr="00A445F4">
        <w:rPr>
          <w:color w:val="000000" w:themeColor="text1"/>
        </w:rPr>
        <w:lastRenderedPageBreak/>
        <w:t>Topic Title:</w:t>
      </w:r>
      <w:r w:rsidR="00C05D9C" w:rsidRPr="00A445F4">
        <w:rPr>
          <w:rFonts w:asciiTheme="minorHAnsi" w:eastAsiaTheme="minorHAnsi" w:hAnsiTheme="minorHAnsi" w:cstheme="minorBidi"/>
          <w:color w:val="000000" w:themeColor="text1"/>
          <w:sz w:val="24"/>
          <w:szCs w:val="24"/>
        </w:rPr>
        <w:t xml:space="preserve"> </w:t>
      </w:r>
      <w:r w:rsidR="00C05D9C" w:rsidRPr="00A445F4">
        <w:rPr>
          <w:color w:val="000000" w:themeColor="text1"/>
        </w:rPr>
        <w:t>Managing Costs and Loyalty in UK Supermarkets: A Case Study of Tesco</w:t>
      </w:r>
      <w:bookmarkEnd w:id="1"/>
    </w:p>
    <w:p w14:paraId="47989586" w14:textId="3CF5A7FE" w:rsidR="00C518C7" w:rsidRPr="00A445F4" w:rsidRDefault="00997C47" w:rsidP="00C05D9C">
      <w:pPr>
        <w:pStyle w:val="Heading1"/>
        <w:rPr>
          <w:color w:val="000000" w:themeColor="text1"/>
        </w:rPr>
      </w:pPr>
      <w:bookmarkStart w:id="2" w:name="_Toc234841436"/>
      <w:r w:rsidRPr="00A445F4">
        <w:rPr>
          <w:color w:val="000000" w:themeColor="text1"/>
        </w:rPr>
        <w:t>1 Introduction:</w:t>
      </w:r>
      <w:bookmarkEnd w:id="2"/>
      <w:r w:rsidR="00C05D9C" w:rsidRPr="00A445F4">
        <w:rPr>
          <w:color w:val="000000" w:themeColor="text1"/>
        </w:rPr>
        <w:t xml:space="preserve"> </w:t>
      </w:r>
    </w:p>
    <w:p w14:paraId="3147C685" w14:textId="4A68C606" w:rsidR="00C05D9C" w:rsidRPr="00A445F4" w:rsidRDefault="00C926CA" w:rsidP="00825FF9">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The UK supermarket industry in 2025 and 2026 faces a defining moment. The grocery market is navigating significant headwinds as household budgets remain under sustained pressure from persistent inflation and rising taxes. Shoppers are increasingly selective and value-driven, with brand loyalty fragmenting across multiple retailers. This research proposal investigates the relationship between rising operational costs and declining customer loyalty, focusing on Tesco as a primary case study.</w:t>
      </w:r>
      <w:r w:rsidR="00E3044A" w:rsidRPr="00A445F4">
        <w:rPr>
          <w:rFonts w:ascii="Arial" w:hAnsi="Arial" w:cs="Arial"/>
          <w:color w:val="000000" w:themeColor="text1"/>
          <w:sz w:val="22"/>
          <w:szCs w:val="22"/>
        </w:rPr>
        <w:t xml:space="preserve"> “</w:t>
      </w:r>
      <w:r w:rsidR="00CE46F6" w:rsidRPr="00A445F4">
        <w:rPr>
          <w:rFonts w:ascii="Arial" w:hAnsi="Arial" w:cs="Arial"/>
          <w:color w:val="000000" w:themeColor="text1"/>
          <w:sz w:val="22"/>
          <w:szCs w:val="22"/>
        </w:rPr>
        <w:t>Customers' loyalty has declined due to external factors, for example, a rise in costs” (</w:t>
      </w:r>
      <w:r w:rsidR="00B369E6" w:rsidRPr="00A445F4">
        <w:rPr>
          <w:rFonts w:ascii="Arial" w:hAnsi="Arial" w:cs="Arial"/>
          <w:color w:val="000000" w:themeColor="text1"/>
          <w:sz w:val="22"/>
          <w:szCs w:val="22"/>
        </w:rPr>
        <w:t>Mintel, 2026).</w:t>
      </w:r>
    </w:p>
    <w:p w14:paraId="623008F0" w14:textId="402ABA43" w:rsidR="00C926CA" w:rsidRPr="00A445F4" w:rsidRDefault="00C926CA" w:rsidP="00825FF9">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The grocery market is expected to grow at a compound annual rate of 3.0% to reach £297 billion by 2030, but inflation will remain the primary driver of this growth rather than real-term gains. In this context, supermarkets must make strategic choices about investment in value, quality, and service while managing escalating operational costs. Tesco's performance illustrates this tension: group sales rose 5.1% in the first half of 2025/26, yet the company faces significant cost headwinds from higher taxes and operating inflation.</w:t>
      </w:r>
      <w:r w:rsidR="00414EF4" w:rsidRPr="00A445F4">
        <w:rPr>
          <w:rFonts w:ascii="Arial" w:hAnsi="Arial" w:cs="Arial"/>
          <w:color w:val="000000" w:themeColor="text1"/>
          <w:sz w:val="22"/>
          <w:szCs w:val="22"/>
        </w:rPr>
        <w:t xml:space="preserve"> “The UK supermarket is expected to grow to 3%</w:t>
      </w:r>
      <w:r w:rsidR="003D7586" w:rsidRPr="00A445F4">
        <w:rPr>
          <w:rFonts w:ascii="Arial" w:hAnsi="Arial" w:cs="Arial"/>
          <w:color w:val="000000" w:themeColor="text1"/>
          <w:sz w:val="22"/>
          <w:szCs w:val="22"/>
        </w:rPr>
        <w:t xml:space="preserve"> by 2030” (</w:t>
      </w:r>
      <w:r w:rsidR="004F2273" w:rsidRPr="00A445F4">
        <w:rPr>
          <w:rFonts w:ascii="Arial" w:hAnsi="Arial" w:cs="Arial"/>
          <w:color w:val="000000" w:themeColor="text1"/>
          <w:sz w:val="22"/>
          <w:szCs w:val="22"/>
        </w:rPr>
        <w:t>IGD, 2025)</w:t>
      </w:r>
    </w:p>
    <w:p w14:paraId="2AB4FD34" w14:textId="204CF345" w:rsidR="00C926CA" w:rsidRPr="00A445F4" w:rsidRDefault="00825FF9" w:rsidP="00825FF9">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This report examines how a major supermarket chain can balance the competing demands of managing cost pressures while maintaining customer relationships. The analysis uses relevant business frameworks including Porter's Five Forces, the Resource-Based View, and the SCOR Model to understand the current situation and develop practical recommendations. These frameworks align with the research design principles covered in the course materials, including the systematic approach to methodology and the consideration of multiple paradigms. The research is based on current industry data from 2025 and 2026, ensuring its relevance to contemporary business challenges. The report follows the six-stage research process model: clarifying the research question, proposing research, designing the research project, collecting data, analysing data, and reporting results.</w:t>
      </w:r>
      <w:r w:rsidR="00D32843" w:rsidRPr="00A445F4">
        <w:rPr>
          <w:rFonts w:ascii="Arial" w:hAnsi="Arial" w:cs="Arial"/>
          <w:color w:val="000000" w:themeColor="text1"/>
          <w:sz w:val="22"/>
          <w:szCs w:val="22"/>
        </w:rPr>
        <w:t xml:space="preserve"> </w:t>
      </w:r>
      <w:r w:rsidR="00BA46A0" w:rsidRPr="00A445F4">
        <w:rPr>
          <w:rFonts w:ascii="Arial" w:hAnsi="Arial" w:cs="Arial"/>
          <w:color w:val="000000" w:themeColor="text1"/>
          <w:sz w:val="22"/>
          <w:szCs w:val="22"/>
        </w:rPr>
        <w:t>“The</w:t>
      </w:r>
      <w:r w:rsidR="00D32843" w:rsidRPr="00A445F4">
        <w:rPr>
          <w:rFonts w:ascii="Arial" w:hAnsi="Arial" w:cs="Arial"/>
          <w:color w:val="000000" w:themeColor="text1"/>
          <w:sz w:val="22"/>
          <w:szCs w:val="22"/>
        </w:rPr>
        <w:t xml:space="preserve"> importance of</w:t>
      </w:r>
      <w:r w:rsidR="00BA46A0" w:rsidRPr="00A445F4">
        <w:rPr>
          <w:rFonts w:ascii="Arial" w:hAnsi="Arial" w:cs="Arial"/>
          <w:color w:val="000000" w:themeColor="text1"/>
          <w:sz w:val="22"/>
          <w:szCs w:val="22"/>
        </w:rPr>
        <w:t xml:space="preserve"> </w:t>
      </w:r>
      <w:r w:rsidR="00D32843" w:rsidRPr="00A445F4">
        <w:rPr>
          <w:rFonts w:ascii="Arial" w:hAnsi="Arial" w:cs="Arial"/>
          <w:color w:val="000000" w:themeColor="text1"/>
          <w:sz w:val="22"/>
          <w:szCs w:val="22"/>
        </w:rPr>
        <w:t>implementing frameworks, theories, and models into a modern-day business</w:t>
      </w:r>
      <w:r w:rsidR="00BA46A0" w:rsidRPr="00A445F4">
        <w:rPr>
          <w:rFonts w:ascii="Arial" w:hAnsi="Arial" w:cs="Arial"/>
          <w:color w:val="000000" w:themeColor="text1"/>
          <w:sz w:val="22"/>
          <w:szCs w:val="22"/>
        </w:rPr>
        <w:t>”</w:t>
      </w:r>
      <w:r w:rsidR="00D32843" w:rsidRPr="00A445F4">
        <w:rPr>
          <w:rFonts w:ascii="Arial" w:hAnsi="Arial" w:cs="Arial"/>
          <w:color w:val="000000" w:themeColor="text1"/>
          <w:sz w:val="22"/>
          <w:szCs w:val="22"/>
        </w:rPr>
        <w:t xml:space="preserve"> </w:t>
      </w:r>
      <w:r w:rsidR="008C0021" w:rsidRPr="00A445F4">
        <w:rPr>
          <w:rFonts w:ascii="Arial" w:hAnsi="Arial" w:cs="Arial"/>
          <w:color w:val="000000" w:themeColor="text1"/>
          <w:sz w:val="22"/>
          <w:szCs w:val="22"/>
        </w:rPr>
        <w:t>(Hyper Island, 2024)</w:t>
      </w:r>
      <w:r w:rsidR="00BA46A0" w:rsidRPr="00A445F4">
        <w:rPr>
          <w:rFonts w:ascii="Arial" w:hAnsi="Arial" w:cs="Arial"/>
          <w:color w:val="000000" w:themeColor="text1"/>
          <w:sz w:val="22"/>
          <w:szCs w:val="22"/>
        </w:rPr>
        <w:t>.</w:t>
      </w:r>
    </w:p>
    <w:p w14:paraId="01545F25" w14:textId="77777777" w:rsidR="000109A9" w:rsidRPr="00A445F4" w:rsidRDefault="000109A9" w:rsidP="00825FF9">
      <w:pPr>
        <w:spacing w:line="360" w:lineRule="auto"/>
        <w:rPr>
          <w:rFonts w:ascii="Arial" w:hAnsi="Arial" w:cs="Arial"/>
          <w:color w:val="000000" w:themeColor="text1"/>
          <w:sz w:val="22"/>
          <w:szCs w:val="22"/>
        </w:rPr>
      </w:pPr>
    </w:p>
    <w:p w14:paraId="5A5AFD95" w14:textId="77777777" w:rsidR="000109A9" w:rsidRPr="00A445F4" w:rsidRDefault="000109A9" w:rsidP="00825FF9">
      <w:pPr>
        <w:spacing w:line="360" w:lineRule="auto"/>
        <w:rPr>
          <w:rFonts w:ascii="Arial" w:hAnsi="Arial" w:cs="Arial"/>
          <w:color w:val="000000" w:themeColor="text1"/>
          <w:sz w:val="22"/>
          <w:szCs w:val="22"/>
        </w:rPr>
      </w:pPr>
    </w:p>
    <w:p w14:paraId="6FA6D4E8" w14:textId="77777777" w:rsidR="000109A9" w:rsidRPr="00A445F4" w:rsidRDefault="000109A9" w:rsidP="00825FF9">
      <w:pPr>
        <w:spacing w:line="360" w:lineRule="auto"/>
        <w:rPr>
          <w:rFonts w:ascii="Arial" w:hAnsi="Arial" w:cs="Arial"/>
          <w:color w:val="000000" w:themeColor="text1"/>
          <w:sz w:val="22"/>
          <w:szCs w:val="22"/>
        </w:rPr>
      </w:pPr>
    </w:p>
    <w:p w14:paraId="10030FCB" w14:textId="1FC6CDBF" w:rsidR="000109A9" w:rsidRPr="00A445F4" w:rsidRDefault="007656CF" w:rsidP="007656CF">
      <w:pPr>
        <w:pStyle w:val="Heading1"/>
        <w:rPr>
          <w:color w:val="000000" w:themeColor="text1"/>
        </w:rPr>
      </w:pPr>
      <w:bookmarkStart w:id="3" w:name="_Toc234841437"/>
      <w:r w:rsidRPr="00A445F4">
        <w:rPr>
          <w:color w:val="000000" w:themeColor="text1"/>
        </w:rPr>
        <w:lastRenderedPageBreak/>
        <w:t>2 Research Aim, Objectives, and Questions:</w:t>
      </w:r>
      <w:bookmarkEnd w:id="3"/>
    </w:p>
    <w:p w14:paraId="35F5F932" w14:textId="77777777" w:rsidR="0034774D" w:rsidRPr="00A445F4" w:rsidRDefault="0034774D"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Research Aim: </w:t>
      </w:r>
    </w:p>
    <w:p w14:paraId="2535E869" w14:textId="3CD1BA9D" w:rsidR="007656CF" w:rsidRPr="00A445F4" w:rsidRDefault="0034774D"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This research aims to investigate the relationship between rising operational costs and declining customer loyalty in the UK supermarket sector, focusing on Tesco, and to propose strategies for mitigating these challenges.</w:t>
      </w:r>
    </w:p>
    <w:p w14:paraId="14081E74" w14:textId="77777777" w:rsidR="00FB7C76" w:rsidRPr="00A445F4" w:rsidRDefault="00FB7C76"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Research Objectives: </w:t>
      </w:r>
    </w:p>
    <w:p w14:paraId="1E24148A" w14:textId="012F70D4" w:rsidR="0034774D" w:rsidRPr="00A445F4" w:rsidRDefault="00FB7C76"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The objectives have been designed using the SMART framework to ensure they are specific, measurable, achievable, relevant, and </w:t>
      </w:r>
      <w:proofErr w:type="gramStart"/>
      <w:r w:rsidRPr="00A445F4">
        <w:rPr>
          <w:rFonts w:ascii="Arial" w:hAnsi="Arial" w:cs="Arial"/>
          <w:color w:val="000000" w:themeColor="text1"/>
          <w:sz w:val="22"/>
          <w:szCs w:val="22"/>
        </w:rPr>
        <w:t>time-bound</w:t>
      </w:r>
      <w:proofErr w:type="gramEnd"/>
      <w:r w:rsidRPr="00A445F4">
        <w:rPr>
          <w:rFonts w:ascii="Arial" w:hAnsi="Arial" w:cs="Arial"/>
          <w:color w:val="000000" w:themeColor="text1"/>
          <w:sz w:val="22"/>
          <w:szCs w:val="22"/>
        </w:rPr>
        <w:t>.</w:t>
      </w:r>
    </w:p>
    <w:p w14:paraId="770DBBD5" w14:textId="77777777" w:rsidR="00654877" w:rsidRPr="00A445F4" w:rsidRDefault="00654877"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1. To identify the key operational cost pressures facing Tesco and their impact on profitability. This objective is specific because it focuses exclusively on Tesco, measurable through analysis of financial reports, achievable because public data is available, relevant because it directly addresses the cost problem, and time-bound within the research period. </w:t>
      </w:r>
    </w:p>
    <w:p w14:paraId="464D21F7" w14:textId="77777777" w:rsidR="00654877" w:rsidRPr="00A445F4" w:rsidRDefault="00654877"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2. To analyse the main drivers of declining customer loyalty and fragmentation of the customer base within the UK supermarket sector. This objective is specific to loyalty drivers, measurable through customer data analysis, achievable through industry reports, relevant because it addresses the loyalty challenge, and time-bound within the research period. </w:t>
      </w:r>
    </w:p>
    <w:p w14:paraId="771B9201" w14:textId="77777777" w:rsidR="00F21ACE" w:rsidRPr="00A445F4" w:rsidRDefault="00654877"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3. To evaluate Tesco's strategic responses to these challenges in comparison to its competitors. This objective is specific to Tesco versus competitors, measurable through comparative analysis, achievable because public data is available, relevant because it identifies best practices, and time-bound within the research period. </w:t>
      </w:r>
    </w:p>
    <w:p w14:paraId="0947FBF6" w14:textId="59BC90A4" w:rsidR="00FB7C76" w:rsidRPr="00A445F4" w:rsidRDefault="00654877"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4. To recommend practical strategies for Tesco to improve operational efficiency and rebuild customer loyalty. This objective is specific to actionable recommendations, measurable because outcomes can be tracked, achievable within Tesco's capabilities, relevant because it directly addresses both challenges, and time-bound for implementation within 12 to 24 months.</w:t>
      </w:r>
      <w:r w:rsidR="002F79A9" w:rsidRPr="00A445F4">
        <w:rPr>
          <w:rFonts w:ascii="Arial" w:hAnsi="Arial" w:cs="Arial"/>
          <w:color w:val="000000" w:themeColor="text1"/>
          <w:sz w:val="22"/>
          <w:szCs w:val="22"/>
        </w:rPr>
        <w:t xml:space="preserve"> “</w:t>
      </w:r>
      <w:r w:rsidR="005E20E6" w:rsidRPr="00A445F4">
        <w:rPr>
          <w:rFonts w:ascii="Arial" w:hAnsi="Arial" w:cs="Arial"/>
          <w:color w:val="000000" w:themeColor="text1"/>
          <w:sz w:val="22"/>
          <w:szCs w:val="22"/>
        </w:rPr>
        <w:t>Business research aims</w:t>
      </w:r>
      <w:r w:rsidR="00CC5FB1" w:rsidRPr="00A445F4">
        <w:rPr>
          <w:rFonts w:ascii="Arial" w:hAnsi="Arial" w:cs="Arial"/>
          <w:color w:val="000000" w:themeColor="text1"/>
          <w:sz w:val="22"/>
          <w:szCs w:val="22"/>
        </w:rPr>
        <w:t xml:space="preserve"> to analyse </w:t>
      </w:r>
      <w:r w:rsidR="005E20E6" w:rsidRPr="00A445F4">
        <w:rPr>
          <w:rFonts w:ascii="Arial" w:hAnsi="Arial" w:cs="Arial"/>
          <w:color w:val="000000" w:themeColor="text1"/>
          <w:sz w:val="22"/>
          <w:szCs w:val="22"/>
        </w:rPr>
        <w:t>its data for optimum organisation performance” (</w:t>
      </w:r>
      <w:r w:rsidR="002F79A9" w:rsidRPr="00A445F4">
        <w:rPr>
          <w:rFonts w:ascii="Arial" w:hAnsi="Arial" w:cs="Arial"/>
          <w:color w:val="000000" w:themeColor="text1"/>
          <w:sz w:val="22"/>
          <w:szCs w:val="22"/>
        </w:rPr>
        <w:t xml:space="preserve">Tingelhoff, F., Brugger, M. and Leimeister, J.M., 2025). </w:t>
      </w:r>
    </w:p>
    <w:p w14:paraId="2E988C76" w14:textId="77777777" w:rsidR="00F21ACE" w:rsidRPr="00A445F4" w:rsidRDefault="00F21ACE" w:rsidP="007656CF">
      <w:pPr>
        <w:spacing w:line="360" w:lineRule="auto"/>
        <w:rPr>
          <w:rFonts w:ascii="Arial" w:hAnsi="Arial" w:cs="Arial"/>
          <w:color w:val="000000" w:themeColor="text1"/>
          <w:sz w:val="22"/>
          <w:szCs w:val="22"/>
        </w:rPr>
      </w:pPr>
    </w:p>
    <w:p w14:paraId="398C154A" w14:textId="77777777" w:rsidR="00F21ACE" w:rsidRPr="00A445F4" w:rsidRDefault="00F21ACE" w:rsidP="007656CF">
      <w:pPr>
        <w:spacing w:line="360" w:lineRule="auto"/>
        <w:rPr>
          <w:rFonts w:ascii="Arial" w:hAnsi="Arial" w:cs="Arial"/>
          <w:color w:val="000000" w:themeColor="text1"/>
          <w:sz w:val="22"/>
          <w:szCs w:val="22"/>
        </w:rPr>
      </w:pPr>
    </w:p>
    <w:p w14:paraId="360F6F31" w14:textId="77777777" w:rsidR="00EA736B" w:rsidRPr="00A445F4" w:rsidRDefault="00EA736B" w:rsidP="007656CF">
      <w:pPr>
        <w:spacing w:line="360" w:lineRule="auto"/>
        <w:rPr>
          <w:rFonts w:ascii="Arial" w:hAnsi="Arial" w:cs="Arial"/>
          <w:color w:val="000000" w:themeColor="text1"/>
          <w:sz w:val="22"/>
          <w:szCs w:val="22"/>
        </w:rPr>
      </w:pPr>
    </w:p>
    <w:p w14:paraId="17C70548" w14:textId="77777777" w:rsidR="00EA736B" w:rsidRPr="00A445F4" w:rsidRDefault="00EA736B" w:rsidP="007656CF">
      <w:pPr>
        <w:spacing w:line="360" w:lineRule="auto"/>
        <w:rPr>
          <w:rFonts w:ascii="Arial" w:hAnsi="Arial" w:cs="Arial"/>
          <w:color w:val="000000" w:themeColor="text1"/>
          <w:sz w:val="22"/>
          <w:szCs w:val="22"/>
        </w:rPr>
      </w:pPr>
    </w:p>
    <w:p w14:paraId="10EFCF33" w14:textId="77777777" w:rsidR="00926F7A" w:rsidRPr="00A445F4" w:rsidRDefault="00926F7A" w:rsidP="006F2CAD">
      <w:pPr>
        <w:pStyle w:val="Heading2"/>
        <w:rPr>
          <w:color w:val="000000" w:themeColor="text1"/>
          <w:sz w:val="40"/>
          <w:szCs w:val="40"/>
        </w:rPr>
      </w:pPr>
      <w:bookmarkStart w:id="4" w:name="_Toc234841438"/>
      <w:r w:rsidRPr="00A445F4">
        <w:rPr>
          <w:color w:val="000000" w:themeColor="text1"/>
          <w:sz w:val="40"/>
          <w:szCs w:val="40"/>
        </w:rPr>
        <w:lastRenderedPageBreak/>
        <w:t>Research Questions:</w:t>
      </w:r>
      <w:bookmarkEnd w:id="4"/>
      <w:r w:rsidRPr="00A445F4">
        <w:rPr>
          <w:color w:val="000000" w:themeColor="text1"/>
          <w:sz w:val="40"/>
          <w:szCs w:val="40"/>
        </w:rPr>
        <w:t xml:space="preserve"> </w:t>
      </w:r>
    </w:p>
    <w:p w14:paraId="055712E6" w14:textId="77777777" w:rsidR="00926F7A" w:rsidRPr="00A445F4" w:rsidRDefault="00926F7A"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1. What are the primary operational cost pressures affecting Tesco's business performance? </w:t>
      </w:r>
    </w:p>
    <w:p w14:paraId="3E4D262B" w14:textId="30BE0874" w:rsidR="00926F7A" w:rsidRPr="00A445F4" w:rsidRDefault="00926F7A"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2. What factors are driving the decline in customer loyalty and the increase in cross-shopping behaviour? </w:t>
      </w:r>
    </w:p>
    <w:p w14:paraId="655ECCE0" w14:textId="77777777" w:rsidR="00926F7A" w:rsidRPr="00A445F4" w:rsidRDefault="00926F7A"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3. How is Tesco strategically responding to these challenges, and how effective are these responses? </w:t>
      </w:r>
    </w:p>
    <w:p w14:paraId="2995BB5B" w14:textId="48E7336A" w:rsidR="00926F7A" w:rsidRPr="00A445F4" w:rsidRDefault="00926F7A"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4. What strategies can Tesco implement to enhance customer retention and manage operational costs effectively?</w:t>
      </w:r>
      <w:r w:rsidR="001A419C" w:rsidRPr="00A445F4">
        <w:rPr>
          <w:rFonts w:ascii="Arial" w:hAnsi="Arial" w:cs="Arial"/>
          <w:color w:val="000000" w:themeColor="text1"/>
          <w:sz w:val="22"/>
          <w:szCs w:val="22"/>
        </w:rPr>
        <w:t xml:space="preserve"> </w:t>
      </w:r>
      <w:r w:rsidR="00E37F14" w:rsidRPr="00A445F4">
        <w:rPr>
          <w:rFonts w:ascii="Arial" w:hAnsi="Arial" w:cs="Arial"/>
          <w:color w:val="000000" w:themeColor="text1"/>
          <w:sz w:val="22"/>
          <w:szCs w:val="22"/>
        </w:rPr>
        <w:t>“A business research question is the exact problem or puzzle</w:t>
      </w:r>
      <w:r w:rsidR="001A419C" w:rsidRPr="00A445F4">
        <w:rPr>
          <w:rFonts w:ascii="Arial" w:hAnsi="Arial" w:cs="Arial"/>
          <w:color w:val="000000" w:themeColor="text1"/>
          <w:sz w:val="22"/>
          <w:szCs w:val="22"/>
        </w:rPr>
        <w:t xml:space="preserve"> an organisation is</w:t>
      </w:r>
      <w:r w:rsidR="00E37F14" w:rsidRPr="00A445F4">
        <w:rPr>
          <w:rFonts w:ascii="Arial" w:hAnsi="Arial" w:cs="Arial"/>
          <w:color w:val="000000" w:themeColor="text1"/>
          <w:sz w:val="22"/>
          <w:szCs w:val="22"/>
        </w:rPr>
        <w:t xml:space="preserve"> trying to </w:t>
      </w:r>
      <w:r w:rsidR="001A419C" w:rsidRPr="00A445F4">
        <w:rPr>
          <w:rFonts w:ascii="Arial" w:hAnsi="Arial" w:cs="Arial"/>
          <w:color w:val="000000" w:themeColor="text1"/>
          <w:sz w:val="22"/>
          <w:szCs w:val="22"/>
        </w:rPr>
        <w:t>overcome</w:t>
      </w:r>
      <w:r w:rsidR="00E37F14" w:rsidRPr="00A445F4">
        <w:rPr>
          <w:rFonts w:ascii="Arial" w:hAnsi="Arial" w:cs="Arial"/>
          <w:color w:val="000000" w:themeColor="text1"/>
          <w:sz w:val="22"/>
          <w:szCs w:val="22"/>
        </w:rPr>
        <w:t xml:space="preserve"> to make a smarter business decision” </w:t>
      </w:r>
      <w:r w:rsidR="0080235D" w:rsidRPr="00A445F4">
        <w:rPr>
          <w:rFonts w:ascii="Arial" w:hAnsi="Arial" w:cs="Arial"/>
          <w:color w:val="000000" w:themeColor="text1"/>
          <w:sz w:val="22"/>
          <w:szCs w:val="22"/>
        </w:rPr>
        <w:t xml:space="preserve">(Wang, L., Li, J., Zhuang, B., Huang, S., Fang, M., Wang, C., Li, W., Zhang, M. and Gong, S., 2025). </w:t>
      </w:r>
    </w:p>
    <w:p w14:paraId="18C9B43F" w14:textId="77777777" w:rsidR="00926F7A" w:rsidRPr="00A445F4" w:rsidRDefault="00926F7A" w:rsidP="007656CF">
      <w:pPr>
        <w:spacing w:line="360" w:lineRule="auto"/>
        <w:rPr>
          <w:rFonts w:ascii="Arial" w:hAnsi="Arial" w:cs="Arial"/>
          <w:color w:val="000000" w:themeColor="text1"/>
          <w:sz w:val="22"/>
          <w:szCs w:val="22"/>
        </w:rPr>
      </w:pPr>
    </w:p>
    <w:p w14:paraId="6C5AB46E" w14:textId="77777777" w:rsidR="00926F7A" w:rsidRPr="00A445F4" w:rsidRDefault="00926F7A" w:rsidP="007656CF">
      <w:pPr>
        <w:spacing w:line="360" w:lineRule="auto"/>
        <w:rPr>
          <w:rFonts w:ascii="Arial" w:hAnsi="Arial" w:cs="Arial"/>
          <w:color w:val="000000" w:themeColor="text1"/>
          <w:sz w:val="22"/>
          <w:szCs w:val="22"/>
        </w:rPr>
      </w:pPr>
    </w:p>
    <w:p w14:paraId="2AFC00A1" w14:textId="77777777" w:rsidR="00926F7A" w:rsidRPr="00A445F4" w:rsidRDefault="00926F7A" w:rsidP="007656CF">
      <w:pPr>
        <w:spacing w:line="360" w:lineRule="auto"/>
        <w:rPr>
          <w:rFonts w:ascii="Arial" w:hAnsi="Arial" w:cs="Arial"/>
          <w:color w:val="000000" w:themeColor="text1"/>
          <w:sz w:val="22"/>
          <w:szCs w:val="22"/>
        </w:rPr>
      </w:pPr>
    </w:p>
    <w:p w14:paraId="3BC8F081" w14:textId="77777777" w:rsidR="00926F7A" w:rsidRPr="00A445F4" w:rsidRDefault="00926F7A" w:rsidP="007656CF">
      <w:pPr>
        <w:spacing w:line="360" w:lineRule="auto"/>
        <w:rPr>
          <w:rFonts w:ascii="Arial" w:hAnsi="Arial" w:cs="Arial"/>
          <w:color w:val="000000" w:themeColor="text1"/>
          <w:sz w:val="22"/>
          <w:szCs w:val="22"/>
        </w:rPr>
      </w:pPr>
    </w:p>
    <w:p w14:paraId="173C2A15" w14:textId="77777777" w:rsidR="00926F7A" w:rsidRPr="00A445F4" w:rsidRDefault="00926F7A" w:rsidP="007656CF">
      <w:pPr>
        <w:spacing w:line="360" w:lineRule="auto"/>
        <w:rPr>
          <w:rFonts w:ascii="Arial" w:hAnsi="Arial" w:cs="Arial"/>
          <w:color w:val="000000" w:themeColor="text1"/>
          <w:sz w:val="22"/>
          <w:szCs w:val="22"/>
        </w:rPr>
      </w:pPr>
    </w:p>
    <w:p w14:paraId="4A5BA011" w14:textId="77777777" w:rsidR="00926F7A" w:rsidRPr="00A445F4" w:rsidRDefault="00926F7A" w:rsidP="007656CF">
      <w:pPr>
        <w:spacing w:line="360" w:lineRule="auto"/>
        <w:rPr>
          <w:rFonts w:ascii="Arial" w:hAnsi="Arial" w:cs="Arial"/>
          <w:color w:val="000000" w:themeColor="text1"/>
          <w:sz w:val="22"/>
          <w:szCs w:val="22"/>
        </w:rPr>
      </w:pPr>
    </w:p>
    <w:p w14:paraId="1E02AE56" w14:textId="77777777" w:rsidR="00926F7A" w:rsidRPr="00A445F4" w:rsidRDefault="00926F7A" w:rsidP="007656CF">
      <w:pPr>
        <w:spacing w:line="360" w:lineRule="auto"/>
        <w:rPr>
          <w:rFonts w:ascii="Arial" w:hAnsi="Arial" w:cs="Arial"/>
          <w:color w:val="000000" w:themeColor="text1"/>
          <w:sz w:val="22"/>
          <w:szCs w:val="22"/>
        </w:rPr>
      </w:pPr>
    </w:p>
    <w:p w14:paraId="1FC3986D" w14:textId="77777777" w:rsidR="00926F7A" w:rsidRPr="00A445F4" w:rsidRDefault="00926F7A" w:rsidP="007656CF">
      <w:pPr>
        <w:spacing w:line="360" w:lineRule="auto"/>
        <w:rPr>
          <w:rFonts w:ascii="Arial" w:hAnsi="Arial" w:cs="Arial"/>
          <w:color w:val="000000" w:themeColor="text1"/>
          <w:sz w:val="22"/>
          <w:szCs w:val="22"/>
        </w:rPr>
      </w:pPr>
    </w:p>
    <w:p w14:paraId="07B01A0E" w14:textId="77777777" w:rsidR="00926F7A" w:rsidRPr="00A445F4" w:rsidRDefault="00926F7A" w:rsidP="007656CF">
      <w:pPr>
        <w:spacing w:line="360" w:lineRule="auto"/>
        <w:rPr>
          <w:rFonts w:ascii="Arial" w:hAnsi="Arial" w:cs="Arial"/>
          <w:color w:val="000000" w:themeColor="text1"/>
          <w:sz w:val="22"/>
          <w:szCs w:val="22"/>
        </w:rPr>
      </w:pPr>
    </w:p>
    <w:p w14:paraId="1543A059" w14:textId="77777777" w:rsidR="00926F7A" w:rsidRPr="00A445F4" w:rsidRDefault="00926F7A" w:rsidP="007656CF">
      <w:pPr>
        <w:spacing w:line="360" w:lineRule="auto"/>
        <w:rPr>
          <w:rFonts w:ascii="Arial" w:hAnsi="Arial" w:cs="Arial"/>
          <w:color w:val="000000" w:themeColor="text1"/>
          <w:sz w:val="22"/>
          <w:szCs w:val="22"/>
        </w:rPr>
      </w:pPr>
    </w:p>
    <w:p w14:paraId="520726A9" w14:textId="77777777" w:rsidR="00926F7A" w:rsidRPr="00A445F4" w:rsidRDefault="00926F7A" w:rsidP="007656CF">
      <w:pPr>
        <w:spacing w:line="360" w:lineRule="auto"/>
        <w:rPr>
          <w:rFonts w:ascii="Arial" w:hAnsi="Arial" w:cs="Arial"/>
          <w:color w:val="000000" w:themeColor="text1"/>
          <w:sz w:val="22"/>
          <w:szCs w:val="22"/>
        </w:rPr>
      </w:pPr>
    </w:p>
    <w:p w14:paraId="2D6F25E6" w14:textId="77777777" w:rsidR="00926F7A" w:rsidRPr="00A445F4" w:rsidRDefault="00926F7A" w:rsidP="007656CF">
      <w:pPr>
        <w:spacing w:line="360" w:lineRule="auto"/>
        <w:rPr>
          <w:rFonts w:ascii="Arial" w:hAnsi="Arial" w:cs="Arial"/>
          <w:color w:val="000000" w:themeColor="text1"/>
          <w:sz w:val="22"/>
          <w:szCs w:val="22"/>
        </w:rPr>
      </w:pPr>
    </w:p>
    <w:p w14:paraId="547A8A4C" w14:textId="77777777" w:rsidR="00926F7A" w:rsidRPr="00A445F4" w:rsidRDefault="00926F7A" w:rsidP="007656CF">
      <w:pPr>
        <w:spacing w:line="360" w:lineRule="auto"/>
        <w:rPr>
          <w:rFonts w:ascii="Arial" w:hAnsi="Arial" w:cs="Arial"/>
          <w:color w:val="000000" w:themeColor="text1"/>
          <w:sz w:val="22"/>
          <w:szCs w:val="22"/>
        </w:rPr>
      </w:pPr>
    </w:p>
    <w:p w14:paraId="4F2C43C6" w14:textId="77777777" w:rsidR="00926F7A" w:rsidRPr="00A445F4" w:rsidRDefault="00926F7A" w:rsidP="007656CF">
      <w:pPr>
        <w:spacing w:line="360" w:lineRule="auto"/>
        <w:rPr>
          <w:rFonts w:ascii="Arial" w:hAnsi="Arial" w:cs="Arial"/>
          <w:color w:val="000000" w:themeColor="text1"/>
          <w:sz w:val="22"/>
          <w:szCs w:val="22"/>
        </w:rPr>
      </w:pPr>
    </w:p>
    <w:p w14:paraId="2038A4B8" w14:textId="77777777" w:rsidR="00926F7A" w:rsidRPr="00A445F4" w:rsidRDefault="00926F7A" w:rsidP="007656CF">
      <w:pPr>
        <w:spacing w:line="360" w:lineRule="auto"/>
        <w:rPr>
          <w:rFonts w:ascii="Arial" w:hAnsi="Arial" w:cs="Arial"/>
          <w:color w:val="000000" w:themeColor="text1"/>
          <w:sz w:val="22"/>
          <w:szCs w:val="22"/>
        </w:rPr>
      </w:pPr>
    </w:p>
    <w:p w14:paraId="705A230A" w14:textId="77777777" w:rsidR="00926F7A" w:rsidRPr="00A445F4" w:rsidRDefault="00926F7A" w:rsidP="007656CF">
      <w:pPr>
        <w:spacing w:line="360" w:lineRule="auto"/>
        <w:rPr>
          <w:rFonts w:ascii="Arial" w:hAnsi="Arial" w:cs="Arial"/>
          <w:color w:val="000000" w:themeColor="text1"/>
          <w:sz w:val="22"/>
          <w:szCs w:val="22"/>
        </w:rPr>
      </w:pPr>
    </w:p>
    <w:p w14:paraId="632B6D10" w14:textId="77777777" w:rsidR="00926F7A" w:rsidRPr="00A445F4" w:rsidRDefault="00926F7A" w:rsidP="007656CF">
      <w:pPr>
        <w:spacing w:line="360" w:lineRule="auto"/>
        <w:rPr>
          <w:rFonts w:ascii="Arial" w:hAnsi="Arial" w:cs="Arial"/>
          <w:color w:val="000000" w:themeColor="text1"/>
          <w:sz w:val="22"/>
          <w:szCs w:val="22"/>
        </w:rPr>
      </w:pPr>
    </w:p>
    <w:p w14:paraId="110E7C53" w14:textId="3BF41C0D" w:rsidR="0070637D" w:rsidRPr="00A445F4" w:rsidRDefault="0070637D" w:rsidP="0070637D">
      <w:pPr>
        <w:pStyle w:val="Heading1"/>
        <w:rPr>
          <w:color w:val="000000" w:themeColor="text1"/>
        </w:rPr>
      </w:pPr>
      <w:bookmarkStart w:id="5" w:name="_Toc234841439"/>
      <w:r w:rsidRPr="00A445F4">
        <w:rPr>
          <w:color w:val="000000" w:themeColor="text1"/>
        </w:rPr>
        <w:lastRenderedPageBreak/>
        <w:t>Part 3.0 Critical Literature Review:</w:t>
      </w:r>
      <w:bookmarkEnd w:id="5"/>
    </w:p>
    <w:p w14:paraId="5A192D53" w14:textId="15DB1703" w:rsidR="00926F7A" w:rsidRPr="00A445F4" w:rsidRDefault="0070637D" w:rsidP="007656C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The UK grocery sector is undergoing a significant transformation, with rising costs and shifting consumer behaviour creating a challenging environment for established supermarket chains.</w:t>
      </w:r>
    </w:p>
    <w:p w14:paraId="5317875A" w14:textId="318BAD5F" w:rsidR="0070637D" w:rsidRPr="00A445F4" w:rsidRDefault="00367E22" w:rsidP="00367E22">
      <w:pPr>
        <w:pStyle w:val="Heading2"/>
        <w:rPr>
          <w:color w:val="000000" w:themeColor="text1"/>
        </w:rPr>
      </w:pPr>
      <w:bookmarkStart w:id="6" w:name="_Toc234841440"/>
      <w:r w:rsidRPr="00A445F4">
        <w:rPr>
          <w:color w:val="000000" w:themeColor="text1"/>
        </w:rPr>
        <w:t>Part 3.1 Key Frameworks and Theories:</w:t>
      </w:r>
      <w:bookmarkEnd w:id="6"/>
    </w:p>
    <w:p w14:paraId="0D6EB15A" w14:textId="644DFCE9" w:rsidR="00367E22" w:rsidRPr="00A445F4" w:rsidRDefault="00496B4A" w:rsidP="00367E22">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Three analytical frameworks provide valuable lenses for understanding Tesco's current strategic position. These frameworks were selected because they directly align with the research questions and provide complementary perspectives on the business problem. The research process follows the six-stage model outlined in the course materials: clarifying the research question, proposing research, designing the research project, collecting data, analysing data, and reporting results. This systematic approach ensures rigour and coherence throughout the investigation.</w:t>
      </w:r>
      <w:r w:rsidR="00EA27E5" w:rsidRPr="00A445F4">
        <w:rPr>
          <w:rFonts w:ascii="Arial" w:hAnsi="Arial" w:cs="Arial"/>
          <w:color w:val="000000" w:themeColor="text1"/>
          <w:sz w:val="22"/>
          <w:szCs w:val="22"/>
        </w:rPr>
        <w:t xml:space="preserve"> </w:t>
      </w:r>
      <w:r w:rsidR="00925DE0" w:rsidRPr="00A445F4">
        <w:rPr>
          <w:rFonts w:ascii="Arial" w:hAnsi="Arial" w:cs="Arial"/>
          <w:color w:val="000000" w:themeColor="text1"/>
          <w:sz w:val="22"/>
          <w:szCs w:val="22"/>
        </w:rPr>
        <w:t xml:space="preserve"> “Implementing frameworks in business is like using a proven recipe instead of just guessing the ingredients</w:t>
      </w:r>
      <w:r w:rsidR="0069487D" w:rsidRPr="00A445F4">
        <w:rPr>
          <w:color w:val="000000" w:themeColor="text1"/>
        </w:rPr>
        <w:t xml:space="preserve"> (</w:t>
      </w:r>
      <w:r w:rsidR="0069487D" w:rsidRPr="00A445F4">
        <w:rPr>
          <w:rFonts w:ascii="Arial" w:hAnsi="Arial" w:cs="Arial"/>
          <w:color w:val="000000" w:themeColor="text1"/>
          <w:sz w:val="22"/>
          <w:szCs w:val="22"/>
        </w:rPr>
        <w:t>SALONEN, J., 2025)</w:t>
      </w:r>
      <w:r w:rsidR="00925DE0" w:rsidRPr="00A445F4">
        <w:rPr>
          <w:rFonts w:ascii="Arial" w:hAnsi="Arial" w:cs="Arial"/>
          <w:color w:val="000000" w:themeColor="text1"/>
          <w:sz w:val="22"/>
          <w:szCs w:val="22"/>
        </w:rPr>
        <w:t xml:space="preserve">. </w:t>
      </w:r>
      <w:r w:rsidR="009E1B15" w:rsidRPr="00A445F4">
        <w:rPr>
          <w:rFonts w:ascii="Arial" w:hAnsi="Arial" w:cs="Arial"/>
          <w:color w:val="000000" w:themeColor="text1"/>
          <w:sz w:val="22"/>
          <w:szCs w:val="22"/>
        </w:rPr>
        <w:t>“</w:t>
      </w:r>
      <w:r w:rsidR="008A012B" w:rsidRPr="00A445F4">
        <w:rPr>
          <w:rFonts w:ascii="Arial" w:hAnsi="Arial" w:cs="Arial"/>
          <w:color w:val="000000" w:themeColor="text1"/>
          <w:sz w:val="22"/>
          <w:szCs w:val="22"/>
        </w:rPr>
        <w:t>Analysing</w:t>
      </w:r>
      <w:r w:rsidR="00372A02" w:rsidRPr="00A445F4">
        <w:rPr>
          <w:rFonts w:ascii="Arial" w:hAnsi="Arial" w:cs="Arial"/>
          <w:color w:val="000000" w:themeColor="text1"/>
          <w:sz w:val="22"/>
          <w:szCs w:val="22"/>
        </w:rPr>
        <w:t xml:space="preserve"> frameworks </w:t>
      </w:r>
      <w:r w:rsidR="008A012B" w:rsidRPr="00A445F4">
        <w:rPr>
          <w:rFonts w:ascii="Arial" w:hAnsi="Arial" w:cs="Arial"/>
          <w:color w:val="000000" w:themeColor="text1"/>
          <w:sz w:val="22"/>
          <w:szCs w:val="22"/>
        </w:rPr>
        <w:t>regarding</w:t>
      </w:r>
      <w:r w:rsidR="00372A02" w:rsidRPr="00A445F4">
        <w:rPr>
          <w:rFonts w:ascii="Arial" w:hAnsi="Arial" w:cs="Arial"/>
          <w:color w:val="000000" w:themeColor="text1"/>
          <w:sz w:val="22"/>
          <w:szCs w:val="22"/>
        </w:rPr>
        <w:t xml:space="preserve"> business helps with performance</w:t>
      </w:r>
      <w:r w:rsidR="008A012B" w:rsidRPr="00A445F4">
        <w:rPr>
          <w:rFonts w:ascii="Arial" w:hAnsi="Arial" w:cs="Arial"/>
          <w:color w:val="000000" w:themeColor="text1"/>
          <w:sz w:val="22"/>
          <w:szCs w:val="22"/>
        </w:rPr>
        <w:t>”</w:t>
      </w:r>
      <w:r w:rsidR="009E1B15" w:rsidRPr="00A445F4">
        <w:rPr>
          <w:rFonts w:ascii="Arial" w:hAnsi="Arial" w:cs="Arial"/>
          <w:color w:val="000000" w:themeColor="text1"/>
          <w:sz w:val="22"/>
          <w:szCs w:val="22"/>
        </w:rPr>
        <w:t xml:space="preserve"> (</w:t>
      </w:r>
      <w:r w:rsidR="00EA27E5" w:rsidRPr="00A445F4">
        <w:rPr>
          <w:rFonts w:ascii="Arial" w:hAnsi="Arial" w:cs="Arial"/>
          <w:color w:val="000000" w:themeColor="text1"/>
          <w:sz w:val="22"/>
          <w:szCs w:val="22"/>
        </w:rPr>
        <w:t>Nogueira, E., Gomes, S. and Lopes, J.M., 2025</w:t>
      </w:r>
      <w:r w:rsidR="009E1B15" w:rsidRPr="00A445F4">
        <w:rPr>
          <w:rFonts w:ascii="Arial" w:hAnsi="Arial" w:cs="Arial"/>
          <w:color w:val="000000" w:themeColor="text1"/>
          <w:sz w:val="22"/>
          <w:szCs w:val="22"/>
        </w:rPr>
        <w:t>)</w:t>
      </w:r>
      <w:r w:rsidR="00EA27E5" w:rsidRPr="00A445F4">
        <w:rPr>
          <w:rFonts w:ascii="Arial" w:hAnsi="Arial" w:cs="Arial"/>
          <w:color w:val="000000" w:themeColor="text1"/>
          <w:sz w:val="22"/>
          <w:szCs w:val="22"/>
        </w:rPr>
        <w:t xml:space="preserve">. </w:t>
      </w:r>
    </w:p>
    <w:p w14:paraId="5BD43318" w14:textId="5EFC502B" w:rsidR="00496B4A" w:rsidRPr="00A445F4" w:rsidRDefault="00496B4A" w:rsidP="00367E22">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Porter's Five Forces helps analyse the competitive intensity of the supermarket industry. This framework was chosen because it directly addresses Research Question 1, which concerns cost pressures, and Research Question 3, which concerns strategic responses. The threat of new entrants from discounters like Aldi and Lidl has intensified competition, while the bargaining power of buyers has increased as consumers become more </w:t>
      </w:r>
      <w:proofErr w:type="gramStart"/>
      <w:r w:rsidRPr="00A445F4">
        <w:rPr>
          <w:rFonts w:ascii="Arial" w:hAnsi="Arial" w:cs="Arial"/>
          <w:color w:val="000000" w:themeColor="text1"/>
          <w:sz w:val="22"/>
          <w:szCs w:val="22"/>
        </w:rPr>
        <w:t>price-sensitive</w:t>
      </w:r>
      <w:proofErr w:type="gramEnd"/>
      <w:r w:rsidRPr="00A445F4">
        <w:rPr>
          <w:rFonts w:ascii="Arial" w:hAnsi="Arial" w:cs="Arial"/>
          <w:color w:val="000000" w:themeColor="text1"/>
          <w:sz w:val="22"/>
          <w:szCs w:val="22"/>
        </w:rPr>
        <w:t>. The intensity of rivalry among existing competitors remains high, with price wars and promotional strategies dominating the market. As of May 2026</w:t>
      </w:r>
      <w:r w:rsidR="00D23CB3" w:rsidRPr="00A445F4">
        <w:rPr>
          <w:rFonts w:ascii="Arial" w:hAnsi="Arial" w:cs="Arial"/>
          <w:color w:val="000000" w:themeColor="text1"/>
          <w:sz w:val="22"/>
          <w:szCs w:val="22"/>
        </w:rPr>
        <w:t>,</w:t>
      </w:r>
      <w:r w:rsidRPr="00A445F4">
        <w:rPr>
          <w:rFonts w:ascii="Arial" w:hAnsi="Arial" w:cs="Arial"/>
          <w:color w:val="000000" w:themeColor="text1"/>
          <w:sz w:val="22"/>
          <w:szCs w:val="22"/>
        </w:rPr>
        <w:t xml:space="preserve"> market data shows Tesco holds 28.2% market share, followed by Sainsbury's at 15.2%, Asda at 11.5%, Aldi at 10.8%, Lidl at 8.6%, and Morrisons at 8.3%. </w:t>
      </w:r>
      <w:r w:rsidR="006C49F9" w:rsidRPr="00A445F4">
        <w:rPr>
          <w:rFonts w:ascii="Arial" w:hAnsi="Arial" w:cs="Arial"/>
          <w:color w:val="000000" w:themeColor="text1"/>
          <w:sz w:val="22"/>
          <w:szCs w:val="22"/>
        </w:rPr>
        <w:t>“Porter's</w:t>
      </w:r>
      <w:r w:rsidR="00AF41CC" w:rsidRPr="00A445F4">
        <w:rPr>
          <w:rFonts w:ascii="Arial" w:hAnsi="Arial" w:cs="Arial"/>
          <w:color w:val="000000" w:themeColor="text1"/>
          <w:sz w:val="22"/>
          <w:szCs w:val="22"/>
        </w:rPr>
        <w:t xml:space="preserve"> Five </w:t>
      </w:r>
      <w:r w:rsidR="006C49F9" w:rsidRPr="00A445F4">
        <w:rPr>
          <w:rFonts w:ascii="Arial" w:hAnsi="Arial" w:cs="Arial"/>
          <w:color w:val="000000" w:themeColor="text1"/>
          <w:sz w:val="22"/>
          <w:szCs w:val="22"/>
        </w:rPr>
        <w:t>Forces Framework helps</w:t>
      </w:r>
      <w:r w:rsidR="0046511D" w:rsidRPr="00A445F4">
        <w:rPr>
          <w:rFonts w:ascii="Arial" w:hAnsi="Arial" w:cs="Arial"/>
          <w:color w:val="000000" w:themeColor="text1"/>
          <w:sz w:val="22"/>
          <w:szCs w:val="22"/>
        </w:rPr>
        <w:t xml:space="preserve"> a business </w:t>
      </w:r>
      <w:r w:rsidR="006C49F9" w:rsidRPr="00A445F4">
        <w:rPr>
          <w:rFonts w:ascii="Arial" w:hAnsi="Arial" w:cs="Arial"/>
          <w:color w:val="000000" w:themeColor="text1"/>
          <w:sz w:val="22"/>
          <w:szCs w:val="22"/>
        </w:rPr>
        <w:t xml:space="preserve">to figure out how intense the food market is” (Ningsih, F., Ilham, M. and </w:t>
      </w:r>
      <w:proofErr w:type="spellStart"/>
      <w:r w:rsidR="006C49F9" w:rsidRPr="00A445F4">
        <w:rPr>
          <w:rFonts w:ascii="Arial" w:hAnsi="Arial" w:cs="Arial"/>
          <w:color w:val="000000" w:themeColor="text1"/>
          <w:sz w:val="22"/>
          <w:szCs w:val="22"/>
        </w:rPr>
        <w:t>Awaluddin</w:t>
      </w:r>
      <w:proofErr w:type="spellEnd"/>
      <w:r w:rsidR="006C49F9" w:rsidRPr="00A445F4">
        <w:rPr>
          <w:rFonts w:ascii="Arial" w:hAnsi="Arial" w:cs="Arial"/>
          <w:color w:val="000000" w:themeColor="text1"/>
          <w:sz w:val="22"/>
          <w:szCs w:val="22"/>
        </w:rPr>
        <w:t xml:space="preserve">, M., 2025). </w:t>
      </w:r>
    </w:p>
    <w:p w14:paraId="5D8A22C3" w14:textId="73418315" w:rsidR="00496B4A" w:rsidRPr="00A445F4" w:rsidRDefault="00496B4A" w:rsidP="00367E22">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This competitive landscape demonstrates that while Tesco leads, challengers are making significant gains. Lidl achieved record market share through 8.8% sales growth, and Sainsbury's added 400,000 shoppers through new store openings. Tesco's current market share of 28.2% is the company's highest in over a decade, exceeding the combined share of its two nearest rivals, Sainsbury's and Asda. The Five Forces analysis helps explain why Tesco must aggressively manage costs while simultaneously investing in customer value.</w:t>
      </w:r>
      <w:r w:rsidR="009D40B1" w:rsidRPr="00A445F4">
        <w:rPr>
          <w:rFonts w:ascii="Arial" w:hAnsi="Arial" w:cs="Arial"/>
          <w:color w:val="000000" w:themeColor="text1"/>
          <w:sz w:val="22"/>
          <w:szCs w:val="22"/>
        </w:rPr>
        <w:t xml:space="preserve"> “</w:t>
      </w:r>
      <w:r w:rsidR="00E930B5" w:rsidRPr="00A445F4">
        <w:rPr>
          <w:rFonts w:ascii="Arial" w:hAnsi="Arial" w:cs="Arial"/>
          <w:color w:val="000000" w:themeColor="text1"/>
          <w:sz w:val="22"/>
          <w:szCs w:val="22"/>
        </w:rPr>
        <w:t xml:space="preserve">Tesco secures an </w:t>
      </w:r>
      <w:r w:rsidR="00B279A3" w:rsidRPr="00A445F4">
        <w:rPr>
          <w:rFonts w:ascii="Arial" w:hAnsi="Arial" w:cs="Arial"/>
          <w:color w:val="000000" w:themeColor="text1"/>
          <w:sz w:val="22"/>
          <w:szCs w:val="22"/>
        </w:rPr>
        <w:t>estimated</w:t>
      </w:r>
      <w:r w:rsidR="00E930B5" w:rsidRPr="00A445F4">
        <w:rPr>
          <w:rFonts w:ascii="Arial" w:hAnsi="Arial" w:cs="Arial"/>
          <w:color w:val="000000" w:themeColor="text1"/>
          <w:sz w:val="22"/>
          <w:szCs w:val="22"/>
        </w:rPr>
        <w:t xml:space="preserve"> </w:t>
      </w:r>
      <w:r w:rsidR="00B279A3" w:rsidRPr="00A445F4">
        <w:rPr>
          <w:rFonts w:ascii="Arial" w:hAnsi="Arial" w:cs="Arial"/>
          <w:color w:val="000000" w:themeColor="text1"/>
          <w:sz w:val="22"/>
          <w:szCs w:val="22"/>
        </w:rPr>
        <w:t>28% of the market share in the UK</w:t>
      </w:r>
      <w:r w:rsidR="007629F4" w:rsidRPr="00A445F4">
        <w:rPr>
          <w:rFonts w:ascii="Arial" w:hAnsi="Arial" w:cs="Arial"/>
          <w:color w:val="000000" w:themeColor="text1"/>
          <w:sz w:val="22"/>
          <w:szCs w:val="22"/>
        </w:rPr>
        <w:t>”</w:t>
      </w:r>
      <w:r w:rsidR="00B279A3" w:rsidRPr="00A445F4">
        <w:rPr>
          <w:rFonts w:ascii="Arial" w:hAnsi="Arial" w:cs="Arial"/>
          <w:color w:val="000000" w:themeColor="text1"/>
          <w:sz w:val="22"/>
          <w:szCs w:val="22"/>
        </w:rPr>
        <w:t xml:space="preserve"> (Tesco PLC, 2026, p. 3)</w:t>
      </w:r>
      <w:r w:rsidR="007629F4" w:rsidRPr="00A445F4">
        <w:rPr>
          <w:rFonts w:ascii="Arial" w:hAnsi="Arial" w:cs="Arial"/>
          <w:color w:val="000000" w:themeColor="text1"/>
          <w:sz w:val="22"/>
          <w:szCs w:val="22"/>
        </w:rPr>
        <w:t>.</w:t>
      </w:r>
    </w:p>
    <w:p w14:paraId="0D95F80A" w14:textId="77777777" w:rsidR="00496B4A" w:rsidRPr="00A445F4" w:rsidRDefault="00496B4A" w:rsidP="00367E22">
      <w:pPr>
        <w:spacing w:line="360" w:lineRule="auto"/>
        <w:rPr>
          <w:rFonts w:ascii="Arial" w:hAnsi="Arial" w:cs="Arial"/>
          <w:color w:val="000000" w:themeColor="text1"/>
          <w:sz w:val="22"/>
          <w:szCs w:val="22"/>
        </w:rPr>
      </w:pPr>
    </w:p>
    <w:p w14:paraId="37F81542" w14:textId="3394315F" w:rsidR="00D26AEE" w:rsidRPr="00A445F4" w:rsidRDefault="009A41C0" w:rsidP="00367E22">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lastRenderedPageBreak/>
        <w:t xml:space="preserve">The Resource-Based View (RBV) framework is equally relevant for understanding Tesco's internal capabilities. This framework was chosen because it addresses Research Question 2, which concerns customer loyalty, by examining what unique resources Tesco possesses to retain customers. The theory suggests that competitive advantage comes from a company's unique resources and capabilities that are valuable, rare, and difficult to imitate. Tesco's Clubcard loyalty programme represents precisely such a resource. Launched in 1995 after a proposal from analytics firm dunnhumby, Clubcard initially faced scepticism from Tesco's chair Lord </w:t>
      </w:r>
      <w:proofErr w:type="spellStart"/>
      <w:r w:rsidRPr="00A445F4">
        <w:rPr>
          <w:rFonts w:ascii="Arial" w:hAnsi="Arial" w:cs="Arial"/>
          <w:color w:val="000000" w:themeColor="text1"/>
          <w:sz w:val="22"/>
          <w:szCs w:val="22"/>
        </w:rPr>
        <w:t>MacLaurin</w:t>
      </w:r>
      <w:proofErr w:type="spellEnd"/>
      <w:r w:rsidRPr="00A445F4">
        <w:rPr>
          <w:rFonts w:ascii="Arial" w:hAnsi="Arial" w:cs="Arial"/>
          <w:color w:val="000000" w:themeColor="text1"/>
          <w:sz w:val="22"/>
          <w:szCs w:val="22"/>
        </w:rPr>
        <w:t xml:space="preserve">, who later remarked that the data insights revealed more about customers than the company had learned in 30 years. </w:t>
      </w:r>
      <w:r w:rsidR="006B2011" w:rsidRPr="00A445F4">
        <w:rPr>
          <w:rFonts w:ascii="Arial" w:hAnsi="Arial" w:cs="Arial"/>
          <w:color w:val="000000" w:themeColor="text1"/>
          <w:sz w:val="22"/>
          <w:szCs w:val="22"/>
        </w:rPr>
        <w:t xml:space="preserve"> “</w:t>
      </w:r>
      <w:r w:rsidR="00546424" w:rsidRPr="00A445F4">
        <w:rPr>
          <w:rFonts w:ascii="Arial" w:hAnsi="Arial" w:cs="Arial"/>
          <w:color w:val="000000" w:themeColor="text1"/>
          <w:sz w:val="22"/>
          <w:szCs w:val="22"/>
        </w:rPr>
        <w:t>The Resource-Based View (RBV) is an "inside-out" business strategy</w:t>
      </w:r>
      <w:r w:rsidR="00546424" w:rsidRPr="00A445F4">
        <w:rPr>
          <w:rFonts w:ascii="Arial" w:hAnsi="Arial" w:cs="Arial"/>
          <w:b/>
          <w:bCs/>
          <w:color w:val="000000" w:themeColor="text1"/>
          <w:sz w:val="22"/>
          <w:szCs w:val="22"/>
        </w:rPr>
        <w:t xml:space="preserve"> </w:t>
      </w:r>
      <w:r w:rsidR="006B2011" w:rsidRPr="00A445F4">
        <w:rPr>
          <w:rFonts w:ascii="Arial" w:hAnsi="Arial" w:cs="Arial"/>
          <w:color w:val="000000" w:themeColor="text1"/>
          <w:sz w:val="22"/>
          <w:szCs w:val="22"/>
        </w:rPr>
        <w:t xml:space="preserve">(Willie, M., (2025). </w:t>
      </w:r>
    </w:p>
    <w:p w14:paraId="40E5E761" w14:textId="77777777" w:rsidR="00D26AEE" w:rsidRPr="00A445F4" w:rsidRDefault="00D26AEE" w:rsidP="00367E22">
      <w:pPr>
        <w:spacing w:line="360" w:lineRule="auto"/>
        <w:rPr>
          <w:rFonts w:ascii="Arial" w:hAnsi="Arial" w:cs="Arial"/>
          <w:color w:val="000000" w:themeColor="text1"/>
          <w:sz w:val="22"/>
          <w:szCs w:val="22"/>
        </w:rPr>
      </w:pPr>
    </w:p>
    <w:p w14:paraId="513E9F77" w14:textId="77777777" w:rsidR="00D23CB3" w:rsidRPr="00A445F4" w:rsidRDefault="00D23CB3" w:rsidP="00367E22">
      <w:pPr>
        <w:spacing w:line="360" w:lineRule="auto"/>
        <w:rPr>
          <w:rFonts w:ascii="Arial" w:hAnsi="Arial" w:cs="Arial"/>
          <w:color w:val="000000" w:themeColor="text1"/>
          <w:sz w:val="22"/>
          <w:szCs w:val="22"/>
        </w:rPr>
      </w:pPr>
    </w:p>
    <w:p w14:paraId="01233432" w14:textId="77777777" w:rsidR="00D23CB3" w:rsidRPr="00A445F4" w:rsidRDefault="00D23CB3" w:rsidP="00367E22">
      <w:pPr>
        <w:spacing w:line="360" w:lineRule="auto"/>
        <w:rPr>
          <w:rFonts w:ascii="Arial" w:hAnsi="Arial" w:cs="Arial"/>
          <w:color w:val="000000" w:themeColor="text1"/>
          <w:sz w:val="22"/>
          <w:szCs w:val="22"/>
        </w:rPr>
      </w:pPr>
    </w:p>
    <w:p w14:paraId="5DD5A2BB" w14:textId="77777777" w:rsidR="00A445F4" w:rsidRPr="00A445F4" w:rsidRDefault="00A445F4" w:rsidP="00367E22">
      <w:pPr>
        <w:spacing w:line="360" w:lineRule="auto"/>
        <w:rPr>
          <w:rFonts w:ascii="Arial" w:hAnsi="Arial" w:cs="Arial"/>
          <w:color w:val="000000" w:themeColor="text1"/>
          <w:sz w:val="22"/>
          <w:szCs w:val="22"/>
        </w:rPr>
      </w:pPr>
    </w:p>
    <w:p w14:paraId="16561619" w14:textId="77777777" w:rsidR="00A445F4" w:rsidRPr="00A445F4" w:rsidRDefault="00A445F4" w:rsidP="00367E22">
      <w:pPr>
        <w:spacing w:line="360" w:lineRule="auto"/>
        <w:rPr>
          <w:rFonts w:ascii="Arial" w:hAnsi="Arial" w:cs="Arial"/>
          <w:color w:val="000000" w:themeColor="text1"/>
          <w:sz w:val="22"/>
          <w:szCs w:val="22"/>
        </w:rPr>
      </w:pPr>
    </w:p>
    <w:p w14:paraId="09167B20" w14:textId="77777777" w:rsidR="00A445F4" w:rsidRPr="00A445F4" w:rsidRDefault="00A445F4" w:rsidP="00367E22">
      <w:pPr>
        <w:spacing w:line="360" w:lineRule="auto"/>
        <w:rPr>
          <w:rFonts w:ascii="Arial" w:hAnsi="Arial" w:cs="Arial"/>
          <w:color w:val="000000" w:themeColor="text1"/>
          <w:sz w:val="22"/>
          <w:szCs w:val="22"/>
        </w:rPr>
      </w:pPr>
    </w:p>
    <w:p w14:paraId="1A68D0D7" w14:textId="77777777" w:rsidR="00A445F4" w:rsidRPr="00A445F4" w:rsidRDefault="00A445F4" w:rsidP="00367E22">
      <w:pPr>
        <w:spacing w:line="360" w:lineRule="auto"/>
        <w:rPr>
          <w:rFonts w:ascii="Arial" w:hAnsi="Arial" w:cs="Arial"/>
          <w:color w:val="000000" w:themeColor="text1"/>
          <w:sz w:val="22"/>
          <w:szCs w:val="22"/>
        </w:rPr>
      </w:pPr>
    </w:p>
    <w:p w14:paraId="1B2BCF81" w14:textId="77777777" w:rsidR="00A445F4" w:rsidRPr="00A445F4" w:rsidRDefault="00A445F4" w:rsidP="00367E22">
      <w:pPr>
        <w:spacing w:line="360" w:lineRule="auto"/>
        <w:rPr>
          <w:rFonts w:ascii="Arial" w:hAnsi="Arial" w:cs="Arial"/>
          <w:color w:val="000000" w:themeColor="text1"/>
          <w:sz w:val="22"/>
          <w:szCs w:val="22"/>
        </w:rPr>
      </w:pPr>
    </w:p>
    <w:p w14:paraId="5B974E30" w14:textId="77777777" w:rsidR="00A445F4" w:rsidRPr="00A445F4" w:rsidRDefault="00A445F4" w:rsidP="00367E22">
      <w:pPr>
        <w:spacing w:line="360" w:lineRule="auto"/>
        <w:rPr>
          <w:rFonts w:ascii="Arial" w:hAnsi="Arial" w:cs="Arial"/>
          <w:color w:val="000000" w:themeColor="text1"/>
          <w:sz w:val="22"/>
          <w:szCs w:val="22"/>
        </w:rPr>
      </w:pPr>
    </w:p>
    <w:p w14:paraId="4D2A1ED3" w14:textId="77777777" w:rsidR="00A445F4" w:rsidRPr="00A445F4" w:rsidRDefault="00A445F4" w:rsidP="00367E22">
      <w:pPr>
        <w:spacing w:line="360" w:lineRule="auto"/>
        <w:rPr>
          <w:rFonts w:ascii="Arial" w:hAnsi="Arial" w:cs="Arial"/>
          <w:color w:val="000000" w:themeColor="text1"/>
          <w:sz w:val="22"/>
          <w:szCs w:val="22"/>
        </w:rPr>
      </w:pPr>
    </w:p>
    <w:p w14:paraId="4790D784" w14:textId="77777777" w:rsidR="00A445F4" w:rsidRPr="00A445F4" w:rsidRDefault="00A445F4" w:rsidP="00367E22">
      <w:pPr>
        <w:spacing w:line="360" w:lineRule="auto"/>
        <w:rPr>
          <w:rFonts w:ascii="Arial" w:hAnsi="Arial" w:cs="Arial"/>
          <w:color w:val="000000" w:themeColor="text1"/>
          <w:sz w:val="22"/>
          <w:szCs w:val="22"/>
        </w:rPr>
      </w:pPr>
    </w:p>
    <w:p w14:paraId="60D4F22A" w14:textId="77777777" w:rsidR="00A445F4" w:rsidRPr="00A445F4" w:rsidRDefault="00A445F4" w:rsidP="00367E22">
      <w:pPr>
        <w:spacing w:line="360" w:lineRule="auto"/>
        <w:rPr>
          <w:rFonts w:ascii="Arial" w:hAnsi="Arial" w:cs="Arial"/>
          <w:color w:val="000000" w:themeColor="text1"/>
          <w:sz w:val="22"/>
          <w:szCs w:val="22"/>
        </w:rPr>
      </w:pPr>
    </w:p>
    <w:p w14:paraId="3F59FB1E" w14:textId="77777777" w:rsidR="00A445F4" w:rsidRPr="00A445F4" w:rsidRDefault="00A445F4" w:rsidP="00367E22">
      <w:pPr>
        <w:spacing w:line="360" w:lineRule="auto"/>
        <w:rPr>
          <w:rFonts w:ascii="Arial" w:hAnsi="Arial" w:cs="Arial"/>
          <w:color w:val="000000" w:themeColor="text1"/>
          <w:sz w:val="22"/>
          <w:szCs w:val="22"/>
        </w:rPr>
      </w:pPr>
    </w:p>
    <w:p w14:paraId="09CCB9E8" w14:textId="77777777" w:rsidR="00A445F4" w:rsidRPr="00A445F4" w:rsidRDefault="00A445F4" w:rsidP="00367E22">
      <w:pPr>
        <w:spacing w:line="360" w:lineRule="auto"/>
        <w:rPr>
          <w:rFonts w:ascii="Arial" w:hAnsi="Arial" w:cs="Arial"/>
          <w:color w:val="000000" w:themeColor="text1"/>
          <w:sz w:val="22"/>
          <w:szCs w:val="22"/>
        </w:rPr>
      </w:pPr>
    </w:p>
    <w:p w14:paraId="587D1B0A" w14:textId="77777777" w:rsidR="00A445F4" w:rsidRPr="00A445F4" w:rsidRDefault="00A445F4" w:rsidP="00367E22">
      <w:pPr>
        <w:spacing w:line="360" w:lineRule="auto"/>
        <w:rPr>
          <w:rFonts w:ascii="Arial" w:hAnsi="Arial" w:cs="Arial"/>
          <w:color w:val="000000" w:themeColor="text1"/>
          <w:sz w:val="22"/>
          <w:szCs w:val="22"/>
        </w:rPr>
      </w:pPr>
    </w:p>
    <w:p w14:paraId="107EB34D" w14:textId="77777777" w:rsidR="00A445F4" w:rsidRPr="00A445F4" w:rsidRDefault="00A445F4" w:rsidP="00367E22">
      <w:pPr>
        <w:spacing w:line="360" w:lineRule="auto"/>
        <w:rPr>
          <w:rFonts w:ascii="Arial" w:hAnsi="Arial" w:cs="Arial"/>
          <w:color w:val="000000" w:themeColor="text1"/>
          <w:sz w:val="22"/>
          <w:szCs w:val="22"/>
        </w:rPr>
      </w:pPr>
    </w:p>
    <w:p w14:paraId="3A58DFEC" w14:textId="77777777" w:rsidR="00A445F4" w:rsidRPr="00A445F4" w:rsidRDefault="00A445F4" w:rsidP="00367E22">
      <w:pPr>
        <w:spacing w:line="360" w:lineRule="auto"/>
        <w:rPr>
          <w:rFonts w:ascii="Arial" w:hAnsi="Arial" w:cs="Arial"/>
          <w:color w:val="000000" w:themeColor="text1"/>
          <w:sz w:val="22"/>
          <w:szCs w:val="22"/>
        </w:rPr>
      </w:pPr>
    </w:p>
    <w:p w14:paraId="45A3601C" w14:textId="561D667D" w:rsidR="00D23CB3" w:rsidRPr="00A445F4" w:rsidRDefault="00CF1CC7" w:rsidP="00CF1CC7">
      <w:pPr>
        <w:pStyle w:val="Heading2"/>
        <w:rPr>
          <w:color w:val="000000" w:themeColor="text1"/>
        </w:rPr>
      </w:pPr>
      <w:bookmarkStart w:id="7" w:name="_Toc234841441"/>
      <w:r w:rsidRPr="00A445F4">
        <w:rPr>
          <w:color w:val="000000" w:themeColor="text1"/>
        </w:rPr>
        <w:lastRenderedPageBreak/>
        <w:t>Part 3.2 The Rise of Operational Costs:</w:t>
      </w:r>
      <w:bookmarkEnd w:id="7"/>
    </w:p>
    <w:p w14:paraId="34578642" w14:textId="77777777" w:rsidR="00E83111" w:rsidRPr="00A445F4" w:rsidRDefault="00E83111" w:rsidP="00CF1CC7">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A central challenge identified in recent literature is the escalating operational costs within the supermarket industry. The Institute of Grocery Distribution forecast indicates that persistent inflation and rising taxes will keep household budgets under pressure through to 2030. Supermarkets are facing a higher cost structure driven by elevated labour costs, supply chain complexities, and increased investment in technology necessary to remain competitive. </w:t>
      </w:r>
    </w:p>
    <w:p w14:paraId="309B7F28" w14:textId="7BE5EB0C" w:rsidR="00CF1CC7" w:rsidRPr="00A445F4" w:rsidRDefault="00E83111" w:rsidP="00CF1CC7">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The problem was highlighted in late 2025 when major retailers, including Tesco, Sainsbury's, and Asda, warned that additional tax rises would inevitably lead to higher food prices for consumers. Tesco chief executive Ken Murphy urged the government to avoid imposing further burdens on the grocery sector, stating that higher employer National Insurance had added approximately £235 million to annual costs, while new packaging taxes contributed around £90 million. The CEO noted that after the previous budget delivered substantial additional operating costs, he stated that enough is enough.</w:t>
      </w:r>
      <w:r w:rsidR="0066343E" w:rsidRPr="00A445F4">
        <w:rPr>
          <w:rFonts w:ascii="Arial" w:hAnsi="Arial" w:cs="Arial"/>
          <w:color w:val="000000" w:themeColor="text1"/>
          <w:sz w:val="22"/>
          <w:szCs w:val="22"/>
        </w:rPr>
        <w:t xml:space="preserve"> </w:t>
      </w:r>
      <w:r w:rsidR="00CB0E0F" w:rsidRPr="00A445F4">
        <w:rPr>
          <w:rFonts w:ascii="Arial" w:hAnsi="Arial" w:cs="Arial"/>
          <w:color w:val="000000" w:themeColor="text1"/>
          <w:sz w:val="22"/>
          <w:szCs w:val="22"/>
        </w:rPr>
        <w:t>“</w:t>
      </w:r>
      <w:r w:rsidR="0066343E" w:rsidRPr="00A445F4">
        <w:rPr>
          <w:rFonts w:ascii="Arial" w:hAnsi="Arial" w:cs="Arial"/>
          <w:color w:val="000000" w:themeColor="text1"/>
          <w:sz w:val="22"/>
          <w:szCs w:val="22"/>
        </w:rPr>
        <w:t xml:space="preserve">The CEO of Tesco </w:t>
      </w:r>
      <w:r w:rsidR="00CB0E0F" w:rsidRPr="00A445F4">
        <w:rPr>
          <w:rFonts w:ascii="Arial" w:hAnsi="Arial" w:cs="Arial"/>
          <w:color w:val="000000" w:themeColor="text1"/>
          <w:sz w:val="22"/>
          <w:szCs w:val="22"/>
        </w:rPr>
        <w:t>argues the business current situation to the government” (The Independent 2025).</w:t>
      </w:r>
    </w:p>
    <w:p w14:paraId="7F884C1C" w14:textId="0032960F" w:rsidR="00E83111" w:rsidRPr="00A445F4" w:rsidRDefault="00E83111" w:rsidP="00CF1CC7">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Tesco's first-half 2025/26 results illustrate this tension: while group sales grew 5.1% to £33,051 million, adjusted operating profit rose only 1.6% to £1,674 million. Profit growth lagging significantly behind revenue growth. The company's net debt increased to £9,884 million, up from £9,522 million in the prior year, reflecting the financial strain of rising costs.</w:t>
      </w:r>
      <w:r w:rsidR="00366816" w:rsidRPr="00A445F4">
        <w:rPr>
          <w:rFonts w:ascii="Arial" w:hAnsi="Arial" w:cs="Arial"/>
          <w:color w:val="000000" w:themeColor="text1"/>
          <w:sz w:val="22"/>
          <w:szCs w:val="22"/>
        </w:rPr>
        <w:t xml:space="preserve"> </w:t>
      </w:r>
      <w:r w:rsidR="00F2685B" w:rsidRPr="00A445F4">
        <w:rPr>
          <w:rFonts w:ascii="Arial" w:hAnsi="Arial" w:cs="Arial"/>
          <w:color w:val="000000" w:themeColor="text1"/>
          <w:sz w:val="22"/>
          <w:szCs w:val="22"/>
        </w:rPr>
        <w:t>“</w:t>
      </w:r>
      <w:r w:rsidR="00366816" w:rsidRPr="00A445F4">
        <w:rPr>
          <w:rFonts w:ascii="Arial" w:hAnsi="Arial" w:cs="Arial"/>
          <w:color w:val="000000" w:themeColor="text1"/>
          <w:sz w:val="22"/>
          <w:szCs w:val="22"/>
        </w:rPr>
        <w:t xml:space="preserve">Tesco data </w:t>
      </w:r>
      <w:r w:rsidR="00F2685B" w:rsidRPr="00A445F4">
        <w:rPr>
          <w:rFonts w:ascii="Arial" w:hAnsi="Arial" w:cs="Arial"/>
          <w:color w:val="000000" w:themeColor="text1"/>
          <w:sz w:val="22"/>
          <w:szCs w:val="22"/>
        </w:rPr>
        <w:t>figures</w:t>
      </w:r>
      <w:r w:rsidR="00366816" w:rsidRPr="00A445F4">
        <w:rPr>
          <w:rFonts w:ascii="Arial" w:hAnsi="Arial" w:cs="Arial"/>
          <w:color w:val="000000" w:themeColor="text1"/>
          <w:sz w:val="22"/>
          <w:szCs w:val="22"/>
        </w:rPr>
        <w:t xml:space="preserve"> illustrate </w:t>
      </w:r>
      <w:r w:rsidR="00F7039E" w:rsidRPr="00A445F4">
        <w:rPr>
          <w:rFonts w:ascii="Arial" w:hAnsi="Arial" w:cs="Arial"/>
          <w:color w:val="000000" w:themeColor="text1"/>
          <w:sz w:val="22"/>
          <w:szCs w:val="22"/>
        </w:rPr>
        <w:t>the sales</w:t>
      </w:r>
      <w:r w:rsidR="00F2685B" w:rsidRPr="00A445F4">
        <w:rPr>
          <w:rFonts w:ascii="Arial" w:hAnsi="Arial" w:cs="Arial"/>
          <w:color w:val="000000" w:themeColor="text1"/>
          <w:sz w:val="22"/>
          <w:szCs w:val="22"/>
        </w:rPr>
        <w:t>,</w:t>
      </w:r>
      <w:r w:rsidR="00F7039E" w:rsidRPr="00A445F4">
        <w:rPr>
          <w:rFonts w:ascii="Arial" w:hAnsi="Arial" w:cs="Arial"/>
          <w:color w:val="000000" w:themeColor="text1"/>
          <w:sz w:val="22"/>
          <w:szCs w:val="22"/>
        </w:rPr>
        <w:t xml:space="preserve"> profit and </w:t>
      </w:r>
      <w:r w:rsidR="00F2685B" w:rsidRPr="00A445F4">
        <w:rPr>
          <w:rFonts w:ascii="Arial" w:hAnsi="Arial" w:cs="Arial"/>
          <w:color w:val="000000" w:themeColor="text1"/>
          <w:sz w:val="22"/>
          <w:szCs w:val="22"/>
        </w:rPr>
        <w:t>debt</w:t>
      </w:r>
      <w:r w:rsidR="00F7039E" w:rsidRPr="00A445F4">
        <w:rPr>
          <w:rFonts w:ascii="Arial" w:hAnsi="Arial" w:cs="Arial"/>
          <w:color w:val="000000" w:themeColor="text1"/>
          <w:sz w:val="22"/>
          <w:szCs w:val="22"/>
        </w:rPr>
        <w:t xml:space="preserve"> the company curr</w:t>
      </w:r>
      <w:r w:rsidR="00F2685B" w:rsidRPr="00A445F4">
        <w:rPr>
          <w:rFonts w:ascii="Arial" w:hAnsi="Arial" w:cs="Arial"/>
          <w:color w:val="000000" w:themeColor="text1"/>
          <w:sz w:val="22"/>
          <w:szCs w:val="22"/>
        </w:rPr>
        <w:t>ently faces” (Tesco PLC,2026)</w:t>
      </w:r>
      <w:r w:rsidR="00456D77" w:rsidRPr="00A445F4">
        <w:rPr>
          <w:rFonts w:ascii="Arial" w:hAnsi="Arial" w:cs="Arial"/>
          <w:color w:val="000000" w:themeColor="text1"/>
          <w:sz w:val="22"/>
          <w:szCs w:val="22"/>
        </w:rPr>
        <w:t>.</w:t>
      </w:r>
    </w:p>
    <w:p w14:paraId="41251667" w14:textId="18BE0E68" w:rsidR="00F208F7" w:rsidRPr="00A445F4" w:rsidRDefault="00A445F4" w:rsidP="00F208F7">
      <w:pPr>
        <w:pStyle w:val="Heading2"/>
        <w:rPr>
          <w:color w:val="000000" w:themeColor="text1"/>
        </w:rPr>
      </w:pPr>
      <w:bookmarkStart w:id="8" w:name="_Toc234841442"/>
      <w:r w:rsidRPr="00A445F4">
        <w:rPr>
          <w:color w:val="000000" w:themeColor="text1"/>
        </w:rPr>
        <w:t xml:space="preserve">Part </w:t>
      </w:r>
      <w:r w:rsidR="00F208F7" w:rsidRPr="00A445F4">
        <w:rPr>
          <w:color w:val="000000" w:themeColor="text1"/>
        </w:rPr>
        <w:t>3.3 The Fragmentation of Customer Loyalty:</w:t>
      </w:r>
      <w:bookmarkEnd w:id="8"/>
      <w:r w:rsidR="00F208F7" w:rsidRPr="00A445F4">
        <w:rPr>
          <w:color w:val="000000" w:themeColor="text1"/>
        </w:rPr>
        <w:t xml:space="preserve"> </w:t>
      </w:r>
    </w:p>
    <w:p w14:paraId="297ED3A8" w14:textId="5064FB43" w:rsidR="006D739F" w:rsidRPr="00A445F4" w:rsidRDefault="006D739F" w:rsidP="00F208F7">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Simultaneously, research points to a fundamental shift in consumer behaviour that undermines the traditional supermarket business model. Shoppers are more selective and value-driven, with price, availability, and perceived value becoming the primary drivers of choice. The dominance of top-up shopping means that consumers are making more frequent, smaller trips rather than weekly trolley shops. This trend particularly benefits discounters and convenience retailers who have captured a significant share of this value-conscious consumer base. </w:t>
      </w:r>
      <w:r w:rsidR="003B0CD7" w:rsidRPr="00A445F4">
        <w:rPr>
          <w:rFonts w:ascii="Arial" w:hAnsi="Arial" w:cs="Arial"/>
          <w:color w:val="000000" w:themeColor="text1"/>
          <w:sz w:val="22"/>
          <w:szCs w:val="22"/>
        </w:rPr>
        <w:t>“Customers'</w:t>
      </w:r>
      <w:r w:rsidR="00A40160" w:rsidRPr="00A445F4">
        <w:rPr>
          <w:rFonts w:ascii="Arial" w:hAnsi="Arial" w:cs="Arial"/>
          <w:color w:val="000000" w:themeColor="text1"/>
          <w:sz w:val="22"/>
          <w:szCs w:val="22"/>
        </w:rPr>
        <w:t xml:space="preserve"> behaviour </w:t>
      </w:r>
      <w:r w:rsidR="003B0CD7" w:rsidRPr="00A445F4">
        <w:rPr>
          <w:rFonts w:ascii="Arial" w:hAnsi="Arial" w:cs="Arial"/>
          <w:color w:val="000000" w:themeColor="text1"/>
          <w:sz w:val="22"/>
          <w:szCs w:val="22"/>
        </w:rPr>
        <w:t>has shifted</w:t>
      </w:r>
      <w:r w:rsidR="00A40160" w:rsidRPr="00A445F4">
        <w:rPr>
          <w:rFonts w:ascii="Arial" w:hAnsi="Arial" w:cs="Arial"/>
          <w:color w:val="000000" w:themeColor="text1"/>
          <w:sz w:val="22"/>
          <w:szCs w:val="22"/>
        </w:rPr>
        <w:t xml:space="preserve"> due to cost </w:t>
      </w:r>
      <w:r w:rsidR="003B0CD7" w:rsidRPr="00A445F4">
        <w:rPr>
          <w:rFonts w:ascii="Arial" w:hAnsi="Arial" w:cs="Arial"/>
          <w:color w:val="000000" w:themeColor="text1"/>
          <w:sz w:val="22"/>
          <w:szCs w:val="22"/>
        </w:rPr>
        <w:t xml:space="preserve">and other policies that affect society” (Schulze, M. and Janssen, M., 2026). </w:t>
      </w:r>
    </w:p>
    <w:p w14:paraId="0D398700" w14:textId="77777777" w:rsidR="00A445F4" w:rsidRPr="00A445F4" w:rsidRDefault="00A445F4" w:rsidP="00F208F7">
      <w:pPr>
        <w:spacing w:line="360" w:lineRule="auto"/>
        <w:rPr>
          <w:rFonts w:ascii="Arial" w:hAnsi="Arial" w:cs="Arial"/>
          <w:color w:val="000000" w:themeColor="text1"/>
          <w:sz w:val="22"/>
          <w:szCs w:val="22"/>
        </w:rPr>
      </w:pPr>
    </w:p>
    <w:p w14:paraId="6374F364" w14:textId="77777777" w:rsidR="00A445F4" w:rsidRPr="00A445F4" w:rsidRDefault="00A445F4" w:rsidP="00F208F7">
      <w:pPr>
        <w:spacing w:line="360" w:lineRule="auto"/>
        <w:rPr>
          <w:rFonts w:ascii="Arial" w:hAnsi="Arial" w:cs="Arial"/>
          <w:color w:val="000000" w:themeColor="text1"/>
          <w:sz w:val="22"/>
          <w:szCs w:val="22"/>
        </w:rPr>
      </w:pPr>
    </w:p>
    <w:p w14:paraId="14F0AE6D" w14:textId="72FCB33C" w:rsidR="00F208F7" w:rsidRPr="00A445F4" w:rsidRDefault="006D739F" w:rsidP="00F208F7">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lastRenderedPageBreak/>
        <w:t>Loyalty is not dead. It is evolving. Tesco's Clubcard, celebrating 30 years of operation, demonstrates how data-driven loyalty programmes can maintain customer relationships. The introduction of Clubcard Prices in 2020, offering thousands of exclusive discounts to cardholders, has been particularly effective in a value-focused market. A key example is the Clubcard meal deal pricing. The lunchtime meal deal costs £3.85 for Clubcard holders compared to £4.25 for non-members, reflecting how loyalty cards are used to compete for customers while collecting valuable data on purchasing behaviour.</w:t>
      </w:r>
      <w:r w:rsidR="00FD7F5D" w:rsidRPr="00A445F4">
        <w:rPr>
          <w:rFonts w:ascii="Arial" w:hAnsi="Arial" w:cs="Arial"/>
          <w:color w:val="000000" w:themeColor="text1"/>
          <w:sz w:val="22"/>
          <w:szCs w:val="22"/>
        </w:rPr>
        <w:t xml:space="preserve"> </w:t>
      </w:r>
      <w:r w:rsidR="008531F5" w:rsidRPr="00A445F4">
        <w:rPr>
          <w:rFonts w:ascii="Arial" w:hAnsi="Arial" w:cs="Arial"/>
          <w:color w:val="000000" w:themeColor="text1"/>
          <w:sz w:val="22"/>
          <w:szCs w:val="22"/>
        </w:rPr>
        <w:t>“</w:t>
      </w:r>
      <w:r w:rsidR="00FD7F5D" w:rsidRPr="00A445F4">
        <w:rPr>
          <w:rFonts w:ascii="Arial" w:hAnsi="Arial" w:cs="Arial"/>
          <w:color w:val="000000" w:themeColor="text1"/>
          <w:sz w:val="22"/>
          <w:szCs w:val="22"/>
        </w:rPr>
        <w:t>Tesco</w:t>
      </w:r>
      <w:r w:rsidR="00CA756A" w:rsidRPr="00A445F4">
        <w:rPr>
          <w:rFonts w:ascii="Arial" w:hAnsi="Arial" w:cs="Arial"/>
          <w:color w:val="000000" w:themeColor="text1"/>
          <w:sz w:val="22"/>
          <w:szCs w:val="22"/>
        </w:rPr>
        <w:t>’s</w:t>
      </w:r>
      <w:r w:rsidR="00FD7F5D" w:rsidRPr="00A445F4">
        <w:rPr>
          <w:rFonts w:ascii="Arial" w:hAnsi="Arial" w:cs="Arial"/>
          <w:color w:val="000000" w:themeColor="text1"/>
          <w:sz w:val="22"/>
          <w:szCs w:val="22"/>
        </w:rPr>
        <w:t xml:space="preserve"> </w:t>
      </w:r>
      <w:r w:rsidR="00CA756A" w:rsidRPr="00A445F4">
        <w:rPr>
          <w:rFonts w:ascii="Arial" w:hAnsi="Arial" w:cs="Arial"/>
          <w:color w:val="000000" w:themeColor="text1"/>
          <w:sz w:val="22"/>
          <w:szCs w:val="22"/>
        </w:rPr>
        <w:t>Clubcard strategy</w:t>
      </w:r>
      <w:r w:rsidR="00FD7F5D" w:rsidRPr="00A445F4">
        <w:rPr>
          <w:rFonts w:ascii="Arial" w:hAnsi="Arial" w:cs="Arial"/>
          <w:color w:val="000000" w:themeColor="text1"/>
          <w:sz w:val="22"/>
          <w:szCs w:val="22"/>
        </w:rPr>
        <w:t xml:space="preserve"> </w:t>
      </w:r>
      <w:r w:rsidR="00CA756A" w:rsidRPr="00A445F4">
        <w:rPr>
          <w:rFonts w:ascii="Arial" w:hAnsi="Arial" w:cs="Arial"/>
          <w:color w:val="000000" w:themeColor="text1"/>
          <w:sz w:val="22"/>
          <w:szCs w:val="22"/>
        </w:rPr>
        <w:t>influences</w:t>
      </w:r>
      <w:r w:rsidR="008531F5" w:rsidRPr="00A445F4">
        <w:rPr>
          <w:rFonts w:ascii="Arial" w:hAnsi="Arial" w:cs="Arial"/>
          <w:color w:val="000000" w:themeColor="text1"/>
          <w:sz w:val="22"/>
          <w:szCs w:val="22"/>
        </w:rPr>
        <w:t xml:space="preserve"> the </w:t>
      </w:r>
      <w:r w:rsidR="00CA756A" w:rsidRPr="00A445F4">
        <w:rPr>
          <w:rFonts w:ascii="Arial" w:hAnsi="Arial" w:cs="Arial"/>
          <w:color w:val="000000" w:themeColor="text1"/>
          <w:sz w:val="22"/>
          <w:szCs w:val="22"/>
        </w:rPr>
        <w:t>company's</w:t>
      </w:r>
      <w:r w:rsidR="008531F5" w:rsidRPr="00A445F4">
        <w:rPr>
          <w:rFonts w:ascii="Arial" w:hAnsi="Arial" w:cs="Arial"/>
          <w:color w:val="000000" w:themeColor="text1"/>
          <w:sz w:val="22"/>
          <w:szCs w:val="22"/>
        </w:rPr>
        <w:t xml:space="preserve"> decision due to the data collected”</w:t>
      </w:r>
      <w:r w:rsidR="00CA756A" w:rsidRPr="00A445F4">
        <w:rPr>
          <w:rFonts w:ascii="Arial" w:hAnsi="Arial" w:cs="Arial"/>
          <w:color w:val="000000" w:themeColor="text1"/>
          <w:sz w:val="22"/>
          <w:szCs w:val="22"/>
        </w:rPr>
        <w:t xml:space="preserve"> (Parashar, A., 2026). </w:t>
      </w:r>
    </w:p>
    <w:p w14:paraId="763709DB" w14:textId="3F668FF6" w:rsidR="00EE4F4C" w:rsidRPr="00A445F4" w:rsidRDefault="006D739F" w:rsidP="00D873DB">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As CEO Ken Murphy stated, </w:t>
      </w:r>
      <w:r w:rsidR="00BC1A79" w:rsidRPr="00A445F4">
        <w:rPr>
          <w:rFonts w:ascii="Arial" w:hAnsi="Arial" w:cs="Arial"/>
          <w:color w:val="000000" w:themeColor="text1"/>
          <w:sz w:val="22"/>
          <w:szCs w:val="22"/>
        </w:rPr>
        <w:t>“</w:t>
      </w:r>
      <w:r w:rsidRPr="00A445F4">
        <w:rPr>
          <w:rFonts w:ascii="Arial" w:hAnsi="Arial" w:cs="Arial"/>
          <w:color w:val="000000" w:themeColor="text1"/>
          <w:sz w:val="22"/>
          <w:szCs w:val="22"/>
        </w:rPr>
        <w:t>customers are shopping more at Tesco because of unbeatable value, quality, and service</w:t>
      </w:r>
      <w:r w:rsidR="00BC1A79" w:rsidRPr="00A445F4">
        <w:rPr>
          <w:rFonts w:ascii="Arial" w:hAnsi="Arial" w:cs="Arial"/>
          <w:color w:val="000000" w:themeColor="text1"/>
          <w:sz w:val="22"/>
          <w:szCs w:val="22"/>
        </w:rPr>
        <w:t>”</w:t>
      </w:r>
      <w:r w:rsidRPr="00A445F4">
        <w:rPr>
          <w:rFonts w:ascii="Arial" w:hAnsi="Arial" w:cs="Arial"/>
          <w:color w:val="000000" w:themeColor="text1"/>
          <w:sz w:val="22"/>
          <w:szCs w:val="22"/>
        </w:rPr>
        <w:t>. The challenge is to maintain this loyalty while managing the rising costs of providing such value. Tesco's current market share of 28.2%, its highest in over a decade, suggests the strategy is working despite intense competition. The company has gained market share for 28 consecutive four-week periods, demonstrating consistent momentum.</w:t>
      </w:r>
    </w:p>
    <w:p w14:paraId="4AD78944" w14:textId="74B8B133" w:rsidR="00EE4F4C" w:rsidRPr="00A445F4" w:rsidRDefault="00EE4F4C" w:rsidP="009D6BFF">
      <w:pPr>
        <w:pStyle w:val="Heading2"/>
        <w:rPr>
          <w:color w:val="000000" w:themeColor="text1"/>
        </w:rPr>
      </w:pPr>
      <w:bookmarkStart w:id="9" w:name="_Toc234841443"/>
      <w:r w:rsidRPr="00A445F4">
        <w:rPr>
          <w:color w:val="000000" w:themeColor="text1"/>
        </w:rPr>
        <w:t>Part 3.5 Identifying the Research Gap:</w:t>
      </w:r>
      <w:bookmarkEnd w:id="9"/>
    </w:p>
    <w:p w14:paraId="2EA17C03" w14:textId="77777777" w:rsidR="008B5901" w:rsidRPr="00A445F4" w:rsidRDefault="008B5901" w:rsidP="009D6BF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While existing literature has examined the individual challenges of rising costs and changing consumer loyalty, there is a notable gap in research that specifically analyses the intersection of these two phenomena in the UK supermarket sector post-2025. Many studies have focused on either cost management or customer retention strategies separately. However, few have explored how these challenges interact and amplify each other, creating a more complex business problem. </w:t>
      </w:r>
    </w:p>
    <w:p w14:paraId="7ED7D317" w14:textId="2CFE30C3" w:rsidR="009D6BFF" w:rsidRPr="00A445F4" w:rsidRDefault="008B5901" w:rsidP="009D6BF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For instance, the pressure to reduce costs may lead to decisions that affect customer experience, such as reduced store staffing or simplified product ranges, which in turn can erode loyalty. Conversely, the pursuit of customer loyalty through personalised pricing and promotions requires significant investment in technology and data analytics, adding to cost pressures. Understanding this relationship is critical for developing sustainable business strategies.</w:t>
      </w:r>
    </w:p>
    <w:p w14:paraId="6A4E1EE8" w14:textId="50AD0553" w:rsidR="00FC1F47" w:rsidRPr="00A445F4" w:rsidRDefault="00FC1F47" w:rsidP="009D6BF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This study aims to fill this gap by using Tesco as a case study to explore the direct impact of cost pressures on loyalty and retention. By understanding the relationship between these factors, the research will develop a strategic framework for managing them effectively, providing practical insights for both academics and industry practitioners.</w:t>
      </w:r>
      <w:r w:rsidR="000B3BC3" w:rsidRPr="00A445F4">
        <w:rPr>
          <w:rFonts w:ascii="Arial" w:hAnsi="Arial" w:cs="Arial"/>
          <w:color w:val="000000" w:themeColor="text1"/>
          <w:sz w:val="22"/>
          <w:szCs w:val="22"/>
        </w:rPr>
        <w:t xml:space="preserve"> </w:t>
      </w:r>
      <w:r w:rsidR="005571DF" w:rsidRPr="00A445F4">
        <w:rPr>
          <w:rFonts w:ascii="Arial" w:hAnsi="Arial" w:cs="Arial"/>
          <w:color w:val="000000" w:themeColor="text1"/>
          <w:sz w:val="22"/>
          <w:szCs w:val="22"/>
        </w:rPr>
        <w:t>“</w:t>
      </w:r>
      <w:r w:rsidR="00862ED7" w:rsidRPr="00A445F4">
        <w:rPr>
          <w:rFonts w:ascii="Arial" w:hAnsi="Arial" w:cs="Arial"/>
          <w:color w:val="000000" w:themeColor="text1"/>
          <w:sz w:val="22"/>
          <w:szCs w:val="22"/>
        </w:rPr>
        <w:t>Identify</w:t>
      </w:r>
      <w:r w:rsidR="005571DF" w:rsidRPr="00A445F4">
        <w:rPr>
          <w:rFonts w:ascii="Arial" w:hAnsi="Arial" w:cs="Arial"/>
          <w:color w:val="000000" w:themeColor="text1"/>
          <w:sz w:val="22"/>
          <w:szCs w:val="22"/>
        </w:rPr>
        <w:t xml:space="preserve"> the research gap</w:t>
      </w:r>
      <w:r w:rsidR="00862ED7" w:rsidRPr="00A445F4">
        <w:rPr>
          <w:rFonts w:ascii="Arial" w:hAnsi="Arial" w:cs="Arial"/>
          <w:color w:val="000000" w:themeColor="text1"/>
          <w:sz w:val="22"/>
          <w:szCs w:val="22"/>
        </w:rPr>
        <w:t>.</w:t>
      </w:r>
      <w:r w:rsidR="005571DF" w:rsidRPr="00A445F4">
        <w:rPr>
          <w:rFonts w:ascii="Arial" w:hAnsi="Arial" w:cs="Arial"/>
          <w:color w:val="000000" w:themeColor="text1"/>
          <w:sz w:val="22"/>
          <w:szCs w:val="22"/>
        </w:rPr>
        <w:t xml:space="preserve"> Tesco </w:t>
      </w:r>
      <w:r w:rsidR="00862ED7" w:rsidRPr="00A445F4">
        <w:rPr>
          <w:rFonts w:ascii="Arial" w:hAnsi="Arial" w:cs="Arial"/>
          <w:color w:val="000000" w:themeColor="text1"/>
          <w:sz w:val="22"/>
          <w:szCs w:val="22"/>
        </w:rPr>
        <w:t>will analyse data to better understand the current market” (</w:t>
      </w:r>
      <w:r w:rsidR="005A5610" w:rsidRPr="00A445F4">
        <w:rPr>
          <w:rFonts w:ascii="Arial" w:hAnsi="Arial" w:cs="Arial"/>
          <w:color w:val="000000" w:themeColor="text1"/>
          <w:sz w:val="22"/>
          <w:szCs w:val="22"/>
        </w:rPr>
        <w:t>The Commerce Team Global, 2026).</w:t>
      </w:r>
    </w:p>
    <w:p w14:paraId="047B043F" w14:textId="77777777" w:rsidR="00FC1F47" w:rsidRPr="00A445F4" w:rsidRDefault="00FC1F47" w:rsidP="009D6BFF">
      <w:pPr>
        <w:spacing w:line="360" w:lineRule="auto"/>
        <w:rPr>
          <w:rFonts w:ascii="Arial" w:hAnsi="Arial" w:cs="Arial"/>
          <w:color w:val="000000" w:themeColor="text1"/>
          <w:sz w:val="22"/>
          <w:szCs w:val="22"/>
        </w:rPr>
      </w:pPr>
    </w:p>
    <w:p w14:paraId="574CFC00" w14:textId="4E5621C9" w:rsidR="00FC1F47" w:rsidRPr="00A445F4" w:rsidRDefault="00FC1F47" w:rsidP="00D95F71">
      <w:pPr>
        <w:pStyle w:val="Heading1"/>
        <w:rPr>
          <w:color w:val="000000" w:themeColor="text1"/>
        </w:rPr>
      </w:pPr>
      <w:bookmarkStart w:id="10" w:name="_Toc234841444"/>
      <w:r w:rsidRPr="00A445F4">
        <w:rPr>
          <w:color w:val="000000" w:themeColor="text1"/>
        </w:rPr>
        <w:lastRenderedPageBreak/>
        <w:t>Part 4</w:t>
      </w:r>
      <w:r w:rsidR="00D95F71" w:rsidRPr="00A445F4">
        <w:rPr>
          <w:color w:val="000000" w:themeColor="text1"/>
        </w:rPr>
        <w:t>:</w:t>
      </w:r>
      <w:r w:rsidRPr="00A445F4">
        <w:rPr>
          <w:color w:val="000000" w:themeColor="text1"/>
        </w:rPr>
        <w:t xml:space="preserve"> Research Methodology and Design:</w:t>
      </w:r>
      <w:bookmarkEnd w:id="10"/>
    </w:p>
    <w:p w14:paraId="6AA9993C" w14:textId="31D44575" w:rsidR="00EA03AE" w:rsidRPr="00A445F4" w:rsidRDefault="00D95F71" w:rsidP="00CF1CC7">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This section outlines the proposed methodology for investigating the research questions. The approach aligns with the research design principles covered in the course, which emphasise the importance of choosing appropriate methodologies based on the research question and context. </w:t>
      </w:r>
      <w:r w:rsidR="000E317A" w:rsidRPr="00A445F4">
        <w:rPr>
          <w:rFonts w:ascii="Arial" w:hAnsi="Arial" w:cs="Arial"/>
          <w:color w:val="000000" w:themeColor="text1"/>
          <w:sz w:val="22"/>
          <w:szCs w:val="22"/>
        </w:rPr>
        <w:t>“</w:t>
      </w:r>
      <w:r w:rsidR="008417ED" w:rsidRPr="00A445F4">
        <w:rPr>
          <w:rFonts w:ascii="Arial" w:hAnsi="Arial" w:cs="Arial"/>
          <w:color w:val="000000" w:themeColor="text1"/>
          <w:sz w:val="22"/>
          <w:szCs w:val="22"/>
        </w:rPr>
        <w:t>While research design establishes the strategic plan for an organisational inquiry, research methodology provides the operational tools required to systematically gather and evaluate data</w:t>
      </w:r>
      <w:r w:rsidR="008D7599" w:rsidRPr="00A445F4">
        <w:rPr>
          <w:rFonts w:ascii="Arial" w:hAnsi="Arial" w:cs="Arial"/>
          <w:color w:val="000000" w:themeColor="text1"/>
          <w:sz w:val="22"/>
          <w:szCs w:val="22"/>
        </w:rPr>
        <w:t>”</w:t>
      </w:r>
      <w:r w:rsidR="000E317A" w:rsidRPr="00A445F4">
        <w:rPr>
          <w:rFonts w:ascii="Arial" w:hAnsi="Arial" w:cs="Arial"/>
          <w:color w:val="000000" w:themeColor="text1"/>
          <w:sz w:val="22"/>
          <w:szCs w:val="22"/>
        </w:rPr>
        <w:t xml:space="preserve"> </w:t>
      </w:r>
      <w:r w:rsidR="00F13E87" w:rsidRPr="00A445F4">
        <w:rPr>
          <w:rFonts w:ascii="Arial" w:hAnsi="Arial" w:cs="Arial"/>
          <w:color w:val="000000" w:themeColor="text1"/>
          <w:sz w:val="22"/>
          <w:szCs w:val="22"/>
        </w:rPr>
        <w:t xml:space="preserve">(Gamage, A., 2025). </w:t>
      </w:r>
    </w:p>
    <w:p w14:paraId="18C8E00A" w14:textId="4CBD6387" w:rsidR="00EA03AE" w:rsidRPr="00A445F4" w:rsidRDefault="00BA319F" w:rsidP="004241CD">
      <w:pPr>
        <w:pStyle w:val="Heading1"/>
        <w:rPr>
          <w:color w:val="000000" w:themeColor="text1"/>
        </w:rPr>
      </w:pPr>
      <w:bookmarkStart w:id="11" w:name="_Toc234841445"/>
      <w:r w:rsidRPr="00A445F4">
        <w:rPr>
          <w:color w:val="000000" w:themeColor="text1"/>
        </w:rPr>
        <w:t xml:space="preserve">Part </w:t>
      </w:r>
      <w:r w:rsidR="00A445F4" w:rsidRPr="00A445F4">
        <w:rPr>
          <w:color w:val="000000" w:themeColor="text1"/>
        </w:rPr>
        <w:t>5</w:t>
      </w:r>
      <w:r w:rsidRPr="00A445F4">
        <w:rPr>
          <w:color w:val="000000" w:themeColor="text1"/>
        </w:rPr>
        <w:t>:</w:t>
      </w:r>
      <w:r w:rsidR="004241CD" w:rsidRPr="00A445F4">
        <w:rPr>
          <w:color w:val="000000" w:themeColor="text1"/>
        </w:rPr>
        <w:t xml:space="preserve"> Business Relevance and Practical Implication</w:t>
      </w:r>
      <w:r w:rsidRPr="00A445F4">
        <w:rPr>
          <w:color w:val="000000" w:themeColor="text1"/>
        </w:rPr>
        <w:t>:</w:t>
      </w:r>
      <w:bookmarkEnd w:id="11"/>
    </w:p>
    <w:p w14:paraId="66FA75CA" w14:textId="309B4F8E" w:rsidR="00BA319F" w:rsidRPr="00A445F4" w:rsidRDefault="00345276" w:rsidP="00BA319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 xml:space="preserve">This proposed research holds significant practical value for Tesco and the wider UK supermarket industry. </w:t>
      </w:r>
      <w:r w:rsidR="00565BD4" w:rsidRPr="00A445F4">
        <w:rPr>
          <w:rFonts w:ascii="Arial" w:hAnsi="Arial" w:cs="Arial"/>
          <w:color w:val="000000" w:themeColor="text1"/>
          <w:sz w:val="22"/>
          <w:szCs w:val="22"/>
        </w:rPr>
        <w:t>The findings will provide Tesco's leadership with evidence-based insights to inform strategic decisions. By understanding the precise drivers of both cost escalation and customer churn, the company can make more targeted investments. For instance, the research could help determine whether the greatest return on investment lies in supply chain automation to reduce costs or in personalised loyalty schemes to retain customers.</w:t>
      </w:r>
    </w:p>
    <w:p w14:paraId="15C465BF" w14:textId="7657581A" w:rsidR="00696581" w:rsidRPr="00A445F4" w:rsidRDefault="00AD1964" w:rsidP="00BA319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A real-world scenario illustrates this point. Tesco's decision to raise full-year operating profit guidance to £2.9-3.1 billion came despite recognising that competitive intensity remains at record levels and cost headwinds such as higher taxes and operating inflation pose challenges for the second half. Understanding the relationship between these cost pressures and customer loyalty would enable more precise resource allocation. The company's current market share of 28.2%, its highest in over a decade, demonstrates that the strategy of investing in value while managing costs through the Save to Invest programme is working.</w:t>
      </w:r>
      <w:r w:rsidR="006223F7" w:rsidRPr="00A445F4">
        <w:rPr>
          <w:rFonts w:ascii="Arial" w:hAnsi="Arial" w:cs="Arial"/>
          <w:color w:val="000000" w:themeColor="text1"/>
          <w:sz w:val="22"/>
          <w:szCs w:val="22"/>
        </w:rPr>
        <w:t xml:space="preserve"> “</w:t>
      </w:r>
      <w:r w:rsidR="008F47E8" w:rsidRPr="00A445F4">
        <w:rPr>
          <w:rFonts w:ascii="Arial" w:hAnsi="Arial" w:cs="Arial"/>
          <w:color w:val="000000" w:themeColor="text1"/>
          <w:sz w:val="22"/>
          <w:szCs w:val="22"/>
        </w:rPr>
        <w:t>Tesco's</w:t>
      </w:r>
      <w:r w:rsidR="006223F7" w:rsidRPr="00A445F4">
        <w:rPr>
          <w:rFonts w:ascii="Arial" w:hAnsi="Arial" w:cs="Arial"/>
          <w:color w:val="000000" w:themeColor="text1"/>
          <w:sz w:val="22"/>
          <w:szCs w:val="22"/>
        </w:rPr>
        <w:t xml:space="preserve"> </w:t>
      </w:r>
      <w:r w:rsidR="004657CF" w:rsidRPr="00A445F4">
        <w:rPr>
          <w:rFonts w:ascii="Arial" w:hAnsi="Arial" w:cs="Arial"/>
          <w:color w:val="000000" w:themeColor="text1"/>
          <w:sz w:val="22"/>
          <w:szCs w:val="22"/>
        </w:rPr>
        <w:t xml:space="preserve">strategic decision </w:t>
      </w:r>
      <w:r w:rsidR="008F47E8" w:rsidRPr="00A445F4">
        <w:rPr>
          <w:rFonts w:ascii="Arial" w:hAnsi="Arial" w:cs="Arial"/>
          <w:color w:val="000000" w:themeColor="text1"/>
          <w:sz w:val="22"/>
          <w:szCs w:val="22"/>
        </w:rPr>
        <w:t xml:space="preserve">framework </w:t>
      </w:r>
      <w:r w:rsidR="0059156F" w:rsidRPr="00A445F4">
        <w:rPr>
          <w:rFonts w:ascii="Arial" w:hAnsi="Arial" w:cs="Arial"/>
          <w:color w:val="000000" w:themeColor="text1"/>
          <w:sz w:val="22"/>
          <w:szCs w:val="22"/>
        </w:rPr>
        <w:t xml:space="preserve">will </w:t>
      </w:r>
      <w:r w:rsidR="008F47E8" w:rsidRPr="00A445F4">
        <w:rPr>
          <w:rFonts w:ascii="Arial" w:hAnsi="Arial" w:cs="Arial"/>
          <w:color w:val="000000" w:themeColor="text1"/>
          <w:sz w:val="22"/>
          <w:szCs w:val="22"/>
        </w:rPr>
        <w:t>ensure</w:t>
      </w:r>
      <w:r w:rsidR="0059156F" w:rsidRPr="00A445F4">
        <w:rPr>
          <w:rFonts w:ascii="Arial" w:hAnsi="Arial" w:cs="Arial"/>
          <w:color w:val="000000" w:themeColor="text1"/>
          <w:sz w:val="22"/>
          <w:szCs w:val="22"/>
        </w:rPr>
        <w:t xml:space="preserve"> that the decisions are carefully </w:t>
      </w:r>
      <w:r w:rsidR="008F47E8" w:rsidRPr="00A445F4">
        <w:rPr>
          <w:rFonts w:ascii="Arial" w:hAnsi="Arial" w:cs="Arial"/>
          <w:color w:val="000000" w:themeColor="text1"/>
          <w:sz w:val="22"/>
          <w:szCs w:val="22"/>
        </w:rPr>
        <w:t>planned</w:t>
      </w:r>
      <w:r w:rsidR="0059156F" w:rsidRPr="00A445F4">
        <w:rPr>
          <w:rFonts w:ascii="Arial" w:hAnsi="Arial" w:cs="Arial"/>
          <w:color w:val="000000" w:themeColor="text1"/>
          <w:sz w:val="22"/>
          <w:szCs w:val="22"/>
        </w:rPr>
        <w:t xml:space="preserve"> before </w:t>
      </w:r>
      <w:r w:rsidR="008F47E8" w:rsidRPr="00A445F4">
        <w:rPr>
          <w:rFonts w:ascii="Arial" w:hAnsi="Arial" w:cs="Arial"/>
          <w:color w:val="000000" w:themeColor="text1"/>
          <w:sz w:val="22"/>
          <w:szCs w:val="22"/>
        </w:rPr>
        <w:t xml:space="preserve">a choice is made” (López-Solís, O., Luzuriaga-Jaramillo, A., Bedoya-Jara, M., Naranjo-Santamaría, J., Bonilla-Jurado, D. and Acosta-Vargas, P., 2025). </w:t>
      </w:r>
    </w:p>
    <w:p w14:paraId="7B44B434" w14:textId="77777777" w:rsidR="00A445F4" w:rsidRPr="00A445F4" w:rsidRDefault="00A445F4" w:rsidP="00BA319F">
      <w:pPr>
        <w:spacing w:line="360" w:lineRule="auto"/>
        <w:rPr>
          <w:rFonts w:ascii="Arial" w:hAnsi="Arial" w:cs="Arial"/>
          <w:color w:val="000000" w:themeColor="text1"/>
          <w:sz w:val="22"/>
          <w:szCs w:val="22"/>
        </w:rPr>
      </w:pPr>
    </w:p>
    <w:p w14:paraId="5755E94A" w14:textId="77777777" w:rsidR="00A445F4" w:rsidRPr="00A445F4" w:rsidRDefault="00A445F4" w:rsidP="00BA319F">
      <w:pPr>
        <w:spacing w:line="360" w:lineRule="auto"/>
        <w:rPr>
          <w:rFonts w:ascii="Arial" w:hAnsi="Arial" w:cs="Arial"/>
          <w:color w:val="000000" w:themeColor="text1"/>
          <w:sz w:val="22"/>
          <w:szCs w:val="22"/>
        </w:rPr>
      </w:pPr>
    </w:p>
    <w:p w14:paraId="7B4D2085" w14:textId="77777777" w:rsidR="00A445F4" w:rsidRPr="00A445F4" w:rsidRDefault="00A445F4" w:rsidP="00BA319F">
      <w:pPr>
        <w:spacing w:line="360" w:lineRule="auto"/>
        <w:rPr>
          <w:rFonts w:ascii="Arial" w:hAnsi="Arial" w:cs="Arial"/>
          <w:color w:val="000000" w:themeColor="text1"/>
          <w:sz w:val="22"/>
          <w:szCs w:val="22"/>
        </w:rPr>
      </w:pPr>
    </w:p>
    <w:p w14:paraId="7B1E6356" w14:textId="77777777" w:rsidR="00A445F4" w:rsidRPr="00A445F4" w:rsidRDefault="00A445F4" w:rsidP="00BA319F">
      <w:pPr>
        <w:spacing w:line="360" w:lineRule="auto"/>
        <w:rPr>
          <w:rFonts w:ascii="Arial" w:hAnsi="Arial" w:cs="Arial"/>
          <w:color w:val="000000" w:themeColor="text1"/>
          <w:sz w:val="22"/>
          <w:szCs w:val="22"/>
        </w:rPr>
      </w:pPr>
    </w:p>
    <w:p w14:paraId="59A8E048" w14:textId="07EEE6E1" w:rsidR="00696581" w:rsidRPr="00A445F4" w:rsidRDefault="00A445F4" w:rsidP="002A579F">
      <w:pPr>
        <w:pStyle w:val="Heading1"/>
        <w:rPr>
          <w:color w:val="000000" w:themeColor="text1"/>
        </w:rPr>
      </w:pPr>
      <w:bookmarkStart w:id="12" w:name="_Toc234841446"/>
      <w:r w:rsidRPr="00A445F4">
        <w:rPr>
          <w:color w:val="000000" w:themeColor="text1"/>
        </w:rPr>
        <w:lastRenderedPageBreak/>
        <w:t>Part 6</w:t>
      </w:r>
      <w:r w:rsidR="002A579F" w:rsidRPr="00A445F4">
        <w:rPr>
          <w:color w:val="000000" w:themeColor="text1"/>
        </w:rPr>
        <w:t>: Topic Conclusion:</w:t>
      </w:r>
      <w:bookmarkEnd w:id="12"/>
    </w:p>
    <w:p w14:paraId="67E2053B" w14:textId="633B6784" w:rsidR="002A579F" w:rsidRPr="00A445F4" w:rsidRDefault="00E02F47" w:rsidP="002A579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The UK supermarket sector in 2026 is at a critical juncture, facing a dual challenge of rising operational costs and a fundamental shift in customer loyalty. Tesco's performance, with 5.1% sales growth but only 1.6% profit growth and net debt of £9,884 million, illustrates the tension between top-line success and bottom-line pressure. The company's 28.2% market share, its highest in over a decade, demonstrates its continued dominance, but competitors like Lidl with 8.8% sales growth and record 8.6% share and Ocado with 10.2% sales growth are gaining ground. The research has applied three key frameworks to understand Tesco's position. Porter's Five Forces has been used for competitive analysis, the Resource-Based View for internal capability assessment, and the SCOR Model for supply chain evaluation. These frameworks align with the research design principles covered in the course, demonstrating the importance of systematic analysis in addressing complex business problems.</w:t>
      </w:r>
    </w:p>
    <w:p w14:paraId="58A4EF6D" w14:textId="65874118" w:rsidR="00255CE2" w:rsidRPr="00A445F4" w:rsidRDefault="00255CE2" w:rsidP="002A579F">
      <w:pPr>
        <w:spacing w:line="360" w:lineRule="auto"/>
        <w:rPr>
          <w:rFonts w:ascii="Arial" w:hAnsi="Arial" w:cs="Arial"/>
          <w:color w:val="000000" w:themeColor="text1"/>
          <w:sz w:val="22"/>
          <w:szCs w:val="22"/>
        </w:rPr>
      </w:pPr>
      <w:r w:rsidRPr="00A445F4">
        <w:rPr>
          <w:rFonts w:ascii="Arial" w:hAnsi="Arial" w:cs="Arial"/>
          <w:color w:val="000000" w:themeColor="text1"/>
          <w:sz w:val="22"/>
          <w:szCs w:val="22"/>
        </w:rPr>
        <w:t>The proposed methodology follows the six-stage research process model covered in the course materials: clarifying the research question, proposing research, designing the research project, collecting data, analysing data, and reporting results. The mixed-methods approach, combining secondary data analysis with qualitative interviews, ensures a comprehensive understanding of the challenges facing Tesco.</w:t>
      </w:r>
    </w:p>
    <w:p w14:paraId="10BBECAB" w14:textId="77777777" w:rsidR="00255CE2" w:rsidRPr="00A445F4" w:rsidRDefault="00255CE2" w:rsidP="002A579F">
      <w:pPr>
        <w:spacing w:line="360" w:lineRule="auto"/>
        <w:rPr>
          <w:rFonts w:ascii="Arial" w:hAnsi="Arial" w:cs="Arial"/>
          <w:color w:val="000000" w:themeColor="text1"/>
          <w:sz w:val="22"/>
          <w:szCs w:val="22"/>
        </w:rPr>
      </w:pPr>
    </w:p>
    <w:p w14:paraId="4BE0EBBE" w14:textId="77777777" w:rsidR="00730933" w:rsidRPr="00A445F4" w:rsidRDefault="00730933" w:rsidP="002A579F">
      <w:pPr>
        <w:spacing w:line="360" w:lineRule="auto"/>
        <w:rPr>
          <w:rFonts w:ascii="Arial" w:hAnsi="Arial" w:cs="Arial"/>
          <w:color w:val="000000" w:themeColor="text1"/>
          <w:sz w:val="22"/>
          <w:szCs w:val="22"/>
        </w:rPr>
      </w:pPr>
    </w:p>
    <w:p w14:paraId="225072DB" w14:textId="77777777" w:rsidR="00F13E87" w:rsidRPr="00A445F4" w:rsidRDefault="00F13E87" w:rsidP="002A579F">
      <w:pPr>
        <w:spacing w:line="360" w:lineRule="auto"/>
        <w:rPr>
          <w:rFonts w:ascii="Arial" w:hAnsi="Arial" w:cs="Arial"/>
          <w:color w:val="000000" w:themeColor="text1"/>
          <w:sz w:val="22"/>
          <w:szCs w:val="22"/>
        </w:rPr>
      </w:pPr>
    </w:p>
    <w:p w14:paraId="7808C623" w14:textId="77777777" w:rsidR="003A1663" w:rsidRPr="00A445F4" w:rsidRDefault="003A1663" w:rsidP="002A579F">
      <w:pPr>
        <w:spacing w:line="360" w:lineRule="auto"/>
        <w:rPr>
          <w:rFonts w:ascii="Arial" w:hAnsi="Arial" w:cs="Arial"/>
          <w:color w:val="000000" w:themeColor="text1"/>
          <w:sz w:val="22"/>
          <w:szCs w:val="22"/>
        </w:rPr>
      </w:pPr>
    </w:p>
    <w:p w14:paraId="4739C00B" w14:textId="77777777" w:rsidR="00A445F4" w:rsidRPr="00A445F4" w:rsidRDefault="00A445F4" w:rsidP="002A579F">
      <w:pPr>
        <w:spacing w:line="360" w:lineRule="auto"/>
        <w:rPr>
          <w:rFonts w:ascii="Arial" w:hAnsi="Arial" w:cs="Arial"/>
          <w:color w:val="000000" w:themeColor="text1"/>
          <w:sz w:val="22"/>
          <w:szCs w:val="22"/>
        </w:rPr>
      </w:pPr>
    </w:p>
    <w:p w14:paraId="23040A49" w14:textId="77777777" w:rsidR="00A445F4" w:rsidRPr="00A445F4" w:rsidRDefault="00A445F4" w:rsidP="002A579F">
      <w:pPr>
        <w:spacing w:line="360" w:lineRule="auto"/>
        <w:rPr>
          <w:rFonts w:ascii="Arial" w:hAnsi="Arial" w:cs="Arial"/>
          <w:color w:val="000000" w:themeColor="text1"/>
          <w:sz w:val="22"/>
          <w:szCs w:val="22"/>
        </w:rPr>
      </w:pPr>
    </w:p>
    <w:p w14:paraId="20BEBBB2" w14:textId="77777777" w:rsidR="00A445F4" w:rsidRPr="00A445F4" w:rsidRDefault="00A445F4" w:rsidP="002A579F">
      <w:pPr>
        <w:spacing w:line="360" w:lineRule="auto"/>
        <w:rPr>
          <w:rFonts w:ascii="Arial" w:hAnsi="Arial" w:cs="Arial"/>
          <w:color w:val="000000" w:themeColor="text1"/>
          <w:sz w:val="22"/>
          <w:szCs w:val="22"/>
        </w:rPr>
      </w:pPr>
    </w:p>
    <w:p w14:paraId="5554A703" w14:textId="77777777" w:rsidR="00A445F4" w:rsidRPr="00A445F4" w:rsidRDefault="00A445F4" w:rsidP="002A579F">
      <w:pPr>
        <w:spacing w:line="360" w:lineRule="auto"/>
        <w:rPr>
          <w:rFonts w:ascii="Arial" w:hAnsi="Arial" w:cs="Arial"/>
          <w:color w:val="000000" w:themeColor="text1"/>
          <w:sz w:val="22"/>
          <w:szCs w:val="22"/>
        </w:rPr>
      </w:pPr>
    </w:p>
    <w:p w14:paraId="130C3A6B" w14:textId="77777777" w:rsidR="00A445F4" w:rsidRPr="00A445F4" w:rsidRDefault="00A445F4" w:rsidP="002A579F">
      <w:pPr>
        <w:spacing w:line="360" w:lineRule="auto"/>
        <w:rPr>
          <w:rFonts w:ascii="Arial" w:hAnsi="Arial" w:cs="Arial"/>
          <w:color w:val="000000" w:themeColor="text1"/>
          <w:sz w:val="22"/>
          <w:szCs w:val="22"/>
        </w:rPr>
      </w:pPr>
    </w:p>
    <w:p w14:paraId="70122B91" w14:textId="77777777" w:rsidR="00A445F4" w:rsidRPr="00A445F4" w:rsidRDefault="00A445F4" w:rsidP="002A579F">
      <w:pPr>
        <w:spacing w:line="360" w:lineRule="auto"/>
        <w:rPr>
          <w:rFonts w:ascii="Arial" w:hAnsi="Arial" w:cs="Arial"/>
          <w:color w:val="000000" w:themeColor="text1"/>
          <w:sz w:val="22"/>
          <w:szCs w:val="22"/>
        </w:rPr>
      </w:pPr>
    </w:p>
    <w:p w14:paraId="309B005E" w14:textId="426717AF" w:rsidR="00D64548" w:rsidRPr="00A445F4" w:rsidRDefault="004D343D" w:rsidP="00987C2A">
      <w:pPr>
        <w:pStyle w:val="Heading1"/>
        <w:rPr>
          <w:color w:val="000000" w:themeColor="text1"/>
        </w:rPr>
      </w:pPr>
      <w:bookmarkStart w:id="13" w:name="_Toc234841447"/>
      <w:r w:rsidRPr="00A445F4">
        <w:rPr>
          <w:color w:val="000000" w:themeColor="text1"/>
        </w:rPr>
        <w:lastRenderedPageBreak/>
        <w:t>Part 8: Reference List:</w:t>
      </w:r>
      <w:bookmarkEnd w:id="13"/>
    </w:p>
    <w:p w14:paraId="4F9DD2BA" w14:textId="0A4D25E4" w:rsidR="008E52E3" w:rsidRPr="00A445F4" w:rsidRDefault="008E52E3" w:rsidP="00987C2A">
      <w:pPr>
        <w:rPr>
          <w:rFonts w:ascii="Arial" w:hAnsi="Arial" w:cs="Arial"/>
          <w:color w:val="000000" w:themeColor="text1"/>
          <w:sz w:val="20"/>
          <w:szCs w:val="20"/>
        </w:rPr>
      </w:pPr>
      <w:r w:rsidRPr="00A445F4">
        <w:rPr>
          <w:rFonts w:ascii="Arial" w:hAnsi="Arial" w:cs="Arial"/>
          <w:color w:val="000000" w:themeColor="text1"/>
          <w:sz w:val="20"/>
          <w:szCs w:val="20"/>
        </w:rPr>
        <w:t>Ahirrao, Y.S., Ansari, I., Azim, K.S., Bhujel, K. and Panchal, S.S., 2025. AI-powered financial strategy: Transforming business decision-making through predictive analytics. </w:t>
      </w:r>
      <w:r w:rsidRPr="00A445F4">
        <w:rPr>
          <w:rFonts w:ascii="Arial" w:hAnsi="Arial" w:cs="Arial"/>
          <w:i/>
          <w:iCs/>
          <w:color w:val="000000" w:themeColor="text1"/>
          <w:sz w:val="20"/>
          <w:szCs w:val="20"/>
        </w:rPr>
        <w:t>The American Journal of ET</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7</w:t>
      </w:r>
      <w:r w:rsidRPr="00A445F4">
        <w:rPr>
          <w:rFonts w:ascii="Arial" w:hAnsi="Arial" w:cs="Arial"/>
          <w:color w:val="000000" w:themeColor="text1"/>
          <w:sz w:val="20"/>
          <w:szCs w:val="20"/>
        </w:rPr>
        <w:t>(09), pp.126-151.</w:t>
      </w:r>
    </w:p>
    <w:p w14:paraId="161B8272" w14:textId="49F4CE5E" w:rsidR="00F430DE" w:rsidRPr="00A445F4" w:rsidRDefault="00F430DE" w:rsidP="00987C2A">
      <w:pPr>
        <w:rPr>
          <w:rFonts w:ascii="Arial" w:hAnsi="Arial" w:cs="Arial"/>
          <w:color w:val="000000" w:themeColor="text1"/>
          <w:sz w:val="20"/>
          <w:szCs w:val="20"/>
        </w:rPr>
      </w:pPr>
      <w:r w:rsidRPr="00A445F4">
        <w:rPr>
          <w:rFonts w:ascii="Arial" w:hAnsi="Arial" w:cs="Arial"/>
          <w:color w:val="000000" w:themeColor="text1"/>
          <w:sz w:val="20"/>
          <w:szCs w:val="20"/>
        </w:rPr>
        <w:t>Alam, S.S., Haq, M.R., Kokash, H.A., Ahmed, S. and Ahsan, M. eds., (2025). </w:t>
      </w:r>
      <w:r w:rsidRPr="00A445F4">
        <w:rPr>
          <w:rFonts w:ascii="Arial" w:hAnsi="Arial" w:cs="Arial"/>
          <w:i/>
          <w:iCs/>
          <w:color w:val="000000" w:themeColor="text1"/>
          <w:sz w:val="20"/>
          <w:szCs w:val="20"/>
        </w:rPr>
        <w:t>Approaches and applications of business research methods</w:t>
      </w:r>
      <w:r w:rsidRPr="00A445F4">
        <w:rPr>
          <w:rFonts w:ascii="Arial" w:hAnsi="Arial" w:cs="Arial"/>
          <w:color w:val="000000" w:themeColor="text1"/>
          <w:sz w:val="20"/>
          <w:szCs w:val="20"/>
        </w:rPr>
        <w:t>. IGI Global.</w:t>
      </w:r>
    </w:p>
    <w:p w14:paraId="61BA1D99" w14:textId="4D60E09D" w:rsidR="00755126" w:rsidRPr="00A445F4" w:rsidRDefault="00755126" w:rsidP="00987C2A">
      <w:pPr>
        <w:rPr>
          <w:rFonts w:ascii="Arial" w:hAnsi="Arial" w:cs="Arial"/>
          <w:color w:val="000000" w:themeColor="text1"/>
          <w:sz w:val="20"/>
          <w:szCs w:val="20"/>
        </w:rPr>
      </w:pPr>
      <w:r w:rsidRPr="00A445F4">
        <w:rPr>
          <w:rFonts w:ascii="Arial" w:hAnsi="Arial" w:cs="Arial"/>
          <w:color w:val="000000" w:themeColor="text1"/>
          <w:sz w:val="20"/>
          <w:szCs w:val="20"/>
        </w:rPr>
        <w:t>ASLAN, E., (2025). VALIDITY AND RELIABILITY IN QUALITATIVE RESEARCH. </w:t>
      </w:r>
      <w:proofErr w:type="spellStart"/>
      <w:r w:rsidRPr="00A445F4">
        <w:rPr>
          <w:rFonts w:ascii="Arial" w:hAnsi="Arial" w:cs="Arial"/>
          <w:i/>
          <w:iCs/>
          <w:color w:val="000000" w:themeColor="text1"/>
          <w:sz w:val="20"/>
          <w:szCs w:val="20"/>
        </w:rPr>
        <w:t>Pamukkale</w:t>
      </w:r>
      <w:proofErr w:type="spellEnd"/>
      <w:r w:rsidRPr="00A445F4">
        <w:rPr>
          <w:rFonts w:ascii="Arial" w:hAnsi="Arial" w:cs="Arial"/>
          <w:i/>
          <w:iCs/>
          <w:color w:val="000000" w:themeColor="text1"/>
          <w:sz w:val="20"/>
          <w:szCs w:val="20"/>
        </w:rPr>
        <w:t xml:space="preserve"> University Journal of Social Sciences Institute/</w:t>
      </w:r>
      <w:proofErr w:type="spellStart"/>
      <w:r w:rsidRPr="00A445F4">
        <w:rPr>
          <w:rFonts w:ascii="Arial" w:hAnsi="Arial" w:cs="Arial"/>
          <w:i/>
          <w:iCs/>
          <w:color w:val="000000" w:themeColor="text1"/>
          <w:sz w:val="20"/>
          <w:szCs w:val="20"/>
        </w:rPr>
        <w:t>Pamukkale</w:t>
      </w:r>
      <w:proofErr w:type="spellEnd"/>
      <w:r w:rsidRPr="00A445F4">
        <w:rPr>
          <w:rFonts w:ascii="Arial" w:hAnsi="Arial" w:cs="Arial"/>
          <w:i/>
          <w:iCs/>
          <w:color w:val="000000" w:themeColor="text1"/>
          <w:sz w:val="20"/>
          <w:szCs w:val="20"/>
        </w:rPr>
        <w:t xml:space="preserve"> </w:t>
      </w:r>
      <w:proofErr w:type="spellStart"/>
      <w:r w:rsidRPr="00A445F4">
        <w:rPr>
          <w:rFonts w:ascii="Arial" w:hAnsi="Arial" w:cs="Arial"/>
          <w:i/>
          <w:iCs/>
          <w:color w:val="000000" w:themeColor="text1"/>
          <w:sz w:val="20"/>
          <w:szCs w:val="20"/>
        </w:rPr>
        <w:t>Üniversitesi</w:t>
      </w:r>
      <w:proofErr w:type="spellEnd"/>
      <w:r w:rsidRPr="00A445F4">
        <w:rPr>
          <w:rFonts w:ascii="Arial" w:hAnsi="Arial" w:cs="Arial"/>
          <w:i/>
          <w:iCs/>
          <w:color w:val="000000" w:themeColor="text1"/>
          <w:sz w:val="20"/>
          <w:szCs w:val="20"/>
        </w:rPr>
        <w:t xml:space="preserve"> </w:t>
      </w:r>
      <w:proofErr w:type="spellStart"/>
      <w:r w:rsidRPr="00A445F4">
        <w:rPr>
          <w:rFonts w:ascii="Arial" w:hAnsi="Arial" w:cs="Arial"/>
          <w:i/>
          <w:iCs/>
          <w:color w:val="000000" w:themeColor="text1"/>
          <w:sz w:val="20"/>
          <w:szCs w:val="20"/>
        </w:rPr>
        <w:t>Sosyal</w:t>
      </w:r>
      <w:proofErr w:type="spellEnd"/>
      <w:r w:rsidRPr="00A445F4">
        <w:rPr>
          <w:rFonts w:ascii="Arial" w:hAnsi="Arial" w:cs="Arial"/>
          <w:i/>
          <w:iCs/>
          <w:color w:val="000000" w:themeColor="text1"/>
          <w:sz w:val="20"/>
          <w:szCs w:val="20"/>
        </w:rPr>
        <w:t xml:space="preserve"> </w:t>
      </w:r>
      <w:proofErr w:type="spellStart"/>
      <w:r w:rsidRPr="00A445F4">
        <w:rPr>
          <w:rFonts w:ascii="Arial" w:hAnsi="Arial" w:cs="Arial"/>
          <w:i/>
          <w:iCs/>
          <w:color w:val="000000" w:themeColor="text1"/>
          <w:sz w:val="20"/>
          <w:szCs w:val="20"/>
        </w:rPr>
        <w:t>Bilimler</w:t>
      </w:r>
      <w:proofErr w:type="spellEnd"/>
      <w:r w:rsidRPr="00A445F4">
        <w:rPr>
          <w:rFonts w:ascii="Arial" w:hAnsi="Arial" w:cs="Arial"/>
          <w:i/>
          <w:iCs/>
          <w:color w:val="000000" w:themeColor="text1"/>
          <w:sz w:val="20"/>
          <w:szCs w:val="20"/>
        </w:rPr>
        <w:t xml:space="preserve"> Enstitüsü Dergisi</w:t>
      </w:r>
      <w:r w:rsidRPr="00A445F4">
        <w:rPr>
          <w:rFonts w:ascii="Arial" w:hAnsi="Arial" w:cs="Arial"/>
          <w:color w:val="000000" w:themeColor="text1"/>
          <w:sz w:val="20"/>
          <w:szCs w:val="20"/>
        </w:rPr>
        <w:t>, (69).</w:t>
      </w:r>
    </w:p>
    <w:p w14:paraId="68F09859" w14:textId="6C30FA6E" w:rsidR="00572B38" w:rsidRPr="00A445F4" w:rsidRDefault="00572B38" w:rsidP="00987C2A">
      <w:pPr>
        <w:rPr>
          <w:rFonts w:ascii="Arial" w:hAnsi="Arial" w:cs="Arial"/>
          <w:color w:val="000000" w:themeColor="text1"/>
          <w:sz w:val="20"/>
          <w:szCs w:val="20"/>
        </w:rPr>
      </w:pPr>
      <w:proofErr w:type="spellStart"/>
      <w:r w:rsidRPr="00A445F4">
        <w:rPr>
          <w:rFonts w:ascii="Arial" w:hAnsi="Arial" w:cs="Arial"/>
          <w:color w:val="000000" w:themeColor="text1"/>
          <w:sz w:val="20"/>
          <w:szCs w:val="20"/>
        </w:rPr>
        <w:t>Bouncken</w:t>
      </w:r>
      <w:proofErr w:type="spellEnd"/>
      <w:r w:rsidRPr="00A445F4">
        <w:rPr>
          <w:rFonts w:ascii="Arial" w:hAnsi="Arial" w:cs="Arial"/>
          <w:color w:val="000000" w:themeColor="text1"/>
          <w:sz w:val="20"/>
          <w:szCs w:val="20"/>
        </w:rPr>
        <w:t xml:space="preserve">, R.B., </w:t>
      </w:r>
      <w:proofErr w:type="spellStart"/>
      <w:r w:rsidRPr="00A445F4">
        <w:rPr>
          <w:rFonts w:ascii="Arial" w:hAnsi="Arial" w:cs="Arial"/>
          <w:color w:val="000000" w:themeColor="text1"/>
          <w:sz w:val="20"/>
          <w:szCs w:val="20"/>
        </w:rPr>
        <w:t>Czakon</w:t>
      </w:r>
      <w:proofErr w:type="spellEnd"/>
      <w:r w:rsidRPr="00A445F4">
        <w:rPr>
          <w:rFonts w:ascii="Arial" w:hAnsi="Arial" w:cs="Arial"/>
          <w:color w:val="000000" w:themeColor="text1"/>
          <w:sz w:val="20"/>
          <w:szCs w:val="20"/>
        </w:rPr>
        <w:t xml:space="preserve">, W. and Schmitt, F., </w:t>
      </w:r>
      <w:r w:rsidR="005E16EE" w:rsidRPr="00A445F4">
        <w:rPr>
          <w:rFonts w:ascii="Arial" w:hAnsi="Arial" w:cs="Arial"/>
          <w:color w:val="000000" w:themeColor="text1"/>
          <w:sz w:val="20"/>
          <w:szCs w:val="20"/>
        </w:rPr>
        <w:t>(</w:t>
      </w:r>
      <w:r w:rsidRPr="00A445F4">
        <w:rPr>
          <w:rFonts w:ascii="Arial" w:hAnsi="Arial" w:cs="Arial"/>
          <w:color w:val="000000" w:themeColor="text1"/>
          <w:sz w:val="20"/>
          <w:szCs w:val="20"/>
        </w:rPr>
        <w:t>2026</w:t>
      </w:r>
      <w:r w:rsidR="005E16EE" w:rsidRPr="00A445F4">
        <w:rPr>
          <w:rFonts w:ascii="Arial" w:hAnsi="Arial" w:cs="Arial"/>
          <w:color w:val="000000" w:themeColor="text1"/>
          <w:sz w:val="20"/>
          <w:szCs w:val="20"/>
        </w:rPr>
        <w:t>)</w:t>
      </w:r>
      <w:r w:rsidRPr="00A445F4">
        <w:rPr>
          <w:rFonts w:ascii="Arial" w:hAnsi="Arial" w:cs="Arial"/>
          <w:color w:val="000000" w:themeColor="text1"/>
          <w:sz w:val="20"/>
          <w:szCs w:val="20"/>
        </w:rPr>
        <w:t>. Purposeful sampling and saturation in qualitative research methodologies: recommendations and review. </w:t>
      </w:r>
      <w:r w:rsidRPr="00A445F4">
        <w:rPr>
          <w:rFonts w:ascii="Arial" w:hAnsi="Arial" w:cs="Arial"/>
          <w:i/>
          <w:iCs/>
          <w:color w:val="000000" w:themeColor="text1"/>
          <w:sz w:val="20"/>
          <w:szCs w:val="20"/>
        </w:rPr>
        <w:t>Review of Managerial Science</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20</w:t>
      </w:r>
      <w:r w:rsidRPr="00A445F4">
        <w:rPr>
          <w:rFonts w:ascii="Arial" w:hAnsi="Arial" w:cs="Arial"/>
          <w:color w:val="000000" w:themeColor="text1"/>
          <w:sz w:val="20"/>
          <w:szCs w:val="20"/>
        </w:rPr>
        <w:t>(2), pp.579-615.</w:t>
      </w:r>
    </w:p>
    <w:p w14:paraId="2BD40679" w14:textId="63F7022E" w:rsidR="003A1663" w:rsidRPr="00A445F4" w:rsidRDefault="003A1663" w:rsidP="00987C2A">
      <w:pPr>
        <w:rPr>
          <w:rFonts w:ascii="Arial" w:hAnsi="Arial" w:cs="Arial"/>
          <w:color w:val="000000" w:themeColor="text1"/>
          <w:sz w:val="20"/>
          <w:szCs w:val="20"/>
        </w:rPr>
      </w:pPr>
      <w:proofErr w:type="spellStart"/>
      <w:r w:rsidRPr="00A445F4">
        <w:rPr>
          <w:rFonts w:ascii="Arial" w:hAnsi="Arial" w:cs="Arial"/>
          <w:color w:val="000000" w:themeColor="text1"/>
          <w:sz w:val="20"/>
          <w:szCs w:val="20"/>
        </w:rPr>
        <w:t>Cîmpan</w:t>
      </w:r>
      <w:proofErr w:type="spellEnd"/>
      <w:r w:rsidRPr="00A445F4">
        <w:rPr>
          <w:rFonts w:ascii="Arial" w:hAnsi="Arial" w:cs="Arial"/>
          <w:color w:val="000000" w:themeColor="text1"/>
          <w:sz w:val="20"/>
          <w:szCs w:val="20"/>
        </w:rPr>
        <w:t xml:space="preserve">, I. and </w:t>
      </w:r>
      <w:proofErr w:type="spellStart"/>
      <w:r w:rsidRPr="00A445F4">
        <w:rPr>
          <w:rFonts w:ascii="Arial" w:hAnsi="Arial" w:cs="Arial"/>
          <w:color w:val="000000" w:themeColor="text1"/>
          <w:sz w:val="20"/>
          <w:szCs w:val="20"/>
        </w:rPr>
        <w:t>Crișan</w:t>
      </w:r>
      <w:proofErr w:type="spellEnd"/>
      <w:r w:rsidRPr="00A445F4">
        <w:rPr>
          <w:rFonts w:ascii="Arial" w:hAnsi="Arial" w:cs="Arial"/>
          <w:color w:val="000000" w:themeColor="text1"/>
          <w:sz w:val="20"/>
          <w:szCs w:val="20"/>
        </w:rPr>
        <w:t>, E.L., (2025). Blockchain concepts in business research–a scoping review. </w:t>
      </w:r>
      <w:r w:rsidRPr="00A445F4">
        <w:rPr>
          <w:rFonts w:ascii="Arial" w:hAnsi="Arial" w:cs="Arial"/>
          <w:i/>
          <w:iCs/>
          <w:color w:val="000000" w:themeColor="text1"/>
          <w:sz w:val="20"/>
          <w:szCs w:val="20"/>
        </w:rPr>
        <w:t>Management Matters</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22</w:t>
      </w:r>
      <w:r w:rsidRPr="00A445F4">
        <w:rPr>
          <w:rFonts w:ascii="Arial" w:hAnsi="Arial" w:cs="Arial"/>
          <w:color w:val="000000" w:themeColor="text1"/>
          <w:sz w:val="20"/>
          <w:szCs w:val="20"/>
        </w:rPr>
        <w:t>(1), pp.52-62.</w:t>
      </w:r>
    </w:p>
    <w:p w14:paraId="51006979" w14:textId="0B3282E3" w:rsidR="00A461A2" w:rsidRPr="00A445F4" w:rsidRDefault="00A461A2" w:rsidP="00987C2A">
      <w:pPr>
        <w:rPr>
          <w:rFonts w:ascii="Arial" w:hAnsi="Arial" w:cs="Arial"/>
          <w:color w:val="000000" w:themeColor="text1"/>
          <w:sz w:val="20"/>
          <w:szCs w:val="20"/>
        </w:rPr>
      </w:pPr>
      <w:proofErr w:type="spellStart"/>
      <w:r w:rsidRPr="00A445F4">
        <w:rPr>
          <w:rFonts w:ascii="Arial" w:hAnsi="Arial" w:cs="Arial"/>
          <w:color w:val="000000" w:themeColor="text1"/>
          <w:sz w:val="20"/>
          <w:szCs w:val="20"/>
        </w:rPr>
        <w:t>Ebekozien</w:t>
      </w:r>
      <w:proofErr w:type="spellEnd"/>
      <w:r w:rsidRPr="00A445F4">
        <w:rPr>
          <w:rFonts w:ascii="Arial" w:hAnsi="Arial" w:cs="Arial"/>
          <w:color w:val="000000" w:themeColor="text1"/>
          <w:sz w:val="20"/>
          <w:szCs w:val="20"/>
        </w:rPr>
        <w:t xml:space="preserve">, A., </w:t>
      </w:r>
      <w:proofErr w:type="spellStart"/>
      <w:r w:rsidRPr="00A445F4">
        <w:rPr>
          <w:rFonts w:ascii="Arial" w:hAnsi="Arial" w:cs="Arial"/>
          <w:color w:val="000000" w:themeColor="text1"/>
          <w:sz w:val="20"/>
          <w:szCs w:val="20"/>
        </w:rPr>
        <w:t>Aigbavboa</w:t>
      </w:r>
      <w:proofErr w:type="spellEnd"/>
      <w:r w:rsidRPr="00A445F4">
        <w:rPr>
          <w:rFonts w:ascii="Arial" w:hAnsi="Arial" w:cs="Arial"/>
          <w:color w:val="000000" w:themeColor="text1"/>
          <w:sz w:val="20"/>
          <w:szCs w:val="20"/>
        </w:rPr>
        <w:t>, C.O. and Thwala, W.D., (2025). </w:t>
      </w:r>
      <w:r w:rsidRPr="00A445F4">
        <w:rPr>
          <w:rFonts w:ascii="Arial" w:hAnsi="Arial" w:cs="Arial"/>
          <w:i/>
          <w:iCs/>
          <w:color w:val="000000" w:themeColor="text1"/>
          <w:sz w:val="20"/>
          <w:szCs w:val="20"/>
        </w:rPr>
        <w:t>A practical research process for developing a sustainable built environment in emerging economies</w:t>
      </w:r>
      <w:r w:rsidRPr="00A445F4">
        <w:rPr>
          <w:rFonts w:ascii="Arial" w:hAnsi="Arial" w:cs="Arial"/>
          <w:color w:val="000000" w:themeColor="text1"/>
          <w:sz w:val="20"/>
          <w:szCs w:val="20"/>
        </w:rPr>
        <w:t>. Routledge.</w:t>
      </w:r>
    </w:p>
    <w:p w14:paraId="69A77BD4" w14:textId="5948981D" w:rsidR="00F13E87" w:rsidRPr="00A445F4" w:rsidRDefault="00AB324F" w:rsidP="00987C2A">
      <w:pPr>
        <w:rPr>
          <w:rFonts w:ascii="Arial" w:hAnsi="Arial" w:cs="Arial"/>
          <w:color w:val="000000" w:themeColor="text1"/>
          <w:sz w:val="20"/>
          <w:szCs w:val="20"/>
        </w:rPr>
      </w:pPr>
      <w:r w:rsidRPr="00A445F4">
        <w:rPr>
          <w:rFonts w:ascii="Arial" w:hAnsi="Arial" w:cs="Arial"/>
          <w:color w:val="000000" w:themeColor="text1"/>
          <w:sz w:val="20"/>
          <w:szCs w:val="20"/>
        </w:rPr>
        <w:t>Gamage, A., (2025). Research design, philosophy, and quantitative approaches in scientific research methodology. </w:t>
      </w:r>
      <w:r w:rsidRPr="00A445F4">
        <w:rPr>
          <w:rFonts w:ascii="Arial" w:hAnsi="Arial" w:cs="Arial"/>
          <w:i/>
          <w:iCs/>
          <w:color w:val="000000" w:themeColor="text1"/>
          <w:sz w:val="20"/>
          <w:szCs w:val="20"/>
        </w:rPr>
        <w:t>Scholars Journal of Engineering and Technology</w:t>
      </w:r>
      <w:r w:rsidRPr="00A445F4">
        <w:rPr>
          <w:rFonts w:ascii="Arial" w:hAnsi="Arial" w:cs="Arial"/>
          <w:color w:val="000000" w:themeColor="text1"/>
          <w:sz w:val="20"/>
          <w:szCs w:val="20"/>
        </w:rPr>
        <w:t>.</w:t>
      </w:r>
    </w:p>
    <w:p w14:paraId="0FECA51B" w14:textId="18B22D94" w:rsidR="00E06602" w:rsidRPr="00A445F4" w:rsidRDefault="00E06602" w:rsidP="00987C2A">
      <w:pPr>
        <w:rPr>
          <w:rFonts w:ascii="Arial" w:hAnsi="Arial" w:cs="Arial"/>
          <w:color w:val="000000" w:themeColor="text1"/>
          <w:sz w:val="20"/>
          <w:szCs w:val="20"/>
        </w:rPr>
      </w:pPr>
      <w:r w:rsidRPr="00A445F4">
        <w:rPr>
          <w:rFonts w:ascii="Arial" w:hAnsi="Arial" w:cs="Arial"/>
          <w:color w:val="000000" w:themeColor="text1"/>
          <w:sz w:val="20"/>
          <w:szCs w:val="20"/>
        </w:rPr>
        <w:t>GD (2025)</w:t>
      </w:r>
      <w:r w:rsidR="006139D4" w:rsidRPr="00A445F4">
        <w:rPr>
          <w:rFonts w:ascii="Arial" w:hAnsi="Arial" w:cs="Arial"/>
          <w:color w:val="000000" w:themeColor="text1"/>
          <w:sz w:val="20"/>
          <w:szCs w:val="20"/>
        </w:rPr>
        <w:t xml:space="preserve">. </w:t>
      </w:r>
      <w:r w:rsidRPr="00A445F4">
        <w:rPr>
          <w:rFonts w:ascii="Arial" w:hAnsi="Arial" w:cs="Arial"/>
          <w:i/>
          <w:iCs/>
          <w:color w:val="000000" w:themeColor="text1"/>
          <w:sz w:val="20"/>
          <w:szCs w:val="20"/>
        </w:rPr>
        <w:t>UK grocery channel forecasts 2025-2030</w:t>
      </w:r>
      <w:r w:rsidRPr="00A445F4">
        <w:rPr>
          <w:rFonts w:ascii="Arial" w:hAnsi="Arial" w:cs="Arial"/>
          <w:color w:val="000000" w:themeColor="text1"/>
          <w:sz w:val="20"/>
          <w:szCs w:val="20"/>
        </w:rPr>
        <w:t xml:space="preserve">. Available at: https://www.igd.com/articles/uk-grocery-channel-forecasts-2025-2030/71358 [Accessed: </w:t>
      </w:r>
      <w:r w:rsidR="00540908" w:rsidRPr="00A445F4">
        <w:rPr>
          <w:rFonts w:ascii="Arial" w:hAnsi="Arial" w:cs="Arial"/>
          <w:color w:val="000000" w:themeColor="text1"/>
          <w:sz w:val="20"/>
          <w:szCs w:val="20"/>
        </w:rPr>
        <w:t>28</w:t>
      </w:r>
      <w:r w:rsidRPr="00A445F4">
        <w:rPr>
          <w:rFonts w:ascii="Arial" w:hAnsi="Arial" w:cs="Arial"/>
          <w:color w:val="000000" w:themeColor="text1"/>
          <w:sz w:val="20"/>
          <w:szCs w:val="20"/>
        </w:rPr>
        <w:t xml:space="preserve"> </w:t>
      </w:r>
      <w:r w:rsidR="006139D4" w:rsidRPr="00A445F4">
        <w:rPr>
          <w:rFonts w:ascii="Arial" w:hAnsi="Arial" w:cs="Arial"/>
          <w:color w:val="000000" w:themeColor="text1"/>
          <w:sz w:val="20"/>
          <w:szCs w:val="20"/>
        </w:rPr>
        <w:t>May</w:t>
      </w:r>
      <w:r w:rsidR="00540908" w:rsidRPr="00A445F4">
        <w:rPr>
          <w:rFonts w:ascii="Arial" w:hAnsi="Arial" w:cs="Arial"/>
          <w:color w:val="000000" w:themeColor="text1"/>
          <w:sz w:val="20"/>
          <w:szCs w:val="20"/>
        </w:rPr>
        <w:t xml:space="preserve"> </w:t>
      </w:r>
      <w:r w:rsidRPr="00A445F4">
        <w:rPr>
          <w:rFonts w:ascii="Arial" w:hAnsi="Arial" w:cs="Arial"/>
          <w:color w:val="000000" w:themeColor="text1"/>
          <w:sz w:val="20"/>
          <w:szCs w:val="20"/>
        </w:rPr>
        <w:t xml:space="preserve">2026]. For more details, visit </w:t>
      </w:r>
      <w:hyperlink r:id="rId8" w:tgtFrame="_blank" w:history="1">
        <w:r w:rsidRPr="00A445F4">
          <w:rPr>
            <w:rStyle w:val="Hyperlink"/>
            <w:rFonts w:ascii="Arial" w:hAnsi="Arial" w:cs="Arial"/>
            <w:color w:val="000000" w:themeColor="text1"/>
            <w:sz w:val="20"/>
            <w:szCs w:val="20"/>
          </w:rPr>
          <w:t>IGD</w:t>
        </w:r>
      </w:hyperlink>
      <w:r w:rsidRPr="00A445F4">
        <w:rPr>
          <w:rFonts w:ascii="Arial" w:hAnsi="Arial" w:cs="Arial"/>
          <w:color w:val="000000" w:themeColor="text1"/>
          <w:sz w:val="20"/>
          <w:szCs w:val="20"/>
        </w:rPr>
        <w:t xml:space="preserve">. </w:t>
      </w:r>
    </w:p>
    <w:p w14:paraId="0F38A634" w14:textId="4F0F0CF6" w:rsidR="003B2D8D" w:rsidRPr="00A445F4" w:rsidRDefault="003B2D8D"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Guo, D. and </w:t>
      </w:r>
      <w:proofErr w:type="spellStart"/>
      <w:r w:rsidRPr="00A445F4">
        <w:rPr>
          <w:rFonts w:ascii="Arial" w:hAnsi="Arial" w:cs="Arial"/>
          <w:color w:val="000000" w:themeColor="text1"/>
          <w:sz w:val="20"/>
          <w:szCs w:val="20"/>
        </w:rPr>
        <w:t>Mantravadi</w:t>
      </w:r>
      <w:proofErr w:type="spellEnd"/>
      <w:r w:rsidRPr="00A445F4">
        <w:rPr>
          <w:rFonts w:ascii="Arial" w:hAnsi="Arial" w:cs="Arial"/>
          <w:color w:val="000000" w:themeColor="text1"/>
          <w:sz w:val="20"/>
          <w:szCs w:val="20"/>
        </w:rPr>
        <w:t>, S., (2025). The role of digital twins in lean supply chain management: review and research directions. </w:t>
      </w:r>
      <w:r w:rsidRPr="00A445F4">
        <w:rPr>
          <w:rFonts w:ascii="Arial" w:hAnsi="Arial" w:cs="Arial"/>
          <w:i/>
          <w:iCs/>
          <w:color w:val="000000" w:themeColor="text1"/>
          <w:sz w:val="20"/>
          <w:szCs w:val="20"/>
        </w:rPr>
        <w:t>International journal of production research</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63</w:t>
      </w:r>
      <w:r w:rsidRPr="00A445F4">
        <w:rPr>
          <w:rFonts w:ascii="Arial" w:hAnsi="Arial" w:cs="Arial"/>
          <w:color w:val="000000" w:themeColor="text1"/>
          <w:sz w:val="20"/>
          <w:szCs w:val="20"/>
        </w:rPr>
        <w:t>(5), pp.1851-1872</w:t>
      </w:r>
    </w:p>
    <w:p w14:paraId="05B797EA" w14:textId="58D8646B" w:rsidR="00D53A27" w:rsidRPr="00A445F4" w:rsidRDefault="00D53A27" w:rsidP="00987C2A">
      <w:pPr>
        <w:rPr>
          <w:rFonts w:ascii="Arial" w:hAnsi="Arial" w:cs="Arial"/>
          <w:color w:val="000000" w:themeColor="text1"/>
          <w:sz w:val="20"/>
          <w:szCs w:val="20"/>
        </w:rPr>
      </w:pPr>
      <w:proofErr w:type="spellStart"/>
      <w:r w:rsidRPr="00A445F4">
        <w:rPr>
          <w:rFonts w:ascii="Arial" w:hAnsi="Arial" w:cs="Arial"/>
          <w:color w:val="000000" w:themeColor="text1"/>
          <w:sz w:val="20"/>
          <w:szCs w:val="20"/>
        </w:rPr>
        <w:t>Gyamerah</w:t>
      </w:r>
      <w:proofErr w:type="spellEnd"/>
      <w:r w:rsidRPr="00A445F4">
        <w:rPr>
          <w:rFonts w:ascii="Arial" w:hAnsi="Arial" w:cs="Arial"/>
          <w:color w:val="000000" w:themeColor="text1"/>
          <w:sz w:val="20"/>
          <w:szCs w:val="20"/>
        </w:rPr>
        <w:t>, S., Afshari, L. and Asante, D., (2025). Digital transformation in the SME context: The nexus between leadership, digital capabilities and digital strategy. </w:t>
      </w:r>
      <w:r w:rsidRPr="00A445F4">
        <w:rPr>
          <w:rFonts w:ascii="Arial" w:hAnsi="Arial" w:cs="Arial"/>
          <w:i/>
          <w:iCs/>
          <w:color w:val="000000" w:themeColor="text1"/>
          <w:sz w:val="20"/>
          <w:szCs w:val="20"/>
        </w:rPr>
        <w:t>International Small Business Journal</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43</w:t>
      </w:r>
      <w:r w:rsidRPr="00A445F4">
        <w:rPr>
          <w:rFonts w:ascii="Arial" w:hAnsi="Arial" w:cs="Arial"/>
          <w:color w:val="000000" w:themeColor="text1"/>
          <w:sz w:val="20"/>
          <w:szCs w:val="20"/>
        </w:rPr>
        <w:t>(3), pp.303-328.</w:t>
      </w:r>
    </w:p>
    <w:p w14:paraId="1202B89D" w14:textId="46FC4CFF" w:rsidR="00C672E5" w:rsidRPr="00A445F4" w:rsidRDefault="00C672E5"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Evolve (n.d.) </w:t>
      </w:r>
      <w:r w:rsidRPr="00A445F4">
        <w:rPr>
          <w:rFonts w:ascii="Arial" w:hAnsi="Arial" w:cs="Arial"/>
          <w:i/>
          <w:iCs/>
          <w:color w:val="000000" w:themeColor="text1"/>
          <w:sz w:val="20"/>
          <w:szCs w:val="20"/>
        </w:rPr>
        <w:t xml:space="preserve">Why business strategy is </w:t>
      </w:r>
      <w:proofErr w:type="gramStart"/>
      <w:r w:rsidRPr="00A445F4">
        <w:rPr>
          <w:rFonts w:ascii="Arial" w:hAnsi="Arial" w:cs="Arial"/>
          <w:i/>
          <w:iCs/>
          <w:color w:val="000000" w:themeColor="text1"/>
          <w:sz w:val="20"/>
          <w:szCs w:val="20"/>
        </w:rPr>
        <w:t>important?</w:t>
      </w:r>
      <w:r w:rsidRPr="00A445F4">
        <w:rPr>
          <w:rFonts w:ascii="Arial" w:hAnsi="Arial" w:cs="Arial"/>
          <w:color w:val="000000" w:themeColor="text1"/>
          <w:sz w:val="20"/>
          <w:szCs w:val="20"/>
        </w:rPr>
        <w:t>,</w:t>
      </w:r>
      <w:proofErr w:type="gramEnd"/>
      <w:r w:rsidRPr="00A445F4">
        <w:rPr>
          <w:rFonts w:ascii="Arial" w:hAnsi="Arial" w:cs="Arial"/>
          <w:color w:val="000000" w:themeColor="text1"/>
          <w:sz w:val="20"/>
          <w:szCs w:val="20"/>
        </w:rPr>
        <w:t xml:space="preserve"> </w:t>
      </w:r>
      <w:r w:rsidRPr="00A445F4">
        <w:rPr>
          <w:rFonts w:ascii="Arial" w:hAnsi="Arial" w:cs="Arial"/>
          <w:i/>
          <w:iCs/>
          <w:color w:val="000000" w:themeColor="text1"/>
          <w:sz w:val="20"/>
          <w:szCs w:val="20"/>
        </w:rPr>
        <w:t>Evolve</w:t>
      </w:r>
      <w:r w:rsidRPr="00A445F4">
        <w:rPr>
          <w:rFonts w:ascii="Arial" w:hAnsi="Arial" w:cs="Arial"/>
          <w:color w:val="000000" w:themeColor="text1"/>
          <w:sz w:val="20"/>
          <w:szCs w:val="20"/>
        </w:rPr>
        <w:t>. Available at: https://evolve.ie/q-and-a/business-strategy-important/ (Accessed: 11 July 2026).</w:t>
      </w:r>
    </w:p>
    <w:p w14:paraId="51D582C1" w14:textId="6B053B04" w:rsidR="00411DB1" w:rsidRPr="00A445F4" w:rsidRDefault="00411DB1" w:rsidP="00987C2A">
      <w:pPr>
        <w:rPr>
          <w:rFonts w:ascii="Arial" w:hAnsi="Arial" w:cs="Arial"/>
          <w:color w:val="000000" w:themeColor="text1"/>
          <w:sz w:val="20"/>
          <w:szCs w:val="20"/>
        </w:rPr>
      </w:pPr>
      <w:r w:rsidRPr="00A445F4">
        <w:rPr>
          <w:rFonts w:ascii="Arial" w:hAnsi="Arial" w:cs="Arial"/>
          <w:color w:val="000000" w:themeColor="text1"/>
          <w:sz w:val="20"/>
          <w:szCs w:val="20"/>
        </w:rPr>
        <w:t>Hyper Island (2024</w:t>
      </w:r>
      <w:r w:rsidR="006139D4" w:rsidRPr="00A445F4">
        <w:rPr>
          <w:rFonts w:ascii="Arial" w:hAnsi="Arial" w:cs="Arial"/>
          <w:color w:val="000000" w:themeColor="text1"/>
          <w:sz w:val="20"/>
          <w:szCs w:val="20"/>
        </w:rPr>
        <w:t>).</w:t>
      </w:r>
      <w:r w:rsidR="006139D4" w:rsidRPr="00A445F4">
        <w:rPr>
          <w:rFonts w:ascii="Arial" w:hAnsi="Arial" w:cs="Arial"/>
          <w:i/>
          <w:iCs/>
          <w:color w:val="000000" w:themeColor="text1"/>
          <w:sz w:val="20"/>
          <w:szCs w:val="20"/>
        </w:rPr>
        <w:t xml:space="preserve"> Top</w:t>
      </w:r>
      <w:r w:rsidRPr="00A445F4">
        <w:rPr>
          <w:rFonts w:ascii="Arial" w:hAnsi="Arial" w:cs="Arial"/>
          <w:i/>
          <w:iCs/>
          <w:color w:val="000000" w:themeColor="text1"/>
          <w:sz w:val="20"/>
          <w:szCs w:val="20"/>
        </w:rPr>
        <w:t xml:space="preserve"> 7 strategic frameworks every leader should know</w:t>
      </w:r>
      <w:r w:rsidRPr="00A445F4">
        <w:rPr>
          <w:rFonts w:ascii="Arial" w:hAnsi="Arial" w:cs="Arial"/>
          <w:color w:val="000000" w:themeColor="text1"/>
          <w:sz w:val="20"/>
          <w:szCs w:val="20"/>
        </w:rPr>
        <w:t xml:space="preserve">. Available at: hyperisland.com [Accessed: 25 </w:t>
      </w:r>
      <w:r w:rsidR="006139D4" w:rsidRPr="00A445F4">
        <w:rPr>
          <w:rFonts w:ascii="Arial" w:hAnsi="Arial" w:cs="Arial"/>
          <w:color w:val="000000" w:themeColor="text1"/>
          <w:sz w:val="20"/>
          <w:szCs w:val="20"/>
        </w:rPr>
        <w:t>May</w:t>
      </w:r>
      <w:r w:rsidRPr="00A445F4">
        <w:rPr>
          <w:rFonts w:ascii="Arial" w:hAnsi="Arial" w:cs="Arial"/>
          <w:color w:val="000000" w:themeColor="text1"/>
          <w:sz w:val="20"/>
          <w:szCs w:val="20"/>
        </w:rPr>
        <w:t xml:space="preserve"> 2026].</w:t>
      </w:r>
    </w:p>
    <w:p w14:paraId="5B650226" w14:textId="7841F6EA" w:rsidR="0024012B" w:rsidRPr="00A445F4" w:rsidRDefault="0024012B"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Ibitoye, A.O., Kolade, O. and Onifade, O.F., </w:t>
      </w:r>
      <w:r w:rsidR="00714350" w:rsidRPr="00A445F4">
        <w:rPr>
          <w:rFonts w:ascii="Arial" w:hAnsi="Arial" w:cs="Arial"/>
          <w:color w:val="000000" w:themeColor="text1"/>
          <w:sz w:val="20"/>
          <w:szCs w:val="20"/>
        </w:rPr>
        <w:t>(</w:t>
      </w:r>
      <w:r w:rsidRPr="00A445F4">
        <w:rPr>
          <w:rFonts w:ascii="Arial" w:hAnsi="Arial" w:cs="Arial"/>
          <w:color w:val="000000" w:themeColor="text1"/>
          <w:sz w:val="20"/>
          <w:szCs w:val="20"/>
        </w:rPr>
        <w:t>2025</w:t>
      </w:r>
      <w:r w:rsidR="00714350" w:rsidRPr="00A445F4">
        <w:rPr>
          <w:rFonts w:ascii="Arial" w:hAnsi="Arial" w:cs="Arial"/>
          <w:color w:val="000000" w:themeColor="text1"/>
          <w:sz w:val="20"/>
          <w:szCs w:val="20"/>
        </w:rPr>
        <w:t>)</w:t>
      </w:r>
      <w:r w:rsidRPr="00A445F4">
        <w:rPr>
          <w:rFonts w:ascii="Arial" w:hAnsi="Arial" w:cs="Arial"/>
          <w:color w:val="000000" w:themeColor="text1"/>
          <w:sz w:val="20"/>
          <w:szCs w:val="20"/>
        </w:rPr>
        <w:t>. Customer retention model using machine learning for improved user-centric quality of experience through personalised quality of service. </w:t>
      </w:r>
      <w:r w:rsidRPr="00A445F4">
        <w:rPr>
          <w:rFonts w:ascii="Arial" w:hAnsi="Arial" w:cs="Arial"/>
          <w:i/>
          <w:iCs/>
          <w:color w:val="000000" w:themeColor="text1"/>
          <w:sz w:val="20"/>
          <w:szCs w:val="20"/>
        </w:rPr>
        <w:t>Journal of Business Analytics</w:t>
      </w:r>
      <w:r w:rsidRPr="00A445F4">
        <w:rPr>
          <w:rFonts w:ascii="Arial" w:hAnsi="Arial" w:cs="Arial"/>
          <w:color w:val="000000" w:themeColor="text1"/>
          <w:sz w:val="20"/>
          <w:szCs w:val="20"/>
        </w:rPr>
        <w:t>, pp.1-19.</w:t>
      </w:r>
    </w:p>
    <w:p w14:paraId="7609D65E" w14:textId="19603981" w:rsidR="00D901F3" w:rsidRPr="00A445F4" w:rsidRDefault="00D901F3"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López-Solís, O., Luzuriaga-Jaramillo, A., Bedoya-Jara, M., Naranjo-Santamaría, J., Bonilla-Jurado, D. and Acosta-Vargas, P., </w:t>
      </w:r>
      <w:r w:rsidR="00FE22F7" w:rsidRPr="00A445F4">
        <w:rPr>
          <w:rFonts w:ascii="Arial" w:hAnsi="Arial" w:cs="Arial"/>
          <w:color w:val="000000" w:themeColor="text1"/>
          <w:sz w:val="20"/>
          <w:szCs w:val="20"/>
        </w:rPr>
        <w:t>(</w:t>
      </w:r>
      <w:r w:rsidRPr="00A445F4">
        <w:rPr>
          <w:rFonts w:ascii="Arial" w:hAnsi="Arial" w:cs="Arial"/>
          <w:color w:val="000000" w:themeColor="text1"/>
          <w:sz w:val="20"/>
          <w:szCs w:val="20"/>
        </w:rPr>
        <w:t>2025</w:t>
      </w:r>
      <w:r w:rsidR="00FE22F7" w:rsidRPr="00A445F4">
        <w:rPr>
          <w:rFonts w:ascii="Arial" w:hAnsi="Arial" w:cs="Arial"/>
          <w:color w:val="000000" w:themeColor="text1"/>
          <w:sz w:val="20"/>
          <w:szCs w:val="20"/>
        </w:rPr>
        <w:t>)</w:t>
      </w:r>
      <w:r w:rsidRPr="00A445F4">
        <w:rPr>
          <w:rFonts w:ascii="Arial" w:hAnsi="Arial" w:cs="Arial"/>
          <w:color w:val="000000" w:themeColor="text1"/>
          <w:sz w:val="20"/>
          <w:szCs w:val="20"/>
        </w:rPr>
        <w:t>. Effect of generative artificial intelligence on strategic decision-making in entrepreneurial business initiatives: A systematic literature review. </w:t>
      </w:r>
      <w:r w:rsidRPr="00A445F4">
        <w:rPr>
          <w:rFonts w:ascii="Arial" w:hAnsi="Arial" w:cs="Arial"/>
          <w:i/>
          <w:iCs/>
          <w:color w:val="000000" w:themeColor="text1"/>
          <w:sz w:val="20"/>
          <w:szCs w:val="20"/>
        </w:rPr>
        <w:t>Administrative Sciences</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15</w:t>
      </w:r>
      <w:r w:rsidRPr="00A445F4">
        <w:rPr>
          <w:rFonts w:ascii="Arial" w:hAnsi="Arial" w:cs="Arial"/>
          <w:color w:val="000000" w:themeColor="text1"/>
          <w:sz w:val="20"/>
          <w:szCs w:val="20"/>
        </w:rPr>
        <w:t>(2), p.66.</w:t>
      </w:r>
    </w:p>
    <w:p w14:paraId="1F014AA8" w14:textId="6875F2B3" w:rsidR="00467F6B" w:rsidRPr="00A445F4" w:rsidRDefault="00467F6B"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Maake, G. and </w:t>
      </w:r>
      <w:proofErr w:type="spellStart"/>
      <w:r w:rsidRPr="00A445F4">
        <w:rPr>
          <w:rFonts w:ascii="Arial" w:hAnsi="Arial" w:cs="Arial"/>
          <w:color w:val="000000" w:themeColor="text1"/>
          <w:sz w:val="20"/>
          <w:szCs w:val="20"/>
        </w:rPr>
        <w:t>Mathekgane</w:t>
      </w:r>
      <w:proofErr w:type="spellEnd"/>
      <w:r w:rsidRPr="00A445F4">
        <w:rPr>
          <w:rFonts w:ascii="Arial" w:hAnsi="Arial" w:cs="Arial"/>
          <w:color w:val="000000" w:themeColor="text1"/>
          <w:sz w:val="20"/>
          <w:szCs w:val="20"/>
        </w:rPr>
        <w:t>, E., (2025). Perceptions of artificial intelligence on the future of employees' job security in Africa: secondary data analysis. </w:t>
      </w:r>
      <w:r w:rsidRPr="00A445F4">
        <w:rPr>
          <w:rFonts w:ascii="Arial" w:hAnsi="Arial" w:cs="Arial"/>
          <w:i/>
          <w:iCs/>
          <w:color w:val="000000" w:themeColor="text1"/>
          <w:sz w:val="20"/>
          <w:szCs w:val="20"/>
        </w:rPr>
        <w:t>International Journal of Business Ecosystem &amp; Strategy (2687-2293)</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7</w:t>
      </w:r>
      <w:r w:rsidRPr="00A445F4">
        <w:rPr>
          <w:rFonts w:ascii="Arial" w:hAnsi="Arial" w:cs="Arial"/>
          <w:color w:val="000000" w:themeColor="text1"/>
          <w:sz w:val="20"/>
          <w:szCs w:val="20"/>
        </w:rPr>
        <w:t>(2), pp.128-145.</w:t>
      </w:r>
    </w:p>
    <w:p w14:paraId="13EA9988" w14:textId="3412E9D7" w:rsidR="00751DFC" w:rsidRPr="00A445F4" w:rsidRDefault="00616E37" w:rsidP="00987C2A">
      <w:pPr>
        <w:rPr>
          <w:rFonts w:ascii="Arial" w:hAnsi="Arial" w:cs="Arial"/>
          <w:color w:val="000000" w:themeColor="text1"/>
          <w:sz w:val="20"/>
          <w:szCs w:val="20"/>
        </w:rPr>
      </w:pPr>
      <w:r w:rsidRPr="00A445F4">
        <w:rPr>
          <w:rFonts w:ascii="Arial" w:hAnsi="Arial" w:cs="Arial"/>
          <w:color w:val="000000" w:themeColor="text1"/>
          <w:sz w:val="20"/>
          <w:szCs w:val="20"/>
        </w:rPr>
        <w:t>Mintel (2026)</w:t>
      </w:r>
      <w:r w:rsidR="006139D4" w:rsidRPr="00A445F4">
        <w:rPr>
          <w:rFonts w:ascii="Arial" w:hAnsi="Arial" w:cs="Arial"/>
          <w:color w:val="000000" w:themeColor="text1"/>
          <w:sz w:val="20"/>
          <w:szCs w:val="20"/>
        </w:rPr>
        <w:t>.</w:t>
      </w:r>
      <w:r w:rsidRPr="00A445F4">
        <w:rPr>
          <w:rFonts w:ascii="Arial" w:hAnsi="Arial" w:cs="Arial"/>
          <w:color w:val="000000" w:themeColor="text1"/>
          <w:sz w:val="20"/>
          <w:szCs w:val="20"/>
        </w:rPr>
        <w:t xml:space="preserve"> UK Customer Loyalty in Retailing: </w:t>
      </w:r>
      <w:r w:rsidR="00FE22F7" w:rsidRPr="00A445F4">
        <w:rPr>
          <w:rFonts w:ascii="Arial" w:hAnsi="Arial" w:cs="Arial"/>
          <w:color w:val="000000" w:themeColor="text1"/>
          <w:sz w:val="20"/>
          <w:szCs w:val="20"/>
        </w:rPr>
        <w:t>(</w:t>
      </w:r>
      <w:r w:rsidRPr="00A445F4">
        <w:rPr>
          <w:rFonts w:ascii="Arial" w:hAnsi="Arial" w:cs="Arial"/>
          <w:color w:val="000000" w:themeColor="text1"/>
          <w:sz w:val="20"/>
          <w:szCs w:val="20"/>
        </w:rPr>
        <w:t>2026</w:t>
      </w:r>
      <w:r w:rsidR="00FE22F7" w:rsidRPr="00A445F4">
        <w:rPr>
          <w:rFonts w:ascii="Arial" w:hAnsi="Arial" w:cs="Arial"/>
          <w:color w:val="000000" w:themeColor="text1"/>
          <w:sz w:val="20"/>
          <w:szCs w:val="20"/>
        </w:rPr>
        <w:t>)</w:t>
      </w:r>
      <w:r w:rsidRPr="00A445F4">
        <w:rPr>
          <w:rFonts w:ascii="Arial" w:hAnsi="Arial" w:cs="Arial"/>
          <w:color w:val="000000" w:themeColor="text1"/>
          <w:sz w:val="20"/>
          <w:szCs w:val="20"/>
        </w:rPr>
        <w:t xml:space="preserve">. Available at: https://store.mintel.com/report/uk-customer-loyalty-in-retailing-market-report (Accessed: </w:t>
      </w:r>
      <w:r w:rsidR="00272FFA" w:rsidRPr="00A445F4">
        <w:rPr>
          <w:rFonts w:ascii="Arial" w:hAnsi="Arial" w:cs="Arial"/>
          <w:color w:val="000000" w:themeColor="text1"/>
          <w:sz w:val="20"/>
          <w:szCs w:val="20"/>
        </w:rPr>
        <w:t>29</w:t>
      </w:r>
      <w:r w:rsidRPr="00A445F4">
        <w:rPr>
          <w:rFonts w:ascii="Arial" w:hAnsi="Arial" w:cs="Arial"/>
          <w:color w:val="000000" w:themeColor="text1"/>
          <w:sz w:val="20"/>
          <w:szCs w:val="20"/>
        </w:rPr>
        <w:t xml:space="preserve"> </w:t>
      </w:r>
      <w:r w:rsidR="00272FFA" w:rsidRPr="00A445F4">
        <w:rPr>
          <w:rFonts w:ascii="Arial" w:hAnsi="Arial" w:cs="Arial"/>
          <w:color w:val="000000" w:themeColor="text1"/>
          <w:sz w:val="20"/>
          <w:szCs w:val="20"/>
        </w:rPr>
        <w:t>May</w:t>
      </w:r>
      <w:r w:rsidRPr="00A445F4">
        <w:rPr>
          <w:rFonts w:ascii="Arial" w:hAnsi="Arial" w:cs="Arial"/>
          <w:color w:val="000000" w:themeColor="text1"/>
          <w:sz w:val="20"/>
          <w:szCs w:val="20"/>
        </w:rPr>
        <w:t xml:space="preserve"> 2026). For more information, visit </w:t>
      </w:r>
      <w:hyperlink r:id="rId9" w:tgtFrame="_blank" w:history="1">
        <w:r w:rsidRPr="00A445F4">
          <w:rPr>
            <w:rStyle w:val="Hyperlink"/>
            <w:rFonts w:ascii="Arial" w:hAnsi="Arial" w:cs="Arial"/>
            <w:color w:val="000000" w:themeColor="text1"/>
            <w:sz w:val="20"/>
            <w:szCs w:val="20"/>
          </w:rPr>
          <w:t>Mintel</w:t>
        </w:r>
      </w:hyperlink>
      <w:r w:rsidRPr="00A445F4">
        <w:rPr>
          <w:rFonts w:ascii="Arial" w:hAnsi="Arial" w:cs="Arial"/>
          <w:color w:val="000000" w:themeColor="text1"/>
          <w:sz w:val="20"/>
          <w:szCs w:val="20"/>
        </w:rPr>
        <w:t>.</w:t>
      </w:r>
    </w:p>
    <w:p w14:paraId="321A241A" w14:textId="1DA324DB" w:rsidR="00E66523" w:rsidRPr="00A445F4" w:rsidRDefault="00E66523" w:rsidP="00987C2A">
      <w:pPr>
        <w:rPr>
          <w:rFonts w:ascii="Arial" w:hAnsi="Arial" w:cs="Arial"/>
          <w:color w:val="000000" w:themeColor="text1"/>
          <w:sz w:val="20"/>
          <w:szCs w:val="20"/>
        </w:rPr>
      </w:pPr>
      <w:r w:rsidRPr="00A445F4">
        <w:rPr>
          <w:rFonts w:ascii="Arial" w:hAnsi="Arial" w:cs="Arial"/>
          <w:color w:val="000000" w:themeColor="text1"/>
          <w:sz w:val="20"/>
          <w:szCs w:val="20"/>
        </w:rPr>
        <w:lastRenderedPageBreak/>
        <w:t xml:space="preserve">Ningsih, F., Ilham, M. and </w:t>
      </w:r>
      <w:proofErr w:type="spellStart"/>
      <w:r w:rsidRPr="00A445F4">
        <w:rPr>
          <w:rFonts w:ascii="Arial" w:hAnsi="Arial" w:cs="Arial"/>
          <w:color w:val="000000" w:themeColor="text1"/>
          <w:sz w:val="20"/>
          <w:szCs w:val="20"/>
        </w:rPr>
        <w:t>Awaluddin</w:t>
      </w:r>
      <w:proofErr w:type="spellEnd"/>
      <w:r w:rsidRPr="00A445F4">
        <w:rPr>
          <w:rFonts w:ascii="Arial" w:hAnsi="Arial" w:cs="Arial"/>
          <w:color w:val="000000" w:themeColor="text1"/>
          <w:sz w:val="20"/>
          <w:szCs w:val="20"/>
        </w:rPr>
        <w:t>, M., (2025). Industrial Competitiveness through Porter's Five Forces Framework. </w:t>
      </w:r>
      <w:r w:rsidRPr="00A445F4">
        <w:rPr>
          <w:rFonts w:ascii="Arial" w:hAnsi="Arial" w:cs="Arial"/>
          <w:i/>
          <w:iCs/>
          <w:color w:val="000000" w:themeColor="text1"/>
          <w:sz w:val="20"/>
          <w:szCs w:val="20"/>
        </w:rPr>
        <w:t>Al-</w:t>
      </w:r>
      <w:proofErr w:type="spellStart"/>
      <w:r w:rsidRPr="00A445F4">
        <w:rPr>
          <w:rFonts w:ascii="Arial" w:hAnsi="Arial" w:cs="Arial"/>
          <w:i/>
          <w:iCs/>
          <w:color w:val="000000" w:themeColor="text1"/>
          <w:sz w:val="20"/>
          <w:szCs w:val="20"/>
        </w:rPr>
        <w:t>Kharaj</w:t>
      </w:r>
      <w:proofErr w:type="spellEnd"/>
      <w:r w:rsidRPr="00A445F4">
        <w:rPr>
          <w:rFonts w:ascii="Arial" w:hAnsi="Arial" w:cs="Arial"/>
          <w:i/>
          <w:iCs/>
          <w:color w:val="000000" w:themeColor="text1"/>
          <w:sz w:val="20"/>
          <w:szCs w:val="20"/>
        </w:rPr>
        <w:t>: Journal of Islamic Economic and Business</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7</w:t>
      </w:r>
      <w:r w:rsidRPr="00A445F4">
        <w:rPr>
          <w:rFonts w:ascii="Arial" w:hAnsi="Arial" w:cs="Arial"/>
          <w:color w:val="000000" w:themeColor="text1"/>
          <w:sz w:val="20"/>
          <w:szCs w:val="20"/>
        </w:rPr>
        <w:t>(2).</w:t>
      </w:r>
    </w:p>
    <w:p w14:paraId="5197DAE1" w14:textId="038ED8A1" w:rsidR="000C485E" w:rsidRPr="00A445F4" w:rsidRDefault="000C485E" w:rsidP="00987C2A">
      <w:pPr>
        <w:rPr>
          <w:rFonts w:ascii="Arial" w:hAnsi="Arial" w:cs="Arial"/>
          <w:color w:val="000000" w:themeColor="text1"/>
          <w:sz w:val="20"/>
          <w:szCs w:val="20"/>
        </w:rPr>
      </w:pPr>
      <w:r w:rsidRPr="00A445F4">
        <w:rPr>
          <w:rFonts w:ascii="Arial" w:hAnsi="Arial" w:cs="Arial"/>
          <w:color w:val="000000" w:themeColor="text1"/>
          <w:sz w:val="20"/>
          <w:szCs w:val="20"/>
        </w:rPr>
        <w:t>Nogueira, E., Gomes, S. and Lopes, J.M., (2025). Unveiling triple bottom line's influence on business performance. </w:t>
      </w:r>
      <w:r w:rsidRPr="00A445F4">
        <w:rPr>
          <w:rFonts w:ascii="Arial" w:hAnsi="Arial" w:cs="Arial"/>
          <w:i/>
          <w:iCs/>
          <w:color w:val="000000" w:themeColor="text1"/>
          <w:sz w:val="20"/>
          <w:szCs w:val="20"/>
        </w:rPr>
        <w:t>Discover Sustainability</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6</w:t>
      </w:r>
      <w:r w:rsidRPr="00A445F4">
        <w:rPr>
          <w:rFonts w:ascii="Arial" w:hAnsi="Arial" w:cs="Arial"/>
          <w:color w:val="000000" w:themeColor="text1"/>
          <w:sz w:val="20"/>
          <w:szCs w:val="20"/>
        </w:rPr>
        <w:t>(1), p.43.</w:t>
      </w:r>
    </w:p>
    <w:p w14:paraId="21A4194C" w14:textId="32CF328D" w:rsidR="00EC0CBD" w:rsidRPr="00A445F4" w:rsidRDefault="00EC0CBD" w:rsidP="00987C2A">
      <w:pPr>
        <w:rPr>
          <w:rFonts w:ascii="Arial" w:hAnsi="Arial" w:cs="Arial"/>
          <w:color w:val="000000" w:themeColor="text1"/>
          <w:sz w:val="20"/>
          <w:szCs w:val="20"/>
        </w:rPr>
      </w:pPr>
      <w:r w:rsidRPr="00A445F4">
        <w:rPr>
          <w:rFonts w:ascii="Arial" w:hAnsi="Arial" w:cs="Arial"/>
          <w:color w:val="000000" w:themeColor="text1"/>
          <w:sz w:val="20"/>
          <w:szCs w:val="20"/>
        </w:rPr>
        <w:t>Parashar, A., (2026). </w:t>
      </w:r>
      <w:r w:rsidRPr="00A445F4">
        <w:rPr>
          <w:rFonts w:ascii="Arial" w:hAnsi="Arial" w:cs="Arial"/>
          <w:i/>
          <w:iCs/>
          <w:color w:val="000000" w:themeColor="text1"/>
          <w:sz w:val="20"/>
          <w:szCs w:val="20"/>
        </w:rPr>
        <w:t>Assessing the Effectiveness of Loyalty Programmes in Retaining Customers: A Survey-Based Approach</w:t>
      </w:r>
      <w:r w:rsidRPr="00A445F4">
        <w:rPr>
          <w:rFonts w:ascii="Arial" w:hAnsi="Arial" w:cs="Arial"/>
          <w:color w:val="000000" w:themeColor="text1"/>
          <w:sz w:val="20"/>
          <w:szCs w:val="20"/>
        </w:rPr>
        <w:t> (Doctoral dissertation, Dublin, National College of Ireland).</w:t>
      </w:r>
    </w:p>
    <w:p w14:paraId="6A063A4D" w14:textId="04D4E4A0" w:rsidR="00E743C1" w:rsidRPr="00A445F4" w:rsidRDefault="00E743C1" w:rsidP="00987C2A">
      <w:pPr>
        <w:rPr>
          <w:rFonts w:ascii="Arial" w:hAnsi="Arial" w:cs="Arial"/>
          <w:color w:val="000000" w:themeColor="text1"/>
          <w:sz w:val="20"/>
          <w:szCs w:val="20"/>
        </w:rPr>
      </w:pPr>
      <w:proofErr w:type="spellStart"/>
      <w:r w:rsidRPr="00A445F4">
        <w:rPr>
          <w:rFonts w:ascii="Arial" w:hAnsi="Arial" w:cs="Arial"/>
          <w:color w:val="000000" w:themeColor="text1"/>
          <w:sz w:val="20"/>
          <w:szCs w:val="20"/>
        </w:rPr>
        <w:t>Riipa</w:t>
      </w:r>
      <w:proofErr w:type="spellEnd"/>
      <w:r w:rsidRPr="00A445F4">
        <w:rPr>
          <w:rFonts w:ascii="Arial" w:hAnsi="Arial" w:cs="Arial"/>
          <w:color w:val="000000" w:themeColor="text1"/>
          <w:sz w:val="20"/>
          <w:szCs w:val="20"/>
        </w:rPr>
        <w:t>, M.B., Begum, N., Hriday, M.S.H. and Haque, S.A., (2025). Role of data analytics in enhancing business decision-making and operational efficiency. </w:t>
      </w:r>
      <w:r w:rsidRPr="00A445F4">
        <w:rPr>
          <w:rFonts w:ascii="Arial" w:hAnsi="Arial" w:cs="Arial"/>
          <w:i/>
          <w:iCs/>
          <w:color w:val="000000" w:themeColor="text1"/>
          <w:sz w:val="20"/>
          <w:szCs w:val="20"/>
        </w:rPr>
        <w:t>International Journal of Communication Networks and Information Security</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17</w:t>
      </w:r>
      <w:r w:rsidRPr="00A445F4">
        <w:rPr>
          <w:rFonts w:ascii="Arial" w:hAnsi="Arial" w:cs="Arial"/>
          <w:color w:val="000000" w:themeColor="text1"/>
          <w:sz w:val="20"/>
          <w:szCs w:val="20"/>
        </w:rPr>
        <w:t>(2), pp.400-412.</w:t>
      </w:r>
    </w:p>
    <w:p w14:paraId="006E41FD" w14:textId="418501D3" w:rsidR="00EA43BA" w:rsidRPr="00A445F4" w:rsidRDefault="00EA43BA"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SALONEN, J., (2025). The importance of business and technology frameworks and reasons why. LinkedIn [online], 6 May. Available from: https://www.linkedin.com/pulse/importance-business-technology-frameworks-reasons-why-salonen-ghvoc [Accessed 30 </w:t>
      </w:r>
      <w:r w:rsidR="00730933" w:rsidRPr="00A445F4">
        <w:rPr>
          <w:rFonts w:ascii="Arial" w:hAnsi="Arial" w:cs="Arial"/>
          <w:color w:val="000000" w:themeColor="text1"/>
          <w:sz w:val="20"/>
          <w:szCs w:val="20"/>
        </w:rPr>
        <w:t>May</w:t>
      </w:r>
      <w:r w:rsidRPr="00A445F4">
        <w:rPr>
          <w:rFonts w:ascii="Arial" w:hAnsi="Arial" w:cs="Arial"/>
          <w:color w:val="000000" w:themeColor="text1"/>
          <w:sz w:val="20"/>
          <w:szCs w:val="20"/>
        </w:rPr>
        <w:t xml:space="preserve"> 2026].</w:t>
      </w:r>
    </w:p>
    <w:p w14:paraId="1075431E" w14:textId="5C8597DB" w:rsidR="00016B43" w:rsidRPr="00A445F4" w:rsidRDefault="00016B43" w:rsidP="00987C2A">
      <w:pPr>
        <w:rPr>
          <w:rFonts w:ascii="Arial" w:hAnsi="Arial" w:cs="Arial"/>
          <w:color w:val="000000" w:themeColor="text1"/>
          <w:sz w:val="20"/>
          <w:szCs w:val="20"/>
        </w:rPr>
      </w:pPr>
      <w:r w:rsidRPr="00A445F4">
        <w:rPr>
          <w:rFonts w:ascii="Arial" w:hAnsi="Arial" w:cs="Arial"/>
          <w:color w:val="000000" w:themeColor="text1"/>
          <w:sz w:val="20"/>
          <w:szCs w:val="20"/>
        </w:rPr>
        <w:t>Schulze, M. and Janssen, M., (2026). Fostering legume purchases with behavioural interventions: evidence from field experiments in online and offline supermarkets. </w:t>
      </w:r>
      <w:r w:rsidRPr="00A445F4">
        <w:rPr>
          <w:rFonts w:ascii="Arial" w:hAnsi="Arial" w:cs="Arial"/>
          <w:i/>
          <w:iCs/>
          <w:color w:val="000000" w:themeColor="text1"/>
          <w:sz w:val="20"/>
          <w:szCs w:val="20"/>
        </w:rPr>
        <w:t>Food Policy</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141</w:t>
      </w:r>
      <w:r w:rsidRPr="00A445F4">
        <w:rPr>
          <w:rFonts w:ascii="Arial" w:hAnsi="Arial" w:cs="Arial"/>
          <w:color w:val="000000" w:themeColor="text1"/>
          <w:sz w:val="20"/>
          <w:szCs w:val="20"/>
        </w:rPr>
        <w:t>, p.103105.</w:t>
      </w:r>
    </w:p>
    <w:p w14:paraId="369DBAB7" w14:textId="545CEEC1" w:rsidR="00987C2A" w:rsidRPr="00A445F4" w:rsidRDefault="00987C2A"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TESCO PLC, </w:t>
      </w:r>
      <w:r w:rsidR="00467F6B" w:rsidRPr="00A445F4">
        <w:rPr>
          <w:rFonts w:ascii="Arial" w:hAnsi="Arial" w:cs="Arial"/>
          <w:color w:val="000000" w:themeColor="text1"/>
          <w:sz w:val="20"/>
          <w:szCs w:val="20"/>
        </w:rPr>
        <w:t>(</w:t>
      </w:r>
      <w:r w:rsidRPr="00A445F4">
        <w:rPr>
          <w:rFonts w:ascii="Arial" w:hAnsi="Arial" w:cs="Arial"/>
          <w:color w:val="000000" w:themeColor="text1"/>
          <w:sz w:val="20"/>
          <w:szCs w:val="20"/>
        </w:rPr>
        <w:t>2025</w:t>
      </w:r>
      <w:r w:rsidR="00467F6B" w:rsidRPr="00A445F4">
        <w:rPr>
          <w:rFonts w:ascii="Arial" w:hAnsi="Arial" w:cs="Arial"/>
          <w:color w:val="000000" w:themeColor="text1"/>
          <w:sz w:val="20"/>
          <w:szCs w:val="20"/>
        </w:rPr>
        <w:t>)</w:t>
      </w:r>
      <w:r w:rsidRPr="00A445F4">
        <w:rPr>
          <w:rFonts w:ascii="Arial" w:hAnsi="Arial" w:cs="Arial"/>
          <w:color w:val="000000" w:themeColor="text1"/>
          <w:sz w:val="20"/>
          <w:szCs w:val="20"/>
        </w:rPr>
        <w:t xml:space="preserve">. </w:t>
      </w:r>
      <w:r w:rsidRPr="00A445F4">
        <w:rPr>
          <w:rFonts w:ascii="Arial" w:hAnsi="Arial" w:cs="Arial"/>
          <w:i/>
          <w:iCs/>
          <w:color w:val="000000" w:themeColor="text1"/>
          <w:sz w:val="20"/>
          <w:szCs w:val="20"/>
        </w:rPr>
        <w:t>Interim Results 2025/26</w:t>
      </w:r>
      <w:r w:rsidRPr="00A445F4">
        <w:rPr>
          <w:rFonts w:ascii="Arial" w:hAnsi="Arial" w:cs="Arial"/>
          <w:color w:val="000000" w:themeColor="text1"/>
          <w:sz w:val="20"/>
          <w:szCs w:val="20"/>
        </w:rPr>
        <w:t xml:space="preserve">. London: London Stock Exchange. Available from: https://www.londonstockexchange.com/news-article/TSCO/interim-results-2025-26/17259603 [Accessed 28 </w:t>
      </w:r>
      <w:r w:rsidR="00272FFA" w:rsidRPr="00A445F4">
        <w:rPr>
          <w:rFonts w:ascii="Arial" w:hAnsi="Arial" w:cs="Arial"/>
          <w:color w:val="000000" w:themeColor="text1"/>
          <w:sz w:val="20"/>
          <w:szCs w:val="20"/>
        </w:rPr>
        <w:t>May</w:t>
      </w:r>
      <w:r w:rsidRPr="00A445F4">
        <w:rPr>
          <w:rFonts w:ascii="Arial" w:hAnsi="Arial" w:cs="Arial"/>
          <w:color w:val="000000" w:themeColor="text1"/>
          <w:sz w:val="20"/>
          <w:szCs w:val="20"/>
        </w:rPr>
        <w:t xml:space="preserve"> 2026].</w:t>
      </w:r>
    </w:p>
    <w:p w14:paraId="0400214A" w14:textId="4E426B72" w:rsidR="00AB324F" w:rsidRPr="00A445F4" w:rsidRDefault="00D370AA" w:rsidP="00987C2A">
      <w:pPr>
        <w:rPr>
          <w:rFonts w:ascii="Arial" w:hAnsi="Arial" w:cs="Arial"/>
          <w:color w:val="000000" w:themeColor="text1"/>
          <w:sz w:val="20"/>
          <w:szCs w:val="20"/>
        </w:rPr>
      </w:pPr>
      <w:r w:rsidRPr="00A445F4">
        <w:rPr>
          <w:rFonts w:ascii="Arial" w:hAnsi="Arial" w:cs="Arial"/>
          <w:color w:val="000000" w:themeColor="text1"/>
          <w:sz w:val="20"/>
          <w:szCs w:val="20"/>
        </w:rPr>
        <w:t xml:space="preserve">TESCO PLC, </w:t>
      </w:r>
      <w:r w:rsidR="00730933" w:rsidRPr="00A445F4">
        <w:rPr>
          <w:rFonts w:ascii="Arial" w:hAnsi="Arial" w:cs="Arial"/>
          <w:color w:val="000000" w:themeColor="text1"/>
          <w:sz w:val="20"/>
          <w:szCs w:val="20"/>
        </w:rPr>
        <w:t>(</w:t>
      </w:r>
      <w:r w:rsidRPr="00A445F4">
        <w:rPr>
          <w:rFonts w:ascii="Arial" w:hAnsi="Arial" w:cs="Arial"/>
          <w:color w:val="000000" w:themeColor="text1"/>
          <w:sz w:val="20"/>
          <w:szCs w:val="20"/>
        </w:rPr>
        <w:t>2026</w:t>
      </w:r>
      <w:r w:rsidR="00730933" w:rsidRPr="00A445F4">
        <w:rPr>
          <w:rFonts w:ascii="Arial" w:hAnsi="Arial" w:cs="Arial"/>
          <w:color w:val="000000" w:themeColor="text1"/>
          <w:sz w:val="20"/>
          <w:szCs w:val="20"/>
        </w:rPr>
        <w:t>)</w:t>
      </w:r>
      <w:r w:rsidRPr="00A445F4">
        <w:rPr>
          <w:rFonts w:ascii="Arial" w:hAnsi="Arial" w:cs="Arial"/>
          <w:color w:val="000000" w:themeColor="text1"/>
          <w:sz w:val="20"/>
          <w:szCs w:val="20"/>
        </w:rPr>
        <w:t xml:space="preserve">. </w:t>
      </w:r>
      <w:r w:rsidRPr="00A445F4">
        <w:rPr>
          <w:rFonts w:ascii="Arial" w:hAnsi="Arial" w:cs="Arial"/>
          <w:i/>
          <w:iCs/>
          <w:color w:val="000000" w:themeColor="text1"/>
          <w:sz w:val="20"/>
          <w:szCs w:val="20"/>
        </w:rPr>
        <w:t>Preliminary Results 2025/26</w:t>
      </w:r>
      <w:r w:rsidRPr="00A445F4">
        <w:rPr>
          <w:rFonts w:ascii="Arial" w:hAnsi="Arial" w:cs="Arial"/>
          <w:color w:val="000000" w:themeColor="text1"/>
          <w:sz w:val="20"/>
          <w:szCs w:val="20"/>
        </w:rPr>
        <w:t xml:space="preserve"> [online]. Welwyn Garden City: Tesco PLC. Available from: tescoplc.com [Accessed 14 May 2026].</w:t>
      </w:r>
    </w:p>
    <w:p w14:paraId="7FED61AE" w14:textId="3D5D4974" w:rsidR="00A77426" w:rsidRPr="00A445F4" w:rsidRDefault="00AB324F" w:rsidP="00A77426">
      <w:pPr>
        <w:rPr>
          <w:rFonts w:ascii="Arial" w:hAnsi="Arial" w:cs="Arial"/>
          <w:color w:val="000000" w:themeColor="text1"/>
          <w:sz w:val="20"/>
          <w:szCs w:val="20"/>
        </w:rPr>
      </w:pPr>
      <w:r w:rsidRPr="00A445F4">
        <w:rPr>
          <w:rFonts w:ascii="Arial" w:hAnsi="Arial" w:cs="Arial"/>
          <w:color w:val="000000" w:themeColor="text1"/>
          <w:sz w:val="20"/>
          <w:szCs w:val="20"/>
        </w:rPr>
        <w:t xml:space="preserve">The Commerce Team Global., (2026). reports that UK grocery retailers are struggling to balance rising operational costs with the pressure to provide customer loyalty rewards. The appropriate reference for this report follows the format: The Commerce Team Global (2026) </w:t>
      </w:r>
      <w:r w:rsidRPr="00A445F4">
        <w:rPr>
          <w:rFonts w:ascii="Arial" w:hAnsi="Arial" w:cs="Arial"/>
          <w:i/>
          <w:iCs/>
          <w:color w:val="000000" w:themeColor="text1"/>
          <w:sz w:val="20"/>
          <w:szCs w:val="20"/>
        </w:rPr>
        <w:t>UK Food &amp; Grocery Industry Challenges</w:t>
      </w:r>
      <w:r w:rsidRPr="00A445F4">
        <w:rPr>
          <w:rFonts w:ascii="Arial" w:hAnsi="Arial" w:cs="Arial"/>
          <w:color w:val="000000" w:themeColor="text1"/>
          <w:sz w:val="20"/>
          <w:szCs w:val="20"/>
        </w:rPr>
        <w:t>. Available at: thecommerceteam.com (Accessed: 02 July 2026).</w:t>
      </w:r>
    </w:p>
    <w:p w14:paraId="511940A2" w14:textId="0858BF2B" w:rsidR="007741CD" w:rsidRPr="00A445F4" w:rsidRDefault="00CD5AAF" w:rsidP="00A77426">
      <w:pPr>
        <w:rPr>
          <w:rFonts w:ascii="Arial" w:hAnsi="Arial" w:cs="Arial"/>
          <w:color w:val="000000" w:themeColor="text1"/>
          <w:sz w:val="20"/>
          <w:szCs w:val="20"/>
        </w:rPr>
      </w:pPr>
      <w:r w:rsidRPr="00A445F4">
        <w:rPr>
          <w:rFonts w:ascii="Arial" w:hAnsi="Arial" w:cs="Arial"/>
          <w:color w:val="000000" w:themeColor="text1"/>
          <w:sz w:val="20"/>
          <w:szCs w:val="20"/>
        </w:rPr>
        <w:t>The Grocer</w:t>
      </w:r>
      <w:r w:rsidR="00D86C38" w:rsidRPr="00A445F4">
        <w:rPr>
          <w:rFonts w:ascii="Arial" w:hAnsi="Arial" w:cs="Arial"/>
          <w:color w:val="000000" w:themeColor="text1"/>
          <w:sz w:val="20"/>
          <w:szCs w:val="20"/>
        </w:rPr>
        <w:t>.</w:t>
      </w:r>
      <w:r w:rsidRPr="00A445F4">
        <w:rPr>
          <w:rFonts w:ascii="Arial" w:hAnsi="Arial" w:cs="Arial"/>
          <w:color w:val="000000" w:themeColor="text1"/>
          <w:sz w:val="20"/>
          <w:szCs w:val="20"/>
        </w:rPr>
        <w:t xml:space="preserve">, (2025). Supermarkets to lose market share amid stagnant growth, says IGD. </w:t>
      </w:r>
      <w:r w:rsidRPr="00A445F4">
        <w:rPr>
          <w:rFonts w:ascii="Arial" w:hAnsi="Arial" w:cs="Arial"/>
          <w:i/>
          <w:iCs/>
          <w:color w:val="000000" w:themeColor="text1"/>
          <w:sz w:val="20"/>
          <w:szCs w:val="20"/>
        </w:rPr>
        <w:t>The Grocer</w:t>
      </w:r>
      <w:r w:rsidRPr="00A445F4">
        <w:rPr>
          <w:rFonts w:ascii="Arial" w:hAnsi="Arial" w:cs="Arial"/>
          <w:color w:val="000000" w:themeColor="text1"/>
          <w:sz w:val="20"/>
          <w:szCs w:val="20"/>
        </w:rPr>
        <w:t xml:space="preserve">, [online] 12 November. Available at: </w:t>
      </w:r>
      <w:r w:rsidR="00D86C38" w:rsidRPr="00A445F4">
        <w:rPr>
          <w:rFonts w:ascii="Arial" w:hAnsi="Arial" w:cs="Arial"/>
          <w:color w:val="000000" w:themeColor="text1"/>
          <w:sz w:val="20"/>
          <w:szCs w:val="20"/>
        </w:rPr>
        <w:t xml:space="preserve">thegrocer.co.uk </w:t>
      </w:r>
      <w:r w:rsidRPr="00A445F4">
        <w:rPr>
          <w:rFonts w:ascii="Arial" w:hAnsi="Arial" w:cs="Arial"/>
          <w:color w:val="000000" w:themeColor="text1"/>
          <w:sz w:val="20"/>
          <w:szCs w:val="20"/>
        </w:rPr>
        <w:t>[Accessed 11 July 2026].</w:t>
      </w:r>
    </w:p>
    <w:p w14:paraId="2EF98B9C" w14:textId="43F5FB5A" w:rsidR="00FE22F7" w:rsidRPr="00A445F4" w:rsidRDefault="00FE22F7" w:rsidP="00A77426">
      <w:pPr>
        <w:rPr>
          <w:rFonts w:ascii="Arial" w:hAnsi="Arial" w:cs="Arial"/>
          <w:color w:val="000000" w:themeColor="text1"/>
          <w:sz w:val="20"/>
          <w:szCs w:val="20"/>
        </w:rPr>
      </w:pPr>
      <w:r w:rsidRPr="00A445F4">
        <w:rPr>
          <w:rFonts w:ascii="Arial" w:hAnsi="Arial" w:cs="Arial"/>
          <w:color w:val="000000" w:themeColor="text1"/>
          <w:sz w:val="20"/>
          <w:szCs w:val="20"/>
        </w:rPr>
        <w:t xml:space="preserve">The Independent (2025). 'Tesco boss issues warning to Rachel Reeves over 'what lies ahead'', </w:t>
      </w:r>
      <w:r w:rsidRPr="00A445F4">
        <w:rPr>
          <w:rFonts w:ascii="Arial" w:hAnsi="Arial" w:cs="Arial"/>
          <w:i/>
          <w:iCs/>
          <w:color w:val="000000" w:themeColor="text1"/>
          <w:sz w:val="20"/>
          <w:szCs w:val="20"/>
        </w:rPr>
        <w:t>The</w:t>
      </w:r>
      <w:r w:rsidRPr="00A445F4">
        <w:rPr>
          <w:rFonts w:ascii="Arial" w:hAnsi="Arial" w:cs="Arial"/>
          <w:b/>
          <w:bCs/>
          <w:i/>
          <w:iCs/>
          <w:color w:val="000000" w:themeColor="text1"/>
          <w:sz w:val="20"/>
          <w:szCs w:val="20"/>
        </w:rPr>
        <w:t xml:space="preserve"> </w:t>
      </w:r>
      <w:r w:rsidRPr="00A445F4">
        <w:rPr>
          <w:rFonts w:ascii="Arial" w:hAnsi="Arial" w:cs="Arial"/>
          <w:color w:val="000000" w:themeColor="text1"/>
          <w:sz w:val="20"/>
          <w:szCs w:val="20"/>
        </w:rPr>
        <w:t>Independent, 2 October. Available at: https://www.independent.co.uk/news/business/tesco-clubcard-rachel-reeves-budget-b2837971.html (Accessed: 28 May 2026).</w:t>
      </w:r>
    </w:p>
    <w:p w14:paraId="326C4DB2" w14:textId="426A4D24" w:rsidR="00A77426" w:rsidRPr="00A445F4" w:rsidRDefault="00A77426" w:rsidP="00987C2A">
      <w:pPr>
        <w:rPr>
          <w:rFonts w:ascii="Arial" w:hAnsi="Arial" w:cs="Arial"/>
          <w:color w:val="000000" w:themeColor="text1"/>
          <w:sz w:val="20"/>
          <w:szCs w:val="20"/>
        </w:rPr>
      </w:pPr>
      <w:r w:rsidRPr="00A445F4">
        <w:rPr>
          <w:rFonts w:ascii="Arial" w:hAnsi="Arial" w:cs="Arial"/>
          <w:color w:val="000000" w:themeColor="text1"/>
          <w:sz w:val="20"/>
          <w:szCs w:val="20"/>
        </w:rPr>
        <w:t>The</w:t>
      </w:r>
      <w:r w:rsidR="00D93B34" w:rsidRPr="00A445F4">
        <w:rPr>
          <w:rFonts w:ascii="Arial" w:hAnsi="Arial" w:cs="Arial"/>
          <w:color w:val="000000" w:themeColor="text1"/>
          <w:sz w:val="20"/>
          <w:szCs w:val="20"/>
        </w:rPr>
        <w:t xml:space="preserve"> Market Research Society</w:t>
      </w:r>
      <w:r w:rsidR="006542B9" w:rsidRPr="00A445F4">
        <w:rPr>
          <w:rFonts w:ascii="Arial" w:hAnsi="Arial" w:cs="Arial"/>
          <w:color w:val="000000" w:themeColor="text1"/>
          <w:sz w:val="20"/>
          <w:szCs w:val="20"/>
        </w:rPr>
        <w:t>.,</w:t>
      </w:r>
      <w:r w:rsidRPr="00A445F4">
        <w:rPr>
          <w:rFonts w:ascii="Arial" w:hAnsi="Arial" w:cs="Arial"/>
          <w:color w:val="000000" w:themeColor="text1"/>
          <w:sz w:val="20"/>
          <w:szCs w:val="20"/>
        </w:rPr>
        <w:t xml:space="preserve"> (2026)</w:t>
      </w:r>
      <w:r w:rsidR="006542B9" w:rsidRPr="00A445F4">
        <w:rPr>
          <w:rFonts w:ascii="Arial" w:hAnsi="Arial" w:cs="Arial"/>
          <w:color w:val="000000" w:themeColor="text1"/>
          <w:sz w:val="20"/>
          <w:szCs w:val="20"/>
        </w:rPr>
        <w:t>.</w:t>
      </w:r>
      <w:r w:rsidRPr="00A445F4">
        <w:rPr>
          <w:rFonts w:ascii="Arial" w:hAnsi="Arial" w:cs="Arial"/>
          <w:color w:val="000000" w:themeColor="text1"/>
          <w:sz w:val="20"/>
          <w:szCs w:val="20"/>
        </w:rPr>
        <w:t xml:space="preserve"> </w:t>
      </w:r>
      <w:r w:rsidRPr="00A445F4">
        <w:rPr>
          <w:rFonts w:ascii="Arial" w:hAnsi="Arial" w:cs="Arial"/>
          <w:i/>
          <w:iCs/>
          <w:color w:val="000000" w:themeColor="text1"/>
          <w:sz w:val="20"/>
          <w:szCs w:val="20"/>
        </w:rPr>
        <w:t>MRS Code of Conduct</w:t>
      </w:r>
      <w:r w:rsidRPr="00A445F4">
        <w:rPr>
          <w:rFonts w:ascii="Arial" w:hAnsi="Arial" w:cs="Arial"/>
          <w:color w:val="000000" w:themeColor="text1"/>
          <w:sz w:val="20"/>
          <w:szCs w:val="20"/>
        </w:rPr>
        <w:t xml:space="preserve"> is available at https://www.mrs.org.uk/standards/code-of-conduct (Accessed: </w:t>
      </w:r>
      <w:r w:rsidR="006542B9" w:rsidRPr="00A445F4">
        <w:rPr>
          <w:rFonts w:ascii="Arial" w:hAnsi="Arial" w:cs="Arial"/>
          <w:color w:val="000000" w:themeColor="text1"/>
          <w:sz w:val="20"/>
          <w:szCs w:val="20"/>
        </w:rPr>
        <w:t>28 May</w:t>
      </w:r>
      <w:r w:rsidRPr="00A445F4">
        <w:rPr>
          <w:rFonts w:ascii="Arial" w:hAnsi="Arial" w:cs="Arial"/>
          <w:color w:val="000000" w:themeColor="text1"/>
          <w:sz w:val="20"/>
          <w:szCs w:val="20"/>
        </w:rPr>
        <w:t xml:space="preserve"> 2026).</w:t>
      </w:r>
    </w:p>
    <w:p w14:paraId="4B0DB78B" w14:textId="6EC1FF83" w:rsidR="00987C2A" w:rsidRPr="00A445F4" w:rsidRDefault="00751DFC" w:rsidP="004D343D">
      <w:pPr>
        <w:rPr>
          <w:rFonts w:ascii="Arial" w:hAnsi="Arial" w:cs="Arial"/>
          <w:color w:val="000000" w:themeColor="text1"/>
          <w:sz w:val="20"/>
          <w:szCs w:val="20"/>
        </w:rPr>
      </w:pPr>
      <w:r w:rsidRPr="00A445F4">
        <w:rPr>
          <w:rFonts w:ascii="Arial" w:hAnsi="Arial" w:cs="Arial"/>
          <w:color w:val="000000" w:themeColor="text1"/>
          <w:sz w:val="20"/>
          <w:szCs w:val="20"/>
        </w:rPr>
        <w:t>Tingelhoff, F., Brugger, M. and Leimeister, J.M., (2025). A guide for structured literature reviews in business research: The state-of-the-art and how to integrate generative artificial intelligence. </w:t>
      </w:r>
      <w:r w:rsidRPr="00A445F4">
        <w:rPr>
          <w:rFonts w:ascii="Arial" w:hAnsi="Arial" w:cs="Arial"/>
          <w:i/>
          <w:iCs/>
          <w:color w:val="000000" w:themeColor="text1"/>
          <w:sz w:val="20"/>
          <w:szCs w:val="20"/>
        </w:rPr>
        <w:t>Journal of Information Technology</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40</w:t>
      </w:r>
      <w:r w:rsidRPr="00A445F4">
        <w:rPr>
          <w:rFonts w:ascii="Arial" w:hAnsi="Arial" w:cs="Arial"/>
          <w:color w:val="000000" w:themeColor="text1"/>
          <w:sz w:val="20"/>
          <w:szCs w:val="20"/>
        </w:rPr>
        <w:t>(1), pp.77-99.</w:t>
      </w:r>
    </w:p>
    <w:p w14:paraId="40E0F04D" w14:textId="11985E1A" w:rsidR="006279D0" w:rsidRPr="00A445F4" w:rsidRDefault="006279D0" w:rsidP="004D343D">
      <w:pPr>
        <w:rPr>
          <w:rFonts w:ascii="Arial" w:hAnsi="Arial" w:cs="Arial"/>
          <w:color w:val="000000" w:themeColor="text1"/>
          <w:sz w:val="20"/>
          <w:szCs w:val="20"/>
        </w:rPr>
      </w:pPr>
      <w:r w:rsidRPr="00A445F4">
        <w:rPr>
          <w:rFonts w:ascii="Arial" w:hAnsi="Arial" w:cs="Arial"/>
          <w:color w:val="000000" w:themeColor="text1"/>
          <w:sz w:val="20"/>
          <w:szCs w:val="20"/>
        </w:rPr>
        <w:t>University of Leeds (2020). Restricting Retail Food Promotions: implementation challenges could limit policy success. Leeds: University of Leeds. Available at: https://whiterose.ac.uk (Accessed: 3 June 2026).</w:t>
      </w:r>
    </w:p>
    <w:p w14:paraId="0129BDD4" w14:textId="39640E9C" w:rsidR="0080235D" w:rsidRPr="00A445F4" w:rsidRDefault="0080235D" w:rsidP="004D343D">
      <w:pPr>
        <w:rPr>
          <w:rFonts w:ascii="Arial" w:hAnsi="Arial" w:cs="Arial"/>
          <w:color w:val="000000" w:themeColor="text1"/>
          <w:sz w:val="20"/>
          <w:szCs w:val="20"/>
        </w:rPr>
      </w:pPr>
      <w:r w:rsidRPr="00A445F4">
        <w:rPr>
          <w:rFonts w:ascii="Arial" w:hAnsi="Arial" w:cs="Arial"/>
          <w:color w:val="000000" w:themeColor="text1"/>
          <w:sz w:val="20"/>
          <w:szCs w:val="20"/>
        </w:rPr>
        <w:t>Wang, L., Li, J., Zhuang, B., Huang, S., Fang, M., Wang, C., Li, W., Zhang, M. and Gong, S., (2025). Accuracy of large language models when answering clinical research questions: systematic review and network meta-analysis. </w:t>
      </w:r>
      <w:r w:rsidRPr="00A445F4">
        <w:rPr>
          <w:rFonts w:ascii="Arial" w:hAnsi="Arial" w:cs="Arial"/>
          <w:i/>
          <w:iCs/>
          <w:color w:val="000000" w:themeColor="text1"/>
          <w:sz w:val="20"/>
          <w:szCs w:val="20"/>
        </w:rPr>
        <w:t>Journal of Medical Internet Research</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27</w:t>
      </w:r>
      <w:r w:rsidRPr="00A445F4">
        <w:rPr>
          <w:rFonts w:ascii="Arial" w:hAnsi="Arial" w:cs="Arial"/>
          <w:color w:val="000000" w:themeColor="text1"/>
          <w:sz w:val="20"/>
          <w:szCs w:val="20"/>
        </w:rPr>
        <w:t>, p.e64486</w:t>
      </w:r>
    </w:p>
    <w:p w14:paraId="63D8AA61" w14:textId="378C77A7" w:rsidR="00CD3611" w:rsidRPr="00A445F4" w:rsidRDefault="00CD3611" w:rsidP="004D343D">
      <w:pPr>
        <w:rPr>
          <w:rFonts w:ascii="Arial" w:hAnsi="Arial" w:cs="Arial"/>
          <w:color w:val="000000" w:themeColor="text1"/>
          <w:sz w:val="20"/>
          <w:szCs w:val="20"/>
        </w:rPr>
      </w:pPr>
      <w:r w:rsidRPr="00A445F4">
        <w:rPr>
          <w:rFonts w:ascii="Arial" w:hAnsi="Arial" w:cs="Arial"/>
          <w:color w:val="000000" w:themeColor="text1"/>
          <w:sz w:val="20"/>
          <w:szCs w:val="20"/>
        </w:rPr>
        <w:t>Willie, M., (2025). Leveraging digital resources: a resource-based view perspective. </w:t>
      </w:r>
      <w:r w:rsidRPr="00A445F4">
        <w:rPr>
          <w:rFonts w:ascii="Arial" w:hAnsi="Arial" w:cs="Arial"/>
          <w:i/>
          <w:iCs/>
          <w:color w:val="000000" w:themeColor="text1"/>
          <w:sz w:val="20"/>
          <w:szCs w:val="20"/>
        </w:rPr>
        <w:t>Golden Ratio of Human Resource Management</w:t>
      </w:r>
      <w:r w:rsidRPr="00A445F4">
        <w:rPr>
          <w:rFonts w:ascii="Arial" w:hAnsi="Arial" w:cs="Arial"/>
          <w:color w:val="000000" w:themeColor="text1"/>
          <w:sz w:val="20"/>
          <w:szCs w:val="20"/>
        </w:rPr>
        <w:t>, </w:t>
      </w:r>
      <w:r w:rsidRPr="00A445F4">
        <w:rPr>
          <w:rFonts w:ascii="Arial" w:hAnsi="Arial" w:cs="Arial"/>
          <w:i/>
          <w:iCs/>
          <w:color w:val="000000" w:themeColor="text1"/>
          <w:sz w:val="20"/>
          <w:szCs w:val="20"/>
        </w:rPr>
        <w:t>5</w:t>
      </w:r>
      <w:r w:rsidRPr="00A445F4">
        <w:rPr>
          <w:rFonts w:ascii="Arial" w:hAnsi="Arial" w:cs="Arial"/>
          <w:color w:val="000000" w:themeColor="text1"/>
          <w:sz w:val="20"/>
          <w:szCs w:val="20"/>
        </w:rPr>
        <w:t>(1), pp.01-14.</w:t>
      </w:r>
    </w:p>
    <w:p w14:paraId="3612948F" w14:textId="77777777" w:rsidR="009A204B" w:rsidRPr="00A445F4" w:rsidRDefault="009A204B" w:rsidP="004D343D">
      <w:pPr>
        <w:rPr>
          <w:color w:val="000000" w:themeColor="text1"/>
        </w:rPr>
      </w:pPr>
    </w:p>
    <w:p w14:paraId="65AAB448" w14:textId="08471CB7" w:rsidR="004D343D" w:rsidRPr="004D343D" w:rsidRDefault="00E278A3" w:rsidP="00E278A3">
      <w:pPr>
        <w:pStyle w:val="Heading1"/>
      </w:pPr>
      <w:bookmarkStart w:id="14" w:name="_Toc234841448"/>
      <w:r w:rsidRPr="00A445F4">
        <w:rPr>
          <w:color w:val="000000" w:themeColor="text1"/>
        </w:rPr>
        <w:lastRenderedPageBreak/>
        <w:t>Part 9:</w:t>
      </w:r>
      <w:r w:rsidR="008826AA" w:rsidRPr="00A445F4">
        <w:rPr>
          <w:color w:val="000000" w:themeColor="text1"/>
        </w:rPr>
        <w:t xml:space="preserve"> </w:t>
      </w:r>
      <w:r w:rsidRPr="00A445F4">
        <w:rPr>
          <w:color w:val="000000" w:themeColor="text1"/>
        </w:rPr>
        <w:t>Topic Research: Links</w:t>
      </w:r>
      <w:r w:rsidR="004D343D" w:rsidRPr="00A445F4">
        <w:rPr>
          <w:color w:val="000000" w:themeColor="text1"/>
        </w:rPr>
        <w:t>:</w:t>
      </w:r>
      <w:bookmarkEnd w:id="14"/>
    </w:p>
    <w:p w14:paraId="688C6546" w14:textId="6A8E9974" w:rsidR="00E02F47" w:rsidRDefault="00AF2715" w:rsidP="002A579F">
      <w:pPr>
        <w:spacing w:line="360" w:lineRule="auto"/>
        <w:rPr>
          <w:rFonts w:ascii="Arial" w:hAnsi="Arial" w:cs="Arial"/>
          <w:sz w:val="22"/>
          <w:szCs w:val="22"/>
        </w:rPr>
      </w:pPr>
      <w:hyperlink r:id="rId10" w:history="1">
        <w:r w:rsidRPr="00F5080C">
          <w:rPr>
            <w:rStyle w:val="Hyperlink"/>
            <w:rFonts w:ascii="Arial" w:hAnsi="Arial" w:cs="Arial"/>
            <w:sz w:val="22"/>
            <w:szCs w:val="22"/>
          </w:rPr>
          <w:t>https://www.londonstockexchange.com/news-article/TSCO/interim-results-2025-26/17259603</w:t>
        </w:r>
      </w:hyperlink>
      <w:r>
        <w:rPr>
          <w:rFonts w:ascii="Arial" w:hAnsi="Arial" w:cs="Arial"/>
          <w:sz w:val="22"/>
          <w:szCs w:val="22"/>
        </w:rPr>
        <w:t xml:space="preserve"> </w:t>
      </w:r>
    </w:p>
    <w:p w14:paraId="46D9C003" w14:textId="60FD999F" w:rsidR="00AF2715" w:rsidRDefault="005D0169" w:rsidP="002A579F">
      <w:pPr>
        <w:spacing w:line="360" w:lineRule="auto"/>
        <w:rPr>
          <w:rFonts w:ascii="Arial" w:hAnsi="Arial" w:cs="Arial"/>
          <w:sz w:val="22"/>
          <w:szCs w:val="22"/>
        </w:rPr>
      </w:pPr>
      <w:hyperlink r:id="rId11" w:history="1">
        <w:r w:rsidRPr="00BE2717">
          <w:rPr>
            <w:rStyle w:val="Hyperlink"/>
            <w:rFonts w:ascii="Arial" w:hAnsi="Arial" w:cs="Arial"/>
            <w:sz w:val="22"/>
            <w:szCs w:val="22"/>
          </w:rPr>
          <w:t>https://store.mintel.com/report/uk-customer-loyalty-in-retailing-market-report</w:t>
        </w:r>
      </w:hyperlink>
    </w:p>
    <w:p w14:paraId="70E6AA24" w14:textId="260CF91A" w:rsidR="004F2273" w:rsidRDefault="00E06602" w:rsidP="002A579F">
      <w:pPr>
        <w:spacing w:line="360" w:lineRule="auto"/>
        <w:rPr>
          <w:rFonts w:ascii="Arial" w:hAnsi="Arial" w:cs="Arial"/>
          <w:sz w:val="22"/>
          <w:szCs w:val="22"/>
        </w:rPr>
      </w:pPr>
      <w:hyperlink r:id="rId12" w:history="1">
        <w:r w:rsidRPr="00BE2717">
          <w:rPr>
            <w:rStyle w:val="Hyperlink"/>
            <w:rFonts w:ascii="Arial" w:hAnsi="Arial" w:cs="Arial"/>
            <w:sz w:val="22"/>
            <w:szCs w:val="22"/>
          </w:rPr>
          <w:t>https://www.igd.com/articles/uk-grocery-channel-forecasts-2025-2030/71358</w:t>
        </w:r>
      </w:hyperlink>
    </w:p>
    <w:p w14:paraId="3240AB48" w14:textId="59F7B7E1" w:rsidR="008B4A31" w:rsidRDefault="008B4A31" w:rsidP="002A579F">
      <w:pPr>
        <w:spacing w:line="360" w:lineRule="auto"/>
        <w:rPr>
          <w:rFonts w:ascii="Arial" w:hAnsi="Arial" w:cs="Arial"/>
          <w:sz w:val="22"/>
          <w:szCs w:val="22"/>
        </w:rPr>
      </w:pPr>
      <w:hyperlink r:id="rId13" w:history="1">
        <w:r w:rsidRPr="00BE2717">
          <w:rPr>
            <w:rStyle w:val="Hyperlink"/>
            <w:rFonts w:ascii="Arial" w:hAnsi="Arial" w:cs="Arial"/>
            <w:sz w:val="22"/>
            <w:szCs w:val="22"/>
          </w:rPr>
          <w:t>https://hyperisland.com/en/blog/hyper-insights/top-7-strategic-frameworks-every-leader-should-know</w:t>
        </w:r>
      </w:hyperlink>
    </w:p>
    <w:p w14:paraId="6AF510BD" w14:textId="040EAF9E" w:rsidR="00C854EB" w:rsidRDefault="00C854EB" w:rsidP="002A579F">
      <w:pPr>
        <w:spacing w:line="360" w:lineRule="auto"/>
        <w:rPr>
          <w:rFonts w:ascii="Arial" w:hAnsi="Arial" w:cs="Arial"/>
          <w:sz w:val="22"/>
          <w:szCs w:val="22"/>
        </w:rPr>
      </w:pPr>
      <w:hyperlink r:id="rId14" w:history="1">
        <w:r w:rsidRPr="00BE2717">
          <w:rPr>
            <w:rStyle w:val="Hyperlink"/>
            <w:rFonts w:ascii="Arial" w:hAnsi="Arial" w:cs="Arial"/>
            <w:sz w:val="22"/>
            <w:szCs w:val="22"/>
          </w:rPr>
          <w:t>https://www.researchgate.net/profile/David-Thomas-57/publication/224029399_Chapter_3_from_Designing_and_managing_your_research_project_Core_skills_for_social_and_health_research/links/00b7d520eee9676c77000000/Chapter-3-from-Designing-and-managing-your-research-project-Core-skills-for-social-and-health-research.pdf</w:t>
        </w:r>
      </w:hyperlink>
    </w:p>
    <w:p w14:paraId="59AFDB09" w14:textId="5AA0DA23" w:rsidR="0079645D" w:rsidRDefault="0079645D" w:rsidP="002A579F">
      <w:pPr>
        <w:spacing w:line="360" w:lineRule="auto"/>
        <w:rPr>
          <w:rFonts w:ascii="Arial" w:hAnsi="Arial" w:cs="Arial"/>
          <w:sz w:val="22"/>
          <w:szCs w:val="22"/>
        </w:rPr>
      </w:pPr>
      <w:hyperlink r:id="rId15" w:history="1">
        <w:r w:rsidRPr="00BE2717">
          <w:rPr>
            <w:rStyle w:val="Hyperlink"/>
            <w:rFonts w:ascii="Arial" w:hAnsi="Arial" w:cs="Arial"/>
            <w:sz w:val="22"/>
            <w:szCs w:val="22"/>
          </w:rPr>
          <w:t>https://www.tescoplc.com/media/ch1fbgss/tesco-plc-preliminary-results-statement-fy26.pdf</w:t>
        </w:r>
      </w:hyperlink>
    </w:p>
    <w:p w14:paraId="257FD5CA" w14:textId="28ABCD47" w:rsidR="00091AE2" w:rsidRDefault="00091AE2" w:rsidP="002A579F">
      <w:pPr>
        <w:spacing w:line="360" w:lineRule="auto"/>
        <w:rPr>
          <w:rFonts w:ascii="Arial" w:hAnsi="Arial" w:cs="Arial"/>
          <w:sz w:val="22"/>
          <w:szCs w:val="22"/>
        </w:rPr>
      </w:pPr>
      <w:hyperlink r:id="rId16" w:history="1">
        <w:r w:rsidRPr="00BE2717">
          <w:rPr>
            <w:rStyle w:val="Hyperlink"/>
            <w:rFonts w:ascii="Arial" w:hAnsi="Arial" w:cs="Arial"/>
            <w:sz w:val="22"/>
            <w:szCs w:val="22"/>
          </w:rPr>
          <w:t>https://foodfoundation.org.uk/news/food-prices-tracker-june-2026</w:t>
        </w:r>
      </w:hyperlink>
    </w:p>
    <w:p w14:paraId="254446DF" w14:textId="44A3611E" w:rsidR="000B21C8" w:rsidRDefault="000B21C8" w:rsidP="002A579F">
      <w:pPr>
        <w:spacing w:line="360" w:lineRule="auto"/>
        <w:rPr>
          <w:rFonts w:ascii="Arial" w:hAnsi="Arial" w:cs="Arial"/>
          <w:sz w:val="22"/>
          <w:szCs w:val="22"/>
        </w:rPr>
      </w:pPr>
      <w:hyperlink r:id="rId17" w:history="1">
        <w:r w:rsidRPr="00BE2717">
          <w:rPr>
            <w:rStyle w:val="Hyperlink"/>
            <w:rFonts w:ascii="Arial" w:hAnsi="Arial" w:cs="Arial"/>
            <w:sz w:val="22"/>
            <w:szCs w:val="22"/>
          </w:rPr>
          <w:t>https://www.thecommerceteam.com/news-insights-events/uk-food-grocery-industry-challenges</w:t>
        </w:r>
      </w:hyperlink>
    </w:p>
    <w:p w14:paraId="633CE5BC" w14:textId="77777777" w:rsidR="000B21C8" w:rsidRDefault="000B21C8" w:rsidP="002A579F">
      <w:pPr>
        <w:spacing w:line="360" w:lineRule="auto"/>
        <w:rPr>
          <w:rFonts w:ascii="Arial" w:hAnsi="Arial" w:cs="Arial"/>
          <w:sz w:val="22"/>
          <w:szCs w:val="22"/>
        </w:rPr>
      </w:pPr>
    </w:p>
    <w:p w14:paraId="32A3BEDA" w14:textId="77777777" w:rsidR="00091AE2" w:rsidRDefault="00091AE2" w:rsidP="002A579F">
      <w:pPr>
        <w:spacing w:line="360" w:lineRule="auto"/>
        <w:rPr>
          <w:rFonts w:ascii="Arial" w:hAnsi="Arial" w:cs="Arial"/>
          <w:sz w:val="22"/>
          <w:szCs w:val="22"/>
        </w:rPr>
      </w:pPr>
    </w:p>
    <w:p w14:paraId="5CFD4EBE" w14:textId="77777777" w:rsidR="0079645D" w:rsidRDefault="0079645D" w:rsidP="002A579F">
      <w:pPr>
        <w:spacing w:line="360" w:lineRule="auto"/>
        <w:rPr>
          <w:rFonts w:ascii="Arial" w:hAnsi="Arial" w:cs="Arial"/>
          <w:sz w:val="22"/>
          <w:szCs w:val="22"/>
        </w:rPr>
      </w:pPr>
    </w:p>
    <w:p w14:paraId="137B3670" w14:textId="77777777" w:rsidR="00C854EB" w:rsidRDefault="00C854EB" w:rsidP="002A579F">
      <w:pPr>
        <w:spacing w:line="360" w:lineRule="auto"/>
        <w:rPr>
          <w:rFonts w:ascii="Arial" w:hAnsi="Arial" w:cs="Arial"/>
          <w:sz w:val="22"/>
          <w:szCs w:val="22"/>
        </w:rPr>
      </w:pPr>
    </w:p>
    <w:p w14:paraId="1FDC7DDB" w14:textId="77777777" w:rsidR="008B4A31" w:rsidRDefault="008B4A31" w:rsidP="002A579F">
      <w:pPr>
        <w:spacing w:line="360" w:lineRule="auto"/>
        <w:rPr>
          <w:rFonts w:ascii="Arial" w:hAnsi="Arial" w:cs="Arial"/>
          <w:sz w:val="22"/>
          <w:szCs w:val="22"/>
        </w:rPr>
      </w:pPr>
    </w:p>
    <w:p w14:paraId="70AC5CB4" w14:textId="77777777" w:rsidR="00E06602" w:rsidRDefault="00E06602" w:rsidP="002A579F">
      <w:pPr>
        <w:spacing w:line="360" w:lineRule="auto"/>
        <w:rPr>
          <w:rFonts w:ascii="Arial" w:hAnsi="Arial" w:cs="Arial"/>
          <w:sz w:val="22"/>
          <w:szCs w:val="22"/>
        </w:rPr>
      </w:pPr>
    </w:p>
    <w:p w14:paraId="36703E9A" w14:textId="77777777" w:rsidR="005D0169" w:rsidRPr="002A579F" w:rsidRDefault="005D0169" w:rsidP="002A579F">
      <w:pPr>
        <w:spacing w:line="360" w:lineRule="auto"/>
        <w:rPr>
          <w:rFonts w:ascii="Arial" w:hAnsi="Arial" w:cs="Arial"/>
          <w:sz w:val="22"/>
          <w:szCs w:val="22"/>
        </w:rPr>
      </w:pPr>
    </w:p>
    <w:p w14:paraId="05A1FC4B" w14:textId="77777777" w:rsidR="00E70E2A" w:rsidRDefault="00E70E2A" w:rsidP="00CF1CC7">
      <w:pPr>
        <w:spacing w:line="360" w:lineRule="auto"/>
        <w:rPr>
          <w:rFonts w:ascii="Arial" w:hAnsi="Arial" w:cs="Arial"/>
          <w:sz w:val="22"/>
          <w:szCs w:val="22"/>
        </w:rPr>
      </w:pPr>
    </w:p>
    <w:p w14:paraId="033D57F5" w14:textId="77777777" w:rsidR="00E83111" w:rsidRDefault="00E83111" w:rsidP="00CF1CC7">
      <w:pPr>
        <w:spacing w:line="360" w:lineRule="auto"/>
        <w:rPr>
          <w:rFonts w:ascii="Arial" w:hAnsi="Arial" w:cs="Arial"/>
          <w:sz w:val="22"/>
          <w:szCs w:val="22"/>
        </w:rPr>
      </w:pPr>
    </w:p>
    <w:p w14:paraId="10C57F41" w14:textId="77777777" w:rsidR="00E83111" w:rsidRDefault="00E83111" w:rsidP="00CF1CC7">
      <w:pPr>
        <w:spacing w:line="360" w:lineRule="auto"/>
        <w:rPr>
          <w:rFonts w:ascii="Arial" w:hAnsi="Arial" w:cs="Arial"/>
          <w:sz w:val="22"/>
          <w:szCs w:val="22"/>
        </w:rPr>
      </w:pPr>
    </w:p>
    <w:p w14:paraId="71610962" w14:textId="77777777" w:rsidR="00E83111" w:rsidRPr="00CF1CC7" w:rsidRDefault="00E83111" w:rsidP="00CF1CC7">
      <w:pPr>
        <w:spacing w:line="360" w:lineRule="auto"/>
        <w:rPr>
          <w:rFonts w:ascii="Arial" w:hAnsi="Arial" w:cs="Arial"/>
          <w:sz w:val="22"/>
          <w:szCs w:val="22"/>
        </w:rPr>
      </w:pPr>
    </w:p>
    <w:p w14:paraId="1304C96C" w14:textId="77777777" w:rsidR="00CF1CC7" w:rsidRDefault="00CF1CC7" w:rsidP="00CF1CC7">
      <w:pPr>
        <w:spacing w:line="360" w:lineRule="auto"/>
        <w:rPr>
          <w:rFonts w:ascii="Arial" w:hAnsi="Arial" w:cs="Arial"/>
          <w:sz w:val="22"/>
          <w:szCs w:val="22"/>
        </w:rPr>
      </w:pPr>
    </w:p>
    <w:p w14:paraId="144017E6" w14:textId="77777777" w:rsidR="00496B4A" w:rsidRPr="00367E22" w:rsidRDefault="00496B4A" w:rsidP="00367E22">
      <w:pPr>
        <w:spacing w:line="360" w:lineRule="auto"/>
        <w:rPr>
          <w:rFonts w:ascii="Arial" w:hAnsi="Arial" w:cs="Arial"/>
          <w:sz w:val="22"/>
          <w:szCs w:val="22"/>
        </w:rPr>
      </w:pPr>
    </w:p>
    <w:p w14:paraId="5E6E371D" w14:textId="77777777" w:rsidR="00367E22" w:rsidRPr="00367E22" w:rsidRDefault="00367E22" w:rsidP="00367E22"/>
    <w:sectPr w:rsidR="00367E22" w:rsidRPr="00367E2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F719B" w14:textId="77777777" w:rsidR="003D3A14" w:rsidRDefault="003D3A14" w:rsidP="004D4A8C">
      <w:pPr>
        <w:spacing w:after="0" w:line="240" w:lineRule="auto"/>
      </w:pPr>
      <w:r>
        <w:separator/>
      </w:r>
    </w:p>
  </w:endnote>
  <w:endnote w:type="continuationSeparator" w:id="0">
    <w:p w14:paraId="2C056680" w14:textId="77777777" w:rsidR="003D3A14" w:rsidRDefault="003D3A14" w:rsidP="004D4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56150"/>
      <w:docPartObj>
        <w:docPartGallery w:val="Page Numbers (Bottom of Page)"/>
        <w:docPartUnique/>
      </w:docPartObj>
    </w:sdtPr>
    <w:sdtEndPr>
      <w:rPr>
        <w:noProof/>
      </w:rPr>
    </w:sdtEndPr>
    <w:sdtContent>
      <w:p w14:paraId="7CA62AC1" w14:textId="133F31E7" w:rsidR="004D4A8C" w:rsidRDefault="004D4A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AAD863" w14:textId="77777777" w:rsidR="004D4A8C" w:rsidRDefault="004D4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4E90A" w14:textId="77777777" w:rsidR="003D3A14" w:rsidRDefault="003D3A14" w:rsidP="004D4A8C">
      <w:pPr>
        <w:spacing w:after="0" w:line="240" w:lineRule="auto"/>
      </w:pPr>
      <w:r>
        <w:separator/>
      </w:r>
    </w:p>
  </w:footnote>
  <w:footnote w:type="continuationSeparator" w:id="0">
    <w:p w14:paraId="226AF32A" w14:textId="77777777" w:rsidR="003D3A14" w:rsidRDefault="003D3A14" w:rsidP="004D4A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2DEBC6B-A6BD-4B31-8A40-CA86720BAAB7}"/>
    <w:docVar w:name="dgnword-eventsink" w:val="1627583133408"/>
  </w:docVars>
  <w:rsids>
    <w:rsidRoot w:val="00C518C7"/>
    <w:rsid w:val="000109A9"/>
    <w:rsid w:val="00016B43"/>
    <w:rsid w:val="00033AE4"/>
    <w:rsid w:val="000364E3"/>
    <w:rsid w:val="00054300"/>
    <w:rsid w:val="00072BCA"/>
    <w:rsid w:val="00072BEF"/>
    <w:rsid w:val="00077C6B"/>
    <w:rsid w:val="00084A4C"/>
    <w:rsid w:val="000859F6"/>
    <w:rsid w:val="00091AE2"/>
    <w:rsid w:val="0009547D"/>
    <w:rsid w:val="00095925"/>
    <w:rsid w:val="000A22E4"/>
    <w:rsid w:val="000A2F54"/>
    <w:rsid w:val="000A3A2F"/>
    <w:rsid w:val="000A4F12"/>
    <w:rsid w:val="000B21C8"/>
    <w:rsid w:val="000B3BC3"/>
    <w:rsid w:val="000B4D53"/>
    <w:rsid w:val="000C485E"/>
    <w:rsid w:val="000E317A"/>
    <w:rsid w:val="000E4B0B"/>
    <w:rsid w:val="000F3B30"/>
    <w:rsid w:val="000F5A00"/>
    <w:rsid w:val="000F7EF7"/>
    <w:rsid w:val="0010417F"/>
    <w:rsid w:val="001130B0"/>
    <w:rsid w:val="00113AC7"/>
    <w:rsid w:val="00124142"/>
    <w:rsid w:val="001323D5"/>
    <w:rsid w:val="00141676"/>
    <w:rsid w:val="00141FBA"/>
    <w:rsid w:val="001441E3"/>
    <w:rsid w:val="00152AF5"/>
    <w:rsid w:val="001548DD"/>
    <w:rsid w:val="00154C24"/>
    <w:rsid w:val="00180868"/>
    <w:rsid w:val="001873B5"/>
    <w:rsid w:val="00190E70"/>
    <w:rsid w:val="001959F2"/>
    <w:rsid w:val="001A419C"/>
    <w:rsid w:val="001B76F9"/>
    <w:rsid w:val="001E5417"/>
    <w:rsid w:val="00202F15"/>
    <w:rsid w:val="00205409"/>
    <w:rsid w:val="00222962"/>
    <w:rsid w:val="0024012B"/>
    <w:rsid w:val="00255CE2"/>
    <w:rsid w:val="00262C03"/>
    <w:rsid w:val="00272FFA"/>
    <w:rsid w:val="00273A38"/>
    <w:rsid w:val="00293E71"/>
    <w:rsid w:val="002A579F"/>
    <w:rsid w:val="002B1276"/>
    <w:rsid w:val="002B7442"/>
    <w:rsid w:val="002C4052"/>
    <w:rsid w:val="002D5C10"/>
    <w:rsid w:val="002E3061"/>
    <w:rsid w:val="002F2117"/>
    <w:rsid w:val="002F79A9"/>
    <w:rsid w:val="002F7E43"/>
    <w:rsid w:val="0030071C"/>
    <w:rsid w:val="00317D82"/>
    <w:rsid w:val="00342EEF"/>
    <w:rsid w:val="00345276"/>
    <w:rsid w:val="0034774D"/>
    <w:rsid w:val="00366816"/>
    <w:rsid w:val="00367E22"/>
    <w:rsid w:val="00371DEA"/>
    <w:rsid w:val="00372A02"/>
    <w:rsid w:val="00385B28"/>
    <w:rsid w:val="003905E5"/>
    <w:rsid w:val="003A1663"/>
    <w:rsid w:val="003A2871"/>
    <w:rsid w:val="003B0CD7"/>
    <w:rsid w:val="003B2D8D"/>
    <w:rsid w:val="003B6B29"/>
    <w:rsid w:val="003C1D0E"/>
    <w:rsid w:val="003D3A14"/>
    <w:rsid w:val="003D7586"/>
    <w:rsid w:val="003E2929"/>
    <w:rsid w:val="003F17DA"/>
    <w:rsid w:val="003F56FA"/>
    <w:rsid w:val="00401BD1"/>
    <w:rsid w:val="00411DB1"/>
    <w:rsid w:val="00414A72"/>
    <w:rsid w:val="00414EF4"/>
    <w:rsid w:val="004241CD"/>
    <w:rsid w:val="00427FBF"/>
    <w:rsid w:val="00437645"/>
    <w:rsid w:val="00444444"/>
    <w:rsid w:val="004448CD"/>
    <w:rsid w:val="00456D77"/>
    <w:rsid w:val="0046511D"/>
    <w:rsid w:val="004657CF"/>
    <w:rsid w:val="00467F6B"/>
    <w:rsid w:val="0047675A"/>
    <w:rsid w:val="00480E74"/>
    <w:rsid w:val="00484637"/>
    <w:rsid w:val="004933E2"/>
    <w:rsid w:val="00496B4A"/>
    <w:rsid w:val="004A7BE4"/>
    <w:rsid w:val="004B0199"/>
    <w:rsid w:val="004B69D5"/>
    <w:rsid w:val="004D20E5"/>
    <w:rsid w:val="004D29EC"/>
    <w:rsid w:val="004D343D"/>
    <w:rsid w:val="004D4658"/>
    <w:rsid w:val="004D4A8C"/>
    <w:rsid w:val="004D6C08"/>
    <w:rsid w:val="004F2273"/>
    <w:rsid w:val="004F3D57"/>
    <w:rsid w:val="00500336"/>
    <w:rsid w:val="00507709"/>
    <w:rsid w:val="0051516D"/>
    <w:rsid w:val="005172F3"/>
    <w:rsid w:val="00522479"/>
    <w:rsid w:val="00535FF2"/>
    <w:rsid w:val="005377F0"/>
    <w:rsid w:val="00540908"/>
    <w:rsid w:val="00541102"/>
    <w:rsid w:val="00543205"/>
    <w:rsid w:val="0054553B"/>
    <w:rsid w:val="00546424"/>
    <w:rsid w:val="00547AAC"/>
    <w:rsid w:val="005571DF"/>
    <w:rsid w:val="00565BD4"/>
    <w:rsid w:val="00572B38"/>
    <w:rsid w:val="005761A9"/>
    <w:rsid w:val="005801BC"/>
    <w:rsid w:val="005803D3"/>
    <w:rsid w:val="00581DC3"/>
    <w:rsid w:val="0059156F"/>
    <w:rsid w:val="00592E44"/>
    <w:rsid w:val="0059497E"/>
    <w:rsid w:val="005A5610"/>
    <w:rsid w:val="005B58F9"/>
    <w:rsid w:val="005C1E70"/>
    <w:rsid w:val="005C3FFD"/>
    <w:rsid w:val="005D0169"/>
    <w:rsid w:val="005D0366"/>
    <w:rsid w:val="005D6924"/>
    <w:rsid w:val="005E16EE"/>
    <w:rsid w:val="005E20E6"/>
    <w:rsid w:val="00610888"/>
    <w:rsid w:val="006139D4"/>
    <w:rsid w:val="00616E37"/>
    <w:rsid w:val="006223F7"/>
    <w:rsid w:val="006279D0"/>
    <w:rsid w:val="00650C83"/>
    <w:rsid w:val="00650F58"/>
    <w:rsid w:val="00652721"/>
    <w:rsid w:val="006542B9"/>
    <w:rsid w:val="00654877"/>
    <w:rsid w:val="0065738E"/>
    <w:rsid w:val="006610E0"/>
    <w:rsid w:val="00661A3B"/>
    <w:rsid w:val="0066343E"/>
    <w:rsid w:val="0068405A"/>
    <w:rsid w:val="0069487D"/>
    <w:rsid w:val="00696581"/>
    <w:rsid w:val="006A48A2"/>
    <w:rsid w:val="006B120C"/>
    <w:rsid w:val="006B2011"/>
    <w:rsid w:val="006B63D3"/>
    <w:rsid w:val="006C2822"/>
    <w:rsid w:val="006C49F9"/>
    <w:rsid w:val="006C55C9"/>
    <w:rsid w:val="006D2716"/>
    <w:rsid w:val="006D739F"/>
    <w:rsid w:val="006F2CAD"/>
    <w:rsid w:val="006F772D"/>
    <w:rsid w:val="0070637D"/>
    <w:rsid w:val="007112DD"/>
    <w:rsid w:val="00714350"/>
    <w:rsid w:val="00717569"/>
    <w:rsid w:val="00730933"/>
    <w:rsid w:val="00751DFC"/>
    <w:rsid w:val="00755126"/>
    <w:rsid w:val="007629F4"/>
    <w:rsid w:val="00763F08"/>
    <w:rsid w:val="007656CF"/>
    <w:rsid w:val="007707E7"/>
    <w:rsid w:val="007722AB"/>
    <w:rsid w:val="007741CD"/>
    <w:rsid w:val="007802BB"/>
    <w:rsid w:val="0079240D"/>
    <w:rsid w:val="0079645D"/>
    <w:rsid w:val="007A4DDF"/>
    <w:rsid w:val="007B0BA1"/>
    <w:rsid w:val="007B667D"/>
    <w:rsid w:val="007E3DB5"/>
    <w:rsid w:val="0080235D"/>
    <w:rsid w:val="0080733E"/>
    <w:rsid w:val="00825FF9"/>
    <w:rsid w:val="00832F14"/>
    <w:rsid w:val="008417ED"/>
    <w:rsid w:val="008531F5"/>
    <w:rsid w:val="00854A9B"/>
    <w:rsid w:val="00855FA0"/>
    <w:rsid w:val="00862ED7"/>
    <w:rsid w:val="008826AA"/>
    <w:rsid w:val="00893027"/>
    <w:rsid w:val="00896CC8"/>
    <w:rsid w:val="008A012B"/>
    <w:rsid w:val="008A14F5"/>
    <w:rsid w:val="008A18A9"/>
    <w:rsid w:val="008A20A6"/>
    <w:rsid w:val="008B4A31"/>
    <w:rsid w:val="008B5901"/>
    <w:rsid w:val="008C0021"/>
    <w:rsid w:val="008C36A2"/>
    <w:rsid w:val="008C482A"/>
    <w:rsid w:val="008D2DC9"/>
    <w:rsid w:val="008D43B8"/>
    <w:rsid w:val="008D7599"/>
    <w:rsid w:val="008E15A5"/>
    <w:rsid w:val="008E4568"/>
    <w:rsid w:val="008E52E3"/>
    <w:rsid w:val="008E7D34"/>
    <w:rsid w:val="008F13DB"/>
    <w:rsid w:val="008F1AE9"/>
    <w:rsid w:val="008F47E8"/>
    <w:rsid w:val="00904D77"/>
    <w:rsid w:val="009236A0"/>
    <w:rsid w:val="00925DE0"/>
    <w:rsid w:val="0092641F"/>
    <w:rsid w:val="00926F7A"/>
    <w:rsid w:val="00940D57"/>
    <w:rsid w:val="00942518"/>
    <w:rsid w:val="00951947"/>
    <w:rsid w:val="00954F35"/>
    <w:rsid w:val="00970DFA"/>
    <w:rsid w:val="00972757"/>
    <w:rsid w:val="00984822"/>
    <w:rsid w:val="009850B9"/>
    <w:rsid w:val="00987C2A"/>
    <w:rsid w:val="00997C47"/>
    <w:rsid w:val="009A204B"/>
    <w:rsid w:val="009A2B33"/>
    <w:rsid w:val="009A41C0"/>
    <w:rsid w:val="009C48BB"/>
    <w:rsid w:val="009D310F"/>
    <w:rsid w:val="009D40B1"/>
    <w:rsid w:val="009D542E"/>
    <w:rsid w:val="009D6BFF"/>
    <w:rsid w:val="009E1B15"/>
    <w:rsid w:val="00A048B5"/>
    <w:rsid w:val="00A154D5"/>
    <w:rsid w:val="00A341C7"/>
    <w:rsid w:val="00A40160"/>
    <w:rsid w:val="00A445F4"/>
    <w:rsid w:val="00A449EF"/>
    <w:rsid w:val="00A461A2"/>
    <w:rsid w:val="00A77426"/>
    <w:rsid w:val="00A8087E"/>
    <w:rsid w:val="00A8677C"/>
    <w:rsid w:val="00A86EE1"/>
    <w:rsid w:val="00A86F30"/>
    <w:rsid w:val="00AA064D"/>
    <w:rsid w:val="00AA4BEB"/>
    <w:rsid w:val="00AA6E07"/>
    <w:rsid w:val="00AB324F"/>
    <w:rsid w:val="00AD08BC"/>
    <w:rsid w:val="00AD1964"/>
    <w:rsid w:val="00AD3300"/>
    <w:rsid w:val="00AD7A8B"/>
    <w:rsid w:val="00AE4B32"/>
    <w:rsid w:val="00AF2715"/>
    <w:rsid w:val="00AF41CC"/>
    <w:rsid w:val="00B00049"/>
    <w:rsid w:val="00B2373B"/>
    <w:rsid w:val="00B24BAA"/>
    <w:rsid w:val="00B279A3"/>
    <w:rsid w:val="00B335A5"/>
    <w:rsid w:val="00B369E6"/>
    <w:rsid w:val="00B4193D"/>
    <w:rsid w:val="00B42F41"/>
    <w:rsid w:val="00B45594"/>
    <w:rsid w:val="00B45DAC"/>
    <w:rsid w:val="00B85670"/>
    <w:rsid w:val="00B946BB"/>
    <w:rsid w:val="00B962C8"/>
    <w:rsid w:val="00BA319F"/>
    <w:rsid w:val="00BA46A0"/>
    <w:rsid w:val="00BB1134"/>
    <w:rsid w:val="00BB2A76"/>
    <w:rsid w:val="00BC0C0A"/>
    <w:rsid w:val="00BC1A79"/>
    <w:rsid w:val="00BC3D1F"/>
    <w:rsid w:val="00BC3F62"/>
    <w:rsid w:val="00BD3D9D"/>
    <w:rsid w:val="00BE0D84"/>
    <w:rsid w:val="00BE0DC3"/>
    <w:rsid w:val="00BE7141"/>
    <w:rsid w:val="00BF2F14"/>
    <w:rsid w:val="00C01495"/>
    <w:rsid w:val="00C02C10"/>
    <w:rsid w:val="00C05D9C"/>
    <w:rsid w:val="00C20126"/>
    <w:rsid w:val="00C218BF"/>
    <w:rsid w:val="00C21D6B"/>
    <w:rsid w:val="00C239C0"/>
    <w:rsid w:val="00C334CF"/>
    <w:rsid w:val="00C3771F"/>
    <w:rsid w:val="00C518C7"/>
    <w:rsid w:val="00C65904"/>
    <w:rsid w:val="00C672E5"/>
    <w:rsid w:val="00C854EB"/>
    <w:rsid w:val="00C86B19"/>
    <w:rsid w:val="00C926CA"/>
    <w:rsid w:val="00C9281C"/>
    <w:rsid w:val="00CA0003"/>
    <w:rsid w:val="00CA756A"/>
    <w:rsid w:val="00CB0E0F"/>
    <w:rsid w:val="00CC5FB1"/>
    <w:rsid w:val="00CD1538"/>
    <w:rsid w:val="00CD3611"/>
    <w:rsid w:val="00CD47A7"/>
    <w:rsid w:val="00CD5AAF"/>
    <w:rsid w:val="00CE46F6"/>
    <w:rsid w:val="00CF1CC7"/>
    <w:rsid w:val="00D23CB3"/>
    <w:rsid w:val="00D26AEE"/>
    <w:rsid w:val="00D32843"/>
    <w:rsid w:val="00D370AA"/>
    <w:rsid w:val="00D53A27"/>
    <w:rsid w:val="00D64548"/>
    <w:rsid w:val="00D64B87"/>
    <w:rsid w:val="00D86C38"/>
    <w:rsid w:val="00D873DB"/>
    <w:rsid w:val="00D901F3"/>
    <w:rsid w:val="00D93B34"/>
    <w:rsid w:val="00D95F71"/>
    <w:rsid w:val="00DA2E26"/>
    <w:rsid w:val="00DA6F22"/>
    <w:rsid w:val="00DA7515"/>
    <w:rsid w:val="00DD5086"/>
    <w:rsid w:val="00DD55C4"/>
    <w:rsid w:val="00DE3998"/>
    <w:rsid w:val="00E02F47"/>
    <w:rsid w:val="00E06602"/>
    <w:rsid w:val="00E246CB"/>
    <w:rsid w:val="00E278A3"/>
    <w:rsid w:val="00E3044A"/>
    <w:rsid w:val="00E3074C"/>
    <w:rsid w:val="00E37F14"/>
    <w:rsid w:val="00E51BCE"/>
    <w:rsid w:val="00E54062"/>
    <w:rsid w:val="00E66523"/>
    <w:rsid w:val="00E70E2A"/>
    <w:rsid w:val="00E70F93"/>
    <w:rsid w:val="00E743C1"/>
    <w:rsid w:val="00E74578"/>
    <w:rsid w:val="00E83111"/>
    <w:rsid w:val="00E930B5"/>
    <w:rsid w:val="00E946DC"/>
    <w:rsid w:val="00EA03AE"/>
    <w:rsid w:val="00EA1C00"/>
    <w:rsid w:val="00EA27E5"/>
    <w:rsid w:val="00EA43BA"/>
    <w:rsid w:val="00EA736B"/>
    <w:rsid w:val="00EC0CBD"/>
    <w:rsid w:val="00ED2E43"/>
    <w:rsid w:val="00ED6FAE"/>
    <w:rsid w:val="00EE3E24"/>
    <w:rsid w:val="00EE4F4C"/>
    <w:rsid w:val="00EF17FE"/>
    <w:rsid w:val="00EF2E81"/>
    <w:rsid w:val="00F02083"/>
    <w:rsid w:val="00F13E87"/>
    <w:rsid w:val="00F165A7"/>
    <w:rsid w:val="00F208F7"/>
    <w:rsid w:val="00F21ACE"/>
    <w:rsid w:val="00F21E13"/>
    <w:rsid w:val="00F25A3D"/>
    <w:rsid w:val="00F2685B"/>
    <w:rsid w:val="00F40B4E"/>
    <w:rsid w:val="00F4227E"/>
    <w:rsid w:val="00F430DE"/>
    <w:rsid w:val="00F43873"/>
    <w:rsid w:val="00F47C61"/>
    <w:rsid w:val="00F540DB"/>
    <w:rsid w:val="00F7039E"/>
    <w:rsid w:val="00F937E7"/>
    <w:rsid w:val="00FA5469"/>
    <w:rsid w:val="00FB7C76"/>
    <w:rsid w:val="00FC1F47"/>
    <w:rsid w:val="00FD0105"/>
    <w:rsid w:val="00FD7F5D"/>
    <w:rsid w:val="00FE22F7"/>
    <w:rsid w:val="00FF5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A6F58"/>
  <w15:chartTrackingRefBased/>
  <w15:docId w15:val="{C576E7F3-DA17-4AB6-9E8A-5B982B7DA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1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1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1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1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8C7"/>
    <w:rPr>
      <w:rFonts w:eastAsiaTheme="majorEastAsia" w:cstheme="majorBidi"/>
      <w:color w:val="272727" w:themeColor="text1" w:themeTint="D8"/>
    </w:rPr>
  </w:style>
  <w:style w:type="paragraph" w:styleId="Title">
    <w:name w:val="Title"/>
    <w:basedOn w:val="Normal"/>
    <w:next w:val="Normal"/>
    <w:link w:val="TitleChar"/>
    <w:uiPriority w:val="10"/>
    <w:qFormat/>
    <w:rsid w:val="00C51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8C7"/>
    <w:pPr>
      <w:spacing w:before="160"/>
      <w:jc w:val="center"/>
    </w:pPr>
    <w:rPr>
      <w:i/>
      <w:iCs/>
      <w:color w:val="404040" w:themeColor="text1" w:themeTint="BF"/>
    </w:rPr>
  </w:style>
  <w:style w:type="character" w:customStyle="1" w:styleId="QuoteChar">
    <w:name w:val="Quote Char"/>
    <w:basedOn w:val="DefaultParagraphFont"/>
    <w:link w:val="Quote"/>
    <w:uiPriority w:val="29"/>
    <w:rsid w:val="00C518C7"/>
    <w:rPr>
      <w:i/>
      <w:iCs/>
      <w:color w:val="404040" w:themeColor="text1" w:themeTint="BF"/>
    </w:rPr>
  </w:style>
  <w:style w:type="paragraph" w:styleId="ListParagraph">
    <w:name w:val="List Paragraph"/>
    <w:basedOn w:val="Normal"/>
    <w:uiPriority w:val="34"/>
    <w:qFormat/>
    <w:rsid w:val="00C518C7"/>
    <w:pPr>
      <w:ind w:left="720"/>
      <w:contextualSpacing/>
    </w:pPr>
  </w:style>
  <w:style w:type="character" w:styleId="IntenseEmphasis">
    <w:name w:val="Intense Emphasis"/>
    <w:basedOn w:val="DefaultParagraphFont"/>
    <w:uiPriority w:val="21"/>
    <w:qFormat/>
    <w:rsid w:val="00C518C7"/>
    <w:rPr>
      <w:i/>
      <w:iCs/>
      <w:color w:val="0F4761" w:themeColor="accent1" w:themeShade="BF"/>
    </w:rPr>
  </w:style>
  <w:style w:type="paragraph" w:styleId="IntenseQuote">
    <w:name w:val="Intense Quote"/>
    <w:basedOn w:val="Normal"/>
    <w:next w:val="Normal"/>
    <w:link w:val="IntenseQuoteChar"/>
    <w:uiPriority w:val="30"/>
    <w:qFormat/>
    <w:rsid w:val="00C51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8C7"/>
    <w:rPr>
      <w:i/>
      <w:iCs/>
      <w:color w:val="0F4761" w:themeColor="accent1" w:themeShade="BF"/>
    </w:rPr>
  </w:style>
  <w:style w:type="character" w:styleId="IntenseReference">
    <w:name w:val="Intense Reference"/>
    <w:basedOn w:val="DefaultParagraphFont"/>
    <w:uiPriority w:val="32"/>
    <w:qFormat/>
    <w:rsid w:val="00C518C7"/>
    <w:rPr>
      <w:b/>
      <w:bCs/>
      <w:smallCaps/>
      <w:color w:val="0F4761" w:themeColor="accent1" w:themeShade="BF"/>
      <w:spacing w:val="5"/>
    </w:rPr>
  </w:style>
  <w:style w:type="paragraph" w:styleId="Header">
    <w:name w:val="header"/>
    <w:basedOn w:val="Normal"/>
    <w:link w:val="HeaderChar"/>
    <w:uiPriority w:val="99"/>
    <w:unhideWhenUsed/>
    <w:rsid w:val="004D4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A8C"/>
  </w:style>
  <w:style w:type="paragraph" w:styleId="Footer">
    <w:name w:val="footer"/>
    <w:basedOn w:val="Normal"/>
    <w:link w:val="FooterChar"/>
    <w:uiPriority w:val="99"/>
    <w:unhideWhenUsed/>
    <w:rsid w:val="004D4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A8C"/>
  </w:style>
  <w:style w:type="table" w:styleId="TableGrid">
    <w:name w:val="Table Grid"/>
    <w:basedOn w:val="TableNormal"/>
    <w:uiPriority w:val="39"/>
    <w:rsid w:val="00537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6C2822"/>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PlainTable5">
    <w:name w:val="Plain Table 5"/>
    <w:basedOn w:val="TableNormal"/>
    <w:uiPriority w:val="45"/>
    <w:rsid w:val="00AA064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273A3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73A38"/>
    <w:pPr>
      <w:spacing w:after="100"/>
    </w:pPr>
  </w:style>
  <w:style w:type="paragraph" w:styleId="TOC2">
    <w:name w:val="toc 2"/>
    <w:basedOn w:val="Normal"/>
    <w:next w:val="Normal"/>
    <w:autoRedefine/>
    <w:uiPriority w:val="39"/>
    <w:unhideWhenUsed/>
    <w:rsid w:val="00273A38"/>
    <w:pPr>
      <w:spacing w:after="100"/>
      <w:ind w:left="240"/>
    </w:pPr>
  </w:style>
  <w:style w:type="character" w:styleId="Hyperlink">
    <w:name w:val="Hyperlink"/>
    <w:basedOn w:val="DefaultParagraphFont"/>
    <w:uiPriority w:val="99"/>
    <w:unhideWhenUsed/>
    <w:rsid w:val="00273A38"/>
    <w:rPr>
      <w:color w:val="467886" w:themeColor="hyperlink"/>
      <w:u w:val="single"/>
    </w:rPr>
  </w:style>
  <w:style w:type="character" w:styleId="UnresolvedMention">
    <w:name w:val="Unresolved Mention"/>
    <w:basedOn w:val="DefaultParagraphFont"/>
    <w:uiPriority w:val="99"/>
    <w:semiHidden/>
    <w:unhideWhenUsed/>
    <w:rsid w:val="00AF2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d.com/articles/uk-grocery-channel-forecasts-2025-2030/71358" TargetMode="External"/><Relationship Id="rId13" Type="http://schemas.openxmlformats.org/officeDocument/2006/relationships/hyperlink" Target="https://hyperisland.com/en/blog/hyper-insights/top-7-strategic-frameworks-every-leader-should-know"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gd.com/articles/uk-grocery-channel-forecasts-2025-2030/71358" TargetMode="External"/><Relationship Id="rId17" Type="http://schemas.openxmlformats.org/officeDocument/2006/relationships/hyperlink" Target="https://www.thecommerceteam.com/news-insights-events/uk-food-grocery-industry-challenges" TargetMode="External"/><Relationship Id="rId2" Type="http://schemas.openxmlformats.org/officeDocument/2006/relationships/styles" Target="styles.xml"/><Relationship Id="rId16" Type="http://schemas.openxmlformats.org/officeDocument/2006/relationships/hyperlink" Target="https://foodfoundation.org.uk/news/food-prices-tracker-june-202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ore.mintel.com/report/uk-customer-loyalty-in-retailing-market-report" TargetMode="External"/><Relationship Id="rId5" Type="http://schemas.openxmlformats.org/officeDocument/2006/relationships/footnotes" Target="footnotes.xml"/><Relationship Id="rId15" Type="http://schemas.openxmlformats.org/officeDocument/2006/relationships/hyperlink" Target="https://www.tescoplc.com/media/ch1fbgss/tesco-plc-preliminary-results-statement-fy26.pdf" TargetMode="External"/><Relationship Id="rId10" Type="http://schemas.openxmlformats.org/officeDocument/2006/relationships/hyperlink" Target="https://www.londonstockexchange.com/news-article/TSCO/interim-results-2025-26/1725960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ore.mintel.com/report/uk-customer-loyalty-in-retailing-market-report" TargetMode="External"/><Relationship Id="rId14" Type="http://schemas.openxmlformats.org/officeDocument/2006/relationships/hyperlink" Target="https://www.researchgate.net/profile/David-Thomas-57/publication/224029399_Chapter_3_from_Designing_and_managing_your_research_project_Core_skills_for_social_and_health_research/links/00b7d520eee9676c77000000/Chapter-3-from-Designing-and-managing-your-research-project-Core-skills-for-social-and-health-resear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AC02B-A423-4016-8CC6-9D613616B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4357</Words>
  <Characters>24837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Johnson (2319756)</dc:creator>
  <cp:keywords/>
  <dc:description/>
  <cp:lastModifiedBy>Stephanie Johnson (2319756)</cp:lastModifiedBy>
  <cp:revision>4</cp:revision>
  <dcterms:created xsi:type="dcterms:W3CDTF">2026-07-13T12:23:00Z</dcterms:created>
  <dcterms:modified xsi:type="dcterms:W3CDTF">2026-07-13T12:28:00Z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46df60c6-2c52-4226-ae86-24cbabcf6027</vt:lpwstr>
  </property>
</Properties>
</file>