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9A296" w14:textId="3B6F2160" w:rsidR="00624145" w:rsidRPr="00E93419" w:rsidRDefault="00E93419" w:rsidP="00E93419">
      <w:pPr>
        <w:spacing w:line="360" w:lineRule="auto"/>
        <w:jc w:val="center"/>
        <w:rPr>
          <w:rFonts w:ascii="Arial" w:hAnsi="Arial" w:cs="Arial"/>
          <w:b/>
          <w:bCs/>
          <w:sz w:val="22"/>
          <w:szCs w:val="22"/>
        </w:rPr>
      </w:pPr>
      <w:r w:rsidRPr="00E93419">
        <w:rPr>
          <w:rFonts w:ascii="Arial" w:hAnsi="Arial" w:cs="Arial"/>
          <w:b/>
          <w:bCs/>
          <w:noProof/>
          <w:sz w:val="22"/>
          <w:szCs w:val="22"/>
        </w:rPr>
        <w:drawing>
          <wp:inline distT="0" distB="0" distL="0" distR="0" wp14:anchorId="2C5D9311" wp14:editId="017A704D">
            <wp:extent cx="4752975" cy="1895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pic:spPr>
                </pic:pic>
              </a:graphicData>
            </a:graphic>
          </wp:inline>
        </w:drawing>
      </w:r>
    </w:p>
    <w:p w14:paraId="760F3359"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Master of Business Administration</w:t>
      </w:r>
    </w:p>
    <w:p w14:paraId="4031DBE3"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i/>
          <w:iCs/>
          <w:sz w:val="22"/>
          <w:szCs w:val="22"/>
        </w:rPr>
        <w:t>LCMB7034 — International Business Concepts</w:t>
      </w:r>
    </w:p>
    <w:p w14:paraId="53CD655C"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noProof/>
          <w:sz w:val="22"/>
          <w:szCs w:val="22"/>
        </w:rPr>
        <w:drawing>
          <wp:inline distT="0" distB="0" distL="0" distR="0" wp14:anchorId="72C98968" wp14:editId="38A946D4">
            <wp:extent cx="22860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286000" cy="1143000"/>
                    </a:xfrm>
                    <a:prstGeom prst="rect">
                      <a:avLst/>
                    </a:prstGeom>
                  </pic:spPr>
                </pic:pic>
              </a:graphicData>
            </a:graphic>
          </wp:inline>
        </w:drawing>
      </w:r>
    </w:p>
    <w:p w14:paraId="09B668B8"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t>International Business Report</w:t>
      </w:r>
    </w:p>
    <w:p w14:paraId="35DC1CB5"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i/>
          <w:iCs/>
          <w:sz w:val="22"/>
          <w:szCs w:val="22"/>
        </w:rPr>
        <w:t>The Pharmaceutical Industry in India and Pfizer Inc.'s Operations</w:t>
      </w:r>
    </w:p>
    <w:p w14:paraId="584618A1"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Submitted by: </w:t>
      </w:r>
      <w:proofErr w:type="spellStart"/>
      <w:r w:rsidRPr="00E93419">
        <w:rPr>
          <w:rFonts w:ascii="Arial" w:hAnsi="Arial" w:cs="Arial"/>
          <w:sz w:val="22"/>
          <w:szCs w:val="22"/>
        </w:rPr>
        <w:t>Rezaul</w:t>
      </w:r>
      <w:proofErr w:type="spellEnd"/>
      <w:r w:rsidRPr="00E93419">
        <w:rPr>
          <w:rFonts w:ascii="Arial" w:hAnsi="Arial" w:cs="Arial"/>
          <w:sz w:val="22"/>
          <w:szCs w:val="22"/>
        </w:rPr>
        <w:t xml:space="preserve"> Karim</w:t>
      </w:r>
    </w:p>
    <w:p w14:paraId="142BC044" w14:textId="7AEEA524"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Student ID: </w:t>
      </w:r>
      <w:r w:rsidR="00E93419" w:rsidRPr="00E93419">
        <w:rPr>
          <w:rFonts w:ascii="Arial" w:hAnsi="Arial" w:cs="Arial"/>
          <w:sz w:val="22"/>
          <w:szCs w:val="22"/>
        </w:rPr>
        <w:t>2436008</w:t>
      </w:r>
    </w:p>
    <w:p w14:paraId="6D7BBA21" w14:textId="018D21D8"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Lecturer: </w:t>
      </w:r>
      <w:proofErr w:type="spellStart"/>
      <w:r w:rsidR="00E93419" w:rsidRPr="00E93419">
        <w:rPr>
          <w:rFonts w:ascii="Arial" w:hAnsi="Arial" w:cs="Arial"/>
          <w:sz w:val="22"/>
          <w:szCs w:val="22"/>
        </w:rPr>
        <w:t>Dr.</w:t>
      </w:r>
      <w:proofErr w:type="spellEnd"/>
      <w:r w:rsidR="00E93419" w:rsidRPr="00E93419">
        <w:rPr>
          <w:rFonts w:ascii="Arial" w:hAnsi="Arial" w:cs="Arial"/>
          <w:sz w:val="22"/>
          <w:szCs w:val="22"/>
        </w:rPr>
        <w:t xml:space="preserve"> Jean Wang</w:t>
      </w:r>
    </w:p>
    <w:p w14:paraId="3EA0847E"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Submission Date: 27th April 2026</w:t>
      </w:r>
    </w:p>
    <w:p w14:paraId="2F079D08" w14:textId="5A8A942A" w:rsidR="00624145" w:rsidRPr="00E93419" w:rsidRDefault="00C0433A" w:rsidP="00E93419">
      <w:pPr>
        <w:spacing w:line="360" w:lineRule="auto"/>
        <w:jc w:val="center"/>
        <w:rPr>
          <w:rFonts w:ascii="Arial" w:hAnsi="Arial" w:cs="Arial"/>
          <w:sz w:val="22"/>
          <w:szCs w:val="22"/>
        </w:rPr>
      </w:pPr>
      <w:r w:rsidRPr="00E93419">
        <w:rPr>
          <w:rFonts w:ascii="Arial" w:hAnsi="Arial" w:cs="Arial"/>
          <w:sz w:val="22"/>
          <w:szCs w:val="22"/>
        </w:rPr>
        <w:t xml:space="preserve">Word Count: </w:t>
      </w:r>
      <w:r w:rsidR="00E93419" w:rsidRPr="00E93419">
        <w:rPr>
          <w:rFonts w:ascii="Arial" w:hAnsi="Arial" w:cs="Arial"/>
          <w:sz w:val="22"/>
          <w:szCs w:val="22"/>
        </w:rPr>
        <w:t xml:space="preserve">4571 </w:t>
      </w:r>
    </w:p>
    <w:p w14:paraId="52200BC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sdt>
      <w:sdtPr>
        <w:rPr>
          <w:rFonts w:ascii="Arial" w:hAnsi="Arial" w:cs="Arial"/>
          <w:color w:val="auto"/>
          <w:sz w:val="22"/>
          <w:szCs w:val="22"/>
        </w:rPr>
        <w:id w:val="1805660264"/>
        <w:docPartObj>
          <w:docPartGallery w:val="Table of Contents"/>
          <w:docPartUnique/>
        </w:docPartObj>
      </w:sdtPr>
      <w:sdtEndPr>
        <w:rPr>
          <w:rFonts w:eastAsia="Times New Roman"/>
          <w:b/>
          <w:bCs/>
          <w:noProof/>
          <w:lang w:val="en-GB" w:eastAsia="en-GB"/>
        </w:rPr>
      </w:sdtEndPr>
      <w:sdtContent>
        <w:p w14:paraId="4119B11E" w14:textId="60A5057D" w:rsidR="00E93419" w:rsidRPr="00E93419" w:rsidRDefault="00E93419" w:rsidP="00E93419">
          <w:pPr>
            <w:pStyle w:val="TOCHeading"/>
            <w:spacing w:before="0" w:line="360" w:lineRule="auto"/>
            <w:rPr>
              <w:rFonts w:ascii="Arial" w:hAnsi="Arial" w:cs="Arial"/>
              <w:color w:val="auto"/>
              <w:sz w:val="22"/>
              <w:szCs w:val="22"/>
            </w:rPr>
          </w:pPr>
          <w:r w:rsidRPr="00E93419">
            <w:rPr>
              <w:rFonts w:ascii="Arial" w:hAnsi="Arial" w:cs="Arial"/>
              <w:color w:val="auto"/>
              <w:sz w:val="22"/>
              <w:szCs w:val="22"/>
            </w:rPr>
            <w:t>Table of Contents</w:t>
          </w:r>
        </w:p>
        <w:p w14:paraId="144933D5" w14:textId="0A6B7212" w:rsidR="00E93419" w:rsidRPr="00E93419" w:rsidRDefault="00E93419" w:rsidP="00E93419">
          <w:pPr>
            <w:pStyle w:val="TOC1"/>
            <w:tabs>
              <w:tab w:val="right" w:leader="dot" w:pos="9016"/>
            </w:tabs>
            <w:spacing w:after="0" w:line="360" w:lineRule="auto"/>
            <w:rPr>
              <w:rFonts w:ascii="Arial" w:hAnsi="Arial" w:cs="Arial"/>
              <w:noProof/>
              <w:sz w:val="22"/>
              <w:szCs w:val="22"/>
            </w:rPr>
          </w:pPr>
          <w:r w:rsidRPr="00E93419">
            <w:rPr>
              <w:rFonts w:ascii="Arial" w:hAnsi="Arial" w:cs="Arial"/>
              <w:sz w:val="22"/>
              <w:szCs w:val="22"/>
            </w:rPr>
            <w:fldChar w:fldCharType="begin"/>
          </w:r>
          <w:r w:rsidRPr="00E93419">
            <w:rPr>
              <w:rFonts w:ascii="Arial" w:hAnsi="Arial" w:cs="Arial"/>
              <w:sz w:val="22"/>
              <w:szCs w:val="22"/>
            </w:rPr>
            <w:instrText xml:space="preserve"> TOC \o "1-3" \h \z \u </w:instrText>
          </w:r>
          <w:r w:rsidRPr="00E93419">
            <w:rPr>
              <w:rFonts w:ascii="Arial" w:hAnsi="Arial" w:cs="Arial"/>
              <w:sz w:val="22"/>
              <w:szCs w:val="22"/>
            </w:rPr>
            <w:fldChar w:fldCharType="separate"/>
          </w:r>
          <w:hyperlink w:anchor="_Toc228166698" w:history="1">
            <w:r w:rsidRPr="00E93419">
              <w:rPr>
                <w:rStyle w:val="Hyperlink"/>
                <w:rFonts w:ascii="Arial" w:hAnsi="Arial" w:cs="Arial"/>
                <w:noProof/>
                <w:color w:val="auto"/>
                <w:sz w:val="22"/>
                <w:szCs w:val="22"/>
              </w:rPr>
              <w:t>1. Introduction (≈150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_Toc228166698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3</w:t>
            </w:r>
            <w:r w:rsidRPr="00E93419">
              <w:rPr>
                <w:rFonts w:ascii="Arial" w:hAnsi="Arial" w:cs="Arial"/>
                <w:noProof/>
                <w:webHidden/>
                <w:sz w:val="22"/>
                <w:szCs w:val="22"/>
              </w:rPr>
              <w:fldChar w:fldCharType="end"/>
            </w:r>
          </w:hyperlink>
        </w:p>
        <w:p w14:paraId="57562208" w14:textId="70CF4C9D"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699" w:history="1">
            <w:r w:rsidRPr="00E93419">
              <w:rPr>
                <w:rStyle w:val="Hyperlink"/>
                <w:rFonts w:ascii="Arial" w:hAnsi="Arial" w:cs="Arial"/>
                <w:noProof/>
                <w:color w:val="auto"/>
                <w:sz w:val="22"/>
                <w:szCs w:val="22"/>
              </w:rPr>
              <w:t>2. Industry and Country Overview (≈800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_Toc228166699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3</w:t>
            </w:r>
            <w:r w:rsidRPr="00E93419">
              <w:rPr>
                <w:rFonts w:ascii="Arial" w:hAnsi="Arial" w:cs="Arial"/>
                <w:noProof/>
                <w:webHidden/>
                <w:sz w:val="22"/>
                <w:szCs w:val="22"/>
              </w:rPr>
              <w:fldChar w:fldCharType="end"/>
            </w:r>
          </w:hyperlink>
        </w:p>
        <w:p w14:paraId="1E647AD4" w14:textId="53C9D934"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0" w:history="1">
            <w:r w:rsidRPr="00E93419">
              <w:rPr>
                <w:rStyle w:val="Hyperlink"/>
                <w:rFonts w:ascii="Arial" w:hAnsi="Arial" w:cs="Arial"/>
                <w:noProof/>
                <w:color w:val="auto"/>
                <w:sz w:val="22"/>
                <w:szCs w:val="22"/>
              </w:rPr>
              <w:t>2.1 India and the Pharmaceutical Industry in Context</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_Toc228166700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3</w:t>
            </w:r>
            <w:r w:rsidRPr="00E93419">
              <w:rPr>
                <w:rFonts w:ascii="Arial" w:hAnsi="Arial" w:cs="Arial"/>
                <w:noProof/>
                <w:webHidden/>
                <w:sz w:val="22"/>
                <w:szCs w:val="22"/>
              </w:rPr>
              <w:fldChar w:fldCharType="end"/>
            </w:r>
          </w:hyperlink>
        </w:p>
        <w:p w14:paraId="0FC8DC67" w14:textId="313775C4"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1" w:history="1">
            <w:r w:rsidRPr="00E93419">
              <w:rPr>
                <w:rStyle w:val="Hyperlink"/>
                <w:rFonts w:ascii="Arial" w:hAnsi="Arial" w:cs="Arial"/>
                <w:noProof/>
                <w:color w:val="auto"/>
                <w:sz w:val="22"/>
                <w:szCs w:val="22"/>
              </w:rPr>
              <w:t>2.2 Size, Scope and Economic Importance</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_Toc228166701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4</w:t>
            </w:r>
            <w:r w:rsidRPr="00E93419">
              <w:rPr>
                <w:rFonts w:ascii="Arial" w:hAnsi="Arial" w:cs="Arial"/>
                <w:noProof/>
                <w:webHidden/>
                <w:sz w:val="22"/>
                <w:szCs w:val="22"/>
              </w:rPr>
              <w:fldChar w:fldCharType="end"/>
            </w:r>
          </w:hyperlink>
        </w:p>
        <w:p w14:paraId="27BC168A" w14:textId="0F6A798C"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2" w:history="1">
            <w:r w:rsidRPr="00E93419">
              <w:rPr>
                <w:rStyle w:val="Hyperlink"/>
                <w:rFonts w:ascii="Arial" w:hAnsi="Arial" w:cs="Arial"/>
                <w:noProof/>
                <w:color w:val="auto"/>
                <w:sz w:val="22"/>
                <w:szCs w:val="22"/>
              </w:rPr>
              <w:t>2.3 Major Domestic and Multinational Firms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_Toc228166702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4</w:t>
            </w:r>
            <w:r w:rsidRPr="00E93419">
              <w:rPr>
                <w:rFonts w:ascii="Arial" w:hAnsi="Arial" w:cs="Arial"/>
                <w:noProof/>
                <w:webHidden/>
                <w:sz w:val="22"/>
                <w:szCs w:val="22"/>
              </w:rPr>
              <w:fldChar w:fldCharType="end"/>
            </w:r>
          </w:hyperlink>
        </w:p>
        <w:p w14:paraId="75B96BAB" w14:textId="55F407C1"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703" w:history="1">
            <w:r w:rsidRPr="00E93419">
              <w:rPr>
                <w:rStyle w:val="Hyperlink"/>
                <w:rFonts w:ascii="Arial" w:hAnsi="Arial" w:cs="Arial"/>
                <w:noProof/>
                <w:color w:val="auto"/>
                <w:sz w:val="22"/>
                <w:szCs w:val="22"/>
              </w:rPr>
              <w:t>3. Porter's Diamond Model — Global Competitiveness of the Indian Pharmaceutical Industry (≈800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_Toc228166703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6</w:t>
            </w:r>
            <w:r w:rsidRPr="00E93419">
              <w:rPr>
                <w:rFonts w:ascii="Arial" w:hAnsi="Arial" w:cs="Arial"/>
                <w:noProof/>
                <w:webHidden/>
                <w:sz w:val="22"/>
                <w:szCs w:val="22"/>
              </w:rPr>
              <w:fldChar w:fldCharType="end"/>
            </w:r>
          </w:hyperlink>
        </w:p>
        <w:p w14:paraId="65648085" w14:textId="5F0924F6"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4" w:history="1">
            <w:r w:rsidRPr="00E93419">
              <w:rPr>
                <w:rStyle w:val="Hyperlink"/>
                <w:rFonts w:ascii="Arial" w:hAnsi="Arial" w:cs="Arial"/>
                <w:noProof/>
                <w:color w:val="auto"/>
                <w:sz w:val="22"/>
                <w:szCs w:val="22"/>
              </w:rPr>
              <w:t>3.1 Factor Conditions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_Toc228166704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6</w:t>
            </w:r>
            <w:r w:rsidRPr="00E93419">
              <w:rPr>
                <w:rFonts w:ascii="Arial" w:hAnsi="Arial" w:cs="Arial"/>
                <w:noProof/>
                <w:webHidden/>
                <w:sz w:val="22"/>
                <w:szCs w:val="22"/>
              </w:rPr>
              <w:fldChar w:fldCharType="end"/>
            </w:r>
          </w:hyperlink>
        </w:p>
        <w:p w14:paraId="5BA362D4" w14:textId="418B4BFD"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5" w:history="1">
            <w:r w:rsidRPr="00E93419">
              <w:rPr>
                <w:rStyle w:val="Hyperlink"/>
                <w:rFonts w:ascii="Arial" w:hAnsi="Arial" w:cs="Arial"/>
                <w:noProof/>
                <w:color w:val="auto"/>
                <w:sz w:val="22"/>
                <w:szCs w:val="22"/>
              </w:rPr>
              <w:t>3.2 Demand Conditions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_Toc228166705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7</w:t>
            </w:r>
            <w:r w:rsidRPr="00E93419">
              <w:rPr>
                <w:rFonts w:ascii="Arial" w:hAnsi="Arial" w:cs="Arial"/>
                <w:noProof/>
                <w:webHidden/>
                <w:sz w:val="22"/>
                <w:szCs w:val="22"/>
              </w:rPr>
              <w:fldChar w:fldCharType="end"/>
            </w:r>
          </w:hyperlink>
        </w:p>
        <w:p w14:paraId="26134A2A" w14:textId="50E93B21"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6" w:history="1">
            <w:r w:rsidRPr="00E93419">
              <w:rPr>
                <w:rStyle w:val="Hyperlink"/>
                <w:rFonts w:ascii="Arial" w:hAnsi="Arial" w:cs="Arial"/>
                <w:noProof/>
                <w:color w:val="auto"/>
                <w:sz w:val="22"/>
                <w:szCs w:val="22"/>
              </w:rPr>
              <w:t>3.3 Related and Supporting Industries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_Toc228166706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7</w:t>
            </w:r>
            <w:r w:rsidRPr="00E93419">
              <w:rPr>
                <w:rFonts w:ascii="Arial" w:hAnsi="Arial" w:cs="Arial"/>
                <w:noProof/>
                <w:webHidden/>
                <w:sz w:val="22"/>
                <w:szCs w:val="22"/>
              </w:rPr>
              <w:fldChar w:fldCharType="end"/>
            </w:r>
          </w:hyperlink>
        </w:p>
        <w:p w14:paraId="4D10FD5B" w14:textId="65DCC26D"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7" w:history="1">
            <w:r w:rsidRPr="00E93419">
              <w:rPr>
                <w:rStyle w:val="Hyperlink"/>
                <w:rFonts w:ascii="Arial" w:hAnsi="Arial" w:cs="Arial"/>
                <w:noProof/>
                <w:color w:val="auto"/>
                <w:sz w:val="22"/>
                <w:szCs w:val="22"/>
              </w:rPr>
              <w:t>3.4 Firm Strategy, Structure and Rivalry</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_Toc228166707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8</w:t>
            </w:r>
            <w:r w:rsidRPr="00E93419">
              <w:rPr>
                <w:rFonts w:ascii="Arial" w:hAnsi="Arial" w:cs="Arial"/>
                <w:noProof/>
                <w:webHidden/>
                <w:sz w:val="22"/>
                <w:szCs w:val="22"/>
              </w:rPr>
              <w:fldChar w:fldCharType="end"/>
            </w:r>
          </w:hyperlink>
        </w:p>
        <w:p w14:paraId="1FD46C92" w14:textId="155F8753"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08" w:history="1">
            <w:r w:rsidRPr="00E93419">
              <w:rPr>
                <w:rStyle w:val="Hyperlink"/>
                <w:rFonts w:ascii="Arial" w:hAnsi="Arial" w:cs="Arial"/>
                <w:noProof/>
                <w:color w:val="auto"/>
                <w:sz w:val="22"/>
                <w:szCs w:val="22"/>
              </w:rPr>
              <w:t>3.5 The Auxiliary Variables — Government and Chance</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_Toc228166708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8</w:t>
            </w:r>
            <w:r w:rsidRPr="00E93419">
              <w:rPr>
                <w:rFonts w:ascii="Arial" w:hAnsi="Arial" w:cs="Arial"/>
                <w:noProof/>
                <w:webHidden/>
                <w:sz w:val="22"/>
                <w:szCs w:val="22"/>
              </w:rPr>
              <w:fldChar w:fldCharType="end"/>
            </w:r>
          </w:hyperlink>
        </w:p>
        <w:p w14:paraId="3355CEB8" w14:textId="471FEA64"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709" w:history="1">
            <w:r w:rsidRPr="00E93419">
              <w:rPr>
                <w:rStyle w:val="Hyperlink"/>
                <w:rFonts w:ascii="Arial" w:hAnsi="Arial" w:cs="Arial"/>
                <w:noProof/>
                <w:color w:val="auto"/>
                <w:sz w:val="22"/>
                <w:szCs w:val="22"/>
              </w:rPr>
              <w:t>4. Pfizer Inc. in India — Market Attractiveness and Success Factors (≈2,000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_Toc228166709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9</w:t>
            </w:r>
            <w:r w:rsidRPr="00E93419">
              <w:rPr>
                <w:rFonts w:ascii="Arial" w:hAnsi="Arial" w:cs="Arial"/>
                <w:noProof/>
                <w:webHidden/>
                <w:sz w:val="22"/>
                <w:szCs w:val="22"/>
              </w:rPr>
              <w:fldChar w:fldCharType="end"/>
            </w:r>
          </w:hyperlink>
        </w:p>
        <w:p w14:paraId="7DE82CBA" w14:textId="71464FE2"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0" w:history="1">
            <w:r w:rsidRPr="00E93419">
              <w:rPr>
                <w:rStyle w:val="Hyperlink"/>
                <w:rFonts w:ascii="Arial" w:hAnsi="Arial" w:cs="Arial"/>
                <w:noProof/>
                <w:color w:val="auto"/>
                <w:sz w:val="22"/>
                <w:szCs w:val="22"/>
              </w:rPr>
              <w:t>4.1 Company Background</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_Toc228166710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9</w:t>
            </w:r>
            <w:r w:rsidRPr="00E93419">
              <w:rPr>
                <w:rFonts w:ascii="Arial" w:hAnsi="Arial" w:cs="Arial"/>
                <w:noProof/>
                <w:webHidden/>
                <w:sz w:val="22"/>
                <w:szCs w:val="22"/>
              </w:rPr>
              <w:fldChar w:fldCharType="end"/>
            </w:r>
          </w:hyperlink>
        </w:p>
        <w:p w14:paraId="4F08CB23" w14:textId="208BDD2D"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1" w:history="1">
            <w:r w:rsidRPr="00E93419">
              <w:rPr>
                <w:rStyle w:val="Hyperlink"/>
                <w:rFonts w:ascii="Arial" w:hAnsi="Arial" w:cs="Arial"/>
                <w:noProof/>
                <w:color w:val="auto"/>
                <w:sz w:val="22"/>
                <w:szCs w:val="22"/>
              </w:rPr>
              <w:t>4.2 Market Attractiveness — PESTEL Analysis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_Toc228166711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10</w:t>
            </w:r>
            <w:r w:rsidRPr="00E93419">
              <w:rPr>
                <w:rFonts w:ascii="Arial" w:hAnsi="Arial" w:cs="Arial"/>
                <w:noProof/>
                <w:webHidden/>
                <w:sz w:val="22"/>
                <w:szCs w:val="22"/>
              </w:rPr>
              <w:fldChar w:fldCharType="end"/>
            </w:r>
          </w:hyperlink>
        </w:p>
        <w:p w14:paraId="1F65E964" w14:textId="5BC2A5C4"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2" w:history="1">
            <w:r w:rsidRPr="00E93419">
              <w:rPr>
                <w:rStyle w:val="Hyperlink"/>
                <w:rFonts w:ascii="Arial" w:hAnsi="Arial" w:cs="Arial"/>
                <w:noProof/>
                <w:color w:val="auto"/>
                <w:sz w:val="22"/>
                <w:szCs w:val="22"/>
              </w:rPr>
              <w:t>4.3 Cultural and Managerial Factors — Hofstede's Lens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_Toc228166712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11</w:t>
            </w:r>
            <w:r w:rsidRPr="00E93419">
              <w:rPr>
                <w:rFonts w:ascii="Arial" w:hAnsi="Arial" w:cs="Arial"/>
                <w:noProof/>
                <w:webHidden/>
                <w:sz w:val="22"/>
                <w:szCs w:val="22"/>
              </w:rPr>
              <w:fldChar w:fldCharType="end"/>
            </w:r>
          </w:hyperlink>
        </w:p>
        <w:p w14:paraId="23B7557B" w14:textId="7F2164FD"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3" w:history="1">
            <w:r w:rsidRPr="00E93419">
              <w:rPr>
                <w:rStyle w:val="Hyperlink"/>
                <w:rFonts w:ascii="Arial" w:hAnsi="Arial" w:cs="Arial"/>
                <w:noProof/>
                <w:color w:val="auto"/>
                <w:sz w:val="22"/>
                <w:szCs w:val="22"/>
              </w:rPr>
              <w:t>4.4 Market Entry and Operational Model</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_Toc228166713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11</w:t>
            </w:r>
            <w:r w:rsidRPr="00E93419">
              <w:rPr>
                <w:rFonts w:ascii="Arial" w:hAnsi="Arial" w:cs="Arial"/>
                <w:noProof/>
                <w:webHidden/>
                <w:sz w:val="22"/>
                <w:szCs w:val="22"/>
              </w:rPr>
              <w:fldChar w:fldCharType="end"/>
            </w:r>
          </w:hyperlink>
        </w:p>
        <w:p w14:paraId="4B571358" w14:textId="3A1CC941"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4" w:history="1">
            <w:r w:rsidRPr="00E93419">
              <w:rPr>
                <w:rStyle w:val="Hyperlink"/>
                <w:rFonts w:ascii="Arial" w:hAnsi="Arial" w:cs="Arial"/>
                <w:noProof/>
                <w:color w:val="auto"/>
                <w:sz w:val="22"/>
                <w:szCs w:val="22"/>
              </w:rPr>
              <w:t>4.5 Critical Success Factors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_Toc228166714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12</w:t>
            </w:r>
            <w:r w:rsidRPr="00E93419">
              <w:rPr>
                <w:rFonts w:ascii="Arial" w:hAnsi="Arial" w:cs="Arial"/>
                <w:noProof/>
                <w:webHidden/>
                <w:sz w:val="22"/>
                <w:szCs w:val="22"/>
              </w:rPr>
              <w:fldChar w:fldCharType="end"/>
            </w:r>
          </w:hyperlink>
        </w:p>
        <w:p w14:paraId="668DF1A1" w14:textId="573D4FE6" w:rsidR="00E93419" w:rsidRPr="00E93419" w:rsidRDefault="00E93419" w:rsidP="00E93419">
          <w:pPr>
            <w:pStyle w:val="TOC2"/>
            <w:tabs>
              <w:tab w:val="right" w:leader="dot" w:pos="9016"/>
            </w:tabs>
            <w:spacing w:after="0" w:line="360" w:lineRule="auto"/>
            <w:rPr>
              <w:rFonts w:ascii="Arial" w:hAnsi="Arial" w:cs="Arial"/>
              <w:noProof/>
              <w:sz w:val="22"/>
              <w:szCs w:val="22"/>
            </w:rPr>
          </w:pPr>
          <w:hyperlink w:anchor="_Toc228166715" w:history="1">
            <w:r w:rsidRPr="00E93419">
              <w:rPr>
                <w:rStyle w:val="Hyperlink"/>
                <w:rFonts w:ascii="Arial" w:hAnsi="Arial" w:cs="Arial"/>
                <w:noProof/>
                <w:color w:val="auto"/>
                <w:sz w:val="22"/>
                <w:szCs w:val="22"/>
              </w:rPr>
              <w:t>4.6 Challenges and Risks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_Toc228166715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13</w:t>
            </w:r>
            <w:r w:rsidRPr="00E93419">
              <w:rPr>
                <w:rFonts w:ascii="Arial" w:hAnsi="Arial" w:cs="Arial"/>
                <w:noProof/>
                <w:webHidden/>
                <w:sz w:val="22"/>
                <w:szCs w:val="22"/>
              </w:rPr>
              <w:fldChar w:fldCharType="end"/>
            </w:r>
          </w:hyperlink>
        </w:p>
        <w:p w14:paraId="6E7BA572" w14:textId="1ADCF712"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716" w:history="1">
            <w:r w:rsidRPr="00E93419">
              <w:rPr>
                <w:rStyle w:val="Hyperlink"/>
                <w:rFonts w:ascii="Arial" w:hAnsi="Arial" w:cs="Arial"/>
                <w:noProof/>
                <w:color w:val="auto"/>
                <w:sz w:val="22"/>
                <w:szCs w:val="22"/>
              </w:rPr>
              <w:t>5. Conclusion (≈250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_Toc228166716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13</w:t>
            </w:r>
            <w:r w:rsidRPr="00E93419">
              <w:rPr>
                <w:rFonts w:ascii="Arial" w:hAnsi="Arial" w:cs="Arial"/>
                <w:noProof/>
                <w:webHidden/>
                <w:sz w:val="22"/>
                <w:szCs w:val="22"/>
              </w:rPr>
              <w:fldChar w:fldCharType="end"/>
            </w:r>
          </w:hyperlink>
        </w:p>
        <w:p w14:paraId="1886FF34" w14:textId="5380DB78"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717" w:history="1">
            <w:r w:rsidRPr="00E93419">
              <w:rPr>
                <w:rStyle w:val="Hyperlink"/>
                <w:rFonts w:ascii="Arial" w:hAnsi="Arial" w:cs="Arial"/>
                <w:noProof/>
                <w:color w:val="auto"/>
                <w:sz w:val="22"/>
                <w:szCs w:val="22"/>
              </w:rPr>
              <w:t>Section 2: Reflective Account — Gibbs' Reflective Cycle (~1,000 words)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_Toc228166717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15</w:t>
            </w:r>
            <w:r w:rsidRPr="00E93419">
              <w:rPr>
                <w:rFonts w:ascii="Arial" w:hAnsi="Arial" w:cs="Arial"/>
                <w:noProof/>
                <w:webHidden/>
                <w:sz w:val="22"/>
                <w:szCs w:val="22"/>
              </w:rPr>
              <w:fldChar w:fldCharType="end"/>
            </w:r>
          </w:hyperlink>
        </w:p>
        <w:p w14:paraId="0DF919E0" w14:textId="0CF6A491"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18" w:history="1">
            <w:r w:rsidRPr="00E93419">
              <w:rPr>
                <w:rStyle w:val="Hyperlink"/>
                <w:rFonts w:ascii="Arial" w:hAnsi="Arial" w:cs="Arial"/>
                <w:noProof/>
                <w:color w:val="auto"/>
                <w:sz w:val="22"/>
                <w:szCs w:val="22"/>
              </w:rPr>
              <w:t>Description</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_Toc228166718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15</w:t>
            </w:r>
            <w:r w:rsidRPr="00E93419">
              <w:rPr>
                <w:rFonts w:ascii="Arial" w:hAnsi="Arial" w:cs="Arial"/>
                <w:noProof/>
                <w:webHidden/>
                <w:sz w:val="22"/>
                <w:szCs w:val="22"/>
              </w:rPr>
              <w:fldChar w:fldCharType="end"/>
            </w:r>
          </w:hyperlink>
        </w:p>
        <w:p w14:paraId="286271C1" w14:textId="5875A5D0"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19" w:history="1">
            <w:r w:rsidRPr="00E93419">
              <w:rPr>
                <w:rStyle w:val="Hyperlink"/>
                <w:rFonts w:ascii="Arial" w:hAnsi="Arial" w:cs="Arial"/>
                <w:noProof/>
                <w:color w:val="auto"/>
                <w:sz w:val="22"/>
                <w:szCs w:val="22"/>
              </w:rPr>
              <w:t>Feelings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_Toc228166719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15</w:t>
            </w:r>
            <w:r w:rsidRPr="00E93419">
              <w:rPr>
                <w:rFonts w:ascii="Arial" w:hAnsi="Arial" w:cs="Arial"/>
                <w:noProof/>
                <w:webHidden/>
                <w:sz w:val="22"/>
                <w:szCs w:val="22"/>
              </w:rPr>
              <w:fldChar w:fldCharType="end"/>
            </w:r>
          </w:hyperlink>
        </w:p>
        <w:p w14:paraId="63B2C89C" w14:textId="3BC2751E"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20" w:history="1">
            <w:r w:rsidRPr="00E93419">
              <w:rPr>
                <w:rStyle w:val="Hyperlink"/>
                <w:rFonts w:ascii="Arial" w:hAnsi="Arial" w:cs="Arial"/>
                <w:noProof/>
                <w:color w:val="auto"/>
                <w:sz w:val="22"/>
                <w:szCs w:val="22"/>
              </w:rPr>
              <w:t>Evaluation</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_Toc228166720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15</w:t>
            </w:r>
            <w:r w:rsidRPr="00E93419">
              <w:rPr>
                <w:rFonts w:ascii="Arial" w:hAnsi="Arial" w:cs="Arial"/>
                <w:noProof/>
                <w:webHidden/>
                <w:sz w:val="22"/>
                <w:szCs w:val="22"/>
              </w:rPr>
              <w:fldChar w:fldCharType="end"/>
            </w:r>
          </w:hyperlink>
        </w:p>
        <w:p w14:paraId="5CC6FE28" w14:textId="1B169F1E"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21" w:history="1">
            <w:r w:rsidRPr="00E93419">
              <w:rPr>
                <w:rStyle w:val="Hyperlink"/>
                <w:rFonts w:ascii="Arial" w:hAnsi="Arial" w:cs="Arial"/>
                <w:noProof/>
                <w:color w:val="auto"/>
                <w:sz w:val="22"/>
                <w:szCs w:val="22"/>
              </w:rPr>
              <w:t>Analysis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_Toc228166721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16</w:t>
            </w:r>
            <w:r w:rsidRPr="00E93419">
              <w:rPr>
                <w:rFonts w:ascii="Arial" w:hAnsi="Arial" w:cs="Arial"/>
                <w:noProof/>
                <w:webHidden/>
                <w:sz w:val="22"/>
                <w:szCs w:val="22"/>
              </w:rPr>
              <w:fldChar w:fldCharType="end"/>
            </w:r>
          </w:hyperlink>
        </w:p>
        <w:p w14:paraId="59113D8A" w14:textId="49DA706B"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22" w:history="1">
            <w:r w:rsidRPr="00E93419">
              <w:rPr>
                <w:rStyle w:val="Hyperlink"/>
                <w:rFonts w:ascii="Arial" w:hAnsi="Arial" w:cs="Arial"/>
                <w:noProof/>
                <w:color w:val="auto"/>
                <w:sz w:val="22"/>
                <w:szCs w:val="22"/>
              </w:rPr>
              <w:t>Conclusion</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_Toc228166722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17</w:t>
            </w:r>
            <w:r w:rsidRPr="00E93419">
              <w:rPr>
                <w:rFonts w:ascii="Arial" w:hAnsi="Arial" w:cs="Arial"/>
                <w:noProof/>
                <w:webHidden/>
                <w:sz w:val="22"/>
                <w:szCs w:val="22"/>
              </w:rPr>
              <w:fldChar w:fldCharType="end"/>
            </w:r>
          </w:hyperlink>
        </w:p>
        <w:p w14:paraId="0572BE63" w14:textId="633868B2" w:rsidR="00E93419" w:rsidRPr="00E93419" w:rsidRDefault="00E93419" w:rsidP="00E93419">
          <w:pPr>
            <w:pStyle w:val="TOC3"/>
            <w:tabs>
              <w:tab w:val="right" w:leader="dot" w:pos="9016"/>
            </w:tabs>
            <w:spacing w:after="0" w:line="360" w:lineRule="auto"/>
            <w:rPr>
              <w:rFonts w:ascii="Arial" w:hAnsi="Arial" w:cs="Arial"/>
              <w:noProof/>
              <w:sz w:val="22"/>
              <w:szCs w:val="22"/>
            </w:rPr>
          </w:pPr>
          <w:hyperlink w:anchor="_Toc228166723" w:history="1">
            <w:r w:rsidRPr="00E93419">
              <w:rPr>
                <w:rStyle w:val="Hyperlink"/>
                <w:rFonts w:ascii="Arial" w:hAnsi="Arial" w:cs="Arial"/>
                <w:noProof/>
                <w:color w:val="auto"/>
                <w:sz w:val="22"/>
                <w:szCs w:val="22"/>
              </w:rPr>
              <w:t>Action Plan</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_Toc228166723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17</w:t>
            </w:r>
            <w:r w:rsidRPr="00E93419">
              <w:rPr>
                <w:rFonts w:ascii="Arial" w:hAnsi="Arial" w:cs="Arial"/>
                <w:noProof/>
                <w:webHidden/>
                <w:sz w:val="22"/>
                <w:szCs w:val="22"/>
              </w:rPr>
              <w:fldChar w:fldCharType="end"/>
            </w:r>
          </w:hyperlink>
        </w:p>
        <w:p w14:paraId="1DFE9AFB" w14:textId="7BB9E50C" w:rsidR="00E93419" w:rsidRPr="00E93419" w:rsidRDefault="00E93419" w:rsidP="00E93419">
          <w:pPr>
            <w:pStyle w:val="TOC1"/>
            <w:tabs>
              <w:tab w:val="right" w:leader="dot" w:pos="9016"/>
            </w:tabs>
            <w:spacing w:after="0" w:line="360" w:lineRule="auto"/>
            <w:rPr>
              <w:rFonts w:ascii="Arial" w:hAnsi="Arial" w:cs="Arial"/>
              <w:noProof/>
              <w:sz w:val="22"/>
              <w:szCs w:val="22"/>
            </w:rPr>
          </w:pPr>
          <w:hyperlink w:anchor="_Toc228166724" w:history="1">
            <w:r w:rsidRPr="00E93419">
              <w:rPr>
                <w:rStyle w:val="Hyperlink"/>
                <w:rFonts w:ascii="Arial" w:hAnsi="Arial" w:cs="Arial"/>
                <w:noProof/>
                <w:color w:val="auto"/>
                <w:sz w:val="22"/>
                <w:szCs w:val="22"/>
              </w:rPr>
              <w:t>References</w:t>
            </w:r>
            <w:r w:rsidRPr="00E93419">
              <w:rPr>
                <w:rFonts w:ascii="Arial" w:hAnsi="Arial" w:cs="Arial"/>
                <w:noProof/>
                <w:webHidden/>
                <w:sz w:val="22"/>
                <w:szCs w:val="22"/>
              </w:rPr>
              <w:tab/>
            </w:r>
            <w:r w:rsidRPr="00E93419">
              <w:rPr>
                <w:rFonts w:ascii="Arial" w:hAnsi="Arial" w:cs="Arial"/>
                <w:noProof/>
                <w:webHidden/>
                <w:sz w:val="22"/>
                <w:szCs w:val="22"/>
              </w:rPr>
              <w:fldChar w:fldCharType="begin"/>
            </w:r>
            <w:r w:rsidRPr="00E93419">
              <w:rPr>
                <w:rFonts w:ascii="Arial" w:hAnsi="Arial" w:cs="Arial"/>
                <w:noProof/>
                <w:webHidden/>
                <w:sz w:val="22"/>
                <w:szCs w:val="22"/>
              </w:rPr>
              <w:instrText xml:space="preserve"> PAGEREF _Toc228166724 \h </w:instrText>
            </w:r>
            <w:r w:rsidRPr="00E93419">
              <w:rPr>
                <w:rFonts w:ascii="Arial" w:hAnsi="Arial" w:cs="Arial"/>
                <w:noProof/>
                <w:webHidden/>
                <w:sz w:val="22"/>
                <w:szCs w:val="22"/>
              </w:rPr>
            </w:r>
            <w:r w:rsidRPr="00E93419">
              <w:rPr>
                <w:rFonts w:ascii="Arial" w:hAnsi="Arial" w:cs="Arial"/>
                <w:noProof/>
                <w:webHidden/>
                <w:sz w:val="22"/>
                <w:szCs w:val="22"/>
              </w:rPr>
              <w:fldChar w:fldCharType="separate"/>
            </w:r>
            <w:r w:rsidRPr="00E93419">
              <w:rPr>
                <w:rFonts w:ascii="Arial" w:hAnsi="Arial" w:cs="Arial"/>
                <w:noProof/>
                <w:webHidden/>
                <w:sz w:val="22"/>
                <w:szCs w:val="22"/>
              </w:rPr>
              <w:t>18</w:t>
            </w:r>
            <w:r w:rsidRPr="00E93419">
              <w:rPr>
                <w:rFonts w:ascii="Arial" w:hAnsi="Arial" w:cs="Arial"/>
                <w:noProof/>
                <w:webHidden/>
                <w:sz w:val="22"/>
                <w:szCs w:val="22"/>
              </w:rPr>
              <w:fldChar w:fldCharType="end"/>
            </w:r>
          </w:hyperlink>
        </w:p>
        <w:p w14:paraId="11ACAC1C" w14:textId="2595031C" w:rsidR="00E93419" w:rsidRPr="00E93419" w:rsidRDefault="00E93419" w:rsidP="00E93419">
          <w:pPr>
            <w:spacing w:line="360" w:lineRule="auto"/>
            <w:rPr>
              <w:rFonts w:ascii="Arial" w:hAnsi="Arial" w:cs="Arial"/>
              <w:sz w:val="22"/>
              <w:szCs w:val="22"/>
            </w:rPr>
          </w:pPr>
          <w:r w:rsidRPr="00E93419">
            <w:rPr>
              <w:rFonts w:ascii="Arial" w:hAnsi="Arial" w:cs="Arial"/>
              <w:b/>
              <w:bCs/>
              <w:noProof/>
              <w:sz w:val="22"/>
              <w:szCs w:val="22"/>
            </w:rPr>
            <w:fldChar w:fldCharType="end"/>
          </w:r>
        </w:p>
      </w:sdtContent>
    </w:sdt>
    <w:p w14:paraId="1531051B"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p w14:paraId="149D89B2" w14:textId="28C6D2C5" w:rsidR="00624145" w:rsidRPr="00E93419" w:rsidRDefault="00C0433A" w:rsidP="00E93419">
      <w:pPr>
        <w:pStyle w:val="Heading1"/>
        <w:spacing w:before="0" w:after="0" w:line="360" w:lineRule="auto"/>
        <w:rPr>
          <w:rFonts w:ascii="Arial" w:hAnsi="Arial" w:cs="Arial"/>
          <w:color w:val="auto"/>
          <w:sz w:val="22"/>
          <w:szCs w:val="22"/>
        </w:rPr>
      </w:pPr>
      <w:bookmarkStart w:id="0" w:name="_Toc228166698"/>
      <w:r w:rsidRPr="00E93419">
        <w:rPr>
          <w:rFonts w:ascii="Arial" w:hAnsi="Arial" w:cs="Arial"/>
          <w:color w:val="auto"/>
          <w:sz w:val="22"/>
          <w:szCs w:val="22"/>
        </w:rPr>
        <w:lastRenderedPageBreak/>
        <w:t xml:space="preserve">1. Introduction </w:t>
      </w:r>
      <w:bookmarkEnd w:id="0"/>
    </w:p>
    <w:p w14:paraId="7AB81D9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This report examines the competitiveness of the pharmaceutical industry in India and critically evaluates the operations of Pfizer Inc. — an American multinational corporation — within that country-industry pair. India has emerged as the "pharmacy of the w</w:t>
      </w:r>
      <w:r w:rsidRPr="00E93419">
        <w:rPr>
          <w:rFonts w:ascii="Arial" w:hAnsi="Arial" w:cs="Arial"/>
          <w:sz w:val="22"/>
          <w:szCs w:val="22"/>
        </w:rPr>
        <w:t>orld", producing approximately 20% of global generic medicine supply, supplying 55–60% of UNICEF's vaccines, and meeting 99% of the World Health Organization's demand for DPT vaccines (Indian Brand Equity Foundation [IBEF], 2025; Press Information Bureau [</w:t>
      </w:r>
      <w:r w:rsidRPr="00E93419">
        <w:rPr>
          <w:rFonts w:ascii="Arial" w:hAnsi="Arial" w:cs="Arial"/>
          <w:sz w:val="22"/>
          <w:szCs w:val="22"/>
        </w:rPr>
        <w:t>PIB], 2026). The Indian Pharmaceutical Market was valued at US$55 billion in 2025 and is projected to reach US$120–130 billion by 2030 (Bain and Co. cited in IBEF, 2025).</w:t>
      </w:r>
    </w:p>
    <w:p w14:paraId="045354D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Inc., the US-headquartered biopharmaceutical giant, has operated in India sinc</w:t>
      </w:r>
      <w:r w:rsidRPr="00E93419">
        <w:rPr>
          <w:rFonts w:ascii="Arial" w:hAnsi="Arial" w:cs="Arial"/>
          <w:sz w:val="22"/>
          <w:szCs w:val="22"/>
        </w:rPr>
        <w:t>e 1950 and is today the third-largest multinational pharmaceutical company by market share (Screener, 2026). The report applies Porter's Diamond Model of National Advantage, PESTEL, and Hofstede's cultural dimensions to analyse the industry's global compet</w:t>
      </w:r>
      <w:r w:rsidRPr="00E93419">
        <w:rPr>
          <w:rFonts w:ascii="Arial" w:hAnsi="Arial" w:cs="Arial"/>
          <w:sz w:val="22"/>
          <w:szCs w:val="22"/>
        </w:rPr>
        <w:t>itiveness and Pfizer's strategic position, closing with recommendations and a reflective account using Gibbs' (1988) cycle.</w:t>
      </w:r>
    </w:p>
    <w:p w14:paraId="0BE98343" w14:textId="6E90A1C3" w:rsidR="00624145" w:rsidRPr="00E93419" w:rsidRDefault="00C0433A" w:rsidP="00E93419">
      <w:pPr>
        <w:pStyle w:val="Heading1"/>
        <w:spacing w:before="0" w:after="0" w:line="360" w:lineRule="auto"/>
        <w:rPr>
          <w:rFonts w:ascii="Arial" w:hAnsi="Arial" w:cs="Arial"/>
          <w:color w:val="auto"/>
          <w:sz w:val="22"/>
          <w:szCs w:val="22"/>
        </w:rPr>
      </w:pPr>
      <w:bookmarkStart w:id="1" w:name="_Toc228166699"/>
      <w:r w:rsidRPr="00E93419">
        <w:rPr>
          <w:rFonts w:ascii="Arial" w:hAnsi="Arial" w:cs="Arial"/>
          <w:color w:val="auto"/>
          <w:sz w:val="22"/>
          <w:szCs w:val="22"/>
        </w:rPr>
        <w:t xml:space="preserve">2. Industry and Country Overview </w:t>
      </w:r>
      <w:bookmarkEnd w:id="1"/>
    </w:p>
    <w:p w14:paraId="185D50B3" w14:textId="77777777" w:rsidR="00624145" w:rsidRPr="00E93419" w:rsidRDefault="00C0433A" w:rsidP="00E93419">
      <w:pPr>
        <w:pStyle w:val="Heading2"/>
        <w:spacing w:before="0" w:after="0" w:line="360" w:lineRule="auto"/>
        <w:rPr>
          <w:rFonts w:ascii="Arial" w:hAnsi="Arial" w:cs="Arial"/>
          <w:color w:val="auto"/>
          <w:sz w:val="22"/>
          <w:szCs w:val="22"/>
        </w:rPr>
      </w:pPr>
      <w:bookmarkStart w:id="2" w:name="_Toc228166700"/>
      <w:r w:rsidRPr="00E93419">
        <w:rPr>
          <w:rFonts w:ascii="Arial" w:hAnsi="Arial" w:cs="Arial"/>
          <w:color w:val="auto"/>
          <w:sz w:val="22"/>
          <w:szCs w:val="22"/>
        </w:rPr>
        <w:t>2.1 India and the Pharmaceutical Industry in Context</w:t>
      </w:r>
      <w:bookmarkEnd w:id="2"/>
    </w:p>
    <w:p w14:paraId="4EED8EB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is the world's fifth-largest economy by nominal GDP, with a population exceeding 1.43 billion, and has been among the fastest-growing large economies over the past decade. Its demographic dividend — approximately 65% of the population is under 35 — c</w:t>
      </w:r>
      <w:r w:rsidRPr="00E93419">
        <w:rPr>
          <w:rFonts w:ascii="Arial" w:hAnsi="Arial" w:cs="Arial"/>
          <w:sz w:val="22"/>
          <w:szCs w:val="22"/>
        </w:rPr>
        <w:t>ombined with rising per-capita incomes, accelerating urbanisation, and expanding health insurance coverage, has created one of the most dynamic pharmaceutical consumer markets in the world. The Economic Survey 2025–26 reports that the sector's annual turno</w:t>
      </w:r>
      <w:r w:rsidRPr="00E93419">
        <w:rPr>
          <w:rFonts w:ascii="Arial" w:hAnsi="Arial" w:cs="Arial"/>
          <w:sz w:val="22"/>
          <w:szCs w:val="22"/>
        </w:rPr>
        <w:t>ver reached ₹4.72 lakh crore (US$55 billion) in FY25, with exports of US$30.5 billion — a nearly sixteen-fold increase since 2000–01 (PIB, 2026).</w:t>
      </w:r>
    </w:p>
    <w:p w14:paraId="0A88B1F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pharmaceutical industry occupies a uniquely important position in the Indian economy. It is the fifth-larg</w:t>
      </w:r>
      <w:r w:rsidRPr="00E93419">
        <w:rPr>
          <w:rFonts w:ascii="Arial" w:hAnsi="Arial" w:cs="Arial"/>
          <w:sz w:val="22"/>
          <w:szCs w:val="22"/>
        </w:rPr>
        <w:t>est contributor to manufacturing Gross Value Added (GVA), accounts for approximately 4% of India's Foreign Direct Investment inflows, generates a trade surplus of about US$19 billion, and supports around 2.7 million direct and indirect livelihoods (IBEF, 2</w:t>
      </w:r>
      <w:r w:rsidRPr="00E93419">
        <w:rPr>
          <w:rFonts w:ascii="Arial" w:hAnsi="Arial" w:cs="Arial"/>
          <w:sz w:val="22"/>
          <w:szCs w:val="22"/>
        </w:rPr>
        <w:t>025). Its geopolitical importance was dramatically demonstrated during the COVID-19 pandemic, when Indian manufacturers supplied generic antiretrovirals, anti-</w:t>
      </w:r>
      <w:proofErr w:type="spellStart"/>
      <w:r w:rsidRPr="00E93419">
        <w:rPr>
          <w:rFonts w:ascii="Arial" w:hAnsi="Arial" w:cs="Arial"/>
          <w:sz w:val="22"/>
          <w:szCs w:val="22"/>
        </w:rPr>
        <w:t>malarials</w:t>
      </w:r>
      <w:proofErr w:type="spellEnd"/>
      <w:r w:rsidRPr="00E93419">
        <w:rPr>
          <w:rFonts w:ascii="Arial" w:hAnsi="Arial" w:cs="Arial"/>
          <w:sz w:val="22"/>
          <w:szCs w:val="22"/>
        </w:rPr>
        <w:t xml:space="preserve">, paracetamol, and large volumes of the Oxford-AstraZeneca and </w:t>
      </w:r>
      <w:proofErr w:type="spellStart"/>
      <w:r w:rsidRPr="00E93419">
        <w:rPr>
          <w:rFonts w:ascii="Arial" w:hAnsi="Arial" w:cs="Arial"/>
          <w:sz w:val="22"/>
          <w:szCs w:val="22"/>
        </w:rPr>
        <w:t>Covaxin</w:t>
      </w:r>
      <w:proofErr w:type="spellEnd"/>
      <w:r w:rsidRPr="00E93419">
        <w:rPr>
          <w:rFonts w:ascii="Arial" w:hAnsi="Arial" w:cs="Arial"/>
          <w:sz w:val="22"/>
          <w:szCs w:val="22"/>
        </w:rPr>
        <w:t xml:space="preserve"> vaccines to over </w:t>
      </w:r>
      <w:r w:rsidRPr="00E93419">
        <w:rPr>
          <w:rFonts w:ascii="Arial" w:hAnsi="Arial" w:cs="Arial"/>
          <w:sz w:val="22"/>
          <w:szCs w:val="22"/>
        </w:rPr>
        <w:t xml:space="preserve">100 countries, reinforcing India's "vaccine </w:t>
      </w:r>
      <w:proofErr w:type="spellStart"/>
      <w:r w:rsidRPr="00E93419">
        <w:rPr>
          <w:rFonts w:ascii="Arial" w:hAnsi="Arial" w:cs="Arial"/>
          <w:sz w:val="22"/>
          <w:szCs w:val="22"/>
        </w:rPr>
        <w:t>maitri</w:t>
      </w:r>
      <w:proofErr w:type="spellEnd"/>
      <w:r w:rsidRPr="00E93419">
        <w:rPr>
          <w:rFonts w:ascii="Arial" w:hAnsi="Arial" w:cs="Arial"/>
          <w:sz w:val="22"/>
          <w:szCs w:val="22"/>
        </w:rPr>
        <w:t>" diplomacy.</w:t>
      </w:r>
    </w:p>
    <w:p w14:paraId="3920F088" w14:textId="77777777" w:rsidR="00624145" w:rsidRPr="00E93419" w:rsidRDefault="00C0433A" w:rsidP="00E93419">
      <w:pPr>
        <w:pStyle w:val="Heading2"/>
        <w:spacing w:before="0" w:after="0" w:line="360" w:lineRule="auto"/>
        <w:rPr>
          <w:rFonts w:ascii="Arial" w:hAnsi="Arial" w:cs="Arial"/>
          <w:color w:val="auto"/>
          <w:sz w:val="22"/>
          <w:szCs w:val="22"/>
        </w:rPr>
      </w:pPr>
      <w:bookmarkStart w:id="3" w:name="_Toc228166701"/>
      <w:r w:rsidRPr="00E93419">
        <w:rPr>
          <w:rFonts w:ascii="Arial" w:hAnsi="Arial" w:cs="Arial"/>
          <w:color w:val="auto"/>
          <w:sz w:val="22"/>
          <w:szCs w:val="22"/>
        </w:rPr>
        <w:t>2.2 Size, Scope and Economic Importance</w:t>
      </w:r>
      <w:bookmarkEnd w:id="3"/>
    </w:p>
    <w:p w14:paraId="3FB85F08"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Indian Pharmaceutical Market (IPM) is the third-largest in the world by volume and ranks approximately eleventh by value (PIB, 2026). According to Mo</w:t>
      </w:r>
      <w:r w:rsidRPr="00E93419">
        <w:rPr>
          <w:rFonts w:ascii="Arial" w:hAnsi="Arial" w:cs="Arial"/>
          <w:sz w:val="22"/>
          <w:szCs w:val="22"/>
        </w:rPr>
        <w:t xml:space="preserve">rdor Intelligence (2026), the domestic market is projected to grow from US$57.6 billion in 2025 to US$79.7 billion by 2031 </w:t>
      </w:r>
      <w:r w:rsidRPr="00E93419">
        <w:rPr>
          <w:rFonts w:ascii="Arial" w:hAnsi="Arial" w:cs="Arial"/>
          <w:sz w:val="22"/>
          <w:szCs w:val="22"/>
        </w:rPr>
        <w:lastRenderedPageBreak/>
        <w:t>at a compound annual growth rate (CAGR) of approximately 5.74%. Fortune Business Insights (2025) offers a higher estimate — US$72.2 b</w:t>
      </w:r>
      <w:r w:rsidRPr="00E93419">
        <w:rPr>
          <w:rFonts w:ascii="Arial" w:hAnsi="Arial" w:cs="Arial"/>
          <w:sz w:val="22"/>
          <w:szCs w:val="22"/>
        </w:rPr>
        <w:t>illion in 2025 to US$145 billion by 2032 — reflecting the segment definition used. Most analysts agree the 2030 target of US$130 billion is plausible.</w:t>
      </w:r>
    </w:p>
    <w:p w14:paraId="1F2296A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sector is structurally dominated by generics, which account for roughly 97% of domestic sales by valu</w:t>
      </w:r>
      <w:r w:rsidRPr="00E93419">
        <w:rPr>
          <w:rFonts w:ascii="Arial" w:hAnsi="Arial" w:cs="Arial"/>
          <w:sz w:val="22"/>
          <w:szCs w:val="22"/>
        </w:rPr>
        <w:t>e; innovator or patented drugs represent only around 3% (The Grey Swan, 2025). Within generics, branded generics dominate at approximately 87%, followed by trade generics at about 10%. This structure is a consequence of both the Indian Patents Act 1970 — w</w:t>
      </w:r>
      <w:r w:rsidRPr="00E93419">
        <w:rPr>
          <w:rFonts w:ascii="Arial" w:hAnsi="Arial" w:cs="Arial"/>
          <w:sz w:val="22"/>
          <w:szCs w:val="22"/>
        </w:rPr>
        <w:t>hich permitted process-patents but not product-patents on pharmaceuticals until India's accession to the WTO's TRIPS Agreement in 2005 — and the strong price-sensitivity of Indian consumers. India supplies approximately 60,000 generic brands across 60 ther</w:t>
      </w:r>
      <w:r w:rsidRPr="00E93419">
        <w:rPr>
          <w:rFonts w:ascii="Arial" w:hAnsi="Arial" w:cs="Arial"/>
          <w:sz w:val="22"/>
          <w:szCs w:val="22"/>
        </w:rPr>
        <w:t>apeutic categories (PIB, 2026).</w:t>
      </w:r>
    </w:p>
    <w:p w14:paraId="0CF9D82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Therapeutically, anti-infectives led with 34.1% of IPM share in 2025, but oncology is the fastest-growing category at a forecast CAGR of 8.22% through 2031 as biosimilars expand access (Mordor Intelligence, 2026). Chronic th</w:t>
      </w:r>
      <w:r w:rsidRPr="00E93419">
        <w:rPr>
          <w:rFonts w:ascii="Arial" w:hAnsi="Arial" w:cs="Arial"/>
          <w:sz w:val="22"/>
          <w:szCs w:val="22"/>
        </w:rPr>
        <w:t xml:space="preserve">erapies grew at 11% year-on-year in March 2025, outpacing acute therapies at 8% (The Grey Swan, 2025), reflecting India's epidemiological transition to non-communicable diseases — diabetes, cardiovascular disease, and cancer — associated with urbanisation </w:t>
      </w:r>
      <w:r w:rsidRPr="00E93419">
        <w:rPr>
          <w:rFonts w:ascii="Arial" w:hAnsi="Arial" w:cs="Arial"/>
          <w:sz w:val="22"/>
          <w:szCs w:val="22"/>
        </w:rPr>
        <w:t>and longer life expectancy. North India holds the largest regional market share at around 30%, while South India is expected to grow fastest over 2026–2031 (IMARC, 2025).</w:t>
      </w:r>
    </w:p>
    <w:p w14:paraId="67E67AC7" w14:textId="77777777" w:rsidR="00624145" w:rsidRPr="00E93419" w:rsidRDefault="00C0433A" w:rsidP="00E93419">
      <w:pPr>
        <w:pStyle w:val="Heading2"/>
        <w:spacing w:before="0" w:after="0" w:line="360" w:lineRule="auto"/>
        <w:rPr>
          <w:rFonts w:ascii="Arial" w:hAnsi="Arial" w:cs="Arial"/>
          <w:color w:val="auto"/>
          <w:sz w:val="22"/>
          <w:szCs w:val="22"/>
        </w:rPr>
      </w:pPr>
      <w:bookmarkStart w:id="4" w:name="_Toc228166702"/>
      <w:r w:rsidRPr="00E93419">
        <w:rPr>
          <w:rFonts w:ascii="Arial" w:hAnsi="Arial" w:cs="Arial"/>
          <w:color w:val="auto"/>
          <w:sz w:val="22"/>
          <w:szCs w:val="22"/>
        </w:rPr>
        <w:t>2.3 Major Domestic and Multinational Firms</w:t>
      </w:r>
      <w:bookmarkEnd w:id="4"/>
    </w:p>
    <w:p w14:paraId="100114F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Indian pharmaceutical landscape is hig</w:t>
      </w:r>
      <w:r w:rsidRPr="00E93419">
        <w:rPr>
          <w:rFonts w:ascii="Arial" w:hAnsi="Arial" w:cs="Arial"/>
          <w:sz w:val="22"/>
          <w:szCs w:val="22"/>
        </w:rPr>
        <w:t xml:space="preserve">hly competitive and fragmented. As of Moving Annual Total (MAT) March 2025, Sun Pharmaceutical Industries held the top IPM position with 7.9% market share, followed by Abbott (6.2%), Cipla, Mankind, and </w:t>
      </w:r>
      <w:proofErr w:type="spellStart"/>
      <w:r w:rsidRPr="00E93419">
        <w:rPr>
          <w:rFonts w:ascii="Arial" w:hAnsi="Arial" w:cs="Arial"/>
          <w:sz w:val="22"/>
          <w:szCs w:val="22"/>
        </w:rPr>
        <w:t>Alkem</w:t>
      </w:r>
      <w:proofErr w:type="spellEnd"/>
      <w:r w:rsidRPr="00E93419">
        <w:rPr>
          <w:rFonts w:ascii="Arial" w:hAnsi="Arial" w:cs="Arial"/>
          <w:sz w:val="22"/>
          <w:szCs w:val="22"/>
        </w:rPr>
        <w:t xml:space="preserve"> (The Grey Swan, 2025). The top five companies t</w:t>
      </w:r>
      <w:r w:rsidRPr="00E93419">
        <w:rPr>
          <w:rFonts w:ascii="Arial" w:hAnsi="Arial" w:cs="Arial"/>
          <w:sz w:val="22"/>
          <w:szCs w:val="22"/>
        </w:rPr>
        <w:t>ogether account for just over 28% of the IPM — low concentration relative to most emerging-market pharmaceutical industries. This fragmentation sustains vigorous price competition and innovation pressure.</w:t>
      </w:r>
    </w:p>
    <w:p w14:paraId="148EE89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Table 1 summarises the key competitive positioning </w:t>
      </w:r>
      <w:r w:rsidRPr="00E93419">
        <w:rPr>
          <w:rFonts w:ascii="Arial" w:hAnsi="Arial" w:cs="Arial"/>
          <w:sz w:val="22"/>
          <w:szCs w:val="22"/>
        </w:rPr>
        <w:t>of leading domestic and multinational pharmaceutical companies operating in India.</w:t>
      </w:r>
    </w:p>
    <w:p w14:paraId="497D5839"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t>Table 1: Competitive Positioning — Leading Pharma Companies in India (MAT Mar 2025)</w:t>
      </w:r>
    </w:p>
    <w:tbl>
      <w:tblPr>
        <w:tblStyle w:val="TableGrid"/>
        <w:tblW w:w="9360" w:type="dxa"/>
        <w:tblLook w:val="0000" w:firstRow="0" w:lastRow="0" w:firstColumn="0" w:lastColumn="0" w:noHBand="0" w:noVBand="0"/>
      </w:tblPr>
      <w:tblGrid>
        <w:gridCol w:w="1965"/>
        <w:gridCol w:w="1178"/>
        <w:gridCol w:w="2129"/>
        <w:gridCol w:w="4088"/>
      </w:tblGrid>
      <w:tr w:rsidR="00E93419" w:rsidRPr="00E93419" w14:paraId="691EA0BC" w14:textId="77777777" w:rsidTr="00E93419">
        <w:tc>
          <w:tcPr>
            <w:tcW w:w="1800" w:type="dxa"/>
          </w:tcPr>
          <w:p w14:paraId="68AE501B"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Company</w:t>
            </w:r>
          </w:p>
        </w:tc>
        <w:tc>
          <w:tcPr>
            <w:tcW w:w="1200" w:type="dxa"/>
          </w:tcPr>
          <w:p w14:paraId="02440E01"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IPM Share</w:t>
            </w:r>
          </w:p>
        </w:tc>
        <w:tc>
          <w:tcPr>
            <w:tcW w:w="2160" w:type="dxa"/>
          </w:tcPr>
          <w:p w14:paraId="07D9E8F3"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Origin &amp; Key Segments</w:t>
            </w:r>
          </w:p>
        </w:tc>
        <w:tc>
          <w:tcPr>
            <w:tcW w:w="4200" w:type="dxa"/>
          </w:tcPr>
          <w:p w14:paraId="4DCA68AD"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Strategic Positioning</w:t>
            </w:r>
          </w:p>
        </w:tc>
      </w:tr>
      <w:tr w:rsidR="00E93419" w:rsidRPr="00E93419" w14:paraId="27CB3145" w14:textId="77777777" w:rsidTr="00E93419">
        <w:tc>
          <w:tcPr>
            <w:tcW w:w="1800" w:type="dxa"/>
          </w:tcPr>
          <w:p w14:paraId="57092C6E"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Sun Pharma</w:t>
            </w:r>
          </w:p>
        </w:tc>
        <w:tc>
          <w:tcPr>
            <w:tcW w:w="1200" w:type="dxa"/>
          </w:tcPr>
          <w:p w14:paraId="15FA538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7.9%</w:t>
            </w:r>
          </w:p>
        </w:tc>
        <w:tc>
          <w:tcPr>
            <w:tcW w:w="2160" w:type="dxa"/>
          </w:tcPr>
          <w:p w14:paraId="3F63142C"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 xml:space="preserve">Indian; dermatology, neurology, </w:t>
            </w:r>
            <w:r w:rsidRPr="00E93419">
              <w:rPr>
                <w:rFonts w:ascii="Arial" w:hAnsi="Arial" w:cs="Arial"/>
                <w:sz w:val="22"/>
                <w:szCs w:val="22"/>
              </w:rPr>
              <w:lastRenderedPageBreak/>
              <w:t>oncology, ophthalmology</w:t>
            </w:r>
          </w:p>
        </w:tc>
        <w:tc>
          <w:tcPr>
            <w:tcW w:w="4200" w:type="dxa"/>
          </w:tcPr>
          <w:p w14:paraId="5709A351"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lastRenderedPageBreak/>
              <w:t xml:space="preserve">Innovation-driven generics leader; R&amp;D 6.2% of revenue; highest patent-filing index in Indian pharma; 40+ </w:t>
            </w:r>
            <w:r w:rsidRPr="00E93419">
              <w:rPr>
                <w:rFonts w:ascii="Arial" w:hAnsi="Arial" w:cs="Arial"/>
                <w:sz w:val="22"/>
                <w:szCs w:val="22"/>
              </w:rPr>
              <w:lastRenderedPageBreak/>
              <w:t>manufacturing sites globally (</w:t>
            </w:r>
            <w:proofErr w:type="spellStart"/>
            <w:r w:rsidRPr="00E93419">
              <w:rPr>
                <w:rFonts w:ascii="Arial" w:hAnsi="Arial" w:cs="Arial"/>
                <w:sz w:val="22"/>
                <w:szCs w:val="22"/>
              </w:rPr>
              <w:t>ClinilaunchResearch</w:t>
            </w:r>
            <w:proofErr w:type="spellEnd"/>
            <w:r w:rsidRPr="00E93419">
              <w:rPr>
                <w:rFonts w:ascii="Arial" w:hAnsi="Arial" w:cs="Arial"/>
                <w:sz w:val="22"/>
                <w:szCs w:val="22"/>
              </w:rPr>
              <w:t>, 2025).</w:t>
            </w:r>
          </w:p>
        </w:tc>
      </w:tr>
      <w:tr w:rsidR="00E93419" w:rsidRPr="00E93419" w14:paraId="691AD3B3" w14:textId="77777777" w:rsidTr="00E93419">
        <w:tc>
          <w:tcPr>
            <w:tcW w:w="1800" w:type="dxa"/>
          </w:tcPr>
          <w:p w14:paraId="392DEB8C"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lastRenderedPageBreak/>
              <w:t>Abbott India</w:t>
            </w:r>
          </w:p>
        </w:tc>
        <w:tc>
          <w:tcPr>
            <w:tcW w:w="1200" w:type="dxa"/>
          </w:tcPr>
          <w:p w14:paraId="31B23EA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6.2%</w:t>
            </w:r>
          </w:p>
        </w:tc>
        <w:tc>
          <w:tcPr>
            <w:tcW w:w="2160" w:type="dxa"/>
          </w:tcPr>
          <w:p w14:paraId="1E19D8D2"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US MNC; women's health, cardio-metabolic, primary care</w:t>
            </w:r>
          </w:p>
        </w:tc>
        <w:tc>
          <w:tcPr>
            <w:tcW w:w="4200" w:type="dxa"/>
          </w:tcPr>
          <w:p w14:paraId="609FAF7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Localisation-led MNC strategy; 400+ brands; 14,000+ staff; strong semi-urban/rural presence.</w:t>
            </w:r>
          </w:p>
        </w:tc>
      </w:tr>
      <w:tr w:rsidR="00E93419" w:rsidRPr="00E93419" w14:paraId="15F25E7D" w14:textId="77777777" w:rsidTr="00E93419">
        <w:tc>
          <w:tcPr>
            <w:tcW w:w="1800" w:type="dxa"/>
          </w:tcPr>
          <w:p w14:paraId="45385CB5"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Cipla</w:t>
            </w:r>
          </w:p>
        </w:tc>
        <w:tc>
          <w:tcPr>
            <w:tcW w:w="1200" w:type="dxa"/>
          </w:tcPr>
          <w:p w14:paraId="1E496E1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5.5%</w:t>
            </w:r>
          </w:p>
        </w:tc>
        <w:tc>
          <w:tcPr>
            <w:tcW w:w="2160" w:type="dxa"/>
          </w:tcPr>
          <w:p w14:paraId="02101B48"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respiratory, anti-infectives, oncology</w:t>
            </w:r>
          </w:p>
        </w:tc>
        <w:tc>
          <w:tcPr>
            <w:tcW w:w="4200" w:type="dxa"/>
          </w:tcPr>
          <w:p w14:paraId="3EF346D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Global respiratory leader; deep chronic-care fran</w:t>
            </w:r>
            <w:r w:rsidRPr="00E93419">
              <w:rPr>
                <w:rFonts w:ascii="Arial" w:hAnsi="Arial" w:cs="Arial"/>
                <w:sz w:val="22"/>
                <w:szCs w:val="22"/>
              </w:rPr>
              <w:t>chise; growing 19% in chronic segment 2025.</w:t>
            </w:r>
          </w:p>
        </w:tc>
      </w:tr>
      <w:tr w:rsidR="00E93419" w:rsidRPr="00E93419" w14:paraId="55AA7E53" w14:textId="77777777" w:rsidTr="00E93419">
        <w:tc>
          <w:tcPr>
            <w:tcW w:w="1800" w:type="dxa"/>
          </w:tcPr>
          <w:p w14:paraId="0E1F8F7F"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Mankind Pharma</w:t>
            </w:r>
          </w:p>
        </w:tc>
        <w:tc>
          <w:tcPr>
            <w:tcW w:w="1200" w:type="dxa"/>
          </w:tcPr>
          <w:p w14:paraId="6BD0A372"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5.1%</w:t>
            </w:r>
          </w:p>
        </w:tc>
        <w:tc>
          <w:tcPr>
            <w:tcW w:w="2160" w:type="dxa"/>
          </w:tcPr>
          <w:p w14:paraId="3E1B41FA"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mass-market primary care</w:t>
            </w:r>
          </w:p>
        </w:tc>
        <w:tc>
          <w:tcPr>
            <w:tcW w:w="4200" w:type="dxa"/>
          </w:tcPr>
          <w:p w14:paraId="36BEED83"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 xml:space="preserve">Disruptive low-price leader; strong rural penetration; acquired Panacea </w:t>
            </w:r>
            <w:proofErr w:type="spellStart"/>
            <w:r w:rsidRPr="00E93419">
              <w:rPr>
                <w:rFonts w:ascii="Arial" w:hAnsi="Arial" w:cs="Arial"/>
                <w:sz w:val="22"/>
                <w:szCs w:val="22"/>
              </w:rPr>
              <w:t>Biotec's</w:t>
            </w:r>
            <w:proofErr w:type="spellEnd"/>
            <w:r w:rsidRPr="00E93419">
              <w:rPr>
                <w:rFonts w:ascii="Arial" w:hAnsi="Arial" w:cs="Arial"/>
                <w:sz w:val="22"/>
                <w:szCs w:val="22"/>
              </w:rPr>
              <w:t xml:space="preserve"> India business 2024.</w:t>
            </w:r>
          </w:p>
        </w:tc>
      </w:tr>
      <w:tr w:rsidR="00E93419" w:rsidRPr="00E93419" w14:paraId="54350D71" w14:textId="77777777" w:rsidTr="00E93419">
        <w:tc>
          <w:tcPr>
            <w:tcW w:w="1800" w:type="dxa"/>
          </w:tcPr>
          <w:p w14:paraId="08BD17CA" w14:textId="77777777" w:rsidR="00624145" w:rsidRPr="00E93419" w:rsidRDefault="00C0433A" w:rsidP="00E93419">
            <w:pPr>
              <w:spacing w:line="360" w:lineRule="auto"/>
              <w:rPr>
                <w:rFonts w:ascii="Arial" w:hAnsi="Arial" w:cs="Arial"/>
                <w:sz w:val="22"/>
                <w:szCs w:val="22"/>
              </w:rPr>
            </w:pPr>
            <w:proofErr w:type="spellStart"/>
            <w:r w:rsidRPr="00E93419">
              <w:rPr>
                <w:rFonts w:ascii="Arial" w:hAnsi="Arial" w:cs="Arial"/>
                <w:b/>
                <w:bCs/>
                <w:sz w:val="22"/>
                <w:szCs w:val="22"/>
              </w:rPr>
              <w:t>Alkem</w:t>
            </w:r>
            <w:proofErr w:type="spellEnd"/>
          </w:p>
        </w:tc>
        <w:tc>
          <w:tcPr>
            <w:tcW w:w="1200" w:type="dxa"/>
          </w:tcPr>
          <w:p w14:paraId="5946477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4.0%</w:t>
            </w:r>
          </w:p>
        </w:tc>
        <w:tc>
          <w:tcPr>
            <w:tcW w:w="2160" w:type="dxa"/>
          </w:tcPr>
          <w:p w14:paraId="7831A5EE"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anti-infectives, gastro</w:t>
            </w:r>
          </w:p>
        </w:tc>
        <w:tc>
          <w:tcPr>
            <w:tcW w:w="4200" w:type="dxa"/>
          </w:tcPr>
          <w:p w14:paraId="23B790A7"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Steady mid-tier player; 12,000+ employees; strong export revenue (75%).</w:t>
            </w:r>
          </w:p>
        </w:tc>
      </w:tr>
      <w:tr w:rsidR="00E93419" w:rsidRPr="00E93419" w14:paraId="01A30525" w14:textId="77777777" w:rsidTr="00E93419">
        <w:tc>
          <w:tcPr>
            <w:tcW w:w="1800" w:type="dxa"/>
          </w:tcPr>
          <w:p w14:paraId="1251796D" w14:textId="77777777" w:rsidR="00624145" w:rsidRPr="00E93419" w:rsidRDefault="00C0433A" w:rsidP="00E93419">
            <w:pPr>
              <w:spacing w:line="360" w:lineRule="auto"/>
              <w:rPr>
                <w:rFonts w:ascii="Arial" w:hAnsi="Arial" w:cs="Arial"/>
                <w:sz w:val="22"/>
                <w:szCs w:val="22"/>
              </w:rPr>
            </w:pPr>
            <w:proofErr w:type="spellStart"/>
            <w:r w:rsidRPr="00E93419">
              <w:rPr>
                <w:rFonts w:ascii="Arial" w:hAnsi="Arial" w:cs="Arial"/>
                <w:b/>
                <w:bCs/>
                <w:sz w:val="22"/>
                <w:szCs w:val="22"/>
              </w:rPr>
              <w:t>Dr.</w:t>
            </w:r>
            <w:proofErr w:type="spellEnd"/>
            <w:r w:rsidRPr="00E93419">
              <w:rPr>
                <w:rFonts w:ascii="Arial" w:hAnsi="Arial" w:cs="Arial"/>
                <w:b/>
                <w:bCs/>
                <w:sz w:val="22"/>
                <w:szCs w:val="22"/>
              </w:rPr>
              <w:t xml:space="preserve"> Reddy's</w:t>
            </w:r>
          </w:p>
        </w:tc>
        <w:tc>
          <w:tcPr>
            <w:tcW w:w="1200" w:type="dxa"/>
          </w:tcPr>
          <w:p w14:paraId="5AAC081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3.3%</w:t>
            </w:r>
          </w:p>
        </w:tc>
        <w:tc>
          <w:tcPr>
            <w:tcW w:w="2160" w:type="dxa"/>
          </w:tcPr>
          <w:p w14:paraId="14C01F3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Indian; generics and biosimilars</w:t>
            </w:r>
          </w:p>
        </w:tc>
        <w:tc>
          <w:tcPr>
            <w:tcW w:w="4200" w:type="dxa"/>
          </w:tcPr>
          <w:p w14:paraId="297B7E24"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Export-focused (US and Europe); 12 First-To-File ANDAs for 2026 expiries.</w:t>
            </w:r>
          </w:p>
        </w:tc>
      </w:tr>
      <w:tr w:rsidR="00E93419" w:rsidRPr="00E93419" w14:paraId="5CE6288D" w14:textId="77777777" w:rsidTr="00E93419">
        <w:tc>
          <w:tcPr>
            <w:tcW w:w="1800" w:type="dxa"/>
          </w:tcPr>
          <w:p w14:paraId="66091CA7"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Pfizer Limited</w:t>
            </w:r>
          </w:p>
        </w:tc>
        <w:tc>
          <w:tcPr>
            <w:tcW w:w="1200" w:type="dxa"/>
          </w:tcPr>
          <w:p w14:paraId="069D261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~3.0%</w:t>
            </w:r>
          </w:p>
        </w:tc>
        <w:tc>
          <w:tcPr>
            <w:tcW w:w="2160" w:type="dxa"/>
          </w:tcPr>
          <w:p w14:paraId="55C9E843"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US MNC; vaccines, CNS, oncology, inflammation</w:t>
            </w:r>
          </w:p>
        </w:tc>
        <w:tc>
          <w:tcPr>
            <w:tcW w:w="4200" w:type="dxa"/>
          </w:tcPr>
          <w:p w14:paraId="3DE031E0"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 xml:space="preserve">3rd-largest MNC in India; brands Prevenar 13, </w:t>
            </w:r>
            <w:proofErr w:type="spellStart"/>
            <w:r w:rsidRPr="00E93419">
              <w:rPr>
                <w:rFonts w:ascii="Arial" w:hAnsi="Arial" w:cs="Arial"/>
                <w:sz w:val="22"/>
                <w:szCs w:val="22"/>
              </w:rPr>
              <w:t>Corex</w:t>
            </w:r>
            <w:proofErr w:type="spellEnd"/>
            <w:r w:rsidRPr="00E93419">
              <w:rPr>
                <w:rFonts w:ascii="Arial" w:hAnsi="Arial" w:cs="Arial"/>
                <w:sz w:val="22"/>
                <w:szCs w:val="22"/>
              </w:rPr>
              <w:t xml:space="preserve">-DX, </w:t>
            </w:r>
            <w:proofErr w:type="spellStart"/>
            <w:r w:rsidRPr="00E93419">
              <w:rPr>
                <w:rFonts w:ascii="Arial" w:hAnsi="Arial" w:cs="Arial"/>
                <w:sz w:val="22"/>
                <w:szCs w:val="22"/>
              </w:rPr>
              <w:t>Becosules</w:t>
            </w:r>
            <w:proofErr w:type="spellEnd"/>
            <w:r w:rsidRPr="00E93419">
              <w:rPr>
                <w:rFonts w:ascii="Arial" w:hAnsi="Arial" w:cs="Arial"/>
                <w:sz w:val="22"/>
                <w:szCs w:val="22"/>
              </w:rPr>
              <w:t>, Enbrel; Goa manufacturing site; revenue ~₹2,000 crore (Screener, 2026).</w:t>
            </w:r>
          </w:p>
        </w:tc>
      </w:tr>
      <w:tr w:rsidR="00E93419" w:rsidRPr="00E93419" w14:paraId="00ABC47B" w14:textId="77777777" w:rsidTr="00E93419">
        <w:tc>
          <w:tcPr>
            <w:tcW w:w="1800" w:type="dxa"/>
          </w:tcPr>
          <w:p w14:paraId="04AEA2AF"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GSK Pharmaceuticals</w:t>
            </w:r>
          </w:p>
        </w:tc>
        <w:tc>
          <w:tcPr>
            <w:tcW w:w="1200" w:type="dxa"/>
          </w:tcPr>
          <w:p w14:paraId="3AA3D7E9"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~2.8%</w:t>
            </w:r>
          </w:p>
        </w:tc>
        <w:tc>
          <w:tcPr>
            <w:tcW w:w="2160" w:type="dxa"/>
          </w:tcPr>
          <w:p w14:paraId="3A9ED24C"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UK MNC; vaccines, respiratory, HIV</w:t>
            </w:r>
          </w:p>
        </w:tc>
        <w:tc>
          <w:tcPr>
            <w:tcW w:w="4200" w:type="dxa"/>
          </w:tcPr>
          <w:p w14:paraId="79F6807A"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Strong in</w:t>
            </w:r>
            <w:r w:rsidRPr="00E93419">
              <w:rPr>
                <w:rFonts w:ascii="Arial" w:hAnsi="Arial" w:cs="Arial"/>
                <w:sz w:val="22"/>
                <w:szCs w:val="22"/>
              </w:rPr>
              <w:t xml:space="preserve"> vaccines; manufacturing presence; partnership with Indian firms for distribution.</w:t>
            </w:r>
          </w:p>
        </w:tc>
      </w:tr>
      <w:tr w:rsidR="00E93419" w:rsidRPr="00E93419" w14:paraId="1DDF04C1" w14:textId="77777777" w:rsidTr="00E93419">
        <w:tc>
          <w:tcPr>
            <w:tcW w:w="1800" w:type="dxa"/>
          </w:tcPr>
          <w:p w14:paraId="589D5569" w14:textId="77777777" w:rsidR="00624145" w:rsidRPr="00E93419" w:rsidRDefault="00C0433A" w:rsidP="00E93419">
            <w:pPr>
              <w:spacing w:line="360" w:lineRule="auto"/>
              <w:rPr>
                <w:rFonts w:ascii="Arial" w:hAnsi="Arial" w:cs="Arial"/>
                <w:sz w:val="22"/>
                <w:szCs w:val="22"/>
              </w:rPr>
            </w:pPr>
            <w:r w:rsidRPr="00E93419">
              <w:rPr>
                <w:rFonts w:ascii="Arial" w:hAnsi="Arial" w:cs="Arial"/>
                <w:b/>
                <w:bCs/>
                <w:sz w:val="22"/>
                <w:szCs w:val="22"/>
              </w:rPr>
              <w:t>Sanofi India</w:t>
            </w:r>
          </w:p>
        </w:tc>
        <w:tc>
          <w:tcPr>
            <w:tcW w:w="1200" w:type="dxa"/>
          </w:tcPr>
          <w:p w14:paraId="26E275DD"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~2.5%</w:t>
            </w:r>
          </w:p>
        </w:tc>
        <w:tc>
          <w:tcPr>
            <w:tcW w:w="2160" w:type="dxa"/>
          </w:tcPr>
          <w:p w14:paraId="58D0609F"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French MNC; diabetes, cardiovascular</w:t>
            </w:r>
          </w:p>
        </w:tc>
        <w:tc>
          <w:tcPr>
            <w:tcW w:w="4200" w:type="dxa"/>
          </w:tcPr>
          <w:p w14:paraId="4D179C96"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t>Diabetes-therapy leader; Hyderabad global capability centre expansion (US$435m, 2025).</w:t>
            </w:r>
          </w:p>
        </w:tc>
      </w:tr>
    </w:tbl>
    <w:p w14:paraId="0FC626EC" w14:textId="77777777" w:rsidR="00624145" w:rsidRPr="00E93419" w:rsidRDefault="00624145" w:rsidP="00E93419">
      <w:pPr>
        <w:spacing w:line="360" w:lineRule="auto"/>
        <w:jc w:val="both"/>
        <w:rPr>
          <w:rFonts w:ascii="Arial" w:hAnsi="Arial" w:cs="Arial"/>
          <w:sz w:val="22"/>
          <w:szCs w:val="22"/>
        </w:rPr>
      </w:pPr>
    </w:p>
    <w:p w14:paraId="3FCFF829"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Sun Pharma exemplifies the Indian innovation-led model: deep domestic roots, international ambition, and sustained R&amp;D intensity. Mankind Pharma exemplifies the opposite — a mass-market, low-price, rural-focused disruptor. Among foreign MNCs, Abbott is the</w:t>
      </w:r>
      <w:r w:rsidRPr="00E93419">
        <w:rPr>
          <w:rFonts w:ascii="Arial" w:hAnsi="Arial" w:cs="Arial"/>
          <w:sz w:val="22"/>
          <w:szCs w:val="22"/>
        </w:rPr>
        <w:t xml:space="preserve"> scale leader thanks to its 2010 acquisition of Piramal Healthcare's domestic formulations business. Pfizer occupies a distinctive premium-innovation position with iconic brands such as Prevenar 13, Lyrica, Enbrel, and </w:t>
      </w:r>
      <w:proofErr w:type="spellStart"/>
      <w:r w:rsidRPr="00E93419">
        <w:rPr>
          <w:rFonts w:ascii="Arial" w:hAnsi="Arial" w:cs="Arial"/>
          <w:sz w:val="22"/>
          <w:szCs w:val="22"/>
        </w:rPr>
        <w:t>Becosules</w:t>
      </w:r>
      <w:proofErr w:type="spellEnd"/>
      <w:r w:rsidRPr="00E93419">
        <w:rPr>
          <w:rFonts w:ascii="Arial" w:hAnsi="Arial" w:cs="Arial"/>
          <w:sz w:val="22"/>
          <w:szCs w:val="22"/>
        </w:rPr>
        <w:t>, but its IPM share has erod</w:t>
      </w:r>
      <w:r w:rsidRPr="00E93419">
        <w:rPr>
          <w:rFonts w:ascii="Arial" w:hAnsi="Arial" w:cs="Arial"/>
          <w:sz w:val="22"/>
          <w:szCs w:val="22"/>
        </w:rPr>
        <w:t>ed slightly over the past five years as Indian generic producers have intensified competition (Screener, 2026).</w:t>
      </w:r>
    </w:p>
    <w:p w14:paraId="2870213A" w14:textId="77777777" w:rsidR="00624145" w:rsidRPr="00E93419" w:rsidRDefault="00C0433A" w:rsidP="00E93419">
      <w:pPr>
        <w:pStyle w:val="Heading1"/>
        <w:spacing w:before="0" w:after="0" w:line="360" w:lineRule="auto"/>
        <w:rPr>
          <w:rFonts w:ascii="Arial" w:hAnsi="Arial" w:cs="Arial"/>
          <w:color w:val="auto"/>
          <w:sz w:val="22"/>
          <w:szCs w:val="22"/>
        </w:rPr>
      </w:pPr>
      <w:bookmarkStart w:id="5" w:name="_Toc228166703"/>
      <w:r w:rsidRPr="00E93419">
        <w:rPr>
          <w:rFonts w:ascii="Arial" w:hAnsi="Arial" w:cs="Arial"/>
          <w:color w:val="auto"/>
          <w:sz w:val="22"/>
          <w:szCs w:val="22"/>
        </w:rPr>
        <w:lastRenderedPageBreak/>
        <w:t>3. Porter's Diamond Model — Global Competitiveness of the Indian Pharmaceutical Industry (≈800 words)</w:t>
      </w:r>
      <w:bookmarkEnd w:id="5"/>
    </w:p>
    <w:p w14:paraId="70B769D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Porter's (1990) Diamond Model of National </w:t>
      </w:r>
      <w:r w:rsidRPr="00E93419">
        <w:rPr>
          <w:rFonts w:ascii="Arial" w:hAnsi="Arial" w:cs="Arial"/>
          <w:sz w:val="22"/>
          <w:szCs w:val="22"/>
        </w:rPr>
        <w:t xml:space="preserve">Advantage provides the most widely accepted lens for analysing why certain industries achieve sustained international competitiveness in particular countries. It identifies four interrelated determinants — factor conditions, demand conditions, related and </w:t>
      </w:r>
      <w:r w:rsidRPr="00E93419">
        <w:rPr>
          <w:rFonts w:ascii="Arial" w:hAnsi="Arial" w:cs="Arial"/>
          <w:sz w:val="22"/>
          <w:szCs w:val="22"/>
        </w:rPr>
        <w:t>supporting industries, and firm strategy, structure and rivalry — together with two auxiliary variables: government and chance (Johnson, Whittington and Scholes, 2020). Applied to India's pharmaceutical industry, the model illuminates why the country has b</w:t>
      </w:r>
      <w:r w:rsidRPr="00E93419">
        <w:rPr>
          <w:rFonts w:ascii="Arial" w:hAnsi="Arial" w:cs="Arial"/>
          <w:sz w:val="22"/>
          <w:szCs w:val="22"/>
        </w:rPr>
        <w:t>ecome the world's largest volume supplier of generic medicines and the third-largest pharmaceutical producer overall.</w:t>
      </w:r>
    </w:p>
    <w:p w14:paraId="47651B2D" w14:textId="77777777" w:rsidR="00624145" w:rsidRPr="00E93419" w:rsidRDefault="00C0433A" w:rsidP="00E93419">
      <w:pPr>
        <w:pStyle w:val="Heading2"/>
        <w:spacing w:before="0" w:after="0" w:line="360" w:lineRule="auto"/>
        <w:rPr>
          <w:rFonts w:ascii="Arial" w:hAnsi="Arial" w:cs="Arial"/>
          <w:color w:val="auto"/>
          <w:sz w:val="22"/>
          <w:szCs w:val="22"/>
        </w:rPr>
      </w:pPr>
      <w:bookmarkStart w:id="6" w:name="_Toc228166704"/>
      <w:r w:rsidRPr="00E93419">
        <w:rPr>
          <w:rFonts w:ascii="Arial" w:hAnsi="Arial" w:cs="Arial"/>
          <w:color w:val="auto"/>
          <w:sz w:val="22"/>
          <w:szCs w:val="22"/>
        </w:rPr>
        <w:t>3.1 Factor Conditions</w:t>
      </w:r>
      <w:bookmarkEnd w:id="6"/>
    </w:p>
    <w:p w14:paraId="0CD069B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India's factor endowment in pharmaceuticals is a textbook example of what Porter calls "advanced, created factors" r</w:t>
      </w:r>
      <w:r w:rsidRPr="00E93419">
        <w:rPr>
          <w:rFonts w:ascii="Arial" w:hAnsi="Arial" w:cs="Arial"/>
          <w:sz w:val="22"/>
          <w:szCs w:val="22"/>
        </w:rPr>
        <w:t>ather than natural ones. Human capital is central: India produces over 1.5 million science, technology, engineering and mathematics (STEM) graduates annually, including tens of thousands of pharmacists and chemical engineers, and English-language proficien</w:t>
      </w:r>
      <w:r w:rsidRPr="00E93419">
        <w:rPr>
          <w:rFonts w:ascii="Arial" w:hAnsi="Arial" w:cs="Arial"/>
          <w:sz w:val="22"/>
          <w:szCs w:val="22"/>
        </w:rPr>
        <w:t>cy enables seamless integration with the regulated markets of the United States, the United Kingdom and the European Union. The Indian Institutes of Technology, National Institutes of Pharmaceutical Education and Research (NIPER), and numerous state univer</w:t>
      </w:r>
      <w:r w:rsidRPr="00E93419">
        <w:rPr>
          <w:rFonts w:ascii="Arial" w:hAnsi="Arial" w:cs="Arial"/>
          <w:sz w:val="22"/>
          <w:szCs w:val="22"/>
        </w:rPr>
        <w:t>sities provide a sustained pipeline of technical talent. Advanced factors are continuously upgraded through Production-Linked Incentive (PLI) schemes — the Government of India disbursed ₹6,800 crore (US$817 million) in April 2024 to underwrite 53 greenfiel</w:t>
      </w:r>
      <w:r w:rsidRPr="00E93419">
        <w:rPr>
          <w:rFonts w:ascii="Arial" w:hAnsi="Arial" w:cs="Arial"/>
          <w:sz w:val="22"/>
          <w:szCs w:val="22"/>
        </w:rPr>
        <w:t>d fermentation and chemical manufacturing units (Mordor Intelligence, 2026).</w:t>
      </w:r>
    </w:p>
    <w:p w14:paraId="327529B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Physical infrastructure has also developed rapidly. India hosts more United States Food and Drug Administration (US FDA)-compliant manufacturing facilities than any country outsid</w:t>
      </w:r>
      <w:r w:rsidRPr="00E93419">
        <w:rPr>
          <w:rFonts w:ascii="Arial" w:hAnsi="Arial" w:cs="Arial"/>
          <w:sz w:val="22"/>
          <w:szCs w:val="22"/>
        </w:rPr>
        <w:t>e the United States — approximately 741 as of 2022 — and roughly 10,500 manufacturing units in total (Market Research Future, 2025). The country has also developed over 500 active pharmaceutical ingredient (API) producers, supplying roughly 8% of global AP</w:t>
      </w:r>
      <w:r w:rsidRPr="00E93419">
        <w:rPr>
          <w:rFonts w:ascii="Arial" w:hAnsi="Arial" w:cs="Arial"/>
          <w:sz w:val="22"/>
          <w:szCs w:val="22"/>
        </w:rPr>
        <w:t>I demand (IBEF, 2025). Labour cost differentials further amplify the advantage: Indian pharmaceutical R&amp;D costs are estimated at 30–40% lower than comparable US or European operations.</w:t>
      </w:r>
    </w:p>
    <w:p w14:paraId="53CE11D8" w14:textId="77777777" w:rsidR="00624145" w:rsidRPr="00E93419" w:rsidRDefault="00C0433A" w:rsidP="00E93419">
      <w:pPr>
        <w:pStyle w:val="Heading2"/>
        <w:spacing w:before="0" w:after="0" w:line="360" w:lineRule="auto"/>
        <w:rPr>
          <w:rFonts w:ascii="Arial" w:hAnsi="Arial" w:cs="Arial"/>
          <w:color w:val="auto"/>
          <w:sz w:val="22"/>
          <w:szCs w:val="22"/>
        </w:rPr>
      </w:pPr>
      <w:bookmarkStart w:id="7" w:name="_Toc228166705"/>
      <w:r w:rsidRPr="00E93419">
        <w:rPr>
          <w:rFonts w:ascii="Arial" w:hAnsi="Arial" w:cs="Arial"/>
          <w:color w:val="auto"/>
          <w:sz w:val="22"/>
          <w:szCs w:val="22"/>
        </w:rPr>
        <w:t>3.2 Demand Conditions</w:t>
      </w:r>
      <w:bookmarkEnd w:id="7"/>
    </w:p>
    <w:p w14:paraId="238F666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India's domestic demand conditions are both large</w:t>
      </w:r>
      <w:r w:rsidRPr="00E93419">
        <w:rPr>
          <w:rFonts w:ascii="Arial" w:hAnsi="Arial" w:cs="Arial"/>
          <w:sz w:val="22"/>
          <w:szCs w:val="22"/>
        </w:rPr>
        <w:t xml:space="preserve"> in scale and demanding in nature, satisfying Porter's two key criteria. The population of 1.43 billion creates enormous volume; rising chronic-disease burden (over 100 million diabetics as of 2024, plus growing cardiovascular and oncology case-loads) shif</w:t>
      </w:r>
      <w:r w:rsidRPr="00E93419">
        <w:rPr>
          <w:rFonts w:ascii="Arial" w:hAnsi="Arial" w:cs="Arial"/>
          <w:sz w:val="22"/>
          <w:szCs w:val="22"/>
        </w:rPr>
        <w:t xml:space="preserve">ts demand toward sophisticated therapies; and India's diaspora of some 32 million, spread across the US, UK, Canada and the Middle East, provides a critical secondary market. Consumers are intensely price-sensitive — a condition </w:t>
      </w:r>
      <w:r w:rsidRPr="00E93419">
        <w:rPr>
          <w:rFonts w:ascii="Arial" w:hAnsi="Arial" w:cs="Arial"/>
          <w:sz w:val="22"/>
          <w:szCs w:val="22"/>
        </w:rPr>
        <w:lastRenderedPageBreak/>
        <w:t>that forces producers to ac</w:t>
      </w:r>
      <w:r w:rsidRPr="00E93419">
        <w:rPr>
          <w:rFonts w:ascii="Arial" w:hAnsi="Arial" w:cs="Arial"/>
          <w:sz w:val="22"/>
          <w:szCs w:val="22"/>
        </w:rPr>
        <w:t>hieve world-class cost-efficiency, which in turn makes them formidable exporters.</w:t>
      </w:r>
    </w:p>
    <w:p w14:paraId="4F59776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Indian government itself is a demanding institutional buyer. Through state procurement for programmes such as Ayushman Bharat (the world's largest public-health-insurance</w:t>
      </w:r>
      <w:r w:rsidRPr="00E93419">
        <w:rPr>
          <w:rFonts w:ascii="Arial" w:hAnsi="Arial" w:cs="Arial"/>
          <w:sz w:val="22"/>
          <w:szCs w:val="22"/>
        </w:rPr>
        <w:t xml:space="preserve"> scheme), the Pradhan Mantri Bhartiya </w:t>
      </w:r>
      <w:proofErr w:type="spellStart"/>
      <w:r w:rsidRPr="00E93419">
        <w:rPr>
          <w:rFonts w:ascii="Arial" w:hAnsi="Arial" w:cs="Arial"/>
          <w:sz w:val="22"/>
          <w:szCs w:val="22"/>
        </w:rPr>
        <w:t>Janaushadhi</w:t>
      </w:r>
      <w:proofErr w:type="spellEnd"/>
      <w:r w:rsidRPr="00E93419">
        <w:rPr>
          <w:rFonts w:ascii="Arial" w:hAnsi="Arial" w:cs="Arial"/>
          <w:sz w:val="22"/>
          <w:szCs w:val="22"/>
        </w:rPr>
        <w:t xml:space="preserve"> </w:t>
      </w:r>
      <w:proofErr w:type="spellStart"/>
      <w:r w:rsidRPr="00E93419">
        <w:rPr>
          <w:rFonts w:ascii="Arial" w:hAnsi="Arial" w:cs="Arial"/>
          <w:sz w:val="22"/>
          <w:szCs w:val="22"/>
        </w:rPr>
        <w:t>Pariyojana</w:t>
      </w:r>
      <w:proofErr w:type="spellEnd"/>
      <w:r w:rsidRPr="00E93419">
        <w:rPr>
          <w:rFonts w:ascii="Arial" w:hAnsi="Arial" w:cs="Arial"/>
          <w:sz w:val="22"/>
          <w:szCs w:val="22"/>
        </w:rPr>
        <w:t xml:space="preserve"> (PMBJP) which operates over 16,900 generic-medicine outlets, and public vaccination drives, the public sector creates predictable high-volume demand that rewards scale producers (PIB, 2026; IBEF,</w:t>
      </w:r>
      <w:r w:rsidRPr="00E93419">
        <w:rPr>
          <w:rFonts w:ascii="Arial" w:hAnsi="Arial" w:cs="Arial"/>
          <w:sz w:val="22"/>
          <w:szCs w:val="22"/>
        </w:rPr>
        <w:t xml:space="preserve"> 2025).</w:t>
      </w:r>
    </w:p>
    <w:p w14:paraId="36479F43" w14:textId="77777777" w:rsidR="00624145" w:rsidRPr="00E93419" w:rsidRDefault="00C0433A" w:rsidP="00E93419">
      <w:pPr>
        <w:pStyle w:val="Heading2"/>
        <w:spacing w:before="0" w:after="0" w:line="360" w:lineRule="auto"/>
        <w:rPr>
          <w:rFonts w:ascii="Arial" w:hAnsi="Arial" w:cs="Arial"/>
          <w:color w:val="auto"/>
          <w:sz w:val="22"/>
          <w:szCs w:val="22"/>
        </w:rPr>
      </w:pPr>
      <w:bookmarkStart w:id="8" w:name="_Toc228166706"/>
      <w:r w:rsidRPr="00E93419">
        <w:rPr>
          <w:rFonts w:ascii="Arial" w:hAnsi="Arial" w:cs="Arial"/>
          <w:color w:val="auto"/>
          <w:sz w:val="22"/>
          <w:szCs w:val="22"/>
        </w:rPr>
        <w:t>3.3 Related and Supporting Industries</w:t>
      </w:r>
      <w:bookmarkEnd w:id="8"/>
    </w:p>
    <w:p w14:paraId="74B5A12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Indian pharmaceuticals benefit from a dense cluster of related and supporting industries. Chemical and fine-chemical suppliers, bulk-drug (API) producers, pharmaceutical packaging specialists, cold-chain logist</w:t>
      </w:r>
      <w:r w:rsidRPr="00E93419">
        <w:rPr>
          <w:rFonts w:ascii="Arial" w:hAnsi="Arial" w:cs="Arial"/>
          <w:sz w:val="22"/>
          <w:szCs w:val="22"/>
        </w:rPr>
        <w:t xml:space="preserve">ics providers, contract research organisations (CROs) and contract development and manufacturing organisations (CDMOs) have all co-evolved. India's CRDMO industry alone is projected to double to US$14 billion by 2028 (IBEF, 2025). Clinical-trial expertise </w:t>
      </w:r>
      <w:r w:rsidRPr="00E93419">
        <w:rPr>
          <w:rFonts w:ascii="Arial" w:hAnsi="Arial" w:cs="Arial"/>
          <w:sz w:val="22"/>
          <w:szCs w:val="22"/>
        </w:rPr>
        <w:t xml:space="preserve">is world-class and inexpensive; Parexel announced in February 2025 plans to add more than 2,000 employees in India over five years (IBEF, 2025). India's information-technology sector — Infosys, TCS, Wipro and over 1,500 captive global-capability centres — </w:t>
      </w:r>
      <w:r w:rsidRPr="00E93419">
        <w:rPr>
          <w:rFonts w:ascii="Arial" w:hAnsi="Arial" w:cs="Arial"/>
          <w:sz w:val="22"/>
          <w:szCs w:val="22"/>
        </w:rPr>
        <w:t>provides advanced digital and data-analytics support to pharmaceutical firms. This cluster effect, which Porter calls the "system" quality of competitive advantage, is what makes the Indian diamond self-reinforcing.</w:t>
      </w:r>
    </w:p>
    <w:p w14:paraId="76F56BBA" w14:textId="77777777" w:rsidR="00624145" w:rsidRPr="00E93419" w:rsidRDefault="00C0433A" w:rsidP="00E93419">
      <w:pPr>
        <w:pStyle w:val="Heading2"/>
        <w:spacing w:before="0" w:after="0" w:line="360" w:lineRule="auto"/>
        <w:rPr>
          <w:rFonts w:ascii="Arial" w:hAnsi="Arial" w:cs="Arial"/>
          <w:color w:val="auto"/>
          <w:sz w:val="22"/>
          <w:szCs w:val="22"/>
        </w:rPr>
      </w:pPr>
      <w:bookmarkStart w:id="9" w:name="_Toc228166707"/>
      <w:r w:rsidRPr="00E93419">
        <w:rPr>
          <w:rFonts w:ascii="Arial" w:hAnsi="Arial" w:cs="Arial"/>
          <w:color w:val="auto"/>
          <w:sz w:val="22"/>
          <w:szCs w:val="22"/>
        </w:rPr>
        <w:t>3.4 Firm Strategy, Structure and Rivalry</w:t>
      </w:r>
      <w:bookmarkEnd w:id="9"/>
    </w:p>
    <w:p w14:paraId="4032AEE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Intense domestic rivalry is perhaps the most powerful force in the Indian pharmaceutical diamond. With over 3,000 pharmaceutical companies competing across 60 therapeutic categories, no single firm holds a dominant share. The top five players together acc</w:t>
      </w:r>
      <w:r w:rsidRPr="00E93419">
        <w:rPr>
          <w:rFonts w:ascii="Arial" w:hAnsi="Arial" w:cs="Arial"/>
          <w:sz w:val="22"/>
          <w:szCs w:val="22"/>
        </w:rPr>
        <w:t>ount for just over 28% of the IPM. This fragmentation forces continuous innovation in formulation, cost-engineering, marketing (particularly medical-representative coverage of doctors), and go-to-market channel design. Sun Pharma's 6.2% R&amp;D intensity, Dr R</w:t>
      </w:r>
      <w:r w:rsidRPr="00E93419">
        <w:rPr>
          <w:rFonts w:ascii="Arial" w:hAnsi="Arial" w:cs="Arial"/>
          <w:sz w:val="22"/>
          <w:szCs w:val="22"/>
        </w:rPr>
        <w:t>eddy's aggressive ANDA (Abbreviated New Drug Application) filing programme, and Biocon's 22% capture of domestic trastuzumab prescriptions (Mordor Intelligence, 2026) are evidence of how rivalry translates into international competitiveness.</w:t>
      </w:r>
    </w:p>
    <w:p w14:paraId="736C1F1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Structurally, </w:t>
      </w:r>
      <w:r w:rsidRPr="00E93419">
        <w:rPr>
          <w:rFonts w:ascii="Arial" w:hAnsi="Arial" w:cs="Arial"/>
          <w:sz w:val="22"/>
          <w:szCs w:val="22"/>
        </w:rPr>
        <w:t>most Indian pharmaceutical firms are family-founded but professionally managed, publicly listed on the BSE/NSE, and increasingly globally oriented. This hybrid ownership model has proved resilient across regulatory cycles.</w:t>
      </w:r>
    </w:p>
    <w:p w14:paraId="15F1B363" w14:textId="77777777" w:rsidR="00624145" w:rsidRPr="00E93419" w:rsidRDefault="00C0433A" w:rsidP="00E93419">
      <w:pPr>
        <w:pStyle w:val="Heading2"/>
        <w:spacing w:before="0" w:after="0" w:line="360" w:lineRule="auto"/>
        <w:rPr>
          <w:rFonts w:ascii="Arial" w:hAnsi="Arial" w:cs="Arial"/>
          <w:color w:val="auto"/>
          <w:sz w:val="22"/>
          <w:szCs w:val="22"/>
        </w:rPr>
      </w:pPr>
      <w:bookmarkStart w:id="10" w:name="_Toc228166708"/>
      <w:r w:rsidRPr="00E93419">
        <w:rPr>
          <w:rFonts w:ascii="Arial" w:hAnsi="Arial" w:cs="Arial"/>
          <w:color w:val="auto"/>
          <w:sz w:val="22"/>
          <w:szCs w:val="22"/>
        </w:rPr>
        <w:t>3.5 The Auxiliary Variables — Gov</w:t>
      </w:r>
      <w:r w:rsidRPr="00E93419">
        <w:rPr>
          <w:rFonts w:ascii="Arial" w:hAnsi="Arial" w:cs="Arial"/>
          <w:color w:val="auto"/>
          <w:sz w:val="22"/>
          <w:szCs w:val="22"/>
        </w:rPr>
        <w:t>ernment and Chance</w:t>
      </w:r>
      <w:bookmarkEnd w:id="10"/>
    </w:p>
    <w:p w14:paraId="747BA48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Government has been pivotal throughout. The Patents Act 1970 permitted only process patents on pharmaceuticals, allowing Indian firms to legally reverse-engineer Western molecules; this catalysed the generics industry. India's 2005 TRIPS</w:t>
      </w:r>
      <w:r w:rsidRPr="00E93419">
        <w:rPr>
          <w:rFonts w:ascii="Arial" w:hAnsi="Arial" w:cs="Arial"/>
          <w:sz w:val="22"/>
          <w:szCs w:val="22"/>
        </w:rPr>
        <w:t xml:space="preserve">-compliant patent reforms forced Indian firms to up-skill into patented-drug filings and biosimilars. More recently, the PLI </w:t>
      </w:r>
      <w:r w:rsidRPr="00E93419">
        <w:rPr>
          <w:rFonts w:ascii="Arial" w:hAnsi="Arial" w:cs="Arial"/>
          <w:sz w:val="22"/>
          <w:szCs w:val="22"/>
        </w:rPr>
        <w:lastRenderedPageBreak/>
        <w:t>scheme, the Promotion of Bulk Drug Parks initiative, the US$250 million National Biopharma Mission and the 2025 India-UK Comprehens</w:t>
      </w:r>
      <w:r w:rsidRPr="00E93419">
        <w:rPr>
          <w:rFonts w:ascii="Arial" w:hAnsi="Arial" w:cs="Arial"/>
          <w:sz w:val="22"/>
          <w:szCs w:val="22"/>
        </w:rPr>
        <w:t>ive Economic and Trade Agreement (CETA) — which grants zero-duty market access for 56 pharmaceutical tariff lines — have all sharpened competitiveness (PIB, 2026).</w:t>
      </w:r>
    </w:p>
    <w:p w14:paraId="46636E1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Chance has also played a role. The COVID-19 pandemic tested the industry's capacity and validated its global role; the development of COVAXIN by Bharat Biotech in collaboration with ICMR-NIV was a landmark demonstration of indigenous capability (RSIS Inter</w:t>
      </w:r>
      <w:r w:rsidRPr="00E93419">
        <w:rPr>
          <w:rFonts w:ascii="Arial" w:hAnsi="Arial" w:cs="Arial"/>
          <w:sz w:val="22"/>
          <w:szCs w:val="22"/>
        </w:rPr>
        <w:t>national, 2025). Conversely, Trump-era "reciprocal" tariffs in April 2025 (initially 37%, later reduced) created disruption, particularly for the garments sector but also affecting pharma export economics (Wikipedia, 2026).</w:t>
      </w:r>
    </w:p>
    <w:p w14:paraId="6F823D7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Overall, the Diamond Model revea</w:t>
      </w:r>
      <w:r w:rsidRPr="00E93419">
        <w:rPr>
          <w:rFonts w:ascii="Arial" w:hAnsi="Arial" w:cs="Arial"/>
          <w:sz w:val="22"/>
          <w:szCs w:val="22"/>
        </w:rPr>
        <w:t>ls that India's pharmaceutical competitiveness is grounded in a mutually reinforcing system — skilled human capital, disciplined demand, dense supporting-industry clusters, and fierce domestic rivalry — supported by far-sighted government policy. This syst</w:t>
      </w:r>
      <w:r w:rsidRPr="00E93419">
        <w:rPr>
          <w:rFonts w:ascii="Arial" w:hAnsi="Arial" w:cs="Arial"/>
          <w:sz w:val="22"/>
          <w:szCs w:val="22"/>
        </w:rPr>
        <w:t>em is not easily replicated and is expected to sustain India's "pharmacy of the world" position well into the 2030s.</w:t>
      </w:r>
    </w:p>
    <w:p w14:paraId="727C0BE3" w14:textId="77777777" w:rsidR="00624145" w:rsidRPr="00E93419" w:rsidRDefault="00C0433A" w:rsidP="00E93419">
      <w:pPr>
        <w:pStyle w:val="Heading1"/>
        <w:spacing w:before="0" w:after="0" w:line="360" w:lineRule="auto"/>
        <w:rPr>
          <w:rFonts w:ascii="Arial" w:hAnsi="Arial" w:cs="Arial"/>
          <w:color w:val="auto"/>
          <w:sz w:val="22"/>
          <w:szCs w:val="22"/>
        </w:rPr>
      </w:pPr>
      <w:bookmarkStart w:id="11" w:name="_Toc228166709"/>
      <w:r w:rsidRPr="00E93419">
        <w:rPr>
          <w:rFonts w:ascii="Arial" w:hAnsi="Arial" w:cs="Arial"/>
          <w:color w:val="auto"/>
          <w:sz w:val="22"/>
          <w:szCs w:val="22"/>
        </w:rPr>
        <w:t>4. Pfizer Inc. in India — Market Attractiveness and Success Factors (≈2,000 words)</w:t>
      </w:r>
      <w:bookmarkEnd w:id="11"/>
    </w:p>
    <w:p w14:paraId="1BE0FCC7" w14:textId="77777777" w:rsidR="00624145" w:rsidRPr="00E93419" w:rsidRDefault="00C0433A" w:rsidP="00E93419">
      <w:pPr>
        <w:pStyle w:val="Heading2"/>
        <w:spacing w:before="0" w:after="0" w:line="360" w:lineRule="auto"/>
        <w:rPr>
          <w:rFonts w:ascii="Arial" w:hAnsi="Arial" w:cs="Arial"/>
          <w:color w:val="auto"/>
          <w:sz w:val="22"/>
          <w:szCs w:val="22"/>
        </w:rPr>
      </w:pPr>
      <w:bookmarkStart w:id="12" w:name="_Toc228166710"/>
      <w:r w:rsidRPr="00E93419">
        <w:rPr>
          <w:rFonts w:ascii="Arial" w:hAnsi="Arial" w:cs="Arial"/>
          <w:color w:val="auto"/>
          <w:sz w:val="22"/>
          <w:szCs w:val="22"/>
        </w:rPr>
        <w:t>4.1 Company Background</w:t>
      </w:r>
      <w:bookmarkEnd w:id="12"/>
    </w:p>
    <w:p w14:paraId="214E14C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Inc. was founded in Brookl</w:t>
      </w:r>
      <w:r w:rsidRPr="00E93419">
        <w:rPr>
          <w:rFonts w:ascii="Arial" w:hAnsi="Arial" w:cs="Arial"/>
          <w:sz w:val="22"/>
          <w:szCs w:val="22"/>
        </w:rPr>
        <w:t>yn, New York in 1849 by German-American cousins Charles Pfizer and Charles Erhart. Today it is one of the world's largest research-based biopharmaceutical companies, with a global presence in over 125 countries, 2024 global revenues of approximately US$63.</w:t>
      </w:r>
      <w:r w:rsidRPr="00E93419">
        <w:rPr>
          <w:rFonts w:ascii="Arial" w:hAnsi="Arial" w:cs="Arial"/>
          <w:sz w:val="22"/>
          <w:szCs w:val="22"/>
        </w:rPr>
        <w:t>6 billion and a deep therapeutic footprint spanning vaccines, oncology, immunology, cardiology, endocrinology and neurology (Pfizer India, 2025). The company's mission is "breakthroughs that change patients' lives".</w:t>
      </w:r>
    </w:p>
    <w:p w14:paraId="4B7F7F1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Pfizer's Indian history is long and laye</w:t>
      </w:r>
      <w:r w:rsidRPr="00E93419">
        <w:rPr>
          <w:rFonts w:ascii="Arial" w:hAnsi="Arial" w:cs="Arial"/>
          <w:sz w:val="22"/>
          <w:szCs w:val="22"/>
        </w:rPr>
        <w:t xml:space="preserve">red. It began operations in India in 1950 — the same year the Republic was constituted — and Pfizer Limited was listed on the Bombay Stock Exchange in 1966. The 2014 merger with Wyeth Limited placed Pfizer Limited among the top 10 pharmaceutical companies </w:t>
      </w:r>
      <w:r w:rsidRPr="00E93419">
        <w:rPr>
          <w:rFonts w:ascii="Arial" w:hAnsi="Arial" w:cs="Arial"/>
          <w:sz w:val="22"/>
          <w:szCs w:val="22"/>
        </w:rPr>
        <w:t>in India by market share. Today Pfizer operates through three legal entities: Pfizer Limited (BSE-listed); Pfizer Products India Private Ltd (100%-owned by Pfizer Inc. and focused on imports, marketing and distribution); and Pfizer Healthcare India Pvt Ltd</w:t>
      </w:r>
      <w:r w:rsidRPr="00E93419">
        <w:rPr>
          <w:rFonts w:ascii="Arial" w:hAnsi="Arial" w:cs="Arial"/>
          <w:sz w:val="22"/>
          <w:szCs w:val="22"/>
        </w:rPr>
        <w:t xml:space="preserve"> (100% indirectly owned, focused on manufacturing and research). Together these entities employ over 5,500 staff in India (Pfizer India, 2025).</w:t>
      </w:r>
    </w:p>
    <w:p w14:paraId="753A7D2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Pfizer Limited commands annual sales of approximately ₹2,000 crore and ranks as the third-largest multinational </w:t>
      </w:r>
      <w:r w:rsidRPr="00E93419">
        <w:rPr>
          <w:rFonts w:ascii="Arial" w:hAnsi="Arial" w:cs="Arial"/>
          <w:sz w:val="22"/>
          <w:szCs w:val="22"/>
        </w:rPr>
        <w:t xml:space="preserve">pharmaceutical company by IPM share, with its marquee brands Prevenar 13 (pneumococcal vaccine), Lyrica (pain), Enbrel (immunology), </w:t>
      </w:r>
      <w:proofErr w:type="spellStart"/>
      <w:r w:rsidRPr="00E93419">
        <w:rPr>
          <w:rFonts w:ascii="Arial" w:hAnsi="Arial" w:cs="Arial"/>
          <w:sz w:val="22"/>
          <w:szCs w:val="22"/>
        </w:rPr>
        <w:t>Becosules</w:t>
      </w:r>
      <w:proofErr w:type="spellEnd"/>
      <w:r w:rsidRPr="00E93419">
        <w:rPr>
          <w:rFonts w:ascii="Arial" w:hAnsi="Arial" w:cs="Arial"/>
          <w:sz w:val="22"/>
          <w:szCs w:val="22"/>
        </w:rPr>
        <w:t xml:space="preserve"> (vitamins), </w:t>
      </w:r>
      <w:proofErr w:type="spellStart"/>
      <w:r w:rsidRPr="00E93419">
        <w:rPr>
          <w:rFonts w:ascii="Arial" w:hAnsi="Arial" w:cs="Arial"/>
          <w:sz w:val="22"/>
          <w:szCs w:val="22"/>
        </w:rPr>
        <w:t>Corex</w:t>
      </w:r>
      <w:proofErr w:type="spellEnd"/>
      <w:r w:rsidRPr="00E93419">
        <w:rPr>
          <w:rFonts w:ascii="Arial" w:hAnsi="Arial" w:cs="Arial"/>
          <w:sz w:val="22"/>
          <w:szCs w:val="22"/>
        </w:rPr>
        <w:t xml:space="preserve">-DX (cough), </w:t>
      </w:r>
      <w:proofErr w:type="spellStart"/>
      <w:r w:rsidRPr="00E93419">
        <w:rPr>
          <w:rFonts w:ascii="Arial" w:hAnsi="Arial" w:cs="Arial"/>
          <w:sz w:val="22"/>
          <w:szCs w:val="22"/>
        </w:rPr>
        <w:t>Dolonex</w:t>
      </w:r>
      <w:proofErr w:type="spellEnd"/>
      <w:r w:rsidRPr="00E93419">
        <w:rPr>
          <w:rFonts w:ascii="Arial" w:hAnsi="Arial" w:cs="Arial"/>
          <w:sz w:val="22"/>
          <w:szCs w:val="22"/>
        </w:rPr>
        <w:t xml:space="preserve"> (pain), and </w:t>
      </w:r>
      <w:proofErr w:type="spellStart"/>
      <w:r w:rsidRPr="00E93419">
        <w:rPr>
          <w:rFonts w:ascii="Arial" w:hAnsi="Arial" w:cs="Arial"/>
          <w:sz w:val="22"/>
          <w:szCs w:val="22"/>
        </w:rPr>
        <w:t>Gelusil</w:t>
      </w:r>
      <w:proofErr w:type="spellEnd"/>
      <w:r w:rsidRPr="00E93419">
        <w:rPr>
          <w:rFonts w:ascii="Arial" w:hAnsi="Arial" w:cs="Arial"/>
          <w:sz w:val="22"/>
          <w:szCs w:val="22"/>
        </w:rPr>
        <w:t xml:space="preserve"> (antacid) (Screener, 2026). A state-of-the-art award-wi</w:t>
      </w:r>
      <w:r w:rsidRPr="00E93419">
        <w:rPr>
          <w:rFonts w:ascii="Arial" w:hAnsi="Arial" w:cs="Arial"/>
          <w:sz w:val="22"/>
          <w:szCs w:val="22"/>
        </w:rPr>
        <w:t xml:space="preserve">nning manufacturing facility in Goa produces over a billion tablets annually, </w:t>
      </w:r>
      <w:r w:rsidRPr="00E93419">
        <w:rPr>
          <w:rFonts w:ascii="Arial" w:hAnsi="Arial" w:cs="Arial"/>
          <w:sz w:val="22"/>
          <w:szCs w:val="22"/>
        </w:rPr>
        <w:lastRenderedPageBreak/>
        <w:t xml:space="preserve">and the Chennai R&amp;D centre focuses on </w:t>
      </w:r>
      <w:proofErr w:type="spellStart"/>
      <w:r w:rsidRPr="00E93419">
        <w:rPr>
          <w:rFonts w:ascii="Arial" w:hAnsi="Arial" w:cs="Arial"/>
          <w:sz w:val="22"/>
          <w:szCs w:val="22"/>
        </w:rPr>
        <w:t>parenterals</w:t>
      </w:r>
      <w:proofErr w:type="spellEnd"/>
      <w:r w:rsidRPr="00E93419">
        <w:rPr>
          <w:rFonts w:ascii="Arial" w:hAnsi="Arial" w:cs="Arial"/>
          <w:sz w:val="22"/>
          <w:szCs w:val="22"/>
        </w:rPr>
        <w:t xml:space="preserve"> and small-molecule manufacturing (Pfizer India, 2025).</w:t>
      </w:r>
    </w:p>
    <w:p w14:paraId="5FE1048F" w14:textId="77777777" w:rsidR="00624145" w:rsidRPr="00E93419" w:rsidRDefault="00C0433A" w:rsidP="00E93419">
      <w:pPr>
        <w:pStyle w:val="Heading2"/>
        <w:spacing w:before="0" w:after="0" w:line="360" w:lineRule="auto"/>
        <w:rPr>
          <w:rFonts w:ascii="Arial" w:hAnsi="Arial" w:cs="Arial"/>
          <w:color w:val="auto"/>
          <w:sz w:val="22"/>
          <w:szCs w:val="22"/>
        </w:rPr>
      </w:pPr>
      <w:bookmarkStart w:id="13" w:name="_Toc228166711"/>
      <w:r w:rsidRPr="00E93419">
        <w:rPr>
          <w:rFonts w:ascii="Arial" w:hAnsi="Arial" w:cs="Arial"/>
          <w:color w:val="auto"/>
          <w:sz w:val="22"/>
          <w:szCs w:val="22"/>
        </w:rPr>
        <w:t>4.2 Market Attractiveness — PESTEL Analysis</w:t>
      </w:r>
      <w:bookmarkEnd w:id="13"/>
    </w:p>
    <w:p w14:paraId="5678BA4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attractiveness of India f</w:t>
      </w:r>
      <w:r w:rsidRPr="00E93419">
        <w:rPr>
          <w:rFonts w:ascii="Arial" w:hAnsi="Arial" w:cs="Arial"/>
          <w:sz w:val="22"/>
          <w:szCs w:val="22"/>
        </w:rPr>
        <w:t>or Pfizer — and indeed for any foreign pharmaceutical MNC — is best assessed through a systematic PESTEL scan.</w:t>
      </w:r>
    </w:p>
    <w:p w14:paraId="708F88A3" w14:textId="77777777" w:rsidR="00624145" w:rsidRPr="00E93419" w:rsidRDefault="00C0433A" w:rsidP="00E93419">
      <w:pPr>
        <w:spacing w:line="360" w:lineRule="auto"/>
        <w:jc w:val="center"/>
        <w:rPr>
          <w:rFonts w:ascii="Arial" w:hAnsi="Arial" w:cs="Arial"/>
          <w:sz w:val="22"/>
          <w:szCs w:val="22"/>
        </w:rPr>
      </w:pPr>
      <w:r w:rsidRPr="00E93419">
        <w:rPr>
          <w:rFonts w:ascii="Arial" w:hAnsi="Arial" w:cs="Arial"/>
          <w:b/>
          <w:bCs/>
          <w:sz w:val="22"/>
          <w:szCs w:val="22"/>
        </w:rPr>
        <w:t>Table 2: PESTEL Analysis for Pfizer in India</w:t>
      </w:r>
    </w:p>
    <w:tbl>
      <w:tblPr>
        <w:tblStyle w:val="TableGrid"/>
        <w:tblW w:w="9360" w:type="dxa"/>
        <w:tblLook w:val="0000" w:firstRow="0" w:lastRow="0" w:firstColumn="0" w:lastColumn="0" w:noHBand="0" w:noVBand="0"/>
      </w:tblPr>
      <w:tblGrid>
        <w:gridCol w:w="1800"/>
        <w:gridCol w:w="7560"/>
      </w:tblGrid>
      <w:tr w:rsidR="00E93419" w:rsidRPr="00E93419" w14:paraId="1625F11B" w14:textId="77777777" w:rsidTr="00E93419">
        <w:tc>
          <w:tcPr>
            <w:tcW w:w="1800" w:type="dxa"/>
          </w:tcPr>
          <w:p w14:paraId="4D79DAA9"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Factor</w:t>
            </w:r>
          </w:p>
        </w:tc>
        <w:tc>
          <w:tcPr>
            <w:tcW w:w="7560" w:type="dxa"/>
          </w:tcPr>
          <w:p w14:paraId="56C67290"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Analysis</w:t>
            </w:r>
          </w:p>
        </w:tc>
      </w:tr>
      <w:tr w:rsidR="00E93419" w:rsidRPr="00E93419" w14:paraId="1C323FE3" w14:textId="77777777" w:rsidTr="00E93419">
        <w:tc>
          <w:tcPr>
            <w:tcW w:w="1800" w:type="dxa"/>
          </w:tcPr>
          <w:p w14:paraId="489F56C6"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Political</w:t>
            </w:r>
          </w:p>
        </w:tc>
        <w:tc>
          <w:tcPr>
            <w:tcW w:w="7560" w:type="dxa"/>
          </w:tcPr>
          <w:p w14:paraId="23D0CC16"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pharmaceutical policy environment is broadly supportive of foreign investment (100% FDI allowed under the automatic route for greenfield; 74% automatic and above that requires approval for brownfield). FDI inflows into drugs and pharmaceuticals rea</w:t>
            </w:r>
            <w:r w:rsidRPr="00E93419">
              <w:rPr>
                <w:rFonts w:ascii="Arial" w:hAnsi="Arial" w:cs="Arial"/>
                <w:sz w:val="22"/>
                <w:szCs w:val="22"/>
              </w:rPr>
              <w:t xml:space="preserve">ched US$24.6 billion between April 2000 and June 2025 (IBEF, 2025). However, political pressure on drug prices is persistent — the National Pharmaceutical Pricing Authority (NPPA) regularly caps prices on essential medicines listed in the National List of </w:t>
            </w:r>
            <w:r w:rsidRPr="00E93419">
              <w:rPr>
                <w:rFonts w:ascii="Arial" w:hAnsi="Arial" w:cs="Arial"/>
                <w:sz w:val="22"/>
                <w:szCs w:val="22"/>
              </w:rPr>
              <w:t>Essential Medicines (NLEM), which directly affects Pfizer's commercial flexibility. The July 2025 US review of pharmaceutical intellectual property practices in India also introduced some short-term uncertainty (Fortune Business Insights, 2025).</w:t>
            </w:r>
          </w:p>
        </w:tc>
      </w:tr>
      <w:tr w:rsidR="00E93419" w:rsidRPr="00E93419" w14:paraId="0F65C77E" w14:textId="77777777" w:rsidTr="00E93419">
        <w:tc>
          <w:tcPr>
            <w:tcW w:w="1800" w:type="dxa"/>
          </w:tcPr>
          <w:p w14:paraId="4EC99D6A"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Economic</w:t>
            </w:r>
          </w:p>
        </w:tc>
        <w:tc>
          <w:tcPr>
            <w:tcW w:w="7560" w:type="dxa"/>
          </w:tcPr>
          <w:p w14:paraId="27A8BCF5"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 is the world's fastest-growing large economy, with GDP growth averaging over 6% over the past decade. Rising middle-class incomes lift willingness-to-pay for branded medicines. However, average per-capita pharmaceutical spend is still low (~</w:t>
            </w:r>
            <w:r w:rsidRPr="00E93419">
              <w:rPr>
                <w:rFonts w:ascii="Arial" w:hAnsi="Arial" w:cs="Arial"/>
                <w:sz w:val="22"/>
                <w:szCs w:val="22"/>
              </w:rPr>
              <w:t>US$25 per annum compared to over US$1,000 in the US), limiting price-premium headroom. The Indian rupee has depreciated against the US dollar by roughly 35% over the past decade, creating FX risk for Pfizer's USD-denominated intercompany transactions.</w:t>
            </w:r>
          </w:p>
        </w:tc>
      </w:tr>
      <w:tr w:rsidR="00E93419" w:rsidRPr="00E93419" w14:paraId="31C60208" w14:textId="77777777" w:rsidTr="00E93419">
        <w:tc>
          <w:tcPr>
            <w:tcW w:w="1800" w:type="dxa"/>
          </w:tcPr>
          <w:p w14:paraId="4EA2E0FF"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Soc</w:t>
            </w:r>
            <w:r w:rsidRPr="00E93419">
              <w:rPr>
                <w:rFonts w:ascii="Arial" w:hAnsi="Arial" w:cs="Arial"/>
                <w:b/>
                <w:bCs/>
                <w:sz w:val="22"/>
                <w:szCs w:val="22"/>
              </w:rPr>
              <w:t>ial</w:t>
            </w:r>
          </w:p>
        </w:tc>
        <w:tc>
          <w:tcPr>
            <w:tcW w:w="7560" w:type="dxa"/>
          </w:tcPr>
          <w:p w14:paraId="599E87A1"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 is undergoing an epidemiological transition. Over 100 million diabetics, rising cardiovascular and cancer incidence, and ageing of the population will drive demand for Pfizer's chronic-therapy portfolio (cardiology, oncology, neurology). Health-i</w:t>
            </w:r>
            <w:r w:rsidRPr="00E93419">
              <w:rPr>
                <w:rFonts w:ascii="Arial" w:hAnsi="Arial" w:cs="Arial"/>
                <w:sz w:val="22"/>
                <w:szCs w:val="22"/>
              </w:rPr>
              <w:t>nsurance penetration remains under 40%, meaning most pharmaceutical spending is out-of-pocket — a driver of price sensitivity. Urban-rural divides in health literacy also create segmented demand patterns.</w:t>
            </w:r>
          </w:p>
        </w:tc>
      </w:tr>
      <w:tr w:rsidR="00E93419" w:rsidRPr="00E93419" w14:paraId="46532D52" w14:textId="77777777" w:rsidTr="00E93419">
        <w:tc>
          <w:tcPr>
            <w:tcW w:w="1800" w:type="dxa"/>
          </w:tcPr>
          <w:p w14:paraId="1448BEE1"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Technological</w:t>
            </w:r>
          </w:p>
        </w:tc>
        <w:tc>
          <w:tcPr>
            <w:tcW w:w="7560" w:type="dxa"/>
          </w:tcPr>
          <w:p w14:paraId="45CF8CA3"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digital health infrastructur</w:t>
            </w:r>
            <w:r w:rsidRPr="00E93419">
              <w:rPr>
                <w:rFonts w:ascii="Arial" w:hAnsi="Arial" w:cs="Arial"/>
                <w:sz w:val="22"/>
                <w:szCs w:val="22"/>
              </w:rPr>
              <w:t>e — the Ayushman Bharat Digital Mission, widespread use of UPI for payments, and rapid e-pharmacy growth (</w:t>
            </w:r>
            <w:proofErr w:type="spellStart"/>
            <w:r w:rsidRPr="00E93419">
              <w:rPr>
                <w:rFonts w:ascii="Arial" w:hAnsi="Arial" w:cs="Arial"/>
                <w:sz w:val="22"/>
                <w:szCs w:val="22"/>
              </w:rPr>
              <w:t>Truemeds</w:t>
            </w:r>
            <w:proofErr w:type="spellEnd"/>
            <w:r w:rsidRPr="00E93419">
              <w:rPr>
                <w:rFonts w:ascii="Arial" w:hAnsi="Arial" w:cs="Arial"/>
                <w:sz w:val="22"/>
                <w:szCs w:val="22"/>
              </w:rPr>
              <w:t xml:space="preserve"> raised US$85m Series C in 2025) — creates opportunities for Pfizer's Go-To-Market digital-transformation strategy and its Pfizer Pro HCP </w:t>
            </w:r>
            <w:r w:rsidRPr="00E93419">
              <w:rPr>
                <w:rFonts w:ascii="Arial" w:hAnsi="Arial" w:cs="Arial"/>
                <w:sz w:val="22"/>
                <w:szCs w:val="22"/>
              </w:rPr>
              <w:lastRenderedPageBreak/>
              <w:t>port</w:t>
            </w:r>
            <w:r w:rsidRPr="00E93419">
              <w:rPr>
                <w:rFonts w:ascii="Arial" w:hAnsi="Arial" w:cs="Arial"/>
                <w:sz w:val="22"/>
                <w:szCs w:val="22"/>
              </w:rPr>
              <w:t>al (Pfizer India, 2025). AI-driven drug discovery and clinical trials are expanding.</w:t>
            </w:r>
          </w:p>
        </w:tc>
      </w:tr>
      <w:tr w:rsidR="00E93419" w:rsidRPr="00E93419" w14:paraId="7990C6CD" w14:textId="77777777" w:rsidTr="00E93419">
        <w:tc>
          <w:tcPr>
            <w:tcW w:w="1800" w:type="dxa"/>
          </w:tcPr>
          <w:p w14:paraId="7FFE7009"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lastRenderedPageBreak/>
              <w:t>Environmental</w:t>
            </w:r>
          </w:p>
        </w:tc>
        <w:tc>
          <w:tcPr>
            <w:tcW w:w="7560" w:type="dxa"/>
          </w:tcPr>
          <w:p w14:paraId="5F1D13E3"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Environmental regulation of pharmaceutical manufacturing is tightening, particularly around API effluent in cluster zones such as Hyderabad and Visakhapatna</w:t>
            </w:r>
            <w:r w:rsidRPr="00E93419">
              <w:rPr>
                <w:rFonts w:ascii="Arial" w:hAnsi="Arial" w:cs="Arial"/>
                <w:sz w:val="22"/>
                <w:szCs w:val="22"/>
              </w:rPr>
              <w:t>m. Pfizer's Goa plant has invested in green-chemistry upgrades and water-recycling, aligning with both regulatory and ESG-investor expectations.</w:t>
            </w:r>
          </w:p>
        </w:tc>
      </w:tr>
      <w:tr w:rsidR="00E93419" w:rsidRPr="00E93419" w14:paraId="596C09EB" w14:textId="77777777" w:rsidTr="00E93419">
        <w:tc>
          <w:tcPr>
            <w:tcW w:w="1800" w:type="dxa"/>
          </w:tcPr>
          <w:p w14:paraId="4227906C"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b/>
                <w:bCs/>
                <w:sz w:val="22"/>
                <w:szCs w:val="22"/>
              </w:rPr>
              <w:t>Legal</w:t>
            </w:r>
          </w:p>
        </w:tc>
        <w:tc>
          <w:tcPr>
            <w:tcW w:w="7560" w:type="dxa"/>
          </w:tcPr>
          <w:p w14:paraId="02DC5315" w14:textId="77777777" w:rsidR="00624145" w:rsidRPr="00E93419" w:rsidRDefault="00C0433A" w:rsidP="00B3773C">
            <w:pPr>
              <w:spacing w:line="360" w:lineRule="auto"/>
              <w:jc w:val="both"/>
              <w:rPr>
                <w:rFonts w:ascii="Arial" w:hAnsi="Arial" w:cs="Arial"/>
                <w:sz w:val="22"/>
                <w:szCs w:val="22"/>
              </w:rPr>
            </w:pPr>
            <w:r w:rsidRPr="00E93419">
              <w:rPr>
                <w:rFonts w:ascii="Arial" w:hAnsi="Arial" w:cs="Arial"/>
                <w:sz w:val="22"/>
                <w:szCs w:val="22"/>
              </w:rPr>
              <w:t>India's patent regime (TRIPS-compliant since 2005) provides product patent protection for 20 years. Howe</w:t>
            </w:r>
            <w:r w:rsidRPr="00E93419">
              <w:rPr>
                <w:rFonts w:ascii="Arial" w:hAnsi="Arial" w:cs="Arial"/>
                <w:sz w:val="22"/>
                <w:szCs w:val="22"/>
              </w:rPr>
              <w:t>ver, Section 3(d) of the Patents Act prevents "evergreening" — the denial of Pfizer's attempt to patent an improved form of Lyrica was an early test of this provision. Compulsory-licensing provisions under Section 84 also exist, though rarely invoked. Pric</w:t>
            </w:r>
            <w:r w:rsidRPr="00E93419">
              <w:rPr>
                <w:rFonts w:ascii="Arial" w:hAnsi="Arial" w:cs="Arial"/>
                <w:sz w:val="22"/>
                <w:szCs w:val="22"/>
              </w:rPr>
              <w:t>e-control is enforced by the NPPA. The 2025 India-UK CETA has opened new duty-free access to the UK market for 56 pharmaceutical tariff lines (PIB, 2026).</w:t>
            </w:r>
          </w:p>
        </w:tc>
      </w:tr>
    </w:tbl>
    <w:p w14:paraId="20C56C8B" w14:textId="77777777" w:rsidR="00624145" w:rsidRPr="00E93419" w:rsidRDefault="00624145" w:rsidP="00E93419">
      <w:pPr>
        <w:spacing w:line="360" w:lineRule="auto"/>
        <w:jc w:val="both"/>
        <w:rPr>
          <w:rFonts w:ascii="Arial" w:hAnsi="Arial" w:cs="Arial"/>
          <w:sz w:val="22"/>
          <w:szCs w:val="22"/>
        </w:rPr>
      </w:pPr>
    </w:p>
    <w:p w14:paraId="50E1D7C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overall PESTEL profile indicates that India is an attractive market for Pfizer but one that requires continuous adaptation. The combination of demographic-driven demand, favourable technology infrastructure and supportive FDI policy is balanced against</w:t>
      </w:r>
      <w:r w:rsidRPr="00E93419">
        <w:rPr>
          <w:rFonts w:ascii="Arial" w:hAnsi="Arial" w:cs="Arial"/>
          <w:sz w:val="22"/>
          <w:szCs w:val="22"/>
        </w:rPr>
        <w:t xml:space="preserve"> persistent price-control risk, intellectual-property challenges, and currency exposure.</w:t>
      </w:r>
    </w:p>
    <w:p w14:paraId="031ED6FE" w14:textId="77777777" w:rsidR="00624145" w:rsidRPr="00E93419" w:rsidRDefault="00C0433A" w:rsidP="00E93419">
      <w:pPr>
        <w:pStyle w:val="Heading2"/>
        <w:spacing w:before="0" w:after="0" w:line="360" w:lineRule="auto"/>
        <w:rPr>
          <w:rFonts w:ascii="Arial" w:hAnsi="Arial" w:cs="Arial"/>
          <w:color w:val="auto"/>
          <w:sz w:val="22"/>
          <w:szCs w:val="22"/>
        </w:rPr>
      </w:pPr>
      <w:bookmarkStart w:id="14" w:name="_Toc228166712"/>
      <w:r w:rsidRPr="00E93419">
        <w:rPr>
          <w:rFonts w:ascii="Arial" w:hAnsi="Arial" w:cs="Arial"/>
          <w:color w:val="auto"/>
          <w:sz w:val="22"/>
          <w:szCs w:val="22"/>
        </w:rPr>
        <w:t>4.3 Cultural and Managerial Factors — Hofstede's Lens</w:t>
      </w:r>
      <w:bookmarkEnd w:id="14"/>
    </w:p>
    <w:p w14:paraId="512A738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Hofstede's (1980, 2011) cultural dimensions highlight important behavioural differences between Pfizer's US headq</w:t>
      </w:r>
      <w:r w:rsidRPr="00E93419">
        <w:rPr>
          <w:rFonts w:ascii="Arial" w:hAnsi="Arial" w:cs="Arial"/>
          <w:sz w:val="22"/>
          <w:szCs w:val="22"/>
        </w:rPr>
        <w:t xml:space="preserve">uarters and its Indian operations. India scores high on Power Distance (77) versus the US (40), suggesting a more hierarchical management culture. India is moderately collectivist (Individualism 48) against the US's high individualism (91). On uncertainty </w:t>
      </w:r>
      <w:r w:rsidRPr="00E93419">
        <w:rPr>
          <w:rFonts w:ascii="Arial" w:hAnsi="Arial" w:cs="Arial"/>
          <w:sz w:val="22"/>
          <w:szCs w:val="22"/>
        </w:rPr>
        <w:t>avoidance India is low (40) versus a moderate US score (46), and on long-term orientation India is high (51). For Pfizer these differences translate into specific management adaptations — more hierarchical approval processes, relationship-based rather than</w:t>
      </w:r>
      <w:r w:rsidRPr="00E93419">
        <w:rPr>
          <w:rFonts w:ascii="Arial" w:hAnsi="Arial" w:cs="Arial"/>
          <w:sz w:val="22"/>
          <w:szCs w:val="22"/>
        </w:rPr>
        <w:t xml:space="preserve"> contract-based dealings with Indian distributors, and a longer-time-horizon view of government relations. Trompenaars and Hampden-Turner's (1997) model reinforces these insights, particularly around particularism versus universalism in ethical decisions.</w:t>
      </w:r>
    </w:p>
    <w:p w14:paraId="649E4CFF" w14:textId="77777777" w:rsidR="00624145" w:rsidRPr="00E93419" w:rsidRDefault="00C0433A" w:rsidP="00E93419">
      <w:pPr>
        <w:pStyle w:val="Heading2"/>
        <w:spacing w:before="0" w:after="0" w:line="360" w:lineRule="auto"/>
        <w:rPr>
          <w:rFonts w:ascii="Arial" w:hAnsi="Arial" w:cs="Arial"/>
          <w:color w:val="auto"/>
          <w:sz w:val="22"/>
          <w:szCs w:val="22"/>
        </w:rPr>
      </w:pPr>
      <w:bookmarkStart w:id="15" w:name="_Toc228166713"/>
      <w:r w:rsidRPr="00E93419">
        <w:rPr>
          <w:rFonts w:ascii="Arial" w:hAnsi="Arial" w:cs="Arial"/>
          <w:color w:val="auto"/>
          <w:sz w:val="22"/>
          <w:szCs w:val="22"/>
        </w:rPr>
        <w:t>4.4 Market Entry and Operational Model</w:t>
      </w:r>
      <w:bookmarkEnd w:id="15"/>
    </w:p>
    <w:p w14:paraId="27FCAC6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Pfizer's mode of engagement in India is a wholly-owned-subsidiary (WOS) model, complemented by contract-manufacturing and distribution partnerships. This is consistent with the Uppsala internationalisation framework (Johanson and Vahlne, 1977), in which mu</w:t>
      </w:r>
      <w:r w:rsidRPr="00E93419">
        <w:rPr>
          <w:rFonts w:ascii="Arial" w:hAnsi="Arial" w:cs="Arial"/>
          <w:sz w:val="22"/>
          <w:szCs w:val="22"/>
        </w:rPr>
        <w:t>ltinational firms progress from arm's-length exports to wholly-owned foreign subsidiaries as their market knowledge deepens. Pfizer entered India in 1950 through direct presence rather than through joint venture, and has maintained this ownership model thr</w:t>
      </w:r>
      <w:r w:rsidRPr="00E93419">
        <w:rPr>
          <w:rFonts w:ascii="Arial" w:hAnsi="Arial" w:cs="Arial"/>
          <w:sz w:val="22"/>
          <w:szCs w:val="22"/>
        </w:rPr>
        <w:t xml:space="preserve">ough multiple </w:t>
      </w:r>
      <w:r w:rsidRPr="00E93419">
        <w:rPr>
          <w:rFonts w:ascii="Arial" w:hAnsi="Arial" w:cs="Arial"/>
          <w:sz w:val="22"/>
          <w:szCs w:val="22"/>
        </w:rPr>
        <w:lastRenderedPageBreak/>
        <w:t>subsequent expansions — acquiring Wyeth's India business in 2014 and establishing separate legal entities to optimise commercial, R&amp;D, and manufacturing activities (Pfizer India, 2025).</w:t>
      </w:r>
    </w:p>
    <w:p w14:paraId="236EB62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Pfizer's distribution network in India comprises 19 Carr</w:t>
      </w:r>
      <w:r w:rsidRPr="00E93419">
        <w:rPr>
          <w:rFonts w:ascii="Arial" w:hAnsi="Arial" w:cs="Arial"/>
          <w:sz w:val="22"/>
          <w:szCs w:val="22"/>
        </w:rPr>
        <w:t>ying and Forwarding Agents (CFAs) and 1 central hub, which together supply approximately 7,500 stockists and 2,100 institutions (Pfizer India, 2025). This scale is non-trivial but is eclipsed by Sun Pharma and Abbott, which each deal with over 20,000 stock</w:t>
      </w:r>
      <w:r w:rsidRPr="00E93419">
        <w:rPr>
          <w:rFonts w:ascii="Arial" w:hAnsi="Arial" w:cs="Arial"/>
          <w:sz w:val="22"/>
          <w:szCs w:val="22"/>
        </w:rPr>
        <w:t>ists. Pfizer's Go-To-Market (GTM) transformation — rolling out the Pfizer Pro digital portal for Healthcare Professionals, expanding Healthcare Executive (HCE) roles, and deploying subject-matter experts across Digital, Medical, Healthcare Access and Strat</w:t>
      </w:r>
      <w:r w:rsidRPr="00E93419">
        <w:rPr>
          <w:rFonts w:ascii="Arial" w:hAnsi="Arial" w:cs="Arial"/>
          <w:sz w:val="22"/>
          <w:szCs w:val="22"/>
        </w:rPr>
        <w:t>egic Accounts teams — is an explicit attempt to leverage India's digital infrastructure and close the distribution gap with domestic leaders.</w:t>
      </w:r>
    </w:p>
    <w:p w14:paraId="694DA0C5" w14:textId="77777777" w:rsidR="00624145" w:rsidRPr="00E93419" w:rsidRDefault="00C0433A" w:rsidP="00E93419">
      <w:pPr>
        <w:pStyle w:val="Heading2"/>
        <w:spacing w:before="0" w:after="0" w:line="360" w:lineRule="auto"/>
        <w:rPr>
          <w:rFonts w:ascii="Arial" w:hAnsi="Arial" w:cs="Arial"/>
          <w:color w:val="auto"/>
          <w:sz w:val="22"/>
          <w:szCs w:val="22"/>
        </w:rPr>
      </w:pPr>
      <w:bookmarkStart w:id="16" w:name="_Toc228166714"/>
      <w:r w:rsidRPr="00E93419">
        <w:rPr>
          <w:rFonts w:ascii="Arial" w:hAnsi="Arial" w:cs="Arial"/>
          <w:color w:val="auto"/>
          <w:sz w:val="22"/>
          <w:szCs w:val="22"/>
        </w:rPr>
        <w:t>4.5 Critical Success Factors</w:t>
      </w:r>
      <w:bookmarkEnd w:id="16"/>
    </w:p>
    <w:p w14:paraId="621D99C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Based on the preceding analysis, five critical success factors determine Pfizer's per</w:t>
      </w:r>
      <w:r w:rsidRPr="00E93419">
        <w:rPr>
          <w:rFonts w:ascii="Arial" w:hAnsi="Arial" w:cs="Arial"/>
          <w:sz w:val="22"/>
          <w:szCs w:val="22"/>
        </w:rPr>
        <w:t>formance in India:</w:t>
      </w:r>
    </w:p>
    <w:p w14:paraId="24A15CE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First, portfolio tailoring. Pfizer cannot win in India by simply selling patented Western blockbusters at Western prices. Its success depends on a blended portfolio covering patented innovations (</w:t>
      </w:r>
      <w:proofErr w:type="gramStart"/>
      <w:r w:rsidRPr="00E93419">
        <w:rPr>
          <w:rFonts w:ascii="Arial" w:hAnsi="Arial" w:cs="Arial"/>
          <w:sz w:val="22"/>
          <w:szCs w:val="22"/>
        </w:rPr>
        <w:t>e.g.</w:t>
      </w:r>
      <w:proofErr w:type="gramEnd"/>
      <w:r w:rsidRPr="00E93419">
        <w:rPr>
          <w:rFonts w:ascii="Arial" w:hAnsi="Arial" w:cs="Arial"/>
          <w:sz w:val="22"/>
          <w:szCs w:val="22"/>
        </w:rPr>
        <w:t xml:space="preserve"> Prevenar 13), off-patent established</w:t>
      </w:r>
      <w:r w:rsidRPr="00E93419">
        <w:rPr>
          <w:rFonts w:ascii="Arial" w:hAnsi="Arial" w:cs="Arial"/>
          <w:sz w:val="22"/>
          <w:szCs w:val="22"/>
        </w:rPr>
        <w:t xml:space="preserve"> brands (e.g. </w:t>
      </w:r>
      <w:proofErr w:type="spellStart"/>
      <w:r w:rsidRPr="00E93419">
        <w:rPr>
          <w:rFonts w:ascii="Arial" w:hAnsi="Arial" w:cs="Arial"/>
          <w:sz w:val="22"/>
          <w:szCs w:val="22"/>
        </w:rPr>
        <w:t>Becosules</w:t>
      </w:r>
      <w:proofErr w:type="spellEnd"/>
      <w:r w:rsidRPr="00E93419">
        <w:rPr>
          <w:rFonts w:ascii="Arial" w:hAnsi="Arial" w:cs="Arial"/>
          <w:sz w:val="22"/>
          <w:szCs w:val="22"/>
        </w:rPr>
        <w:t xml:space="preserve">, </w:t>
      </w:r>
      <w:proofErr w:type="spellStart"/>
      <w:r w:rsidRPr="00E93419">
        <w:rPr>
          <w:rFonts w:ascii="Arial" w:hAnsi="Arial" w:cs="Arial"/>
          <w:sz w:val="22"/>
          <w:szCs w:val="22"/>
        </w:rPr>
        <w:t>Gelusil</w:t>
      </w:r>
      <w:proofErr w:type="spellEnd"/>
      <w:r w:rsidRPr="00E93419">
        <w:rPr>
          <w:rFonts w:ascii="Arial" w:hAnsi="Arial" w:cs="Arial"/>
          <w:sz w:val="22"/>
          <w:szCs w:val="22"/>
        </w:rPr>
        <w:t xml:space="preserve">, </w:t>
      </w:r>
      <w:proofErr w:type="spellStart"/>
      <w:r w:rsidRPr="00E93419">
        <w:rPr>
          <w:rFonts w:ascii="Arial" w:hAnsi="Arial" w:cs="Arial"/>
          <w:sz w:val="22"/>
          <w:szCs w:val="22"/>
        </w:rPr>
        <w:t>Corex</w:t>
      </w:r>
      <w:proofErr w:type="spellEnd"/>
      <w:r w:rsidRPr="00E93419">
        <w:rPr>
          <w:rFonts w:ascii="Arial" w:hAnsi="Arial" w:cs="Arial"/>
          <w:sz w:val="22"/>
          <w:szCs w:val="22"/>
        </w:rPr>
        <w:t>), and appropriately-priced formulations for the Indian income distribution. Since 2014 Pfizer globally has maintained an Established Products Business Unit specifically for emerging markets (Pfizer, 2015).</w:t>
      </w:r>
    </w:p>
    <w:p w14:paraId="5D76F70B"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Second, go</w:t>
      </w:r>
      <w:r w:rsidRPr="00E93419">
        <w:rPr>
          <w:rFonts w:ascii="Arial" w:hAnsi="Arial" w:cs="Arial"/>
          <w:sz w:val="22"/>
          <w:szCs w:val="22"/>
        </w:rPr>
        <w:t>vernment and regulatory relationships. Constructive engagement with the Central Drugs Standard Control Organisation (CDSCO), the NPPA, the Department of Pharmaceuticals and state governments is essential to navigate price controls, import licensing, and qu</w:t>
      </w:r>
      <w:r w:rsidRPr="00E93419">
        <w:rPr>
          <w:rFonts w:ascii="Arial" w:hAnsi="Arial" w:cs="Arial"/>
          <w:sz w:val="22"/>
          <w:szCs w:val="22"/>
        </w:rPr>
        <w:t>ality compliance. Pfizer's public affairs teams have invested in such relationships for decades.</w:t>
      </w:r>
    </w:p>
    <w:p w14:paraId="37F0400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Third, local manufacturing. Pfizer's Goa tablet plant and the Chennai R&amp;D/parenteral manufacturing facility give it cost, quality and speed-to-market advantage</w:t>
      </w:r>
      <w:r w:rsidRPr="00E93419">
        <w:rPr>
          <w:rFonts w:ascii="Arial" w:hAnsi="Arial" w:cs="Arial"/>
          <w:sz w:val="22"/>
          <w:szCs w:val="22"/>
        </w:rPr>
        <w:t>s, and they insulate revenue from import-tariff risk. The 2024–2025 US tariff uncertainty underscored the value of local production.</w:t>
      </w:r>
    </w:p>
    <w:p w14:paraId="16D44C7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Fourth, talent. Pfizer's 5,500-person India workforce is not only low-cost relative to the US/Europe but also highly skille</w:t>
      </w:r>
      <w:r w:rsidRPr="00E93419">
        <w:rPr>
          <w:rFonts w:ascii="Arial" w:hAnsi="Arial" w:cs="Arial"/>
          <w:sz w:val="22"/>
          <w:szCs w:val="22"/>
        </w:rPr>
        <w:t>d. Pfizer's India Global Capability Centre supports worldwide research, regulatory, IT, finance and medical operations — turning India from a "local market" into a strategic global hub. This mirrors the approach adopted by Sanofi (US$435m Hyderabad GCC exp</w:t>
      </w:r>
      <w:r w:rsidRPr="00E93419">
        <w:rPr>
          <w:rFonts w:ascii="Arial" w:hAnsi="Arial" w:cs="Arial"/>
          <w:sz w:val="22"/>
          <w:szCs w:val="22"/>
        </w:rPr>
        <w:t>ansion in 2025) and other peers (IBEF, 2025).</w:t>
      </w:r>
    </w:p>
    <w:p w14:paraId="6987475A" w14:textId="0378564F"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Fifth, partnerships and in-licensing. In February 2026 Pfizer Limited announced an exclusive marketing deal with Cipla for a portfolio of products (India Infoline, 2026), continuing its strategy of partnering w</w:t>
      </w:r>
      <w:r w:rsidRPr="00E93419">
        <w:rPr>
          <w:rFonts w:ascii="Arial" w:hAnsi="Arial" w:cs="Arial"/>
          <w:sz w:val="22"/>
          <w:szCs w:val="22"/>
        </w:rPr>
        <w:t xml:space="preserve">ith local leaders to expand reach. Such partnerships — alongside its </w:t>
      </w:r>
      <w:r w:rsidRPr="00E93419">
        <w:rPr>
          <w:rFonts w:ascii="Arial" w:hAnsi="Arial" w:cs="Arial"/>
          <w:sz w:val="22"/>
          <w:szCs w:val="22"/>
        </w:rPr>
        <w:lastRenderedPageBreak/>
        <w:t xml:space="preserve">2022 Accelerator investment in Ramja </w:t>
      </w:r>
      <w:proofErr w:type="spellStart"/>
      <w:r w:rsidRPr="00E93419">
        <w:rPr>
          <w:rFonts w:ascii="Arial" w:hAnsi="Arial" w:cs="Arial"/>
          <w:sz w:val="22"/>
          <w:szCs w:val="22"/>
        </w:rPr>
        <w:t>Genosensor</w:t>
      </w:r>
      <w:proofErr w:type="spellEnd"/>
      <w:r w:rsidRPr="00E93419">
        <w:rPr>
          <w:rFonts w:ascii="Arial" w:hAnsi="Arial" w:cs="Arial"/>
          <w:sz w:val="22"/>
          <w:szCs w:val="22"/>
        </w:rPr>
        <w:t xml:space="preserve"> — leverage the related-and-supporting-industries strength of the Indian diamond.</w:t>
      </w:r>
    </w:p>
    <w:p w14:paraId="3A93C51B" w14:textId="77777777" w:rsidR="00B3773C" w:rsidRPr="00E93419" w:rsidRDefault="00B3773C" w:rsidP="00E93419">
      <w:pPr>
        <w:spacing w:line="360" w:lineRule="auto"/>
        <w:jc w:val="both"/>
        <w:rPr>
          <w:rFonts w:ascii="Arial" w:hAnsi="Arial" w:cs="Arial"/>
          <w:sz w:val="22"/>
          <w:szCs w:val="22"/>
        </w:rPr>
      </w:pPr>
    </w:p>
    <w:p w14:paraId="05C92FC6" w14:textId="77777777" w:rsidR="00624145" w:rsidRPr="00E93419" w:rsidRDefault="00C0433A" w:rsidP="00E93419">
      <w:pPr>
        <w:pStyle w:val="Heading2"/>
        <w:spacing w:before="0" w:after="0" w:line="360" w:lineRule="auto"/>
        <w:rPr>
          <w:rFonts w:ascii="Arial" w:hAnsi="Arial" w:cs="Arial"/>
          <w:color w:val="auto"/>
          <w:sz w:val="22"/>
          <w:szCs w:val="22"/>
        </w:rPr>
      </w:pPr>
      <w:bookmarkStart w:id="17" w:name="_Toc228166715"/>
      <w:r w:rsidRPr="00E93419">
        <w:rPr>
          <w:rFonts w:ascii="Arial" w:hAnsi="Arial" w:cs="Arial"/>
          <w:color w:val="auto"/>
          <w:sz w:val="22"/>
          <w:szCs w:val="22"/>
        </w:rPr>
        <w:t>4.6 Challenges and Risks</w:t>
      </w:r>
      <w:bookmarkEnd w:id="17"/>
    </w:p>
    <w:p w14:paraId="123A7DDF" w14:textId="0151742B" w:rsidR="00624145"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Pfizer faces material challenges </w:t>
      </w:r>
      <w:r w:rsidRPr="00E93419">
        <w:rPr>
          <w:rFonts w:ascii="Arial" w:hAnsi="Arial" w:cs="Arial"/>
          <w:sz w:val="22"/>
          <w:szCs w:val="22"/>
        </w:rPr>
        <w:t>in India. First, pricing pressure — the NPPA capped Prevenar 13 and several of Pfizer's branded generics in 2022–2024, directly eroding margins. Second, generic competition — as patents expire, Pfizer's brands face fierce competition from Sun, Cipla, Dr Re</w:t>
      </w:r>
      <w:r w:rsidRPr="00E93419">
        <w:rPr>
          <w:rFonts w:ascii="Arial" w:hAnsi="Arial" w:cs="Arial"/>
          <w:sz w:val="22"/>
          <w:szCs w:val="22"/>
        </w:rPr>
        <w:t>ddy's and others selling equivalent formulations at 30–70% lower prices. Third, intellectual-property friction — the denial of several Pfizer patent applications under Section 3(d) and the active public-interest litigation environment limit product lifecyc</w:t>
      </w:r>
      <w:r w:rsidRPr="00E93419">
        <w:rPr>
          <w:rFonts w:ascii="Arial" w:hAnsi="Arial" w:cs="Arial"/>
          <w:sz w:val="22"/>
          <w:szCs w:val="22"/>
        </w:rPr>
        <w:t>le extensions. Fourth, currency and geopolitical risk — INR depreciation and US-India trade tensions create volatility. Finally, talent retention — India's hot market for pharmaceutical professionals has pushed up wages and attrition.</w:t>
      </w:r>
    </w:p>
    <w:p w14:paraId="2CE25862" w14:textId="77777777" w:rsidR="00B3773C" w:rsidRPr="00E93419" w:rsidRDefault="00B3773C" w:rsidP="00E93419">
      <w:pPr>
        <w:spacing w:line="360" w:lineRule="auto"/>
        <w:jc w:val="both"/>
        <w:rPr>
          <w:rFonts w:ascii="Arial" w:hAnsi="Arial" w:cs="Arial"/>
          <w:sz w:val="22"/>
          <w:szCs w:val="22"/>
        </w:rPr>
      </w:pPr>
    </w:p>
    <w:p w14:paraId="68FB9DAA" w14:textId="0A0BD85E" w:rsidR="00624145" w:rsidRPr="00E93419" w:rsidRDefault="00C0433A" w:rsidP="00E93419">
      <w:pPr>
        <w:pStyle w:val="Heading1"/>
        <w:spacing w:before="0" w:after="0" w:line="360" w:lineRule="auto"/>
        <w:rPr>
          <w:rFonts w:ascii="Arial" w:hAnsi="Arial" w:cs="Arial"/>
          <w:color w:val="auto"/>
          <w:sz w:val="22"/>
          <w:szCs w:val="22"/>
        </w:rPr>
      </w:pPr>
      <w:bookmarkStart w:id="18" w:name="_Toc228166716"/>
      <w:r w:rsidRPr="00E93419">
        <w:rPr>
          <w:rFonts w:ascii="Arial" w:hAnsi="Arial" w:cs="Arial"/>
          <w:color w:val="auto"/>
          <w:sz w:val="22"/>
          <w:szCs w:val="22"/>
        </w:rPr>
        <w:t xml:space="preserve">5. Conclusion </w:t>
      </w:r>
      <w:bookmarkEnd w:id="18"/>
    </w:p>
    <w:p w14:paraId="17DC71C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This report has demonstrated that the Indian pharmaceutical industry is one of the most competitive and strategically important in the global economy. Porter's Diamond Model reveals a mutually reinforcing system of advanced human-capital, demanding d</w:t>
      </w:r>
      <w:r w:rsidRPr="00E93419">
        <w:rPr>
          <w:rFonts w:ascii="Arial" w:hAnsi="Arial" w:cs="Arial"/>
          <w:sz w:val="22"/>
          <w:szCs w:val="22"/>
        </w:rPr>
        <w:t xml:space="preserve">omestic customers, dense supporting-industry clusters, fierce domestic rivalry, and supportive government policy. The combined market size of US$55 billion in 2025 with projected growth to US$120-130 billion by 2030, the global supply role as "pharmacy of </w:t>
      </w:r>
      <w:r w:rsidRPr="00E93419">
        <w:rPr>
          <w:rFonts w:ascii="Arial" w:hAnsi="Arial" w:cs="Arial"/>
          <w:sz w:val="22"/>
          <w:szCs w:val="22"/>
        </w:rPr>
        <w:t>the world", and the India-UK CETA of July 2025 all point to durable and widening attractiveness.</w:t>
      </w:r>
    </w:p>
    <w:p w14:paraId="7F06A6A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For Pfizer Inc. — operating in India continuously since 1950 through three legal entities, 5,500+ employees, a Goa manufacturing plant and a Chennai R&amp;D centre</w:t>
      </w:r>
      <w:r w:rsidRPr="00E93419">
        <w:rPr>
          <w:rFonts w:ascii="Arial" w:hAnsi="Arial" w:cs="Arial"/>
          <w:sz w:val="22"/>
          <w:szCs w:val="22"/>
        </w:rPr>
        <w:t xml:space="preserve"> — India is simultaneously a growth market, a global manufacturing hub, and a strategic sourcing base for capabilities, clinical trials and digital services. The critical success factors identified are portfolio tailoring, regulatory-relationship managemen</w:t>
      </w:r>
      <w:r w:rsidRPr="00E93419">
        <w:rPr>
          <w:rFonts w:ascii="Arial" w:hAnsi="Arial" w:cs="Arial"/>
          <w:sz w:val="22"/>
          <w:szCs w:val="22"/>
        </w:rPr>
        <w:t>t, local manufacturing, high-quality talent, and strategic partnerships such as the 2026 Cipla marketing deal. The main risks remain NPPA price control, generic substitution, patent-law friction under Section 3(d), currency volatility, and talent competiti</w:t>
      </w:r>
      <w:r w:rsidRPr="00E93419">
        <w:rPr>
          <w:rFonts w:ascii="Arial" w:hAnsi="Arial" w:cs="Arial"/>
          <w:sz w:val="22"/>
          <w:szCs w:val="22"/>
        </w:rPr>
        <w:t>on.</w:t>
      </w:r>
    </w:p>
    <w:p w14:paraId="3D34451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wider theoretical contribution of this analysis is that the Indian pharmaceutical case strongly supports Porter's original (1990) insistence that national competitive advantage is created, not inherited. India's rise from a tiny industry in 1950 to</w:t>
      </w:r>
      <w:r w:rsidRPr="00E93419">
        <w:rPr>
          <w:rFonts w:ascii="Arial" w:hAnsi="Arial" w:cs="Arial"/>
          <w:sz w:val="22"/>
          <w:szCs w:val="22"/>
        </w:rPr>
        <w:t xml:space="preserve"> the world's third-largest producer by volume in 2026 has been the product of deliberate government policy, sustained investment in created factor conditions, demanding customers, and cluster-enabled innovation. For foreign MNCs like Pfizer, winning in Ind</w:t>
      </w:r>
      <w:r w:rsidRPr="00E93419">
        <w:rPr>
          <w:rFonts w:ascii="Arial" w:hAnsi="Arial" w:cs="Arial"/>
          <w:sz w:val="22"/>
          <w:szCs w:val="22"/>
        </w:rPr>
        <w:t>ia requires matching that systemic sophistication with carefully adapted strategy.</w:t>
      </w:r>
    </w:p>
    <w:p w14:paraId="194A3BF9"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lastRenderedPageBreak/>
        <w:br w:type="page"/>
      </w:r>
    </w:p>
    <w:p w14:paraId="4FEB8C08" w14:textId="0DD8569B" w:rsidR="00624145" w:rsidRPr="00E93419" w:rsidRDefault="00C0433A" w:rsidP="00E93419">
      <w:pPr>
        <w:pStyle w:val="Heading1"/>
        <w:spacing w:before="0" w:after="0" w:line="360" w:lineRule="auto"/>
        <w:rPr>
          <w:rFonts w:ascii="Arial" w:hAnsi="Arial" w:cs="Arial"/>
          <w:color w:val="auto"/>
          <w:sz w:val="22"/>
          <w:szCs w:val="22"/>
        </w:rPr>
      </w:pPr>
      <w:bookmarkStart w:id="19" w:name="_Toc228166717"/>
      <w:r w:rsidRPr="00E93419">
        <w:rPr>
          <w:rFonts w:ascii="Arial" w:hAnsi="Arial" w:cs="Arial"/>
          <w:color w:val="auto"/>
          <w:sz w:val="22"/>
          <w:szCs w:val="22"/>
        </w:rPr>
        <w:lastRenderedPageBreak/>
        <w:t xml:space="preserve">Section 2: Reflective Account — Gibbs' Reflective Cycle </w:t>
      </w:r>
      <w:bookmarkEnd w:id="19"/>
    </w:p>
    <w:p w14:paraId="1A68012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Gibbs' (1988) six-stage reflective cycle — Description, Feelings, Evaluation, Analysis, Conclusion a</w:t>
      </w:r>
      <w:r w:rsidRPr="00E93419">
        <w:rPr>
          <w:rFonts w:ascii="Arial" w:hAnsi="Arial" w:cs="Arial"/>
          <w:sz w:val="22"/>
          <w:szCs w:val="22"/>
        </w:rPr>
        <w:t>nd Action Plan — was used to reflect on the experience of researching, analysing and writing this international business report. Gibbs was chosen over Kolb's experiential-learning cycle (Kolb, 1984) because of Gibbs' explicit emphasis on feelings, which Ja</w:t>
      </w:r>
      <w:r w:rsidRPr="00E93419">
        <w:rPr>
          <w:rFonts w:ascii="Arial" w:hAnsi="Arial" w:cs="Arial"/>
          <w:sz w:val="22"/>
          <w:szCs w:val="22"/>
        </w:rPr>
        <w:t>sper (2013) argues is particularly valuable for postgraduate learners working on topics that connect to personal identity — in my case, researching an industry that touches family and community members in India and Bangladesh.</w:t>
      </w:r>
    </w:p>
    <w:p w14:paraId="2301CEE7" w14:textId="77777777" w:rsidR="00624145" w:rsidRPr="00E93419" w:rsidRDefault="00C0433A" w:rsidP="00E93419">
      <w:pPr>
        <w:pStyle w:val="Heading3"/>
        <w:spacing w:before="0" w:after="0" w:line="360" w:lineRule="auto"/>
        <w:rPr>
          <w:rFonts w:ascii="Arial" w:hAnsi="Arial" w:cs="Arial"/>
          <w:color w:val="auto"/>
          <w:sz w:val="22"/>
          <w:szCs w:val="22"/>
        </w:rPr>
      </w:pPr>
      <w:bookmarkStart w:id="20" w:name="_Toc228166718"/>
      <w:r w:rsidRPr="00E93419">
        <w:rPr>
          <w:rFonts w:ascii="Arial" w:hAnsi="Arial" w:cs="Arial"/>
          <w:color w:val="auto"/>
          <w:sz w:val="22"/>
          <w:szCs w:val="22"/>
        </w:rPr>
        <w:t>Description</w:t>
      </w:r>
      <w:bookmarkEnd w:id="20"/>
    </w:p>
    <w:p w14:paraId="176B263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task required</w:t>
      </w:r>
      <w:r w:rsidRPr="00E93419">
        <w:rPr>
          <w:rFonts w:ascii="Arial" w:hAnsi="Arial" w:cs="Arial"/>
          <w:sz w:val="22"/>
          <w:szCs w:val="22"/>
        </w:rPr>
        <w:t xml:space="preserve"> an international industry and business report focused on a chosen country-industry pair, with the application of Porter's Diamond Model, PESTEL and suitable analytical frameworks, followed by a 1,000-word reflective account. I was assigned the pharmaceuti</w:t>
      </w:r>
      <w:r w:rsidRPr="00E93419">
        <w:rPr>
          <w:rFonts w:ascii="Arial" w:hAnsi="Arial" w:cs="Arial"/>
          <w:sz w:val="22"/>
          <w:szCs w:val="22"/>
        </w:rPr>
        <w:t>cal industry in India and Pfizer Inc. as the foreign MNC. Over approximately five weeks I read industry reports (Mordor Intelligence, IBEF, IMARC, Fortune Business Insights), official government publications (the Press Information Bureau, Economic Survey 2</w:t>
      </w:r>
      <w:r w:rsidRPr="00E93419">
        <w:rPr>
          <w:rFonts w:ascii="Arial" w:hAnsi="Arial" w:cs="Arial"/>
          <w:sz w:val="22"/>
          <w:szCs w:val="22"/>
        </w:rPr>
        <w:t>025-26), Pfizer's own disclosures, and academic sources on international business theory. I then built the analysis section-by-section, iterating each section before moving on.</w:t>
      </w:r>
    </w:p>
    <w:p w14:paraId="04A52170" w14:textId="77777777" w:rsidR="00624145" w:rsidRPr="00E93419" w:rsidRDefault="00C0433A" w:rsidP="00E93419">
      <w:pPr>
        <w:pStyle w:val="Heading3"/>
        <w:spacing w:before="0" w:after="0" w:line="360" w:lineRule="auto"/>
        <w:rPr>
          <w:rFonts w:ascii="Arial" w:hAnsi="Arial" w:cs="Arial"/>
          <w:color w:val="auto"/>
          <w:sz w:val="22"/>
          <w:szCs w:val="22"/>
        </w:rPr>
      </w:pPr>
      <w:bookmarkStart w:id="21" w:name="_Toc228166719"/>
      <w:r w:rsidRPr="00E93419">
        <w:rPr>
          <w:rFonts w:ascii="Arial" w:hAnsi="Arial" w:cs="Arial"/>
          <w:color w:val="auto"/>
          <w:sz w:val="22"/>
          <w:szCs w:val="22"/>
        </w:rPr>
        <w:t>Feelings</w:t>
      </w:r>
      <w:bookmarkEnd w:id="21"/>
    </w:p>
    <w:p w14:paraId="4E006DE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My initial feeling was relief — pharmaceuticals is an industry I have </w:t>
      </w:r>
      <w:r w:rsidRPr="00E93419">
        <w:rPr>
          <w:rFonts w:ascii="Arial" w:hAnsi="Arial" w:cs="Arial"/>
          <w:sz w:val="22"/>
          <w:szCs w:val="22"/>
        </w:rPr>
        <w:t xml:space="preserve">close exposure to through extended family in the sector, and Pfizer is globally recognisable. I felt confident about the topic. By the middle of the </w:t>
      </w:r>
      <w:proofErr w:type="gramStart"/>
      <w:r w:rsidRPr="00E93419">
        <w:rPr>
          <w:rFonts w:ascii="Arial" w:hAnsi="Arial" w:cs="Arial"/>
          <w:sz w:val="22"/>
          <w:szCs w:val="22"/>
        </w:rPr>
        <w:t>assignment</w:t>
      </w:r>
      <w:proofErr w:type="gramEnd"/>
      <w:r w:rsidRPr="00E93419">
        <w:rPr>
          <w:rFonts w:ascii="Arial" w:hAnsi="Arial" w:cs="Arial"/>
          <w:sz w:val="22"/>
          <w:szCs w:val="22"/>
        </w:rPr>
        <w:t xml:space="preserve"> I had shifted to a feeling of intellectual excitement: applying Porter's Diamond to India reveal</w:t>
      </w:r>
      <w:r w:rsidRPr="00E93419">
        <w:rPr>
          <w:rFonts w:ascii="Arial" w:hAnsi="Arial" w:cs="Arial"/>
          <w:sz w:val="22"/>
          <w:szCs w:val="22"/>
        </w:rPr>
        <w:t>ed a far richer story than I had expected. In the final week, however, I felt anxiety about whether my analysis would be sufficiently critical at the Level 7 standard. I worried that I was describing more than I was evaluating. I addressed this by reworkin</w:t>
      </w:r>
      <w:r w:rsidRPr="00E93419">
        <w:rPr>
          <w:rFonts w:ascii="Arial" w:hAnsi="Arial" w:cs="Arial"/>
          <w:sz w:val="22"/>
          <w:szCs w:val="22"/>
        </w:rPr>
        <w:t>g several paragraphs, introducing explicit framework-based critiques and contrasting Pfizer with peer MNCs like Abbott, GSK, and Sanofi.</w:t>
      </w:r>
    </w:p>
    <w:p w14:paraId="0185E555" w14:textId="77777777" w:rsidR="00624145" w:rsidRPr="00E93419" w:rsidRDefault="00C0433A" w:rsidP="00E93419">
      <w:pPr>
        <w:pStyle w:val="Heading3"/>
        <w:spacing w:before="0" w:after="0" w:line="360" w:lineRule="auto"/>
        <w:rPr>
          <w:rFonts w:ascii="Arial" w:hAnsi="Arial" w:cs="Arial"/>
          <w:color w:val="auto"/>
          <w:sz w:val="22"/>
          <w:szCs w:val="22"/>
        </w:rPr>
      </w:pPr>
      <w:bookmarkStart w:id="22" w:name="_Toc228166720"/>
      <w:r w:rsidRPr="00E93419">
        <w:rPr>
          <w:rFonts w:ascii="Arial" w:hAnsi="Arial" w:cs="Arial"/>
          <w:color w:val="auto"/>
          <w:sz w:val="22"/>
          <w:szCs w:val="22"/>
        </w:rPr>
        <w:t>Evaluation</w:t>
      </w:r>
      <w:bookmarkEnd w:id="22"/>
    </w:p>
    <w:p w14:paraId="08BBA54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Reflecting on what went well and less well, three points stand out. First, I used a diverse range of sources and dated them carefully to 2025–2026 — a priority at Level 7 where recency and credibility are valued. The Economic Survey 2025-26, PIB, IBEF and </w:t>
      </w:r>
      <w:r w:rsidRPr="00E93419">
        <w:rPr>
          <w:rFonts w:ascii="Arial" w:hAnsi="Arial" w:cs="Arial"/>
          <w:sz w:val="22"/>
          <w:szCs w:val="22"/>
        </w:rPr>
        <w:t>company disclosures gave the report a credible factual foundation. Second, I integrated frameworks rather than simply applying them serially — PESTEL fed the Diamond's government and chance variables; Hofstede linked to Pfizer's operational model. Third, t</w:t>
      </w:r>
      <w:r w:rsidRPr="00E93419">
        <w:rPr>
          <w:rFonts w:ascii="Arial" w:hAnsi="Arial" w:cs="Arial"/>
          <w:sz w:val="22"/>
          <w:szCs w:val="22"/>
        </w:rPr>
        <w:t>he table-based presentation of PESTEL, competitive positioning and other analyses improved clarity.</w:t>
      </w:r>
    </w:p>
    <w:p w14:paraId="21BF6B0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What went less well was balance of scope versus depth. The 4,000-word limit pushed me to cover a very broad topic area (an entire industry plus a multinatio</w:t>
      </w:r>
      <w:r w:rsidRPr="00E93419">
        <w:rPr>
          <w:rFonts w:ascii="Arial" w:hAnsi="Arial" w:cs="Arial"/>
          <w:sz w:val="22"/>
          <w:szCs w:val="22"/>
        </w:rPr>
        <w:t xml:space="preserve">nal's strategy) quickly, and I feel the Porter's Diamond section could have gone deeper into the "chance" variable and the </w:t>
      </w:r>
      <w:r w:rsidRPr="00E93419">
        <w:rPr>
          <w:rFonts w:ascii="Arial" w:hAnsi="Arial" w:cs="Arial"/>
          <w:sz w:val="22"/>
          <w:szCs w:val="22"/>
        </w:rPr>
        <w:lastRenderedPageBreak/>
        <w:t>role of the 1970 Indian Patents Act, which is really the foundational "chance" event for the entire industry. I also found the intera</w:t>
      </w:r>
      <w:r w:rsidRPr="00E93419">
        <w:rPr>
          <w:rFonts w:ascii="Arial" w:hAnsi="Arial" w:cs="Arial"/>
          <w:sz w:val="22"/>
          <w:szCs w:val="22"/>
        </w:rPr>
        <w:t>ction between Indian IP law (Section 3(d)) and Pfizer's global strategy fascinating but could only give it a paragraph.</w:t>
      </w:r>
    </w:p>
    <w:p w14:paraId="4778FA24" w14:textId="77777777" w:rsidR="00624145" w:rsidRPr="00E93419" w:rsidRDefault="00C0433A" w:rsidP="00E93419">
      <w:pPr>
        <w:pStyle w:val="Heading3"/>
        <w:spacing w:before="0" w:after="0" w:line="360" w:lineRule="auto"/>
        <w:rPr>
          <w:rFonts w:ascii="Arial" w:hAnsi="Arial" w:cs="Arial"/>
          <w:color w:val="auto"/>
          <w:sz w:val="22"/>
          <w:szCs w:val="22"/>
        </w:rPr>
      </w:pPr>
      <w:bookmarkStart w:id="23" w:name="_Toc228166721"/>
      <w:r w:rsidRPr="00E93419">
        <w:rPr>
          <w:rFonts w:ascii="Arial" w:hAnsi="Arial" w:cs="Arial"/>
          <w:color w:val="auto"/>
          <w:sz w:val="22"/>
          <w:szCs w:val="22"/>
        </w:rPr>
        <w:t>Analysis</w:t>
      </w:r>
      <w:bookmarkEnd w:id="23"/>
    </w:p>
    <w:p w14:paraId="0721011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Three deeper analytical lessons emerged. First, I learned that Porter's Diamond is strongest when used not as a checklist but a</w:t>
      </w:r>
      <w:r w:rsidRPr="00E93419">
        <w:rPr>
          <w:rFonts w:ascii="Arial" w:hAnsi="Arial" w:cs="Arial"/>
          <w:sz w:val="22"/>
          <w:szCs w:val="22"/>
        </w:rPr>
        <w:t xml:space="preserve">s a systemic model. The four determinants are mutually reinforcing, and the quality of India's pharmaceutical industry cannot be explained by any single factor; it is the cluster effect that matters. Rugman and D'Cruz's (1993) "double diamond" extension — </w:t>
      </w:r>
      <w:r w:rsidRPr="00E93419">
        <w:rPr>
          <w:rFonts w:ascii="Arial" w:hAnsi="Arial" w:cs="Arial"/>
          <w:sz w:val="22"/>
          <w:szCs w:val="22"/>
        </w:rPr>
        <w:t>which considers home-country and host-country diamonds jointly for small open economies — would have added further insight if the page budget had allowed.</w:t>
      </w:r>
    </w:p>
    <w:p w14:paraId="1832E45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Second, I came to understand that national competitive advantage is path-dependent. The Indian pharma</w:t>
      </w:r>
      <w:r w:rsidRPr="00E93419">
        <w:rPr>
          <w:rFonts w:ascii="Arial" w:hAnsi="Arial" w:cs="Arial"/>
          <w:sz w:val="22"/>
          <w:szCs w:val="22"/>
        </w:rPr>
        <w:t>ceutical industry exists in its current form because of specific decisions made in 1970 (process-patents only), 2005 (TRIPS compliance), and 2020–2024 (PLI scheme). Had any of these been different, the industry would look radically different today. This al</w:t>
      </w:r>
      <w:r w:rsidRPr="00E93419">
        <w:rPr>
          <w:rFonts w:ascii="Arial" w:hAnsi="Arial" w:cs="Arial"/>
          <w:sz w:val="22"/>
          <w:szCs w:val="22"/>
        </w:rPr>
        <w:t>igns with North's (1990) institutional economics and with the more recent work of Acemoglu and Robinson (2012) on "inclusive institutions".</w:t>
      </w:r>
    </w:p>
    <w:p w14:paraId="736F689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Third, I gained new appreciation for how MNCs like Pfizer must be simultaneously global and deeply local. Pfizer's t</w:t>
      </w:r>
      <w:r w:rsidRPr="00E93419">
        <w:rPr>
          <w:rFonts w:ascii="Arial" w:hAnsi="Arial" w:cs="Arial"/>
          <w:sz w:val="22"/>
          <w:szCs w:val="22"/>
        </w:rPr>
        <w:t xml:space="preserve">hree-entity structure in India, its 5,500 local employees, its Goa plant and Chennai R&amp;D centre, and its partnerships with Indian companies (Cipla, Ramja </w:t>
      </w:r>
      <w:proofErr w:type="spellStart"/>
      <w:r w:rsidRPr="00E93419">
        <w:rPr>
          <w:rFonts w:ascii="Arial" w:hAnsi="Arial" w:cs="Arial"/>
          <w:sz w:val="22"/>
          <w:szCs w:val="22"/>
        </w:rPr>
        <w:t>Genosensor</w:t>
      </w:r>
      <w:proofErr w:type="spellEnd"/>
      <w:r w:rsidRPr="00E93419">
        <w:rPr>
          <w:rFonts w:ascii="Arial" w:hAnsi="Arial" w:cs="Arial"/>
          <w:sz w:val="22"/>
          <w:szCs w:val="22"/>
        </w:rPr>
        <w:t>) collectively demonstrate what Bartlett and Ghoshal (1989) termed the "transnational soluti</w:t>
      </w:r>
      <w:r w:rsidRPr="00E93419">
        <w:rPr>
          <w:rFonts w:ascii="Arial" w:hAnsi="Arial" w:cs="Arial"/>
          <w:sz w:val="22"/>
          <w:szCs w:val="22"/>
        </w:rPr>
        <w:t>on" — global efficiency combined with local responsiveness and worldwide learning.</w:t>
      </w:r>
    </w:p>
    <w:p w14:paraId="140BB05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A specific challenge was cultural analysis. Hofstede's dimensions are now over 40 years old and have been criticised for essentialism (McSweeney, 2002). I addressed this by </w:t>
      </w:r>
      <w:r w:rsidRPr="00E93419">
        <w:rPr>
          <w:rFonts w:ascii="Arial" w:hAnsi="Arial" w:cs="Arial"/>
          <w:sz w:val="22"/>
          <w:szCs w:val="22"/>
        </w:rPr>
        <w:t>treating Hofstede as a starting hypothesis rather than a conclusion, and by triangulating against Trompenaars and Hampden-Turner (1997) and against primary observation from Pfizer's own disclosures about organisational culture.</w:t>
      </w:r>
    </w:p>
    <w:p w14:paraId="1F799510" w14:textId="77777777" w:rsidR="00624145" w:rsidRPr="00E93419" w:rsidRDefault="00C0433A" w:rsidP="00E93419">
      <w:pPr>
        <w:pStyle w:val="Heading3"/>
        <w:spacing w:before="0" w:after="0" w:line="360" w:lineRule="auto"/>
        <w:rPr>
          <w:rFonts w:ascii="Arial" w:hAnsi="Arial" w:cs="Arial"/>
          <w:color w:val="auto"/>
          <w:sz w:val="22"/>
          <w:szCs w:val="22"/>
        </w:rPr>
      </w:pPr>
      <w:bookmarkStart w:id="24" w:name="_Toc228166722"/>
      <w:r w:rsidRPr="00E93419">
        <w:rPr>
          <w:rFonts w:ascii="Arial" w:hAnsi="Arial" w:cs="Arial"/>
          <w:color w:val="auto"/>
          <w:sz w:val="22"/>
          <w:szCs w:val="22"/>
        </w:rPr>
        <w:t>Conclusion</w:t>
      </w:r>
      <w:bookmarkEnd w:id="24"/>
    </w:p>
    <w:p w14:paraId="16583FE9"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My overall conclu</w:t>
      </w:r>
      <w:r w:rsidRPr="00E93419">
        <w:rPr>
          <w:rFonts w:ascii="Arial" w:hAnsi="Arial" w:cs="Arial"/>
          <w:sz w:val="22"/>
          <w:szCs w:val="22"/>
        </w:rPr>
        <w:t>sion is that I now have a more confident and nuanced understanding of international business analysis than I did at the start of this module. The Diamond Model, PESTEL, Hofstede, and the Uppsala internationalisation model are not isolated tools but complem</w:t>
      </w:r>
      <w:r w:rsidRPr="00E93419">
        <w:rPr>
          <w:rFonts w:ascii="Arial" w:hAnsi="Arial" w:cs="Arial"/>
          <w:sz w:val="22"/>
          <w:szCs w:val="22"/>
        </w:rPr>
        <w:t>entary lenses — each reveals part of the picture. I also concluded that credibility in international business analysis comes from three sources: current data, primary sources (including company disclosures and government publications), and explicit applica</w:t>
      </w:r>
      <w:r w:rsidRPr="00E93419">
        <w:rPr>
          <w:rFonts w:ascii="Arial" w:hAnsi="Arial" w:cs="Arial"/>
          <w:sz w:val="22"/>
          <w:szCs w:val="22"/>
        </w:rPr>
        <w:t>tion of theoretical frameworks. Shortcuts via secondary aggregator sites lowered the quality of my earliest drafts and I now understand why my tutors have emphasised primary-source discipline.</w:t>
      </w:r>
    </w:p>
    <w:p w14:paraId="529890DB" w14:textId="77777777" w:rsidR="00624145" w:rsidRPr="00E93419" w:rsidRDefault="00C0433A" w:rsidP="00E93419">
      <w:pPr>
        <w:pStyle w:val="Heading3"/>
        <w:spacing w:before="0" w:after="0" w:line="360" w:lineRule="auto"/>
        <w:rPr>
          <w:rFonts w:ascii="Arial" w:hAnsi="Arial" w:cs="Arial"/>
          <w:color w:val="auto"/>
          <w:sz w:val="22"/>
          <w:szCs w:val="22"/>
        </w:rPr>
      </w:pPr>
      <w:bookmarkStart w:id="25" w:name="_Toc228166723"/>
      <w:r w:rsidRPr="00E93419">
        <w:rPr>
          <w:rFonts w:ascii="Arial" w:hAnsi="Arial" w:cs="Arial"/>
          <w:color w:val="auto"/>
          <w:sz w:val="22"/>
          <w:szCs w:val="22"/>
        </w:rPr>
        <w:lastRenderedPageBreak/>
        <w:t>Action Plan</w:t>
      </w:r>
      <w:bookmarkEnd w:id="25"/>
    </w:p>
    <w:p w14:paraId="41F9F8C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For future international-business writing I will: (</w:t>
      </w:r>
      <w:r w:rsidRPr="00E93419">
        <w:rPr>
          <w:rFonts w:ascii="Arial" w:hAnsi="Arial" w:cs="Arial"/>
          <w:sz w:val="22"/>
          <w:szCs w:val="22"/>
        </w:rPr>
        <w:t>a) build a source-tiering spreadsheet at the planning stage, weighting primary sources highest; (b) allocate section-level word budgets before writing to prevent front-loading; (c) integrate Rugman's double-diamond and Dunning's Eclectic Paradigm (Dunning,</w:t>
      </w:r>
      <w:r w:rsidRPr="00E93419">
        <w:rPr>
          <w:rFonts w:ascii="Arial" w:hAnsi="Arial" w:cs="Arial"/>
          <w:sz w:val="22"/>
          <w:szCs w:val="22"/>
        </w:rPr>
        <w:t xml:space="preserve"> 1977) into my standard analytical toolkit so that my next assignment is richer theoretically; (d) schedule a structured peer review at the 60%-draft stage, not the 95%-draft stage; and (e) maintain a reflective log throughout the next assignment so that r</w:t>
      </w:r>
      <w:r w:rsidRPr="00E93419">
        <w:rPr>
          <w:rFonts w:ascii="Arial" w:hAnsi="Arial" w:cs="Arial"/>
          <w:sz w:val="22"/>
          <w:szCs w:val="22"/>
        </w:rPr>
        <w:t>eflection is not a retrospective reconstruction but a continuous companion to the work.</w:t>
      </w:r>
    </w:p>
    <w:p w14:paraId="2DC9AE41" w14:textId="77777777" w:rsidR="00624145" w:rsidRPr="00E93419" w:rsidRDefault="00C0433A" w:rsidP="00E93419">
      <w:pPr>
        <w:spacing w:line="360" w:lineRule="auto"/>
        <w:rPr>
          <w:rFonts w:ascii="Arial" w:hAnsi="Arial" w:cs="Arial"/>
          <w:sz w:val="22"/>
          <w:szCs w:val="22"/>
        </w:rPr>
      </w:pPr>
      <w:r w:rsidRPr="00E93419">
        <w:rPr>
          <w:rFonts w:ascii="Arial" w:hAnsi="Arial" w:cs="Arial"/>
          <w:sz w:val="22"/>
          <w:szCs w:val="22"/>
        </w:rPr>
        <w:br w:type="page"/>
      </w:r>
    </w:p>
    <w:p w14:paraId="2D2EC3CA" w14:textId="77777777" w:rsidR="00624145" w:rsidRPr="00E93419" w:rsidRDefault="00C0433A" w:rsidP="00E93419">
      <w:pPr>
        <w:pStyle w:val="Heading1"/>
        <w:spacing w:before="0" w:after="0" w:line="360" w:lineRule="auto"/>
        <w:rPr>
          <w:rFonts w:ascii="Arial" w:hAnsi="Arial" w:cs="Arial"/>
          <w:color w:val="auto"/>
          <w:sz w:val="22"/>
          <w:szCs w:val="22"/>
        </w:rPr>
      </w:pPr>
      <w:bookmarkStart w:id="26" w:name="_Toc228166724"/>
      <w:r w:rsidRPr="00E93419">
        <w:rPr>
          <w:rFonts w:ascii="Arial" w:hAnsi="Arial" w:cs="Arial"/>
          <w:color w:val="auto"/>
          <w:sz w:val="22"/>
          <w:szCs w:val="22"/>
        </w:rPr>
        <w:lastRenderedPageBreak/>
        <w:t>References</w:t>
      </w:r>
      <w:bookmarkEnd w:id="26"/>
    </w:p>
    <w:p w14:paraId="7619DD7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Acemoglu, D. and Robinson, J.A. (2012) Why Nations Fail: The Origins of Power, Prosperity and Poverty. New York: Crown Publishers.</w:t>
      </w:r>
    </w:p>
    <w:p w14:paraId="5953250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Bartlett, C.A. and Ghoshal, S. (1989) Managing Across Borders: The Transnational Solution. Boston, MA: Harvard Business School Press.</w:t>
      </w:r>
    </w:p>
    <w:p w14:paraId="65C174B5" w14:textId="77777777" w:rsidR="00624145" w:rsidRPr="00E93419" w:rsidRDefault="00C0433A" w:rsidP="00E93419">
      <w:pPr>
        <w:spacing w:line="360" w:lineRule="auto"/>
        <w:jc w:val="both"/>
        <w:rPr>
          <w:rFonts w:ascii="Arial" w:hAnsi="Arial" w:cs="Arial"/>
          <w:sz w:val="22"/>
          <w:szCs w:val="22"/>
        </w:rPr>
      </w:pPr>
      <w:proofErr w:type="spellStart"/>
      <w:r w:rsidRPr="00E93419">
        <w:rPr>
          <w:rFonts w:ascii="Arial" w:hAnsi="Arial" w:cs="Arial"/>
          <w:sz w:val="22"/>
          <w:szCs w:val="22"/>
        </w:rPr>
        <w:t>ClinilaunchResearch</w:t>
      </w:r>
      <w:proofErr w:type="spellEnd"/>
      <w:r w:rsidRPr="00E93419">
        <w:rPr>
          <w:rFonts w:ascii="Arial" w:hAnsi="Arial" w:cs="Arial"/>
          <w:sz w:val="22"/>
          <w:szCs w:val="22"/>
        </w:rPr>
        <w:t xml:space="preserve"> (2025) Top 10 Pharmaceutical Companies in India for Pharma Careers and Research. Available at: https:/</w:t>
      </w:r>
      <w:r w:rsidRPr="00E93419">
        <w:rPr>
          <w:rFonts w:ascii="Arial" w:hAnsi="Arial" w:cs="Arial"/>
          <w:sz w:val="22"/>
          <w:szCs w:val="22"/>
        </w:rPr>
        <w:t>/clinilaunchresearch.in/blog/top-pharmaceutical-companies (Accessed: 13 April 2026).</w:t>
      </w:r>
    </w:p>
    <w:p w14:paraId="49A72FC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Dunning, J.H. (1977) 'Trade, Location of Economic Activity and the MNE: A Search for an Eclectic Approach', in Ohlin, B., </w:t>
      </w:r>
      <w:proofErr w:type="spellStart"/>
      <w:r w:rsidRPr="00E93419">
        <w:rPr>
          <w:rFonts w:ascii="Arial" w:hAnsi="Arial" w:cs="Arial"/>
          <w:sz w:val="22"/>
          <w:szCs w:val="22"/>
        </w:rPr>
        <w:t>Hesselborn</w:t>
      </w:r>
      <w:proofErr w:type="spellEnd"/>
      <w:r w:rsidRPr="00E93419">
        <w:rPr>
          <w:rFonts w:ascii="Arial" w:hAnsi="Arial" w:cs="Arial"/>
          <w:sz w:val="22"/>
          <w:szCs w:val="22"/>
        </w:rPr>
        <w:t xml:space="preserve">, P.O. and </w:t>
      </w:r>
      <w:proofErr w:type="spellStart"/>
      <w:r w:rsidRPr="00E93419">
        <w:rPr>
          <w:rFonts w:ascii="Arial" w:hAnsi="Arial" w:cs="Arial"/>
          <w:sz w:val="22"/>
          <w:szCs w:val="22"/>
        </w:rPr>
        <w:t>Wijkman</w:t>
      </w:r>
      <w:proofErr w:type="spellEnd"/>
      <w:r w:rsidRPr="00E93419">
        <w:rPr>
          <w:rFonts w:ascii="Arial" w:hAnsi="Arial" w:cs="Arial"/>
          <w:sz w:val="22"/>
          <w:szCs w:val="22"/>
        </w:rPr>
        <w:t>, P.M. (eds.) The Int</w:t>
      </w:r>
      <w:r w:rsidRPr="00E93419">
        <w:rPr>
          <w:rFonts w:ascii="Arial" w:hAnsi="Arial" w:cs="Arial"/>
          <w:sz w:val="22"/>
          <w:szCs w:val="22"/>
        </w:rPr>
        <w:t>ernational Allocation of Economic Activity. London: Macmillan, pp. 395–418.</w:t>
      </w:r>
    </w:p>
    <w:p w14:paraId="2DE1A27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Fortune Business Insights (2025) India Pharmaceuticals Market Size, Share and Growth Report. Available at: https://www.fortunebusinessinsights.com/india-pharmaceuticals-market-1139</w:t>
      </w:r>
      <w:r w:rsidRPr="00E93419">
        <w:rPr>
          <w:rFonts w:ascii="Arial" w:hAnsi="Arial" w:cs="Arial"/>
          <w:sz w:val="22"/>
          <w:szCs w:val="22"/>
        </w:rPr>
        <w:t>82 (Accessed: 12 April 2026).</w:t>
      </w:r>
    </w:p>
    <w:p w14:paraId="442284A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Gibbs, G. (1988) Learning by Doing: A Guide to Teaching and Learning Methods. Oxford: Further Education Unit, Oxford Polytechnic.</w:t>
      </w:r>
    </w:p>
    <w:p w14:paraId="7B47B0D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Hofstede, G. (1980) Culture's Consequences: International Differences in Work-Related Values. Be</w:t>
      </w:r>
      <w:r w:rsidRPr="00E93419">
        <w:rPr>
          <w:rFonts w:ascii="Arial" w:hAnsi="Arial" w:cs="Arial"/>
          <w:sz w:val="22"/>
          <w:szCs w:val="22"/>
        </w:rPr>
        <w:t>verly Hills, CA: Sage.</w:t>
      </w:r>
    </w:p>
    <w:p w14:paraId="08580E7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Hofstede, G. (2011) '</w:t>
      </w:r>
      <w:proofErr w:type="spellStart"/>
      <w:r w:rsidRPr="00E93419">
        <w:rPr>
          <w:rFonts w:ascii="Arial" w:hAnsi="Arial" w:cs="Arial"/>
          <w:sz w:val="22"/>
          <w:szCs w:val="22"/>
        </w:rPr>
        <w:t>Dimensionalizing</w:t>
      </w:r>
      <w:proofErr w:type="spellEnd"/>
      <w:r w:rsidRPr="00E93419">
        <w:rPr>
          <w:rFonts w:ascii="Arial" w:hAnsi="Arial" w:cs="Arial"/>
          <w:sz w:val="22"/>
          <w:szCs w:val="22"/>
        </w:rPr>
        <w:t xml:space="preserve"> Cultures: The Hofstede Model in Context', Online Readings in Psychology and Culture, 2(1), pp. 1–26.</w:t>
      </w:r>
    </w:p>
    <w:p w14:paraId="352F7D2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IMARC Group (2025) India Pharmaceutical Market Size, Share and Growth by 2034. Available at: h</w:t>
      </w:r>
      <w:r w:rsidRPr="00E93419">
        <w:rPr>
          <w:rFonts w:ascii="Arial" w:hAnsi="Arial" w:cs="Arial"/>
          <w:sz w:val="22"/>
          <w:szCs w:val="22"/>
        </w:rPr>
        <w:t>ttps://www.imarcgroup.com/india-pharmaceutical-market (Accessed: 13 April 2026).</w:t>
      </w:r>
    </w:p>
    <w:p w14:paraId="79E0915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Brand Equity Foundation [IBEF] (2025) Indian Pharmaceutical Industry Overview and Analysis. Available at: https://www.ibef.org/industry/pharmaceutical-india (Accessed: 1</w:t>
      </w:r>
      <w:r w:rsidRPr="00E93419">
        <w:rPr>
          <w:rFonts w:ascii="Arial" w:hAnsi="Arial" w:cs="Arial"/>
          <w:sz w:val="22"/>
          <w:szCs w:val="22"/>
        </w:rPr>
        <w:t>2 April 2026).</w:t>
      </w:r>
    </w:p>
    <w:p w14:paraId="37357AF9"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India Infoline (2026) Pfizer Summary: Latest Updates and Details. Available at: https://www.indiainfoline.com/company/pfizer-ltd/summary (Accessed: 13 April 2026).</w:t>
      </w:r>
    </w:p>
    <w:p w14:paraId="19BB626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Jasper, M. (2013) Beginning Reflective Practice. 2nd </w:t>
      </w:r>
      <w:proofErr w:type="spellStart"/>
      <w:r w:rsidRPr="00E93419">
        <w:rPr>
          <w:rFonts w:ascii="Arial" w:hAnsi="Arial" w:cs="Arial"/>
          <w:sz w:val="22"/>
          <w:szCs w:val="22"/>
        </w:rPr>
        <w:t>edn</w:t>
      </w:r>
      <w:proofErr w:type="spellEnd"/>
      <w:r w:rsidRPr="00E93419">
        <w:rPr>
          <w:rFonts w:ascii="Arial" w:hAnsi="Arial" w:cs="Arial"/>
          <w:sz w:val="22"/>
          <w:szCs w:val="22"/>
        </w:rPr>
        <w:t>. Andover: Cengage Le</w:t>
      </w:r>
      <w:r w:rsidRPr="00E93419">
        <w:rPr>
          <w:rFonts w:ascii="Arial" w:hAnsi="Arial" w:cs="Arial"/>
          <w:sz w:val="22"/>
          <w:szCs w:val="22"/>
        </w:rPr>
        <w:t>arning.</w:t>
      </w:r>
    </w:p>
    <w:p w14:paraId="44B9AE07"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Johanson, J. and Vahlne, J.-E. (1977) 'The Internationalization Process of the Firm — A Model of Knowledge Development and Increasing Foreign Market Commitments', Journal of International Business Studies, 8(1), pp. 23–32.</w:t>
      </w:r>
    </w:p>
    <w:p w14:paraId="22562261"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Johnson, G., Whittington, R. and Scholes, K. (2020) Exploring Strategy: Text and Cases. 12th </w:t>
      </w:r>
      <w:proofErr w:type="spellStart"/>
      <w:r w:rsidRPr="00E93419">
        <w:rPr>
          <w:rFonts w:ascii="Arial" w:hAnsi="Arial" w:cs="Arial"/>
          <w:sz w:val="22"/>
          <w:szCs w:val="22"/>
        </w:rPr>
        <w:t>edn</w:t>
      </w:r>
      <w:proofErr w:type="spellEnd"/>
      <w:r w:rsidRPr="00E93419">
        <w:rPr>
          <w:rFonts w:ascii="Arial" w:hAnsi="Arial" w:cs="Arial"/>
          <w:sz w:val="22"/>
          <w:szCs w:val="22"/>
        </w:rPr>
        <w:t>. Harlow: Pearson.</w:t>
      </w:r>
    </w:p>
    <w:p w14:paraId="5D71A2ED"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Kolb, D.A. (1984) Experiential Learning: Experience as the Source of Learning and Development. Englewood Cliffs, NJ: Prentice-Hall.</w:t>
      </w:r>
    </w:p>
    <w:p w14:paraId="6B844712"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lastRenderedPageBreak/>
        <w:t>Market Re</w:t>
      </w:r>
      <w:r w:rsidRPr="00E93419">
        <w:rPr>
          <w:rFonts w:ascii="Arial" w:hAnsi="Arial" w:cs="Arial"/>
          <w:sz w:val="22"/>
          <w:szCs w:val="22"/>
        </w:rPr>
        <w:t>search Future (2025) India Pharmaceuticals Industry Market Size and Share Report 2035. Available at: https://www.marketresearchfuture.com/reports/india-pharmaceuticals-industry-21803 (Accessed: 13 April 2026).</w:t>
      </w:r>
    </w:p>
    <w:p w14:paraId="4CA769B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McSweeney, B. (2002) 'Hofstede's Model of Nati</w:t>
      </w:r>
      <w:r w:rsidRPr="00E93419">
        <w:rPr>
          <w:rFonts w:ascii="Arial" w:hAnsi="Arial" w:cs="Arial"/>
          <w:sz w:val="22"/>
          <w:szCs w:val="22"/>
        </w:rPr>
        <w:t>onal Cultural Differences and their Consequences: A Triumph of Faith — A Failure of Analysis', Human Relations, 55(1), pp. 89–118.</w:t>
      </w:r>
    </w:p>
    <w:p w14:paraId="4D90363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Mordor Intelligence (2026) Indian Pharmaceutical Industry — Overview and Growth 2031. Available at: https://www.mordorintelli</w:t>
      </w:r>
      <w:r w:rsidRPr="00E93419">
        <w:rPr>
          <w:rFonts w:ascii="Arial" w:hAnsi="Arial" w:cs="Arial"/>
          <w:sz w:val="22"/>
          <w:szCs w:val="22"/>
        </w:rPr>
        <w:t>gence.com/industry-reports/pharmaceuticals-industry-in-india (Accessed: 13 April 2026).</w:t>
      </w:r>
    </w:p>
    <w:p w14:paraId="307D1C3F"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North, D.C. (1990) Institutions, Institutional Change and Economic Performance. Cambridge: Cambridge University Press.</w:t>
      </w:r>
    </w:p>
    <w:p w14:paraId="4AB17A2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Inc. (2015) Pfizer Presents New Opportunit</w:t>
      </w:r>
      <w:r w:rsidRPr="00E93419">
        <w:rPr>
          <w:rFonts w:ascii="Arial" w:hAnsi="Arial" w:cs="Arial"/>
          <w:sz w:val="22"/>
          <w:szCs w:val="22"/>
        </w:rPr>
        <w:t>ies for Global Growth. Available at: https://www.pfizer.com/news/press-release (Accessed: 13 April 2026).</w:t>
      </w:r>
    </w:p>
    <w:p w14:paraId="15A8C94C"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Pfizer India (2025) Pfizer in India — Corporate Overview. Available at: https://www.pfizer.co.in/about-us/pfizer-in-india (Accessed: 13 April 2026).</w:t>
      </w:r>
    </w:p>
    <w:p w14:paraId="073F1DE3"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w:t>
      </w:r>
      <w:r w:rsidRPr="00E93419">
        <w:rPr>
          <w:rFonts w:ascii="Arial" w:hAnsi="Arial" w:cs="Arial"/>
          <w:sz w:val="22"/>
          <w:szCs w:val="22"/>
        </w:rPr>
        <w:t>orter, M.E. (1990) The Competitive Advantage of Nations. New York: Free Press.</w:t>
      </w:r>
    </w:p>
    <w:p w14:paraId="1B6A469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Press Information Bureau [PIB] (2026) India's Pharmaceuticals in Global Healthcare. Available at: https://www.pib.gov.in/PressReleasePage.aspx?PRID=2243248 (Accessed: 12 April 2</w:t>
      </w:r>
      <w:r w:rsidRPr="00E93419">
        <w:rPr>
          <w:rFonts w:ascii="Arial" w:hAnsi="Arial" w:cs="Arial"/>
          <w:sz w:val="22"/>
          <w:szCs w:val="22"/>
        </w:rPr>
        <w:t>026).</w:t>
      </w:r>
    </w:p>
    <w:p w14:paraId="5721C586"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RSIS International (2025) 'Porter's Diamond Model', International Journal of Research and Innovation in Applied Science, 10(6), pp. 690–693.</w:t>
      </w:r>
    </w:p>
    <w:p w14:paraId="45A37CE5"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Rugman, A.M. and D'Cruz, J.R. (1993) 'The Double Diamond Model of International Competitiveness: The Canadian</w:t>
      </w:r>
      <w:r w:rsidRPr="00E93419">
        <w:rPr>
          <w:rFonts w:ascii="Arial" w:hAnsi="Arial" w:cs="Arial"/>
          <w:sz w:val="22"/>
          <w:szCs w:val="22"/>
        </w:rPr>
        <w:t xml:space="preserve"> Experience', Management International Review, 33, pp. 17–39.</w:t>
      </w:r>
    </w:p>
    <w:p w14:paraId="2BFB4784"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Screener (2026) Pfizer Ltd Share Price and Key Insights. Available at: https://www.screener.in/company/PFIZER (Accessed: 13 April 2026).</w:t>
      </w:r>
    </w:p>
    <w:p w14:paraId="61F36320"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The Grey Swan (2025) India Branded Pharma: Sales, Share a</w:t>
      </w:r>
      <w:r w:rsidRPr="00E93419">
        <w:rPr>
          <w:rFonts w:ascii="Arial" w:hAnsi="Arial" w:cs="Arial"/>
          <w:sz w:val="22"/>
          <w:szCs w:val="22"/>
        </w:rPr>
        <w:t>nd Therapy Trends. Available at: https://thegreyswan.substack.com/p/india-branded-pharma-sales-share (Accessed: 13 April 2026).</w:t>
      </w:r>
    </w:p>
    <w:p w14:paraId="512EAA1A"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 xml:space="preserve">Trompenaars, F. and Hampden-Turner, C. (1997) Riding the Waves of Culture: Understanding Cultural Diversity in Business. 2nd </w:t>
      </w:r>
      <w:proofErr w:type="spellStart"/>
      <w:r w:rsidRPr="00E93419">
        <w:rPr>
          <w:rFonts w:ascii="Arial" w:hAnsi="Arial" w:cs="Arial"/>
          <w:sz w:val="22"/>
          <w:szCs w:val="22"/>
        </w:rPr>
        <w:t>edn</w:t>
      </w:r>
      <w:proofErr w:type="spellEnd"/>
      <w:r w:rsidRPr="00E93419">
        <w:rPr>
          <w:rFonts w:ascii="Arial" w:hAnsi="Arial" w:cs="Arial"/>
          <w:sz w:val="22"/>
          <w:szCs w:val="22"/>
        </w:rPr>
        <w:t>. London: Nicholas Brealey.</w:t>
      </w:r>
    </w:p>
    <w:p w14:paraId="06407B5E" w14:textId="77777777" w:rsidR="00624145" w:rsidRPr="00E93419" w:rsidRDefault="00C0433A" w:rsidP="00E93419">
      <w:pPr>
        <w:spacing w:line="360" w:lineRule="auto"/>
        <w:jc w:val="both"/>
        <w:rPr>
          <w:rFonts w:ascii="Arial" w:hAnsi="Arial" w:cs="Arial"/>
          <w:sz w:val="22"/>
          <w:szCs w:val="22"/>
        </w:rPr>
      </w:pPr>
      <w:r w:rsidRPr="00E93419">
        <w:rPr>
          <w:rFonts w:ascii="Arial" w:hAnsi="Arial" w:cs="Arial"/>
          <w:sz w:val="22"/>
          <w:szCs w:val="22"/>
        </w:rPr>
        <w:t>Wikipedia (2026) Economy of Bangladesh. Available at: https://en.wikipedia.org/wiki/Economy_of_Bangladesh (Accessed: 13 April 2026).</w:t>
      </w:r>
    </w:p>
    <w:sectPr w:rsidR="00624145" w:rsidRPr="00E93419">
      <w:headerReference w:type="default"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0FFAB" w14:textId="77777777" w:rsidR="00C0433A" w:rsidRDefault="00C0433A">
      <w:r>
        <w:separator/>
      </w:r>
    </w:p>
  </w:endnote>
  <w:endnote w:type="continuationSeparator" w:id="0">
    <w:p w14:paraId="22E1CD89" w14:textId="77777777" w:rsidR="00C0433A" w:rsidRDefault="00C04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49C2E" w14:textId="77777777" w:rsidR="00624145" w:rsidRDefault="00C0433A">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E93419">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E93419">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99D21" w14:textId="77777777" w:rsidR="00C0433A" w:rsidRDefault="00C0433A">
      <w:r>
        <w:separator/>
      </w:r>
    </w:p>
  </w:footnote>
  <w:footnote w:type="continuationSeparator" w:id="0">
    <w:p w14:paraId="5A6E077D" w14:textId="77777777" w:rsidR="00C0433A" w:rsidRDefault="00C043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2538" w14:textId="77777777" w:rsidR="00624145" w:rsidRDefault="00C0433A">
    <w:pPr>
      <w:jc w:val="right"/>
    </w:pPr>
    <w:r>
      <w:rPr>
        <w:i/>
        <w:iCs/>
        <w:color w:val="808080"/>
        <w:sz w:val="20"/>
        <w:szCs w:val="20"/>
      </w:rPr>
      <w:t>Pharmaceutical Industry in India &amp; Pfizer Inc.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37FC"/>
    <w:multiLevelType w:val="hybridMultilevel"/>
    <w:tmpl w:val="20943340"/>
    <w:lvl w:ilvl="0" w:tplc="FFFFFFFF">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F22559B"/>
    <w:multiLevelType w:val="hybridMultilevel"/>
    <w:tmpl w:val="B70006E0"/>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145"/>
    <w:rsid w:val="00624145"/>
    <w:rsid w:val="00801167"/>
    <w:rsid w:val="00B3773C"/>
    <w:rsid w:val="00C0433A"/>
    <w:rsid w:val="00E9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31CF"/>
  <w15:docId w15:val="{2166AB69-646D-4C13-973D-D69CE7E5A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300" w:after="160"/>
      <w:outlineLvl w:val="1"/>
    </w:pPr>
    <w:rPr>
      <w:b/>
      <w:bCs/>
      <w:color w:val="2E5090"/>
      <w:sz w:val="28"/>
      <w:szCs w:val="28"/>
    </w:rPr>
  </w:style>
  <w:style w:type="paragraph" w:styleId="Heading3">
    <w:name w:val="heading 3"/>
    <w:uiPriority w:val="9"/>
    <w:unhideWhenUsed/>
    <w:qFormat/>
    <w:pPr>
      <w:spacing w:before="240" w:after="140"/>
      <w:outlineLvl w:val="2"/>
    </w:pPr>
    <w:rPr>
      <w:b/>
      <w:bCs/>
      <w:i/>
      <w:iCs/>
      <w:color w:val="2E5090"/>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93419"/>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E93419"/>
    <w:pPr>
      <w:spacing w:after="100"/>
    </w:pPr>
  </w:style>
  <w:style w:type="paragraph" w:styleId="TOC2">
    <w:name w:val="toc 2"/>
    <w:basedOn w:val="Normal"/>
    <w:next w:val="Normal"/>
    <w:autoRedefine/>
    <w:uiPriority w:val="39"/>
    <w:unhideWhenUsed/>
    <w:rsid w:val="00E93419"/>
    <w:pPr>
      <w:spacing w:after="100"/>
      <w:ind w:left="240"/>
    </w:pPr>
  </w:style>
  <w:style w:type="paragraph" w:styleId="TOC3">
    <w:name w:val="toc 3"/>
    <w:basedOn w:val="Normal"/>
    <w:next w:val="Normal"/>
    <w:autoRedefine/>
    <w:uiPriority w:val="39"/>
    <w:unhideWhenUsed/>
    <w:rsid w:val="00E93419"/>
    <w:pPr>
      <w:spacing w:after="100"/>
      <w:ind w:left="480"/>
    </w:pPr>
  </w:style>
  <w:style w:type="table" w:styleId="TableGrid">
    <w:name w:val="Table Grid"/>
    <w:basedOn w:val="TableNormal"/>
    <w:uiPriority w:val="39"/>
    <w:rsid w:val="00E93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F81E2-739C-4CF1-88AA-2720475F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6175</Words>
  <Characters>35200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Assignment 3 - India Pharma and Pfizer International Business Report</vt:lpstr>
    </vt:vector>
  </TitlesOfParts>
  <Company/>
  <LinksUpToDate>false</LinksUpToDate>
  <CharactersWithSpaces>41293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3 - India Pharma and Pfizer International Business Report</dc:title>
  <dc:creator>Rezaul Karim</dc:creator>
  <cp:lastModifiedBy>Abu Zafar Md Imran [Student-PECS]</cp:lastModifiedBy>
  <cp:revision>2</cp:revision>
  <dcterms:created xsi:type="dcterms:W3CDTF">2026-04-27T06:22:00Z</dcterms:created>
  <dcterms:modified xsi:type="dcterms:W3CDTF">2026-04-27T06:22:00Z</dcterms:modified>
</cp:coreProperties>
</file>