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CBE9A3" w14:textId="79A26880" w:rsidR="00876F65" w:rsidRPr="00876F65" w:rsidRDefault="00876F65" w:rsidP="00FF6F6B">
      <w:pPr>
        <w:rPr>
          <w:sz w:val="72"/>
          <w:szCs w:val="72"/>
        </w:rPr>
      </w:pPr>
      <w:r w:rsidRPr="00876F65">
        <w:rPr>
          <w:sz w:val="72"/>
          <w:szCs w:val="72"/>
        </w:rPr>
        <w:t xml:space="preserve">Portfolio </w:t>
      </w:r>
    </w:p>
    <w:p w14:paraId="64DA51DD" w14:textId="77777777" w:rsidR="00876F65" w:rsidRDefault="00876F65" w:rsidP="00FF6F6B">
      <w:pPr>
        <w:rPr>
          <w:sz w:val="40"/>
          <w:szCs w:val="40"/>
        </w:rPr>
      </w:pPr>
    </w:p>
    <w:p w14:paraId="3A823BD0" w14:textId="37606EFB" w:rsidR="00FF6F6B" w:rsidRPr="00FF6F6B" w:rsidRDefault="00FF6F6B" w:rsidP="00FF6F6B">
      <w:pPr>
        <w:rPr>
          <w:sz w:val="40"/>
          <w:szCs w:val="40"/>
        </w:rPr>
      </w:pPr>
      <w:r w:rsidRPr="00FF6F6B">
        <w:rPr>
          <w:sz w:val="40"/>
          <w:szCs w:val="40"/>
        </w:rPr>
        <w:t>Children and Young People’s Health, Wellbeing and</w:t>
      </w:r>
    </w:p>
    <w:p w14:paraId="54689C22" w14:textId="313D6E1C" w:rsidR="00FF6F6B" w:rsidRDefault="00FF6F6B" w:rsidP="00FF6F6B">
      <w:pPr>
        <w:rPr>
          <w:sz w:val="40"/>
          <w:szCs w:val="40"/>
        </w:rPr>
      </w:pPr>
      <w:r w:rsidRPr="00FF6F6B">
        <w:rPr>
          <w:sz w:val="40"/>
          <w:szCs w:val="40"/>
        </w:rPr>
        <w:t>Community Engagement</w:t>
      </w:r>
    </w:p>
    <w:p w14:paraId="00E9F3DC" w14:textId="6E0F04FA" w:rsidR="00FF6F6B" w:rsidRDefault="00FF6F6B" w:rsidP="00FF6F6B">
      <w:pPr>
        <w:rPr>
          <w:sz w:val="40"/>
          <w:szCs w:val="40"/>
        </w:rPr>
      </w:pPr>
      <w:r w:rsidRPr="00FF6F6B">
        <w:rPr>
          <w:sz w:val="40"/>
          <w:szCs w:val="40"/>
        </w:rPr>
        <w:t>BMHP5018</w:t>
      </w:r>
    </w:p>
    <w:p w14:paraId="76329245" w14:textId="77777777" w:rsidR="00FF6F6B" w:rsidRDefault="00FF6F6B" w:rsidP="00FF6F6B">
      <w:pPr>
        <w:rPr>
          <w:sz w:val="40"/>
          <w:szCs w:val="40"/>
        </w:rPr>
      </w:pPr>
    </w:p>
    <w:p w14:paraId="76F8340E" w14:textId="18823D81" w:rsidR="00FF6F6B" w:rsidRDefault="00FF6F6B" w:rsidP="00FF6F6B">
      <w:pPr>
        <w:rPr>
          <w:sz w:val="40"/>
          <w:szCs w:val="40"/>
        </w:rPr>
      </w:pPr>
      <w:r w:rsidRPr="00FF6F6B">
        <w:rPr>
          <w:sz w:val="40"/>
          <w:szCs w:val="40"/>
        </w:rPr>
        <w:t>Joanna Fender</w:t>
      </w:r>
    </w:p>
    <w:p w14:paraId="1EBC0DD7" w14:textId="77777777" w:rsidR="00FF6F6B" w:rsidRDefault="00FF6F6B" w:rsidP="00FF6F6B">
      <w:pPr>
        <w:rPr>
          <w:sz w:val="40"/>
          <w:szCs w:val="40"/>
        </w:rPr>
      </w:pPr>
    </w:p>
    <w:p w14:paraId="5313B194" w14:textId="77777777" w:rsidR="00FF6F6B" w:rsidRDefault="00FF6F6B" w:rsidP="00FF6F6B">
      <w:pPr>
        <w:rPr>
          <w:sz w:val="40"/>
          <w:szCs w:val="40"/>
        </w:rPr>
      </w:pPr>
    </w:p>
    <w:p w14:paraId="00604993" w14:textId="17E68CF2" w:rsidR="00FF6F6B" w:rsidRDefault="00FF6F6B" w:rsidP="00FF6F6B">
      <w:pPr>
        <w:rPr>
          <w:sz w:val="40"/>
          <w:szCs w:val="40"/>
        </w:rPr>
      </w:pPr>
    </w:p>
    <w:p w14:paraId="776206D9" w14:textId="77777777" w:rsidR="00FF6F6B" w:rsidRDefault="00FF6F6B" w:rsidP="00FF6F6B">
      <w:pPr>
        <w:rPr>
          <w:sz w:val="40"/>
          <w:szCs w:val="40"/>
        </w:rPr>
      </w:pPr>
    </w:p>
    <w:p w14:paraId="4F414705" w14:textId="77777777" w:rsidR="00FF6F6B" w:rsidRDefault="00FF6F6B" w:rsidP="00FF6F6B">
      <w:pPr>
        <w:rPr>
          <w:sz w:val="40"/>
          <w:szCs w:val="40"/>
        </w:rPr>
      </w:pPr>
    </w:p>
    <w:p w14:paraId="5A979A42" w14:textId="77777777" w:rsidR="00FF6F6B" w:rsidRDefault="00FF6F6B" w:rsidP="00FF6F6B">
      <w:pPr>
        <w:rPr>
          <w:sz w:val="40"/>
          <w:szCs w:val="40"/>
        </w:rPr>
      </w:pPr>
    </w:p>
    <w:p w14:paraId="4A27A934" w14:textId="77777777" w:rsidR="00FF6F6B" w:rsidRDefault="00FF6F6B" w:rsidP="00FF6F6B">
      <w:pPr>
        <w:rPr>
          <w:sz w:val="40"/>
          <w:szCs w:val="40"/>
        </w:rPr>
      </w:pPr>
    </w:p>
    <w:p w14:paraId="1B89E9DB" w14:textId="77777777" w:rsidR="00FF6F6B" w:rsidRDefault="00FF6F6B" w:rsidP="00FF6F6B">
      <w:pPr>
        <w:rPr>
          <w:sz w:val="40"/>
          <w:szCs w:val="40"/>
        </w:rPr>
      </w:pPr>
    </w:p>
    <w:p w14:paraId="0603D187" w14:textId="77777777" w:rsidR="00FF6F6B" w:rsidRDefault="00FF6F6B" w:rsidP="00FF6F6B">
      <w:pPr>
        <w:rPr>
          <w:sz w:val="40"/>
          <w:szCs w:val="40"/>
        </w:rPr>
      </w:pPr>
    </w:p>
    <w:p w14:paraId="53F380C3" w14:textId="35BE1DE9" w:rsidR="00FF6F6B" w:rsidRDefault="00FF6F6B" w:rsidP="00FF6F6B">
      <w:pPr>
        <w:rPr>
          <w:sz w:val="40"/>
          <w:szCs w:val="40"/>
        </w:rPr>
      </w:pPr>
      <w:r>
        <w:rPr>
          <w:sz w:val="40"/>
          <w:szCs w:val="40"/>
        </w:rPr>
        <w:t xml:space="preserve">Bozena Mlynarczyk (2217365) </w:t>
      </w:r>
    </w:p>
    <w:p w14:paraId="43002290" w14:textId="77777777" w:rsidR="00FF6F6B" w:rsidRDefault="00FF6F6B" w:rsidP="00FF6F6B">
      <w:pPr>
        <w:rPr>
          <w:sz w:val="40"/>
          <w:szCs w:val="40"/>
        </w:rPr>
      </w:pPr>
    </w:p>
    <w:p w14:paraId="37A9F3F4" w14:textId="77777777" w:rsidR="00876F65" w:rsidRDefault="00876F65" w:rsidP="00FF6F6B">
      <w:pPr>
        <w:rPr>
          <w:sz w:val="40"/>
          <w:szCs w:val="40"/>
        </w:rPr>
      </w:pPr>
    </w:p>
    <w:p w14:paraId="100DDD08" w14:textId="2B6CB988" w:rsidR="00FF6F6B" w:rsidRDefault="00FF6F6B" w:rsidP="00FF6F6B">
      <w:pPr>
        <w:rPr>
          <w:sz w:val="40"/>
          <w:szCs w:val="40"/>
        </w:rPr>
      </w:pPr>
      <w:r>
        <w:rPr>
          <w:sz w:val="40"/>
          <w:szCs w:val="40"/>
        </w:rPr>
        <w:lastRenderedPageBreak/>
        <w:t xml:space="preserve">Content page: </w:t>
      </w:r>
    </w:p>
    <w:p w14:paraId="13B54DC2" w14:textId="5B3E7C33" w:rsidR="00FF6F6B" w:rsidRDefault="00FF6F6B" w:rsidP="00FF6F6B">
      <w:pPr>
        <w:pStyle w:val="ListParagraph"/>
        <w:numPr>
          <w:ilvl w:val="0"/>
          <w:numId w:val="1"/>
        </w:numPr>
        <w:rPr>
          <w:sz w:val="40"/>
          <w:szCs w:val="40"/>
        </w:rPr>
      </w:pPr>
      <w:r>
        <w:rPr>
          <w:sz w:val="40"/>
          <w:szCs w:val="40"/>
        </w:rPr>
        <w:t>Video Critique</w:t>
      </w:r>
    </w:p>
    <w:p w14:paraId="45F028EA" w14:textId="0C094BE8" w:rsidR="00FF6F6B" w:rsidRDefault="00FF6F6B" w:rsidP="00FF6F6B">
      <w:pPr>
        <w:pStyle w:val="ListParagraph"/>
        <w:numPr>
          <w:ilvl w:val="0"/>
          <w:numId w:val="1"/>
        </w:numPr>
        <w:rPr>
          <w:sz w:val="40"/>
          <w:szCs w:val="40"/>
        </w:rPr>
      </w:pPr>
      <w:r>
        <w:rPr>
          <w:sz w:val="40"/>
          <w:szCs w:val="40"/>
        </w:rPr>
        <w:t>Poster</w:t>
      </w:r>
    </w:p>
    <w:p w14:paraId="4B63E628" w14:textId="27F23C68" w:rsidR="00FF6F6B" w:rsidRDefault="00FF6F6B" w:rsidP="00FF6F6B">
      <w:pPr>
        <w:pStyle w:val="ListParagraph"/>
        <w:numPr>
          <w:ilvl w:val="0"/>
          <w:numId w:val="1"/>
        </w:numPr>
        <w:rPr>
          <w:sz w:val="40"/>
          <w:szCs w:val="40"/>
        </w:rPr>
      </w:pPr>
      <w:r>
        <w:rPr>
          <w:sz w:val="40"/>
          <w:szCs w:val="40"/>
        </w:rPr>
        <w:t>Blogs</w:t>
      </w:r>
    </w:p>
    <w:p w14:paraId="1F3A5071" w14:textId="6B12F938" w:rsidR="00FF6F6B" w:rsidRPr="00FF6F6B" w:rsidRDefault="00FF6F6B" w:rsidP="00FF6F6B">
      <w:pPr>
        <w:pStyle w:val="ListParagraph"/>
        <w:numPr>
          <w:ilvl w:val="0"/>
          <w:numId w:val="1"/>
        </w:numPr>
        <w:rPr>
          <w:sz w:val="40"/>
          <w:szCs w:val="40"/>
        </w:rPr>
      </w:pPr>
      <w:r>
        <w:rPr>
          <w:sz w:val="40"/>
          <w:szCs w:val="40"/>
        </w:rPr>
        <w:t xml:space="preserve">Legislation Timeline </w:t>
      </w:r>
    </w:p>
    <w:p w14:paraId="7EE7DA13" w14:textId="77777777" w:rsidR="00FF6F6B" w:rsidRDefault="00FF6F6B"/>
    <w:p w14:paraId="3ED9EA01" w14:textId="77777777" w:rsidR="00FF6F6B" w:rsidRDefault="00FF6F6B"/>
    <w:p w14:paraId="2F9F5FEF" w14:textId="77777777" w:rsidR="00FF6F6B" w:rsidRDefault="00FF6F6B"/>
    <w:p w14:paraId="1EABBA1A" w14:textId="77777777" w:rsidR="00FF6F6B" w:rsidRDefault="00FF6F6B"/>
    <w:p w14:paraId="0D32EBC7" w14:textId="77777777" w:rsidR="00FF6F6B" w:rsidRDefault="00FF6F6B"/>
    <w:p w14:paraId="11449D38" w14:textId="77777777" w:rsidR="00FF6F6B" w:rsidRDefault="00FF6F6B"/>
    <w:p w14:paraId="6C94EF22" w14:textId="77777777" w:rsidR="00FF6F6B" w:rsidRDefault="00FF6F6B"/>
    <w:p w14:paraId="228B67AB" w14:textId="77777777" w:rsidR="00FF6F6B" w:rsidRDefault="00FF6F6B"/>
    <w:p w14:paraId="0EAC850E" w14:textId="77777777" w:rsidR="00FF6F6B" w:rsidRDefault="00FF6F6B"/>
    <w:p w14:paraId="41D17F14" w14:textId="77777777" w:rsidR="00FF6F6B" w:rsidRDefault="00FF6F6B"/>
    <w:p w14:paraId="61FDD85A" w14:textId="77777777" w:rsidR="00FF6F6B" w:rsidRDefault="00FF6F6B"/>
    <w:p w14:paraId="5F3438CF" w14:textId="77777777" w:rsidR="00FF6F6B" w:rsidRDefault="00FF6F6B"/>
    <w:p w14:paraId="13871FC3" w14:textId="77777777" w:rsidR="00FF6F6B" w:rsidRDefault="00FF6F6B"/>
    <w:p w14:paraId="6D9D6255" w14:textId="77777777" w:rsidR="00FF6F6B" w:rsidRDefault="00FF6F6B"/>
    <w:p w14:paraId="2335EB78" w14:textId="77777777" w:rsidR="00FF6F6B" w:rsidRDefault="00FF6F6B"/>
    <w:p w14:paraId="4C11F990" w14:textId="77777777" w:rsidR="00FF6F6B" w:rsidRDefault="00FF6F6B"/>
    <w:p w14:paraId="5B7222F7" w14:textId="77777777" w:rsidR="00FF6F6B" w:rsidRDefault="00FF6F6B"/>
    <w:p w14:paraId="51C48233" w14:textId="77777777" w:rsidR="00FF6F6B" w:rsidRDefault="00FF6F6B"/>
    <w:p w14:paraId="43FA437F" w14:textId="77777777" w:rsidR="00FF6F6B" w:rsidRDefault="00FF6F6B"/>
    <w:p w14:paraId="53CEC1B6" w14:textId="77777777" w:rsidR="00FF6F6B" w:rsidRDefault="00FF6F6B"/>
    <w:p w14:paraId="609E38BD" w14:textId="77777777" w:rsidR="00FF6F6B" w:rsidRDefault="00FF6F6B"/>
    <w:p w14:paraId="0DB28030" w14:textId="77777777" w:rsidR="00FF6F6B" w:rsidRDefault="00FF6F6B"/>
    <w:p w14:paraId="6DC8C39C" w14:textId="77777777" w:rsidR="00FF6F6B" w:rsidRDefault="00FF6F6B"/>
    <w:p w14:paraId="66CABE1D" w14:textId="77777777" w:rsidR="00FF6F6B" w:rsidRDefault="00FF6F6B"/>
    <w:p w14:paraId="2F2C0A8F" w14:textId="77777777" w:rsidR="00BD415B" w:rsidRPr="00BD415B" w:rsidRDefault="00BD415B" w:rsidP="00BD415B">
      <w:pPr>
        <w:rPr>
          <w:b/>
          <w:bCs/>
          <w:sz w:val="28"/>
          <w:szCs w:val="28"/>
        </w:rPr>
      </w:pPr>
      <w:r w:rsidRPr="00BD415B">
        <w:rPr>
          <w:b/>
          <w:bCs/>
          <w:sz w:val="28"/>
          <w:szCs w:val="28"/>
        </w:rPr>
        <w:lastRenderedPageBreak/>
        <w:t xml:space="preserve">1. Critique the video </w:t>
      </w:r>
    </w:p>
    <w:p w14:paraId="479DCAD8" w14:textId="77777777" w:rsidR="00BD415B" w:rsidRPr="003D612D" w:rsidRDefault="00BD415B" w:rsidP="00BD415B">
      <w:pPr>
        <w:rPr>
          <w:sz w:val="24"/>
          <w:szCs w:val="24"/>
        </w:rPr>
      </w:pPr>
      <w:r w:rsidRPr="003D612D">
        <w:rPr>
          <w:sz w:val="24"/>
          <w:szCs w:val="24"/>
        </w:rPr>
        <w:t>Introduction</w:t>
      </w:r>
    </w:p>
    <w:p w14:paraId="0B7B9178" w14:textId="77777777" w:rsidR="00BD415B" w:rsidRPr="003D612D" w:rsidRDefault="00BD415B" w:rsidP="00BD415B">
      <w:pPr>
        <w:rPr>
          <w:sz w:val="24"/>
          <w:szCs w:val="24"/>
        </w:rPr>
      </w:pPr>
      <w:r w:rsidRPr="003D612D">
        <w:rPr>
          <w:sz w:val="24"/>
          <w:szCs w:val="24"/>
        </w:rPr>
        <w:t>The video focuses on therapeutic interventions and family involvement and summarises the Child and Adolescent Mental Health Services (CAMHS) process, outlining each step from referral to discharge. Although instructive, several factors should be critically examined regarding the assistance provided and any possible ramifications at each stage (National Health Service, 2023).</w:t>
      </w:r>
    </w:p>
    <w:p w14:paraId="1E8869A2" w14:textId="77777777" w:rsidR="00BD415B" w:rsidRPr="003D612D" w:rsidRDefault="00BD415B" w:rsidP="00BD415B">
      <w:pPr>
        <w:rPr>
          <w:sz w:val="24"/>
          <w:szCs w:val="24"/>
        </w:rPr>
      </w:pPr>
      <w:r w:rsidRPr="003D612D">
        <w:rPr>
          <w:sz w:val="24"/>
          <w:szCs w:val="24"/>
        </w:rPr>
        <w:t>Main Body</w:t>
      </w:r>
    </w:p>
    <w:p w14:paraId="724938CD" w14:textId="77777777" w:rsidR="00BD415B" w:rsidRPr="003D612D" w:rsidRDefault="00BD415B" w:rsidP="00BD415B">
      <w:pPr>
        <w:rPr>
          <w:sz w:val="24"/>
          <w:szCs w:val="24"/>
        </w:rPr>
      </w:pPr>
      <w:r w:rsidRPr="003D612D">
        <w:rPr>
          <w:sz w:val="24"/>
          <w:szCs w:val="24"/>
        </w:rPr>
        <w:t>In the UK, a specialist NHS service called Child and Adolescent Mental Health Services (CAMHS) offers assistance and treatment to kids and teens who are struggling with mental health issues. It was created to guarantee early intervention and successful treatment in response to the increasing demand for specialised mental health care for people under the age of 18. To manage conditions like anxiety, depression, eating disorders, self-harm, and other psychological issues, CAMHS works with kids, teens, and their families (National Health Service, 2023).</w:t>
      </w:r>
    </w:p>
    <w:p w14:paraId="7E14FF37" w14:textId="77777777" w:rsidR="00BD415B" w:rsidRPr="003D612D" w:rsidRDefault="00BD415B" w:rsidP="00BD415B">
      <w:pPr>
        <w:rPr>
          <w:sz w:val="24"/>
          <w:szCs w:val="24"/>
        </w:rPr>
      </w:pPr>
      <w:r w:rsidRPr="003D612D">
        <w:rPr>
          <w:sz w:val="24"/>
          <w:szCs w:val="24"/>
        </w:rPr>
        <w:t>Professionals such as general practitioners and school counsellors offer universal support (Tier 1), while more severe cases require highly specialised inpatient care (Tier 4). Generally, the service is organised into four tiers. Based on the severity of the young person's condition, this tiered approach enables appropriate, proportionate care. CAMHS prioritises a multi-agency approach to provide comprehensive care, working in conjunction with social services, schools, and other medical professionals (National Health Service, 2023).</w:t>
      </w:r>
    </w:p>
    <w:p w14:paraId="068FCCCE" w14:textId="77777777" w:rsidR="00BD415B" w:rsidRPr="003D612D" w:rsidRDefault="00BD415B" w:rsidP="00BD415B">
      <w:pPr>
        <w:rPr>
          <w:sz w:val="24"/>
          <w:szCs w:val="24"/>
        </w:rPr>
      </w:pPr>
      <w:r w:rsidRPr="003D612D">
        <w:rPr>
          <w:sz w:val="24"/>
          <w:szCs w:val="24"/>
        </w:rPr>
        <w:t>A telephone triage and thorough assessment involving the young person and their family are the next steps in CAMHS's multifaceted referral system, which accepts input from general practitioners, schools, and other agencies. This method seeks to guarantee a comprehensive comprehension of each person's requirements. The most suitable care pathway and the case's urgency are ascertained with the aid of the initial triage. During this phase, families may also be given resources and information to help them immediately while they wait for additional evaluation (National Institute for Health and Care Excellence, 2023).</w:t>
      </w:r>
    </w:p>
    <w:p w14:paraId="55B0BCFF" w14:textId="77777777" w:rsidR="00BD415B" w:rsidRPr="003D612D" w:rsidRDefault="00BD415B" w:rsidP="00BD415B">
      <w:pPr>
        <w:rPr>
          <w:sz w:val="24"/>
          <w:szCs w:val="24"/>
        </w:rPr>
      </w:pPr>
      <w:r w:rsidRPr="003D612D">
        <w:rPr>
          <w:sz w:val="24"/>
          <w:szCs w:val="24"/>
        </w:rPr>
        <w:t>The assessment phase, a comprehensive process that includes observations, standardised questionnaires, and interviews, is designed to gather information about the young person's emotional, behavioural, and psychological health. Involving parents, carers, and occasionally educators allows CAMHS practitioners to understand the child's experiences comprehensively. This cooperative, family-centred approach informs and customises the treatment plan to meet each patient's specific needs, providing a thorough and reassuring process (Royal College of Psychiatrists, 2023).</w:t>
      </w:r>
    </w:p>
    <w:p w14:paraId="784F6B62" w14:textId="77777777" w:rsidR="00BD415B" w:rsidRPr="003D612D" w:rsidRDefault="00BD415B" w:rsidP="00BD415B">
      <w:pPr>
        <w:rPr>
          <w:sz w:val="24"/>
          <w:szCs w:val="24"/>
        </w:rPr>
      </w:pPr>
    </w:p>
    <w:p w14:paraId="19D78C42" w14:textId="77777777" w:rsidR="00BD415B" w:rsidRPr="003D612D" w:rsidRDefault="00BD415B" w:rsidP="00BD415B">
      <w:pPr>
        <w:rPr>
          <w:sz w:val="24"/>
          <w:szCs w:val="24"/>
        </w:rPr>
      </w:pPr>
    </w:p>
    <w:p w14:paraId="7D2C8AFA" w14:textId="77777777" w:rsidR="00BD415B" w:rsidRPr="003D612D" w:rsidRDefault="00BD415B" w:rsidP="00BD415B">
      <w:pPr>
        <w:rPr>
          <w:sz w:val="24"/>
          <w:szCs w:val="24"/>
        </w:rPr>
      </w:pPr>
      <w:r w:rsidRPr="003D612D">
        <w:rPr>
          <w:sz w:val="24"/>
          <w:szCs w:val="24"/>
        </w:rPr>
        <w:lastRenderedPageBreak/>
        <w:t>Questionable processes</w:t>
      </w:r>
    </w:p>
    <w:p w14:paraId="30DC9235" w14:textId="77777777" w:rsidR="00BD415B" w:rsidRPr="003D612D" w:rsidRDefault="00BD415B" w:rsidP="00BD415B">
      <w:pPr>
        <w:rPr>
          <w:sz w:val="24"/>
          <w:szCs w:val="24"/>
        </w:rPr>
      </w:pPr>
      <w:r w:rsidRPr="003D612D">
        <w:rPr>
          <w:sz w:val="24"/>
          <w:szCs w:val="24"/>
        </w:rPr>
        <w:t>Complete Assessment: By involving the young person and their family, a comprehensive evaluation of the person's surroundings and difficulties can be conducted (British Psychological Society, 2023).</w:t>
      </w:r>
    </w:p>
    <w:p w14:paraId="18E1B89F" w14:textId="77777777" w:rsidR="00BD415B" w:rsidRPr="003D612D" w:rsidRDefault="00BD415B" w:rsidP="00BD415B">
      <w:pPr>
        <w:rPr>
          <w:sz w:val="24"/>
          <w:szCs w:val="24"/>
        </w:rPr>
      </w:pPr>
      <w:r w:rsidRPr="003D612D">
        <w:rPr>
          <w:sz w:val="24"/>
          <w:szCs w:val="24"/>
        </w:rPr>
        <w:t>Multidisciplinary Approach: To ensure a comprehensive view of the child's mental health, CAMHS employs a team of experts that includes occupational therapists, psychologists, family therapists, and psychiatrists (NHS England, 2024).</w:t>
      </w:r>
    </w:p>
    <w:p w14:paraId="26747C89" w14:textId="77777777" w:rsidR="00BD415B" w:rsidRPr="003D612D" w:rsidRDefault="00BD415B" w:rsidP="00BD415B">
      <w:pPr>
        <w:rPr>
          <w:sz w:val="24"/>
          <w:szCs w:val="24"/>
        </w:rPr>
      </w:pPr>
      <w:r w:rsidRPr="003D612D">
        <w:rPr>
          <w:sz w:val="24"/>
          <w:szCs w:val="24"/>
        </w:rPr>
        <w:t>Flexible Intervention Options: The service provides a variety of therapeutic approaches, depending on the young person's needs, including play therapy, family therapy, cognitive-behavioural therapy (CBT), and psychoeducation (NICE, 2023).</w:t>
      </w:r>
    </w:p>
    <w:p w14:paraId="5DDA6644" w14:textId="77777777" w:rsidR="00BD415B" w:rsidRPr="003D612D" w:rsidRDefault="00BD415B" w:rsidP="00BD415B">
      <w:pPr>
        <w:rPr>
          <w:sz w:val="24"/>
          <w:szCs w:val="24"/>
        </w:rPr>
      </w:pPr>
      <w:r w:rsidRPr="003D612D">
        <w:rPr>
          <w:sz w:val="24"/>
          <w:szCs w:val="24"/>
        </w:rPr>
        <w:t xml:space="preserve">Early intervention is not just necessary; it is crucial. It can help children avoid long-term problems by teaching them coping mechanisms to deal with anxiety, depression, or other mental health conditions. This urgency and significance of early intervention are highlighted by </w:t>
      </w:r>
      <w:proofErr w:type="spellStart"/>
      <w:r w:rsidRPr="003D612D">
        <w:rPr>
          <w:sz w:val="24"/>
          <w:szCs w:val="24"/>
        </w:rPr>
        <w:t>YoungMinds</w:t>
      </w:r>
      <w:proofErr w:type="spellEnd"/>
      <w:r w:rsidRPr="003D612D">
        <w:rPr>
          <w:sz w:val="24"/>
          <w:szCs w:val="24"/>
        </w:rPr>
        <w:t xml:space="preserve"> (2024), underlining its importance in the mental health journey of young individuals.</w:t>
      </w:r>
    </w:p>
    <w:p w14:paraId="1E921805" w14:textId="77777777" w:rsidR="00BD415B" w:rsidRPr="003D612D" w:rsidRDefault="00BD415B" w:rsidP="00BD415B">
      <w:pPr>
        <w:rPr>
          <w:sz w:val="24"/>
          <w:szCs w:val="24"/>
        </w:rPr>
      </w:pPr>
      <w:r w:rsidRPr="003D612D">
        <w:rPr>
          <w:sz w:val="24"/>
          <w:szCs w:val="24"/>
        </w:rPr>
        <w:t>Weaknesses:</w:t>
      </w:r>
    </w:p>
    <w:p w14:paraId="65B03F12" w14:textId="77777777" w:rsidR="00BD415B" w:rsidRPr="003D612D" w:rsidRDefault="00BD415B" w:rsidP="00BD415B">
      <w:pPr>
        <w:rPr>
          <w:sz w:val="24"/>
          <w:szCs w:val="24"/>
        </w:rPr>
      </w:pPr>
      <w:r w:rsidRPr="003D612D">
        <w:rPr>
          <w:sz w:val="24"/>
          <w:szCs w:val="24"/>
        </w:rPr>
        <w:t>Long Waiting Times: There have been reports of considerable delays in receiving CAMHS services, even with the organised referral process. For instance, in 2023/24, 78,577 young people referred to CAMHS waited over a year for treatment, a 52% increase from the previous year. Of these, 34,191 waited over two years (</w:t>
      </w:r>
      <w:proofErr w:type="spellStart"/>
      <w:r w:rsidRPr="003D612D">
        <w:rPr>
          <w:sz w:val="24"/>
          <w:szCs w:val="24"/>
        </w:rPr>
        <w:t>YoungMinds</w:t>
      </w:r>
      <w:proofErr w:type="spellEnd"/>
      <w:r w:rsidRPr="003D612D">
        <w:rPr>
          <w:sz w:val="24"/>
          <w:szCs w:val="24"/>
        </w:rPr>
        <w:t>, 2023). Tragically, during such a waiting period, 17-year-old Jen Bridges-Chalkley took her own life in 2021 while awaiting NHS therapy for her mental health issues. Jen had been diagnosed with ADHD and autism and faced multiple challenges, including bullying and anxiety. Despite several referrals to CAMHS, she spent significant time on waiting lists without receiving adequate therapy, highlighting serious deficiencies in timely support (The Guardian, 2025).</w:t>
      </w:r>
    </w:p>
    <w:p w14:paraId="35708BC7" w14:textId="77777777" w:rsidR="00BD415B" w:rsidRPr="003D612D" w:rsidRDefault="00BD415B" w:rsidP="00BD415B">
      <w:pPr>
        <w:rPr>
          <w:sz w:val="24"/>
          <w:szCs w:val="24"/>
        </w:rPr>
      </w:pPr>
      <w:r w:rsidRPr="003D612D">
        <w:rPr>
          <w:sz w:val="24"/>
          <w:szCs w:val="24"/>
        </w:rPr>
        <w:t>Unreliable Access: Due to regional differences, access to CAMHS services may differ based on a person's location, resulting in unequal treatment (Children's Commissioner, 2024).</w:t>
      </w:r>
    </w:p>
    <w:p w14:paraId="39AF1CE5" w14:textId="77777777" w:rsidR="00BD415B" w:rsidRPr="003D612D" w:rsidRDefault="00BD415B" w:rsidP="00BD415B">
      <w:pPr>
        <w:rPr>
          <w:sz w:val="24"/>
          <w:szCs w:val="24"/>
        </w:rPr>
      </w:pPr>
      <w:r w:rsidRPr="003D612D">
        <w:rPr>
          <w:sz w:val="24"/>
          <w:szCs w:val="24"/>
        </w:rPr>
        <w:t>Limited Capacity: CAMHS frequently struggles with a lack of resources, which raises the bar for referrals and may cause children with moderate needs to miss out on crucial assistance (Mind, 2024).</w:t>
      </w:r>
    </w:p>
    <w:p w14:paraId="0DF46199" w14:textId="77777777" w:rsidR="00BD415B" w:rsidRPr="003D612D" w:rsidRDefault="00BD415B" w:rsidP="00BD415B">
      <w:pPr>
        <w:rPr>
          <w:sz w:val="24"/>
          <w:szCs w:val="24"/>
        </w:rPr>
      </w:pPr>
      <w:r w:rsidRPr="003D612D">
        <w:rPr>
          <w:sz w:val="24"/>
          <w:szCs w:val="24"/>
        </w:rPr>
        <w:t>Lack of Continuity: The lack of long-term follow-up services may result in relapses or unresolved issues, even though families are urged to adhere to recommended support upon discharge (Barnardo's, 2024).</w:t>
      </w:r>
    </w:p>
    <w:p w14:paraId="7350ED57" w14:textId="77777777" w:rsidR="00BD415B" w:rsidRPr="003D612D" w:rsidRDefault="00BD415B" w:rsidP="00BD415B">
      <w:pPr>
        <w:rPr>
          <w:sz w:val="24"/>
          <w:szCs w:val="24"/>
        </w:rPr>
      </w:pPr>
      <w:r w:rsidRPr="003D612D">
        <w:rPr>
          <w:sz w:val="24"/>
          <w:szCs w:val="24"/>
        </w:rPr>
        <w:t>Inadequate Family Support: Despite emphasising family involvement, not all families receive enough continuous support or direction, which can impede the child's development (NSPCC, 2024).</w:t>
      </w:r>
    </w:p>
    <w:p w14:paraId="02AE1CBE" w14:textId="77777777" w:rsidR="00BD415B" w:rsidRPr="003D612D" w:rsidRDefault="00BD415B" w:rsidP="00BD415B">
      <w:pPr>
        <w:rPr>
          <w:sz w:val="24"/>
          <w:szCs w:val="24"/>
        </w:rPr>
      </w:pPr>
    </w:p>
    <w:p w14:paraId="6C915B7E" w14:textId="77777777" w:rsidR="00BD415B" w:rsidRPr="003D612D" w:rsidRDefault="00BD415B" w:rsidP="00BD415B">
      <w:pPr>
        <w:rPr>
          <w:sz w:val="24"/>
          <w:szCs w:val="24"/>
        </w:rPr>
      </w:pPr>
      <w:r w:rsidRPr="003D612D">
        <w:rPr>
          <w:sz w:val="24"/>
          <w:szCs w:val="24"/>
        </w:rPr>
        <w:t>Interventions for Therapy:</w:t>
      </w:r>
    </w:p>
    <w:p w14:paraId="1F6FF301" w14:textId="77777777" w:rsidR="00BD415B" w:rsidRPr="003D612D" w:rsidRDefault="00BD415B" w:rsidP="00BD415B">
      <w:pPr>
        <w:rPr>
          <w:sz w:val="24"/>
          <w:szCs w:val="24"/>
        </w:rPr>
      </w:pPr>
      <w:r w:rsidRPr="003D612D">
        <w:rPr>
          <w:sz w:val="24"/>
          <w:szCs w:val="24"/>
        </w:rPr>
        <w:t>The video highlights the importance of creating tailored care plans that empower young people by involving them in decision-making and ensuring that interventions align with their preferences.</w:t>
      </w:r>
    </w:p>
    <w:p w14:paraId="24CA2C15" w14:textId="77777777" w:rsidR="00BD415B" w:rsidRPr="003D612D" w:rsidRDefault="00BD415B" w:rsidP="00BD415B">
      <w:pPr>
        <w:rPr>
          <w:sz w:val="24"/>
          <w:szCs w:val="24"/>
        </w:rPr>
      </w:pPr>
      <w:r w:rsidRPr="003D612D">
        <w:rPr>
          <w:sz w:val="24"/>
          <w:szCs w:val="24"/>
        </w:rPr>
        <w:t>Questionable processes</w:t>
      </w:r>
    </w:p>
    <w:p w14:paraId="7B09D660" w14:textId="77777777" w:rsidR="00BD415B" w:rsidRPr="003D612D" w:rsidRDefault="00BD415B" w:rsidP="00BD415B">
      <w:pPr>
        <w:rPr>
          <w:sz w:val="24"/>
          <w:szCs w:val="24"/>
        </w:rPr>
      </w:pPr>
      <w:r w:rsidRPr="003D612D">
        <w:rPr>
          <w:sz w:val="24"/>
          <w:szCs w:val="24"/>
        </w:rPr>
        <w:t xml:space="preserve"> Tailored Care Plans: Including youth in decision-making promotes self-determination and guarantees that interventions suit their requirements and preferences (Thomas, 2022).</w:t>
      </w:r>
    </w:p>
    <w:p w14:paraId="43721C48" w14:textId="77777777" w:rsidR="00BD415B" w:rsidRPr="003D612D" w:rsidRDefault="00BD415B" w:rsidP="00BD415B">
      <w:pPr>
        <w:rPr>
          <w:sz w:val="24"/>
          <w:szCs w:val="24"/>
        </w:rPr>
      </w:pPr>
      <w:r w:rsidRPr="003D612D">
        <w:rPr>
          <w:sz w:val="24"/>
          <w:szCs w:val="24"/>
        </w:rPr>
        <w:t>Weaknesses:</w:t>
      </w:r>
    </w:p>
    <w:p w14:paraId="0BB3D64B" w14:textId="77777777" w:rsidR="00BD415B" w:rsidRPr="003D612D" w:rsidRDefault="00BD415B" w:rsidP="00BD415B">
      <w:pPr>
        <w:rPr>
          <w:sz w:val="24"/>
          <w:szCs w:val="24"/>
        </w:rPr>
      </w:pPr>
      <w:r w:rsidRPr="003D612D">
        <w:rPr>
          <w:sz w:val="24"/>
          <w:szCs w:val="24"/>
        </w:rPr>
        <w:t>Resource Limitations: Although various therapies are helpful, staffing and financial shortages may restrict the availability of specialised interventions, restricting access to quality care. For example, a 2023 report from the Royal College of Psychiatrists highlighted that nearly 30% of child and adolescent mental health services (CAMHS) in the UK were facing severe staff shortages, with 15% of positions unfilled, leading to longer waiting times and reduced service availability (Royal College of Psychiatrists, 2023).</w:t>
      </w:r>
    </w:p>
    <w:p w14:paraId="0D30B073" w14:textId="77777777" w:rsidR="00BD415B" w:rsidRPr="003D612D" w:rsidRDefault="00BD415B" w:rsidP="00BD415B">
      <w:pPr>
        <w:rPr>
          <w:sz w:val="24"/>
          <w:szCs w:val="24"/>
        </w:rPr>
      </w:pPr>
      <w:r w:rsidRPr="003D612D">
        <w:rPr>
          <w:sz w:val="24"/>
          <w:szCs w:val="24"/>
        </w:rPr>
        <w:t>Discharge and Follow-Up: The discharge procedure is presented as a cooperative one that focuses on getting young people and families ready for the transition and giving them access to more resources. According to NHS England, "Transition arrangements should be framed by the following principles: [...] Young people and their families are involved in commissioning and service design (as well as providing feedback to services)" (NHS England, 2015).</w:t>
      </w:r>
    </w:p>
    <w:p w14:paraId="1FEDDDE8" w14:textId="77777777" w:rsidR="00BD415B" w:rsidRPr="003D612D" w:rsidRDefault="00BD415B" w:rsidP="00BD415B">
      <w:pPr>
        <w:rPr>
          <w:sz w:val="24"/>
          <w:szCs w:val="24"/>
        </w:rPr>
      </w:pPr>
      <w:r w:rsidRPr="003D612D">
        <w:rPr>
          <w:sz w:val="24"/>
          <w:szCs w:val="24"/>
        </w:rPr>
        <w:t>Advantages: Anticipated transitions: Families are better prepared for the next steps, and expectations are set when discharge is discussed beforehand (Giliberti, 2016).</w:t>
      </w:r>
    </w:p>
    <w:p w14:paraId="0366D49E" w14:textId="77777777" w:rsidR="00BD415B" w:rsidRPr="003D612D" w:rsidRDefault="00BD415B" w:rsidP="00BD415B">
      <w:pPr>
        <w:rPr>
          <w:sz w:val="24"/>
          <w:szCs w:val="24"/>
        </w:rPr>
      </w:pPr>
      <w:r w:rsidRPr="003D612D">
        <w:rPr>
          <w:sz w:val="24"/>
          <w:szCs w:val="24"/>
        </w:rPr>
        <w:t>Weaknesses:</w:t>
      </w:r>
    </w:p>
    <w:p w14:paraId="1AF761E1" w14:textId="77777777" w:rsidR="00BD415B" w:rsidRPr="003D612D" w:rsidRDefault="00BD415B" w:rsidP="00BD415B">
      <w:pPr>
        <w:rPr>
          <w:sz w:val="24"/>
          <w:szCs w:val="24"/>
        </w:rPr>
      </w:pPr>
      <w:r w:rsidRPr="003D612D">
        <w:rPr>
          <w:sz w:val="24"/>
          <w:szCs w:val="24"/>
        </w:rPr>
        <w:t>Post-Discharge Support Gaps: Families may not receive the necessary support without follow-up. A report by the National Housing Federation (NHF) in February 2025 highlighted that a lack of supported housing was the leading cause of delayed discharges from mental health hospitals in England during the previous year, resulting in an estimated £71 million in costs to the NHS. In September 2024 alone, waiting for supported housing accounted for 17% of all discharge delays. (The Guardian, 2025).</w:t>
      </w:r>
    </w:p>
    <w:p w14:paraId="1F72BC39" w14:textId="77777777" w:rsidR="00BD415B" w:rsidRPr="003D612D" w:rsidRDefault="00BD415B" w:rsidP="00BD415B">
      <w:pPr>
        <w:rPr>
          <w:sz w:val="24"/>
          <w:szCs w:val="24"/>
        </w:rPr>
      </w:pPr>
    </w:p>
    <w:p w14:paraId="0FAB9520" w14:textId="77777777" w:rsidR="00BD415B" w:rsidRPr="003D612D" w:rsidRDefault="00BD415B" w:rsidP="00BD415B">
      <w:pPr>
        <w:rPr>
          <w:sz w:val="24"/>
          <w:szCs w:val="24"/>
        </w:rPr>
      </w:pPr>
      <w:r w:rsidRPr="003D612D">
        <w:rPr>
          <w:sz w:val="24"/>
          <w:szCs w:val="24"/>
        </w:rPr>
        <w:t>Strategies and Measures Affecting the Health and Welfare of Children:</w:t>
      </w:r>
    </w:p>
    <w:p w14:paraId="4484ABDD" w14:textId="77777777" w:rsidR="00BD415B" w:rsidRPr="003D612D" w:rsidRDefault="00BD415B" w:rsidP="00BD415B">
      <w:pPr>
        <w:rPr>
          <w:sz w:val="24"/>
          <w:szCs w:val="24"/>
        </w:rPr>
      </w:pPr>
      <w:r w:rsidRPr="003D612D">
        <w:rPr>
          <w:sz w:val="24"/>
          <w:szCs w:val="24"/>
        </w:rPr>
        <w:t xml:space="preserve">Care Focused on the Family: By acknowledging the family's role in the young person's mental health journey, actively involving families can improve treatment adherence and outcomes (American Psychiatric Association, 2023). Studies have shown that family </w:t>
      </w:r>
      <w:r w:rsidRPr="003D612D">
        <w:rPr>
          <w:sz w:val="24"/>
          <w:szCs w:val="24"/>
        </w:rPr>
        <w:lastRenderedPageBreak/>
        <w:t>engagement in mental health care leads to better patient outcomes, including reduced hospitalisation and relapse rates (BMC Psychiatry, 2024).</w:t>
      </w:r>
    </w:p>
    <w:p w14:paraId="30C222D0" w14:textId="77777777" w:rsidR="00BD415B" w:rsidRPr="003D612D" w:rsidRDefault="00BD415B" w:rsidP="00BD415B">
      <w:pPr>
        <w:rPr>
          <w:sz w:val="24"/>
          <w:szCs w:val="24"/>
        </w:rPr>
      </w:pPr>
      <w:r w:rsidRPr="003D612D">
        <w:rPr>
          <w:sz w:val="24"/>
          <w:szCs w:val="24"/>
        </w:rPr>
        <w:t>Early Intervention: Although prompt assistance is essential, postponements may worsen mental health conditions (Mental Health Foundation, 2023). Early intervention in mental health refers to identifying and addressing mental health issues as early as possible. The need for easily accessible local services is highlighted, with the example of children being sent far from home because of bed shortages (The Guardian, 2025).</w:t>
      </w:r>
    </w:p>
    <w:p w14:paraId="22BE6420" w14:textId="77777777" w:rsidR="00BD415B" w:rsidRPr="003D612D" w:rsidRDefault="00BD415B" w:rsidP="00BD415B">
      <w:pPr>
        <w:rPr>
          <w:sz w:val="24"/>
          <w:szCs w:val="24"/>
        </w:rPr>
      </w:pPr>
      <w:r w:rsidRPr="003D612D">
        <w:rPr>
          <w:sz w:val="24"/>
          <w:szCs w:val="24"/>
        </w:rPr>
        <w:t>Building Resilience: Research suggests that implementing resilience interventions in educational settings can help prevent mental health issues and promote mental wellness (National Institute for Health and Care Excellence, 2022). Building resilience in children and teenagers can help them cope with stress, adversity, and mental health challenges, reducing the risk of developing mental health issues (Mental Health Foundation, 2023).</w:t>
      </w:r>
    </w:p>
    <w:p w14:paraId="7D13DBF0" w14:textId="77777777" w:rsidR="00BD415B" w:rsidRPr="003D612D" w:rsidRDefault="00BD415B" w:rsidP="00BD415B">
      <w:pPr>
        <w:rPr>
          <w:sz w:val="24"/>
          <w:szCs w:val="24"/>
        </w:rPr>
      </w:pPr>
      <w:r w:rsidRPr="003D612D">
        <w:rPr>
          <w:sz w:val="24"/>
          <w:szCs w:val="24"/>
        </w:rPr>
        <w:t>Conclusion</w:t>
      </w:r>
    </w:p>
    <w:p w14:paraId="7DE98EDA" w14:textId="77777777" w:rsidR="00BD415B" w:rsidRPr="003D612D" w:rsidRDefault="00BD415B" w:rsidP="00BD415B">
      <w:pPr>
        <w:rPr>
          <w:sz w:val="24"/>
          <w:szCs w:val="24"/>
        </w:rPr>
      </w:pPr>
      <w:r w:rsidRPr="003D612D">
        <w:rPr>
          <w:sz w:val="24"/>
          <w:szCs w:val="24"/>
        </w:rPr>
        <w:t>To sum up, the UK's Child and Adolescent Mental Health Services (CAMHS) system offers young people vital mental health care. Its structured approach guarantees that interventions are customised to meet the needs of each individual. Even though CAMHS provides a wide range of services, from early intervention to post-discharge support, several factors must be carefully considered to increase the quality and accessibility of these services. Long waiting times, regional disparities, and inadequate post-discharge support are significant challenges that hinder timely care and exacerbate mental health conditions (</w:t>
      </w:r>
      <w:proofErr w:type="spellStart"/>
      <w:r w:rsidRPr="003D612D">
        <w:rPr>
          <w:sz w:val="24"/>
          <w:szCs w:val="24"/>
        </w:rPr>
        <w:t>YoungMinds</w:t>
      </w:r>
      <w:proofErr w:type="spellEnd"/>
      <w:r w:rsidRPr="003D612D">
        <w:rPr>
          <w:sz w:val="24"/>
          <w:szCs w:val="24"/>
        </w:rPr>
        <w:t>, 2023; The Guardian, 2025). Furthermore, while family involvement is crucial, not all families receive enough ongoing support, which may impact treatment outcomes and adherence (NSPCC, 2024).</w:t>
      </w:r>
    </w:p>
    <w:p w14:paraId="041A4D64" w14:textId="77777777" w:rsidR="00BD415B" w:rsidRPr="003D612D" w:rsidRDefault="00BD415B" w:rsidP="00BD415B">
      <w:pPr>
        <w:rPr>
          <w:sz w:val="24"/>
          <w:szCs w:val="24"/>
        </w:rPr>
      </w:pPr>
      <w:r w:rsidRPr="003D612D">
        <w:rPr>
          <w:sz w:val="24"/>
          <w:szCs w:val="24"/>
        </w:rPr>
        <w:t>According to research, proactive measures to reduce the risk of mental health problems include early intervention, involving the family in treatment choices, and helping kids and teenagers build resilience (Mental Health Foundation, 2023; National Institute for Health and Care Excellence, 2022). Adequate care is, nevertheless, continuously hampered by a lack of suitable local services, staffing shortages, and resource constraints (Royal College of Psychiatrists, 2023; Mind, 2024). To guarantee that young people receive the prompt and high-quality care they require, these shortcomings must be addressed through increased funding, streamlined procedures, and improved service coordination.</w:t>
      </w:r>
    </w:p>
    <w:p w14:paraId="65C829C6" w14:textId="0B60C88F" w:rsidR="00731807" w:rsidRDefault="00731807" w:rsidP="00716B53">
      <w:pPr>
        <w:rPr>
          <w:b/>
          <w:bCs/>
          <w:sz w:val="28"/>
          <w:szCs w:val="28"/>
        </w:rPr>
      </w:pPr>
    </w:p>
    <w:p w14:paraId="1334BD4F" w14:textId="0FC646B8" w:rsidR="00731807" w:rsidRDefault="00731807" w:rsidP="00716B53">
      <w:pPr>
        <w:rPr>
          <w:b/>
          <w:bCs/>
          <w:sz w:val="28"/>
          <w:szCs w:val="28"/>
        </w:rPr>
      </w:pPr>
    </w:p>
    <w:p w14:paraId="18937860" w14:textId="77777777" w:rsidR="003D612D" w:rsidRDefault="003D612D" w:rsidP="00716B53">
      <w:pPr>
        <w:rPr>
          <w:b/>
          <w:bCs/>
          <w:sz w:val="28"/>
          <w:szCs w:val="28"/>
        </w:rPr>
      </w:pPr>
    </w:p>
    <w:p w14:paraId="2DDB55C1" w14:textId="77777777" w:rsidR="003D612D" w:rsidRDefault="003D612D" w:rsidP="00716B53">
      <w:pPr>
        <w:rPr>
          <w:b/>
          <w:bCs/>
          <w:sz w:val="28"/>
          <w:szCs w:val="28"/>
        </w:rPr>
      </w:pPr>
    </w:p>
    <w:p w14:paraId="05B83A25" w14:textId="77777777" w:rsidR="003D612D" w:rsidRDefault="003D612D" w:rsidP="00716B53">
      <w:pPr>
        <w:rPr>
          <w:b/>
          <w:bCs/>
          <w:sz w:val="28"/>
          <w:szCs w:val="28"/>
        </w:rPr>
      </w:pPr>
    </w:p>
    <w:p w14:paraId="1D2EE53F" w14:textId="5275A142" w:rsidR="00731807" w:rsidRDefault="003D612D" w:rsidP="00716B53">
      <w:pPr>
        <w:rPr>
          <w:b/>
          <w:bCs/>
          <w:sz w:val="28"/>
          <w:szCs w:val="28"/>
        </w:rPr>
      </w:pPr>
      <w:r w:rsidRPr="003D612D">
        <w:rPr>
          <w:b/>
          <w:bCs/>
          <w:sz w:val="28"/>
          <w:szCs w:val="28"/>
        </w:rPr>
        <w:lastRenderedPageBreak/>
        <w:t xml:space="preserve">2. Poster </w:t>
      </w:r>
    </w:p>
    <w:p w14:paraId="2400ED2D" w14:textId="4C06C2C2" w:rsidR="00731807" w:rsidRDefault="003D612D" w:rsidP="00716B53">
      <w:pPr>
        <w:rPr>
          <w:b/>
          <w:bCs/>
          <w:sz w:val="28"/>
          <w:szCs w:val="28"/>
        </w:rPr>
      </w:pPr>
      <w:r>
        <w:rPr>
          <w:b/>
          <w:bCs/>
          <w:noProof/>
          <w:sz w:val="28"/>
          <w:szCs w:val="28"/>
        </w:rPr>
        <w:drawing>
          <wp:inline distT="0" distB="0" distL="0" distR="0" wp14:anchorId="3A6A686A" wp14:editId="15339702">
            <wp:extent cx="5731510" cy="8101330"/>
            <wp:effectExtent l="0" t="0" r="2540" b="0"/>
            <wp:docPr id="1740933677" name="Picture 1" descr="A multicolored text on a pos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933677" name="Picture 1" descr="A multicolored text on a poster&#10;&#10;AI-generated content may be incorrect."/>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5731510" cy="8101330"/>
                    </a:xfrm>
                    <a:prstGeom prst="rect">
                      <a:avLst/>
                    </a:prstGeom>
                    <a:noFill/>
                    <a:ln>
                      <a:noFill/>
                    </a:ln>
                  </pic:spPr>
                </pic:pic>
              </a:graphicData>
            </a:graphic>
          </wp:inline>
        </w:drawing>
      </w:r>
    </w:p>
    <w:p w14:paraId="78FDF58D" w14:textId="34B2B038" w:rsidR="00731807" w:rsidRDefault="00731807" w:rsidP="00716B53">
      <w:pPr>
        <w:rPr>
          <w:b/>
          <w:bCs/>
          <w:sz w:val="28"/>
          <w:szCs w:val="28"/>
        </w:rPr>
      </w:pPr>
    </w:p>
    <w:p w14:paraId="32F82FF2" w14:textId="40585F4F" w:rsidR="00870834" w:rsidRDefault="00870834" w:rsidP="0001109B">
      <w:pPr>
        <w:rPr>
          <w:rFonts w:ascii="Aptos" w:hAnsi="Aptos"/>
          <w:sz w:val="24"/>
          <w:szCs w:val="24"/>
        </w:rPr>
      </w:pPr>
      <w:r>
        <w:rPr>
          <w:rFonts w:ascii="Aptos" w:hAnsi="Aptos"/>
          <w:noProof/>
          <w:sz w:val="24"/>
          <w:szCs w:val="24"/>
        </w:rPr>
        <w:lastRenderedPageBreak/>
        <w:drawing>
          <wp:inline distT="0" distB="0" distL="0" distR="0" wp14:anchorId="71ADE0BE" wp14:editId="2A7597E1">
            <wp:extent cx="5928360" cy="2742850"/>
            <wp:effectExtent l="0" t="0" r="0" b="635"/>
            <wp:docPr id="4361076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928360" cy="2742850"/>
                    </a:xfrm>
                    <a:prstGeom prst="rect">
                      <a:avLst/>
                    </a:prstGeom>
                    <a:noFill/>
                  </pic:spPr>
                </pic:pic>
              </a:graphicData>
            </a:graphic>
          </wp:inline>
        </w:drawing>
      </w:r>
    </w:p>
    <w:p w14:paraId="2664E9BE" w14:textId="77777777" w:rsidR="003D612D" w:rsidRDefault="0001109B" w:rsidP="00BD415B">
      <w:pPr>
        <w:rPr>
          <w:rFonts w:ascii="Aptos" w:hAnsi="Aptos"/>
          <w:b/>
          <w:bCs/>
          <w:sz w:val="24"/>
          <w:szCs w:val="24"/>
        </w:rPr>
      </w:pPr>
      <w:r w:rsidRPr="00CC34F9">
        <w:rPr>
          <w:rFonts w:ascii="Aptos" w:hAnsi="Aptos"/>
          <w:sz w:val="28"/>
          <w:szCs w:val="28"/>
        </w:rPr>
        <w:t>BLOG 1:</w:t>
      </w:r>
      <w:r w:rsidRPr="001447E3">
        <w:rPr>
          <w:rFonts w:ascii="Aptos" w:hAnsi="Aptos"/>
          <w:sz w:val="24"/>
          <w:szCs w:val="24"/>
        </w:rPr>
        <w:t xml:space="preserve"> </w:t>
      </w:r>
      <w:r w:rsidRPr="00CC34F9">
        <w:rPr>
          <w:rFonts w:ascii="Aptos" w:hAnsi="Aptos"/>
          <w:b/>
          <w:bCs/>
          <w:sz w:val="28"/>
          <w:szCs w:val="28"/>
        </w:rPr>
        <w:t>The Right to Protection from Abuse and Neglect</w:t>
      </w:r>
    </w:p>
    <w:p w14:paraId="7DBBCBD7" w14:textId="53D4D10E" w:rsidR="00BD415B" w:rsidRPr="003D612D" w:rsidRDefault="00BD415B" w:rsidP="00BD415B">
      <w:pPr>
        <w:rPr>
          <w:rFonts w:ascii="Aptos" w:hAnsi="Aptos"/>
          <w:b/>
          <w:bCs/>
          <w:sz w:val="24"/>
          <w:szCs w:val="24"/>
        </w:rPr>
      </w:pPr>
      <w:r w:rsidRPr="00BD415B">
        <w:rPr>
          <w:rFonts w:ascii="Aptos" w:hAnsi="Aptos"/>
          <w:sz w:val="24"/>
          <w:szCs w:val="24"/>
        </w:rPr>
        <w:t>UK law upholds the right of children to be shielded from "all forms of physical or mental violence, injury or abuse, neglect or negligent treatment, maltreatment or exploitation" (UNCRC, 1989), as stipulated in Article 19 of the UN Convention on the Rights of the Child (UNCRC). A child-centred approach is emphasised in the UK's Working Together to Safeguard Children guidance (HM Government, 2018), ensuring that services work together to identify and treat abuse.</w:t>
      </w:r>
    </w:p>
    <w:p w14:paraId="2887E507" w14:textId="77777777" w:rsidR="00BD415B" w:rsidRPr="00BD415B" w:rsidRDefault="00BD415B" w:rsidP="00BD415B">
      <w:pPr>
        <w:rPr>
          <w:rFonts w:ascii="Aptos" w:hAnsi="Aptos"/>
          <w:sz w:val="24"/>
          <w:szCs w:val="24"/>
        </w:rPr>
      </w:pPr>
      <w:r w:rsidRPr="00BD415B">
        <w:rPr>
          <w:rFonts w:ascii="Aptos" w:hAnsi="Aptos"/>
          <w:sz w:val="24"/>
          <w:szCs w:val="24"/>
        </w:rPr>
        <w:t>To preserve children's welfare, the right to be shielded from abuse and neglect was created. In the past, a large number of children experienced abuse without any legal acknowledgement or action (Parton, 2014). As awareness of the repercussions of child abuse grew, laws such as the Children Act 1989 and its 2004 amendment were established to hold local authorities responsible for safeguarding children (HM Government, 2018).</w:t>
      </w:r>
    </w:p>
    <w:p w14:paraId="006A0301" w14:textId="77777777" w:rsidR="00BD415B" w:rsidRPr="00BD415B" w:rsidRDefault="00BD415B" w:rsidP="00BD415B">
      <w:pPr>
        <w:rPr>
          <w:rFonts w:ascii="Aptos" w:hAnsi="Aptos"/>
          <w:sz w:val="24"/>
          <w:szCs w:val="24"/>
        </w:rPr>
      </w:pPr>
      <w:r w:rsidRPr="00BD415B">
        <w:rPr>
          <w:rFonts w:ascii="Aptos" w:hAnsi="Aptos"/>
          <w:sz w:val="24"/>
          <w:szCs w:val="24"/>
        </w:rPr>
        <w:t xml:space="preserve">This property guarantees that children live in homes free from abuse and neglect. Social workers, educators, and medical professionals must respond quickly to safeguard children in danger, listen to their worries, and create safe spaces when necessary. </w:t>
      </w:r>
    </w:p>
    <w:p w14:paraId="7E01FF72" w14:textId="77777777" w:rsidR="00BD415B" w:rsidRPr="00BD415B" w:rsidRDefault="00BD415B" w:rsidP="00BD415B">
      <w:pPr>
        <w:rPr>
          <w:rFonts w:ascii="Aptos" w:hAnsi="Aptos"/>
          <w:sz w:val="24"/>
          <w:szCs w:val="24"/>
        </w:rPr>
      </w:pPr>
      <w:r w:rsidRPr="00BD415B">
        <w:rPr>
          <w:rFonts w:ascii="Aptos" w:hAnsi="Aptos"/>
          <w:sz w:val="24"/>
          <w:szCs w:val="24"/>
        </w:rPr>
        <w:t>Without this privilege, kids would continue to live in dangerous situations without help, which could result in mental health problems, delayed development, or even death (Radford et al., 2017). Without safeguards, societies are more vulnerable to intergenerational abuse, chronic health issues, and child exploitation (NSPCC, 2020).</w:t>
      </w:r>
    </w:p>
    <w:p w14:paraId="5C696EDB" w14:textId="784647DB" w:rsidR="0001109B" w:rsidRPr="003D612D" w:rsidRDefault="00BD415B" w:rsidP="0001109B">
      <w:pPr>
        <w:rPr>
          <w:rFonts w:ascii="Aptos" w:hAnsi="Aptos"/>
          <w:sz w:val="24"/>
          <w:szCs w:val="24"/>
        </w:rPr>
      </w:pPr>
      <w:r w:rsidRPr="00BD415B">
        <w:rPr>
          <w:rFonts w:ascii="Aptos" w:hAnsi="Aptos"/>
          <w:sz w:val="24"/>
          <w:szCs w:val="24"/>
        </w:rPr>
        <w:t>According to Maslow's Hierarchy of Needs (1943), children cannot advance to higher wants like belonging or self-esteem without safety. Bowlby's Attachment Theory (1969) also emphasises the significance of stable early attachments, which can be broken by abuse or neglect and result in long-term emotional and developmental difficulties (Howe, 2014).</w:t>
      </w:r>
      <w:r w:rsidR="00870834">
        <w:rPr>
          <w:rFonts w:ascii="Aptos" w:hAnsi="Aptos"/>
          <w:noProof/>
          <w:sz w:val="24"/>
          <w:szCs w:val="24"/>
        </w:rPr>
        <w:lastRenderedPageBreak/>
        <w:drawing>
          <wp:inline distT="0" distB="0" distL="0" distR="0" wp14:anchorId="2BB09853" wp14:editId="773AEBD1">
            <wp:extent cx="5965190" cy="2788920"/>
            <wp:effectExtent l="0" t="0" r="0" b="0"/>
            <wp:docPr id="97413093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5965190" cy="2788920"/>
                    </a:xfrm>
                    <a:prstGeom prst="rect">
                      <a:avLst/>
                    </a:prstGeom>
                    <a:noFill/>
                  </pic:spPr>
                </pic:pic>
              </a:graphicData>
            </a:graphic>
          </wp:inline>
        </w:drawing>
      </w:r>
      <w:r w:rsidR="0001109B" w:rsidRPr="00CC34F9">
        <w:rPr>
          <w:rFonts w:ascii="Aptos" w:hAnsi="Aptos"/>
          <w:sz w:val="28"/>
          <w:szCs w:val="28"/>
        </w:rPr>
        <w:t>BLOG 2:</w:t>
      </w:r>
      <w:r w:rsidR="0001109B" w:rsidRPr="001447E3">
        <w:rPr>
          <w:rFonts w:ascii="Aptos" w:hAnsi="Aptos"/>
          <w:sz w:val="24"/>
          <w:szCs w:val="24"/>
        </w:rPr>
        <w:t xml:space="preserve"> </w:t>
      </w:r>
      <w:r w:rsidR="0001109B" w:rsidRPr="00CC34F9">
        <w:rPr>
          <w:rFonts w:ascii="Aptos" w:hAnsi="Aptos"/>
          <w:b/>
          <w:bCs/>
          <w:sz w:val="28"/>
          <w:szCs w:val="28"/>
        </w:rPr>
        <w:t>The Right to Education (Empowering Children for a Better Future)</w:t>
      </w:r>
    </w:p>
    <w:p w14:paraId="4EBB713C" w14:textId="77777777" w:rsidR="00BD415B" w:rsidRPr="00BD415B" w:rsidRDefault="00BD415B" w:rsidP="00BD415B">
      <w:pPr>
        <w:rPr>
          <w:rFonts w:ascii="Aptos" w:hAnsi="Aptos"/>
          <w:sz w:val="24"/>
          <w:szCs w:val="24"/>
        </w:rPr>
      </w:pPr>
      <w:r w:rsidRPr="00BD415B">
        <w:rPr>
          <w:rFonts w:ascii="Aptos" w:hAnsi="Aptos"/>
          <w:sz w:val="24"/>
          <w:szCs w:val="24"/>
        </w:rPr>
        <w:t>In addition to intellectual success, education fosters social, emotional, and personal growth. According to UK law, schools must guarantee attendance, offer inclusive instruction, and identify students who may have special educational needs (SEN). This right allows children to acquire independence, self-assurance, and vital life and career skills (DfE, 2021).</w:t>
      </w:r>
    </w:p>
    <w:p w14:paraId="07F3F69F" w14:textId="77777777" w:rsidR="00BD415B" w:rsidRPr="00BD415B" w:rsidRDefault="00BD415B" w:rsidP="00BD415B">
      <w:pPr>
        <w:rPr>
          <w:rFonts w:ascii="Aptos" w:hAnsi="Aptos"/>
          <w:sz w:val="24"/>
          <w:szCs w:val="24"/>
        </w:rPr>
      </w:pPr>
      <w:r w:rsidRPr="00BD415B">
        <w:rPr>
          <w:rFonts w:ascii="Aptos" w:hAnsi="Aptos"/>
          <w:sz w:val="24"/>
          <w:szCs w:val="24"/>
        </w:rPr>
        <w:t xml:space="preserve">The right to education ensures equal learning opportunities for all children, irrespective of their circumstances. Many children have historically encountered significant obstacles to education, particularly girls, children with impairments, and children from underprivileged households (UNESCO, 2015). The Education Act of 1996 and Article 28 of the UNCRC uphold this right in the UK (UNICEF, 2020). </w:t>
      </w:r>
    </w:p>
    <w:p w14:paraId="3548F3D9" w14:textId="77777777" w:rsidR="00BD415B" w:rsidRPr="00BD415B" w:rsidRDefault="00BD415B" w:rsidP="00BD415B">
      <w:pPr>
        <w:rPr>
          <w:rFonts w:ascii="Aptos" w:hAnsi="Aptos"/>
          <w:sz w:val="24"/>
          <w:szCs w:val="24"/>
        </w:rPr>
      </w:pPr>
      <w:r w:rsidRPr="00BD415B">
        <w:rPr>
          <w:rFonts w:ascii="Aptos" w:hAnsi="Aptos"/>
          <w:sz w:val="24"/>
          <w:szCs w:val="24"/>
        </w:rPr>
        <w:t>This right ensures that kids, who are generally between the ages of 5 and 16 in the UK, have access to free, excellent education in a safe, nurturing setting that suits their needs. Human rights, equality, and societal preparedness must all be promoted via education (Department for Education, 2019).</w:t>
      </w:r>
    </w:p>
    <w:p w14:paraId="4ABFAD9D" w14:textId="77777777" w:rsidR="00BD415B" w:rsidRPr="00BD415B" w:rsidRDefault="00BD415B" w:rsidP="00BD415B">
      <w:pPr>
        <w:rPr>
          <w:rFonts w:ascii="Aptos" w:hAnsi="Aptos"/>
          <w:sz w:val="24"/>
          <w:szCs w:val="24"/>
        </w:rPr>
      </w:pPr>
      <w:r w:rsidRPr="00BD415B">
        <w:rPr>
          <w:rFonts w:ascii="Aptos" w:hAnsi="Aptos"/>
          <w:sz w:val="24"/>
          <w:szCs w:val="24"/>
        </w:rPr>
        <w:t xml:space="preserve">Children might not receive a basic education without this privilege, which would restrict their options and keep them stuck in cycles of poverty or social isolation. Higher risks of exploitation, early marriage, unemployment, and poor health outcomes are associated with a lack of education (Save the Children, 2020). In addition, societies suffer from a shortage of qualified professionals and civic engagement. </w:t>
      </w:r>
    </w:p>
    <w:p w14:paraId="5ADD4F60" w14:textId="77777777" w:rsidR="003D612D" w:rsidRPr="00CC34F9" w:rsidRDefault="00BD415B" w:rsidP="003D612D">
      <w:pPr>
        <w:rPr>
          <w:rFonts w:ascii="Aptos" w:hAnsi="Aptos"/>
          <w:sz w:val="28"/>
          <w:szCs w:val="28"/>
        </w:rPr>
      </w:pPr>
      <w:r w:rsidRPr="00BD415B">
        <w:rPr>
          <w:rFonts w:ascii="Aptos" w:hAnsi="Aptos"/>
          <w:sz w:val="24"/>
          <w:szCs w:val="24"/>
        </w:rPr>
        <w:t xml:space="preserve">This right is supported by Vygotsky's Sociocultural Theory (Daniels, 2016), which emphasises social interaction and guided learning, and Piaget's Cognitive Development Theory (1952), which describes the stages of learning. Both theories emphasise the significance of proper educational support for the best possible development. </w:t>
      </w:r>
      <w:r w:rsidR="00870834">
        <w:rPr>
          <w:rFonts w:ascii="Aptos" w:hAnsi="Aptos"/>
          <w:noProof/>
          <w:sz w:val="24"/>
          <w:szCs w:val="24"/>
        </w:rPr>
        <w:lastRenderedPageBreak/>
        <w:drawing>
          <wp:inline distT="0" distB="0" distL="0" distR="0" wp14:anchorId="06BAF819" wp14:editId="51F97048">
            <wp:extent cx="6042660" cy="2937510"/>
            <wp:effectExtent l="0" t="0" r="0" b="0"/>
            <wp:docPr id="15208036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55276" cy="2943643"/>
                    </a:xfrm>
                    <a:prstGeom prst="rect">
                      <a:avLst/>
                    </a:prstGeom>
                    <a:noFill/>
                  </pic:spPr>
                </pic:pic>
              </a:graphicData>
            </a:graphic>
          </wp:inline>
        </w:drawing>
      </w:r>
      <w:r w:rsidR="0001109B" w:rsidRPr="00CC34F9">
        <w:rPr>
          <w:rFonts w:ascii="Aptos" w:hAnsi="Aptos"/>
          <w:sz w:val="28"/>
          <w:szCs w:val="28"/>
        </w:rPr>
        <w:t>BLOG 3</w:t>
      </w:r>
      <w:r w:rsidR="0001109B" w:rsidRPr="00CC34F9">
        <w:rPr>
          <w:rFonts w:ascii="Aptos" w:hAnsi="Aptos"/>
          <w:b/>
          <w:bCs/>
          <w:sz w:val="28"/>
          <w:szCs w:val="28"/>
        </w:rPr>
        <w:t>: The Right to Be Heard</w:t>
      </w:r>
    </w:p>
    <w:p w14:paraId="1BCA4E28" w14:textId="718D7563" w:rsidR="003D612D" w:rsidRPr="003D612D" w:rsidRDefault="003D612D" w:rsidP="003D612D">
      <w:pPr>
        <w:rPr>
          <w:rFonts w:ascii="Aptos" w:hAnsi="Aptos"/>
          <w:sz w:val="24"/>
          <w:szCs w:val="24"/>
        </w:rPr>
      </w:pPr>
      <w:r w:rsidRPr="003D612D">
        <w:rPr>
          <w:rFonts w:ascii="Aptos" w:hAnsi="Aptos"/>
          <w:sz w:val="24"/>
          <w:szCs w:val="24"/>
        </w:rPr>
        <w:t>Children have the moral and legal right to voice their opinions on issues that impact them through the right to be heard. According to UNICEF UK (2020), Article 12 of the UNCRC guarantees that children who can form ideas can express them, with their viewpoints considered according to their maturity and age.</w:t>
      </w:r>
    </w:p>
    <w:p w14:paraId="3B25219F" w14:textId="77777777" w:rsidR="003D612D" w:rsidRPr="003D612D" w:rsidRDefault="003D612D" w:rsidP="003D612D">
      <w:pPr>
        <w:rPr>
          <w:rFonts w:ascii="Aptos" w:hAnsi="Aptos"/>
          <w:sz w:val="24"/>
          <w:szCs w:val="24"/>
        </w:rPr>
      </w:pPr>
      <w:r w:rsidRPr="003D612D">
        <w:rPr>
          <w:rFonts w:ascii="Aptos" w:hAnsi="Aptos"/>
          <w:sz w:val="24"/>
          <w:szCs w:val="24"/>
        </w:rPr>
        <w:t xml:space="preserve">Because of this right, children can participate in decision-making processes that affect their lives. Children have historically been viewed as passive receivers of adult decisions and frequently excluded from conversations on law, society, and education (Lundy, 2007). Since then, the law has changed to guarantee that children's opinions are heard in contexts such as family courts, schools, care facilities, and medical facilities. </w:t>
      </w:r>
    </w:p>
    <w:p w14:paraId="1A879BB1" w14:textId="77777777" w:rsidR="003D612D" w:rsidRPr="003D612D" w:rsidRDefault="003D612D" w:rsidP="003D612D">
      <w:pPr>
        <w:rPr>
          <w:rFonts w:ascii="Aptos" w:hAnsi="Aptos"/>
          <w:sz w:val="24"/>
          <w:szCs w:val="24"/>
        </w:rPr>
      </w:pPr>
      <w:r w:rsidRPr="003D612D">
        <w:rPr>
          <w:rFonts w:ascii="Aptos" w:hAnsi="Aptos"/>
          <w:sz w:val="24"/>
          <w:szCs w:val="24"/>
        </w:rPr>
        <w:t>The proper guarantees that children are heard, respected, and cherished, promoting participation in their safety, healthcare, education, and family choices. For example, participating in child protection meetings or education planning increases children's sense of self-worth, confidence, and community connection (Department for Education, 2018).</w:t>
      </w:r>
    </w:p>
    <w:p w14:paraId="5F6CA15A" w14:textId="77777777" w:rsidR="003D612D" w:rsidRPr="003D612D" w:rsidRDefault="003D612D" w:rsidP="003D612D">
      <w:pPr>
        <w:rPr>
          <w:rFonts w:ascii="Aptos" w:hAnsi="Aptos"/>
          <w:sz w:val="24"/>
          <w:szCs w:val="24"/>
        </w:rPr>
      </w:pPr>
      <w:r w:rsidRPr="003D612D">
        <w:rPr>
          <w:rFonts w:ascii="Aptos" w:hAnsi="Aptos"/>
          <w:sz w:val="24"/>
          <w:szCs w:val="24"/>
        </w:rPr>
        <w:t xml:space="preserve">Without this right, children may feel voiceless, which could cause them to become frustrated, anxious, or retreat. They may suffer if decisions are made without considering their opinions, particularly regarding foster care, safeguarding, or family separation. As the Children's Commissioner for England (2021) points out, a lack of voice can erode confidence in adults and support networks. </w:t>
      </w:r>
    </w:p>
    <w:p w14:paraId="5244E819" w14:textId="0DE36E67" w:rsidR="0001109B" w:rsidRPr="003D612D" w:rsidRDefault="003D612D" w:rsidP="0001109B">
      <w:pPr>
        <w:rPr>
          <w:rFonts w:ascii="Aptos" w:hAnsi="Aptos"/>
          <w:sz w:val="24"/>
          <w:szCs w:val="24"/>
        </w:rPr>
      </w:pPr>
      <w:r w:rsidRPr="003D612D">
        <w:rPr>
          <w:rFonts w:ascii="Aptos" w:hAnsi="Aptos"/>
          <w:sz w:val="24"/>
          <w:szCs w:val="24"/>
        </w:rPr>
        <w:t xml:space="preserve">Bronfenbrenner's Ecological Systems Theory (1979) demonstrates that children actively participate in their surroundings, which emphasises the significance of a child's interactions with many systems. Lundy's Model of Participation (2007) further describes the foundation for implementing Article 12, emphasising the importance of safe environments, giving children a voice, and allowing their perspectives to influence decisions. </w:t>
      </w:r>
      <w:r w:rsidR="00DB5BFA">
        <w:rPr>
          <w:rFonts w:ascii="Aptos" w:hAnsi="Aptos"/>
          <w:noProof/>
          <w:sz w:val="24"/>
          <w:szCs w:val="24"/>
        </w:rPr>
        <w:lastRenderedPageBreak/>
        <w:drawing>
          <wp:inline distT="0" distB="0" distL="0" distR="0" wp14:anchorId="64E08A1F" wp14:editId="1E88BA24">
            <wp:extent cx="5996940" cy="3672840"/>
            <wp:effectExtent l="0" t="0" r="3810" b="3810"/>
            <wp:docPr id="27493207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96940" cy="3672840"/>
                    </a:xfrm>
                    <a:prstGeom prst="rect">
                      <a:avLst/>
                    </a:prstGeom>
                    <a:noFill/>
                  </pic:spPr>
                </pic:pic>
              </a:graphicData>
            </a:graphic>
          </wp:inline>
        </w:drawing>
      </w:r>
      <w:r w:rsidR="0001109B" w:rsidRPr="00CC34F9">
        <w:rPr>
          <w:rFonts w:ascii="Aptos" w:hAnsi="Aptos"/>
          <w:sz w:val="28"/>
          <w:szCs w:val="28"/>
        </w:rPr>
        <w:t xml:space="preserve">BLOG 4:  </w:t>
      </w:r>
      <w:r w:rsidR="0001109B" w:rsidRPr="00CC34F9">
        <w:rPr>
          <w:rFonts w:ascii="Aptos" w:hAnsi="Aptos"/>
          <w:b/>
          <w:bCs/>
          <w:sz w:val="28"/>
          <w:szCs w:val="28"/>
        </w:rPr>
        <w:t>The Right to Life, Survival and Development</w:t>
      </w:r>
    </w:p>
    <w:p w14:paraId="36914E4A" w14:textId="77777777" w:rsidR="0089179D" w:rsidRPr="0089179D" w:rsidRDefault="0089179D" w:rsidP="0089179D">
      <w:pPr>
        <w:rPr>
          <w:rFonts w:ascii="Aptos" w:hAnsi="Aptos"/>
          <w:sz w:val="24"/>
          <w:szCs w:val="24"/>
        </w:rPr>
      </w:pPr>
      <w:r w:rsidRPr="0089179D">
        <w:rPr>
          <w:rFonts w:ascii="Aptos" w:hAnsi="Aptos"/>
          <w:sz w:val="24"/>
          <w:szCs w:val="24"/>
        </w:rPr>
        <w:t>According to Article 6 of the UNCRC, every child has the inalienable right to life, and governments must do everything in their power to safeguard the child's survival and development (UNICEF UK, 2020). This right supports children's development and is the foundation for UK public health, education, social care, and safeguarding policies.</w:t>
      </w:r>
    </w:p>
    <w:p w14:paraId="7F753AA8" w14:textId="77777777" w:rsidR="0089179D" w:rsidRPr="0089179D" w:rsidRDefault="0089179D" w:rsidP="0089179D">
      <w:pPr>
        <w:rPr>
          <w:rFonts w:ascii="Aptos" w:hAnsi="Aptos"/>
          <w:sz w:val="24"/>
          <w:szCs w:val="24"/>
        </w:rPr>
      </w:pPr>
      <w:r w:rsidRPr="0089179D">
        <w:rPr>
          <w:rFonts w:ascii="Aptos" w:hAnsi="Aptos"/>
          <w:sz w:val="24"/>
          <w:szCs w:val="24"/>
        </w:rPr>
        <w:t xml:space="preserve">This right addresses the issues that children confront, including poverty, discrimination, violence, and inadequate healthcare, to ensure that vulnerable children receive their fundamental needs, such as food, shelter, healthcare, and safe environments (WHO, 2018). It ensures children's survival and access to health checkups, education, and protection that support their physical, cognitive, emotional, and social development (Department of Health and Social Care, 2021). </w:t>
      </w:r>
    </w:p>
    <w:p w14:paraId="4F582DB3" w14:textId="77777777" w:rsidR="0089179D" w:rsidRPr="0089179D" w:rsidRDefault="0089179D" w:rsidP="0089179D">
      <w:pPr>
        <w:rPr>
          <w:rFonts w:ascii="Aptos" w:hAnsi="Aptos"/>
          <w:sz w:val="24"/>
          <w:szCs w:val="24"/>
        </w:rPr>
      </w:pPr>
      <w:r w:rsidRPr="0089179D">
        <w:rPr>
          <w:rFonts w:ascii="Aptos" w:hAnsi="Aptos"/>
          <w:sz w:val="24"/>
          <w:szCs w:val="24"/>
        </w:rPr>
        <w:t>Children would be more susceptible to illness, developmental delays, and mortality without this right, especially those living in poverty or dangerous environments. Long-term socioeconomic inequity and public health problems could result from the state's lack of legal obligation to provide for a child's welfare (Save the Children, 2020).</w:t>
      </w:r>
    </w:p>
    <w:p w14:paraId="5411BF14" w14:textId="04DE10CF" w:rsidR="001447E3" w:rsidRDefault="0089179D" w:rsidP="0089179D">
      <w:pPr>
        <w:rPr>
          <w:rFonts w:ascii="Aptos" w:hAnsi="Aptos"/>
          <w:b/>
          <w:bCs/>
          <w:sz w:val="24"/>
          <w:szCs w:val="24"/>
        </w:rPr>
      </w:pPr>
      <w:r w:rsidRPr="0089179D">
        <w:rPr>
          <w:rFonts w:ascii="Aptos" w:hAnsi="Aptos"/>
          <w:sz w:val="24"/>
          <w:szCs w:val="24"/>
        </w:rPr>
        <w:t>This right is supported by Maslow's Hierarchy of Needs (1943) and Erikson's Psychosocial Theory (1950), which highlight how unfulfilled basic needs impair children's growth and well-being and may result in long-term problems with identity, trust, and autonomy (</w:t>
      </w:r>
      <w:proofErr w:type="spellStart"/>
      <w:r w:rsidRPr="0089179D">
        <w:rPr>
          <w:rFonts w:ascii="Aptos" w:hAnsi="Aptos"/>
          <w:sz w:val="24"/>
          <w:szCs w:val="24"/>
        </w:rPr>
        <w:t>Sigelman</w:t>
      </w:r>
      <w:proofErr w:type="spellEnd"/>
      <w:r w:rsidRPr="0089179D">
        <w:rPr>
          <w:rFonts w:ascii="Aptos" w:hAnsi="Aptos"/>
          <w:sz w:val="24"/>
          <w:szCs w:val="24"/>
        </w:rPr>
        <w:t xml:space="preserve"> and Rider, 2018). </w:t>
      </w:r>
    </w:p>
    <w:p w14:paraId="656DFB53" w14:textId="77777777" w:rsidR="001447E3" w:rsidRDefault="001447E3" w:rsidP="001447E3">
      <w:pPr>
        <w:rPr>
          <w:rFonts w:ascii="Aptos" w:hAnsi="Aptos"/>
          <w:b/>
          <w:bCs/>
          <w:sz w:val="24"/>
          <w:szCs w:val="24"/>
        </w:rPr>
      </w:pPr>
    </w:p>
    <w:p w14:paraId="538D4425" w14:textId="77777777" w:rsidR="001447E3" w:rsidRDefault="001447E3" w:rsidP="001447E3">
      <w:pPr>
        <w:rPr>
          <w:rFonts w:ascii="Aptos" w:hAnsi="Aptos"/>
          <w:b/>
          <w:bCs/>
          <w:sz w:val="24"/>
          <w:szCs w:val="24"/>
        </w:rPr>
      </w:pPr>
    </w:p>
    <w:p w14:paraId="3071A87B" w14:textId="77777777" w:rsidR="0089179D" w:rsidRDefault="0089179D" w:rsidP="001447E3">
      <w:pPr>
        <w:rPr>
          <w:b/>
          <w:bCs/>
          <w:sz w:val="24"/>
          <w:szCs w:val="24"/>
        </w:rPr>
      </w:pPr>
    </w:p>
    <w:p w14:paraId="744802F2" w14:textId="24380C10" w:rsidR="00E31CCB" w:rsidRPr="00CC34F9" w:rsidRDefault="003D4583" w:rsidP="00E31CCB">
      <w:pPr>
        <w:rPr>
          <w:b/>
          <w:bCs/>
          <w:sz w:val="28"/>
          <w:szCs w:val="28"/>
        </w:rPr>
      </w:pPr>
      <w:r>
        <w:rPr>
          <w:b/>
          <w:bCs/>
          <w:sz w:val="28"/>
          <w:szCs w:val="28"/>
        </w:rPr>
        <w:lastRenderedPageBreak/>
        <w:t>4.</w:t>
      </w:r>
      <w:r w:rsidR="00E31CCB" w:rsidRPr="00CC34F9">
        <w:rPr>
          <w:b/>
          <w:bCs/>
          <w:sz w:val="28"/>
          <w:szCs w:val="28"/>
        </w:rPr>
        <w:t>Timeline of Legislation Safeguarding Children, Young People, and Families</w:t>
      </w:r>
    </w:p>
    <w:p w14:paraId="09A6035D" w14:textId="77777777" w:rsidR="00E31CCB" w:rsidRPr="00E31CCB" w:rsidRDefault="00E31CCB" w:rsidP="00E31CCB">
      <w:pPr>
        <w:rPr>
          <w:sz w:val="24"/>
          <w:szCs w:val="24"/>
        </w:rPr>
      </w:pPr>
      <w:r w:rsidRPr="00E31CCB">
        <w:rPr>
          <w:sz w:val="24"/>
          <w:szCs w:val="24"/>
        </w:rPr>
        <w:t xml:space="preserve">Numerous pieces of legislation have been introduced over the last 60 years to protect the UK's children, youth, and families. These regulations have influenced how agencies and services work together to guarantee the safety and well-being of children. A timeline of important laws is provided here, along with an analysis of each law's effects on families, children, and youth. </w:t>
      </w:r>
    </w:p>
    <w:p w14:paraId="40DBCD98" w14:textId="77777777" w:rsidR="00E31CCB" w:rsidRPr="008806CA" w:rsidRDefault="00E31CCB" w:rsidP="00E31CCB">
      <w:pPr>
        <w:rPr>
          <w:b/>
          <w:bCs/>
          <w:sz w:val="24"/>
          <w:szCs w:val="24"/>
        </w:rPr>
      </w:pPr>
      <w:r w:rsidRPr="008806CA">
        <w:rPr>
          <w:b/>
          <w:bCs/>
          <w:sz w:val="24"/>
          <w:szCs w:val="24"/>
        </w:rPr>
        <w:t>1. The 1989 Children's Act</w:t>
      </w:r>
    </w:p>
    <w:p w14:paraId="4B6B0CA5" w14:textId="77777777" w:rsidR="00E31CCB" w:rsidRPr="00E31CCB" w:rsidRDefault="00E31CCB" w:rsidP="00E31CCB">
      <w:pPr>
        <w:rPr>
          <w:sz w:val="24"/>
          <w:szCs w:val="24"/>
        </w:rPr>
      </w:pPr>
      <w:r w:rsidRPr="00E31CCB">
        <w:rPr>
          <w:sz w:val="24"/>
          <w:szCs w:val="24"/>
        </w:rPr>
        <w:t>One important piece of law about child protection was the Children Act 1989. The Children Act prioritised children's welfare in all legal processes, marking a dramatic change in how children were perceived within the legal system (HM Government, 1989).</w:t>
      </w:r>
    </w:p>
    <w:p w14:paraId="64D0FA45" w14:textId="77777777" w:rsidR="00E31CCB" w:rsidRPr="00E31CCB" w:rsidRDefault="00E31CCB" w:rsidP="00E31CCB">
      <w:pPr>
        <w:rPr>
          <w:sz w:val="24"/>
          <w:szCs w:val="24"/>
        </w:rPr>
      </w:pPr>
      <w:r w:rsidRPr="00E31CCB">
        <w:rPr>
          <w:sz w:val="24"/>
          <w:szCs w:val="24"/>
        </w:rPr>
        <w:t>Key factors:</w:t>
      </w:r>
    </w:p>
    <w:p w14:paraId="401E0B39" w14:textId="77777777" w:rsidR="00E31CCB" w:rsidRPr="00E31CCB" w:rsidRDefault="00E31CCB" w:rsidP="00E31CCB">
      <w:pPr>
        <w:rPr>
          <w:sz w:val="24"/>
          <w:szCs w:val="24"/>
        </w:rPr>
      </w:pPr>
      <w:r w:rsidRPr="00E31CCB">
        <w:rPr>
          <w:sz w:val="24"/>
          <w:szCs w:val="24"/>
        </w:rPr>
        <w:t>-determined that child welfare must be the primary consideration when making decisions.</w:t>
      </w:r>
    </w:p>
    <w:p w14:paraId="5BA16199" w14:textId="77777777" w:rsidR="00E31CCB" w:rsidRPr="00E31CCB" w:rsidRDefault="00E31CCB" w:rsidP="00E31CCB">
      <w:pPr>
        <w:rPr>
          <w:sz w:val="24"/>
          <w:szCs w:val="24"/>
        </w:rPr>
      </w:pPr>
      <w:r w:rsidRPr="00E31CCB">
        <w:rPr>
          <w:sz w:val="24"/>
          <w:szCs w:val="24"/>
        </w:rPr>
        <w:t>-introduced "looked-after children" and "children in need."</w:t>
      </w:r>
    </w:p>
    <w:p w14:paraId="592A06E4" w14:textId="77777777" w:rsidR="00E31CCB" w:rsidRPr="00E31CCB" w:rsidRDefault="00E31CCB" w:rsidP="00E31CCB">
      <w:pPr>
        <w:rPr>
          <w:sz w:val="24"/>
          <w:szCs w:val="24"/>
        </w:rPr>
      </w:pPr>
      <w:r w:rsidRPr="00E31CCB">
        <w:rPr>
          <w:sz w:val="24"/>
          <w:szCs w:val="24"/>
        </w:rPr>
        <w:t xml:space="preserve">-mandated that assistance be provided by local authorities to children who needed protection or were in danger. </w:t>
      </w:r>
    </w:p>
    <w:p w14:paraId="3C5750A4" w14:textId="77777777" w:rsidR="00E31CCB" w:rsidRPr="00E31CCB" w:rsidRDefault="00E31CCB" w:rsidP="00E31CCB">
      <w:pPr>
        <w:rPr>
          <w:sz w:val="24"/>
          <w:szCs w:val="24"/>
        </w:rPr>
      </w:pPr>
      <w:r w:rsidRPr="00E31CCB">
        <w:rPr>
          <w:sz w:val="24"/>
          <w:szCs w:val="24"/>
        </w:rPr>
        <w:t xml:space="preserve">Evaluation </w:t>
      </w:r>
    </w:p>
    <w:p w14:paraId="7CBD680F" w14:textId="77777777" w:rsidR="00E31CCB" w:rsidRPr="00E31CCB" w:rsidRDefault="00E31CCB" w:rsidP="00E31CCB">
      <w:pPr>
        <w:rPr>
          <w:sz w:val="24"/>
          <w:szCs w:val="24"/>
        </w:rPr>
      </w:pPr>
      <w:r w:rsidRPr="00E31CCB">
        <w:rPr>
          <w:sz w:val="24"/>
          <w:szCs w:val="24"/>
        </w:rPr>
        <w:t>The "welfare principle" established by the Act served as the cornerstone for child protection in the United Kingdom. It has been acknowledged for offering a more lucid foundation for protecting children. However, there were difficulties in putting it into practice, particularly with resources and the efficacy of the intervention (</w:t>
      </w:r>
      <w:proofErr w:type="spellStart"/>
      <w:r w:rsidRPr="00E31CCB">
        <w:rPr>
          <w:sz w:val="24"/>
          <w:szCs w:val="24"/>
        </w:rPr>
        <w:t>Barnardos</w:t>
      </w:r>
      <w:proofErr w:type="spellEnd"/>
      <w:r w:rsidRPr="00E31CCB">
        <w:rPr>
          <w:sz w:val="24"/>
          <w:szCs w:val="24"/>
        </w:rPr>
        <w:t xml:space="preserve">, 2018). Following financial cuts to the public sector, some local authorities found it difficult to satisfy the heavy demands imposed on them. </w:t>
      </w:r>
    </w:p>
    <w:p w14:paraId="094E0868" w14:textId="77777777" w:rsidR="00E31CCB" w:rsidRPr="00E31CCB" w:rsidRDefault="00E31CCB" w:rsidP="00E31CCB">
      <w:pPr>
        <w:rPr>
          <w:sz w:val="24"/>
          <w:szCs w:val="24"/>
        </w:rPr>
      </w:pPr>
    </w:p>
    <w:p w14:paraId="11A52220" w14:textId="77777777" w:rsidR="00E31CCB" w:rsidRPr="008806CA" w:rsidRDefault="00E31CCB" w:rsidP="00E31CCB">
      <w:pPr>
        <w:rPr>
          <w:b/>
          <w:bCs/>
          <w:sz w:val="24"/>
          <w:szCs w:val="24"/>
        </w:rPr>
      </w:pPr>
      <w:r w:rsidRPr="008806CA">
        <w:rPr>
          <w:b/>
          <w:bCs/>
          <w:sz w:val="24"/>
          <w:szCs w:val="24"/>
        </w:rPr>
        <w:t>2. The 2004 Children Act</w:t>
      </w:r>
    </w:p>
    <w:p w14:paraId="071ADCC7" w14:textId="77777777" w:rsidR="00E31CCB" w:rsidRPr="00E31CCB" w:rsidRDefault="00E31CCB" w:rsidP="00E31CCB">
      <w:pPr>
        <w:rPr>
          <w:sz w:val="24"/>
          <w:szCs w:val="24"/>
        </w:rPr>
      </w:pPr>
      <w:r w:rsidRPr="00E31CCB">
        <w:rPr>
          <w:sz w:val="24"/>
          <w:szCs w:val="24"/>
        </w:rPr>
        <w:t>The Children Act of 2004 was introduced in response to Victoria Climbié's tragic death to enhance interagency cooperation and guarantee more effective child protection. Emphasising child safety and service integration, this Act reinforced the framework set by its predecessor.</w:t>
      </w:r>
    </w:p>
    <w:p w14:paraId="2C9465C8" w14:textId="77777777" w:rsidR="00E31CCB" w:rsidRPr="00E31CCB" w:rsidRDefault="00E31CCB" w:rsidP="00E31CCB">
      <w:pPr>
        <w:rPr>
          <w:sz w:val="24"/>
          <w:szCs w:val="24"/>
        </w:rPr>
      </w:pPr>
      <w:r w:rsidRPr="00E31CCB">
        <w:rPr>
          <w:sz w:val="24"/>
          <w:szCs w:val="24"/>
        </w:rPr>
        <w:t>Key factors:</w:t>
      </w:r>
    </w:p>
    <w:p w14:paraId="541178EE" w14:textId="77777777" w:rsidR="00E31CCB" w:rsidRPr="00E31CCB" w:rsidRDefault="00E31CCB" w:rsidP="00E31CCB">
      <w:pPr>
        <w:rPr>
          <w:sz w:val="24"/>
          <w:szCs w:val="24"/>
        </w:rPr>
      </w:pPr>
      <w:r w:rsidRPr="00E31CCB">
        <w:rPr>
          <w:sz w:val="24"/>
          <w:szCs w:val="24"/>
        </w:rPr>
        <w:t>-Established the Children's Commissioner position to promote the rights of children.</w:t>
      </w:r>
    </w:p>
    <w:p w14:paraId="3D59230B" w14:textId="77777777" w:rsidR="00E31CCB" w:rsidRPr="00E31CCB" w:rsidRDefault="00E31CCB" w:rsidP="00E31CCB">
      <w:pPr>
        <w:rPr>
          <w:sz w:val="24"/>
          <w:szCs w:val="24"/>
        </w:rPr>
      </w:pPr>
      <w:r w:rsidRPr="00E31CCB">
        <w:rPr>
          <w:sz w:val="24"/>
          <w:szCs w:val="24"/>
        </w:rPr>
        <w:t>-Children's Trusts were established, encouraging a multi-agency approach to protection.</w:t>
      </w:r>
    </w:p>
    <w:p w14:paraId="1FA23C02" w14:textId="77777777" w:rsidR="00E31CCB" w:rsidRPr="00E31CCB" w:rsidRDefault="00E31CCB" w:rsidP="00E31CCB">
      <w:pPr>
        <w:rPr>
          <w:sz w:val="24"/>
          <w:szCs w:val="24"/>
        </w:rPr>
      </w:pPr>
      <w:r w:rsidRPr="00E31CCB">
        <w:rPr>
          <w:sz w:val="24"/>
          <w:szCs w:val="24"/>
        </w:rPr>
        <w:lastRenderedPageBreak/>
        <w:t xml:space="preserve">-Established Local Safeguarding Children Boards (LSCBs), supervising attempts to protect children. </w:t>
      </w:r>
    </w:p>
    <w:p w14:paraId="2DE4D87E" w14:textId="77777777" w:rsidR="00E31CCB" w:rsidRPr="00E31CCB" w:rsidRDefault="00E31CCB" w:rsidP="00E31CCB">
      <w:pPr>
        <w:rPr>
          <w:sz w:val="24"/>
          <w:szCs w:val="24"/>
        </w:rPr>
      </w:pPr>
      <w:r w:rsidRPr="00E31CCB">
        <w:rPr>
          <w:sz w:val="24"/>
          <w:szCs w:val="24"/>
        </w:rPr>
        <w:t>Assessment:</w:t>
      </w:r>
    </w:p>
    <w:p w14:paraId="3F52235A" w14:textId="77777777" w:rsidR="00E31CCB" w:rsidRPr="00E31CCB" w:rsidRDefault="00E31CCB" w:rsidP="00E31CCB">
      <w:pPr>
        <w:rPr>
          <w:sz w:val="24"/>
          <w:szCs w:val="24"/>
        </w:rPr>
      </w:pPr>
      <w:r w:rsidRPr="00E31CCB">
        <w:rPr>
          <w:sz w:val="24"/>
          <w:szCs w:val="24"/>
        </w:rPr>
        <w:t xml:space="preserve"> The 2004 Act significantly improved the guarantee of a coordinated response to child safety across various sectors. Establishing Children's Trusts and LSCBs ensured that organisations, including social services, schools, and medical facilities, collaborated to protect children. Nevertheless, these measures' efficacy has varied, with several regions falling short of the Act's requirements (Munro, 2011). </w:t>
      </w:r>
    </w:p>
    <w:p w14:paraId="4D231BC5" w14:textId="77777777" w:rsidR="00E31CCB" w:rsidRPr="00E31CCB" w:rsidRDefault="00E31CCB" w:rsidP="00E31CCB">
      <w:pPr>
        <w:rPr>
          <w:sz w:val="24"/>
          <w:szCs w:val="24"/>
        </w:rPr>
      </w:pPr>
    </w:p>
    <w:p w14:paraId="56ED39DE" w14:textId="77777777" w:rsidR="00E31CCB" w:rsidRPr="008806CA" w:rsidRDefault="00E31CCB" w:rsidP="00E31CCB">
      <w:pPr>
        <w:rPr>
          <w:b/>
          <w:bCs/>
          <w:sz w:val="24"/>
          <w:szCs w:val="24"/>
        </w:rPr>
      </w:pPr>
      <w:r w:rsidRPr="008806CA">
        <w:rPr>
          <w:b/>
          <w:bCs/>
          <w:sz w:val="24"/>
          <w:szCs w:val="24"/>
        </w:rPr>
        <w:t>3. All Children Are Important (2003)</w:t>
      </w:r>
    </w:p>
    <w:p w14:paraId="65D1E9AA" w14:textId="77777777" w:rsidR="00E31CCB" w:rsidRPr="00E31CCB" w:rsidRDefault="00E31CCB" w:rsidP="00E31CCB">
      <w:pPr>
        <w:rPr>
          <w:sz w:val="24"/>
          <w:szCs w:val="24"/>
        </w:rPr>
      </w:pPr>
      <w:r w:rsidRPr="00E31CCB">
        <w:rPr>
          <w:sz w:val="24"/>
          <w:szCs w:val="24"/>
        </w:rPr>
        <w:t>The Every Child Matters program aimed to develop a comprehensive plan for enhancing children's outcomes in response to the Climbié inquiry. The five main goals of this program were being healthy, staying safe, enjoying and succeeding, contributing positively, and achieving economic well-being.</w:t>
      </w:r>
    </w:p>
    <w:p w14:paraId="40FE0DCD" w14:textId="77777777" w:rsidR="00E31CCB" w:rsidRPr="00E31CCB" w:rsidRDefault="00E31CCB" w:rsidP="00E31CCB">
      <w:pPr>
        <w:rPr>
          <w:sz w:val="24"/>
          <w:szCs w:val="24"/>
        </w:rPr>
      </w:pPr>
      <w:r w:rsidRPr="00E31CCB">
        <w:rPr>
          <w:sz w:val="24"/>
          <w:szCs w:val="24"/>
        </w:rPr>
        <w:t>Key factors:</w:t>
      </w:r>
    </w:p>
    <w:p w14:paraId="6D6452A7" w14:textId="77777777" w:rsidR="00E31CCB" w:rsidRPr="00E31CCB" w:rsidRDefault="00E31CCB" w:rsidP="00E31CCB">
      <w:pPr>
        <w:rPr>
          <w:sz w:val="24"/>
          <w:szCs w:val="24"/>
        </w:rPr>
      </w:pPr>
      <w:r w:rsidRPr="00E31CCB">
        <w:rPr>
          <w:sz w:val="24"/>
          <w:szCs w:val="24"/>
        </w:rPr>
        <w:t>-Strongly emphasised early intervention and a comprehensive strategy for child welfare.</w:t>
      </w:r>
    </w:p>
    <w:p w14:paraId="3CC3C110" w14:textId="77777777" w:rsidR="00E31CCB" w:rsidRPr="00E31CCB" w:rsidRDefault="00E31CCB" w:rsidP="00E31CCB">
      <w:pPr>
        <w:rPr>
          <w:sz w:val="24"/>
          <w:szCs w:val="24"/>
        </w:rPr>
      </w:pPr>
      <w:r w:rsidRPr="00E31CCB">
        <w:rPr>
          <w:sz w:val="24"/>
          <w:szCs w:val="24"/>
        </w:rPr>
        <w:t xml:space="preserve">-centred on offering services better suited to families and children's needs. </w:t>
      </w:r>
    </w:p>
    <w:p w14:paraId="3CD247F9" w14:textId="77777777" w:rsidR="00E31CCB" w:rsidRPr="00E31CCB" w:rsidRDefault="00E31CCB" w:rsidP="00E31CCB">
      <w:pPr>
        <w:rPr>
          <w:sz w:val="24"/>
          <w:szCs w:val="24"/>
        </w:rPr>
      </w:pPr>
      <w:r w:rsidRPr="00E31CCB">
        <w:rPr>
          <w:sz w:val="24"/>
          <w:szCs w:val="24"/>
        </w:rPr>
        <w:t>Evaluation:</w:t>
      </w:r>
    </w:p>
    <w:p w14:paraId="6A1FE808" w14:textId="77777777" w:rsidR="00E31CCB" w:rsidRPr="00E31CCB" w:rsidRDefault="00E31CCB" w:rsidP="00E31CCB">
      <w:pPr>
        <w:rPr>
          <w:sz w:val="24"/>
          <w:szCs w:val="24"/>
        </w:rPr>
      </w:pPr>
      <w:r w:rsidRPr="00E31CCB">
        <w:rPr>
          <w:sz w:val="24"/>
          <w:szCs w:val="24"/>
        </w:rPr>
        <w:t xml:space="preserve">Every Child Matters significantly impacted child protection policy and practice. It encouraged a more integrated approach to services by emphasising the Child as a whole. However, inconsistent execution and disparities in service quality among locations have led to criticism (Laming, 2009). Despite these difficulties, the framework remains a crucial reference point in child welfare discourse. </w:t>
      </w:r>
    </w:p>
    <w:p w14:paraId="65156D2C" w14:textId="77777777" w:rsidR="00E31CCB" w:rsidRPr="00E31CCB" w:rsidRDefault="00E31CCB" w:rsidP="00E31CCB">
      <w:pPr>
        <w:rPr>
          <w:sz w:val="24"/>
          <w:szCs w:val="24"/>
        </w:rPr>
      </w:pPr>
    </w:p>
    <w:p w14:paraId="020A0AE7" w14:textId="77777777" w:rsidR="00E31CCB" w:rsidRPr="008806CA" w:rsidRDefault="00E31CCB" w:rsidP="00E31CCB">
      <w:pPr>
        <w:rPr>
          <w:b/>
          <w:bCs/>
          <w:sz w:val="24"/>
          <w:szCs w:val="24"/>
        </w:rPr>
      </w:pPr>
      <w:r w:rsidRPr="008806CA">
        <w:rPr>
          <w:b/>
          <w:bCs/>
          <w:sz w:val="24"/>
          <w:szCs w:val="24"/>
        </w:rPr>
        <w:t>4. The 2014 Children and Families Act</w:t>
      </w:r>
    </w:p>
    <w:p w14:paraId="5650F232" w14:textId="77777777" w:rsidR="00E31CCB" w:rsidRPr="00E31CCB" w:rsidRDefault="00E31CCB" w:rsidP="00E31CCB">
      <w:pPr>
        <w:rPr>
          <w:sz w:val="24"/>
          <w:szCs w:val="24"/>
        </w:rPr>
      </w:pPr>
      <w:r w:rsidRPr="00E31CCB">
        <w:rPr>
          <w:sz w:val="24"/>
          <w:szCs w:val="24"/>
        </w:rPr>
        <w:t>The Children and Families Act of 2014 introduced additional changes to the children's services system, emphasising children with disabilities and special educational needs (SEN). This Act aimed to enhance the educational outcomes and support for kids with special needs.</w:t>
      </w:r>
    </w:p>
    <w:p w14:paraId="7A683D6E" w14:textId="77777777" w:rsidR="00E31CCB" w:rsidRPr="00E31CCB" w:rsidRDefault="00E31CCB" w:rsidP="00E31CCB">
      <w:pPr>
        <w:rPr>
          <w:sz w:val="24"/>
          <w:szCs w:val="24"/>
        </w:rPr>
      </w:pPr>
      <w:r w:rsidRPr="00E31CCB">
        <w:rPr>
          <w:sz w:val="24"/>
          <w:szCs w:val="24"/>
        </w:rPr>
        <w:t>Key factors:</w:t>
      </w:r>
    </w:p>
    <w:p w14:paraId="0C09B0EE" w14:textId="77777777" w:rsidR="00E31CCB" w:rsidRPr="00E31CCB" w:rsidRDefault="00E31CCB" w:rsidP="00E31CCB">
      <w:pPr>
        <w:rPr>
          <w:sz w:val="24"/>
          <w:szCs w:val="24"/>
        </w:rPr>
      </w:pPr>
      <w:r w:rsidRPr="00E31CCB">
        <w:rPr>
          <w:sz w:val="24"/>
          <w:szCs w:val="24"/>
        </w:rPr>
        <w:t>-outlined plans for educating, health, and caring for kids with special needs.</w:t>
      </w:r>
    </w:p>
    <w:p w14:paraId="6AD559A0" w14:textId="77777777" w:rsidR="00E31CCB" w:rsidRPr="00E31CCB" w:rsidRDefault="00E31CCB" w:rsidP="00E31CCB">
      <w:pPr>
        <w:rPr>
          <w:sz w:val="24"/>
          <w:szCs w:val="24"/>
        </w:rPr>
      </w:pPr>
      <w:r w:rsidRPr="00E31CCB">
        <w:rPr>
          <w:sz w:val="24"/>
          <w:szCs w:val="24"/>
        </w:rPr>
        <w:t>-increased family participation in choices about educating and caring for children with special education needs.</w:t>
      </w:r>
    </w:p>
    <w:p w14:paraId="15DC2DB0" w14:textId="77777777" w:rsidR="00E31CCB" w:rsidRPr="00E31CCB" w:rsidRDefault="00E31CCB" w:rsidP="00E31CCB">
      <w:pPr>
        <w:rPr>
          <w:sz w:val="24"/>
          <w:szCs w:val="24"/>
        </w:rPr>
      </w:pPr>
      <w:r w:rsidRPr="00E31CCB">
        <w:rPr>
          <w:sz w:val="24"/>
          <w:szCs w:val="24"/>
        </w:rPr>
        <w:t xml:space="preserve">-Create an early intervention strategy to treat developmental issues before they become more serious. </w:t>
      </w:r>
    </w:p>
    <w:p w14:paraId="3AD17568" w14:textId="77777777" w:rsidR="00E31CCB" w:rsidRPr="00E31CCB" w:rsidRDefault="00E31CCB" w:rsidP="00E31CCB">
      <w:pPr>
        <w:rPr>
          <w:sz w:val="24"/>
          <w:szCs w:val="24"/>
        </w:rPr>
      </w:pPr>
    </w:p>
    <w:p w14:paraId="1091E0AA" w14:textId="77777777" w:rsidR="00E31CCB" w:rsidRPr="00E31CCB" w:rsidRDefault="00E31CCB" w:rsidP="00E31CCB">
      <w:pPr>
        <w:rPr>
          <w:sz w:val="24"/>
          <w:szCs w:val="24"/>
        </w:rPr>
      </w:pPr>
    </w:p>
    <w:p w14:paraId="476490FB" w14:textId="77777777" w:rsidR="00E31CCB" w:rsidRPr="00E31CCB" w:rsidRDefault="00E31CCB" w:rsidP="00E31CCB">
      <w:pPr>
        <w:rPr>
          <w:sz w:val="24"/>
          <w:szCs w:val="24"/>
        </w:rPr>
      </w:pPr>
      <w:r w:rsidRPr="00E31CCB">
        <w:rPr>
          <w:sz w:val="24"/>
          <w:szCs w:val="24"/>
        </w:rPr>
        <w:t xml:space="preserve">Evaluation </w:t>
      </w:r>
    </w:p>
    <w:p w14:paraId="781AC200" w14:textId="77777777" w:rsidR="00E31CCB" w:rsidRPr="00E31CCB" w:rsidRDefault="00E31CCB" w:rsidP="00E31CCB">
      <w:pPr>
        <w:rPr>
          <w:sz w:val="24"/>
          <w:szCs w:val="24"/>
        </w:rPr>
      </w:pPr>
      <w:r w:rsidRPr="00E31CCB">
        <w:rPr>
          <w:sz w:val="24"/>
          <w:szCs w:val="24"/>
        </w:rPr>
        <w:t xml:space="preserve">This Act offered a more comprehensive strategy for meeting the needs of SEN and children with disabilities. Although the move to a more inclusive educational system has been well received, others have expressed concerns about the system's capacity to satisfy family requests regarding timeliness and the intricacy of the application process (NHS Digital, 2020). Even while the Act has made it easier to coordinate services, there are still issues with maintaining uniformity and adequate funding. </w:t>
      </w:r>
    </w:p>
    <w:p w14:paraId="35916B84" w14:textId="77777777" w:rsidR="00E31CCB" w:rsidRPr="00E31CCB" w:rsidRDefault="00E31CCB" w:rsidP="00E31CCB">
      <w:pPr>
        <w:rPr>
          <w:sz w:val="24"/>
          <w:szCs w:val="24"/>
        </w:rPr>
      </w:pPr>
    </w:p>
    <w:p w14:paraId="26D687FD" w14:textId="77777777" w:rsidR="00E31CCB" w:rsidRPr="008806CA" w:rsidRDefault="00E31CCB" w:rsidP="00E31CCB">
      <w:pPr>
        <w:rPr>
          <w:b/>
          <w:bCs/>
          <w:sz w:val="24"/>
          <w:szCs w:val="24"/>
        </w:rPr>
      </w:pPr>
      <w:r w:rsidRPr="008806CA">
        <w:rPr>
          <w:b/>
          <w:bCs/>
          <w:sz w:val="24"/>
          <w:szCs w:val="24"/>
        </w:rPr>
        <w:t>5. The 2002 Education Act</w:t>
      </w:r>
    </w:p>
    <w:p w14:paraId="0F2BB102" w14:textId="77777777" w:rsidR="00E31CCB" w:rsidRPr="00E31CCB" w:rsidRDefault="00E31CCB" w:rsidP="00E31CCB">
      <w:pPr>
        <w:rPr>
          <w:sz w:val="24"/>
          <w:szCs w:val="24"/>
        </w:rPr>
      </w:pPr>
      <w:r w:rsidRPr="00E31CCB">
        <w:rPr>
          <w:sz w:val="24"/>
          <w:szCs w:val="24"/>
        </w:rPr>
        <w:t>With an emphasis on protecting children in the school setting, the Education Act of 2002 addressed several education and child welfare issues.</w:t>
      </w:r>
    </w:p>
    <w:p w14:paraId="1A3240C4" w14:textId="77777777" w:rsidR="00E31CCB" w:rsidRPr="00E31CCB" w:rsidRDefault="00E31CCB" w:rsidP="00E31CCB">
      <w:pPr>
        <w:rPr>
          <w:sz w:val="24"/>
          <w:szCs w:val="24"/>
        </w:rPr>
      </w:pPr>
      <w:r w:rsidRPr="00E31CCB">
        <w:rPr>
          <w:sz w:val="24"/>
          <w:szCs w:val="24"/>
        </w:rPr>
        <w:t>Key factors:</w:t>
      </w:r>
    </w:p>
    <w:p w14:paraId="14EB6B09" w14:textId="77777777" w:rsidR="00E31CCB" w:rsidRPr="00E31CCB" w:rsidRDefault="00E31CCB" w:rsidP="00E31CCB">
      <w:pPr>
        <w:rPr>
          <w:sz w:val="24"/>
          <w:szCs w:val="24"/>
        </w:rPr>
      </w:pPr>
      <w:r w:rsidRPr="00E31CCB">
        <w:rPr>
          <w:sz w:val="24"/>
          <w:szCs w:val="24"/>
        </w:rPr>
        <w:t>-Schools are required to take proactive steps to protect youngsters.</w:t>
      </w:r>
    </w:p>
    <w:p w14:paraId="2675E4DB" w14:textId="77777777" w:rsidR="00E31CCB" w:rsidRPr="00E31CCB" w:rsidRDefault="00E31CCB" w:rsidP="00E31CCB">
      <w:pPr>
        <w:rPr>
          <w:sz w:val="24"/>
          <w:szCs w:val="24"/>
        </w:rPr>
      </w:pPr>
      <w:r w:rsidRPr="00E31CCB">
        <w:rPr>
          <w:sz w:val="24"/>
          <w:szCs w:val="24"/>
        </w:rPr>
        <w:t>-imposed a legal obligation on schools to safeguard children and advance their welfare.</w:t>
      </w:r>
    </w:p>
    <w:p w14:paraId="13D95BF6" w14:textId="77777777" w:rsidR="00E31CCB" w:rsidRPr="00E31CCB" w:rsidRDefault="00E31CCB" w:rsidP="00E31CCB">
      <w:pPr>
        <w:rPr>
          <w:sz w:val="24"/>
          <w:szCs w:val="24"/>
        </w:rPr>
      </w:pPr>
      <w:r w:rsidRPr="00E31CCB">
        <w:rPr>
          <w:sz w:val="24"/>
          <w:szCs w:val="24"/>
        </w:rPr>
        <w:t xml:space="preserve">-emphasised how crucial it is that employees receive safeguarding training. </w:t>
      </w:r>
    </w:p>
    <w:p w14:paraId="14A99AE7" w14:textId="77777777" w:rsidR="00E31CCB" w:rsidRPr="00E31CCB" w:rsidRDefault="00E31CCB" w:rsidP="00E31CCB">
      <w:pPr>
        <w:rPr>
          <w:sz w:val="24"/>
          <w:szCs w:val="24"/>
        </w:rPr>
      </w:pPr>
      <w:r w:rsidRPr="00E31CCB">
        <w:rPr>
          <w:sz w:val="24"/>
          <w:szCs w:val="24"/>
        </w:rPr>
        <w:t xml:space="preserve">Evaluation: The Education Act of 2002 significantly impacted schools' safeguarding role. It abundantly showed that the law required schools to provide a secure environment for kids. Nevertheless, its efficacy has been questioned, as several educational institutions have found it challenging to ensure that all employees are adequately trained and watchful for kid safety (Ofsted, 2013). </w:t>
      </w:r>
    </w:p>
    <w:p w14:paraId="49A83BAD" w14:textId="77777777" w:rsidR="00E31CCB" w:rsidRPr="00E31CCB" w:rsidRDefault="00E31CCB" w:rsidP="00E31CCB">
      <w:pPr>
        <w:rPr>
          <w:sz w:val="24"/>
          <w:szCs w:val="24"/>
        </w:rPr>
      </w:pPr>
    </w:p>
    <w:p w14:paraId="560638AF" w14:textId="77777777" w:rsidR="00E31CCB" w:rsidRPr="00E31CCB" w:rsidRDefault="00E31CCB" w:rsidP="00E31CCB">
      <w:pPr>
        <w:rPr>
          <w:sz w:val="24"/>
          <w:szCs w:val="24"/>
        </w:rPr>
      </w:pPr>
      <w:r w:rsidRPr="008806CA">
        <w:rPr>
          <w:b/>
          <w:bCs/>
          <w:sz w:val="24"/>
          <w:szCs w:val="24"/>
        </w:rPr>
        <w:t>6. The Equal Protection for Children Bill 2020</w:t>
      </w:r>
      <w:r w:rsidRPr="00E31CCB">
        <w:rPr>
          <w:sz w:val="24"/>
          <w:szCs w:val="24"/>
        </w:rPr>
        <w:t>.</w:t>
      </w:r>
    </w:p>
    <w:p w14:paraId="47B96D70" w14:textId="77777777" w:rsidR="00E31CCB" w:rsidRPr="00E31CCB" w:rsidRDefault="00E31CCB" w:rsidP="00E31CCB">
      <w:pPr>
        <w:rPr>
          <w:sz w:val="24"/>
          <w:szCs w:val="24"/>
        </w:rPr>
      </w:pPr>
      <w:r w:rsidRPr="00E31CCB">
        <w:rPr>
          <w:sz w:val="24"/>
          <w:szCs w:val="24"/>
        </w:rPr>
        <w:t>The Children (Equal Protection) Bill seeks to guarantee that children are shielded from physical punishment in the family by bringing the legislation into compliance with children's human rights.</w:t>
      </w:r>
    </w:p>
    <w:p w14:paraId="2FA82FB0" w14:textId="77777777" w:rsidR="00E31CCB" w:rsidRPr="00E31CCB" w:rsidRDefault="00E31CCB" w:rsidP="00E31CCB">
      <w:pPr>
        <w:rPr>
          <w:sz w:val="24"/>
          <w:szCs w:val="24"/>
        </w:rPr>
      </w:pPr>
      <w:r w:rsidRPr="00E31CCB">
        <w:rPr>
          <w:sz w:val="24"/>
          <w:szCs w:val="24"/>
        </w:rPr>
        <w:t>Key factors:</w:t>
      </w:r>
    </w:p>
    <w:p w14:paraId="623A5026" w14:textId="77777777" w:rsidR="00E31CCB" w:rsidRPr="00E31CCB" w:rsidRDefault="00E31CCB" w:rsidP="00E31CCB">
      <w:pPr>
        <w:rPr>
          <w:sz w:val="24"/>
          <w:szCs w:val="24"/>
        </w:rPr>
      </w:pPr>
      <w:r w:rsidRPr="00E31CCB">
        <w:rPr>
          <w:sz w:val="24"/>
          <w:szCs w:val="24"/>
        </w:rPr>
        <w:t>-aims to outlaw physical punishment of children in any form.</w:t>
      </w:r>
    </w:p>
    <w:p w14:paraId="72219A24" w14:textId="77777777" w:rsidR="00E31CCB" w:rsidRPr="00E31CCB" w:rsidRDefault="00E31CCB" w:rsidP="00E31CCB">
      <w:pPr>
        <w:rPr>
          <w:sz w:val="24"/>
          <w:szCs w:val="24"/>
        </w:rPr>
      </w:pPr>
      <w:r w:rsidRPr="00E31CCB">
        <w:rPr>
          <w:sz w:val="24"/>
          <w:szCs w:val="24"/>
        </w:rPr>
        <w:t xml:space="preserve">-guarantees that the UN Convention on the Rights of the Child treats children with equal respect and dignity. </w:t>
      </w:r>
    </w:p>
    <w:p w14:paraId="0E235D34" w14:textId="77777777" w:rsidR="00E31CCB" w:rsidRPr="00E31CCB" w:rsidRDefault="00E31CCB" w:rsidP="00E31CCB">
      <w:pPr>
        <w:rPr>
          <w:sz w:val="24"/>
          <w:szCs w:val="24"/>
        </w:rPr>
      </w:pPr>
      <w:r w:rsidRPr="00E31CCB">
        <w:rPr>
          <w:sz w:val="24"/>
          <w:szCs w:val="24"/>
        </w:rPr>
        <w:t xml:space="preserve">Evaluation: By bringing UK legislation into compliance with international norms, the Bill is a step in the right direction towards shielding kids from corporal punishment. It has been commended for advocating for children's rights, but there has been discussion </w:t>
      </w:r>
      <w:r w:rsidRPr="00E31CCB">
        <w:rPr>
          <w:sz w:val="24"/>
          <w:szCs w:val="24"/>
        </w:rPr>
        <w:lastRenderedPageBreak/>
        <w:t xml:space="preserve">over how it might affect parental discipline and whether it might lead to conflict between parents and kids (Boddy, 2020). </w:t>
      </w:r>
    </w:p>
    <w:p w14:paraId="7DBB4CC2" w14:textId="77777777" w:rsidR="00E31CCB" w:rsidRPr="00E31CCB" w:rsidRDefault="00E31CCB" w:rsidP="00E31CCB">
      <w:pPr>
        <w:rPr>
          <w:sz w:val="24"/>
          <w:szCs w:val="24"/>
        </w:rPr>
      </w:pPr>
    </w:p>
    <w:p w14:paraId="157CA983" w14:textId="77777777" w:rsidR="00E31CCB" w:rsidRPr="008806CA" w:rsidRDefault="00E31CCB" w:rsidP="00E31CCB">
      <w:pPr>
        <w:rPr>
          <w:b/>
          <w:bCs/>
          <w:sz w:val="24"/>
          <w:szCs w:val="24"/>
        </w:rPr>
      </w:pPr>
      <w:r w:rsidRPr="008806CA">
        <w:rPr>
          <w:b/>
          <w:bCs/>
          <w:sz w:val="24"/>
          <w:szCs w:val="24"/>
        </w:rPr>
        <w:t>Socioeconomic and Biopsychosocial Factors</w:t>
      </w:r>
    </w:p>
    <w:p w14:paraId="6A7FC3F4" w14:textId="77777777" w:rsidR="00E31CCB" w:rsidRPr="00E31CCB" w:rsidRDefault="00E31CCB" w:rsidP="00E31CCB">
      <w:pPr>
        <w:rPr>
          <w:sz w:val="24"/>
          <w:szCs w:val="24"/>
        </w:rPr>
      </w:pPr>
      <w:r w:rsidRPr="00E31CCB">
        <w:rPr>
          <w:sz w:val="24"/>
          <w:szCs w:val="24"/>
        </w:rPr>
        <w:t>Laws like the Children Act 1989 and Every Child Matters, which attempt to address biopsychosocial and socioeconomic concerns, including family structure, poverty, and healthcare access, significantly impact children's health, well-being, and community involvement (Boddy, 2020). Disparities persist, nevertheless, since certain families encounter obstacles while trying to obtain services.</w:t>
      </w:r>
    </w:p>
    <w:p w14:paraId="428D5EC7" w14:textId="77777777" w:rsidR="00E31CCB" w:rsidRPr="00E31CCB" w:rsidRDefault="00E31CCB" w:rsidP="00E31CCB">
      <w:pPr>
        <w:rPr>
          <w:sz w:val="24"/>
          <w:szCs w:val="24"/>
        </w:rPr>
      </w:pPr>
      <w:r w:rsidRPr="00E31CCB">
        <w:rPr>
          <w:sz w:val="24"/>
          <w:szCs w:val="24"/>
        </w:rPr>
        <w:t xml:space="preserve">Piaget's Cognitive Development Theory and Vygotsky's Sociocultural Theory offer frameworks for comprehending child development. The Children and Families Act 2014 follows these views by encouraging inclusive education and tailored support for children with exceptional educational needs (Piaget, 1952; Vygotsky, 1978). </w:t>
      </w:r>
    </w:p>
    <w:p w14:paraId="4479CACA" w14:textId="77777777" w:rsidR="00E31CCB" w:rsidRPr="00E31CCB" w:rsidRDefault="00E31CCB" w:rsidP="00E31CCB">
      <w:pPr>
        <w:rPr>
          <w:sz w:val="24"/>
          <w:szCs w:val="24"/>
        </w:rPr>
      </w:pPr>
      <w:r w:rsidRPr="00E31CCB">
        <w:rPr>
          <w:sz w:val="24"/>
          <w:szCs w:val="24"/>
        </w:rPr>
        <w:t>Social policy is guided by international regulations that emphasise sustainable development and long-term well-being, such as the UNCRC and The Wellbeing of Future Generations (Wales) Act 2015 (Welsh Government, 2015). These rules emphasise the importance of all-encompassing support networks for children's rights.</w:t>
      </w:r>
    </w:p>
    <w:p w14:paraId="5FD73206" w14:textId="77777777" w:rsidR="00EA4156" w:rsidRDefault="00E31CCB" w:rsidP="00E31CCB">
      <w:pPr>
        <w:rPr>
          <w:sz w:val="24"/>
          <w:szCs w:val="24"/>
        </w:rPr>
      </w:pPr>
      <w:r w:rsidRPr="00E31CCB">
        <w:rPr>
          <w:sz w:val="24"/>
          <w:szCs w:val="24"/>
        </w:rPr>
        <w:t xml:space="preserve"> </w:t>
      </w:r>
      <w:r w:rsidR="008806CA">
        <w:rPr>
          <w:sz w:val="24"/>
          <w:szCs w:val="24"/>
        </w:rPr>
        <w:t>C</w:t>
      </w:r>
      <w:r w:rsidRPr="00E31CCB">
        <w:rPr>
          <w:sz w:val="24"/>
          <w:szCs w:val="24"/>
        </w:rPr>
        <w:t>onclusion,</w:t>
      </w:r>
    </w:p>
    <w:p w14:paraId="2D8C4FDA" w14:textId="273CBACE" w:rsidR="00716B53" w:rsidRPr="00EA4156" w:rsidRDefault="00E31CCB" w:rsidP="00E31CCB">
      <w:pPr>
        <w:rPr>
          <w:sz w:val="24"/>
          <w:szCs w:val="24"/>
        </w:rPr>
      </w:pPr>
      <w:r w:rsidRPr="00E31CCB">
        <w:rPr>
          <w:sz w:val="24"/>
          <w:szCs w:val="24"/>
        </w:rPr>
        <w:t xml:space="preserve"> </w:t>
      </w:r>
      <w:r w:rsidR="008806CA">
        <w:rPr>
          <w:sz w:val="24"/>
          <w:szCs w:val="24"/>
        </w:rPr>
        <w:t>E</w:t>
      </w:r>
      <w:r w:rsidRPr="00E31CCB">
        <w:rPr>
          <w:sz w:val="24"/>
          <w:szCs w:val="24"/>
        </w:rPr>
        <w:t xml:space="preserve">ven though there are still issues with resource allocation, child protection laws—especially the Children Act 1989—have greatly enhanced the welfare of children in the UK. These regulations allow children and families to live in a safer, more encouraging environment. </w:t>
      </w:r>
    </w:p>
    <w:p w14:paraId="0659C860" w14:textId="77777777" w:rsidR="00716B53" w:rsidRPr="001447E3" w:rsidRDefault="00716B53" w:rsidP="00716B53">
      <w:pPr>
        <w:rPr>
          <w:rFonts w:ascii="Aptos" w:hAnsi="Aptos"/>
          <w:sz w:val="24"/>
          <w:szCs w:val="24"/>
        </w:rPr>
      </w:pPr>
    </w:p>
    <w:p w14:paraId="51C806F7" w14:textId="77777777" w:rsidR="00624DCE" w:rsidRDefault="00624DCE" w:rsidP="001447E3">
      <w:pPr>
        <w:rPr>
          <w:rFonts w:ascii="Aptos" w:hAnsi="Aptos"/>
          <w:sz w:val="24"/>
          <w:szCs w:val="24"/>
        </w:rPr>
      </w:pPr>
    </w:p>
    <w:p w14:paraId="3F9FB0AD" w14:textId="77777777" w:rsidR="00624DCE" w:rsidRDefault="00624DCE" w:rsidP="001447E3">
      <w:pPr>
        <w:rPr>
          <w:rFonts w:ascii="Aptos" w:hAnsi="Aptos"/>
          <w:sz w:val="24"/>
          <w:szCs w:val="24"/>
        </w:rPr>
      </w:pPr>
    </w:p>
    <w:p w14:paraId="63B01E13" w14:textId="77777777" w:rsidR="00624DCE" w:rsidRDefault="00624DCE" w:rsidP="001447E3">
      <w:pPr>
        <w:rPr>
          <w:rFonts w:ascii="Aptos" w:hAnsi="Aptos"/>
          <w:sz w:val="24"/>
          <w:szCs w:val="24"/>
        </w:rPr>
      </w:pPr>
    </w:p>
    <w:p w14:paraId="7587D6B9" w14:textId="77777777" w:rsidR="00624DCE" w:rsidRDefault="00624DCE" w:rsidP="001447E3">
      <w:pPr>
        <w:rPr>
          <w:rFonts w:ascii="Aptos" w:hAnsi="Aptos"/>
          <w:sz w:val="24"/>
          <w:szCs w:val="24"/>
        </w:rPr>
      </w:pPr>
    </w:p>
    <w:p w14:paraId="51EEF45A" w14:textId="77777777" w:rsidR="00281ACF" w:rsidRDefault="00281ACF" w:rsidP="001447E3">
      <w:pPr>
        <w:rPr>
          <w:rFonts w:ascii="Aptos" w:hAnsi="Aptos"/>
          <w:sz w:val="24"/>
          <w:szCs w:val="24"/>
        </w:rPr>
      </w:pPr>
    </w:p>
    <w:p w14:paraId="26BC9101" w14:textId="77777777" w:rsidR="00281ACF" w:rsidRDefault="00281ACF" w:rsidP="001447E3">
      <w:pPr>
        <w:rPr>
          <w:rFonts w:ascii="Aptos" w:hAnsi="Aptos"/>
          <w:sz w:val="24"/>
          <w:szCs w:val="24"/>
        </w:rPr>
      </w:pPr>
    </w:p>
    <w:p w14:paraId="2AA6AF8F" w14:textId="77777777" w:rsidR="00281ACF" w:rsidRDefault="00281ACF" w:rsidP="001447E3">
      <w:pPr>
        <w:rPr>
          <w:rFonts w:ascii="Aptos" w:hAnsi="Aptos"/>
          <w:sz w:val="24"/>
          <w:szCs w:val="24"/>
        </w:rPr>
      </w:pPr>
    </w:p>
    <w:p w14:paraId="27D144DD" w14:textId="77777777" w:rsidR="00281ACF" w:rsidRDefault="00281ACF" w:rsidP="001447E3">
      <w:pPr>
        <w:rPr>
          <w:rFonts w:ascii="Aptos" w:hAnsi="Aptos"/>
          <w:sz w:val="24"/>
          <w:szCs w:val="24"/>
        </w:rPr>
      </w:pPr>
    </w:p>
    <w:p w14:paraId="46D2F5F3" w14:textId="77777777" w:rsidR="00281ACF" w:rsidRDefault="00281ACF" w:rsidP="001447E3">
      <w:pPr>
        <w:rPr>
          <w:rFonts w:ascii="Aptos" w:hAnsi="Aptos"/>
          <w:sz w:val="24"/>
          <w:szCs w:val="24"/>
        </w:rPr>
      </w:pPr>
    </w:p>
    <w:p w14:paraId="73B1A920" w14:textId="77777777" w:rsidR="00281ACF" w:rsidRDefault="00281ACF" w:rsidP="001447E3">
      <w:pPr>
        <w:rPr>
          <w:rFonts w:ascii="Aptos" w:hAnsi="Aptos"/>
          <w:sz w:val="24"/>
          <w:szCs w:val="24"/>
        </w:rPr>
      </w:pPr>
    </w:p>
    <w:p w14:paraId="629EA16B" w14:textId="77777777" w:rsidR="00EA4156" w:rsidRDefault="00EA4156" w:rsidP="001447E3">
      <w:pPr>
        <w:rPr>
          <w:rFonts w:ascii="Aptos" w:hAnsi="Aptos"/>
          <w:sz w:val="24"/>
          <w:szCs w:val="24"/>
        </w:rPr>
      </w:pPr>
    </w:p>
    <w:p w14:paraId="3375F86A" w14:textId="48FE6612" w:rsidR="001447E3" w:rsidRPr="001447E3" w:rsidRDefault="001447E3" w:rsidP="001447E3">
      <w:pPr>
        <w:rPr>
          <w:rFonts w:ascii="Aptos" w:hAnsi="Aptos"/>
          <w:sz w:val="24"/>
          <w:szCs w:val="24"/>
        </w:rPr>
      </w:pPr>
      <w:r>
        <w:rPr>
          <w:rFonts w:ascii="Aptos" w:hAnsi="Aptos"/>
          <w:sz w:val="24"/>
          <w:szCs w:val="24"/>
        </w:rPr>
        <w:lastRenderedPageBreak/>
        <w:t xml:space="preserve">References : </w:t>
      </w:r>
    </w:p>
    <w:p w14:paraId="561D64A1" w14:textId="77777777" w:rsidR="001447E3" w:rsidRPr="001447E3" w:rsidRDefault="001447E3" w:rsidP="001447E3">
      <w:pPr>
        <w:rPr>
          <w:rFonts w:ascii="Aptos" w:hAnsi="Aptos"/>
          <w:sz w:val="24"/>
          <w:szCs w:val="24"/>
        </w:rPr>
      </w:pPr>
      <w:r w:rsidRPr="001447E3">
        <w:rPr>
          <w:rFonts w:ascii="Aptos" w:hAnsi="Aptos"/>
          <w:sz w:val="24"/>
          <w:szCs w:val="24"/>
        </w:rPr>
        <w:t>American Psychiatric Association. (2023). Family involvement in treatment improves outcomes. Available at: https://www.psychiatry.org/news-room/apa-blogs/family-involvement-in-treatment-improve-outcomes</w:t>
      </w:r>
    </w:p>
    <w:p w14:paraId="40AA65B5" w14:textId="77777777" w:rsidR="001447E3" w:rsidRPr="001447E3" w:rsidRDefault="001447E3" w:rsidP="001447E3">
      <w:pPr>
        <w:rPr>
          <w:rFonts w:ascii="Aptos" w:hAnsi="Aptos"/>
          <w:sz w:val="24"/>
          <w:szCs w:val="24"/>
        </w:rPr>
      </w:pPr>
      <w:proofErr w:type="spellStart"/>
      <w:r w:rsidRPr="001447E3">
        <w:rPr>
          <w:rFonts w:ascii="Aptos" w:hAnsi="Aptos"/>
          <w:sz w:val="24"/>
          <w:szCs w:val="24"/>
        </w:rPr>
        <w:t>Barnardos</w:t>
      </w:r>
      <w:proofErr w:type="spellEnd"/>
      <w:r w:rsidRPr="001447E3">
        <w:rPr>
          <w:rFonts w:ascii="Aptos" w:hAnsi="Aptos"/>
          <w:sz w:val="24"/>
          <w:szCs w:val="24"/>
        </w:rPr>
        <w:t xml:space="preserve"> (2018). The Impact of Children’s Services Legislation on Vulnerable Families. London: </w:t>
      </w:r>
      <w:proofErr w:type="spellStart"/>
      <w:r w:rsidRPr="001447E3">
        <w:rPr>
          <w:rFonts w:ascii="Aptos" w:hAnsi="Aptos"/>
          <w:sz w:val="24"/>
          <w:szCs w:val="24"/>
        </w:rPr>
        <w:t>Barnardos</w:t>
      </w:r>
      <w:proofErr w:type="spellEnd"/>
      <w:r w:rsidRPr="001447E3">
        <w:rPr>
          <w:rFonts w:ascii="Aptos" w:hAnsi="Aptos"/>
          <w:sz w:val="24"/>
          <w:szCs w:val="24"/>
        </w:rPr>
        <w:t>.</w:t>
      </w:r>
    </w:p>
    <w:p w14:paraId="640C95D6" w14:textId="77777777" w:rsidR="001447E3" w:rsidRPr="001447E3" w:rsidRDefault="001447E3" w:rsidP="001447E3">
      <w:pPr>
        <w:rPr>
          <w:rFonts w:ascii="Aptos" w:hAnsi="Aptos"/>
          <w:sz w:val="24"/>
          <w:szCs w:val="24"/>
        </w:rPr>
      </w:pPr>
      <w:r w:rsidRPr="001447E3">
        <w:rPr>
          <w:rFonts w:ascii="Aptos" w:hAnsi="Aptos"/>
          <w:sz w:val="24"/>
          <w:szCs w:val="24"/>
        </w:rPr>
        <w:t>BMC Psychiatry. (2024). The impact of family involvement on mental health recovery and outcomes. BMC Psychiatry. Available at: https://bmcpsychiatry.biomedcentral.com/articles/10.1186/s12888-024-06126-y</w:t>
      </w:r>
    </w:p>
    <w:p w14:paraId="51DD1EB7" w14:textId="77777777" w:rsidR="001447E3" w:rsidRPr="001447E3" w:rsidRDefault="001447E3" w:rsidP="001447E3">
      <w:pPr>
        <w:rPr>
          <w:rFonts w:ascii="Aptos" w:hAnsi="Aptos"/>
          <w:sz w:val="24"/>
          <w:szCs w:val="24"/>
        </w:rPr>
      </w:pPr>
      <w:r w:rsidRPr="001447E3">
        <w:rPr>
          <w:rFonts w:ascii="Aptos" w:hAnsi="Aptos"/>
          <w:sz w:val="24"/>
          <w:szCs w:val="24"/>
        </w:rPr>
        <w:t>Boddy, J. (2020). ‘Children (Equal Protection) Bill 2020’, Journal of Child Protection Law, 28(4), pp. 56-67.</w:t>
      </w:r>
    </w:p>
    <w:p w14:paraId="2AF02281" w14:textId="77777777" w:rsidR="001447E3" w:rsidRPr="001447E3" w:rsidRDefault="001447E3" w:rsidP="001447E3">
      <w:pPr>
        <w:rPr>
          <w:rFonts w:ascii="Aptos" w:hAnsi="Aptos"/>
          <w:sz w:val="24"/>
          <w:szCs w:val="24"/>
        </w:rPr>
      </w:pPr>
      <w:r w:rsidRPr="001447E3">
        <w:rPr>
          <w:rFonts w:ascii="Aptos" w:hAnsi="Aptos"/>
          <w:sz w:val="24"/>
          <w:szCs w:val="24"/>
        </w:rPr>
        <w:t>British Psychological Society. (2023). Child and adolescent mental health services: Overview and guidelines. Available at: https://www.bps.org.uk</w:t>
      </w:r>
    </w:p>
    <w:p w14:paraId="59688867" w14:textId="77777777" w:rsidR="001447E3" w:rsidRPr="001447E3" w:rsidRDefault="001447E3" w:rsidP="001447E3">
      <w:pPr>
        <w:rPr>
          <w:rFonts w:ascii="Aptos" w:hAnsi="Aptos"/>
          <w:sz w:val="24"/>
          <w:szCs w:val="24"/>
        </w:rPr>
      </w:pPr>
      <w:r w:rsidRPr="001447E3">
        <w:rPr>
          <w:rFonts w:ascii="Aptos" w:hAnsi="Aptos"/>
          <w:sz w:val="24"/>
          <w:szCs w:val="24"/>
        </w:rPr>
        <w:t>Bronfenbrenner, U. (1979). The Ecology of Human Development: Experiments by Nature and Design. Cambridge, MA: Harvard University Press.</w:t>
      </w:r>
    </w:p>
    <w:p w14:paraId="1A45B395" w14:textId="77777777" w:rsidR="001447E3" w:rsidRPr="001447E3" w:rsidRDefault="001447E3" w:rsidP="001447E3">
      <w:pPr>
        <w:rPr>
          <w:rFonts w:ascii="Aptos" w:hAnsi="Aptos"/>
          <w:sz w:val="24"/>
          <w:szCs w:val="24"/>
        </w:rPr>
      </w:pPr>
      <w:r w:rsidRPr="001447E3">
        <w:rPr>
          <w:rFonts w:ascii="Aptos" w:hAnsi="Aptos"/>
          <w:sz w:val="24"/>
          <w:szCs w:val="24"/>
        </w:rPr>
        <w:t>Children’s Commissioner for England. (2021). The Big Ask: The largest ever survey of children. London: Office of the Children’s Commissioner. Available at: https://www.childrenscommissioner.gov.uk</w:t>
      </w:r>
    </w:p>
    <w:p w14:paraId="7F071EA3" w14:textId="77777777" w:rsidR="001447E3" w:rsidRPr="001447E3" w:rsidRDefault="001447E3" w:rsidP="001447E3">
      <w:pPr>
        <w:rPr>
          <w:rFonts w:ascii="Aptos" w:hAnsi="Aptos"/>
          <w:sz w:val="24"/>
          <w:szCs w:val="24"/>
        </w:rPr>
      </w:pPr>
      <w:r w:rsidRPr="001447E3">
        <w:rPr>
          <w:rFonts w:ascii="Aptos" w:hAnsi="Aptos"/>
          <w:sz w:val="24"/>
          <w:szCs w:val="24"/>
        </w:rPr>
        <w:t>Children’s Commissioner. (2024). The state of children’s mental health services in England. Available at: https://www.childrenscommissioner.gov.uk/</w:t>
      </w:r>
    </w:p>
    <w:p w14:paraId="4F2F464E" w14:textId="77777777" w:rsidR="001447E3" w:rsidRPr="001447E3" w:rsidRDefault="001447E3" w:rsidP="001447E3">
      <w:pPr>
        <w:rPr>
          <w:rFonts w:ascii="Aptos" w:hAnsi="Aptos"/>
          <w:sz w:val="24"/>
          <w:szCs w:val="24"/>
        </w:rPr>
      </w:pPr>
      <w:r w:rsidRPr="001447E3">
        <w:rPr>
          <w:rFonts w:ascii="Aptos" w:hAnsi="Aptos"/>
          <w:sz w:val="24"/>
          <w:szCs w:val="24"/>
        </w:rPr>
        <w:t>Daniels, H. (2016). Vygotsky and Pedagogy. 2nd ed. Abingdon: Routledge.</w:t>
      </w:r>
    </w:p>
    <w:p w14:paraId="63A8F82C" w14:textId="77777777" w:rsidR="001447E3" w:rsidRPr="001447E3" w:rsidRDefault="001447E3" w:rsidP="001447E3">
      <w:pPr>
        <w:rPr>
          <w:rFonts w:ascii="Aptos" w:hAnsi="Aptos"/>
          <w:sz w:val="24"/>
          <w:szCs w:val="24"/>
        </w:rPr>
      </w:pPr>
      <w:r w:rsidRPr="001447E3">
        <w:rPr>
          <w:rFonts w:ascii="Aptos" w:hAnsi="Aptos"/>
          <w:sz w:val="24"/>
          <w:szCs w:val="24"/>
        </w:rPr>
        <w:t>Department for Education (DfE). (2021). Special educational needs and disability (SEND) code of practice: 0 to 25 years. London: Department for Education. Available at: https://www.gov.uk/government/publications/send-code-of-practice-0-to-25</w:t>
      </w:r>
    </w:p>
    <w:p w14:paraId="6445A805" w14:textId="77777777" w:rsidR="001447E3" w:rsidRPr="001447E3" w:rsidRDefault="001447E3" w:rsidP="001447E3">
      <w:pPr>
        <w:rPr>
          <w:rFonts w:ascii="Aptos" w:hAnsi="Aptos"/>
          <w:sz w:val="24"/>
          <w:szCs w:val="24"/>
        </w:rPr>
      </w:pPr>
      <w:r w:rsidRPr="001447E3">
        <w:rPr>
          <w:rFonts w:ascii="Aptos" w:hAnsi="Aptos"/>
          <w:sz w:val="24"/>
          <w:szCs w:val="24"/>
        </w:rPr>
        <w:t>Department for Education. (2018). Working Together to Safeguard Children: A Guide to Inter-agency Working. London: DfE. Available at: https://www.gov.uk/government/publications/working-together-to-safeguard-children--2</w:t>
      </w:r>
    </w:p>
    <w:p w14:paraId="5F4BA134" w14:textId="77777777" w:rsidR="001447E3" w:rsidRPr="001447E3" w:rsidRDefault="001447E3" w:rsidP="001447E3">
      <w:pPr>
        <w:rPr>
          <w:rFonts w:ascii="Aptos" w:hAnsi="Aptos"/>
          <w:sz w:val="24"/>
          <w:szCs w:val="24"/>
        </w:rPr>
      </w:pPr>
      <w:r w:rsidRPr="001447E3">
        <w:rPr>
          <w:rFonts w:ascii="Aptos" w:hAnsi="Aptos"/>
          <w:sz w:val="24"/>
          <w:szCs w:val="24"/>
        </w:rPr>
        <w:t>Department of Health and Social Care. (2021). Best Start in Life: A Vision for the 1,001 Critical Days. London: DHSC. Available at: https://www.gov.uk/government/publications/best-start-in-life-a-vision-for-the-1001-critical-days</w:t>
      </w:r>
    </w:p>
    <w:p w14:paraId="73743C7A" w14:textId="77777777" w:rsidR="001447E3" w:rsidRPr="001447E3" w:rsidRDefault="001447E3" w:rsidP="001447E3">
      <w:pPr>
        <w:rPr>
          <w:rFonts w:ascii="Aptos" w:hAnsi="Aptos"/>
          <w:sz w:val="24"/>
          <w:szCs w:val="24"/>
        </w:rPr>
      </w:pPr>
      <w:r w:rsidRPr="001447E3">
        <w:rPr>
          <w:rFonts w:ascii="Aptos" w:hAnsi="Aptos"/>
          <w:sz w:val="24"/>
          <w:szCs w:val="24"/>
        </w:rPr>
        <w:t>Erikson, E.H. (1950). Childhood and Society. New York: W. W. Norton &amp; Company.</w:t>
      </w:r>
    </w:p>
    <w:p w14:paraId="4D410670" w14:textId="77777777" w:rsidR="001447E3" w:rsidRPr="001447E3" w:rsidRDefault="001447E3" w:rsidP="001447E3">
      <w:pPr>
        <w:rPr>
          <w:rFonts w:ascii="Aptos" w:hAnsi="Aptos"/>
          <w:sz w:val="24"/>
          <w:szCs w:val="24"/>
        </w:rPr>
      </w:pPr>
      <w:r w:rsidRPr="001447E3">
        <w:rPr>
          <w:rFonts w:ascii="Aptos" w:hAnsi="Aptos"/>
          <w:sz w:val="24"/>
          <w:szCs w:val="24"/>
        </w:rPr>
        <w:t>Giliberti, M. (2016). Family involvement in treatment and discharge planning. Psychiatric News, 51(19). Available at: https://psychnews.psychiatryonline.org/doi/full/10.1176/appi.pn.2016.10a17</w:t>
      </w:r>
    </w:p>
    <w:p w14:paraId="52A0C2BD" w14:textId="77777777" w:rsidR="001447E3" w:rsidRPr="001447E3" w:rsidRDefault="001447E3" w:rsidP="001447E3">
      <w:pPr>
        <w:rPr>
          <w:rFonts w:ascii="Aptos" w:hAnsi="Aptos"/>
          <w:sz w:val="24"/>
          <w:szCs w:val="24"/>
        </w:rPr>
      </w:pPr>
      <w:r w:rsidRPr="001447E3">
        <w:rPr>
          <w:rFonts w:ascii="Aptos" w:hAnsi="Aptos"/>
          <w:sz w:val="24"/>
          <w:szCs w:val="24"/>
        </w:rPr>
        <w:lastRenderedPageBreak/>
        <w:t>HM Government. (1989). Children Act 1989. London: The Stationery Office.</w:t>
      </w:r>
    </w:p>
    <w:p w14:paraId="7C5BB482" w14:textId="77777777" w:rsidR="001447E3" w:rsidRPr="001447E3" w:rsidRDefault="001447E3" w:rsidP="001447E3">
      <w:pPr>
        <w:rPr>
          <w:rFonts w:ascii="Aptos" w:hAnsi="Aptos"/>
          <w:sz w:val="24"/>
          <w:szCs w:val="24"/>
        </w:rPr>
      </w:pPr>
      <w:r w:rsidRPr="001447E3">
        <w:rPr>
          <w:rFonts w:ascii="Aptos" w:hAnsi="Aptos"/>
          <w:sz w:val="24"/>
          <w:szCs w:val="24"/>
        </w:rPr>
        <w:t>HM Government. (2018). Working Together to Safeguard Children: A Guide to Inter-agency Working to Safeguard and Promote the Welfare of Children. London: Department for Education. Available at: https://www.gov.uk/government/publications/working-together-to-safeguard-children</w:t>
      </w:r>
    </w:p>
    <w:p w14:paraId="6528D5FC" w14:textId="77777777" w:rsidR="001447E3" w:rsidRPr="001447E3" w:rsidRDefault="001447E3" w:rsidP="001447E3">
      <w:pPr>
        <w:rPr>
          <w:rFonts w:ascii="Aptos" w:hAnsi="Aptos"/>
          <w:sz w:val="24"/>
          <w:szCs w:val="24"/>
        </w:rPr>
      </w:pPr>
      <w:r w:rsidRPr="001447E3">
        <w:rPr>
          <w:rFonts w:ascii="Aptos" w:hAnsi="Aptos"/>
          <w:sz w:val="24"/>
          <w:szCs w:val="24"/>
        </w:rPr>
        <w:t xml:space="preserve">Howe, D. (2014). Attachment Across the </w:t>
      </w:r>
      <w:proofErr w:type="spellStart"/>
      <w:r w:rsidRPr="001447E3">
        <w:rPr>
          <w:rFonts w:ascii="Aptos" w:hAnsi="Aptos"/>
          <w:sz w:val="24"/>
          <w:szCs w:val="24"/>
        </w:rPr>
        <w:t>Lifecourse</w:t>
      </w:r>
      <w:proofErr w:type="spellEnd"/>
      <w:r w:rsidRPr="001447E3">
        <w:rPr>
          <w:rFonts w:ascii="Aptos" w:hAnsi="Aptos"/>
          <w:sz w:val="24"/>
          <w:szCs w:val="24"/>
        </w:rPr>
        <w:t>: A Brief Introduction. Basingstoke: Palgrave Macmillan.</w:t>
      </w:r>
    </w:p>
    <w:p w14:paraId="6AA62100" w14:textId="77777777" w:rsidR="001447E3" w:rsidRPr="001447E3" w:rsidRDefault="001447E3" w:rsidP="001447E3">
      <w:pPr>
        <w:rPr>
          <w:rFonts w:ascii="Aptos" w:hAnsi="Aptos"/>
          <w:sz w:val="24"/>
          <w:szCs w:val="24"/>
        </w:rPr>
      </w:pPr>
      <w:r w:rsidRPr="001447E3">
        <w:rPr>
          <w:rFonts w:ascii="Aptos" w:hAnsi="Aptos"/>
          <w:sz w:val="24"/>
          <w:szCs w:val="24"/>
        </w:rPr>
        <w:t>Laming, H. (2009). The Protection of Children in England: A Progress Report. London: The Stationery Office.</w:t>
      </w:r>
    </w:p>
    <w:p w14:paraId="024CF1E4" w14:textId="77777777" w:rsidR="001447E3" w:rsidRPr="001447E3" w:rsidRDefault="001447E3" w:rsidP="001447E3">
      <w:pPr>
        <w:rPr>
          <w:rFonts w:ascii="Aptos" w:hAnsi="Aptos"/>
          <w:sz w:val="24"/>
          <w:szCs w:val="24"/>
        </w:rPr>
      </w:pPr>
      <w:r w:rsidRPr="001447E3">
        <w:rPr>
          <w:rFonts w:ascii="Aptos" w:hAnsi="Aptos"/>
          <w:sz w:val="24"/>
          <w:szCs w:val="24"/>
        </w:rPr>
        <w:t>Lundy, L. (2007). ‘"Voice" is not enough: Conceptualising Article 12 of the United Nations Convention on the Rights of the Child’, British Educational Research Journal, 33(6), pp. 927–942.</w:t>
      </w:r>
    </w:p>
    <w:p w14:paraId="5CE87917" w14:textId="77777777" w:rsidR="001447E3" w:rsidRPr="001447E3" w:rsidRDefault="001447E3" w:rsidP="001447E3">
      <w:pPr>
        <w:rPr>
          <w:rFonts w:ascii="Aptos" w:hAnsi="Aptos"/>
          <w:sz w:val="24"/>
          <w:szCs w:val="24"/>
        </w:rPr>
      </w:pPr>
      <w:r w:rsidRPr="001447E3">
        <w:rPr>
          <w:rFonts w:ascii="Aptos" w:hAnsi="Aptos"/>
          <w:sz w:val="24"/>
          <w:szCs w:val="24"/>
        </w:rPr>
        <w:t>Maslow, A.H. (1943). ‘A Theory of Human Motivation’, Psychological Review, 50(4), pp. 370–396.</w:t>
      </w:r>
    </w:p>
    <w:p w14:paraId="5D7A4936" w14:textId="77777777" w:rsidR="001447E3" w:rsidRPr="001447E3" w:rsidRDefault="001447E3" w:rsidP="001447E3">
      <w:pPr>
        <w:rPr>
          <w:rFonts w:ascii="Aptos" w:hAnsi="Aptos"/>
          <w:sz w:val="24"/>
          <w:szCs w:val="24"/>
        </w:rPr>
      </w:pPr>
      <w:r w:rsidRPr="001447E3">
        <w:rPr>
          <w:rFonts w:ascii="Aptos" w:hAnsi="Aptos"/>
          <w:sz w:val="24"/>
          <w:szCs w:val="24"/>
        </w:rPr>
        <w:t>Mental Health Foundation. (2023). Resilience: How to support mental health in young people. Available at: https://www.mentalhealth.org.uk/resilience</w:t>
      </w:r>
    </w:p>
    <w:p w14:paraId="37579600" w14:textId="77777777" w:rsidR="001447E3" w:rsidRPr="001447E3" w:rsidRDefault="001447E3" w:rsidP="001447E3">
      <w:pPr>
        <w:rPr>
          <w:rFonts w:ascii="Aptos" w:hAnsi="Aptos"/>
          <w:sz w:val="24"/>
          <w:szCs w:val="24"/>
        </w:rPr>
      </w:pPr>
      <w:r w:rsidRPr="001447E3">
        <w:rPr>
          <w:rFonts w:ascii="Aptos" w:hAnsi="Aptos"/>
          <w:sz w:val="24"/>
          <w:szCs w:val="24"/>
        </w:rPr>
        <w:t>Mind. (2024). The challenge of child mental health services: Barriers and gaps in CAMHS. Available at: https://www.mind.org.uk</w:t>
      </w:r>
    </w:p>
    <w:p w14:paraId="362261BB" w14:textId="77777777" w:rsidR="001447E3" w:rsidRPr="001447E3" w:rsidRDefault="001447E3" w:rsidP="001447E3">
      <w:pPr>
        <w:rPr>
          <w:rFonts w:ascii="Aptos" w:hAnsi="Aptos"/>
          <w:sz w:val="24"/>
          <w:szCs w:val="24"/>
        </w:rPr>
      </w:pPr>
      <w:r w:rsidRPr="001447E3">
        <w:rPr>
          <w:rFonts w:ascii="Aptos" w:hAnsi="Aptos"/>
          <w:sz w:val="24"/>
          <w:szCs w:val="24"/>
        </w:rPr>
        <w:t>Munro, E. (2011). The Munro Review of Child Protection: Final Report. London: Department for Education.</w:t>
      </w:r>
    </w:p>
    <w:p w14:paraId="600C13B4" w14:textId="77777777" w:rsidR="001447E3" w:rsidRPr="001447E3" w:rsidRDefault="001447E3" w:rsidP="001447E3">
      <w:pPr>
        <w:rPr>
          <w:rFonts w:ascii="Aptos" w:hAnsi="Aptos"/>
          <w:sz w:val="24"/>
          <w:szCs w:val="24"/>
        </w:rPr>
      </w:pPr>
      <w:r w:rsidRPr="001447E3">
        <w:rPr>
          <w:rFonts w:ascii="Aptos" w:hAnsi="Aptos"/>
          <w:sz w:val="24"/>
          <w:szCs w:val="24"/>
        </w:rPr>
        <w:t>National Health Service. (2023). Child and adolescent mental health services (CAMHS). Available at: https://www.nhs.uk/conditions/child-and-adolescent-mental-health-services-camhs/</w:t>
      </w:r>
    </w:p>
    <w:p w14:paraId="4A5CD940" w14:textId="503E5230" w:rsidR="001447E3" w:rsidRPr="001447E3" w:rsidRDefault="001447E3" w:rsidP="001447E3">
      <w:pPr>
        <w:rPr>
          <w:rFonts w:ascii="Aptos" w:hAnsi="Aptos"/>
          <w:sz w:val="24"/>
          <w:szCs w:val="24"/>
        </w:rPr>
      </w:pPr>
      <w:r w:rsidRPr="001447E3">
        <w:rPr>
          <w:rFonts w:ascii="Aptos" w:hAnsi="Aptos"/>
          <w:sz w:val="24"/>
          <w:szCs w:val="24"/>
        </w:rPr>
        <w:t xml:space="preserve">National Housing Federation. (2025). Mental health patients with nowhere to go cost </w:t>
      </w:r>
      <w:r>
        <w:rPr>
          <w:rFonts w:ascii="Aptos" w:hAnsi="Aptos"/>
          <w:sz w:val="24"/>
          <w:szCs w:val="24"/>
        </w:rPr>
        <w:t xml:space="preserve">the </w:t>
      </w:r>
      <w:r w:rsidRPr="001447E3">
        <w:rPr>
          <w:rFonts w:ascii="Aptos" w:hAnsi="Aptos"/>
          <w:sz w:val="24"/>
          <w:szCs w:val="24"/>
        </w:rPr>
        <w:t>NHS £71m in England, report finds. The Guardian. Available at: https://www.theguardian.com/society/2025/feb/11/mental-health-patients-delayed-discharge-costs-nhs-71m-pounds</w:t>
      </w:r>
    </w:p>
    <w:p w14:paraId="67074590" w14:textId="77777777" w:rsidR="001447E3" w:rsidRPr="001447E3" w:rsidRDefault="001447E3" w:rsidP="001447E3">
      <w:pPr>
        <w:rPr>
          <w:rFonts w:ascii="Aptos" w:hAnsi="Aptos"/>
          <w:sz w:val="24"/>
          <w:szCs w:val="24"/>
        </w:rPr>
      </w:pPr>
      <w:r w:rsidRPr="001447E3">
        <w:rPr>
          <w:rFonts w:ascii="Aptos" w:hAnsi="Aptos"/>
          <w:sz w:val="24"/>
          <w:szCs w:val="24"/>
        </w:rPr>
        <w:t>National Institute for Health and Care Excellence (NICE). (2023). Child and adolescent mental health: Assessment and treatment. Available at: https://www.nice.org.uk/guidance/ng234</w:t>
      </w:r>
    </w:p>
    <w:p w14:paraId="1D0492EF" w14:textId="77777777" w:rsidR="001447E3" w:rsidRPr="001447E3" w:rsidRDefault="001447E3" w:rsidP="001447E3">
      <w:pPr>
        <w:rPr>
          <w:rFonts w:ascii="Aptos" w:hAnsi="Aptos"/>
          <w:sz w:val="24"/>
          <w:szCs w:val="24"/>
        </w:rPr>
      </w:pPr>
      <w:r w:rsidRPr="001447E3">
        <w:rPr>
          <w:rFonts w:ascii="Aptos" w:hAnsi="Aptos"/>
          <w:sz w:val="24"/>
          <w:szCs w:val="24"/>
        </w:rPr>
        <w:t>NHS Digital. (2020). Special Educational Needs: Overview and Statistics. Available at: https://digital.nhs.uk</w:t>
      </w:r>
    </w:p>
    <w:p w14:paraId="5385AAB2" w14:textId="77777777" w:rsidR="001447E3" w:rsidRPr="001447E3" w:rsidRDefault="001447E3" w:rsidP="001447E3">
      <w:pPr>
        <w:rPr>
          <w:rFonts w:ascii="Aptos" w:hAnsi="Aptos"/>
          <w:sz w:val="24"/>
          <w:szCs w:val="24"/>
        </w:rPr>
      </w:pPr>
      <w:r w:rsidRPr="001447E3">
        <w:rPr>
          <w:rFonts w:ascii="Aptos" w:hAnsi="Aptos"/>
          <w:sz w:val="24"/>
          <w:szCs w:val="24"/>
        </w:rPr>
        <w:t>NHS England. (2015). Transition to adult mental health services. Available at: https://www.england.nhs.uk</w:t>
      </w:r>
    </w:p>
    <w:p w14:paraId="49F260A1" w14:textId="77777777" w:rsidR="001447E3" w:rsidRPr="001447E3" w:rsidRDefault="001447E3" w:rsidP="001447E3">
      <w:pPr>
        <w:rPr>
          <w:rFonts w:ascii="Aptos" w:hAnsi="Aptos"/>
          <w:sz w:val="24"/>
          <w:szCs w:val="24"/>
        </w:rPr>
      </w:pPr>
      <w:r w:rsidRPr="001447E3">
        <w:rPr>
          <w:rFonts w:ascii="Aptos" w:hAnsi="Aptos"/>
          <w:sz w:val="24"/>
          <w:szCs w:val="24"/>
        </w:rPr>
        <w:t>NSPCC. (2020). How Safe Are Our Children? 2020. Available at: https://learning.nspcc.org.uk/research-resources/how-safe-are-our-children</w:t>
      </w:r>
    </w:p>
    <w:p w14:paraId="7271E4E4" w14:textId="77777777" w:rsidR="001447E3" w:rsidRPr="001447E3" w:rsidRDefault="001447E3" w:rsidP="001447E3">
      <w:pPr>
        <w:rPr>
          <w:rFonts w:ascii="Aptos" w:hAnsi="Aptos"/>
          <w:sz w:val="24"/>
          <w:szCs w:val="24"/>
        </w:rPr>
      </w:pPr>
      <w:r w:rsidRPr="001447E3">
        <w:rPr>
          <w:rFonts w:ascii="Aptos" w:hAnsi="Aptos"/>
          <w:sz w:val="24"/>
          <w:szCs w:val="24"/>
        </w:rPr>
        <w:lastRenderedPageBreak/>
        <w:t>NSPCC. (2024). The role of families in supporting children’s mental health. Available at: https://www.nspcc.org.uk/</w:t>
      </w:r>
    </w:p>
    <w:p w14:paraId="1666E7F5" w14:textId="77777777" w:rsidR="001447E3" w:rsidRPr="001447E3" w:rsidRDefault="001447E3" w:rsidP="001447E3">
      <w:pPr>
        <w:rPr>
          <w:rFonts w:ascii="Aptos" w:hAnsi="Aptos"/>
          <w:sz w:val="24"/>
          <w:szCs w:val="24"/>
        </w:rPr>
      </w:pPr>
      <w:r w:rsidRPr="001447E3">
        <w:rPr>
          <w:rFonts w:ascii="Aptos" w:hAnsi="Aptos"/>
          <w:sz w:val="24"/>
          <w:szCs w:val="24"/>
        </w:rPr>
        <w:t>Ofsted. (2013). The Role of Schools in Safeguarding Children. London: Ofsted.</w:t>
      </w:r>
    </w:p>
    <w:p w14:paraId="04DD4F7D" w14:textId="77777777" w:rsidR="001447E3" w:rsidRPr="001447E3" w:rsidRDefault="001447E3" w:rsidP="001447E3">
      <w:pPr>
        <w:rPr>
          <w:rFonts w:ascii="Aptos" w:hAnsi="Aptos"/>
          <w:sz w:val="24"/>
          <w:szCs w:val="24"/>
        </w:rPr>
      </w:pPr>
      <w:r w:rsidRPr="001447E3">
        <w:rPr>
          <w:rFonts w:ascii="Aptos" w:hAnsi="Aptos"/>
          <w:sz w:val="24"/>
          <w:szCs w:val="24"/>
        </w:rPr>
        <w:t>Parton, N. (2014). The Politics of Child Protection: Contemporary Developments and Future Directions. Basingstoke: Palgrave Macmillan.</w:t>
      </w:r>
    </w:p>
    <w:p w14:paraId="393F2BB4" w14:textId="77777777" w:rsidR="001447E3" w:rsidRPr="001447E3" w:rsidRDefault="001447E3" w:rsidP="001447E3">
      <w:pPr>
        <w:rPr>
          <w:rFonts w:ascii="Aptos" w:hAnsi="Aptos"/>
          <w:sz w:val="24"/>
          <w:szCs w:val="24"/>
        </w:rPr>
      </w:pPr>
      <w:r w:rsidRPr="001447E3">
        <w:rPr>
          <w:rFonts w:ascii="Aptos" w:hAnsi="Aptos"/>
          <w:sz w:val="24"/>
          <w:szCs w:val="24"/>
        </w:rPr>
        <w:t>Piaget, J. (1952). The Origins of Intelligence in Children. New York: International Universities Press.</w:t>
      </w:r>
    </w:p>
    <w:p w14:paraId="37C5897B" w14:textId="77777777" w:rsidR="00FE7533" w:rsidRDefault="00FE7533" w:rsidP="001447E3">
      <w:pPr>
        <w:rPr>
          <w:rFonts w:ascii="Aptos" w:hAnsi="Aptos"/>
          <w:sz w:val="24"/>
          <w:szCs w:val="24"/>
        </w:rPr>
      </w:pPr>
      <w:r w:rsidRPr="00FE7533">
        <w:rPr>
          <w:rFonts w:ascii="Aptos" w:hAnsi="Aptos"/>
          <w:sz w:val="24"/>
          <w:szCs w:val="24"/>
        </w:rPr>
        <w:t>Radford, L., Corral, S., Bradley, C., Fisher, H., Bassett, C., Howat, N., Collishaw, S., &amp; Bradshaw, R. (2011). Child abuse and neglect in the UK today. Londyn: National Society for the Prevention of Cruelty to Children (NSPCC)</w:t>
      </w:r>
    </w:p>
    <w:p w14:paraId="0908479A" w14:textId="55CD15AE" w:rsidR="001447E3" w:rsidRPr="001447E3" w:rsidRDefault="001447E3" w:rsidP="001447E3">
      <w:pPr>
        <w:rPr>
          <w:rFonts w:ascii="Aptos" w:hAnsi="Aptos"/>
          <w:sz w:val="24"/>
          <w:szCs w:val="24"/>
        </w:rPr>
      </w:pPr>
      <w:r w:rsidRPr="001447E3">
        <w:rPr>
          <w:rFonts w:ascii="Aptos" w:hAnsi="Aptos"/>
          <w:sz w:val="24"/>
          <w:szCs w:val="24"/>
        </w:rPr>
        <w:t>Royal College of Psychiatrists. (2023). Mental health workforce crisis: CAMHS staff shortages and their impact. Available at: https://www.rcpsych.ac.uk/</w:t>
      </w:r>
    </w:p>
    <w:p w14:paraId="1DAF835D" w14:textId="77777777" w:rsidR="001447E3" w:rsidRPr="001447E3" w:rsidRDefault="001447E3" w:rsidP="001447E3">
      <w:pPr>
        <w:rPr>
          <w:rFonts w:ascii="Aptos" w:hAnsi="Aptos"/>
          <w:sz w:val="24"/>
          <w:szCs w:val="24"/>
        </w:rPr>
      </w:pPr>
      <w:r w:rsidRPr="001447E3">
        <w:rPr>
          <w:rFonts w:ascii="Aptos" w:hAnsi="Aptos"/>
          <w:sz w:val="24"/>
          <w:szCs w:val="24"/>
        </w:rPr>
        <w:t>Save the Children. (2020). Every Last Child: Education Report. London: Save the Children UK. Available at: https://www.savethechildren.org.uk/content/dam/global/reports/education/every-last-child-education.pdf</w:t>
      </w:r>
    </w:p>
    <w:p w14:paraId="714F44E6" w14:textId="77777777" w:rsidR="001447E3" w:rsidRPr="001447E3" w:rsidRDefault="001447E3" w:rsidP="001447E3">
      <w:pPr>
        <w:rPr>
          <w:rFonts w:ascii="Aptos" w:hAnsi="Aptos"/>
          <w:sz w:val="24"/>
          <w:szCs w:val="24"/>
        </w:rPr>
      </w:pPr>
      <w:r w:rsidRPr="001447E3">
        <w:rPr>
          <w:rFonts w:ascii="Aptos" w:hAnsi="Aptos"/>
          <w:sz w:val="24"/>
          <w:szCs w:val="24"/>
        </w:rPr>
        <w:t>Save the Children. (2020). Stop the Worst Scandal: Protecting Children in the UK. London: Save the Children UK. Available at: https://www.savethechildren.org.uk</w:t>
      </w:r>
    </w:p>
    <w:p w14:paraId="09131BA7" w14:textId="77777777" w:rsidR="001447E3" w:rsidRPr="001447E3" w:rsidRDefault="001447E3" w:rsidP="001447E3">
      <w:pPr>
        <w:rPr>
          <w:rFonts w:ascii="Aptos" w:hAnsi="Aptos"/>
          <w:sz w:val="24"/>
          <w:szCs w:val="24"/>
        </w:rPr>
      </w:pPr>
      <w:r w:rsidRPr="001447E3">
        <w:rPr>
          <w:rFonts w:ascii="Aptos" w:hAnsi="Aptos"/>
          <w:sz w:val="24"/>
          <w:szCs w:val="24"/>
        </w:rPr>
        <w:t>Save the Children. (2020). The Impact of Education on Children’s Well-being. London: Save the Children.</w:t>
      </w:r>
    </w:p>
    <w:p w14:paraId="3D187EF4" w14:textId="77777777" w:rsidR="001447E3" w:rsidRPr="001447E3" w:rsidRDefault="001447E3" w:rsidP="001447E3">
      <w:pPr>
        <w:rPr>
          <w:rFonts w:ascii="Aptos" w:hAnsi="Aptos"/>
          <w:sz w:val="24"/>
          <w:szCs w:val="24"/>
        </w:rPr>
      </w:pPr>
      <w:proofErr w:type="spellStart"/>
      <w:r w:rsidRPr="001447E3">
        <w:rPr>
          <w:rFonts w:ascii="Aptos" w:hAnsi="Aptos"/>
          <w:sz w:val="24"/>
          <w:szCs w:val="24"/>
        </w:rPr>
        <w:t>Sigelman</w:t>
      </w:r>
      <w:proofErr w:type="spellEnd"/>
      <w:r w:rsidRPr="001447E3">
        <w:rPr>
          <w:rFonts w:ascii="Aptos" w:hAnsi="Aptos"/>
          <w:sz w:val="24"/>
          <w:szCs w:val="24"/>
        </w:rPr>
        <w:t>, C.K., and Rider, E.A. (2018). Life-Span Human Development. 9th ed. Boston, MA: Cengage Learning.</w:t>
      </w:r>
    </w:p>
    <w:p w14:paraId="6FCB33B3" w14:textId="71E4F750" w:rsidR="001447E3" w:rsidRPr="001447E3" w:rsidRDefault="001447E3" w:rsidP="001447E3">
      <w:pPr>
        <w:rPr>
          <w:rFonts w:ascii="Aptos" w:hAnsi="Aptos"/>
          <w:sz w:val="24"/>
          <w:szCs w:val="24"/>
        </w:rPr>
      </w:pPr>
      <w:r w:rsidRPr="001447E3">
        <w:rPr>
          <w:rFonts w:ascii="Aptos" w:hAnsi="Aptos"/>
          <w:sz w:val="24"/>
          <w:szCs w:val="24"/>
        </w:rPr>
        <w:t xml:space="preserve">The Guardian. (2025). Children </w:t>
      </w:r>
      <w:r>
        <w:rPr>
          <w:rFonts w:ascii="Aptos" w:hAnsi="Aptos"/>
          <w:sz w:val="24"/>
          <w:szCs w:val="24"/>
        </w:rPr>
        <w:t xml:space="preserve">are </w:t>
      </w:r>
      <w:r w:rsidRPr="001447E3">
        <w:rPr>
          <w:rFonts w:ascii="Aptos" w:hAnsi="Aptos"/>
          <w:sz w:val="24"/>
          <w:szCs w:val="24"/>
        </w:rPr>
        <w:t>sent far from home due to mental health bed shortages. Available at: https://www.theguardian.com/society/2025/feb/08/children-sent-far-from-home-mental-health-care-nhs-england</w:t>
      </w:r>
    </w:p>
    <w:p w14:paraId="618B4ACB" w14:textId="77777777" w:rsidR="001447E3" w:rsidRPr="001447E3" w:rsidRDefault="001447E3" w:rsidP="001447E3">
      <w:pPr>
        <w:rPr>
          <w:rFonts w:ascii="Aptos" w:hAnsi="Aptos"/>
          <w:sz w:val="24"/>
          <w:szCs w:val="24"/>
        </w:rPr>
      </w:pPr>
      <w:r w:rsidRPr="001447E3">
        <w:rPr>
          <w:rFonts w:ascii="Aptos" w:hAnsi="Aptos"/>
          <w:sz w:val="24"/>
          <w:szCs w:val="24"/>
        </w:rPr>
        <w:t>Thomas, S. (2022). Youth involvement in tailored care plans: The importance of personalisation in treatment. Journal of Child and Adolescent Mental Health. Available at: https://www.jcamh.com</w:t>
      </w:r>
    </w:p>
    <w:p w14:paraId="37C135D3" w14:textId="77777777" w:rsidR="001447E3" w:rsidRPr="001447E3" w:rsidRDefault="001447E3" w:rsidP="001447E3">
      <w:pPr>
        <w:rPr>
          <w:rFonts w:ascii="Aptos" w:hAnsi="Aptos"/>
          <w:sz w:val="24"/>
          <w:szCs w:val="24"/>
        </w:rPr>
      </w:pPr>
      <w:r w:rsidRPr="001447E3">
        <w:rPr>
          <w:rFonts w:ascii="Aptos" w:hAnsi="Aptos"/>
          <w:sz w:val="24"/>
          <w:szCs w:val="24"/>
        </w:rPr>
        <w:t>UNCRC (1989). United Nations Convention on the Rights of the Child. Available at: https://www.unicef.org.uk/what-we-do/un-convention-child-rights/</w:t>
      </w:r>
    </w:p>
    <w:p w14:paraId="0A3A9E99" w14:textId="77777777" w:rsidR="001447E3" w:rsidRPr="001447E3" w:rsidRDefault="001447E3" w:rsidP="001447E3">
      <w:pPr>
        <w:rPr>
          <w:rFonts w:ascii="Aptos" w:hAnsi="Aptos"/>
          <w:sz w:val="24"/>
          <w:szCs w:val="24"/>
        </w:rPr>
      </w:pPr>
      <w:r w:rsidRPr="001447E3">
        <w:rPr>
          <w:rFonts w:ascii="Aptos" w:hAnsi="Aptos"/>
          <w:sz w:val="24"/>
          <w:szCs w:val="24"/>
        </w:rPr>
        <w:t>UNESCO (2015). Education for All Global Monitoring Report: Education for All 2000–2015 – Achievements and Challenges. Paris: United Nations Educational, Scientific and Cultural Organization. Available at: https://unesdoc.unesco.org/ark:/48223/pf0000232205</w:t>
      </w:r>
    </w:p>
    <w:p w14:paraId="05E2F6E1" w14:textId="77777777" w:rsidR="001447E3" w:rsidRPr="001447E3" w:rsidRDefault="001447E3" w:rsidP="001447E3">
      <w:pPr>
        <w:rPr>
          <w:rFonts w:ascii="Aptos" w:hAnsi="Aptos"/>
          <w:sz w:val="24"/>
          <w:szCs w:val="24"/>
        </w:rPr>
      </w:pPr>
      <w:r w:rsidRPr="001447E3">
        <w:rPr>
          <w:rFonts w:ascii="Aptos" w:hAnsi="Aptos"/>
          <w:sz w:val="24"/>
          <w:szCs w:val="24"/>
        </w:rPr>
        <w:t>UNICEF UK (2020). UN Convention on the Rights of the Child (UNCRC). Available at: https://www.unicef.org.uk/what-we-do/un-convention-child-rights/</w:t>
      </w:r>
    </w:p>
    <w:p w14:paraId="6F25B80E" w14:textId="77777777" w:rsidR="001447E3" w:rsidRPr="001447E3" w:rsidRDefault="001447E3" w:rsidP="001447E3">
      <w:pPr>
        <w:rPr>
          <w:rFonts w:ascii="Aptos" w:hAnsi="Aptos"/>
          <w:sz w:val="24"/>
          <w:szCs w:val="24"/>
        </w:rPr>
      </w:pPr>
      <w:r w:rsidRPr="001447E3">
        <w:rPr>
          <w:rFonts w:ascii="Aptos" w:hAnsi="Aptos"/>
          <w:sz w:val="24"/>
          <w:szCs w:val="24"/>
        </w:rPr>
        <w:lastRenderedPageBreak/>
        <w:t>Vygotsky, L. (1978). Mind in Society: The Development of Higher Psychological Processes. Cambridge, MA: Harvard University Press.</w:t>
      </w:r>
    </w:p>
    <w:p w14:paraId="1512D245" w14:textId="77777777" w:rsidR="001447E3" w:rsidRPr="001447E3" w:rsidRDefault="001447E3" w:rsidP="001447E3">
      <w:pPr>
        <w:rPr>
          <w:rFonts w:ascii="Aptos" w:hAnsi="Aptos"/>
          <w:sz w:val="24"/>
          <w:szCs w:val="24"/>
        </w:rPr>
      </w:pPr>
      <w:r w:rsidRPr="001447E3">
        <w:rPr>
          <w:rFonts w:ascii="Aptos" w:hAnsi="Aptos"/>
          <w:sz w:val="24"/>
          <w:szCs w:val="24"/>
        </w:rPr>
        <w:t>World Health Organization (WHO). (2018). Nurturing Care for Early Childhood Development: A Framework for Helping Children Survive and Thrive to Transform Health and Human Potential. Geneva: WHO.</w:t>
      </w:r>
    </w:p>
    <w:p w14:paraId="0E196B2D" w14:textId="77777777" w:rsidR="001447E3" w:rsidRPr="001447E3" w:rsidRDefault="001447E3" w:rsidP="001447E3">
      <w:pPr>
        <w:rPr>
          <w:rFonts w:ascii="Aptos" w:hAnsi="Aptos"/>
          <w:sz w:val="24"/>
          <w:szCs w:val="24"/>
        </w:rPr>
      </w:pPr>
      <w:proofErr w:type="spellStart"/>
      <w:r w:rsidRPr="001447E3">
        <w:rPr>
          <w:rFonts w:ascii="Aptos" w:hAnsi="Aptos"/>
          <w:sz w:val="24"/>
          <w:szCs w:val="24"/>
        </w:rPr>
        <w:t>YoungMinds</w:t>
      </w:r>
      <w:proofErr w:type="spellEnd"/>
      <w:r w:rsidRPr="001447E3">
        <w:rPr>
          <w:rFonts w:ascii="Aptos" w:hAnsi="Aptos"/>
          <w:sz w:val="24"/>
          <w:szCs w:val="24"/>
        </w:rPr>
        <w:t>. (2023). CAMHS waiting times and their impact on young people. Available at: https://www.youngminds.org.uk/</w:t>
      </w:r>
    </w:p>
    <w:sectPr w:rsidR="001447E3" w:rsidRPr="001447E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01481F"/>
    <w:multiLevelType w:val="hybridMultilevel"/>
    <w:tmpl w:val="65E696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24180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2E14"/>
    <w:rsid w:val="0001109B"/>
    <w:rsid w:val="00053EFE"/>
    <w:rsid w:val="000D3251"/>
    <w:rsid w:val="000F6E5B"/>
    <w:rsid w:val="00103D50"/>
    <w:rsid w:val="001170AD"/>
    <w:rsid w:val="001447E3"/>
    <w:rsid w:val="001C7408"/>
    <w:rsid w:val="002231B3"/>
    <w:rsid w:val="00275DAA"/>
    <w:rsid w:val="00281ACF"/>
    <w:rsid w:val="00286034"/>
    <w:rsid w:val="003D4583"/>
    <w:rsid w:val="003D612D"/>
    <w:rsid w:val="003F3289"/>
    <w:rsid w:val="003F4225"/>
    <w:rsid w:val="00414CE2"/>
    <w:rsid w:val="004468CC"/>
    <w:rsid w:val="0049163E"/>
    <w:rsid w:val="004D2CAD"/>
    <w:rsid w:val="00624DCE"/>
    <w:rsid w:val="00641495"/>
    <w:rsid w:val="00663293"/>
    <w:rsid w:val="00682E14"/>
    <w:rsid w:val="006F0889"/>
    <w:rsid w:val="00716B53"/>
    <w:rsid w:val="00731807"/>
    <w:rsid w:val="0073438F"/>
    <w:rsid w:val="007B3E7C"/>
    <w:rsid w:val="00827601"/>
    <w:rsid w:val="00842908"/>
    <w:rsid w:val="00870834"/>
    <w:rsid w:val="00876F65"/>
    <w:rsid w:val="008806CA"/>
    <w:rsid w:val="0089179D"/>
    <w:rsid w:val="008978CA"/>
    <w:rsid w:val="008D68CE"/>
    <w:rsid w:val="00905AEB"/>
    <w:rsid w:val="00950356"/>
    <w:rsid w:val="009729FE"/>
    <w:rsid w:val="009E138B"/>
    <w:rsid w:val="00A95D23"/>
    <w:rsid w:val="00B054B1"/>
    <w:rsid w:val="00B2751C"/>
    <w:rsid w:val="00B33A0C"/>
    <w:rsid w:val="00B571B4"/>
    <w:rsid w:val="00B82060"/>
    <w:rsid w:val="00BD415B"/>
    <w:rsid w:val="00BE5CF1"/>
    <w:rsid w:val="00CC26C2"/>
    <w:rsid w:val="00CC34F9"/>
    <w:rsid w:val="00DB5BFA"/>
    <w:rsid w:val="00DF7943"/>
    <w:rsid w:val="00E15105"/>
    <w:rsid w:val="00E31CCB"/>
    <w:rsid w:val="00EA4156"/>
    <w:rsid w:val="00FA5AFE"/>
    <w:rsid w:val="00FD01F2"/>
    <w:rsid w:val="00FE6BA8"/>
    <w:rsid w:val="00FE7533"/>
    <w:rsid w:val="00FF33F9"/>
    <w:rsid w:val="00FF6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1A428F1"/>
  <w15:chartTrackingRefBased/>
  <w15:docId w15:val="{8D7A1494-DA04-41BB-84AE-F6ACE6046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47E3"/>
  </w:style>
  <w:style w:type="paragraph" w:styleId="Heading1">
    <w:name w:val="heading 1"/>
    <w:basedOn w:val="Normal"/>
    <w:next w:val="Normal"/>
    <w:link w:val="Heading1Char"/>
    <w:uiPriority w:val="9"/>
    <w:qFormat/>
    <w:rsid w:val="00682E1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2E1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2E1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2E1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2E1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2E1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2E1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2E1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2E1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2E1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2E1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2E1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2E1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2E1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2E1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2E1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2E1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2E14"/>
    <w:rPr>
      <w:rFonts w:eastAsiaTheme="majorEastAsia" w:cstheme="majorBidi"/>
      <w:color w:val="272727" w:themeColor="text1" w:themeTint="D8"/>
    </w:rPr>
  </w:style>
  <w:style w:type="paragraph" w:styleId="Title">
    <w:name w:val="Title"/>
    <w:basedOn w:val="Normal"/>
    <w:next w:val="Normal"/>
    <w:link w:val="TitleChar"/>
    <w:uiPriority w:val="10"/>
    <w:qFormat/>
    <w:rsid w:val="00682E1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2E1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2E1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2E1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2E14"/>
    <w:pPr>
      <w:spacing w:before="160"/>
      <w:jc w:val="center"/>
    </w:pPr>
    <w:rPr>
      <w:i/>
      <w:iCs/>
      <w:color w:val="404040" w:themeColor="text1" w:themeTint="BF"/>
    </w:rPr>
  </w:style>
  <w:style w:type="character" w:customStyle="1" w:styleId="QuoteChar">
    <w:name w:val="Quote Char"/>
    <w:basedOn w:val="DefaultParagraphFont"/>
    <w:link w:val="Quote"/>
    <w:uiPriority w:val="29"/>
    <w:rsid w:val="00682E14"/>
    <w:rPr>
      <w:i/>
      <w:iCs/>
      <w:color w:val="404040" w:themeColor="text1" w:themeTint="BF"/>
    </w:rPr>
  </w:style>
  <w:style w:type="paragraph" w:styleId="ListParagraph">
    <w:name w:val="List Paragraph"/>
    <w:basedOn w:val="Normal"/>
    <w:uiPriority w:val="34"/>
    <w:qFormat/>
    <w:rsid w:val="00682E14"/>
    <w:pPr>
      <w:ind w:left="720"/>
      <w:contextualSpacing/>
    </w:pPr>
  </w:style>
  <w:style w:type="character" w:styleId="IntenseEmphasis">
    <w:name w:val="Intense Emphasis"/>
    <w:basedOn w:val="DefaultParagraphFont"/>
    <w:uiPriority w:val="21"/>
    <w:qFormat/>
    <w:rsid w:val="00682E14"/>
    <w:rPr>
      <w:i/>
      <w:iCs/>
      <w:color w:val="0F4761" w:themeColor="accent1" w:themeShade="BF"/>
    </w:rPr>
  </w:style>
  <w:style w:type="paragraph" w:styleId="IntenseQuote">
    <w:name w:val="Intense Quote"/>
    <w:basedOn w:val="Normal"/>
    <w:next w:val="Normal"/>
    <w:link w:val="IntenseQuoteChar"/>
    <w:uiPriority w:val="30"/>
    <w:qFormat/>
    <w:rsid w:val="00682E1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2E14"/>
    <w:rPr>
      <w:i/>
      <w:iCs/>
      <w:color w:val="0F4761" w:themeColor="accent1" w:themeShade="BF"/>
    </w:rPr>
  </w:style>
  <w:style w:type="character" w:styleId="IntenseReference">
    <w:name w:val="Intense Reference"/>
    <w:basedOn w:val="DefaultParagraphFont"/>
    <w:uiPriority w:val="32"/>
    <w:qFormat/>
    <w:rsid w:val="00682E14"/>
    <w:rPr>
      <w:b/>
      <w:bCs/>
      <w:smallCaps/>
      <w:color w:val="0F4761" w:themeColor="accent1" w:themeShade="BF"/>
      <w:spacing w:val="5"/>
    </w:rPr>
  </w:style>
  <w:style w:type="character" w:styleId="Hyperlink">
    <w:name w:val="Hyperlink"/>
    <w:basedOn w:val="DefaultParagraphFont"/>
    <w:uiPriority w:val="99"/>
    <w:unhideWhenUsed/>
    <w:rsid w:val="00876F65"/>
    <w:rPr>
      <w:color w:val="467886" w:themeColor="hyperlink"/>
      <w:u w:val="single"/>
    </w:rPr>
  </w:style>
  <w:style w:type="character" w:styleId="UnresolvedMention">
    <w:name w:val="Unresolved Mention"/>
    <w:basedOn w:val="DefaultParagraphFont"/>
    <w:uiPriority w:val="99"/>
    <w:semiHidden/>
    <w:unhideWhenUsed/>
    <w:rsid w:val="00876F65"/>
    <w:rPr>
      <w:color w:val="605E5C"/>
      <w:shd w:val="clear" w:color="auto" w:fill="E1DFDD"/>
    </w:rPr>
  </w:style>
  <w:style w:type="paragraph" w:styleId="NormalWeb">
    <w:name w:val="Normal (Web)"/>
    <w:basedOn w:val="Normal"/>
    <w:uiPriority w:val="99"/>
    <w:unhideWhenUsed/>
    <w:rsid w:val="0073438F"/>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16659">
      <w:bodyDiv w:val="1"/>
      <w:marLeft w:val="0"/>
      <w:marRight w:val="0"/>
      <w:marTop w:val="0"/>
      <w:marBottom w:val="0"/>
      <w:divBdr>
        <w:top w:val="none" w:sz="0" w:space="0" w:color="auto"/>
        <w:left w:val="none" w:sz="0" w:space="0" w:color="auto"/>
        <w:bottom w:val="none" w:sz="0" w:space="0" w:color="auto"/>
        <w:right w:val="none" w:sz="0" w:space="0" w:color="auto"/>
      </w:divBdr>
    </w:div>
    <w:div w:id="513350661">
      <w:bodyDiv w:val="1"/>
      <w:marLeft w:val="0"/>
      <w:marRight w:val="0"/>
      <w:marTop w:val="0"/>
      <w:marBottom w:val="0"/>
      <w:divBdr>
        <w:top w:val="none" w:sz="0" w:space="0" w:color="auto"/>
        <w:left w:val="none" w:sz="0" w:space="0" w:color="auto"/>
        <w:bottom w:val="none" w:sz="0" w:space="0" w:color="auto"/>
        <w:right w:val="none" w:sz="0" w:space="0" w:color="auto"/>
      </w:divBdr>
    </w:div>
    <w:div w:id="582687202">
      <w:bodyDiv w:val="1"/>
      <w:marLeft w:val="0"/>
      <w:marRight w:val="0"/>
      <w:marTop w:val="0"/>
      <w:marBottom w:val="0"/>
      <w:divBdr>
        <w:top w:val="none" w:sz="0" w:space="0" w:color="auto"/>
        <w:left w:val="none" w:sz="0" w:space="0" w:color="auto"/>
        <w:bottom w:val="none" w:sz="0" w:space="0" w:color="auto"/>
        <w:right w:val="none" w:sz="0" w:space="0" w:color="auto"/>
      </w:divBdr>
    </w:div>
    <w:div w:id="642320466">
      <w:bodyDiv w:val="1"/>
      <w:marLeft w:val="0"/>
      <w:marRight w:val="0"/>
      <w:marTop w:val="0"/>
      <w:marBottom w:val="0"/>
      <w:divBdr>
        <w:top w:val="none" w:sz="0" w:space="0" w:color="auto"/>
        <w:left w:val="none" w:sz="0" w:space="0" w:color="auto"/>
        <w:bottom w:val="none" w:sz="0" w:space="0" w:color="auto"/>
        <w:right w:val="none" w:sz="0" w:space="0" w:color="auto"/>
      </w:divBdr>
    </w:div>
    <w:div w:id="2046638162">
      <w:bodyDiv w:val="1"/>
      <w:marLeft w:val="0"/>
      <w:marRight w:val="0"/>
      <w:marTop w:val="0"/>
      <w:marBottom w:val="0"/>
      <w:divBdr>
        <w:top w:val="none" w:sz="0" w:space="0" w:color="auto"/>
        <w:left w:val="none" w:sz="0" w:space="0" w:color="auto"/>
        <w:bottom w:val="none" w:sz="0" w:space="0" w:color="auto"/>
        <w:right w:val="none" w:sz="0" w:space="0" w:color="auto"/>
      </w:divBdr>
    </w:div>
    <w:div w:id="21410277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4394</Words>
  <Characters>28214</Characters>
  <Application>Microsoft Office Word</Application>
  <DocSecurity>0</DocSecurity>
  <Lines>564</Lines>
  <Paragraphs>195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Bozena Mlynarczyk (2217365)</dc:creator>
  <cp:keywords/>
  <dc:description/>
  <cp:lastModifiedBy>Bozena Mlynarczyk (2217365)</cp:lastModifiedBy>
  <cp:revision>26</cp:revision>
  <dcterms:created xsi:type="dcterms:W3CDTF">2025-04-01T09:54:00Z</dcterms:created>
  <dcterms:modified xsi:type="dcterms:W3CDTF">2025-04-08T10:12:00Z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3ef1153dcee0333f5bc4858378a68386d2854c00064148a17e467a066f476cc7</vt:lpwstr>
  </property>
</Properties>
</file>