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642014517"/>
        <w:docPartObj>
          <w:docPartGallery w:val="Cover Pages"/>
          <w:docPartUnique/>
        </w:docPartObj>
      </w:sdtPr>
      <w:sdtContent>
        <w:p w14:paraId="3A0F5619" w14:textId="4FF767E1" w:rsidR="0097438A" w:rsidRDefault="0097438A">
          <w:r>
            <w:rPr>
              <w:noProof/>
            </w:rPr>
            <mc:AlternateContent>
              <mc:Choice Requires="wpg">
                <w:drawing>
                  <wp:anchor distT="0" distB="0" distL="114300" distR="114300" simplePos="0" relativeHeight="251662336" behindDoc="0" locked="0" layoutInCell="1" allowOverlap="1" wp14:anchorId="7966DA84" wp14:editId="79D9E73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707CDE6"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2BFACEBC" wp14:editId="6158FF4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B6631A" w14:textId="77777777" w:rsidR="00F435FE" w:rsidRDefault="00F435FE" w:rsidP="00F435FE">
                                <w:pPr>
                                  <w:pStyle w:val="NoSpacing"/>
                                  <w:spacing w:line="360" w:lineRule="auto"/>
                                  <w:jc w:val="right"/>
                                  <w:rPr>
                                    <w:color w:val="156082" w:themeColor="accent1"/>
                                    <w:sz w:val="36"/>
                                    <w:szCs w:val="36"/>
                                  </w:rPr>
                                </w:pPr>
                                <w:r w:rsidRPr="008E25E6">
                                  <w:rPr>
                                    <w:color w:val="156082" w:themeColor="accent1"/>
                                    <w:sz w:val="36"/>
                                    <w:szCs w:val="36"/>
                                  </w:rPr>
                                  <w:t xml:space="preserve">Amira Mohammed </w:t>
                                </w:r>
                              </w:p>
                              <w:p w14:paraId="04049D56" w14:textId="77777777" w:rsidR="00F435FE" w:rsidRDefault="00F435FE" w:rsidP="00F435FE">
                                <w:pPr>
                                  <w:pStyle w:val="NoSpacing"/>
                                  <w:spacing w:line="360" w:lineRule="auto"/>
                                  <w:jc w:val="right"/>
                                  <w:rPr>
                                    <w:color w:val="156082" w:themeColor="accent1"/>
                                    <w:sz w:val="36"/>
                                    <w:szCs w:val="36"/>
                                  </w:rPr>
                                </w:pPr>
                                <w:r>
                                  <w:rPr>
                                    <w:color w:val="156082" w:themeColor="accent1"/>
                                    <w:sz w:val="36"/>
                                    <w:szCs w:val="36"/>
                                  </w:rPr>
                                  <w:t xml:space="preserve">Student No. </w:t>
                                </w:r>
                                <w:r w:rsidRPr="008E25E6">
                                  <w:rPr>
                                    <w:color w:val="156082" w:themeColor="accent1"/>
                                    <w:sz w:val="36"/>
                                    <w:szCs w:val="36"/>
                                  </w:rPr>
                                  <w:t>2408145</w:t>
                                </w:r>
                              </w:p>
                              <w:p w14:paraId="04D1A864" w14:textId="77777777" w:rsidR="00F435FE" w:rsidRDefault="00F435FE" w:rsidP="00F435FE">
                                <w:pPr>
                                  <w:pStyle w:val="NoSpacing"/>
                                  <w:spacing w:line="360" w:lineRule="auto"/>
                                  <w:jc w:val="right"/>
                                  <w:rPr>
                                    <w:color w:val="156082" w:themeColor="accent1"/>
                                    <w:sz w:val="36"/>
                                    <w:szCs w:val="36"/>
                                  </w:rPr>
                                </w:pPr>
                                <w:r w:rsidRPr="008E25E6">
                                  <w:rPr>
                                    <w:color w:val="156082" w:themeColor="accent1"/>
                                    <w:sz w:val="36"/>
                                    <w:szCs w:val="36"/>
                                  </w:rPr>
                                  <w:t>Lecturer’s Name: Junaid Shaikh</w:t>
                                </w:r>
                              </w:p>
                              <w:p w14:paraId="698AA22F" w14:textId="77777777" w:rsidR="00F435FE" w:rsidRDefault="00F435FE" w:rsidP="00F435FE">
                                <w:pPr>
                                  <w:pStyle w:val="NoSpacing"/>
                                  <w:spacing w:line="360" w:lineRule="auto"/>
                                  <w:jc w:val="right"/>
                                  <w:rPr>
                                    <w:color w:val="156082" w:themeColor="accent1"/>
                                    <w:sz w:val="36"/>
                                    <w:szCs w:val="36"/>
                                  </w:rPr>
                                </w:pPr>
                              </w:p>
                              <w:p w14:paraId="7D704673" w14:textId="32EF6304" w:rsidR="0097438A" w:rsidRDefault="0097438A" w:rsidP="00F435FE">
                                <w:pPr>
                                  <w:pStyle w:val="NoSpacing"/>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2BFACEBC" id="_x0000_t202" coordsize="21600,21600" o:spt="202" path="m,l,21600r21600,l21600,xe">
                    <v:stroke joinstyle="miter"/>
                    <v:path gradientshapeok="t" o:connecttype="rect"/>
                  </v:shapetype>
                  <v:shape id="Text Box 161"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24B6631A" w14:textId="77777777" w:rsidR="00F435FE" w:rsidRDefault="00F435FE" w:rsidP="00F435FE">
                          <w:pPr>
                            <w:pStyle w:val="NoSpacing"/>
                            <w:spacing w:line="360" w:lineRule="auto"/>
                            <w:jc w:val="right"/>
                            <w:rPr>
                              <w:color w:val="156082" w:themeColor="accent1"/>
                              <w:sz w:val="36"/>
                              <w:szCs w:val="36"/>
                            </w:rPr>
                          </w:pPr>
                          <w:r w:rsidRPr="008E25E6">
                            <w:rPr>
                              <w:color w:val="156082" w:themeColor="accent1"/>
                              <w:sz w:val="36"/>
                              <w:szCs w:val="36"/>
                            </w:rPr>
                            <w:t xml:space="preserve">Amira Mohammed </w:t>
                          </w:r>
                        </w:p>
                        <w:p w14:paraId="04049D56" w14:textId="77777777" w:rsidR="00F435FE" w:rsidRDefault="00F435FE" w:rsidP="00F435FE">
                          <w:pPr>
                            <w:pStyle w:val="NoSpacing"/>
                            <w:spacing w:line="360" w:lineRule="auto"/>
                            <w:jc w:val="right"/>
                            <w:rPr>
                              <w:color w:val="156082" w:themeColor="accent1"/>
                              <w:sz w:val="36"/>
                              <w:szCs w:val="36"/>
                            </w:rPr>
                          </w:pPr>
                          <w:r>
                            <w:rPr>
                              <w:color w:val="156082" w:themeColor="accent1"/>
                              <w:sz w:val="36"/>
                              <w:szCs w:val="36"/>
                            </w:rPr>
                            <w:t xml:space="preserve">Student No. </w:t>
                          </w:r>
                          <w:r w:rsidRPr="008E25E6">
                            <w:rPr>
                              <w:color w:val="156082" w:themeColor="accent1"/>
                              <w:sz w:val="36"/>
                              <w:szCs w:val="36"/>
                            </w:rPr>
                            <w:t>2408145</w:t>
                          </w:r>
                        </w:p>
                        <w:p w14:paraId="04D1A864" w14:textId="77777777" w:rsidR="00F435FE" w:rsidRDefault="00F435FE" w:rsidP="00F435FE">
                          <w:pPr>
                            <w:pStyle w:val="NoSpacing"/>
                            <w:spacing w:line="360" w:lineRule="auto"/>
                            <w:jc w:val="right"/>
                            <w:rPr>
                              <w:color w:val="156082" w:themeColor="accent1"/>
                              <w:sz w:val="36"/>
                              <w:szCs w:val="36"/>
                            </w:rPr>
                          </w:pPr>
                          <w:r w:rsidRPr="008E25E6">
                            <w:rPr>
                              <w:color w:val="156082" w:themeColor="accent1"/>
                              <w:sz w:val="36"/>
                              <w:szCs w:val="36"/>
                            </w:rPr>
                            <w:t>Lecturer’s Name: Junaid Shaikh</w:t>
                          </w:r>
                        </w:p>
                        <w:p w14:paraId="698AA22F" w14:textId="77777777" w:rsidR="00F435FE" w:rsidRDefault="00F435FE" w:rsidP="00F435FE">
                          <w:pPr>
                            <w:pStyle w:val="NoSpacing"/>
                            <w:spacing w:line="360" w:lineRule="auto"/>
                            <w:jc w:val="right"/>
                            <w:rPr>
                              <w:color w:val="156082" w:themeColor="accent1"/>
                              <w:sz w:val="36"/>
                              <w:szCs w:val="36"/>
                            </w:rPr>
                          </w:pPr>
                        </w:p>
                        <w:p w14:paraId="7D704673" w14:textId="32EF6304" w:rsidR="0097438A" w:rsidRDefault="0097438A" w:rsidP="00F435FE">
                          <w:pPr>
                            <w:pStyle w:val="NoSpacing"/>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28BCBA5" wp14:editId="78106C4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1DC46A" w14:textId="7133E268" w:rsidR="0097438A" w:rsidRDefault="0097438A">
                                <w:pPr>
                                  <w:jc w:val="right"/>
                                  <w:rPr>
                                    <w:rFonts w:cs="Arial"/>
                                    <w:b/>
                                    <w:color w:val="156082" w:themeColor="accent1"/>
                                    <w:sz w:val="64"/>
                                    <w:szCs w:val="64"/>
                                  </w:rPr>
                                </w:pPr>
                                <w:r w:rsidRPr="0097438A">
                                  <w:rPr>
                                    <w:rFonts w:cs="Arial"/>
                                    <w:b/>
                                    <w:color w:val="156082" w:themeColor="accent1"/>
                                    <w:sz w:val="64"/>
                                    <w:szCs w:val="64"/>
                                  </w:rPr>
                                  <w:t>Component 2: Written Assignment (Report)</w:t>
                                </w:r>
                              </w:p>
                              <w:p w14:paraId="4620A7AC" w14:textId="5865CCA2" w:rsidR="0097438A" w:rsidRPr="0097438A" w:rsidRDefault="0097438A">
                                <w:pPr>
                                  <w:jc w:val="right"/>
                                  <w:rPr>
                                    <w:color w:val="156082" w:themeColor="accent1"/>
                                    <w:sz w:val="30"/>
                                    <w:szCs w:val="30"/>
                                  </w:rPr>
                                </w:pPr>
                                <w:r w:rsidRPr="0097438A">
                                  <w:rPr>
                                    <w:rFonts w:cs="Arial"/>
                                    <w:b/>
                                    <w:color w:val="156082" w:themeColor="accent1"/>
                                    <w:sz w:val="30"/>
                                    <w:szCs w:val="30"/>
                                  </w:rPr>
                                  <w:t xml:space="preserve">Module Code: </w:t>
                                </w:r>
                                <w:r w:rsidRPr="0097438A">
                                  <w:rPr>
                                    <w:rFonts w:cs="Arial"/>
                                    <w:b/>
                                    <w:color w:val="156082" w:themeColor="accent1"/>
                                    <w:sz w:val="30"/>
                                    <w:szCs w:val="30"/>
                                  </w:rPr>
                                  <w:t>BMHP5016</w:t>
                                </w:r>
                              </w:p>
                              <w:p w14:paraId="2704D4B3" w14:textId="70528488" w:rsidR="0097438A" w:rsidRDefault="00F435FE">
                                <w:pPr>
                                  <w:jc w:val="right"/>
                                  <w:rPr>
                                    <w:smallCaps/>
                                    <w:color w:val="404040" w:themeColor="text1" w:themeTint="BF"/>
                                    <w:sz w:val="36"/>
                                    <w:szCs w:val="36"/>
                                  </w:rPr>
                                </w:pPr>
                                <w:r w:rsidRPr="00F435FE">
                                  <w:rPr>
                                    <w:b/>
                                    <w:smallCaps/>
                                    <w:color w:val="404040" w:themeColor="text1" w:themeTint="BF"/>
                                    <w:sz w:val="36"/>
                                    <w:szCs w:val="36"/>
                                  </w:rPr>
                                  <w:t>Principles of Health and Social Care Practice</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28BCBA5"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0E1DC46A" w14:textId="7133E268" w:rsidR="0097438A" w:rsidRDefault="0097438A">
                          <w:pPr>
                            <w:jc w:val="right"/>
                            <w:rPr>
                              <w:rFonts w:cs="Arial"/>
                              <w:b/>
                              <w:color w:val="156082" w:themeColor="accent1"/>
                              <w:sz w:val="64"/>
                              <w:szCs w:val="64"/>
                            </w:rPr>
                          </w:pPr>
                          <w:r w:rsidRPr="0097438A">
                            <w:rPr>
                              <w:rFonts w:cs="Arial"/>
                              <w:b/>
                              <w:color w:val="156082" w:themeColor="accent1"/>
                              <w:sz w:val="64"/>
                              <w:szCs w:val="64"/>
                            </w:rPr>
                            <w:t>Component 2: Written Assignment (Report)</w:t>
                          </w:r>
                        </w:p>
                        <w:p w14:paraId="4620A7AC" w14:textId="5865CCA2" w:rsidR="0097438A" w:rsidRPr="0097438A" w:rsidRDefault="0097438A">
                          <w:pPr>
                            <w:jc w:val="right"/>
                            <w:rPr>
                              <w:color w:val="156082" w:themeColor="accent1"/>
                              <w:sz w:val="30"/>
                              <w:szCs w:val="30"/>
                            </w:rPr>
                          </w:pPr>
                          <w:r w:rsidRPr="0097438A">
                            <w:rPr>
                              <w:rFonts w:cs="Arial"/>
                              <w:b/>
                              <w:color w:val="156082" w:themeColor="accent1"/>
                              <w:sz w:val="30"/>
                              <w:szCs w:val="30"/>
                            </w:rPr>
                            <w:t xml:space="preserve">Module Code: </w:t>
                          </w:r>
                          <w:r w:rsidRPr="0097438A">
                            <w:rPr>
                              <w:rFonts w:cs="Arial"/>
                              <w:b/>
                              <w:color w:val="156082" w:themeColor="accent1"/>
                              <w:sz w:val="30"/>
                              <w:szCs w:val="30"/>
                            </w:rPr>
                            <w:t>BMHP5016</w:t>
                          </w:r>
                        </w:p>
                        <w:p w14:paraId="2704D4B3" w14:textId="70528488" w:rsidR="0097438A" w:rsidRDefault="00F435FE">
                          <w:pPr>
                            <w:jc w:val="right"/>
                            <w:rPr>
                              <w:smallCaps/>
                              <w:color w:val="404040" w:themeColor="text1" w:themeTint="BF"/>
                              <w:sz w:val="36"/>
                              <w:szCs w:val="36"/>
                            </w:rPr>
                          </w:pPr>
                          <w:r w:rsidRPr="00F435FE">
                            <w:rPr>
                              <w:b/>
                              <w:smallCaps/>
                              <w:color w:val="404040" w:themeColor="text1" w:themeTint="BF"/>
                              <w:sz w:val="36"/>
                              <w:szCs w:val="36"/>
                            </w:rPr>
                            <w:t>Principles of Health and Social Care Practice</w:t>
                          </w:r>
                        </w:p>
                      </w:txbxContent>
                    </v:textbox>
                    <w10:wrap type="square" anchorx="page" anchory="page"/>
                  </v:shape>
                </w:pict>
              </mc:Fallback>
            </mc:AlternateContent>
          </w:r>
        </w:p>
        <w:p w14:paraId="38F6D9DA" w14:textId="59A6E835" w:rsidR="0097438A" w:rsidRDefault="0097438A">
          <w:r>
            <w:br w:type="page"/>
          </w:r>
        </w:p>
      </w:sdtContent>
    </w:sdt>
    <w:sdt>
      <w:sdtPr>
        <w:id w:val="-808554465"/>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73E90D39" w14:textId="1EAEF4ED" w:rsidR="0097438A" w:rsidRDefault="0097438A">
          <w:pPr>
            <w:pStyle w:val="TOCHeading"/>
          </w:pPr>
          <w:r>
            <w:t>Contents</w:t>
          </w:r>
        </w:p>
        <w:p w14:paraId="0DF6C034" w14:textId="54A57C93" w:rsidR="00B00BFA" w:rsidRDefault="0097438A" w:rsidP="00B00BFA">
          <w:pPr>
            <w:pStyle w:val="TOC1"/>
            <w:rPr>
              <w:rFonts w:eastAsiaTheme="minorEastAsia"/>
              <w:noProof/>
              <w:lang w:eastAsia="en-GB"/>
            </w:rPr>
          </w:pPr>
          <w:r>
            <w:fldChar w:fldCharType="begin"/>
          </w:r>
          <w:r>
            <w:instrText xml:space="preserve"> TOC \o "1-3" \h \z \u </w:instrText>
          </w:r>
          <w:r>
            <w:fldChar w:fldCharType="separate"/>
          </w:r>
          <w:hyperlink w:anchor="_Toc214051179" w:history="1">
            <w:r w:rsidR="00B00BFA" w:rsidRPr="002A27B3">
              <w:rPr>
                <w:rStyle w:val="Hyperlink"/>
                <w:noProof/>
              </w:rPr>
              <w:t>1. Introduction</w:t>
            </w:r>
            <w:r w:rsidR="00B00BFA">
              <w:rPr>
                <w:noProof/>
                <w:webHidden/>
              </w:rPr>
              <w:tab/>
            </w:r>
            <w:r w:rsidR="00B00BFA">
              <w:rPr>
                <w:noProof/>
                <w:webHidden/>
              </w:rPr>
              <w:fldChar w:fldCharType="begin"/>
            </w:r>
            <w:r w:rsidR="00B00BFA">
              <w:rPr>
                <w:noProof/>
                <w:webHidden/>
              </w:rPr>
              <w:instrText xml:space="preserve"> PAGEREF _Toc214051179 \h </w:instrText>
            </w:r>
            <w:r w:rsidR="00B00BFA">
              <w:rPr>
                <w:noProof/>
                <w:webHidden/>
              </w:rPr>
            </w:r>
            <w:r w:rsidR="00B00BFA">
              <w:rPr>
                <w:noProof/>
                <w:webHidden/>
              </w:rPr>
              <w:fldChar w:fldCharType="separate"/>
            </w:r>
            <w:r w:rsidR="00B00BFA">
              <w:rPr>
                <w:noProof/>
                <w:webHidden/>
              </w:rPr>
              <w:t>2</w:t>
            </w:r>
            <w:r w:rsidR="00B00BFA">
              <w:rPr>
                <w:noProof/>
                <w:webHidden/>
              </w:rPr>
              <w:fldChar w:fldCharType="end"/>
            </w:r>
          </w:hyperlink>
        </w:p>
        <w:p w14:paraId="4E3850A6" w14:textId="4AE1725A" w:rsidR="00B00BFA" w:rsidRDefault="00B00BFA" w:rsidP="00B00BFA">
          <w:pPr>
            <w:pStyle w:val="TOC1"/>
            <w:rPr>
              <w:rFonts w:eastAsiaTheme="minorEastAsia"/>
              <w:noProof/>
              <w:lang w:eastAsia="en-GB"/>
            </w:rPr>
          </w:pPr>
          <w:hyperlink w:anchor="_Toc214051180" w:history="1">
            <w:r w:rsidRPr="002A27B3">
              <w:rPr>
                <w:rStyle w:val="Hyperlink"/>
                <w:noProof/>
              </w:rPr>
              <w:t>2. Person-Centred Care (PCC)</w:t>
            </w:r>
            <w:r>
              <w:rPr>
                <w:noProof/>
                <w:webHidden/>
              </w:rPr>
              <w:tab/>
            </w:r>
            <w:r>
              <w:rPr>
                <w:noProof/>
                <w:webHidden/>
              </w:rPr>
              <w:fldChar w:fldCharType="begin"/>
            </w:r>
            <w:r>
              <w:rPr>
                <w:noProof/>
                <w:webHidden/>
              </w:rPr>
              <w:instrText xml:space="preserve"> PAGEREF _Toc214051180 \h </w:instrText>
            </w:r>
            <w:r>
              <w:rPr>
                <w:noProof/>
                <w:webHidden/>
              </w:rPr>
            </w:r>
            <w:r>
              <w:rPr>
                <w:noProof/>
                <w:webHidden/>
              </w:rPr>
              <w:fldChar w:fldCharType="separate"/>
            </w:r>
            <w:r>
              <w:rPr>
                <w:noProof/>
                <w:webHidden/>
              </w:rPr>
              <w:t>2</w:t>
            </w:r>
            <w:r>
              <w:rPr>
                <w:noProof/>
                <w:webHidden/>
              </w:rPr>
              <w:fldChar w:fldCharType="end"/>
            </w:r>
          </w:hyperlink>
        </w:p>
        <w:p w14:paraId="617ACE43" w14:textId="247B3246" w:rsidR="00B00BFA" w:rsidRDefault="00B00BFA" w:rsidP="00B00BFA">
          <w:pPr>
            <w:pStyle w:val="TOC1"/>
            <w:rPr>
              <w:rFonts w:eastAsiaTheme="minorEastAsia"/>
              <w:noProof/>
              <w:lang w:eastAsia="en-GB"/>
            </w:rPr>
          </w:pPr>
          <w:hyperlink w:anchor="_Toc214051181" w:history="1">
            <w:r w:rsidRPr="002A27B3">
              <w:rPr>
                <w:rStyle w:val="Hyperlink"/>
                <w:noProof/>
              </w:rPr>
              <w:t>3. PCC Theory/Model</w:t>
            </w:r>
            <w:r>
              <w:rPr>
                <w:noProof/>
                <w:webHidden/>
              </w:rPr>
              <w:tab/>
            </w:r>
            <w:r>
              <w:rPr>
                <w:noProof/>
                <w:webHidden/>
              </w:rPr>
              <w:fldChar w:fldCharType="begin"/>
            </w:r>
            <w:r>
              <w:rPr>
                <w:noProof/>
                <w:webHidden/>
              </w:rPr>
              <w:instrText xml:space="preserve"> PAGEREF _Toc214051181 \h </w:instrText>
            </w:r>
            <w:r>
              <w:rPr>
                <w:noProof/>
                <w:webHidden/>
              </w:rPr>
            </w:r>
            <w:r>
              <w:rPr>
                <w:noProof/>
                <w:webHidden/>
              </w:rPr>
              <w:fldChar w:fldCharType="separate"/>
            </w:r>
            <w:r>
              <w:rPr>
                <w:noProof/>
                <w:webHidden/>
              </w:rPr>
              <w:t>3</w:t>
            </w:r>
            <w:r>
              <w:rPr>
                <w:noProof/>
                <w:webHidden/>
              </w:rPr>
              <w:fldChar w:fldCharType="end"/>
            </w:r>
          </w:hyperlink>
        </w:p>
        <w:p w14:paraId="3F47D800" w14:textId="4DE6DF58" w:rsidR="00B00BFA" w:rsidRDefault="00B00BFA" w:rsidP="00B00BFA">
          <w:pPr>
            <w:pStyle w:val="TOC1"/>
            <w:rPr>
              <w:rFonts w:eastAsiaTheme="minorEastAsia"/>
              <w:noProof/>
              <w:lang w:eastAsia="en-GB"/>
            </w:rPr>
          </w:pPr>
          <w:hyperlink w:anchor="_Toc214051182" w:history="1">
            <w:r w:rsidRPr="002A27B3">
              <w:rPr>
                <w:rStyle w:val="Hyperlink"/>
                <w:noProof/>
              </w:rPr>
              <w:t>4. Partnership Working</w:t>
            </w:r>
            <w:r>
              <w:rPr>
                <w:noProof/>
                <w:webHidden/>
              </w:rPr>
              <w:tab/>
            </w:r>
            <w:r>
              <w:rPr>
                <w:noProof/>
                <w:webHidden/>
              </w:rPr>
              <w:fldChar w:fldCharType="begin"/>
            </w:r>
            <w:r>
              <w:rPr>
                <w:noProof/>
                <w:webHidden/>
              </w:rPr>
              <w:instrText xml:space="preserve"> PAGEREF _Toc214051182 \h </w:instrText>
            </w:r>
            <w:r>
              <w:rPr>
                <w:noProof/>
                <w:webHidden/>
              </w:rPr>
            </w:r>
            <w:r>
              <w:rPr>
                <w:noProof/>
                <w:webHidden/>
              </w:rPr>
              <w:fldChar w:fldCharType="separate"/>
            </w:r>
            <w:r>
              <w:rPr>
                <w:noProof/>
                <w:webHidden/>
              </w:rPr>
              <w:t>5</w:t>
            </w:r>
            <w:r>
              <w:rPr>
                <w:noProof/>
                <w:webHidden/>
              </w:rPr>
              <w:fldChar w:fldCharType="end"/>
            </w:r>
          </w:hyperlink>
        </w:p>
        <w:p w14:paraId="423654E9" w14:textId="505AA1CD" w:rsidR="00B00BFA" w:rsidRDefault="00B00BFA" w:rsidP="00B00BFA">
          <w:pPr>
            <w:pStyle w:val="TOC1"/>
            <w:rPr>
              <w:rFonts w:eastAsiaTheme="minorEastAsia"/>
              <w:noProof/>
              <w:lang w:eastAsia="en-GB"/>
            </w:rPr>
          </w:pPr>
          <w:hyperlink w:anchor="_Toc214051183" w:history="1">
            <w:r w:rsidRPr="002A27B3">
              <w:rPr>
                <w:rStyle w:val="Hyperlink"/>
                <w:noProof/>
              </w:rPr>
              <w:t>5. Application to an NHS Hospital Ward</w:t>
            </w:r>
            <w:r>
              <w:rPr>
                <w:noProof/>
                <w:webHidden/>
              </w:rPr>
              <w:tab/>
            </w:r>
            <w:r>
              <w:rPr>
                <w:noProof/>
                <w:webHidden/>
              </w:rPr>
              <w:fldChar w:fldCharType="begin"/>
            </w:r>
            <w:r>
              <w:rPr>
                <w:noProof/>
                <w:webHidden/>
              </w:rPr>
              <w:instrText xml:space="preserve"> PAGEREF _Toc214051183 \h </w:instrText>
            </w:r>
            <w:r>
              <w:rPr>
                <w:noProof/>
                <w:webHidden/>
              </w:rPr>
            </w:r>
            <w:r>
              <w:rPr>
                <w:noProof/>
                <w:webHidden/>
              </w:rPr>
              <w:fldChar w:fldCharType="separate"/>
            </w:r>
            <w:r>
              <w:rPr>
                <w:noProof/>
                <w:webHidden/>
              </w:rPr>
              <w:t>6</w:t>
            </w:r>
            <w:r>
              <w:rPr>
                <w:noProof/>
                <w:webHidden/>
              </w:rPr>
              <w:fldChar w:fldCharType="end"/>
            </w:r>
          </w:hyperlink>
        </w:p>
        <w:p w14:paraId="3964517A" w14:textId="0F848E69" w:rsidR="00B00BFA" w:rsidRDefault="00B00BFA" w:rsidP="00B00BFA">
          <w:pPr>
            <w:pStyle w:val="TOC1"/>
            <w:rPr>
              <w:rFonts w:eastAsiaTheme="minorEastAsia"/>
              <w:noProof/>
              <w:lang w:eastAsia="en-GB"/>
            </w:rPr>
          </w:pPr>
          <w:hyperlink w:anchor="_Toc214051184" w:history="1">
            <w:r w:rsidRPr="002A27B3">
              <w:rPr>
                <w:rStyle w:val="Hyperlink"/>
                <w:noProof/>
              </w:rPr>
              <w:t>6. Recommendations</w:t>
            </w:r>
            <w:r>
              <w:rPr>
                <w:noProof/>
                <w:webHidden/>
              </w:rPr>
              <w:tab/>
            </w:r>
            <w:r>
              <w:rPr>
                <w:noProof/>
                <w:webHidden/>
              </w:rPr>
              <w:fldChar w:fldCharType="begin"/>
            </w:r>
            <w:r>
              <w:rPr>
                <w:noProof/>
                <w:webHidden/>
              </w:rPr>
              <w:instrText xml:space="preserve"> PAGEREF _Toc214051184 \h </w:instrText>
            </w:r>
            <w:r>
              <w:rPr>
                <w:noProof/>
                <w:webHidden/>
              </w:rPr>
            </w:r>
            <w:r>
              <w:rPr>
                <w:noProof/>
                <w:webHidden/>
              </w:rPr>
              <w:fldChar w:fldCharType="separate"/>
            </w:r>
            <w:r>
              <w:rPr>
                <w:noProof/>
                <w:webHidden/>
              </w:rPr>
              <w:t>7</w:t>
            </w:r>
            <w:r>
              <w:rPr>
                <w:noProof/>
                <w:webHidden/>
              </w:rPr>
              <w:fldChar w:fldCharType="end"/>
            </w:r>
          </w:hyperlink>
        </w:p>
        <w:p w14:paraId="58967F33" w14:textId="2DD3544B" w:rsidR="00B00BFA" w:rsidRDefault="00B00BFA" w:rsidP="00B00BFA">
          <w:pPr>
            <w:pStyle w:val="TOC1"/>
            <w:rPr>
              <w:rFonts w:eastAsiaTheme="minorEastAsia"/>
              <w:noProof/>
              <w:lang w:eastAsia="en-GB"/>
            </w:rPr>
          </w:pPr>
          <w:hyperlink w:anchor="_Toc214051185" w:history="1">
            <w:r w:rsidRPr="002A27B3">
              <w:rPr>
                <w:rStyle w:val="Hyperlink"/>
                <w:noProof/>
              </w:rPr>
              <w:t>7. Conclusion</w:t>
            </w:r>
            <w:r>
              <w:rPr>
                <w:noProof/>
                <w:webHidden/>
              </w:rPr>
              <w:tab/>
            </w:r>
            <w:r>
              <w:rPr>
                <w:noProof/>
                <w:webHidden/>
              </w:rPr>
              <w:fldChar w:fldCharType="begin"/>
            </w:r>
            <w:r>
              <w:rPr>
                <w:noProof/>
                <w:webHidden/>
              </w:rPr>
              <w:instrText xml:space="preserve"> PAGEREF _Toc214051185 \h </w:instrText>
            </w:r>
            <w:r>
              <w:rPr>
                <w:noProof/>
                <w:webHidden/>
              </w:rPr>
            </w:r>
            <w:r>
              <w:rPr>
                <w:noProof/>
                <w:webHidden/>
              </w:rPr>
              <w:fldChar w:fldCharType="separate"/>
            </w:r>
            <w:r>
              <w:rPr>
                <w:noProof/>
                <w:webHidden/>
              </w:rPr>
              <w:t>8</w:t>
            </w:r>
            <w:r>
              <w:rPr>
                <w:noProof/>
                <w:webHidden/>
              </w:rPr>
              <w:fldChar w:fldCharType="end"/>
            </w:r>
          </w:hyperlink>
        </w:p>
        <w:p w14:paraId="209AA51D" w14:textId="300F04FB" w:rsidR="00B00BFA" w:rsidRDefault="00B00BFA" w:rsidP="00B00BFA">
          <w:pPr>
            <w:pStyle w:val="TOC1"/>
            <w:rPr>
              <w:rFonts w:eastAsiaTheme="minorEastAsia"/>
              <w:noProof/>
              <w:lang w:eastAsia="en-GB"/>
            </w:rPr>
          </w:pPr>
          <w:hyperlink w:anchor="_Toc214051186" w:history="1">
            <w:r w:rsidRPr="002A27B3">
              <w:rPr>
                <w:rStyle w:val="Hyperlink"/>
                <w:noProof/>
              </w:rPr>
              <w:t>Refrences</w:t>
            </w:r>
            <w:r>
              <w:rPr>
                <w:noProof/>
                <w:webHidden/>
              </w:rPr>
              <w:tab/>
            </w:r>
            <w:r>
              <w:rPr>
                <w:noProof/>
                <w:webHidden/>
              </w:rPr>
              <w:fldChar w:fldCharType="begin"/>
            </w:r>
            <w:r>
              <w:rPr>
                <w:noProof/>
                <w:webHidden/>
              </w:rPr>
              <w:instrText xml:space="preserve"> PAGEREF _Toc214051186 \h </w:instrText>
            </w:r>
            <w:r>
              <w:rPr>
                <w:noProof/>
                <w:webHidden/>
              </w:rPr>
            </w:r>
            <w:r>
              <w:rPr>
                <w:noProof/>
                <w:webHidden/>
              </w:rPr>
              <w:fldChar w:fldCharType="separate"/>
            </w:r>
            <w:r>
              <w:rPr>
                <w:noProof/>
                <w:webHidden/>
              </w:rPr>
              <w:t>9</w:t>
            </w:r>
            <w:r>
              <w:rPr>
                <w:noProof/>
                <w:webHidden/>
              </w:rPr>
              <w:fldChar w:fldCharType="end"/>
            </w:r>
          </w:hyperlink>
        </w:p>
        <w:p w14:paraId="4EAD288F" w14:textId="67BD1E5A" w:rsidR="0097438A" w:rsidRDefault="0097438A">
          <w:r>
            <w:rPr>
              <w:b/>
              <w:bCs/>
              <w:noProof/>
            </w:rPr>
            <w:fldChar w:fldCharType="end"/>
          </w:r>
        </w:p>
      </w:sdtContent>
    </w:sdt>
    <w:p w14:paraId="7A003F84" w14:textId="77777777" w:rsidR="0097438A" w:rsidRDefault="0097438A">
      <w:pPr>
        <w:rPr>
          <w:rFonts w:asciiTheme="majorHAnsi" w:eastAsiaTheme="majorEastAsia" w:hAnsiTheme="majorHAnsi" w:cstheme="majorBidi"/>
          <w:color w:val="0F4761" w:themeColor="accent1" w:themeShade="BF"/>
          <w:sz w:val="40"/>
          <w:szCs w:val="40"/>
        </w:rPr>
      </w:pPr>
      <w:r>
        <w:br w:type="page"/>
      </w:r>
    </w:p>
    <w:p w14:paraId="75728DF4" w14:textId="4B403A0F" w:rsidR="005E5CAE" w:rsidRPr="005E5CAE" w:rsidRDefault="005E5CAE" w:rsidP="005E5CAE">
      <w:pPr>
        <w:pStyle w:val="Heading1"/>
      </w:pPr>
      <w:bookmarkStart w:id="0" w:name="_Toc214051179"/>
      <w:r w:rsidRPr="005E5CAE">
        <w:lastRenderedPageBreak/>
        <w:t>1. Introduction</w:t>
      </w:r>
      <w:bookmarkEnd w:id="0"/>
      <w:r w:rsidRPr="005E5CAE">
        <w:t xml:space="preserve"> </w:t>
      </w:r>
    </w:p>
    <w:p w14:paraId="46BCB2D7" w14:textId="41FD8776" w:rsidR="005E5CAE" w:rsidRPr="005E5CAE" w:rsidRDefault="005E5CAE" w:rsidP="005E5CAE">
      <w:pPr>
        <w:spacing w:line="360" w:lineRule="auto"/>
        <w:jc w:val="both"/>
        <w:rPr>
          <w:rFonts w:ascii="Arial" w:hAnsi="Arial"/>
        </w:rPr>
      </w:pPr>
      <w:r w:rsidRPr="005E5CAE">
        <w:rPr>
          <w:rFonts w:ascii="Arial" w:hAnsi="Arial"/>
        </w:rPr>
        <w:t>Person-centred care (PCC) means putting the patient at the centre of all decisions and treating them as an individual with their own needs, values, and preferences (NHS England, 2021). Partnership working refers to professionals, patients, families, and agencies working together to deliver safe and coordinated care (Glasby &amp; Dickinson, 20</w:t>
      </w:r>
      <w:r w:rsidR="00345806">
        <w:rPr>
          <w:rFonts w:ascii="Arial" w:hAnsi="Arial"/>
        </w:rPr>
        <w:t>14</w:t>
      </w:r>
      <w:r w:rsidRPr="005E5CAE">
        <w:rPr>
          <w:rFonts w:ascii="Arial" w:hAnsi="Arial"/>
        </w:rPr>
        <w:t>). Both PCC and partnership working are essential in UK health and social care because they improve patient experience, support safety, reduce delays, and lead to better health outcomes (Health and Care Act, 2022; WHO, 202</w:t>
      </w:r>
      <w:r w:rsidR="001E1F05">
        <w:rPr>
          <w:rFonts w:ascii="Arial" w:hAnsi="Arial"/>
        </w:rPr>
        <w:t>4</w:t>
      </w:r>
      <w:r w:rsidRPr="005E5CAE">
        <w:rPr>
          <w:rFonts w:ascii="Arial" w:hAnsi="Arial"/>
        </w:rPr>
        <w:t>).</w:t>
      </w:r>
    </w:p>
    <w:p w14:paraId="5025BCD8" w14:textId="77777777" w:rsidR="005E5CAE" w:rsidRDefault="005E5CAE" w:rsidP="005E5CAE">
      <w:pPr>
        <w:spacing w:line="360" w:lineRule="auto"/>
        <w:jc w:val="both"/>
        <w:rPr>
          <w:rFonts w:ascii="Arial" w:hAnsi="Arial"/>
        </w:rPr>
      </w:pPr>
      <w:r w:rsidRPr="005E5CAE">
        <w:rPr>
          <w:rFonts w:ascii="Arial" w:hAnsi="Arial"/>
        </w:rPr>
        <w:t>This report focuses on how PCC and partnership working are applied within an NHS hospital ward. Hospital wards are busy environments where different professionals must communicate clearly and cooperate closely to meet patient needs. The report will explain PCC, discuss a relevant model of care, explore partnership working, apply these ideas to an NHS ward, and offer evidence-based recommendations for improving practice.</w:t>
      </w:r>
    </w:p>
    <w:p w14:paraId="6FC2E5BD" w14:textId="1B0E7E7A" w:rsidR="005E5CAE" w:rsidRPr="005E5CAE" w:rsidRDefault="005E5CAE" w:rsidP="005E5CAE">
      <w:pPr>
        <w:pStyle w:val="Heading1"/>
      </w:pPr>
      <w:bookmarkStart w:id="1" w:name="_Toc214051180"/>
      <w:r w:rsidRPr="005E5CAE">
        <w:t>2. Person-Centred Care (PCC)</w:t>
      </w:r>
      <w:bookmarkEnd w:id="1"/>
      <w:r w:rsidRPr="005E5CAE">
        <w:t xml:space="preserve"> </w:t>
      </w:r>
    </w:p>
    <w:p w14:paraId="22F47F4B" w14:textId="3AAEAB97" w:rsidR="005E5CAE" w:rsidRPr="005E5CAE" w:rsidRDefault="005E5CAE" w:rsidP="005E5CAE">
      <w:pPr>
        <w:spacing w:line="360" w:lineRule="auto"/>
        <w:jc w:val="both"/>
        <w:rPr>
          <w:rFonts w:ascii="Arial" w:hAnsi="Arial"/>
        </w:rPr>
      </w:pPr>
      <w:r w:rsidRPr="005E5CAE">
        <w:rPr>
          <w:rFonts w:ascii="Arial" w:hAnsi="Arial"/>
        </w:rPr>
        <w:t>Person-centred care (PCC) means providing care that respects each person’s values, needs, and preferences, and involving them in decisions about their treatment (NHS England, 2021). It focuses on seeing the patient as a whole person rather than only looking at their illness. PCC promotes choice, dignity, respect, independence, good communication, and the protection of human rights (Coulter et al., 20</w:t>
      </w:r>
      <w:r w:rsidR="00345806">
        <w:rPr>
          <w:rFonts w:ascii="Arial" w:hAnsi="Arial"/>
        </w:rPr>
        <w:t>14</w:t>
      </w:r>
      <w:r w:rsidRPr="005E5CAE">
        <w:rPr>
          <w:rFonts w:ascii="Arial" w:hAnsi="Arial"/>
        </w:rPr>
        <w:t>). These principles help staff deliver care that is compassionate, safe, and centred on what matters most to the patient.</w:t>
      </w:r>
    </w:p>
    <w:p w14:paraId="18C42F00" w14:textId="4E75662B" w:rsidR="005E5CAE" w:rsidRPr="005E5CAE" w:rsidRDefault="005E5CAE" w:rsidP="005E5CAE">
      <w:pPr>
        <w:spacing w:line="360" w:lineRule="auto"/>
        <w:jc w:val="both"/>
        <w:rPr>
          <w:rFonts w:ascii="Arial" w:hAnsi="Arial"/>
        </w:rPr>
      </w:pPr>
      <w:r w:rsidRPr="005E5CAE">
        <w:rPr>
          <w:rFonts w:ascii="Arial" w:hAnsi="Arial"/>
        </w:rPr>
        <w:t>Choice means patients are supported to make informed decisions about their care. Dignity and respect involve recognising a person’s worth, privacy, and cultural needs (RCN, 202</w:t>
      </w:r>
      <w:r w:rsidR="001E1F05">
        <w:rPr>
          <w:rFonts w:ascii="Arial" w:hAnsi="Arial"/>
        </w:rPr>
        <w:t>4</w:t>
      </w:r>
      <w:r w:rsidRPr="005E5CAE">
        <w:rPr>
          <w:rFonts w:ascii="Arial" w:hAnsi="Arial"/>
        </w:rPr>
        <w:t>). Independence is supported when staff encourage patients to do what they can for themselves. Communication is essential because clear information helps patients understand their condition and feel involved</w:t>
      </w:r>
      <w:r w:rsidR="00684ADB">
        <w:rPr>
          <w:rFonts w:ascii="Arial" w:hAnsi="Arial"/>
        </w:rPr>
        <w:t xml:space="preserve"> </w:t>
      </w:r>
      <w:r w:rsidR="00684ADB" w:rsidRPr="00684ADB">
        <w:rPr>
          <w:rFonts w:ascii="Arial" w:hAnsi="Arial"/>
        </w:rPr>
        <w:t>(British Medical Association, 202</w:t>
      </w:r>
      <w:r w:rsidR="00A37162">
        <w:rPr>
          <w:rFonts w:ascii="Arial" w:hAnsi="Arial"/>
        </w:rPr>
        <w:t>5</w:t>
      </w:r>
      <w:r w:rsidR="00684ADB" w:rsidRPr="00684ADB">
        <w:rPr>
          <w:rFonts w:ascii="Arial" w:hAnsi="Arial"/>
        </w:rPr>
        <w:t>).</w:t>
      </w:r>
      <w:r w:rsidRPr="005E5CAE">
        <w:rPr>
          <w:rFonts w:ascii="Arial" w:hAnsi="Arial"/>
        </w:rPr>
        <w:t xml:space="preserve"> Protecting rights means care must be fair, non-discriminatory, and based on consent (Equality Act, 2010).</w:t>
      </w:r>
    </w:p>
    <w:p w14:paraId="394BC2CE" w14:textId="30ED522A" w:rsidR="005E5CAE" w:rsidRPr="005E5CAE" w:rsidRDefault="005E5CAE" w:rsidP="005E5CAE">
      <w:pPr>
        <w:spacing w:line="360" w:lineRule="auto"/>
        <w:jc w:val="both"/>
        <w:rPr>
          <w:rFonts w:ascii="Arial" w:hAnsi="Arial"/>
        </w:rPr>
      </w:pPr>
      <w:r w:rsidRPr="005E5CAE">
        <w:rPr>
          <w:rFonts w:ascii="Arial" w:hAnsi="Arial"/>
        </w:rPr>
        <w:lastRenderedPageBreak/>
        <w:t>PCC is important in health and social care because it improves patient satisfaction, increases trust, and leads to better health outcomes (WHO, 202</w:t>
      </w:r>
      <w:r w:rsidR="001E1F05">
        <w:rPr>
          <w:rFonts w:ascii="Arial" w:hAnsi="Arial"/>
        </w:rPr>
        <w:t>4</w:t>
      </w:r>
      <w:r w:rsidRPr="005E5CAE">
        <w:rPr>
          <w:rFonts w:ascii="Arial" w:hAnsi="Arial"/>
        </w:rPr>
        <w:t>). Research shows that when patients feel listened to and involved, they are more likely to follow treatment plans and experience lower levels of stress and anxiety (Coulter et al., 20</w:t>
      </w:r>
      <w:r w:rsidR="00345806">
        <w:rPr>
          <w:rFonts w:ascii="Arial" w:hAnsi="Arial"/>
        </w:rPr>
        <w:t>14</w:t>
      </w:r>
      <w:r w:rsidRPr="005E5CAE">
        <w:rPr>
          <w:rFonts w:ascii="Arial" w:hAnsi="Arial"/>
        </w:rPr>
        <w:t>). In NHS settings, PCC also supports professional accountability by encouraging teamwork and ethical decision-making.</w:t>
      </w:r>
    </w:p>
    <w:p w14:paraId="2A7D2E55" w14:textId="77777777" w:rsidR="005E5CAE" w:rsidRPr="005E5CAE" w:rsidRDefault="005E5CAE" w:rsidP="005E5CAE">
      <w:pPr>
        <w:spacing w:line="360" w:lineRule="auto"/>
        <w:jc w:val="both"/>
        <w:rPr>
          <w:rFonts w:ascii="Arial" w:hAnsi="Arial"/>
        </w:rPr>
      </w:pPr>
      <w:r w:rsidRPr="005E5CAE">
        <w:rPr>
          <w:rFonts w:ascii="Arial" w:hAnsi="Arial"/>
        </w:rPr>
        <w:t>There are many benefits of PCC for patients. It can improve safety by reducing misunderstandings, especially during treatment planning or discharge. PCC can also improve emotional wellbeing because patients feel valued and supported. In hospital wards, PCC helps patients feel more comfortable, especially when they are vulnerable or in pain. It also strengthens relationships between patients and staff, creating a more positive care environment.</w:t>
      </w:r>
    </w:p>
    <w:p w14:paraId="1F673006" w14:textId="77777777" w:rsidR="005E5CAE" w:rsidRPr="005E5CAE" w:rsidRDefault="005E5CAE" w:rsidP="005E5CAE">
      <w:pPr>
        <w:spacing w:line="360" w:lineRule="auto"/>
        <w:jc w:val="both"/>
        <w:rPr>
          <w:rFonts w:ascii="Arial" w:hAnsi="Arial"/>
        </w:rPr>
      </w:pPr>
      <w:r w:rsidRPr="005E5CAE">
        <w:rPr>
          <w:rFonts w:ascii="Arial" w:hAnsi="Arial"/>
        </w:rPr>
        <w:t>However, there are challenges in delivering PCC in practice. High workloads and staff shortages can limit the time available for meaningful conversations with patients (Health Foundation, 2021). Poor communication between teams can lead to confusion or inconsistent information. Time pressure, especially in busy NHS wards, can make it difficult for staff to always involve patients fully in decisions. In addition, some patients may have communication or cognitive difficulties, which require extra skills and resources to support PCC effectively.</w:t>
      </w:r>
    </w:p>
    <w:p w14:paraId="54AA120C" w14:textId="77777777" w:rsidR="005E5CAE" w:rsidRPr="005E5CAE" w:rsidRDefault="005E5CAE" w:rsidP="005E5CAE">
      <w:pPr>
        <w:spacing w:line="360" w:lineRule="auto"/>
        <w:jc w:val="both"/>
        <w:rPr>
          <w:rFonts w:ascii="Arial" w:hAnsi="Arial"/>
        </w:rPr>
      </w:pPr>
      <w:r w:rsidRPr="005E5CAE">
        <w:rPr>
          <w:rFonts w:ascii="Arial" w:hAnsi="Arial"/>
        </w:rPr>
        <w:t>Despite these challenges, PCC remains a key expectation in UK health care. With the right support, training, and teamwork, it is possible to deliver compassionate, respectful, and person-centred care in hospital settings.</w:t>
      </w:r>
    </w:p>
    <w:p w14:paraId="51565F8B" w14:textId="77777777" w:rsidR="005E5CAE" w:rsidRPr="005E5CAE" w:rsidRDefault="005E5CAE" w:rsidP="005E5CAE">
      <w:pPr>
        <w:spacing w:line="360" w:lineRule="auto"/>
        <w:jc w:val="both"/>
        <w:rPr>
          <w:rFonts w:ascii="Arial" w:hAnsi="Arial"/>
        </w:rPr>
      </w:pPr>
    </w:p>
    <w:p w14:paraId="0BD4B30C" w14:textId="7CCBDC19" w:rsidR="005E5CAE" w:rsidRPr="005E5CAE" w:rsidRDefault="005E5CAE" w:rsidP="005E5CAE">
      <w:pPr>
        <w:pStyle w:val="Heading1"/>
      </w:pPr>
      <w:bookmarkStart w:id="2" w:name="_Toc214051181"/>
      <w:r w:rsidRPr="005E5CAE">
        <w:t>3. PCC Theory/Model</w:t>
      </w:r>
      <w:bookmarkEnd w:id="2"/>
      <w:r w:rsidRPr="005E5CAE">
        <w:t xml:space="preserve"> </w:t>
      </w:r>
    </w:p>
    <w:p w14:paraId="0D144BEE" w14:textId="4A110979" w:rsidR="005E5CAE" w:rsidRPr="005E5CAE" w:rsidRDefault="005E5CAE" w:rsidP="005E5CAE">
      <w:pPr>
        <w:spacing w:line="360" w:lineRule="auto"/>
        <w:jc w:val="both"/>
        <w:rPr>
          <w:rFonts w:ascii="Arial" w:hAnsi="Arial"/>
        </w:rPr>
      </w:pPr>
      <w:r w:rsidRPr="005E5CAE">
        <w:rPr>
          <w:rFonts w:ascii="Arial" w:hAnsi="Arial"/>
        </w:rPr>
        <w:t>Brooker’s VIPS Model (2007) is a widely used framework for delivering person-centred care. Although it was originally developed for dementia care, the principles apply to all health and social care settings because they focus on valuing each person as an individual (Brooker &amp; Latham, 20</w:t>
      </w:r>
      <w:r w:rsidR="00A37162">
        <w:rPr>
          <w:rFonts w:ascii="Arial" w:hAnsi="Arial"/>
        </w:rPr>
        <w:t>15</w:t>
      </w:r>
      <w:r w:rsidRPr="005E5CAE">
        <w:rPr>
          <w:rFonts w:ascii="Arial" w:hAnsi="Arial"/>
        </w:rPr>
        <w:t xml:space="preserve">). The VIPS Model outlines four key elements of person-centred care: </w:t>
      </w:r>
      <w:r w:rsidRPr="005E5CAE">
        <w:rPr>
          <w:rFonts w:ascii="Arial" w:hAnsi="Arial"/>
          <w:b/>
          <w:bCs/>
        </w:rPr>
        <w:t>V, I, P, and S</w:t>
      </w:r>
      <w:r w:rsidRPr="005E5CAE">
        <w:rPr>
          <w:rFonts w:ascii="Arial" w:hAnsi="Arial"/>
        </w:rPr>
        <w:t>.</w:t>
      </w:r>
    </w:p>
    <w:p w14:paraId="62ABFE01" w14:textId="77777777" w:rsidR="005E5CAE" w:rsidRDefault="005E5CAE" w:rsidP="005E5CAE">
      <w:pPr>
        <w:spacing w:line="360" w:lineRule="auto"/>
        <w:jc w:val="both"/>
        <w:rPr>
          <w:rFonts w:ascii="Arial" w:hAnsi="Arial"/>
          <w:b/>
          <w:bCs/>
        </w:rPr>
      </w:pPr>
      <w:r w:rsidRPr="005E5CAE">
        <w:rPr>
          <w:rFonts w:ascii="Arial" w:hAnsi="Arial"/>
          <w:b/>
          <w:bCs/>
        </w:rPr>
        <w:t>V – Valuing people</w:t>
      </w:r>
    </w:p>
    <w:p w14:paraId="7818F2E4" w14:textId="25D1B8F0" w:rsidR="005E5CAE" w:rsidRPr="005E5CAE" w:rsidRDefault="005E5CAE" w:rsidP="005E5CAE">
      <w:pPr>
        <w:spacing w:line="360" w:lineRule="auto"/>
        <w:jc w:val="both"/>
        <w:rPr>
          <w:rFonts w:ascii="Arial" w:hAnsi="Arial"/>
          <w:b/>
          <w:bCs/>
        </w:rPr>
      </w:pPr>
      <w:r w:rsidRPr="005E5CAE">
        <w:rPr>
          <w:rFonts w:ascii="Arial" w:hAnsi="Arial"/>
        </w:rPr>
        <w:lastRenderedPageBreak/>
        <w:t>This means recognising the worth of every patient and treating them with respect, regardless of age, disability, or health condition. In hospital wards, valuing people includes listening to patients and involving them in decisions about their care</w:t>
      </w:r>
      <w:r w:rsidR="00BE2BAE">
        <w:rPr>
          <w:rFonts w:ascii="Arial" w:hAnsi="Arial"/>
        </w:rPr>
        <w:t xml:space="preserve"> </w:t>
      </w:r>
      <w:r w:rsidR="00BE2BAE" w:rsidRPr="00BE2BAE">
        <w:rPr>
          <w:rFonts w:ascii="Arial" w:hAnsi="Arial"/>
        </w:rPr>
        <w:t>(British Medical Association, 202</w:t>
      </w:r>
      <w:r w:rsidR="00A37162">
        <w:rPr>
          <w:rFonts w:ascii="Arial" w:hAnsi="Arial"/>
        </w:rPr>
        <w:t>5</w:t>
      </w:r>
      <w:r w:rsidR="00BE2BAE" w:rsidRPr="00BE2BAE">
        <w:rPr>
          <w:rFonts w:ascii="Arial" w:hAnsi="Arial"/>
        </w:rPr>
        <w:t>).</w:t>
      </w:r>
    </w:p>
    <w:p w14:paraId="5471D2A3" w14:textId="77777777" w:rsidR="005E5CAE" w:rsidRDefault="005E5CAE" w:rsidP="005E5CAE">
      <w:pPr>
        <w:spacing w:line="360" w:lineRule="auto"/>
        <w:jc w:val="both"/>
        <w:rPr>
          <w:rFonts w:ascii="Arial" w:hAnsi="Arial"/>
          <w:b/>
          <w:bCs/>
        </w:rPr>
      </w:pPr>
      <w:r w:rsidRPr="005E5CAE">
        <w:rPr>
          <w:rFonts w:ascii="Arial" w:hAnsi="Arial"/>
          <w:b/>
          <w:bCs/>
        </w:rPr>
        <w:t>I – Individualised care</w:t>
      </w:r>
    </w:p>
    <w:p w14:paraId="702B073E" w14:textId="713EEC8F" w:rsidR="005E5CAE" w:rsidRPr="005E5CAE" w:rsidRDefault="005E5CAE" w:rsidP="005E5CAE">
      <w:pPr>
        <w:spacing w:line="360" w:lineRule="auto"/>
        <w:jc w:val="both"/>
        <w:rPr>
          <w:rFonts w:ascii="Arial" w:hAnsi="Arial"/>
        </w:rPr>
      </w:pPr>
      <w:r w:rsidRPr="005E5CAE">
        <w:rPr>
          <w:rFonts w:ascii="Arial" w:hAnsi="Arial"/>
        </w:rPr>
        <w:t>Individualised care means adapting support to each person’s unique needs, preferences, culture, and lifestyle. This is important in NHS wards because patients often have different conditions, backgrounds, and levels of independence (Brooker &amp; Latham, 20</w:t>
      </w:r>
      <w:r w:rsidR="00A37162">
        <w:rPr>
          <w:rFonts w:ascii="Arial" w:hAnsi="Arial"/>
        </w:rPr>
        <w:t>15</w:t>
      </w:r>
      <w:r w:rsidRPr="005E5CAE">
        <w:rPr>
          <w:rFonts w:ascii="Arial" w:hAnsi="Arial"/>
        </w:rPr>
        <w:t>).</w:t>
      </w:r>
    </w:p>
    <w:p w14:paraId="75CA984E" w14:textId="77777777" w:rsidR="005E5CAE" w:rsidRDefault="005E5CAE" w:rsidP="005E5CAE">
      <w:pPr>
        <w:spacing w:line="360" w:lineRule="auto"/>
        <w:jc w:val="both"/>
        <w:rPr>
          <w:rFonts w:ascii="Arial" w:hAnsi="Arial"/>
          <w:b/>
          <w:bCs/>
        </w:rPr>
      </w:pPr>
      <w:r w:rsidRPr="005E5CAE">
        <w:rPr>
          <w:rFonts w:ascii="Arial" w:hAnsi="Arial"/>
          <w:b/>
          <w:bCs/>
        </w:rPr>
        <w:t>P – Perspective of the patient</w:t>
      </w:r>
    </w:p>
    <w:p w14:paraId="3DC1BD73" w14:textId="7841CD09" w:rsidR="005E5CAE" w:rsidRPr="005E5CAE" w:rsidRDefault="005E5CAE" w:rsidP="005E5CAE">
      <w:pPr>
        <w:spacing w:line="360" w:lineRule="auto"/>
        <w:jc w:val="both"/>
        <w:rPr>
          <w:rFonts w:ascii="Arial" w:hAnsi="Arial"/>
        </w:rPr>
      </w:pPr>
      <w:r w:rsidRPr="005E5CAE">
        <w:rPr>
          <w:rFonts w:ascii="Arial" w:hAnsi="Arial"/>
        </w:rPr>
        <w:t>This principle encourages staff to understand the patient’s feelings, experiences, and viewpoint. In hospital settings, this means using good communication, checking understanding, and asking what matters most to the patient.</w:t>
      </w:r>
    </w:p>
    <w:p w14:paraId="0446356E" w14:textId="77777777" w:rsidR="005E5CAE" w:rsidRDefault="005E5CAE" w:rsidP="005E5CAE">
      <w:pPr>
        <w:spacing w:line="360" w:lineRule="auto"/>
        <w:jc w:val="both"/>
        <w:rPr>
          <w:rFonts w:ascii="Arial" w:hAnsi="Arial"/>
          <w:b/>
          <w:bCs/>
        </w:rPr>
      </w:pPr>
      <w:r w:rsidRPr="005E5CAE">
        <w:rPr>
          <w:rFonts w:ascii="Arial" w:hAnsi="Arial"/>
          <w:b/>
          <w:bCs/>
        </w:rPr>
        <w:t>S – Supportive environment</w:t>
      </w:r>
    </w:p>
    <w:p w14:paraId="4C8DBC38" w14:textId="147C7BC1" w:rsidR="005E5CAE" w:rsidRPr="005E5CAE" w:rsidRDefault="005E5CAE" w:rsidP="005E5CAE">
      <w:pPr>
        <w:spacing w:line="360" w:lineRule="auto"/>
        <w:jc w:val="both"/>
        <w:rPr>
          <w:rFonts w:ascii="Arial" w:hAnsi="Arial"/>
        </w:rPr>
      </w:pPr>
      <w:r w:rsidRPr="005E5CAE">
        <w:rPr>
          <w:rFonts w:ascii="Arial" w:hAnsi="Arial"/>
        </w:rPr>
        <w:t>A supportive environment includes physical space, emotional support, and staff attitudes that help patients feel safe and comfortable. For example, ensuring privacy, reducing noise, and providing clear information all help create a supportive ward environment (Health Foundation, 2021).</w:t>
      </w:r>
    </w:p>
    <w:p w14:paraId="747A8935" w14:textId="77777777" w:rsidR="005E5CAE" w:rsidRPr="005E5CAE" w:rsidRDefault="005E5CAE" w:rsidP="005E5CAE">
      <w:pPr>
        <w:spacing w:line="360" w:lineRule="auto"/>
        <w:jc w:val="both"/>
        <w:rPr>
          <w:rFonts w:ascii="Arial" w:hAnsi="Arial"/>
        </w:rPr>
      </w:pPr>
      <w:r w:rsidRPr="005E5CAE">
        <w:rPr>
          <w:rFonts w:ascii="Arial" w:hAnsi="Arial"/>
        </w:rPr>
        <w:t>The VIPS Model supports PCC because it gives staff a clear structure to follow, helping them focus on respect, communication, and emotional wellbeing. It also encourages staff to work together, making it a good tool for improving teamwork and reducing misunderstandings.</w:t>
      </w:r>
    </w:p>
    <w:p w14:paraId="1BEEA06E" w14:textId="77777777" w:rsidR="005E5CAE" w:rsidRPr="005E5CAE" w:rsidRDefault="005E5CAE" w:rsidP="005E5CAE">
      <w:pPr>
        <w:spacing w:line="360" w:lineRule="auto"/>
        <w:jc w:val="both"/>
        <w:rPr>
          <w:rFonts w:ascii="Arial" w:hAnsi="Arial"/>
        </w:rPr>
      </w:pPr>
      <w:r w:rsidRPr="005E5CAE">
        <w:rPr>
          <w:rFonts w:ascii="Arial" w:hAnsi="Arial"/>
        </w:rPr>
        <w:t>There are several strengths of the VIPS Model. It is simple, practical, and easy for staff to remember. It applies to all patients, not just those with dementia. Research shows that VIPS-based care improves patient satisfaction, safety, and emotional wellbeing (Fazio et al., 2020).</w:t>
      </w:r>
    </w:p>
    <w:p w14:paraId="2C8D5E46" w14:textId="77777777" w:rsidR="005E5CAE" w:rsidRPr="005E5CAE" w:rsidRDefault="005E5CAE" w:rsidP="005E5CAE">
      <w:pPr>
        <w:spacing w:line="360" w:lineRule="auto"/>
        <w:jc w:val="both"/>
        <w:rPr>
          <w:rFonts w:ascii="Arial" w:hAnsi="Arial"/>
        </w:rPr>
      </w:pPr>
      <w:r w:rsidRPr="005E5CAE">
        <w:rPr>
          <w:rFonts w:ascii="Arial" w:hAnsi="Arial"/>
        </w:rPr>
        <w:t>However, there are also limitations. Delivering all four elements consistently can be difficult when staff face time pressure or heavy workloads. Individualised care may require more training, and creating a supportive environment can be challenging in busy hospital wards with limited space and noise.</w:t>
      </w:r>
    </w:p>
    <w:p w14:paraId="466673C1" w14:textId="77777777" w:rsidR="005E5CAE" w:rsidRDefault="005E5CAE" w:rsidP="005E5CAE">
      <w:pPr>
        <w:spacing w:line="360" w:lineRule="auto"/>
        <w:jc w:val="both"/>
        <w:rPr>
          <w:rFonts w:ascii="Arial" w:hAnsi="Arial"/>
        </w:rPr>
      </w:pPr>
      <w:r w:rsidRPr="005E5CAE">
        <w:rPr>
          <w:rFonts w:ascii="Arial" w:hAnsi="Arial"/>
        </w:rPr>
        <w:lastRenderedPageBreak/>
        <w:t>Despite these challenges, the VIPS Model is highly relevant to NHS hospital wards because it promotes dignity, respect, communication, and teamwork. These are essential for delivering safe, high-quality, and person-centred care.</w:t>
      </w:r>
    </w:p>
    <w:p w14:paraId="5CD55195" w14:textId="093E42E8" w:rsidR="001654E6" w:rsidRPr="001654E6" w:rsidRDefault="001654E6" w:rsidP="00684ADB">
      <w:pPr>
        <w:pStyle w:val="Heading1"/>
      </w:pPr>
      <w:bookmarkStart w:id="3" w:name="_Toc214051182"/>
      <w:r w:rsidRPr="001654E6">
        <w:t>4. Partnership Working</w:t>
      </w:r>
      <w:bookmarkEnd w:id="3"/>
      <w:r w:rsidRPr="001654E6">
        <w:t xml:space="preserve"> </w:t>
      </w:r>
    </w:p>
    <w:p w14:paraId="7EA7969E" w14:textId="7BE721C2" w:rsidR="001654E6" w:rsidRPr="001654E6" w:rsidRDefault="001654E6" w:rsidP="001654E6">
      <w:pPr>
        <w:spacing w:line="360" w:lineRule="auto"/>
        <w:jc w:val="both"/>
        <w:rPr>
          <w:rFonts w:ascii="Arial" w:hAnsi="Arial"/>
        </w:rPr>
      </w:pPr>
      <w:r w:rsidRPr="001654E6">
        <w:rPr>
          <w:rFonts w:ascii="Arial" w:hAnsi="Arial"/>
        </w:rPr>
        <w:t>Partnership working means different professionals, services, and organisations working together to provide coordinated, high-quality care (Glasby &amp; Dickinson, 20</w:t>
      </w:r>
      <w:r w:rsidR="00345806">
        <w:rPr>
          <w:rFonts w:ascii="Arial" w:hAnsi="Arial"/>
        </w:rPr>
        <w:t>14</w:t>
      </w:r>
      <w:r w:rsidRPr="001654E6">
        <w:rPr>
          <w:rFonts w:ascii="Arial" w:hAnsi="Arial"/>
        </w:rPr>
        <w:t>). It focuses on sharing information, agreeing goals, and supporting patients in a joined-up way. Partnership working is essential in the NHS because patients often have complex needs that cannot be met by one professional alone.</w:t>
      </w:r>
    </w:p>
    <w:p w14:paraId="7E4A3543" w14:textId="77777777" w:rsidR="001654E6" w:rsidRPr="001654E6" w:rsidRDefault="001654E6" w:rsidP="001654E6">
      <w:pPr>
        <w:spacing w:line="360" w:lineRule="auto"/>
        <w:jc w:val="both"/>
        <w:rPr>
          <w:rFonts w:ascii="Arial" w:hAnsi="Arial"/>
        </w:rPr>
      </w:pPr>
      <w:r w:rsidRPr="001654E6">
        <w:rPr>
          <w:rFonts w:ascii="Arial" w:hAnsi="Arial"/>
        </w:rPr>
        <w:t xml:space="preserve">There are several types of partnership working. </w:t>
      </w:r>
      <w:r w:rsidRPr="001654E6">
        <w:rPr>
          <w:rFonts w:ascii="Arial" w:hAnsi="Arial"/>
          <w:b/>
          <w:bCs/>
        </w:rPr>
        <w:t>Interprofessional partnership</w:t>
      </w:r>
      <w:r w:rsidRPr="001654E6">
        <w:rPr>
          <w:rFonts w:ascii="Arial" w:hAnsi="Arial"/>
        </w:rPr>
        <w:t xml:space="preserve"> involves collaboration between staff from different professions, such as nurses, doctors, physiotherapists, and occupational therapists. </w:t>
      </w:r>
      <w:r w:rsidRPr="001654E6">
        <w:rPr>
          <w:rFonts w:ascii="Arial" w:hAnsi="Arial"/>
          <w:b/>
          <w:bCs/>
        </w:rPr>
        <w:t>Multidisciplinary partnership</w:t>
      </w:r>
      <w:r w:rsidRPr="001654E6">
        <w:rPr>
          <w:rFonts w:ascii="Arial" w:hAnsi="Arial"/>
        </w:rPr>
        <w:t xml:space="preserve"> means professionals work as a team, often through ward rounds or multidisciplinary meetings, to plan and review patient care (Nancarrow et al., 2021). </w:t>
      </w:r>
      <w:r w:rsidRPr="001654E6">
        <w:rPr>
          <w:rFonts w:ascii="Arial" w:hAnsi="Arial"/>
          <w:b/>
          <w:bCs/>
        </w:rPr>
        <w:t>Multi-agency partnership</w:t>
      </w:r>
      <w:r w:rsidRPr="001654E6">
        <w:rPr>
          <w:rFonts w:ascii="Arial" w:hAnsi="Arial"/>
        </w:rPr>
        <w:t xml:space="preserve"> involves external organisations such as social workers, community health services, or voluntary agencies. This type of partnership is especially important for safe discharge planning from hospital to home or community care.</w:t>
      </w:r>
    </w:p>
    <w:p w14:paraId="7FEA53EE" w14:textId="12BC2DCA" w:rsidR="001654E6" w:rsidRPr="001654E6" w:rsidRDefault="001654E6" w:rsidP="001654E6">
      <w:pPr>
        <w:spacing w:line="360" w:lineRule="auto"/>
        <w:jc w:val="both"/>
        <w:rPr>
          <w:rFonts w:ascii="Arial" w:hAnsi="Arial"/>
        </w:rPr>
      </w:pPr>
      <w:r w:rsidRPr="001654E6">
        <w:rPr>
          <w:rFonts w:ascii="Arial" w:hAnsi="Arial"/>
        </w:rPr>
        <w:t>There are many benefits to partnership working. It supports joined-up care because information is shared between professionals, reducing repetition and confusion. Partnership working also improves patient safety by ensuring that risks are identified and managed by the whole team (WHO, 202</w:t>
      </w:r>
      <w:r w:rsidR="001E1F05">
        <w:rPr>
          <w:rFonts w:ascii="Arial" w:hAnsi="Arial"/>
        </w:rPr>
        <w:t>4</w:t>
      </w:r>
      <w:r w:rsidRPr="001654E6">
        <w:rPr>
          <w:rFonts w:ascii="Arial" w:hAnsi="Arial"/>
        </w:rPr>
        <w:t>). When services work together, patients can be discharged earlier and more safely, which helps reduce hospital pressure. Another benefit is holistic care, because partnership working allows staff to consider the patient’s physical, emotional, and social needs rather than focusing only on their medical condition.</w:t>
      </w:r>
    </w:p>
    <w:p w14:paraId="5BA2D6C2" w14:textId="77777777" w:rsidR="001654E6" w:rsidRPr="001654E6" w:rsidRDefault="001654E6" w:rsidP="001654E6">
      <w:pPr>
        <w:spacing w:line="360" w:lineRule="auto"/>
        <w:jc w:val="both"/>
        <w:rPr>
          <w:rFonts w:ascii="Arial" w:hAnsi="Arial"/>
        </w:rPr>
      </w:pPr>
      <w:r w:rsidRPr="001654E6">
        <w:rPr>
          <w:rFonts w:ascii="Arial" w:hAnsi="Arial"/>
        </w:rPr>
        <w:t>However, partnership working also has challenges. Poor communication between staff can cause misunderstandings or delays. Different professional roles and priorities may lead to disagreements about care plans (Nancarrow et al., 2021). A major challenge in the NHS is the lack of fully shared digital records, which can make information harder to access and lead to mistakes. Time pressure and heavy workloads can also limit opportunities for meaningful teamwork.</w:t>
      </w:r>
    </w:p>
    <w:p w14:paraId="1115AFB7" w14:textId="77777777" w:rsidR="001654E6" w:rsidRPr="001654E6" w:rsidRDefault="001654E6" w:rsidP="001654E6">
      <w:pPr>
        <w:spacing w:line="360" w:lineRule="auto"/>
        <w:jc w:val="both"/>
        <w:rPr>
          <w:rFonts w:ascii="Arial" w:hAnsi="Arial"/>
        </w:rPr>
      </w:pPr>
      <w:r w:rsidRPr="001654E6">
        <w:rPr>
          <w:rFonts w:ascii="Arial" w:hAnsi="Arial"/>
        </w:rPr>
        <w:lastRenderedPageBreak/>
        <w:t xml:space="preserve">Legislation supports partnership working in the UK. The </w:t>
      </w:r>
      <w:r w:rsidRPr="001654E6">
        <w:rPr>
          <w:rFonts w:ascii="Arial" w:hAnsi="Arial"/>
          <w:b/>
          <w:bCs/>
        </w:rPr>
        <w:t>Health and Care Act 2022</w:t>
      </w:r>
      <w:r w:rsidRPr="001654E6">
        <w:rPr>
          <w:rFonts w:ascii="Arial" w:hAnsi="Arial"/>
        </w:rPr>
        <w:t xml:space="preserve"> </w:t>
      </w:r>
      <w:proofErr w:type="gramStart"/>
      <w:r w:rsidRPr="001654E6">
        <w:rPr>
          <w:rFonts w:ascii="Arial" w:hAnsi="Arial"/>
        </w:rPr>
        <w:t>promotes</w:t>
      </w:r>
      <w:proofErr w:type="gramEnd"/>
      <w:r w:rsidRPr="001654E6">
        <w:rPr>
          <w:rFonts w:ascii="Arial" w:hAnsi="Arial"/>
        </w:rPr>
        <w:t xml:space="preserve"> integration across health and social care through Integrated Care Systems (ICS), which require organisations to collaborate for better outcomes. The </w:t>
      </w:r>
      <w:r w:rsidRPr="001654E6">
        <w:rPr>
          <w:rFonts w:ascii="Arial" w:hAnsi="Arial"/>
          <w:b/>
          <w:bCs/>
        </w:rPr>
        <w:t>Care Act 2014</w:t>
      </w:r>
      <w:r w:rsidRPr="001654E6">
        <w:rPr>
          <w:rFonts w:ascii="Arial" w:hAnsi="Arial"/>
        </w:rPr>
        <w:t xml:space="preserve"> also emphasises cooperation between local authorities, health services, and partners to meet people’s needs effectively. These laws highlight that partnership working is not optional—it is a legal requirement for delivering safe, person-centred care.</w:t>
      </w:r>
    </w:p>
    <w:p w14:paraId="5CBF7C2C" w14:textId="5569B1BE" w:rsidR="00897687" w:rsidRPr="00897687" w:rsidRDefault="00897687" w:rsidP="00897687">
      <w:pPr>
        <w:pStyle w:val="Heading1"/>
      </w:pPr>
      <w:bookmarkStart w:id="4" w:name="_Toc214051183"/>
      <w:r w:rsidRPr="00897687">
        <w:t>5. Application to an NHS Hospital Ward</w:t>
      </w:r>
      <w:bookmarkEnd w:id="4"/>
      <w:r w:rsidRPr="00897687">
        <w:t xml:space="preserve"> </w:t>
      </w:r>
    </w:p>
    <w:p w14:paraId="390B7BBA" w14:textId="77777777" w:rsidR="00897687" w:rsidRPr="00897687" w:rsidRDefault="00897687" w:rsidP="00897687">
      <w:pPr>
        <w:spacing w:line="360" w:lineRule="auto"/>
        <w:jc w:val="both"/>
        <w:rPr>
          <w:rFonts w:ascii="Arial" w:hAnsi="Arial"/>
        </w:rPr>
      </w:pPr>
      <w:r w:rsidRPr="00897687">
        <w:rPr>
          <w:rFonts w:ascii="Arial" w:hAnsi="Arial"/>
        </w:rPr>
        <w:t xml:space="preserve">In an NHS hospital ward, person-centred care (PCC), partnership working, and the VIPS Model work together to support safe and compassionate care. PCC is used in daily practice through individualised care planning. Nurses and doctors gather information about the patient’s needs, preferences, culture, and goals to create a personalised care plan (NHS England, 2021). Clear communication is essential, and staff explain treatment options in simple language so patients can make informed choices. This supports dignity and shared decision-making, which are key PCC principles. Staff also protect privacy during personal care and encourage independence by supporting patients to do tasks they </w:t>
      </w:r>
      <w:proofErr w:type="gramStart"/>
      <w:r w:rsidRPr="00897687">
        <w:rPr>
          <w:rFonts w:ascii="Arial" w:hAnsi="Arial"/>
        </w:rPr>
        <w:t>are able to</w:t>
      </w:r>
      <w:proofErr w:type="gramEnd"/>
      <w:r w:rsidRPr="00897687">
        <w:rPr>
          <w:rFonts w:ascii="Arial" w:hAnsi="Arial"/>
        </w:rPr>
        <w:t xml:space="preserve"> do.</w:t>
      </w:r>
    </w:p>
    <w:p w14:paraId="08965CF3" w14:textId="39433613" w:rsidR="00897687" w:rsidRPr="00897687" w:rsidRDefault="00897687" w:rsidP="00897687">
      <w:pPr>
        <w:spacing w:line="360" w:lineRule="auto"/>
        <w:jc w:val="both"/>
        <w:rPr>
          <w:rFonts w:ascii="Arial" w:hAnsi="Arial"/>
        </w:rPr>
      </w:pPr>
      <w:r w:rsidRPr="00897687">
        <w:rPr>
          <w:rFonts w:ascii="Arial" w:hAnsi="Arial"/>
        </w:rPr>
        <w:t xml:space="preserve">The multidisciplinary team (MDT) plays an important role in partnership working on hospital wards. This team often includes doctors, nurses, physiotherapists, occupational therapists, speech and language therapists, pharmacists, and social workers. MDT meetings or ward rounds help professionals share information, agree goals, and coordinate care </w:t>
      </w:r>
      <w:r w:rsidR="00684ADB" w:rsidRPr="00684ADB">
        <w:rPr>
          <w:rFonts w:ascii="Arial" w:hAnsi="Arial"/>
        </w:rPr>
        <w:t>(Nancarrow et al., 2021; Royal College of Physicians, 2022)</w:t>
      </w:r>
      <w:r w:rsidRPr="00897687">
        <w:rPr>
          <w:rFonts w:ascii="Arial" w:hAnsi="Arial"/>
        </w:rPr>
        <w:t>. For example, a physiotherapist may advise on mobility plans, while a social worker helps plan support at home. This joined-up approach reduces delays, prevents mistakes, and ensures care is holistic.</w:t>
      </w:r>
    </w:p>
    <w:p w14:paraId="0B78899B" w14:textId="7A25CC00" w:rsidR="00897687" w:rsidRPr="00897687" w:rsidRDefault="00897687" w:rsidP="00897687">
      <w:pPr>
        <w:spacing w:line="360" w:lineRule="auto"/>
        <w:jc w:val="both"/>
        <w:rPr>
          <w:rFonts w:ascii="Arial" w:hAnsi="Arial"/>
        </w:rPr>
      </w:pPr>
      <w:r w:rsidRPr="00897687">
        <w:rPr>
          <w:rFonts w:ascii="Arial" w:hAnsi="Arial"/>
        </w:rPr>
        <w:t>Families are also included as partners in care. Staff often involve family members in discussions, especially when patients have communication difficulties or complex needs. Families can give important information about the patient's preferences and routines. Research shows that family involvement improves patient satisfaction and emotional wellbeing (Coulter et al., 20</w:t>
      </w:r>
      <w:r w:rsidR="00345806">
        <w:rPr>
          <w:rFonts w:ascii="Arial" w:hAnsi="Arial"/>
        </w:rPr>
        <w:t>14</w:t>
      </w:r>
      <w:r w:rsidRPr="00897687">
        <w:rPr>
          <w:rFonts w:ascii="Arial" w:hAnsi="Arial"/>
        </w:rPr>
        <w:t>).</w:t>
      </w:r>
    </w:p>
    <w:p w14:paraId="2A43C30C" w14:textId="77777777" w:rsidR="00897687" w:rsidRPr="00897687" w:rsidRDefault="00897687" w:rsidP="00897687">
      <w:pPr>
        <w:spacing w:line="360" w:lineRule="auto"/>
        <w:jc w:val="both"/>
        <w:rPr>
          <w:rFonts w:ascii="Arial" w:hAnsi="Arial"/>
        </w:rPr>
      </w:pPr>
      <w:r w:rsidRPr="00897687">
        <w:rPr>
          <w:rFonts w:ascii="Arial" w:hAnsi="Arial"/>
        </w:rPr>
        <w:lastRenderedPageBreak/>
        <w:t>Using the VIPS Model in the ward helps staff focus on valuing people (V), individualising care (I), understanding the patient’s perspective (P), and creating supportive environments (S). For example, understanding the patient’s perspective helps staff reduce anxiety by explaining procedures and listening to concerns. A supportive environment may include reducing noise at night or ensuring call bells are within reach.</w:t>
      </w:r>
    </w:p>
    <w:p w14:paraId="049E5EA2" w14:textId="77777777" w:rsidR="00897687" w:rsidRPr="00897687" w:rsidRDefault="00897687" w:rsidP="00897687">
      <w:pPr>
        <w:spacing w:line="360" w:lineRule="auto"/>
        <w:jc w:val="both"/>
        <w:rPr>
          <w:rFonts w:ascii="Arial" w:hAnsi="Arial"/>
        </w:rPr>
      </w:pPr>
      <w:r w:rsidRPr="00897687">
        <w:rPr>
          <w:rFonts w:ascii="Arial" w:hAnsi="Arial"/>
        </w:rPr>
        <w:t>There are several strengths of PCC and partnership working in hospital wards. They improve safety, support faster recovery, and help patients feel respected and involved. Joined-up care also reduces duplication and ensures patients receive the right support at the right time (WHO, 2021).</w:t>
      </w:r>
    </w:p>
    <w:p w14:paraId="4AA113F7" w14:textId="77777777" w:rsidR="00897687" w:rsidRPr="00897687" w:rsidRDefault="00897687" w:rsidP="00897687">
      <w:pPr>
        <w:spacing w:line="360" w:lineRule="auto"/>
        <w:jc w:val="both"/>
        <w:rPr>
          <w:rFonts w:ascii="Arial" w:hAnsi="Arial"/>
        </w:rPr>
      </w:pPr>
      <w:r w:rsidRPr="00897687">
        <w:rPr>
          <w:rFonts w:ascii="Arial" w:hAnsi="Arial"/>
        </w:rPr>
        <w:t>However, there are also limitations. High workloads and staffing shortages can make it difficult for staff to spend enough time with each patient (Health Foundation, 2021). Communication barriers may arise when records are not fully shared between teams. The Disability material highlights physical barriers such as inaccessible spaces, attitudinal barriers like assumptions about capability, and communication barriers for patients with sensory or cognitive difficulties. These barriers can make PCC harder to deliver.</w:t>
      </w:r>
    </w:p>
    <w:p w14:paraId="2087BD87" w14:textId="77777777" w:rsidR="00897687" w:rsidRPr="00897687" w:rsidRDefault="00897687" w:rsidP="00897687">
      <w:pPr>
        <w:spacing w:line="360" w:lineRule="auto"/>
        <w:jc w:val="both"/>
        <w:rPr>
          <w:rFonts w:ascii="Arial" w:hAnsi="Arial"/>
        </w:rPr>
      </w:pPr>
      <w:r w:rsidRPr="00897687">
        <w:rPr>
          <w:rFonts w:ascii="Arial" w:hAnsi="Arial"/>
        </w:rPr>
        <w:t>Ethical issues also appear in hospital wards. Respecting autonomy means patients must be allowed to make choices and give informed consent. Beneficence requires staff to act in the patient’s best interests, while justice means treating all patients fairly and without discrimination (Beauchamp &amp; Childress, 2019). Balancing safety with autonomy can sometimes be challenging, especially when patients refuse treatment.</w:t>
      </w:r>
    </w:p>
    <w:p w14:paraId="127EB2DF" w14:textId="77777777" w:rsidR="00897687" w:rsidRPr="00897687" w:rsidRDefault="00897687" w:rsidP="00897687">
      <w:pPr>
        <w:spacing w:line="360" w:lineRule="auto"/>
        <w:jc w:val="both"/>
        <w:rPr>
          <w:rFonts w:ascii="Arial" w:hAnsi="Arial"/>
        </w:rPr>
      </w:pPr>
      <w:r w:rsidRPr="00897687">
        <w:rPr>
          <w:rFonts w:ascii="Arial" w:hAnsi="Arial"/>
        </w:rPr>
        <w:t>Overall, applying PCC, partnership working, and the VIPS Model supports compassionate, safe, and high-quality care in NHS hospital wards.</w:t>
      </w:r>
    </w:p>
    <w:p w14:paraId="6D58EA1A" w14:textId="6E13CCB1" w:rsidR="00897687" w:rsidRPr="00897687" w:rsidRDefault="00897687" w:rsidP="004C3571">
      <w:pPr>
        <w:pStyle w:val="Heading1"/>
      </w:pPr>
      <w:bookmarkStart w:id="5" w:name="_Toc214051184"/>
      <w:r w:rsidRPr="00897687">
        <w:t>6. Recommendations</w:t>
      </w:r>
      <w:bookmarkEnd w:id="5"/>
    </w:p>
    <w:p w14:paraId="0719EB19" w14:textId="5AF7657C" w:rsidR="00897687" w:rsidRPr="00897687" w:rsidRDefault="00897687" w:rsidP="00897687">
      <w:pPr>
        <w:spacing w:line="360" w:lineRule="auto"/>
        <w:jc w:val="both"/>
        <w:rPr>
          <w:rFonts w:ascii="Arial" w:hAnsi="Arial"/>
        </w:rPr>
      </w:pPr>
      <w:r w:rsidRPr="00897687">
        <w:rPr>
          <w:rFonts w:ascii="Arial" w:hAnsi="Arial"/>
        </w:rPr>
        <w:t xml:space="preserve">To strengthen person-centred care and partnership working in NHS hospital wards, several evidence-based improvements can be made. First, improving communication between staff and with patients is essential. Regular multidisciplinary handovers, clearer explanations, and the use of plain language can reduce misunderstandings and improve patient involvement </w:t>
      </w:r>
      <w:r w:rsidR="00BE2BAE" w:rsidRPr="00BE2BAE">
        <w:rPr>
          <w:rFonts w:ascii="Arial" w:hAnsi="Arial"/>
        </w:rPr>
        <w:t>(Glasby &amp; Dickinson, 20</w:t>
      </w:r>
      <w:r w:rsidR="00345806">
        <w:rPr>
          <w:rFonts w:ascii="Arial" w:hAnsi="Arial"/>
        </w:rPr>
        <w:t>14</w:t>
      </w:r>
      <w:r w:rsidR="00BE2BAE" w:rsidRPr="00BE2BAE">
        <w:rPr>
          <w:rFonts w:ascii="Arial" w:hAnsi="Arial"/>
        </w:rPr>
        <w:t xml:space="preserve">; British Medical </w:t>
      </w:r>
      <w:r w:rsidR="00BE2BAE" w:rsidRPr="00BE2BAE">
        <w:rPr>
          <w:rFonts w:ascii="Arial" w:hAnsi="Arial"/>
        </w:rPr>
        <w:lastRenderedPageBreak/>
        <w:t>Association, 202</w:t>
      </w:r>
      <w:r w:rsidR="00A37162">
        <w:rPr>
          <w:rFonts w:ascii="Arial" w:hAnsi="Arial"/>
        </w:rPr>
        <w:t>5</w:t>
      </w:r>
      <w:r w:rsidR="00BE2BAE" w:rsidRPr="00BE2BAE">
        <w:rPr>
          <w:rFonts w:ascii="Arial" w:hAnsi="Arial"/>
        </w:rPr>
        <w:t>)</w:t>
      </w:r>
      <w:r w:rsidRPr="00897687">
        <w:rPr>
          <w:rFonts w:ascii="Arial" w:hAnsi="Arial"/>
        </w:rPr>
        <w:t>. Staff continuity should also be prioritised where possible, as seeing the same staff helps patients feel safer and more understood.</w:t>
      </w:r>
    </w:p>
    <w:p w14:paraId="085CD71B" w14:textId="0FFF9D31" w:rsidR="00897687" w:rsidRPr="00897687" w:rsidRDefault="00897687" w:rsidP="00897687">
      <w:pPr>
        <w:spacing w:line="360" w:lineRule="auto"/>
        <w:jc w:val="both"/>
        <w:rPr>
          <w:rFonts w:ascii="Arial" w:hAnsi="Arial"/>
        </w:rPr>
      </w:pPr>
      <w:r w:rsidRPr="00897687">
        <w:rPr>
          <w:rFonts w:ascii="Arial" w:hAnsi="Arial"/>
        </w:rPr>
        <w:t>Providing accessible information is important for patients with communication needs. This includes using visual aids, interpreters, easy-read leaflets, and digital tools to support understanding (WHO, 202</w:t>
      </w:r>
      <w:r w:rsidR="001E1F05">
        <w:rPr>
          <w:rFonts w:ascii="Arial" w:hAnsi="Arial"/>
        </w:rPr>
        <w:t>4</w:t>
      </w:r>
      <w:r w:rsidRPr="00897687">
        <w:rPr>
          <w:rFonts w:ascii="Arial" w:hAnsi="Arial"/>
        </w:rPr>
        <w:t xml:space="preserve">). Better shared digital records across teams and services would also improve partnership working by reducing delays and ensuring that all professionals have accurate information </w:t>
      </w:r>
      <w:r w:rsidR="005122E5" w:rsidRPr="005122E5">
        <w:rPr>
          <w:rFonts w:ascii="Arial" w:hAnsi="Arial"/>
        </w:rPr>
        <w:t>(Department of Health and Social Care, 2022)</w:t>
      </w:r>
      <w:r w:rsidRPr="00897687">
        <w:rPr>
          <w:rFonts w:ascii="Arial" w:hAnsi="Arial"/>
        </w:rPr>
        <w:t>.</w:t>
      </w:r>
    </w:p>
    <w:p w14:paraId="6CB4E30C" w14:textId="77777777" w:rsidR="00897687" w:rsidRPr="00897687" w:rsidRDefault="00897687" w:rsidP="00897687">
      <w:pPr>
        <w:spacing w:line="360" w:lineRule="auto"/>
        <w:jc w:val="both"/>
        <w:rPr>
          <w:rFonts w:ascii="Arial" w:hAnsi="Arial"/>
        </w:rPr>
      </w:pPr>
      <w:r w:rsidRPr="00897687">
        <w:rPr>
          <w:rFonts w:ascii="Arial" w:hAnsi="Arial"/>
        </w:rPr>
        <w:t>More training on PCC and partnership working is recommended so staff can develop confidence in shared decision-making, cultural awareness, and ethical communication. Training can also help staff understand the VIPS Model and how to individualise care effectively.</w:t>
      </w:r>
    </w:p>
    <w:p w14:paraId="7277450F" w14:textId="77777777" w:rsidR="00897687" w:rsidRPr="00897687" w:rsidRDefault="00897687" w:rsidP="00897687">
      <w:pPr>
        <w:spacing w:line="360" w:lineRule="auto"/>
        <w:jc w:val="both"/>
        <w:rPr>
          <w:rFonts w:ascii="Arial" w:hAnsi="Arial"/>
        </w:rPr>
      </w:pPr>
      <w:r w:rsidRPr="00897687">
        <w:rPr>
          <w:rFonts w:ascii="Arial" w:hAnsi="Arial"/>
        </w:rPr>
        <w:t>Finally, hospital wards should focus on reducing disabling barriers. This includes making physical spaces more accessible, challenging negative attitudes, and supporting patients with sensory, cognitive, or communication difficulties (Health Foundation, 2021). These improvements would help ensure that care is safe, inclusive, and genuinely person-centred.</w:t>
      </w:r>
    </w:p>
    <w:p w14:paraId="160C4EC0" w14:textId="7FB9C66F" w:rsidR="00897687" w:rsidRPr="00897687" w:rsidRDefault="00897687" w:rsidP="00897687">
      <w:pPr>
        <w:pStyle w:val="Heading1"/>
      </w:pPr>
      <w:bookmarkStart w:id="6" w:name="_Toc214051185"/>
      <w:r w:rsidRPr="00897687">
        <w:t>7. Conclusion</w:t>
      </w:r>
      <w:bookmarkEnd w:id="6"/>
      <w:r w:rsidRPr="00897687">
        <w:t xml:space="preserve"> </w:t>
      </w:r>
    </w:p>
    <w:p w14:paraId="7135E8EC" w14:textId="77777777" w:rsidR="00897687" w:rsidRPr="00897687" w:rsidRDefault="00897687" w:rsidP="00897687">
      <w:pPr>
        <w:spacing w:line="360" w:lineRule="auto"/>
        <w:jc w:val="both"/>
        <w:rPr>
          <w:rFonts w:ascii="Arial" w:hAnsi="Arial"/>
        </w:rPr>
      </w:pPr>
      <w:r w:rsidRPr="00897687">
        <w:rPr>
          <w:rFonts w:ascii="Arial" w:hAnsi="Arial"/>
        </w:rPr>
        <w:t>In summary, person-centred care and partnership working are essential for delivering safe, respectful, and effective care in NHS hospital wards. PCC ensures that patients are treated with dignity, listened to, and fully involved in decisions, while partnership working supports joined-up care through strong teamwork and clear communication. Using the VIPS Model helps staff value individuals, understand their perspectives, and create supportive environments. Although challenges such as time pressure, communication barriers, and staffing shortages exist, these can be reduced through better training, accessible information, and integrated working. Strengthening PCC and partnership working leads to higher-quality, more compassionate care for all patients.</w:t>
      </w:r>
    </w:p>
    <w:p w14:paraId="652C5FAF" w14:textId="7F75EE5D" w:rsidR="0058270B" w:rsidRDefault="0058270B">
      <w:pPr>
        <w:rPr>
          <w:rFonts w:ascii="Arial" w:hAnsi="Arial"/>
        </w:rPr>
      </w:pPr>
      <w:r>
        <w:rPr>
          <w:rFonts w:ascii="Arial" w:hAnsi="Arial"/>
        </w:rPr>
        <w:br w:type="page"/>
      </w:r>
    </w:p>
    <w:p w14:paraId="6A4659C6" w14:textId="420A37AA" w:rsidR="00A92BCF" w:rsidRDefault="0058270B" w:rsidP="00B00BFA">
      <w:pPr>
        <w:pStyle w:val="Heading1"/>
      </w:pPr>
      <w:bookmarkStart w:id="7" w:name="_Toc214051186"/>
      <w:proofErr w:type="spellStart"/>
      <w:r>
        <w:lastRenderedPageBreak/>
        <w:t>Refrences</w:t>
      </w:r>
      <w:bookmarkEnd w:id="7"/>
      <w:proofErr w:type="spellEnd"/>
    </w:p>
    <w:p w14:paraId="38680B27" w14:textId="77777777" w:rsidR="00B00BFA" w:rsidRPr="00B00BFA" w:rsidRDefault="00B00BFA" w:rsidP="00B00BFA"/>
    <w:p w14:paraId="7B868AC3" w14:textId="77777777" w:rsidR="0058270B" w:rsidRDefault="0058270B" w:rsidP="0058270B">
      <w:pPr>
        <w:spacing w:line="360" w:lineRule="auto"/>
        <w:jc w:val="both"/>
        <w:rPr>
          <w:rFonts w:ascii="Arial" w:hAnsi="Arial"/>
        </w:rPr>
      </w:pPr>
      <w:r w:rsidRPr="0058270B">
        <w:rPr>
          <w:rFonts w:ascii="Arial" w:hAnsi="Arial"/>
        </w:rPr>
        <w:t xml:space="preserve">Beauchamp, T.L. and Childress, J.F. (2019) </w:t>
      </w:r>
      <w:r w:rsidRPr="0058270B">
        <w:rPr>
          <w:rFonts w:ascii="Arial" w:hAnsi="Arial"/>
          <w:i/>
          <w:iCs/>
        </w:rPr>
        <w:t>Principles of Biomedical Ethics</w:t>
      </w:r>
      <w:r w:rsidRPr="0058270B">
        <w:rPr>
          <w:rFonts w:ascii="Arial" w:hAnsi="Arial"/>
        </w:rPr>
        <w:t xml:space="preserve">. 8th </w:t>
      </w:r>
      <w:proofErr w:type="spellStart"/>
      <w:r w:rsidRPr="0058270B">
        <w:rPr>
          <w:rFonts w:ascii="Arial" w:hAnsi="Arial"/>
        </w:rPr>
        <w:t>edn</w:t>
      </w:r>
      <w:proofErr w:type="spellEnd"/>
      <w:r w:rsidRPr="0058270B">
        <w:rPr>
          <w:rFonts w:ascii="Arial" w:hAnsi="Arial"/>
        </w:rPr>
        <w:t>. Oxford: Oxford University Press.</w:t>
      </w:r>
    </w:p>
    <w:p w14:paraId="19F3D191" w14:textId="26150D61" w:rsidR="0099046A" w:rsidRPr="0058270B" w:rsidRDefault="00A37162" w:rsidP="0058270B">
      <w:pPr>
        <w:spacing w:line="360" w:lineRule="auto"/>
        <w:jc w:val="both"/>
        <w:rPr>
          <w:rFonts w:ascii="Arial" w:hAnsi="Arial"/>
        </w:rPr>
      </w:pPr>
      <w:r w:rsidRPr="00A37162">
        <w:rPr>
          <w:rFonts w:ascii="Arial" w:hAnsi="Arial"/>
        </w:rPr>
        <w:t xml:space="preserve">British Medical Association (2025) </w:t>
      </w:r>
      <w:r w:rsidRPr="00A37162">
        <w:rPr>
          <w:rFonts w:ascii="Arial" w:hAnsi="Arial"/>
          <w:i/>
          <w:iCs/>
        </w:rPr>
        <w:t>The doctor-patient relationship: ethics toolkit</w:t>
      </w:r>
      <w:r w:rsidRPr="00A37162">
        <w:rPr>
          <w:rFonts w:ascii="Arial" w:hAnsi="Arial"/>
        </w:rPr>
        <w:t xml:space="preserve">. Available at: </w:t>
      </w:r>
      <w:hyperlink r:id="rId9" w:tgtFrame="_new" w:history="1">
        <w:r w:rsidRPr="00A37162">
          <w:rPr>
            <w:rStyle w:val="Hyperlink"/>
            <w:rFonts w:ascii="Arial" w:hAnsi="Arial"/>
          </w:rPr>
          <w:t>https://www.bma.org.uk/media/nalcxoal/doctor-patient-relationship-guidance-updated-feb-2025.pdf</w:t>
        </w:r>
      </w:hyperlink>
      <w:r w:rsidRPr="00A37162">
        <w:rPr>
          <w:rFonts w:ascii="Arial" w:hAnsi="Arial"/>
        </w:rPr>
        <w:t xml:space="preserve"> (Accessed: 14 November 2025).</w:t>
      </w:r>
    </w:p>
    <w:p w14:paraId="738653D9" w14:textId="25A8AC24" w:rsidR="0058270B" w:rsidRPr="0058270B" w:rsidRDefault="00A37162" w:rsidP="0058270B">
      <w:pPr>
        <w:spacing w:line="360" w:lineRule="auto"/>
        <w:jc w:val="both"/>
        <w:rPr>
          <w:rFonts w:ascii="Arial" w:hAnsi="Arial"/>
        </w:rPr>
      </w:pPr>
      <w:r w:rsidRPr="00A37162">
        <w:rPr>
          <w:rFonts w:ascii="Arial" w:hAnsi="Arial"/>
        </w:rPr>
        <w:t xml:space="preserve">Brooker, D. and Latham, I. (2015) </w:t>
      </w:r>
      <w:r w:rsidRPr="00A37162">
        <w:rPr>
          <w:rFonts w:ascii="Arial" w:hAnsi="Arial"/>
          <w:i/>
          <w:iCs/>
        </w:rPr>
        <w:t>Person-Centred Dementia Care: Making Services Better with the VIPS Framework</w:t>
      </w:r>
      <w:r w:rsidRPr="00A37162">
        <w:rPr>
          <w:rFonts w:ascii="Arial" w:hAnsi="Arial"/>
        </w:rPr>
        <w:t xml:space="preserve">. 2nd </w:t>
      </w:r>
      <w:proofErr w:type="spellStart"/>
      <w:r w:rsidRPr="00A37162">
        <w:rPr>
          <w:rFonts w:ascii="Arial" w:hAnsi="Arial"/>
        </w:rPr>
        <w:t>edn</w:t>
      </w:r>
      <w:proofErr w:type="spellEnd"/>
      <w:r w:rsidRPr="00A37162">
        <w:rPr>
          <w:rFonts w:ascii="Arial" w:hAnsi="Arial"/>
        </w:rPr>
        <w:t xml:space="preserve">. London: Jessica Kingsley Publishers. ISBN 978-1-84905-666-3. Available at: </w:t>
      </w:r>
      <w:hyperlink r:id="rId10" w:tgtFrame="_new" w:history="1">
        <w:r w:rsidRPr="00A37162">
          <w:rPr>
            <w:rStyle w:val="Hyperlink"/>
            <w:rFonts w:ascii="Arial" w:hAnsi="Arial"/>
          </w:rPr>
          <w:t>https://www.indigo.ca/en-ca/person-centred-dementia-care-second-edition-making-services-better-with-the-vips-framework/9781849056663.html</w:t>
        </w:r>
      </w:hyperlink>
      <w:r w:rsidRPr="00A37162">
        <w:rPr>
          <w:rFonts w:ascii="Arial" w:hAnsi="Arial"/>
        </w:rPr>
        <w:t xml:space="preserve"> (Accessed: 14 November 2025).</w:t>
      </w:r>
    </w:p>
    <w:p w14:paraId="034BAA17" w14:textId="3E8E257F" w:rsidR="0058270B" w:rsidRPr="0058270B" w:rsidRDefault="0058270B" w:rsidP="0058270B">
      <w:pPr>
        <w:spacing w:line="360" w:lineRule="auto"/>
        <w:jc w:val="both"/>
        <w:rPr>
          <w:rFonts w:ascii="Arial" w:hAnsi="Arial"/>
        </w:rPr>
      </w:pPr>
      <w:r w:rsidRPr="0058270B">
        <w:rPr>
          <w:rFonts w:ascii="Arial" w:hAnsi="Arial"/>
        </w:rPr>
        <w:t xml:space="preserve">Coulter, A., </w:t>
      </w:r>
      <w:proofErr w:type="spellStart"/>
      <w:r w:rsidRPr="0058270B">
        <w:rPr>
          <w:rFonts w:ascii="Arial" w:hAnsi="Arial"/>
        </w:rPr>
        <w:t>Locock</w:t>
      </w:r>
      <w:proofErr w:type="spellEnd"/>
      <w:r w:rsidRPr="0058270B">
        <w:rPr>
          <w:rFonts w:ascii="Arial" w:hAnsi="Arial"/>
        </w:rPr>
        <w:t xml:space="preserve">, L., </w:t>
      </w:r>
      <w:proofErr w:type="spellStart"/>
      <w:r w:rsidRPr="0058270B">
        <w:rPr>
          <w:rFonts w:ascii="Arial" w:hAnsi="Arial"/>
        </w:rPr>
        <w:t>Ziebland</w:t>
      </w:r>
      <w:proofErr w:type="spellEnd"/>
      <w:r w:rsidRPr="0058270B">
        <w:rPr>
          <w:rFonts w:ascii="Arial" w:hAnsi="Arial"/>
        </w:rPr>
        <w:t>, S. and Calabrese, J. (20</w:t>
      </w:r>
      <w:r w:rsidR="00345806">
        <w:rPr>
          <w:rFonts w:ascii="Arial" w:hAnsi="Arial"/>
        </w:rPr>
        <w:t>14</w:t>
      </w:r>
      <w:r w:rsidRPr="0058270B">
        <w:rPr>
          <w:rFonts w:ascii="Arial" w:hAnsi="Arial"/>
        </w:rPr>
        <w:t xml:space="preserve">) ‘Collecting data on patient experience is not enough: they must be used to improve care’, </w:t>
      </w:r>
      <w:r w:rsidRPr="0058270B">
        <w:rPr>
          <w:rFonts w:ascii="Arial" w:hAnsi="Arial"/>
          <w:i/>
          <w:iCs/>
        </w:rPr>
        <w:t>BMJ</w:t>
      </w:r>
      <w:r w:rsidRPr="0058270B">
        <w:rPr>
          <w:rFonts w:ascii="Arial" w:hAnsi="Arial"/>
        </w:rPr>
        <w:t xml:space="preserve">, 368, p. m125. Available at: </w:t>
      </w:r>
      <w:hyperlink r:id="rId11" w:tgtFrame="_new" w:history="1">
        <w:r w:rsidRPr="0058270B">
          <w:rPr>
            <w:rStyle w:val="Hyperlink"/>
            <w:rFonts w:ascii="Arial" w:hAnsi="Arial"/>
          </w:rPr>
          <w:t>https://ww</w:t>
        </w:r>
        <w:r w:rsidRPr="0058270B">
          <w:rPr>
            <w:rStyle w:val="Hyperlink"/>
            <w:rFonts w:ascii="Arial" w:hAnsi="Arial"/>
          </w:rPr>
          <w:t>w</w:t>
        </w:r>
        <w:r w:rsidRPr="0058270B">
          <w:rPr>
            <w:rStyle w:val="Hyperlink"/>
            <w:rFonts w:ascii="Arial" w:hAnsi="Arial"/>
          </w:rPr>
          <w:t>.bmj.com</w:t>
        </w:r>
      </w:hyperlink>
      <w:r w:rsidRPr="0058270B">
        <w:rPr>
          <w:rFonts w:ascii="Arial" w:hAnsi="Arial"/>
        </w:rPr>
        <w:t xml:space="preserve"> (Accessed: </w:t>
      </w:r>
      <w:r w:rsidRPr="0058270B">
        <w:rPr>
          <w:rFonts w:ascii="Arial" w:hAnsi="Arial"/>
          <w:b/>
          <w:bCs/>
        </w:rPr>
        <w:t>10 November 2025</w:t>
      </w:r>
      <w:r w:rsidRPr="0058270B">
        <w:rPr>
          <w:rFonts w:ascii="Arial" w:hAnsi="Arial"/>
        </w:rPr>
        <w:t>).</w:t>
      </w:r>
    </w:p>
    <w:p w14:paraId="08C8EA62" w14:textId="6D34C36F" w:rsidR="0058270B" w:rsidRPr="0058270B" w:rsidRDefault="00345806" w:rsidP="0058270B">
      <w:pPr>
        <w:spacing w:line="360" w:lineRule="auto"/>
        <w:jc w:val="both"/>
        <w:rPr>
          <w:rFonts w:ascii="Arial" w:hAnsi="Arial"/>
        </w:rPr>
      </w:pPr>
      <w:r w:rsidRPr="00345806">
        <w:rPr>
          <w:rFonts w:ascii="Arial" w:hAnsi="Arial"/>
        </w:rPr>
        <w:t xml:space="preserve">Equality Act 2010. (2010) Chapter 15. London: HMSO. Available at: </w:t>
      </w:r>
      <w:hyperlink r:id="rId12" w:tgtFrame="_new" w:history="1">
        <w:r w:rsidRPr="00345806">
          <w:rPr>
            <w:rStyle w:val="Hyperlink"/>
            <w:rFonts w:ascii="Arial" w:hAnsi="Arial"/>
          </w:rPr>
          <w:t>https://www.legislation.gov.uk/ukpga/2010/15/contents</w:t>
        </w:r>
      </w:hyperlink>
      <w:r w:rsidRPr="00345806">
        <w:rPr>
          <w:rFonts w:ascii="Arial" w:hAnsi="Arial"/>
        </w:rPr>
        <w:t xml:space="preserve"> (Accessed: 1</w:t>
      </w:r>
      <w:r>
        <w:rPr>
          <w:rFonts w:ascii="Arial" w:hAnsi="Arial"/>
        </w:rPr>
        <w:t>2</w:t>
      </w:r>
      <w:r w:rsidRPr="00345806">
        <w:rPr>
          <w:rFonts w:ascii="Arial" w:hAnsi="Arial"/>
        </w:rPr>
        <w:t xml:space="preserve"> November 2025).</w:t>
      </w:r>
    </w:p>
    <w:p w14:paraId="1ED463A9" w14:textId="0C4DC1AC" w:rsidR="0058270B" w:rsidRPr="0058270B" w:rsidRDefault="00345806" w:rsidP="0058270B">
      <w:pPr>
        <w:spacing w:line="360" w:lineRule="auto"/>
        <w:jc w:val="both"/>
        <w:rPr>
          <w:rFonts w:ascii="Arial" w:hAnsi="Arial"/>
        </w:rPr>
      </w:pPr>
      <w:r w:rsidRPr="00345806">
        <w:rPr>
          <w:rFonts w:ascii="Arial" w:hAnsi="Arial"/>
        </w:rPr>
        <w:t>Fazio, S., Zimmerman, S., Doyle, P.J., Shubeck, E., Carpenter, M., Coram, P., Klinger, J.H., Jackson, L., Pace, D., Kallmyer, B. and Pike, J. (2020) ‘What Is Really Needed to Provide Effective, Person-</w:t>
      </w:r>
      <w:proofErr w:type="spellStart"/>
      <w:r w:rsidRPr="00345806">
        <w:rPr>
          <w:rFonts w:ascii="Arial" w:hAnsi="Arial"/>
        </w:rPr>
        <w:t>Centered</w:t>
      </w:r>
      <w:proofErr w:type="spellEnd"/>
      <w:r w:rsidRPr="00345806">
        <w:rPr>
          <w:rFonts w:ascii="Arial" w:hAnsi="Arial"/>
        </w:rPr>
        <w:t xml:space="preserve"> Care for </w:t>
      </w:r>
      <w:proofErr w:type="spellStart"/>
      <w:r w:rsidRPr="00345806">
        <w:rPr>
          <w:rFonts w:ascii="Arial" w:hAnsi="Arial"/>
        </w:rPr>
        <w:t>Behavioral</w:t>
      </w:r>
      <w:proofErr w:type="spellEnd"/>
      <w:r w:rsidRPr="00345806">
        <w:rPr>
          <w:rFonts w:ascii="Arial" w:hAnsi="Arial"/>
        </w:rPr>
        <w:t xml:space="preserve"> Expressions of Dementia? Guidance from The Alzheimer’s Association Dementia Care Provider Roundtable’, </w:t>
      </w:r>
      <w:r w:rsidRPr="00345806">
        <w:rPr>
          <w:rFonts w:ascii="Arial" w:hAnsi="Arial"/>
          <w:i/>
          <w:iCs/>
        </w:rPr>
        <w:t>Journal of the American Medical Directors Association</w:t>
      </w:r>
      <w:r w:rsidRPr="00345806">
        <w:rPr>
          <w:rFonts w:ascii="Arial" w:hAnsi="Arial"/>
        </w:rPr>
        <w:t xml:space="preserve">, 21(11), pp. 1582-1586.e1. </w:t>
      </w:r>
      <w:proofErr w:type="spellStart"/>
      <w:r w:rsidRPr="00345806">
        <w:rPr>
          <w:rFonts w:ascii="Arial" w:hAnsi="Arial"/>
        </w:rPr>
        <w:t>doi</w:t>
      </w:r>
      <w:proofErr w:type="spellEnd"/>
      <w:r w:rsidRPr="00345806">
        <w:rPr>
          <w:rFonts w:ascii="Arial" w:hAnsi="Arial"/>
        </w:rPr>
        <w:t>: 10.1016/j.jamda.2020.05.017.</w:t>
      </w:r>
    </w:p>
    <w:p w14:paraId="54FFFB63" w14:textId="367D447C" w:rsidR="0058270B" w:rsidRPr="0058270B" w:rsidRDefault="0058270B" w:rsidP="0058270B">
      <w:pPr>
        <w:spacing w:line="360" w:lineRule="auto"/>
        <w:jc w:val="both"/>
        <w:rPr>
          <w:rFonts w:ascii="Arial" w:hAnsi="Arial"/>
        </w:rPr>
      </w:pPr>
      <w:r w:rsidRPr="0058270B">
        <w:rPr>
          <w:rFonts w:ascii="Arial" w:hAnsi="Arial"/>
        </w:rPr>
        <w:t>Glasby, J. and Dickinson, H. (20</w:t>
      </w:r>
      <w:r w:rsidR="00345806">
        <w:rPr>
          <w:rFonts w:ascii="Arial" w:hAnsi="Arial"/>
        </w:rPr>
        <w:t>14</w:t>
      </w:r>
      <w:r w:rsidRPr="0058270B">
        <w:rPr>
          <w:rFonts w:ascii="Arial" w:hAnsi="Arial"/>
        </w:rPr>
        <w:t xml:space="preserve">) </w:t>
      </w:r>
      <w:r w:rsidRPr="0058270B">
        <w:rPr>
          <w:rFonts w:ascii="Arial" w:hAnsi="Arial"/>
          <w:i/>
          <w:iCs/>
        </w:rPr>
        <w:t>Partnership Working in Health and Social Care</w:t>
      </w:r>
      <w:r w:rsidRPr="0058270B">
        <w:rPr>
          <w:rFonts w:ascii="Arial" w:hAnsi="Arial"/>
        </w:rPr>
        <w:t xml:space="preserve">. 3rd </w:t>
      </w:r>
      <w:proofErr w:type="spellStart"/>
      <w:r w:rsidRPr="0058270B">
        <w:rPr>
          <w:rFonts w:ascii="Arial" w:hAnsi="Arial"/>
        </w:rPr>
        <w:t>edn</w:t>
      </w:r>
      <w:proofErr w:type="spellEnd"/>
      <w:r w:rsidRPr="0058270B">
        <w:rPr>
          <w:rFonts w:ascii="Arial" w:hAnsi="Arial"/>
        </w:rPr>
        <w:t>. Bristol: Policy Press.</w:t>
      </w:r>
    </w:p>
    <w:p w14:paraId="4B76DFF2" w14:textId="0449D82D" w:rsidR="005122E5" w:rsidRPr="005122E5" w:rsidRDefault="005122E5" w:rsidP="005122E5">
      <w:pPr>
        <w:spacing w:line="360" w:lineRule="auto"/>
        <w:jc w:val="both"/>
        <w:rPr>
          <w:rFonts w:ascii="Arial" w:hAnsi="Arial"/>
        </w:rPr>
      </w:pPr>
      <w:r w:rsidRPr="005122E5">
        <w:rPr>
          <w:rFonts w:ascii="Arial" w:hAnsi="Arial"/>
        </w:rPr>
        <w:t>Health and Care Act 2022. (2022) Chapter 31. London: HMSO. Available at: https://www.legislation.gov.uk/ukpga/2022/31/contents (Accessed: 1</w:t>
      </w:r>
      <w:r>
        <w:rPr>
          <w:rFonts w:ascii="Arial" w:hAnsi="Arial"/>
        </w:rPr>
        <w:t>1</w:t>
      </w:r>
      <w:r w:rsidRPr="005122E5">
        <w:rPr>
          <w:rFonts w:ascii="Arial" w:hAnsi="Arial"/>
        </w:rPr>
        <w:t xml:space="preserve"> November 2025).</w:t>
      </w:r>
    </w:p>
    <w:p w14:paraId="7B5BEDF9" w14:textId="7DFF6FF4" w:rsidR="0058270B" w:rsidRPr="0058270B" w:rsidRDefault="0058270B" w:rsidP="0058270B">
      <w:pPr>
        <w:spacing w:line="360" w:lineRule="auto"/>
        <w:jc w:val="both"/>
        <w:rPr>
          <w:rFonts w:ascii="Arial" w:hAnsi="Arial"/>
        </w:rPr>
      </w:pPr>
    </w:p>
    <w:p w14:paraId="10C56C49" w14:textId="3F9C856E" w:rsidR="0058270B" w:rsidRPr="0058270B" w:rsidRDefault="005122E5" w:rsidP="0058270B">
      <w:pPr>
        <w:spacing w:line="360" w:lineRule="auto"/>
        <w:jc w:val="both"/>
        <w:rPr>
          <w:rFonts w:ascii="Arial" w:hAnsi="Arial"/>
        </w:rPr>
      </w:pPr>
      <w:r w:rsidRPr="005122E5">
        <w:rPr>
          <w:rFonts w:ascii="Arial" w:hAnsi="Arial"/>
        </w:rPr>
        <w:lastRenderedPageBreak/>
        <w:t xml:space="preserve">Health Foundation (2021) </w:t>
      </w:r>
      <w:r w:rsidRPr="005122E5">
        <w:rPr>
          <w:rFonts w:ascii="Arial" w:hAnsi="Arial"/>
          <w:i/>
          <w:iCs/>
        </w:rPr>
        <w:t>How many NHS workers will we need over the coming decade?</w:t>
      </w:r>
      <w:r w:rsidRPr="005122E5">
        <w:rPr>
          <w:rFonts w:ascii="Arial" w:hAnsi="Arial"/>
        </w:rPr>
        <w:t xml:space="preserve"> REAL Centre Working Paper. London: The Health Foundation. Available at: </w:t>
      </w:r>
      <w:hyperlink r:id="rId13" w:tgtFrame="_new" w:history="1">
        <w:r w:rsidRPr="005122E5">
          <w:rPr>
            <w:rStyle w:val="Hyperlink"/>
            <w:rFonts w:ascii="Arial" w:hAnsi="Arial"/>
          </w:rPr>
          <w:t>https://www.health.org.uk/reports-and-analysis/working-papers/how-many-nhs-workers-will-we-need-over-the-coming-decade</w:t>
        </w:r>
      </w:hyperlink>
      <w:r w:rsidRPr="005122E5">
        <w:rPr>
          <w:rFonts w:ascii="Arial" w:hAnsi="Arial"/>
        </w:rPr>
        <w:t xml:space="preserve"> (Accessed: 1</w:t>
      </w:r>
      <w:r>
        <w:rPr>
          <w:rFonts w:ascii="Arial" w:hAnsi="Arial"/>
        </w:rPr>
        <w:t>0</w:t>
      </w:r>
      <w:r w:rsidRPr="005122E5">
        <w:rPr>
          <w:rFonts w:ascii="Arial" w:hAnsi="Arial"/>
        </w:rPr>
        <w:t xml:space="preserve"> November 2025).</w:t>
      </w:r>
    </w:p>
    <w:p w14:paraId="00D7E5B2" w14:textId="18E1A10C" w:rsidR="0058270B" w:rsidRPr="0058270B" w:rsidRDefault="005122E5" w:rsidP="0058270B">
      <w:pPr>
        <w:spacing w:line="360" w:lineRule="auto"/>
        <w:jc w:val="both"/>
        <w:rPr>
          <w:rFonts w:ascii="Arial" w:hAnsi="Arial"/>
        </w:rPr>
      </w:pPr>
      <w:r w:rsidRPr="005122E5">
        <w:rPr>
          <w:rFonts w:ascii="Arial" w:hAnsi="Arial"/>
        </w:rPr>
        <w:t xml:space="preserve">Nancarrow, S.A., Booth, A., Ariss, S., Smith, T., Enderby, P. and Roots, A. (2013) ‘Ten principles of good interdisciplinary </w:t>
      </w:r>
      <w:proofErr w:type="gramStart"/>
      <w:r w:rsidRPr="005122E5">
        <w:rPr>
          <w:rFonts w:ascii="Arial" w:hAnsi="Arial"/>
        </w:rPr>
        <w:t>team work</w:t>
      </w:r>
      <w:proofErr w:type="gramEnd"/>
      <w:r w:rsidRPr="005122E5">
        <w:rPr>
          <w:rFonts w:ascii="Arial" w:hAnsi="Arial"/>
        </w:rPr>
        <w:t xml:space="preserve">’, </w:t>
      </w:r>
      <w:r w:rsidRPr="005122E5">
        <w:rPr>
          <w:rFonts w:ascii="Arial" w:hAnsi="Arial"/>
          <w:i/>
          <w:iCs/>
        </w:rPr>
        <w:t>Human Resources for Health</w:t>
      </w:r>
      <w:r w:rsidRPr="005122E5">
        <w:rPr>
          <w:rFonts w:ascii="Arial" w:hAnsi="Arial"/>
        </w:rPr>
        <w:t>, 11(1), p. 19. doi:10.1186/1478-4491-11-19.</w:t>
      </w:r>
    </w:p>
    <w:p w14:paraId="7593817A" w14:textId="4DD999AA" w:rsidR="0058270B" w:rsidRPr="0058270B" w:rsidRDefault="005122E5" w:rsidP="0058270B">
      <w:pPr>
        <w:spacing w:line="360" w:lineRule="auto"/>
        <w:jc w:val="both"/>
        <w:rPr>
          <w:rFonts w:ascii="Arial" w:hAnsi="Arial"/>
        </w:rPr>
      </w:pPr>
      <w:r w:rsidRPr="005122E5">
        <w:rPr>
          <w:rFonts w:ascii="Arial" w:hAnsi="Arial"/>
        </w:rPr>
        <w:t xml:space="preserve">NHS England (2021) </w:t>
      </w:r>
      <w:r w:rsidRPr="005122E5">
        <w:rPr>
          <w:rFonts w:ascii="Arial" w:hAnsi="Arial"/>
          <w:i/>
          <w:iCs/>
        </w:rPr>
        <w:t>Personalised care: operating model</w:t>
      </w:r>
      <w:r w:rsidRPr="005122E5">
        <w:rPr>
          <w:rFonts w:ascii="Arial" w:hAnsi="Arial"/>
        </w:rPr>
        <w:t xml:space="preserve">. London: NHS England. Available at: </w:t>
      </w:r>
      <w:hyperlink r:id="rId14" w:tgtFrame="_new" w:history="1">
        <w:r w:rsidRPr="005122E5">
          <w:rPr>
            <w:rStyle w:val="Hyperlink"/>
            <w:rFonts w:ascii="Arial" w:hAnsi="Arial"/>
          </w:rPr>
          <w:t>https://www.england.nhs.uk/wp-content/uploads/2018/10/personalised-care-operating-model-2021.pdf</w:t>
        </w:r>
      </w:hyperlink>
    </w:p>
    <w:p w14:paraId="36DB1EC8" w14:textId="7166198E" w:rsidR="0058270B" w:rsidRPr="0058270B" w:rsidRDefault="005122E5" w:rsidP="0058270B">
      <w:pPr>
        <w:spacing w:line="360" w:lineRule="auto"/>
        <w:jc w:val="both"/>
        <w:rPr>
          <w:rFonts w:ascii="Arial" w:hAnsi="Arial"/>
        </w:rPr>
      </w:pPr>
      <w:r w:rsidRPr="005122E5">
        <w:rPr>
          <w:rFonts w:ascii="Arial" w:hAnsi="Arial"/>
        </w:rPr>
        <w:t xml:space="preserve">Department of Health and Social Care (2022) </w:t>
      </w:r>
      <w:r w:rsidRPr="005122E5">
        <w:rPr>
          <w:rFonts w:ascii="Arial" w:hAnsi="Arial"/>
          <w:i/>
          <w:iCs/>
        </w:rPr>
        <w:t>A plan for digital health and social care</w:t>
      </w:r>
      <w:r w:rsidRPr="005122E5">
        <w:rPr>
          <w:rFonts w:ascii="Arial" w:hAnsi="Arial"/>
        </w:rPr>
        <w:t xml:space="preserve">. London: DHSC. Available at: </w:t>
      </w:r>
      <w:hyperlink r:id="rId15" w:tgtFrame="_new" w:history="1">
        <w:r w:rsidRPr="005122E5">
          <w:rPr>
            <w:rStyle w:val="Hyperlink"/>
            <w:rFonts w:ascii="Arial" w:hAnsi="Arial"/>
          </w:rPr>
          <w:t>https://www.gov.uk/government/publications/a-plan-for-digital-health-and-social-care</w:t>
        </w:r>
      </w:hyperlink>
      <w:r w:rsidRPr="005122E5">
        <w:rPr>
          <w:rFonts w:ascii="Arial" w:hAnsi="Arial"/>
        </w:rPr>
        <w:t xml:space="preserve"> (Accessed: 14 November 2025).</w:t>
      </w:r>
    </w:p>
    <w:p w14:paraId="0F38AE9C" w14:textId="08D7D19E" w:rsidR="0058270B" w:rsidRPr="005122E5" w:rsidRDefault="001E1F05" w:rsidP="0058270B">
      <w:pPr>
        <w:spacing w:line="360" w:lineRule="auto"/>
        <w:jc w:val="both"/>
        <w:rPr>
          <w:rFonts w:ascii="Arial" w:hAnsi="Arial"/>
        </w:rPr>
      </w:pPr>
      <w:r w:rsidRPr="001E1F05">
        <w:rPr>
          <w:rFonts w:ascii="Arial" w:hAnsi="Arial"/>
        </w:rPr>
        <w:t>R</w:t>
      </w:r>
      <w:r>
        <w:rPr>
          <w:rFonts w:ascii="Arial" w:hAnsi="Arial"/>
        </w:rPr>
        <w:t>CN</w:t>
      </w:r>
      <w:r w:rsidRPr="001E1F05">
        <w:rPr>
          <w:rFonts w:ascii="Arial" w:hAnsi="Arial"/>
        </w:rPr>
        <w:t xml:space="preserve"> (2024) </w:t>
      </w:r>
      <w:r w:rsidRPr="001E1F05">
        <w:rPr>
          <w:rFonts w:ascii="Arial" w:hAnsi="Arial"/>
          <w:i/>
          <w:iCs/>
        </w:rPr>
        <w:t>Corridor care: Unsafe, undignified, unacceptable</w:t>
      </w:r>
      <w:r w:rsidRPr="001E1F05">
        <w:rPr>
          <w:rFonts w:ascii="Arial" w:hAnsi="Arial"/>
        </w:rPr>
        <w:t xml:space="preserve">. London: RCN. Available at: </w:t>
      </w:r>
      <w:hyperlink r:id="rId16" w:tgtFrame="_new" w:history="1">
        <w:r w:rsidRPr="001E1F05">
          <w:rPr>
            <w:rStyle w:val="Hyperlink"/>
            <w:rFonts w:ascii="Arial" w:hAnsi="Arial"/>
          </w:rPr>
          <w:t>https://www.rcn.org.uk/-/media/Royal-College-Of-Nursing/Documents/Publications/2024/May/011-635.pdf</w:t>
        </w:r>
      </w:hyperlink>
      <w:r w:rsidRPr="001E1F05">
        <w:rPr>
          <w:rFonts w:ascii="Arial" w:hAnsi="Arial"/>
        </w:rPr>
        <w:t xml:space="preserve"> (Accessed: 14 November 2025).</w:t>
      </w:r>
    </w:p>
    <w:p w14:paraId="69822FC7" w14:textId="52FCAACD" w:rsidR="0099046A" w:rsidRPr="0099046A" w:rsidRDefault="001E1F05" w:rsidP="0099046A">
      <w:pPr>
        <w:spacing w:line="360" w:lineRule="auto"/>
        <w:jc w:val="both"/>
        <w:rPr>
          <w:rFonts w:ascii="Arial" w:hAnsi="Arial"/>
        </w:rPr>
      </w:pPr>
      <w:r w:rsidRPr="001E1F05">
        <w:rPr>
          <w:rFonts w:ascii="Arial" w:hAnsi="Arial"/>
        </w:rPr>
        <w:t xml:space="preserve">Royal College of Physicians (2022) </w:t>
      </w:r>
      <w:r w:rsidRPr="001E1F05">
        <w:rPr>
          <w:rFonts w:ascii="Arial" w:hAnsi="Arial"/>
          <w:i/>
          <w:iCs/>
        </w:rPr>
        <w:t>Diversity in leadership: learning from inclusive clinical teams</w:t>
      </w:r>
      <w:r w:rsidRPr="001E1F05">
        <w:rPr>
          <w:rFonts w:ascii="Arial" w:hAnsi="Arial"/>
        </w:rPr>
        <w:t xml:space="preserve">. London: RCP. Available at: </w:t>
      </w:r>
      <w:hyperlink r:id="rId17" w:history="1">
        <w:r w:rsidRPr="001E1F05">
          <w:rPr>
            <w:rStyle w:val="Hyperlink"/>
            <w:rFonts w:ascii="Arial" w:hAnsi="Arial"/>
          </w:rPr>
          <w:t>https://www.rcplondon.ac.uk/projects/outputs/diversity-leadership-learning-inclusive-clinical-teams</w:t>
        </w:r>
      </w:hyperlink>
      <w:r w:rsidRPr="001E1F05">
        <w:rPr>
          <w:rFonts w:ascii="Arial" w:hAnsi="Arial"/>
        </w:rPr>
        <w:t xml:space="preserve"> (Accessed: 14 November 2025).</w:t>
      </w:r>
    </w:p>
    <w:p w14:paraId="0C8F42E2" w14:textId="031DC3CA" w:rsidR="0058270B" w:rsidRPr="0058270B" w:rsidRDefault="001E1F05" w:rsidP="0058270B">
      <w:pPr>
        <w:spacing w:line="360" w:lineRule="auto"/>
        <w:jc w:val="both"/>
        <w:rPr>
          <w:rFonts w:ascii="Arial" w:hAnsi="Arial"/>
        </w:rPr>
      </w:pPr>
      <w:r w:rsidRPr="001E1F05">
        <w:rPr>
          <w:rFonts w:ascii="Arial" w:hAnsi="Arial"/>
        </w:rPr>
        <w:t>W</w:t>
      </w:r>
      <w:r>
        <w:rPr>
          <w:rFonts w:ascii="Arial" w:hAnsi="Arial"/>
        </w:rPr>
        <w:t>HO</w:t>
      </w:r>
      <w:r w:rsidRPr="001E1F05">
        <w:rPr>
          <w:rFonts w:ascii="Arial" w:hAnsi="Arial"/>
        </w:rPr>
        <w:t xml:space="preserve"> (2024) </w:t>
      </w:r>
      <w:r w:rsidRPr="001E1F05">
        <w:rPr>
          <w:rFonts w:ascii="Arial" w:hAnsi="Arial"/>
          <w:i/>
          <w:iCs/>
        </w:rPr>
        <w:t>Strengthening integrated, people-centred health services (WHA77/32)</w:t>
      </w:r>
      <w:r w:rsidRPr="001E1F05">
        <w:rPr>
          <w:rFonts w:ascii="Arial" w:hAnsi="Arial"/>
        </w:rPr>
        <w:t xml:space="preserve">. Geneva: WHO. Available at: </w:t>
      </w:r>
      <w:hyperlink r:id="rId18" w:tgtFrame="_new" w:history="1">
        <w:r w:rsidRPr="001E1F05">
          <w:rPr>
            <w:rStyle w:val="Hyperlink"/>
            <w:rFonts w:ascii="Arial" w:hAnsi="Arial"/>
          </w:rPr>
          <w:t>https://apps.who.int/gb/ebwha/pdf_files/WHA77/A77_32-en.pdf</w:t>
        </w:r>
      </w:hyperlink>
      <w:r w:rsidRPr="001E1F05">
        <w:rPr>
          <w:rFonts w:ascii="Arial" w:hAnsi="Arial"/>
        </w:rPr>
        <w:t xml:space="preserve"> (Accessed: 14 November 2025).</w:t>
      </w:r>
    </w:p>
    <w:p w14:paraId="14AEE484" w14:textId="77777777" w:rsidR="0058270B" w:rsidRPr="005E5CAE" w:rsidRDefault="0058270B" w:rsidP="005E5CAE">
      <w:pPr>
        <w:spacing w:line="360" w:lineRule="auto"/>
        <w:jc w:val="both"/>
        <w:rPr>
          <w:rFonts w:ascii="Arial" w:hAnsi="Arial"/>
        </w:rPr>
      </w:pPr>
    </w:p>
    <w:sectPr w:rsidR="0058270B" w:rsidRPr="005E5CAE" w:rsidSect="0097438A">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97F38F" w14:textId="77777777" w:rsidR="009E296E" w:rsidRDefault="009E296E" w:rsidP="0058270B">
      <w:pPr>
        <w:spacing w:after="0" w:line="240" w:lineRule="auto"/>
      </w:pPr>
      <w:r>
        <w:separator/>
      </w:r>
    </w:p>
  </w:endnote>
  <w:endnote w:type="continuationSeparator" w:id="0">
    <w:p w14:paraId="0C3FBFAE" w14:textId="77777777" w:rsidR="009E296E" w:rsidRDefault="009E296E" w:rsidP="005827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6838195"/>
      <w:docPartObj>
        <w:docPartGallery w:val="Page Numbers (Bottom of Page)"/>
        <w:docPartUnique/>
      </w:docPartObj>
    </w:sdtPr>
    <w:sdtEndPr>
      <w:rPr>
        <w:noProof/>
      </w:rPr>
    </w:sdtEndPr>
    <w:sdtContent>
      <w:p w14:paraId="37A2C892" w14:textId="32B1257B" w:rsidR="0058270B" w:rsidRDefault="0058270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D04F2B" w14:textId="77777777" w:rsidR="0058270B" w:rsidRDefault="005827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E160A6" w14:textId="77777777" w:rsidR="009E296E" w:rsidRDefault="009E296E" w:rsidP="0058270B">
      <w:pPr>
        <w:spacing w:after="0" w:line="240" w:lineRule="auto"/>
      </w:pPr>
      <w:r>
        <w:separator/>
      </w:r>
    </w:p>
  </w:footnote>
  <w:footnote w:type="continuationSeparator" w:id="0">
    <w:p w14:paraId="0A11F0CC" w14:textId="77777777" w:rsidR="009E296E" w:rsidRDefault="009E296E" w:rsidP="0058270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BCF"/>
    <w:rsid w:val="001654E6"/>
    <w:rsid w:val="001E1F05"/>
    <w:rsid w:val="00345806"/>
    <w:rsid w:val="004C3571"/>
    <w:rsid w:val="005122E5"/>
    <w:rsid w:val="0058270B"/>
    <w:rsid w:val="005E5CAE"/>
    <w:rsid w:val="00633BD9"/>
    <w:rsid w:val="00684ADB"/>
    <w:rsid w:val="00897687"/>
    <w:rsid w:val="0097438A"/>
    <w:rsid w:val="0099046A"/>
    <w:rsid w:val="009E296E"/>
    <w:rsid w:val="00A37162"/>
    <w:rsid w:val="00A92BCF"/>
    <w:rsid w:val="00B00BFA"/>
    <w:rsid w:val="00BE2BAE"/>
    <w:rsid w:val="00BF0E40"/>
    <w:rsid w:val="00F435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46155"/>
  <w15:chartTrackingRefBased/>
  <w15:docId w15:val="{8AFF0038-02F1-40E9-9E08-D4B7B035B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2B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92B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2B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2B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2B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2B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2B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2B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2B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2B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92B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2B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2B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2B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2B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2B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2B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2BCF"/>
    <w:rPr>
      <w:rFonts w:eastAsiaTheme="majorEastAsia" w:cstheme="majorBidi"/>
      <w:color w:val="272727" w:themeColor="text1" w:themeTint="D8"/>
    </w:rPr>
  </w:style>
  <w:style w:type="paragraph" w:styleId="Title">
    <w:name w:val="Title"/>
    <w:basedOn w:val="Normal"/>
    <w:next w:val="Normal"/>
    <w:link w:val="TitleChar"/>
    <w:uiPriority w:val="10"/>
    <w:qFormat/>
    <w:rsid w:val="00A92B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2B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2B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2B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2BCF"/>
    <w:pPr>
      <w:spacing w:before="160"/>
      <w:jc w:val="center"/>
    </w:pPr>
    <w:rPr>
      <w:i/>
      <w:iCs/>
      <w:color w:val="404040" w:themeColor="text1" w:themeTint="BF"/>
    </w:rPr>
  </w:style>
  <w:style w:type="character" w:customStyle="1" w:styleId="QuoteChar">
    <w:name w:val="Quote Char"/>
    <w:basedOn w:val="DefaultParagraphFont"/>
    <w:link w:val="Quote"/>
    <w:uiPriority w:val="29"/>
    <w:rsid w:val="00A92BCF"/>
    <w:rPr>
      <w:i/>
      <w:iCs/>
      <w:color w:val="404040" w:themeColor="text1" w:themeTint="BF"/>
    </w:rPr>
  </w:style>
  <w:style w:type="paragraph" w:styleId="ListParagraph">
    <w:name w:val="List Paragraph"/>
    <w:basedOn w:val="Normal"/>
    <w:uiPriority w:val="34"/>
    <w:qFormat/>
    <w:rsid w:val="00A92BCF"/>
    <w:pPr>
      <w:ind w:left="720"/>
      <w:contextualSpacing/>
    </w:pPr>
  </w:style>
  <w:style w:type="character" w:styleId="IntenseEmphasis">
    <w:name w:val="Intense Emphasis"/>
    <w:basedOn w:val="DefaultParagraphFont"/>
    <w:uiPriority w:val="21"/>
    <w:qFormat/>
    <w:rsid w:val="00A92BCF"/>
    <w:rPr>
      <w:i/>
      <w:iCs/>
      <w:color w:val="0F4761" w:themeColor="accent1" w:themeShade="BF"/>
    </w:rPr>
  </w:style>
  <w:style w:type="paragraph" w:styleId="IntenseQuote">
    <w:name w:val="Intense Quote"/>
    <w:basedOn w:val="Normal"/>
    <w:next w:val="Normal"/>
    <w:link w:val="IntenseQuoteChar"/>
    <w:uiPriority w:val="30"/>
    <w:qFormat/>
    <w:rsid w:val="00A92B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2BCF"/>
    <w:rPr>
      <w:i/>
      <w:iCs/>
      <w:color w:val="0F4761" w:themeColor="accent1" w:themeShade="BF"/>
    </w:rPr>
  </w:style>
  <w:style w:type="character" w:styleId="IntenseReference">
    <w:name w:val="Intense Reference"/>
    <w:basedOn w:val="DefaultParagraphFont"/>
    <w:uiPriority w:val="32"/>
    <w:qFormat/>
    <w:rsid w:val="00A92BCF"/>
    <w:rPr>
      <w:b/>
      <w:bCs/>
      <w:smallCaps/>
      <w:color w:val="0F4761" w:themeColor="accent1" w:themeShade="BF"/>
      <w:spacing w:val="5"/>
    </w:rPr>
  </w:style>
  <w:style w:type="paragraph" w:styleId="Header">
    <w:name w:val="header"/>
    <w:basedOn w:val="Normal"/>
    <w:link w:val="HeaderChar"/>
    <w:uiPriority w:val="99"/>
    <w:unhideWhenUsed/>
    <w:rsid w:val="005827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270B"/>
  </w:style>
  <w:style w:type="paragraph" w:styleId="Footer">
    <w:name w:val="footer"/>
    <w:basedOn w:val="Normal"/>
    <w:link w:val="FooterChar"/>
    <w:uiPriority w:val="99"/>
    <w:unhideWhenUsed/>
    <w:rsid w:val="005827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270B"/>
  </w:style>
  <w:style w:type="character" w:styleId="Hyperlink">
    <w:name w:val="Hyperlink"/>
    <w:basedOn w:val="DefaultParagraphFont"/>
    <w:uiPriority w:val="99"/>
    <w:unhideWhenUsed/>
    <w:rsid w:val="0058270B"/>
    <w:rPr>
      <w:color w:val="467886" w:themeColor="hyperlink"/>
      <w:u w:val="single"/>
    </w:rPr>
  </w:style>
  <w:style w:type="character" w:styleId="UnresolvedMention">
    <w:name w:val="Unresolved Mention"/>
    <w:basedOn w:val="DefaultParagraphFont"/>
    <w:uiPriority w:val="99"/>
    <w:semiHidden/>
    <w:unhideWhenUsed/>
    <w:rsid w:val="0058270B"/>
    <w:rPr>
      <w:color w:val="605E5C"/>
      <w:shd w:val="clear" w:color="auto" w:fill="E1DFDD"/>
    </w:rPr>
  </w:style>
  <w:style w:type="paragraph" w:styleId="TOCHeading">
    <w:name w:val="TOC Heading"/>
    <w:basedOn w:val="Heading1"/>
    <w:next w:val="Normal"/>
    <w:uiPriority w:val="39"/>
    <w:unhideWhenUsed/>
    <w:qFormat/>
    <w:rsid w:val="0097438A"/>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B00BFA"/>
    <w:pPr>
      <w:tabs>
        <w:tab w:val="right" w:leader="dot" w:pos="9016"/>
      </w:tabs>
      <w:spacing w:after="100" w:line="360" w:lineRule="auto"/>
    </w:pPr>
  </w:style>
  <w:style w:type="paragraph" w:styleId="NoSpacing">
    <w:name w:val="No Spacing"/>
    <w:link w:val="NoSpacingChar"/>
    <w:uiPriority w:val="1"/>
    <w:qFormat/>
    <w:rsid w:val="0097438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7438A"/>
    <w:rPr>
      <w:rFonts w:eastAsiaTheme="minorEastAsia"/>
      <w:kern w:val="0"/>
      <w:sz w:val="22"/>
      <w:szCs w:val="22"/>
      <w:lang w:val="en-US"/>
      <w14:ligatures w14:val="none"/>
    </w:rPr>
  </w:style>
  <w:style w:type="character" w:styleId="FollowedHyperlink">
    <w:name w:val="FollowedHyperlink"/>
    <w:basedOn w:val="DefaultParagraphFont"/>
    <w:uiPriority w:val="99"/>
    <w:semiHidden/>
    <w:unhideWhenUsed/>
    <w:rsid w:val="00A3716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health.org.uk/reports-and-analysis/working-papers/how-many-nhs-workers-will-we-need-over-the-coming-decade?utm_source=chatgpt.com" TargetMode="External"/><Relationship Id="rId18" Type="http://schemas.openxmlformats.org/officeDocument/2006/relationships/hyperlink" Target="https://apps.who.int/gb/ebwha/pdf_files/WHA77/A77_32-en.pdf?utm_source=chatgpt.com"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legislation.gov.uk/ukpga/2010/15/contents?utm_source=chatgpt.com" TargetMode="External"/><Relationship Id="rId17" Type="http://schemas.openxmlformats.org/officeDocument/2006/relationships/hyperlink" Target="https://www.rcplondon.ac.uk/projects/outputs/diversity-leadership-learning-inclusive-clinical-teams" TargetMode="External"/><Relationship Id="rId2" Type="http://schemas.openxmlformats.org/officeDocument/2006/relationships/styles" Target="styles.xml"/><Relationship Id="rId16" Type="http://schemas.openxmlformats.org/officeDocument/2006/relationships/hyperlink" Target="https://www.rcn.org.uk/-/media/Royal-College-Of-Nursing/Documents/Publications/2024/May/011-635.pdf?utm_source=chatgpt.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mj.com" TargetMode="External"/><Relationship Id="rId5" Type="http://schemas.openxmlformats.org/officeDocument/2006/relationships/footnotes" Target="footnotes.xml"/><Relationship Id="rId15" Type="http://schemas.openxmlformats.org/officeDocument/2006/relationships/hyperlink" Target="https://www.gov.uk/government/publications/a-plan-for-digital-health-and-social-care" TargetMode="External"/><Relationship Id="rId10" Type="http://schemas.openxmlformats.org/officeDocument/2006/relationships/hyperlink" Target="https://www.indigo.ca/en-ca/person-centred-dementia-care-second-edition-making-services-better-with-the-vips-framework/9781849056663.html"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bma.org.uk/media/nalcxoal/doctor-patient-relationship-guidance-updated-feb-2025.pdf?utm_source=chatgpt.com" TargetMode="External"/><Relationship Id="rId14" Type="http://schemas.openxmlformats.org/officeDocument/2006/relationships/hyperlink" Target="https://www.england.nhs.uk/wp-content/uploads/2018/10/personalised-care-operating-model-2021.pdf?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1B1C95-CEF7-49B6-A223-46A393E27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11</Pages>
  <Words>3041</Words>
  <Characters>17336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Iftekhar Rashid</dc:creator>
  <cp:keywords/>
  <dc:description/>
  <cp:lastModifiedBy>Iftekhar Rashid</cp:lastModifiedBy>
  <cp:revision>12</cp:revision>
  <dcterms:created xsi:type="dcterms:W3CDTF">2025-11-14T21:04:00Z</dcterms:created>
  <dcterms:modified xsi:type="dcterms:W3CDTF">2025-11-14T23:16:00Z</dcterms:modified>
</cp:coreProperties>
</file>