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56E08" w14:textId="4E21FA5B" w:rsidR="00140B1A" w:rsidRDefault="007051A9" w:rsidP="00140B1A">
      <w:pPr>
        <w:spacing w:after="160" w:line="259" w:lineRule="auto"/>
        <w:jc w:val="center"/>
        <w:rPr>
          <w:rFonts w:ascii="Verdana" w:hAnsi="Verdana"/>
          <w:b/>
          <w:i/>
          <w:sz w:val="44"/>
        </w:rPr>
      </w:pPr>
      <w:r>
        <w:rPr>
          <w:rFonts w:ascii="Verdana" w:hAnsi="Verdana"/>
          <w:b/>
          <w:i/>
          <w:sz w:val="44"/>
        </w:rPr>
        <w:t xml:space="preserve">Reflective </w:t>
      </w:r>
      <w:r w:rsidR="00140B1A">
        <w:rPr>
          <w:rFonts w:ascii="Verdana" w:hAnsi="Verdana"/>
          <w:b/>
          <w:i/>
          <w:sz w:val="44"/>
        </w:rPr>
        <w:t xml:space="preserve">Essay </w:t>
      </w:r>
    </w:p>
    <w:p w14:paraId="3A6B3386" w14:textId="4CC514E6" w:rsidR="00140B1A" w:rsidRDefault="000F55BE" w:rsidP="00140B1A">
      <w:pPr>
        <w:spacing w:after="160" w:line="259" w:lineRule="auto"/>
        <w:jc w:val="center"/>
        <w:rPr>
          <w:rFonts w:ascii="Verdana" w:hAnsi="Verdana"/>
          <w:b/>
          <w:caps/>
          <w:sz w:val="18"/>
          <w:szCs w:val="18"/>
        </w:rPr>
      </w:pPr>
      <w:r>
        <w:rPr>
          <w:rFonts w:ascii="Verdana" w:hAnsi="Verdana"/>
          <w:b/>
          <w:i/>
          <w:color w:val="FF0000"/>
          <w:sz w:val="44"/>
        </w:rPr>
        <w:t xml:space="preserve">Reflections on My First Term </w:t>
      </w:r>
    </w:p>
    <w:p w14:paraId="3DA47705" w14:textId="09D972A7" w:rsidR="00140B1A" w:rsidRDefault="00140B1A" w:rsidP="00140B1A">
      <w:pPr>
        <w:spacing w:after="160" w:line="259" w:lineRule="auto"/>
        <w:rPr>
          <w:rFonts w:ascii="Verdana" w:hAnsi="Verdana"/>
          <w:b/>
          <w:caps/>
          <w:sz w:val="18"/>
          <w:szCs w:val="18"/>
        </w:rPr>
      </w:pPr>
    </w:p>
    <w:p w14:paraId="76101F45" w14:textId="638C9985" w:rsidR="006805A9" w:rsidRDefault="006805A9" w:rsidP="00140B1A">
      <w:pPr>
        <w:spacing w:after="160" w:line="259" w:lineRule="auto"/>
        <w:rPr>
          <w:rFonts w:ascii="Verdana" w:hAnsi="Verdana"/>
          <w:b/>
          <w:caps/>
          <w:sz w:val="18"/>
          <w:szCs w:val="18"/>
        </w:rPr>
      </w:pPr>
    </w:p>
    <w:p w14:paraId="23EA5C1C" w14:textId="77777777" w:rsidR="006805A9" w:rsidRDefault="006805A9" w:rsidP="00140B1A">
      <w:pPr>
        <w:spacing w:after="160" w:line="259" w:lineRule="auto"/>
        <w:rPr>
          <w:rFonts w:ascii="Verdana" w:hAnsi="Verdana"/>
          <w:b/>
          <w:caps/>
          <w:sz w:val="18"/>
          <w:szCs w:val="18"/>
        </w:rPr>
      </w:pPr>
    </w:p>
    <w:p w14:paraId="6976BE66" w14:textId="0DF18B8B"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6831164" w14:textId="70DC5B03" w:rsidR="006805A9" w:rsidRDefault="006805A9" w:rsidP="00140B1A">
      <w:pPr>
        <w:spacing w:after="160" w:line="259" w:lineRule="auto"/>
        <w:jc w:val="center"/>
        <w:rPr>
          <w:rFonts w:ascii="Verdana" w:hAnsi="Verdana"/>
          <w:b/>
          <w:caps/>
          <w:sz w:val="18"/>
          <w:szCs w:val="18"/>
        </w:rPr>
      </w:pPr>
    </w:p>
    <w:p w14:paraId="509C6ECF" w14:textId="77777777" w:rsidR="006805A9" w:rsidRDefault="006805A9" w:rsidP="00140B1A">
      <w:pPr>
        <w:spacing w:after="160" w:line="259" w:lineRule="auto"/>
        <w:jc w:val="center"/>
        <w:rPr>
          <w:rFonts w:ascii="Verdana" w:hAnsi="Verdana"/>
          <w:b/>
          <w:caps/>
          <w:sz w:val="18"/>
          <w:szCs w:val="18"/>
        </w:rPr>
      </w:pPr>
    </w:p>
    <w:p w14:paraId="1FDD5A2F" w14:textId="77777777" w:rsidR="006805A9" w:rsidRDefault="006805A9" w:rsidP="00140B1A">
      <w:pPr>
        <w:spacing w:after="160" w:line="259" w:lineRule="auto"/>
        <w:jc w:val="center"/>
        <w:rPr>
          <w:rFonts w:ascii="Verdana" w:hAnsi="Verdana"/>
          <w:b/>
          <w:caps/>
          <w:sz w:val="18"/>
          <w:szCs w:val="18"/>
        </w:rPr>
      </w:pPr>
    </w:p>
    <w:p w14:paraId="0B73491E" w14:textId="77777777" w:rsidR="00140B1A" w:rsidRDefault="00140B1A" w:rsidP="00140B1A">
      <w:pPr>
        <w:spacing w:after="160" w:line="259" w:lineRule="auto"/>
        <w:rPr>
          <w:rFonts w:ascii="Verdana" w:hAnsi="Verdana"/>
          <w:b/>
          <w:caps/>
          <w:sz w:val="18"/>
          <w:szCs w:val="18"/>
        </w:rPr>
      </w:pPr>
    </w:p>
    <w:p w14:paraId="60C8B340" w14:textId="0C33E494" w:rsidR="00140B1A" w:rsidRDefault="00140B1A" w:rsidP="00140B1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F55BE">
        <w:rPr>
          <w:rFonts w:ascii="Verdana" w:hAnsi="Verdana"/>
          <w:b/>
          <w:caps/>
          <w:color w:val="FF0000"/>
          <w:sz w:val="18"/>
          <w:szCs w:val="18"/>
        </w:rPr>
        <w:t>Academic skills for the digital era (BMSW4013)</w:t>
      </w:r>
    </w:p>
    <w:p w14:paraId="0E9196AA" w14:textId="435EA70F"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0F55BE">
        <w:rPr>
          <w:rFonts w:ascii="Verdana" w:hAnsi="Verdana"/>
          <w:b/>
          <w:caps/>
          <w:color w:val="FF0000"/>
          <w:sz w:val="18"/>
          <w:szCs w:val="18"/>
        </w:rPr>
        <w:t xml:space="preserve">Edit-Lakme azmi </w:t>
      </w:r>
    </w:p>
    <w:p w14:paraId="4325B667" w14:textId="77777777" w:rsidR="00140B1A" w:rsidRDefault="00140B1A" w:rsidP="00140B1A">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000F55BE">
        <w:rPr>
          <w:rFonts w:ascii="Verdana" w:hAnsi="Verdana"/>
          <w:b/>
          <w:caps/>
          <w:color w:val="FF0000"/>
          <w:sz w:val="18"/>
          <w:szCs w:val="18"/>
        </w:rPr>
        <w:t>ZITA DRAPER</w:t>
      </w:r>
    </w:p>
    <w:p w14:paraId="0318AA8A" w14:textId="77777777" w:rsidR="001E7784" w:rsidRDefault="001E7784" w:rsidP="00140B1A">
      <w:pPr>
        <w:spacing w:after="160" w:line="259" w:lineRule="auto"/>
        <w:rPr>
          <w:rFonts w:ascii="Verdana" w:hAnsi="Verdana"/>
          <w:b/>
          <w:caps/>
          <w:sz w:val="18"/>
          <w:szCs w:val="18"/>
        </w:rPr>
      </w:pPr>
    </w:p>
    <w:p w14:paraId="62596290" w14:textId="77777777" w:rsidR="001E7784" w:rsidRDefault="001E7784" w:rsidP="00140B1A">
      <w:pPr>
        <w:spacing w:after="160" w:line="259" w:lineRule="auto"/>
        <w:rPr>
          <w:rFonts w:ascii="Verdana" w:hAnsi="Verdana"/>
          <w:b/>
          <w:caps/>
          <w:sz w:val="18"/>
          <w:szCs w:val="18"/>
        </w:rPr>
      </w:pPr>
    </w:p>
    <w:p w14:paraId="69842E67" w14:textId="77777777" w:rsidR="001E7784" w:rsidRDefault="001E7784" w:rsidP="00140B1A">
      <w:pPr>
        <w:spacing w:after="160" w:line="259" w:lineRule="auto"/>
        <w:rPr>
          <w:rFonts w:ascii="Verdana" w:hAnsi="Verdana"/>
          <w:b/>
          <w:caps/>
          <w:sz w:val="18"/>
          <w:szCs w:val="18"/>
        </w:rPr>
      </w:pPr>
    </w:p>
    <w:p w14:paraId="6B21B3EB" w14:textId="77777777" w:rsidR="001E7784" w:rsidRDefault="001E7784" w:rsidP="00140B1A">
      <w:pPr>
        <w:spacing w:after="160" w:line="259" w:lineRule="auto"/>
        <w:rPr>
          <w:rFonts w:ascii="Verdana" w:hAnsi="Verdana"/>
          <w:b/>
          <w:caps/>
          <w:sz w:val="18"/>
          <w:szCs w:val="18"/>
        </w:rPr>
      </w:pPr>
    </w:p>
    <w:p w14:paraId="2C70C18D" w14:textId="77777777" w:rsidR="001E7784" w:rsidRDefault="001E7784" w:rsidP="00140B1A">
      <w:pPr>
        <w:spacing w:after="160" w:line="259" w:lineRule="auto"/>
        <w:rPr>
          <w:rFonts w:ascii="Verdana" w:hAnsi="Verdana"/>
          <w:b/>
          <w:caps/>
          <w:sz w:val="18"/>
          <w:szCs w:val="18"/>
        </w:rPr>
      </w:pPr>
    </w:p>
    <w:p w14:paraId="2235606E" w14:textId="77777777" w:rsidR="001E7784" w:rsidRDefault="001E7784" w:rsidP="00140B1A">
      <w:pPr>
        <w:spacing w:after="160" w:line="259" w:lineRule="auto"/>
        <w:rPr>
          <w:rFonts w:ascii="Verdana" w:hAnsi="Verdana"/>
          <w:b/>
          <w:caps/>
          <w:sz w:val="18"/>
          <w:szCs w:val="18"/>
        </w:rPr>
      </w:pPr>
    </w:p>
    <w:p w14:paraId="2DD60939" w14:textId="77777777" w:rsidR="001E7784" w:rsidRDefault="001E7784" w:rsidP="00140B1A">
      <w:pPr>
        <w:spacing w:after="160" w:line="259" w:lineRule="auto"/>
        <w:rPr>
          <w:rFonts w:ascii="Verdana" w:hAnsi="Verdana"/>
          <w:b/>
          <w:caps/>
          <w:sz w:val="18"/>
          <w:szCs w:val="18"/>
        </w:rPr>
      </w:pPr>
    </w:p>
    <w:p w14:paraId="024DA744" w14:textId="2FAB92F4" w:rsidR="001E7784" w:rsidRPr="00A20E20" w:rsidRDefault="001E7784" w:rsidP="001E7784">
      <w:pPr>
        <w:spacing w:after="160" w:line="259" w:lineRule="auto"/>
        <w:jc w:val="center"/>
        <w:rPr>
          <w:rFonts w:ascii="Verdana" w:hAnsi="Verdana"/>
          <w:b/>
          <w:caps/>
          <w:sz w:val="18"/>
          <w:szCs w:val="18"/>
        </w:rPr>
        <w:sectPr w:rsidR="001E7784" w:rsidRPr="00A20E20" w:rsidSect="00140B1A">
          <w:pgSz w:w="11906" w:h="16838"/>
          <w:pgMar w:top="1440" w:right="1440" w:bottom="1440" w:left="1440" w:header="708" w:footer="708" w:gutter="0"/>
          <w:cols w:space="708"/>
          <w:docGrid w:linePitch="360"/>
        </w:sectPr>
      </w:pPr>
      <w:r>
        <w:rPr>
          <w:rFonts w:ascii="Verdana" w:hAnsi="Verdana"/>
          <w:b/>
          <w:caps/>
          <w:sz w:val="18"/>
          <w:szCs w:val="18"/>
        </w:rPr>
        <w:t>1650 word</w:t>
      </w:r>
      <w:bookmarkStart w:id="0" w:name="_GoBack"/>
      <w:bookmarkEnd w:id="0"/>
      <w:r>
        <w:rPr>
          <w:rFonts w:ascii="Verdana" w:hAnsi="Verdana"/>
          <w:b/>
          <w:caps/>
          <w:sz w:val="18"/>
          <w:szCs w:val="18"/>
        </w:rPr>
        <w:t xml:space="preserve">s </w:t>
      </w:r>
    </w:p>
    <w:p w14:paraId="5A5C8D0F" w14:textId="6F478183" w:rsidR="006805A9" w:rsidRPr="006805A9" w:rsidRDefault="004072FB" w:rsidP="00430F20">
      <w:pPr>
        <w:pStyle w:val="Subtitle"/>
        <w:spacing w:line="360" w:lineRule="auto"/>
      </w:pPr>
      <w:r w:rsidRPr="003C3D90">
        <w:lastRenderedPageBreak/>
        <w:t xml:space="preserve">DESCRIPTION </w:t>
      </w:r>
    </w:p>
    <w:p w14:paraId="3F23B0E6" w14:textId="57D79B60" w:rsidR="006B7880" w:rsidRDefault="006B7880" w:rsidP="00430F20">
      <w:pPr>
        <w:spacing w:line="360" w:lineRule="auto"/>
        <w:rPr>
          <w:rFonts w:ascii="Arial" w:hAnsi="Arial" w:cs="Arial"/>
          <w:sz w:val="24"/>
          <w:szCs w:val="24"/>
        </w:rPr>
      </w:pPr>
      <w:bookmarkStart w:id="1" w:name="_Hlk190970358"/>
      <w:r>
        <w:rPr>
          <w:rFonts w:ascii="Arial" w:hAnsi="Arial" w:cs="Arial"/>
          <w:sz w:val="24"/>
          <w:szCs w:val="24"/>
        </w:rPr>
        <w:t xml:space="preserve">      </w:t>
      </w:r>
      <w:r w:rsidRPr="006B7880">
        <w:rPr>
          <w:rFonts w:ascii="Arial" w:hAnsi="Arial" w:cs="Arial"/>
          <w:sz w:val="24"/>
          <w:szCs w:val="24"/>
        </w:rPr>
        <w:t>Gibbs’s Reflective Cycle (1988) it is a structured framework that guides individuals through the process of reflection. The six phases are: description, feelings, evaluation, analysis, conclusion and action plan. This strategy is especially helpful for learning from experiences by examining them thoroughly and reflecting about how to improve on next actions better. Using this technique, I will reflect on my move to college reviewing the challenges I faced and how they impacted my own academic journey. I’ll talk about the difficulties I’ve had, the strategies I applied and what I gained from it. I will start by describing my first observations, after which I will go to my feelings, and evaluate the findings. Following that, I’ll do a deeper examination of the circumstances, make evaluations regarding my own progress, and then provide a SMART action plan for improvement in the period to come.</w:t>
      </w:r>
    </w:p>
    <w:p w14:paraId="03D2C1A3" w14:textId="0C4840A4" w:rsidR="00A31841" w:rsidRDefault="00A62D8A" w:rsidP="00430F20">
      <w:pPr>
        <w:spacing w:line="360" w:lineRule="auto"/>
        <w:rPr>
          <w:rFonts w:ascii="Arial" w:hAnsi="Arial" w:cs="Arial"/>
          <w:sz w:val="24"/>
          <w:szCs w:val="24"/>
        </w:rPr>
      </w:pPr>
      <w:r>
        <w:rPr>
          <w:rFonts w:ascii="Arial" w:hAnsi="Arial" w:cs="Arial"/>
          <w:sz w:val="24"/>
          <w:szCs w:val="24"/>
        </w:rPr>
        <w:t xml:space="preserve">     There were particular difficulties in going back to school after becoming thirty years old. Unlike younger students who started right out of high school, I had to juggle my career and family obligations. One of the hardest things I had to do was manage my time well. As an adult student I was used to creating work schedules, but university requires self-discipline and independent study.</w:t>
      </w:r>
      <w:r w:rsidR="00D37DCE">
        <w:rPr>
          <w:rFonts w:ascii="Arial" w:hAnsi="Arial" w:cs="Arial"/>
          <w:sz w:val="24"/>
          <w:szCs w:val="24"/>
        </w:rPr>
        <w:t xml:space="preserve"> “People talk about keeping all the balls in the air…I’ve always had so many things on the go all the time, juggling the balls and keeping everything</w:t>
      </w:r>
      <w:r w:rsidR="00430F20">
        <w:rPr>
          <w:rFonts w:ascii="Arial" w:hAnsi="Arial" w:cs="Arial"/>
          <w:sz w:val="24"/>
          <w:szCs w:val="24"/>
        </w:rPr>
        <w:t xml:space="preserve"> </w:t>
      </w:r>
      <w:r w:rsidR="00D37DCE">
        <w:rPr>
          <w:rFonts w:ascii="Arial" w:hAnsi="Arial" w:cs="Arial"/>
          <w:sz w:val="24"/>
          <w:szCs w:val="24"/>
        </w:rPr>
        <w:t>happen</w:t>
      </w:r>
      <w:r w:rsidR="00430F20">
        <w:rPr>
          <w:rFonts w:ascii="Arial" w:hAnsi="Arial" w:cs="Arial"/>
          <w:sz w:val="24"/>
          <w:szCs w:val="24"/>
        </w:rPr>
        <w:t xml:space="preserve">ing. </w:t>
      </w:r>
      <w:r w:rsidR="00D37DCE">
        <w:rPr>
          <w:rFonts w:ascii="Arial" w:hAnsi="Arial" w:cs="Arial"/>
          <w:sz w:val="24"/>
          <w:szCs w:val="24"/>
        </w:rPr>
        <w:t>(</w:t>
      </w:r>
      <w:proofErr w:type="spellStart"/>
      <w:r w:rsidR="00D37DCE">
        <w:rPr>
          <w:rFonts w:ascii="Arial" w:hAnsi="Arial" w:cs="Arial"/>
          <w:sz w:val="24"/>
          <w:szCs w:val="24"/>
        </w:rPr>
        <w:t>Stone&amp;O’Shea</w:t>
      </w:r>
      <w:proofErr w:type="spellEnd"/>
      <w:r w:rsidR="00D37DCE">
        <w:rPr>
          <w:rFonts w:ascii="Arial" w:hAnsi="Arial" w:cs="Arial"/>
          <w:sz w:val="24"/>
          <w:szCs w:val="24"/>
        </w:rPr>
        <w:t xml:space="preserve">, </w:t>
      </w:r>
      <w:r w:rsidR="00430F20">
        <w:rPr>
          <w:rFonts w:ascii="Arial" w:hAnsi="Arial" w:cs="Arial"/>
          <w:sz w:val="24"/>
          <w:szCs w:val="24"/>
        </w:rPr>
        <w:t>2013, p</w:t>
      </w:r>
      <w:r w:rsidR="005F3B6B">
        <w:rPr>
          <w:rFonts w:ascii="Arial" w:hAnsi="Arial" w:cs="Arial"/>
          <w:sz w:val="24"/>
          <w:szCs w:val="24"/>
        </w:rPr>
        <w:t>102)</w:t>
      </w:r>
      <w:r w:rsidR="00002ADB" w:rsidRPr="00377BE1">
        <w:rPr>
          <w:rFonts w:ascii="Arial" w:hAnsi="Arial" w:cs="Arial"/>
          <w:sz w:val="24"/>
          <w:szCs w:val="24"/>
        </w:rPr>
        <w:t>. Learning how to write academically was another significant challenge. I had trouble</w:t>
      </w:r>
      <w:r w:rsidR="00002ADB">
        <w:rPr>
          <w:rFonts w:ascii="Arial" w:hAnsi="Arial" w:cs="Arial"/>
          <w:sz w:val="24"/>
          <w:szCs w:val="24"/>
        </w:rPr>
        <w:t xml:space="preserve"> </w:t>
      </w:r>
      <w:r w:rsidR="00002ADB" w:rsidRPr="00377BE1">
        <w:rPr>
          <w:rFonts w:ascii="Arial" w:hAnsi="Arial" w:cs="Arial"/>
          <w:sz w:val="24"/>
          <w:szCs w:val="24"/>
        </w:rPr>
        <w:t>organizing writings, including sources and following reference styles because I had not been</w:t>
      </w:r>
      <w:r w:rsidR="00002ADB">
        <w:rPr>
          <w:rFonts w:ascii="Arial" w:hAnsi="Arial" w:cs="Arial"/>
          <w:sz w:val="24"/>
          <w:szCs w:val="24"/>
        </w:rPr>
        <w:t xml:space="preserve"> </w:t>
      </w:r>
      <w:r w:rsidR="00002ADB" w:rsidRPr="00377BE1">
        <w:rPr>
          <w:rFonts w:ascii="Arial" w:hAnsi="Arial" w:cs="Arial"/>
          <w:sz w:val="24"/>
          <w:szCs w:val="24"/>
        </w:rPr>
        <w:t>in an educational environment for years. My decision to return to school, at my age was questioned by</w:t>
      </w:r>
      <w:r w:rsidR="00002ADB">
        <w:rPr>
          <w:rFonts w:ascii="Arial" w:hAnsi="Arial" w:cs="Arial"/>
          <w:sz w:val="24"/>
          <w:szCs w:val="24"/>
        </w:rPr>
        <w:t xml:space="preserve"> </w:t>
      </w:r>
      <w:r w:rsidR="00002ADB" w:rsidRPr="00377BE1">
        <w:rPr>
          <w:rFonts w:ascii="Arial" w:hAnsi="Arial" w:cs="Arial"/>
          <w:sz w:val="24"/>
          <w:szCs w:val="24"/>
        </w:rPr>
        <w:t>many in my social circle, who highlighted the social norm that at the age of 30, one should</w:t>
      </w:r>
      <w:r w:rsidR="00002ADB">
        <w:rPr>
          <w:rFonts w:ascii="Arial" w:hAnsi="Arial" w:cs="Arial"/>
          <w:sz w:val="24"/>
          <w:szCs w:val="24"/>
        </w:rPr>
        <w:t xml:space="preserve"> </w:t>
      </w:r>
      <w:r w:rsidR="00002ADB" w:rsidRPr="00377BE1">
        <w:rPr>
          <w:rFonts w:ascii="Arial" w:hAnsi="Arial" w:cs="Arial"/>
          <w:sz w:val="24"/>
          <w:szCs w:val="24"/>
        </w:rPr>
        <w:t>prioritize family, professional stability or even having children. I had inner conflict as a result,</w:t>
      </w:r>
      <w:r w:rsidR="00002ADB">
        <w:rPr>
          <w:rFonts w:ascii="Arial" w:hAnsi="Arial" w:cs="Arial"/>
          <w:sz w:val="24"/>
          <w:szCs w:val="24"/>
        </w:rPr>
        <w:t xml:space="preserve"> </w:t>
      </w:r>
      <w:r w:rsidR="00002ADB" w:rsidRPr="00377BE1">
        <w:rPr>
          <w:rFonts w:ascii="Arial" w:hAnsi="Arial" w:cs="Arial"/>
          <w:sz w:val="24"/>
          <w:szCs w:val="24"/>
        </w:rPr>
        <w:t>believing that I was departing from the conventional course of life that adults in my situation</w:t>
      </w:r>
      <w:r w:rsidR="00002ADB">
        <w:rPr>
          <w:rFonts w:ascii="Arial" w:hAnsi="Arial" w:cs="Arial"/>
          <w:sz w:val="24"/>
          <w:szCs w:val="24"/>
        </w:rPr>
        <w:t xml:space="preserve"> </w:t>
      </w:r>
      <w:r w:rsidR="00002ADB" w:rsidRPr="00377BE1">
        <w:rPr>
          <w:rFonts w:ascii="Arial" w:hAnsi="Arial" w:cs="Arial"/>
          <w:sz w:val="24"/>
          <w:szCs w:val="24"/>
        </w:rPr>
        <w:t>were expected to embrace</w:t>
      </w:r>
      <w:r w:rsidR="00946095">
        <w:rPr>
          <w:rFonts w:ascii="Arial" w:hAnsi="Arial" w:cs="Arial"/>
          <w:sz w:val="24"/>
          <w:szCs w:val="24"/>
        </w:rPr>
        <w:t xml:space="preserve"> and also being an international student. According to Berman and Cheng (1998), international students, often perceive language difficulties, particularly in speaking and </w:t>
      </w:r>
      <w:r w:rsidR="00A31841">
        <w:rPr>
          <w:rFonts w:ascii="Arial" w:hAnsi="Arial" w:cs="Arial"/>
          <w:sz w:val="24"/>
          <w:szCs w:val="24"/>
        </w:rPr>
        <w:t>writing,</w:t>
      </w:r>
      <w:r w:rsidR="00946095">
        <w:rPr>
          <w:rFonts w:ascii="Arial" w:hAnsi="Arial" w:cs="Arial"/>
          <w:sz w:val="24"/>
          <w:szCs w:val="24"/>
        </w:rPr>
        <w:t xml:space="preserve"> to significantly impact their academic performance.  </w:t>
      </w:r>
      <w:bookmarkEnd w:id="1"/>
    </w:p>
    <w:p w14:paraId="4A4053E2" w14:textId="77777777" w:rsidR="006F6707" w:rsidRPr="00B72523" w:rsidRDefault="006F6707" w:rsidP="00430F20">
      <w:pPr>
        <w:spacing w:line="360" w:lineRule="auto"/>
        <w:rPr>
          <w:sz w:val="24"/>
          <w:szCs w:val="24"/>
          <w:lang w:eastAsia="zh-CN"/>
        </w:rPr>
      </w:pPr>
    </w:p>
    <w:p w14:paraId="19859ED1" w14:textId="7C294437" w:rsidR="00B72523" w:rsidRPr="00B72523" w:rsidRDefault="004072FB" w:rsidP="00430F20">
      <w:pPr>
        <w:pStyle w:val="Subtitle"/>
        <w:spacing w:line="360" w:lineRule="auto"/>
      </w:pPr>
      <w:r w:rsidRPr="003C3D90">
        <w:t xml:space="preserve">FEELINGS </w:t>
      </w:r>
    </w:p>
    <w:p w14:paraId="27586F32" w14:textId="1D485DCF" w:rsidR="006805A9" w:rsidRDefault="00EF4924" w:rsidP="00430F20">
      <w:pPr>
        <w:spacing w:line="360" w:lineRule="auto"/>
        <w:rPr>
          <w:rFonts w:ascii="Arial" w:hAnsi="Arial" w:cs="Arial"/>
          <w:sz w:val="24"/>
          <w:szCs w:val="24"/>
        </w:rPr>
      </w:pPr>
      <w:r>
        <w:rPr>
          <w:rFonts w:ascii="Arial" w:hAnsi="Arial" w:cs="Arial"/>
          <w:sz w:val="24"/>
          <w:szCs w:val="24"/>
          <w:lang w:eastAsia="zh-CN"/>
        </w:rPr>
        <w:t xml:space="preserve">  </w:t>
      </w:r>
      <w:r w:rsidR="00B72523">
        <w:rPr>
          <w:rFonts w:ascii="Arial" w:hAnsi="Arial" w:cs="Arial"/>
          <w:sz w:val="24"/>
          <w:szCs w:val="24"/>
          <w:lang w:eastAsia="zh-CN"/>
        </w:rPr>
        <w:t xml:space="preserve"> </w:t>
      </w:r>
      <w:r>
        <w:rPr>
          <w:rFonts w:ascii="Arial" w:hAnsi="Arial" w:cs="Arial"/>
          <w:sz w:val="24"/>
          <w:szCs w:val="24"/>
          <w:lang w:eastAsia="zh-CN"/>
        </w:rPr>
        <w:t xml:space="preserve"> </w:t>
      </w:r>
      <w:r w:rsidR="009046D5" w:rsidRPr="00A10DB1">
        <w:rPr>
          <w:rFonts w:ascii="Arial" w:hAnsi="Arial" w:cs="Arial"/>
          <w:sz w:val="24"/>
          <w:szCs w:val="24"/>
          <w:lang w:eastAsia="zh-CN"/>
        </w:rPr>
        <w:t xml:space="preserve">I initially felt overwhelmed and nervous. Attending university and working a full-time job requires a major change in lifestyle. I frequently questioned my ability to handle the workload and was concerned with effectively managing my obligations. </w:t>
      </w:r>
      <w:r w:rsidR="00430F20">
        <w:rPr>
          <w:rFonts w:ascii="Arial" w:hAnsi="Arial" w:cs="Arial"/>
          <w:sz w:val="24"/>
          <w:szCs w:val="24"/>
          <w:lang w:eastAsia="zh-CN"/>
        </w:rPr>
        <w:t>(</w:t>
      </w:r>
      <w:r w:rsidR="009046D5" w:rsidRPr="00A10DB1">
        <w:rPr>
          <w:rFonts w:ascii="Arial" w:hAnsi="Arial" w:cs="Arial"/>
          <w:sz w:val="24"/>
          <w:szCs w:val="24"/>
          <w:lang w:eastAsia="zh-CN"/>
        </w:rPr>
        <w:t>Schmidt and Hansson</w:t>
      </w:r>
      <w:r w:rsidR="00430F20">
        <w:rPr>
          <w:rFonts w:ascii="Arial" w:hAnsi="Arial" w:cs="Arial"/>
          <w:sz w:val="24"/>
          <w:szCs w:val="24"/>
          <w:lang w:eastAsia="zh-CN"/>
        </w:rPr>
        <w:t xml:space="preserve">, </w:t>
      </w:r>
      <w:r w:rsidR="009046D5" w:rsidRPr="00A10DB1">
        <w:rPr>
          <w:rFonts w:ascii="Arial" w:hAnsi="Arial" w:cs="Arial"/>
          <w:sz w:val="24"/>
          <w:szCs w:val="24"/>
          <w:lang w:eastAsia="zh-CN"/>
        </w:rPr>
        <w:t>2022,</w:t>
      </w:r>
      <w:r w:rsidR="00A10DB1" w:rsidRPr="00A10DB1">
        <w:rPr>
          <w:rFonts w:ascii="Arial" w:hAnsi="Arial" w:cs="Arial"/>
          <w:sz w:val="24"/>
          <w:szCs w:val="24"/>
          <w:lang w:eastAsia="zh-CN"/>
        </w:rPr>
        <w:t xml:space="preserve"> </w:t>
      </w:r>
      <w:r w:rsidR="009046D5" w:rsidRPr="00A10DB1">
        <w:rPr>
          <w:rFonts w:ascii="Arial" w:hAnsi="Arial" w:cs="Arial"/>
          <w:sz w:val="24"/>
          <w:szCs w:val="24"/>
          <w:lang w:eastAsia="zh-CN"/>
        </w:rPr>
        <w:t>p</w:t>
      </w:r>
      <w:r w:rsidR="00A10DB1" w:rsidRPr="00A10DB1">
        <w:rPr>
          <w:rFonts w:ascii="Arial" w:hAnsi="Arial" w:cs="Arial"/>
          <w:sz w:val="24"/>
          <w:szCs w:val="24"/>
          <w:lang w:eastAsia="zh-CN"/>
        </w:rPr>
        <w:t>.</w:t>
      </w:r>
      <w:r w:rsidR="009046D5" w:rsidRPr="00A10DB1">
        <w:rPr>
          <w:rFonts w:ascii="Arial" w:hAnsi="Arial" w:cs="Arial"/>
          <w:sz w:val="24"/>
          <w:szCs w:val="24"/>
          <w:lang w:eastAsia="zh-CN"/>
        </w:rPr>
        <w:t>58</w:t>
      </w:r>
      <w:r w:rsidR="00A10DB1" w:rsidRPr="00A10DB1">
        <w:rPr>
          <w:rFonts w:ascii="Arial" w:hAnsi="Arial" w:cs="Arial"/>
          <w:sz w:val="24"/>
          <w:szCs w:val="24"/>
          <w:lang w:eastAsia="zh-CN"/>
        </w:rPr>
        <w:t>) argue that “students often fin themselves grappling with changes in their academic environment, which can lead to a sense of isolation and confusion”</w:t>
      </w:r>
      <w:r w:rsidR="00A10DB1" w:rsidRPr="00A10DB1">
        <w:rPr>
          <w:rFonts w:ascii="Arial" w:hAnsi="Arial" w:cs="Arial"/>
          <w:sz w:val="24"/>
          <w:szCs w:val="24"/>
        </w:rPr>
        <w:t xml:space="preserve">. </w:t>
      </w:r>
    </w:p>
    <w:p w14:paraId="0F7AA215" w14:textId="712E568B" w:rsidR="00A31841" w:rsidRPr="00A10DB1" w:rsidRDefault="00A10DB1" w:rsidP="00430F20">
      <w:pPr>
        <w:spacing w:line="360" w:lineRule="auto"/>
        <w:rPr>
          <w:rFonts w:ascii="Arial" w:hAnsi="Arial" w:cs="Arial"/>
          <w:sz w:val="24"/>
          <w:szCs w:val="24"/>
        </w:rPr>
      </w:pPr>
      <w:r w:rsidRPr="00A10DB1">
        <w:rPr>
          <w:rFonts w:ascii="Arial" w:hAnsi="Arial" w:cs="Arial"/>
          <w:sz w:val="24"/>
          <w:szCs w:val="24"/>
        </w:rPr>
        <w:lastRenderedPageBreak/>
        <w:t>When I failed with academic writing, I also became disappointed. I took longer to finish task that were simple to others, such as planning an essay or locating reliable sources. When I received feedback that highlighted my weaknesses, I felt incompetent</w:t>
      </w:r>
      <w:r>
        <w:rPr>
          <w:rFonts w:ascii="Arial" w:hAnsi="Arial" w:cs="Arial"/>
          <w:sz w:val="24"/>
          <w:szCs w:val="24"/>
        </w:rPr>
        <w:t xml:space="preserve">. </w:t>
      </w:r>
      <w:r w:rsidR="00EF4924" w:rsidRPr="00EF4924">
        <w:rPr>
          <w:rFonts w:ascii="Arial" w:hAnsi="Arial" w:cs="Arial"/>
          <w:sz w:val="24"/>
          <w:szCs w:val="24"/>
        </w:rPr>
        <w:t>According to Berman and Cheng (2020, p. 78), "Developing academic writing skills as an adult learner requires patience and persistence, as it often involves unlearning previous writing habits and adopting new strategies."</w:t>
      </w:r>
      <w:r w:rsidR="00EF4924">
        <w:rPr>
          <w:rFonts w:ascii="Arial" w:hAnsi="Arial" w:cs="Arial"/>
          <w:sz w:val="24"/>
          <w:szCs w:val="24"/>
        </w:rPr>
        <w:t xml:space="preserve"> I felt pressured by society to stand by my decision to pursue further education</w:t>
      </w:r>
      <w:r w:rsidR="00B72523">
        <w:rPr>
          <w:rFonts w:ascii="Arial" w:hAnsi="Arial" w:cs="Arial"/>
          <w:sz w:val="24"/>
          <w:szCs w:val="24"/>
        </w:rPr>
        <w:t>. Family members and friends would ask why I was “starting over” rather than concentrating on improving my career or getting married</w:t>
      </w:r>
      <w:r w:rsidR="00B72523" w:rsidRPr="00B72523">
        <w:rPr>
          <w:rFonts w:ascii="Arial" w:hAnsi="Arial" w:cs="Arial"/>
          <w:sz w:val="24"/>
          <w:szCs w:val="24"/>
        </w:rPr>
        <w:t xml:space="preserve">.  Merrill (2020, p. 783) explores the challenges faced by women returning to higher education, noting that "these women often encounter both institutional and personal barriers that impact their academic experiences." </w:t>
      </w:r>
      <w:r w:rsidR="00B72523" w:rsidRPr="00B72523">
        <w:rPr>
          <w:rFonts w:ascii="Arial" w:hAnsi="Arial" w:cs="Arial"/>
          <w:sz w:val="24"/>
          <w:szCs w:val="24"/>
          <w:shd w:val="clear" w:color="auto" w:fill="FFFFFF"/>
        </w:rPr>
        <w:t xml:space="preserve">But as I advanced, I started to experience a feeling of achievement. By prioritizing work and making study plans, I improved my time management skills. </w:t>
      </w:r>
      <w:r w:rsidR="00C76D48">
        <w:rPr>
          <w:rFonts w:ascii="Arial" w:hAnsi="Arial" w:cs="Arial"/>
          <w:sz w:val="24"/>
          <w:szCs w:val="24"/>
          <w:shd w:val="clear" w:color="auto" w:fill="FFFFFF"/>
        </w:rPr>
        <w:t>The Pomodoro method was one practice that really had an effect. In the beginning I had trouble, concentrating for a long period of time and after learning for a few hours, I often felt tired. The method was helpful in this case</w:t>
      </w:r>
      <w:r w:rsidR="00430F20">
        <w:rPr>
          <w:rFonts w:ascii="Arial" w:hAnsi="Arial" w:cs="Arial"/>
          <w:sz w:val="24"/>
          <w:szCs w:val="24"/>
          <w:shd w:val="clear" w:color="auto" w:fill="FFFFFF"/>
        </w:rPr>
        <w:t xml:space="preserve"> and </w:t>
      </w:r>
      <w:r w:rsidR="00C76D48">
        <w:rPr>
          <w:rFonts w:ascii="Arial" w:hAnsi="Arial" w:cs="Arial"/>
          <w:sz w:val="24"/>
          <w:szCs w:val="24"/>
          <w:shd w:val="clear" w:color="auto" w:fill="FFFFFF"/>
        </w:rPr>
        <w:t xml:space="preserve">involves taking a </w:t>
      </w:r>
      <w:r w:rsidR="00C952B9">
        <w:rPr>
          <w:rFonts w:ascii="Arial" w:hAnsi="Arial" w:cs="Arial"/>
          <w:sz w:val="24"/>
          <w:szCs w:val="24"/>
          <w:shd w:val="clear" w:color="auto" w:fill="FFFFFF"/>
        </w:rPr>
        <w:t>5-minute</w:t>
      </w:r>
      <w:r w:rsidR="00C76D48">
        <w:rPr>
          <w:rFonts w:ascii="Arial" w:hAnsi="Arial" w:cs="Arial"/>
          <w:sz w:val="24"/>
          <w:szCs w:val="24"/>
          <w:shd w:val="clear" w:color="auto" w:fill="FFFFFF"/>
        </w:rPr>
        <w:t xml:space="preserve"> break </w:t>
      </w:r>
      <w:r w:rsidR="00C952B9">
        <w:rPr>
          <w:rFonts w:ascii="Arial" w:hAnsi="Arial" w:cs="Arial"/>
          <w:sz w:val="24"/>
          <w:szCs w:val="24"/>
          <w:shd w:val="clear" w:color="auto" w:fill="FFFFFF"/>
        </w:rPr>
        <w:t xml:space="preserve">following 25 minutes of focused work, provided a structure that allowed me to keep my focus without getting burned out. I quickly realized that I could stay active and feel refreshed by dividing my responsibilities into more manageable parts. Cottrell (2024, p. 6) states that “students are often pleasantly surprised to find that they can achieve well, and more easily, if they develop </w:t>
      </w:r>
      <w:r w:rsidR="006F6707">
        <w:rPr>
          <w:rFonts w:ascii="Arial" w:hAnsi="Arial" w:cs="Arial"/>
          <w:sz w:val="24"/>
          <w:szCs w:val="24"/>
          <w:shd w:val="clear" w:color="auto" w:fill="FFFFFF"/>
        </w:rPr>
        <w:t xml:space="preserve">study strategies relevant to their ways of thinking and working, that fit their circumstances, and draw upon their personal interests and preferences”. </w:t>
      </w:r>
    </w:p>
    <w:p w14:paraId="22CB0037" w14:textId="60D3F068" w:rsidR="00A31841" w:rsidRDefault="00A31841" w:rsidP="00430F20">
      <w:pPr>
        <w:spacing w:line="360" w:lineRule="auto"/>
        <w:rPr>
          <w:lang w:eastAsia="zh-CN"/>
        </w:rPr>
      </w:pPr>
    </w:p>
    <w:p w14:paraId="1662FC49" w14:textId="138CD205" w:rsidR="004072FB" w:rsidRDefault="004072FB" w:rsidP="00430F20">
      <w:pPr>
        <w:pStyle w:val="Subtitle"/>
        <w:spacing w:line="360" w:lineRule="auto"/>
      </w:pPr>
      <w:r w:rsidRPr="003C3D90">
        <w:t xml:space="preserve">EVALUATION </w:t>
      </w:r>
    </w:p>
    <w:p w14:paraId="6E753397" w14:textId="4C161680" w:rsidR="004072FB" w:rsidRDefault="002857E4" w:rsidP="00430F20">
      <w:pPr>
        <w:spacing w:line="360" w:lineRule="auto"/>
      </w:pPr>
      <w:r>
        <w:rPr>
          <w:rFonts w:ascii="Arial" w:hAnsi="Arial" w:cs="Arial"/>
          <w:sz w:val="24"/>
          <w:szCs w:val="24"/>
          <w:lang w:eastAsia="zh-CN"/>
        </w:rPr>
        <w:t>A positive outcome that came out of the process was realizing that I could adjust to various learning situations. Despite my initial difficulties, I was able to improve my time management skills by creating detailed weekly plans and utilizing digital tools to</w:t>
      </w:r>
      <w:r w:rsidR="00081E77">
        <w:rPr>
          <w:rFonts w:ascii="Arial" w:hAnsi="Arial" w:cs="Arial"/>
          <w:sz w:val="24"/>
          <w:szCs w:val="24"/>
          <w:lang w:eastAsia="zh-CN"/>
        </w:rPr>
        <w:t xml:space="preserve"> track deadlines. </w:t>
      </w:r>
      <w:r w:rsidR="00AD0856">
        <w:rPr>
          <w:rFonts w:ascii="Arial" w:hAnsi="Arial" w:cs="Arial"/>
          <w:sz w:val="24"/>
          <w:szCs w:val="24"/>
          <w:lang w:eastAsia="zh-CN"/>
        </w:rPr>
        <w:t>“To achieve an optimal balance between learning experience, quality, and workload for both students and instructors, the implementation of a structured discussion guideline is crucial”. (Goldman, 2011).</w:t>
      </w:r>
      <w:r w:rsidR="00B8751C">
        <w:rPr>
          <w:rFonts w:ascii="Arial" w:hAnsi="Arial" w:cs="Arial"/>
          <w:sz w:val="24"/>
          <w:szCs w:val="24"/>
          <w:lang w:eastAsia="zh-CN"/>
        </w:rPr>
        <w:t xml:space="preserve"> </w:t>
      </w:r>
      <w:r w:rsidR="00B8751C" w:rsidRPr="00B8751C">
        <w:rPr>
          <w:rFonts w:ascii="Arial" w:hAnsi="Arial" w:cs="Arial"/>
          <w:sz w:val="24"/>
          <w:szCs w:val="24"/>
        </w:rPr>
        <w:t>I was able to enhance my academic writing through online courses and professor feedback</w:t>
      </w:r>
      <w:r w:rsidR="00B8751C">
        <w:rPr>
          <w:rFonts w:ascii="Arial" w:hAnsi="Arial" w:cs="Arial"/>
          <w:sz w:val="24"/>
          <w:szCs w:val="24"/>
        </w:rPr>
        <w:t>.</w:t>
      </w:r>
      <w:r w:rsidR="00413A59">
        <w:rPr>
          <w:rFonts w:ascii="Arial" w:hAnsi="Arial" w:cs="Arial"/>
        </w:rPr>
        <w:t xml:space="preserve"> </w:t>
      </w:r>
      <w:r w:rsidR="00413A59" w:rsidRPr="00413A59">
        <w:rPr>
          <w:rFonts w:ascii="Arial" w:hAnsi="Arial" w:cs="Arial"/>
          <w:sz w:val="24"/>
          <w:szCs w:val="24"/>
        </w:rPr>
        <w:t>The assistance I got from academic resources was another positive result.</w:t>
      </w:r>
      <w:r w:rsidR="00413A59">
        <w:rPr>
          <w:rFonts w:ascii="Arial" w:hAnsi="Arial" w:cs="Arial"/>
        </w:rPr>
        <w:t xml:space="preserve"> </w:t>
      </w:r>
      <w:r w:rsidR="003B5DD3" w:rsidRPr="003B5DD3">
        <w:rPr>
          <w:rFonts w:ascii="Arial" w:hAnsi="Arial" w:cs="Arial"/>
          <w:sz w:val="24"/>
          <w:szCs w:val="24"/>
        </w:rPr>
        <w:t xml:space="preserve">According to Bottomley, Pryjmachuk, and Waugh (2018), academic writing assignments often require extensive reading and the use of scholarly sources to inform ideas. They also suggest that as </w:t>
      </w:r>
      <w:r w:rsidR="00413A59" w:rsidRPr="003B5DD3">
        <w:rPr>
          <w:rFonts w:ascii="Arial" w:hAnsi="Arial" w:cs="Arial"/>
          <w:sz w:val="24"/>
          <w:szCs w:val="24"/>
        </w:rPr>
        <w:t>students’</w:t>
      </w:r>
      <w:r w:rsidR="003B5DD3" w:rsidRPr="003B5DD3">
        <w:rPr>
          <w:rFonts w:ascii="Arial" w:hAnsi="Arial" w:cs="Arial"/>
          <w:sz w:val="24"/>
          <w:szCs w:val="24"/>
        </w:rPr>
        <w:t xml:space="preserve"> progress, they will be expected to explore literature more independently and critically assess the sources' relevance and credibility</w:t>
      </w:r>
      <w:r w:rsidR="003B5DD3">
        <w:rPr>
          <w:rFonts w:ascii="Arial" w:hAnsi="Arial" w:cs="Arial"/>
          <w:sz w:val="24"/>
          <w:szCs w:val="24"/>
        </w:rPr>
        <w:t xml:space="preserve">. </w:t>
      </w:r>
      <w:r w:rsidR="00413A59" w:rsidRPr="00413A59">
        <w:rPr>
          <w:rFonts w:ascii="Arial" w:hAnsi="Arial" w:cs="Arial"/>
          <w:sz w:val="24"/>
          <w:szCs w:val="24"/>
        </w:rPr>
        <w:t>However, there were disadvantages as well</w:t>
      </w:r>
      <w:r w:rsidR="00413A59">
        <w:rPr>
          <w:rFonts w:ascii="Arial" w:hAnsi="Arial" w:cs="Arial"/>
          <w:sz w:val="24"/>
          <w:szCs w:val="24"/>
        </w:rPr>
        <w:t xml:space="preserve">. A lot of stress and </w:t>
      </w:r>
      <w:r w:rsidR="006805A9">
        <w:rPr>
          <w:rFonts w:ascii="Arial" w:hAnsi="Arial" w:cs="Arial"/>
          <w:sz w:val="24"/>
          <w:szCs w:val="24"/>
        </w:rPr>
        <w:t xml:space="preserve">exhaustion resulted from the initial time management problems. As a result of managing multiple responsibilities by sacrificing sleep and personal time, my health suffered. </w:t>
      </w:r>
      <w:r w:rsidR="00B05474">
        <w:rPr>
          <w:rFonts w:ascii="Arial" w:hAnsi="Arial" w:cs="Arial"/>
          <w:sz w:val="24"/>
          <w:szCs w:val="24"/>
        </w:rPr>
        <w:t xml:space="preserve">“To cope </w:t>
      </w:r>
      <w:r w:rsidR="00B05474">
        <w:rPr>
          <w:rFonts w:ascii="Arial" w:hAnsi="Arial" w:cs="Arial"/>
          <w:sz w:val="24"/>
          <w:szCs w:val="24"/>
        </w:rPr>
        <w:lastRenderedPageBreak/>
        <w:t>with demands of working while studying, students must structure the boundaries between these roles to suit their preferences and circumstance” (Creed et al.,</w:t>
      </w:r>
      <w:r w:rsidR="000E42B9">
        <w:rPr>
          <w:rFonts w:ascii="Arial" w:hAnsi="Arial" w:cs="Arial"/>
          <w:sz w:val="24"/>
          <w:szCs w:val="24"/>
        </w:rPr>
        <w:t>2023)</w:t>
      </w:r>
      <w:r w:rsidR="00B05474">
        <w:rPr>
          <w:rFonts w:ascii="Arial" w:hAnsi="Arial" w:cs="Arial"/>
          <w:sz w:val="24"/>
          <w:szCs w:val="24"/>
        </w:rPr>
        <w:t xml:space="preserve">. Trying to defend my choice to continue my studies at this stage in my life was really though. </w:t>
      </w:r>
      <w:r w:rsidR="000E42B9">
        <w:rPr>
          <w:rFonts w:ascii="Arial" w:hAnsi="Arial" w:cs="Arial"/>
          <w:sz w:val="24"/>
          <w:szCs w:val="24"/>
        </w:rPr>
        <w:t xml:space="preserve">Also, was very hard to get any support because it felt like none of my colleagues were going through the same thing that I was. </w:t>
      </w:r>
      <w:r w:rsidR="000E42B9" w:rsidRPr="000E42B9">
        <w:rPr>
          <w:rFonts w:ascii="Arial" w:hAnsi="Arial" w:cs="Arial"/>
          <w:sz w:val="24"/>
          <w:szCs w:val="24"/>
        </w:rPr>
        <w:t>"Social contact and social support were found to significantly contribute to the successful adjustment of international postgraduate students, with strong support networks helping students to manage cultural challenges and academic pressures" (Young et al., 2012)</w:t>
      </w:r>
      <w:r w:rsidR="000E42B9">
        <w:t>.</w:t>
      </w:r>
    </w:p>
    <w:p w14:paraId="2CFB0441" w14:textId="77777777" w:rsidR="00802D20" w:rsidRDefault="00802D20" w:rsidP="00430F20">
      <w:pPr>
        <w:spacing w:line="360" w:lineRule="auto"/>
      </w:pPr>
    </w:p>
    <w:p w14:paraId="2B765BCE" w14:textId="0788FA67" w:rsidR="000E42B9" w:rsidRDefault="000E42B9" w:rsidP="00430F20">
      <w:pPr>
        <w:spacing w:line="360" w:lineRule="auto"/>
        <w:rPr>
          <w:rFonts w:asciiTheme="minorHAnsi" w:hAnsiTheme="minorHAnsi"/>
          <w:color w:val="747474" w:themeColor="background2" w:themeShade="80"/>
          <w:sz w:val="28"/>
          <w:szCs w:val="28"/>
        </w:rPr>
      </w:pPr>
      <w:r w:rsidRPr="000E42B9">
        <w:rPr>
          <w:rFonts w:asciiTheme="minorHAnsi" w:hAnsiTheme="minorHAnsi"/>
          <w:color w:val="747474" w:themeColor="background2" w:themeShade="80"/>
          <w:sz w:val="28"/>
          <w:szCs w:val="28"/>
        </w:rPr>
        <w:t>ANALYSIS</w:t>
      </w:r>
    </w:p>
    <w:p w14:paraId="20084FAE" w14:textId="616E2C92" w:rsidR="000E42B9" w:rsidRDefault="00B67787" w:rsidP="00430F20">
      <w:pPr>
        <w:spacing w:line="360" w:lineRule="auto"/>
        <w:rPr>
          <w:rFonts w:ascii="Arial" w:hAnsi="Arial" w:cs="Arial"/>
          <w:sz w:val="24"/>
          <w:szCs w:val="24"/>
        </w:rPr>
      </w:pPr>
      <w:r>
        <w:rPr>
          <w:rFonts w:ascii="Arial" w:hAnsi="Arial" w:cs="Arial"/>
          <w:sz w:val="24"/>
          <w:szCs w:val="24"/>
        </w:rPr>
        <w:t xml:space="preserve">Looking back on my experience, I realized how typical my challenges were. </w:t>
      </w:r>
      <w:r w:rsidRPr="00B67787">
        <w:rPr>
          <w:rFonts w:ascii="Arial" w:hAnsi="Arial" w:cs="Arial"/>
          <w:sz w:val="24"/>
          <w:szCs w:val="24"/>
        </w:rPr>
        <w:t>"Teaching and learning processes should be subject to continuous change due to the constant evolution of social, educational and technological environments, which ultimately results in higher levels of student engagement" (Niță &amp; Guțu, 2023).</w:t>
      </w:r>
      <w:r w:rsidR="009B7A65" w:rsidRPr="009B7A65">
        <w:rPr>
          <w:rFonts w:ascii="Arial" w:hAnsi="Arial" w:cs="Arial"/>
          <w:sz w:val="24"/>
          <w:szCs w:val="24"/>
        </w:rPr>
        <w:t xml:space="preserve"> </w:t>
      </w:r>
      <w:r w:rsidR="009B7A65" w:rsidRPr="00321CD7">
        <w:rPr>
          <w:rFonts w:ascii="Arial" w:hAnsi="Arial" w:cs="Arial"/>
          <w:sz w:val="24"/>
          <w:szCs w:val="24"/>
        </w:rPr>
        <w:t>My struggles made it clear how crucial it is to establish controlled study habits and use self-control in order to be productive</w:t>
      </w:r>
      <w:r w:rsidR="009B7A65" w:rsidRPr="00C75A07">
        <w:rPr>
          <w:rFonts w:ascii="Arial" w:hAnsi="Arial" w:cs="Arial"/>
          <w:sz w:val="24"/>
          <w:szCs w:val="24"/>
        </w:rPr>
        <w:t xml:space="preserve">. </w:t>
      </w:r>
      <w:r w:rsidR="00C75A07" w:rsidRPr="00C75A07">
        <w:rPr>
          <w:rFonts w:ascii="Arial" w:hAnsi="Arial" w:cs="Arial"/>
          <w:sz w:val="24"/>
          <w:szCs w:val="24"/>
        </w:rPr>
        <w:t>Creed et al. (2009) explored the relationship between career adaptability, goal-orientation, and career concerns among first-year university students. Their findings revealed that career adaptability variables, such as decision-making and self-exploration, were negatively associated with career concerns, and that decision-making mediated the relationship between goal-orientation and career concerns. Specifically, a learning orientation was linked to better decision-making and fewer career concerns, while a performance-prove orientation was associated with poorer decision-making and more career concerns</w:t>
      </w:r>
      <w:r w:rsidR="00C75A07">
        <w:rPr>
          <w:rFonts w:ascii="Arial" w:hAnsi="Arial" w:cs="Arial"/>
          <w:sz w:val="24"/>
          <w:szCs w:val="24"/>
        </w:rPr>
        <w:t xml:space="preserve">. </w:t>
      </w:r>
      <w:r w:rsidR="00C75A07" w:rsidRPr="00C75A07">
        <w:rPr>
          <w:rFonts w:ascii="Arial" w:hAnsi="Arial" w:cs="Arial"/>
          <w:sz w:val="24"/>
          <w:szCs w:val="24"/>
        </w:rPr>
        <w:t xml:space="preserve">The academic experience may be significantly improved by finding and creating a strong network of support, whether it be through message boards, peer relationships, or private study groups. Even though I initially faced social obstacles in my circumstances, I came to the realization that attempting to interact with older </w:t>
      </w:r>
      <w:r w:rsidR="00801587">
        <w:rPr>
          <w:rFonts w:ascii="Arial" w:hAnsi="Arial" w:cs="Arial"/>
          <w:sz w:val="24"/>
          <w:szCs w:val="24"/>
        </w:rPr>
        <w:t>students</w:t>
      </w:r>
      <w:r w:rsidR="00C75A07" w:rsidRPr="00C75A07">
        <w:rPr>
          <w:rFonts w:ascii="Arial" w:hAnsi="Arial" w:cs="Arial"/>
          <w:sz w:val="24"/>
          <w:szCs w:val="24"/>
        </w:rPr>
        <w:t xml:space="preserve"> would have been beneficial. Since they frequently experienced similar academic and personal challenges and provided friendship and support, talking to them would have made me feel less alone. By interacting, I would have fostered a supportive environment where I could exchange ideas, resolve academic obstacles, and experience university life more fully</w:t>
      </w:r>
      <w:r w:rsidR="00C75A07" w:rsidRPr="00801587">
        <w:rPr>
          <w:rFonts w:ascii="Arial" w:hAnsi="Arial" w:cs="Arial"/>
          <w:sz w:val="24"/>
          <w:szCs w:val="24"/>
        </w:rPr>
        <w:t>.</w:t>
      </w:r>
      <w:r w:rsidR="00801587" w:rsidRPr="00801587">
        <w:rPr>
          <w:rFonts w:ascii="Arial" w:hAnsi="Arial" w:cs="Arial"/>
          <w:sz w:val="24"/>
          <w:szCs w:val="24"/>
        </w:rPr>
        <w:t xml:space="preserve"> As Burroughs</w:t>
      </w:r>
      <w:r w:rsidR="00F85546">
        <w:rPr>
          <w:rFonts w:ascii="Arial" w:hAnsi="Arial" w:cs="Arial"/>
          <w:sz w:val="24"/>
          <w:szCs w:val="24"/>
        </w:rPr>
        <w:t xml:space="preserve"> </w:t>
      </w:r>
      <w:r w:rsidR="00801587" w:rsidRPr="00801587">
        <w:rPr>
          <w:rFonts w:ascii="Arial" w:hAnsi="Arial" w:cs="Arial"/>
          <w:sz w:val="24"/>
          <w:szCs w:val="24"/>
        </w:rPr>
        <w:t>(2019) suggests, there are opportunities to improve your marks and change your direction everywhere – you just need to reach out and take them.</w:t>
      </w:r>
    </w:p>
    <w:p w14:paraId="5AB0B83A" w14:textId="77777777" w:rsidR="00802D20" w:rsidRPr="00F85546" w:rsidRDefault="00802D20" w:rsidP="00430F20">
      <w:pPr>
        <w:spacing w:line="360" w:lineRule="auto"/>
        <w:rPr>
          <w:rFonts w:ascii="Arial" w:hAnsi="Arial" w:cs="Arial"/>
          <w:sz w:val="24"/>
          <w:szCs w:val="24"/>
        </w:rPr>
      </w:pPr>
    </w:p>
    <w:p w14:paraId="0BBB59FE" w14:textId="1B856EDD" w:rsidR="004072FB" w:rsidRDefault="004072FB" w:rsidP="00430F20">
      <w:pPr>
        <w:pStyle w:val="Subtitle"/>
        <w:spacing w:line="360" w:lineRule="auto"/>
      </w:pPr>
      <w:r w:rsidRPr="003C3D90">
        <w:t>CONCLUSION</w:t>
      </w:r>
    </w:p>
    <w:p w14:paraId="196AB292" w14:textId="0F97C673" w:rsidR="00802D20" w:rsidRDefault="00F85546" w:rsidP="00430F20">
      <w:pPr>
        <w:spacing w:line="360" w:lineRule="auto"/>
        <w:rPr>
          <w:rFonts w:ascii="Arial" w:hAnsi="Arial" w:cs="Arial"/>
          <w:sz w:val="24"/>
          <w:szCs w:val="24"/>
        </w:rPr>
      </w:pPr>
      <w:r>
        <w:rPr>
          <w:rFonts w:ascii="Arial" w:hAnsi="Arial" w:cs="Arial"/>
          <w:sz w:val="24"/>
          <w:szCs w:val="24"/>
          <w:lang w:eastAsia="zh-CN"/>
        </w:rPr>
        <w:lastRenderedPageBreak/>
        <w:t xml:space="preserve">When I reflect over my journey, I realized while I faced </w:t>
      </w:r>
      <w:r w:rsidR="00B502AA">
        <w:rPr>
          <w:rFonts w:ascii="Arial" w:hAnsi="Arial" w:cs="Arial"/>
          <w:sz w:val="24"/>
          <w:szCs w:val="24"/>
          <w:lang w:eastAsia="zh-CN"/>
        </w:rPr>
        <w:t>many</w:t>
      </w:r>
      <w:r>
        <w:rPr>
          <w:rFonts w:ascii="Arial" w:hAnsi="Arial" w:cs="Arial"/>
          <w:sz w:val="24"/>
          <w:szCs w:val="24"/>
          <w:lang w:eastAsia="zh-CN"/>
        </w:rPr>
        <w:t xml:space="preserve"> challenges, there where also excellent opportunities for both academic and personal growth. I could have done more to simplify the process. </w:t>
      </w:r>
      <w:r w:rsidR="00A37657" w:rsidRPr="00A37657">
        <w:rPr>
          <w:rFonts w:ascii="Arial" w:hAnsi="Arial" w:cs="Arial"/>
          <w:sz w:val="24"/>
          <w:szCs w:val="24"/>
        </w:rPr>
        <w:t xml:space="preserve">"The study found that academic self-efficacy (ASE) mediated the relationship between study resources and subjective wellbeing, highlighting the importance of personal resources in fostering better task performance and overall wellbeing among </w:t>
      </w:r>
      <w:r w:rsidR="00430F20" w:rsidRPr="00A37657">
        <w:rPr>
          <w:rFonts w:ascii="Arial" w:hAnsi="Arial" w:cs="Arial"/>
          <w:sz w:val="24"/>
          <w:szCs w:val="24"/>
        </w:rPr>
        <w:t>students</w:t>
      </w:r>
      <w:r w:rsidR="00430F20">
        <w:rPr>
          <w:rFonts w:ascii="Arial" w:hAnsi="Arial" w:cs="Arial"/>
          <w:sz w:val="24"/>
          <w:szCs w:val="24"/>
        </w:rPr>
        <w:t>” (</w:t>
      </w:r>
      <w:proofErr w:type="spellStart"/>
      <w:r w:rsidR="00A37657" w:rsidRPr="00A37657">
        <w:rPr>
          <w:rFonts w:ascii="Arial" w:hAnsi="Arial" w:cs="Arial"/>
          <w:sz w:val="24"/>
          <w:szCs w:val="24"/>
        </w:rPr>
        <w:t>Olckers</w:t>
      </w:r>
      <w:proofErr w:type="spellEnd"/>
      <w:r w:rsidR="00A37657" w:rsidRPr="00A37657">
        <w:rPr>
          <w:rFonts w:ascii="Arial" w:hAnsi="Arial" w:cs="Arial"/>
          <w:sz w:val="24"/>
          <w:szCs w:val="24"/>
        </w:rPr>
        <w:t xml:space="preserve"> &amp; </w:t>
      </w:r>
      <w:proofErr w:type="spellStart"/>
      <w:r w:rsidR="00A37657" w:rsidRPr="00A37657">
        <w:rPr>
          <w:rFonts w:ascii="Arial" w:hAnsi="Arial" w:cs="Arial"/>
          <w:sz w:val="24"/>
          <w:szCs w:val="24"/>
        </w:rPr>
        <w:t>Harumavamwe</w:t>
      </w:r>
      <w:proofErr w:type="spellEnd"/>
      <w:r w:rsidR="00A37657" w:rsidRPr="00A37657">
        <w:rPr>
          <w:rFonts w:ascii="Arial" w:hAnsi="Arial" w:cs="Arial"/>
          <w:sz w:val="24"/>
          <w:szCs w:val="24"/>
        </w:rPr>
        <w:t>, 2025).</w:t>
      </w:r>
      <w:r w:rsidR="00A37657">
        <w:rPr>
          <w:rFonts w:ascii="Arial" w:hAnsi="Arial" w:cs="Arial"/>
          <w:sz w:val="24"/>
          <w:szCs w:val="24"/>
        </w:rPr>
        <w:t xml:space="preserve"> If I had communicated with teachers and academic resources </w:t>
      </w:r>
      <w:r w:rsidR="00B62AC6">
        <w:rPr>
          <w:rFonts w:ascii="Arial" w:hAnsi="Arial" w:cs="Arial"/>
          <w:sz w:val="24"/>
          <w:szCs w:val="24"/>
        </w:rPr>
        <w:t>more,</w:t>
      </w:r>
      <w:r w:rsidR="00A37657">
        <w:rPr>
          <w:rFonts w:ascii="Arial" w:hAnsi="Arial" w:cs="Arial"/>
          <w:sz w:val="24"/>
          <w:szCs w:val="24"/>
        </w:rPr>
        <w:t xml:space="preserve"> my writing skills could have improved quicker. In a similar way, i</w:t>
      </w:r>
      <w:r w:rsidR="00B62AC6">
        <w:rPr>
          <w:rFonts w:ascii="Arial" w:hAnsi="Arial" w:cs="Arial"/>
          <w:sz w:val="24"/>
          <w:szCs w:val="24"/>
        </w:rPr>
        <w:t xml:space="preserve">nteracting with more mature students may have created a sense of community and reduced feelings of isolation. Ultimately, my experience confirmed the belief that attending college at any age is a brave and fulfilling effort that shouldn’t be restricted by societal standards or self-doubt. </w:t>
      </w:r>
      <w:r w:rsidR="00B62AC6" w:rsidRPr="00B62AC6">
        <w:rPr>
          <w:rFonts w:ascii="Arial" w:hAnsi="Arial" w:cs="Arial"/>
          <w:sz w:val="24"/>
          <w:szCs w:val="24"/>
        </w:rPr>
        <w:t>If I were to deal with the same situation over, I would take a more proactive and analytical approach. I would first create an efficient time management plan from the beginning, with realistic deadlines and study hours, to avoid stress at the last minute.</w:t>
      </w:r>
      <w:r w:rsidR="009C1FCB" w:rsidRPr="009C1FCB">
        <w:rPr>
          <w:rFonts w:ascii="Arial" w:hAnsi="Arial" w:cs="Arial"/>
          <w:sz w:val="24"/>
          <w:szCs w:val="24"/>
        </w:rPr>
        <w:t xml:space="preserve"> </w:t>
      </w:r>
      <w:r w:rsidR="009C1FCB" w:rsidRPr="00321CD7">
        <w:rPr>
          <w:rFonts w:ascii="Arial" w:hAnsi="Arial" w:cs="Arial"/>
          <w:sz w:val="24"/>
          <w:szCs w:val="24"/>
        </w:rPr>
        <w:t xml:space="preserve">Setting reminders and other productivity tools would help me stay on top of my assignments. </w:t>
      </w:r>
      <w:r w:rsidR="00802D20">
        <w:rPr>
          <w:rFonts w:ascii="Arial" w:hAnsi="Arial" w:cs="Arial"/>
          <w:sz w:val="24"/>
          <w:szCs w:val="24"/>
        </w:rPr>
        <w:t>“</w:t>
      </w:r>
      <w:r w:rsidR="00802D20" w:rsidRPr="00802D20">
        <w:rPr>
          <w:rFonts w:ascii="Arial" w:hAnsi="Arial" w:cs="Arial"/>
          <w:sz w:val="24"/>
          <w:szCs w:val="24"/>
        </w:rPr>
        <w:t>Being clear and precise in academic writing is crucial for conveying complex ideas effectively, and it’s important to use concise language rather than overly complex vocabulary</w:t>
      </w:r>
      <w:r w:rsidR="00802D20">
        <w:rPr>
          <w:rFonts w:ascii="Arial" w:hAnsi="Arial" w:cs="Arial"/>
          <w:sz w:val="24"/>
          <w:szCs w:val="24"/>
        </w:rPr>
        <w:t>”</w:t>
      </w:r>
      <w:r w:rsidR="00802D20">
        <w:t xml:space="preserve"> (</w:t>
      </w:r>
      <w:r w:rsidR="00802D20" w:rsidRPr="00802D20">
        <w:rPr>
          <w:rFonts w:ascii="Arial" w:hAnsi="Arial" w:cs="Arial"/>
          <w:sz w:val="24"/>
          <w:szCs w:val="24"/>
        </w:rPr>
        <w:t>Godfrey, 2018).</w:t>
      </w:r>
      <w:r w:rsidR="00802D20" w:rsidRPr="00321CD7">
        <w:rPr>
          <w:rFonts w:ascii="Arial" w:hAnsi="Arial" w:cs="Arial"/>
          <w:sz w:val="24"/>
          <w:szCs w:val="24"/>
        </w:rPr>
        <w:t xml:space="preserve"> Second</w:t>
      </w:r>
      <w:r w:rsidR="009C1FCB" w:rsidRPr="00321CD7">
        <w:rPr>
          <w:rFonts w:ascii="Arial" w:hAnsi="Arial" w:cs="Arial"/>
          <w:sz w:val="24"/>
          <w:szCs w:val="24"/>
        </w:rPr>
        <w:t>, I would make greater use of the academic resources, such as sending drafts, going to online workshops or asking advice from my professors. I could improve my academic skills in this way before encountering major assessments</w:t>
      </w:r>
      <w:r w:rsidR="009C1FCB">
        <w:rPr>
          <w:rFonts w:ascii="Arial" w:hAnsi="Arial" w:cs="Arial"/>
          <w:sz w:val="24"/>
          <w:szCs w:val="24"/>
        </w:rPr>
        <w:t>.</w:t>
      </w:r>
    </w:p>
    <w:p w14:paraId="27AAD760" w14:textId="48986515" w:rsidR="00802D20" w:rsidRDefault="00822B5B" w:rsidP="00430F20">
      <w:pPr>
        <w:spacing w:line="360" w:lineRule="auto"/>
        <w:rPr>
          <w:rFonts w:ascii="Arial" w:hAnsi="Arial" w:cs="Arial"/>
          <w:sz w:val="24"/>
          <w:szCs w:val="24"/>
        </w:rPr>
      </w:pPr>
      <w:r>
        <w:rPr>
          <w:rFonts w:ascii="Arial" w:hAnsi="Arial" w:cs="Arial"/>
          <w:sz w:val="24"/>
          <w:szCs w:val="24"/>
        </w:rPr>
        <w:t>”</w:t>
      </w:r>
      <w:r w:rsidRPr="00822B5B">
        <w:t xml:space="preserve"> </w:t>
      </w:r>
      <w:r w:rsidRPr="00822B5B">
        <w:rPr>
          <w:rFonts w:ascii="Arial" w:hAnsi="Arial" w:cs="Arial"/>
          <w:sz w:val="24"/>
          <w:szCs w:val="24"/>
        </w:rPr>
        <w:t>To improve marks, it is crucial to prepare beforehand, focus during the practical, and carefully write up your results</w:t>
      </w:r>
      <w:r>
        <w:rPr>
          <w:rFonts w:ascii="Arial" w:hAnsi="Arial" w:cs="Arial"/>
          <w:sz w:val="24"/>
          <w:szCs w:val="24"/>
        </w:rPr>
        <w:t>”</w:t>
      </w:r>
      <w:r w:rsidRPr="00822B5B">
        <w:rPr>
          <w:rFonts w:ascii="Arial" w:hAnsi="Arial" w:cs="Arial"/>
          <w:sz w:val="24"/>
          <w:szCs w:val="24"/>
        </w:rPr>
        <w:t xml:space="preserve"> (McMillan &amp; Weyers, 2021).</w:t>
      </w:r>
      <w:r w:rsidR="00802D20" w:rsidRPr="00802D20">
        <w:rPr>
          <w:rFonts w:ascii="Arial" w:hAnsi="Arial" w:cs="Arial"/>
          <w:sz w:val="24"/>
          <w:szCs w:val="24"/>
        </w:rPr>
        <w:t xml:space="preserve"> </w:t>
      </w:r>
      <w:r w:rsidR="00802D20" w:rsidRPr="00321CD7">
        <w:rPr>
          <w:rFonts w:ascii="Arial" w:hAnsi="Arial" w:cs="Arial"/>
          <w:sz w:val="24"/>
          <w:szCs w:val="24"/>
        </w:rPr>
        <w:t xml:space="preserve">In order to establish relationships and a network of support, I would also make use of networking possibilities offered by the university, such as groups for older students. </w:t>
      </w:r>
    </w:p>
    <w:p w14:paraId="5321F490" w14:textId="7C798CB1" w:rsidR="00F85546" w:rsidRPr="00F85546" w:rsidRDefault="00802D20" w:rsidP="00430F20">
      <w:pPr>
        <w:spacing w:line="360" w:lineRule="auto"/>
        <w:rPr>
          <w:rFonts w:ascii="Arial" w:hAnsi="Arial" w:cs="Arial"/>
          <w:sz w:val="24"/>
          <w:szCs w:val="24"/>
          <w:lang w:eastAsia="zh-CN"/>
        </w:rPr>
        <w:sectPr w:rsidR="00F85546" w:rsidRPr="00F85546" w:rsidSect="00B72523">
          <w:pgSz w:w="11906" w:h="16838"/>
          <w:pgMar w:top="851" w:right="851" w:bottom="851" w:left="851" w:header="709" w:footer="709" w:gutter="0"/>
          <w:cols w:space="708"/>
          <w:docGrid w:linePitch="360"/>
        </w:sectPr>
      </w:pPr>
      <w:r>
        <w:rPr>
          <w:rFonts w:ascii="Arial" w:hAnsi="Arial" w:cs="Arial"/>
          <w:sz w:val="24"/>
          <w:szCs w:val="24"/>
        </w:rPr>
        <w:t xml:space="preserve"> </w:t>
      </w:r>
      <w:r w:rsidRPr="00321CD7">
        <w:rPr>
          <w:rFonts w:ascii="Arial" w:hAnsi="Arial" w:cs="Arial"/>
          <w:sz w:val="24"/>
          <w:szCs w:val="24"/>
        </w:rPr>
        <w:t>Lastly, I would change the way I think about social pressures. I would concentrate on my goals, both personal and professional, rather than internalizing norms of society. Since education is a lifelong process there should be no limitations on when and how it is done. I would guarantee a more certain and satisfying academic experience in the future my putting these techniques into practice.</w:t>
      </w:r>
    </w:p>
    <w:tbl>
      <w:tblPr>
        <w:tblStyle w:val="TableGrid"/>
        <w:tblpPr w:leftFromText="180" w:rightFromText="180" w:vertAnchor="page" w:horzAnchor="margin" w:tblpY="2481"/>
        <w:tblW w:w="14253" w:type="dxa"/>
        <w:tblLook w:val="04A0" w:firstRow="1" w:lastRow="0" w:firstColumn="1" w:lastColumn="0" w:noHBand="0" w:noVBand="1"/>
      </w:tblPr>
      <w:tblGrid>
        <w:gridCol w:w="2849"/>
        <w:gridCol w:w="2851"/>
        <w:gridCol w:w="2851"/>
        <w:gridCol w:w="2851"/>
        <w:gridCol w:w="2851"/>
      </w:tblGrid>
      <w:tr w:rsidR="00CF1C7C" w14:paraId="582755D0" w14:textId="77777777" w:rsidTr="00CF1C7C">
        <w:trPr>
          <w:trHeight w:val="802"/>
        </w:trPr>
        <w:tc>
          <w:tcPr>
            <w:tcW w:w="2849" w:type="dxa"/>
          </w:tcPr>
          <w:p w14:paraId="2D85EE20" w14:textId="77777777" w:rsidR="00CF1C7C" w:rsidRPr="00733E4E" w:rsidRDefault="00CF1C7C" w:rsidP="00CF1C7C">
            <w:pPr>
              <w:pStyle w:val="Subtitle"/>
              <w:rPr>
                <w:rFonts w:asciiTheme="majorHAnsi" w:hAnsiTheme="majorHAnsi"/>
              </w:rPr>
            </w:pPr>
            <w:r w:rsidRPr="00733E4E">
              <w:rPr>
                <w:rFonts w:asciiTheme="majorHAnsi" w:hAnsiTheme="majorHAnsi"/>
              </w:rPr>
              <w:lastRenderedPageBreak/>
              <w:t>Specific</w:t>
            </w:r>
          </w:p>
        </w:tc>
        <w:tc>
          <w:tcPr>
            <w:tcW w:w="2851" w:type="dxa"/>
          </w:tcPr>
          <w:p w14:paraId="060D092F" w14:textId="77777777" w:rsidR="00CF1C7C" w:rsidRPr="00733E4E" w:rsidRDefault="00CF1C7C" w:rsidP="00CF1C7C">
            <w:pPr>
              <w:pStyle w:val="Subtitle"/>
              <w:rPr>
                <w:rFonts w:asciiTheme="majorHAnsi" w:hAnsiTheme="majorHAnsi"/>
              </w:rPr>
            </w:pPr>
            <w:r w:rsidRPr="00733E4E">
              <w:rPr>
                <w:rFonts w:asciiTheme="majorHAnsi" w:hAnsiTheme="majorHAnsi"/>
              </w:rPr>
              <w:t>Measurable</w:t>
            </w:r>
          </w:p>
        </w:tc>
        <w:tc>
          <w:tcPr>
            <w:tcW w:w="2851" w:type="dxa"/>
          </w:tcPr>
          <w:p w14:paraId="3D261575" w14:textId="77777777" w:rsidR="00CF1C7C" w:rsidRPr="00733E4E" w:rsidRDefault="00CF1C7C" w:rsidP="00CF1C7C">
            <w:pPr>
              <w:pStyle w:val="Subtitle"/>
              <w:rPr>
                <w:rFonts w:asciiTheme="majorHAnsi" w:hAnsiTheme="majorHAnsi"/>
              </w:rPr>
            </w:pPr>
            <w:r w:rsidRPr="00733E4E">
              <w:rPr>
                <w:rFonts w:asciiTheme="majorHAnsi" w:hAnsiTheme="majorHAnsi"/>
              </w:rPr>
              <w:t>Attainable</w:t>
            </w:r>
          </w:p>
        </w:tc>
        <w:tc>
          <w:tcPr>
            <w:tcW w:w="2851" w:type="dxa"/>
          </w:tcPr>
          <w:p w14:paraId="79120AFC" w14:textId="77777777" w:rsidR="00CF1C7C" w:rsidRPr="00733E4E" w:rsidRDefault="00CF1C7C" w:rsidP="00CF1C7C">
            <w:pPr>
              <w:pStyle w:val="Subtitle"/>
              <w:rPr>
                <w:rFonts w:asciiTheme="majorHAnsi" w:hAnsiTheme="majorHAnsi"/>
              </w:rPr>
            </w:pPr>
            <w:r w:rsidRPr="00733E4E">
              <w:rPr>
                <w:rFonts w:asciiTheme="majorHAnsi" w:hAnsiTheme="majorHAnsi"/>
              </w:rPr>
              <w:t>Relevant</w:t>
            </w:r>
          </w:p>
        </w:tc>
        <w:tc>
          <w:tcPr>
            <w:tcW w:w="2851" w:type="dxa"/>
          </w:tcPr>
          <w:p w14:paraId="443C4B73" w14:textId="77777777" w:rsidR="00CF1C7C" w:rsidRPr="00733E4E" w:rsidRDefault="00CF1C7C" w:rsidP="00CF1C7C">
            <w:pPr>
              <w:pStyle w:val="Subtitle"/>
              <w:rPr>
                <w:rFonts w:asciiTheme="majorHAnsi" w:hAnsiTheme="majorHAnsi"/>
              </w:rPr>
            </w:pPr>
            <w:r w:rsidRPr="00733E4E">
              <w:rPr>
                <w:rFonts w:asciiTheme="majorHAnsi" w:hAnsiTheme="majorHAnsi"/>
              </w:rPr>
              <w:t>Time Bound</w:t>
            </w:r>
          </w:p>
        </w:tc>
      </w:tr>
      <w:tr w:rsidR="00CF1C7C" w14:paraId="4F18FE59" w14:textId="77777777" w:rsidTr="00CF1C7C">
        <w:trPr>
          <w:trHeight w:val="813"/>
        </w:trPr>
        <w:tc>
          <w:tcPr>
            <w:tcW w:w="2849" w:type="dxa"/>
          </w:tcPr>
          <w:p w14:paraId="781400FF" w14:textId="77777777" w:rsidR="00CF1C7C" w:rsidRPr="00CF1C7C" w:rsidRDefault="00CF1C7C" w:rsidP="00CF1C7C">
            <w:pPr>
              <w:pStyle w:val="Subtitle"/>
              <w:rPr>
                <w:rFonts w:ascii="Arial" w:hAnsi="Arial" w:cs="Arial"/>
                <w:sz w:val="20"/>
                <w:szCs w:val="20"/>
              </w:rPr>
            </w:pPr>
            <w:r w:rsidRPr="00802D20">
              <w:rPr>
                <w:rFonts w:ascii="Arial" w:hAnsi="Arial" w:cs="Arial"/>
                <w:color w:val="auto"/>
                <w:sz w:val="20"/>
                <w:szCs w:val="20"/>
              </w:rPr>
              <w:t>Create a weekly study plan using digital tools (e.g., Google Calendar</w:t>
            </w:r>
            <w:r w:rsidRPr="00802D20">
              <w:rPr>
                <w:rFonts w:ascii="Arial" w:hAnsi="Arial" w:cs="Arial"/>
                <w:sz w:val="20"/>
                <w:szCs w:val="20"/>
              </w:rPr>
              <w:t>)</w:t>
            </w:r>
          </w:p>
        </w:tc>
        <w:tc>
          <w:tcPr>
            <w:tcW w:w="2851" w:type="dxa"/>
          </w:tcPr>
          <w:p w14:paraId="3277412E"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Track weekly study hours and ensure deadlines are met</w:t>
            </w:r>
            <w:r>
              <w:rPr>
                <w:rFonts w:ascii="Arial" w:hAnsi="Arial" w:cs="Arial"/>
                <w:color w:val="auto"/>
                <w:sz w:val="20"/>
                <w:szCs w:val="20"/>
              </w:rPr>
              <w:t>.</w:t>
            </w:r>
          </w:p>
        </w:tc>
        <w:tc>
          <w:tcPr>
            <w:tcW w:w="2851" w:type="dxa"/>
          </w:tcPr>
          <w:p w14:paraId="240C5602"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Use available digital tools and set aside study time each day</w:t>
            </w:r>
            <w:r>
              <w:rPr>
                <w:rFonts w:ascii="Arial" w:hAnsi="Arial" w:cs="Arial"/>
                <w:color w:val="auto"/>
                <w:sz w:val="20"/>
                <w:szCs w:val="20"/>
              </w:rPr>
              <w:t>.</w:t>
            </w:r>
          </w:p>
        </w:tc>
        <w:tc>
          <w:tcPr>
            <w:tcW w:w="2851" w:type="dxa"/>
          </w:tcPr>
          <w:p w14:paraId="084C4B78"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Managing multiple responsibilities effectively to reduce stress.</w:t>
            </w:r>
          </w:p>
        </w:tc>
        <w:tc>
          <w:tcPr>
            <w:tcW w:w="2851" w:type="dxa"/>
          </w:tcPr>
          <w:p w14:paraId="71F7EBAB"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Implement and assess weekly progress for the next 2 months</w:t>
            </w:r>
          </w:p>
        </w:tc>
      </w:tr>
      <w:tr w:rsidR="00CF1C7C" w14:paraId="4F952B28" w14:textId="77777777" w:rsidTr="00CF1C7C">
        <w:trPr>
          <w:trHeight w:val="802"/>
        </w:trPr>
        <w:tc>
          <w:tcPr>
            <w:tcW w:w="2849" w:type="dxa"/>
          </w:tcPr>
          <w:p w14:paraId="0CE286A9"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Participate in online academic writing workshops and submit drafts for feedback.</w:t>
            </w:r>
          </w:p>
        </w:tc>
        <w:tc>
          <w:tcPr>
            <w:tcW w:w="2851" w:type="dxa"/>
          </w:tcPr>
          <w:p w14:paraId="6954AB34"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Attend at least 2 workshops and receive feedback on 3 assignments</w:t>
            </w:r>
          </w:p>
        </w:tc>
        <w:tc>
          <w:tcPr>
            <w:tcW w:w="2851" w:type="dxa"/>
          </w:tcPr>
          <w:p w14:paraId="7038D15D"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Access to online courses and professor feedback.</w:t>
            </w:r>
          </w:p>
        </w:tc>
        <w:tc>
          <w:tcPr>
            <w:tcW w:w="2851" w:type="dxa"/>
          </w:tcPr>
          <w:p w14:paraId="4EC4D711"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Improve writing skills for better grades and academic success.</w:t>
            </w:r>
          </w:p>
        </w:tc>
        <w:tc>
          <w:tcPr>
            <w:tcW w:w="2851" w:type="dxa"/>
          </w:tcPr>
          <w:p w14:paraId="707B91CC" w14:textId="77777777" w:rsidR="00CF1C7C" w:rsidRPr="00CF1C7C" w:rsidRDefault="00CF1C7C" w:rsidP="00CF1C7C">
            <w:pPr>
              <w:pStyle w:val="Subtitle"/>
              <w:rPr>
                <w:rFonts w:ascii="Arial" w:hAnsi="Arial" w:cs="Arial"/>
                <w:sz w:val="20"/>
                <w:szCs w:val="20"/>
              </w:rPr>
            </w:pPr>
            <w:r w:rsidRPr="00CF1C7C">
              <w:rPr>
                <w:rFonts w:ascii="Arial" w:hAnsi="Arial" w:cs="Arial"/>
                <w:color w:val="auto"/>
                <w:sz w:val="20"/>
                <w:szCs w:val="20"/>
              </w:rPr>
              <w:t>Complete workshops and assignments over the next semester</w:t>
            </w:r>
          </w:p>
        </w:tc>
      </w:tr>
      <w:tr w:rsidR="00CF1C7C" w14:paraId="03AC3D37" w14:textId="77777777" w:rsidTr="00CF1C7C">
        <w:trPr>
          <w:trHeight w:val="813"/>
        </w:trPr>
        <w:tc>
          <w:tcPr>
            <w:tcW w:w="2849" w:type="dxa"/>
          </w:tcPr>
          <w:p w14:paraId="28A574AD"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Take an online course on academic research methods and referencing</w:t>
            </w:r>
          </w:p>
        </w:tc>
        <w:tc>
          <w:tcPr>
            <w:tcW w:w="2851" w:type="dxa"/>
          </w:tcPr>
          <w:p w14:paraId="6E79CDD6"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Complete 1 course and apply referencing correctly in assignments.</w:t>
            </w:r>
          </w:p>
        </w:tc>
        <w:tc>
          <w:tcPr>
            <w:tcW w:w="2851" w:type="dxa"/>
          </w:tcPr>
          <w:p w14:paraId="51DA8566"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Access to free online courses and academic resources.</w:t>
            </w:r>
          </w:p>
        </w:tc>
        <w:tc>
          <w:tcPr>
            <w:tcW w:w="2851" w:type="dxa"/>
          </w:tcPr>
          <w:p w14:paraId="473C813B"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Enhance ability to write well-researched and properly cited academic papers</w:t>
            </w:r>
          </w:p>
        </w:tc>
        <w:tc>
          <w:tcPr>
            <w:tcW w:w="2851" w:type="dxa"/>
          </w:tcPr>
          <w:p w14:paraId="773692D7"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Complete course and use skills within 2 months for assignments.</w:t>
            </w:r>
          </w:p>
        </w:tc>
      </w:tr>
      <w:tr w:rsidR="00CF1C7C" w14:paraId="39E4E6CC" w14:textId="77777777" w:rsidTr="00CF1C7C">
        <w:trPr>
          <w:trHeight w:val="802"/>
        </w:trPr>
        <w:tc>
          <w:tcPr>
            <w:tcW w:w="2849" w:type="dxa"/>
          </w:tcPr>
          <w:p w14:paraId="01B52B3F"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Use the Pomodoro technique to manage study time without burnout.</w:t>
            </w:r>
          </w:p>
        </w:tc>
        <w:tc>
          <w:tcPr>
            <w:tcW w:w="2851" w:type="dxa"/>
          </w:tcPr>
          <w:p w14:paraId="1E48AF36"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Complete at least 3 study sessions per week using Pomodoro.</w:t>
            </w:r>
          </w:p>
        </w:tc>
        <w:tc>
          <w:tcPr>
            <w:tcW w:w="2851" w:type="dxa"/>
          </w:tcPr>
          <w:p w14:paraId="65765B3F"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Learn how to incorporate breaks and productive study time using Pomodoro.</w:t>
            </w:r>
          </w:p>
        </w:tc>
        <w:tc>
          <w:tcPr>
            <w:tcW w:w="2851" w:type="dxa"/>
          </w:tcPr>
          <w:p w14:paraId="08976C50"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Avoid stress and enhance focus for better productivity</w:t>
            </w:r>
          </w:p>
        </w:tc>
        <w:tc>
          <w:tcPr>
            <w:tcW w:w="2851" w:type="dxa"/>
          </w:tcPr>
          <w:p w14:paraId="3422E62C"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Start using Pomodoro technique for each study session from next week.</w:t>
            </w:r>
          </w:p>
        </w:tc>
      </w:tr>
      <w:tr w:rsidR="00CF1C7C" w14:paraId="3724940B" w14:textId="77777777" w:rsidTr="00CF1C7C">
        <w:trPr>
          <w:trHeight w:val="841"/>
        </w:trPr>
        <w:tc>
          <w:tcPr>
            <w:tcW w:w="2849" w:type="dxa"/>
          </w:tcPr>
          <w:p w14:paraId="1D76FE85"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Speak up at least once per class and ask questions when needed</w:t>
            </w:r>
          </w:p>
        </w:tc>
        <w:tc>
          <w:tcPr>
            <w:tcW w:w="2851" w:type="dxa"/>
          </w:tcPr>
          <w:p w14:paraId="790F090F"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Participate in 1 discussion per class or seminar.</w:t>
            </w:r>
          </w:p>
        </w:tc>
        <w:tc>
          <w:tcPr>
            <w:tcW w:w="2851" w:type="dxa"/>
          </w:tcPr>
          <w:p w14:paraId="50DB6EFF"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Confidence to speak up, and the willingness to engage in discussions.</w:t>
            </w:r>
          </w:p>
        </w:tc>
        <w:tc>
          <w:tcPr>
            <w:tcW w:w="2851" w:type="dxa"/>
          </w:tcPr>
          <w:p w14:paraId="0D3E11DE"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Improve communication and engagement in academic settings.</w:t>
            </w:r>
          </w:p>
        </w:tc>
        <w:tc>
          <w:tcPr>
            <w:tcW w:w="2851" w:type="dxa"/>
          </w:tcPr>
          <w:p w14:paraId="21403456" w14:textId="77777777" w:rsidR="00CF1C7C" w:rsidRPr="00CF1C7C" w:rsidRDefault="00CF1C7C" w:rsidP="00CF1C7C">
            <w:pPr>
              <w:pStyle w:val="Subtitle"/>
              <w:rPr>
                <w:rFonts w:ascii="Arial" w:hAnsi="Arial" w:cs="Arial"/>
                <w:color w:val="auto"/>
                <w:sz w:val="20"/>
                <w:szCs w:val="20"/>
              </w:rPr>
            </w:pPr>
            <w:r w:rsidRPr="00CF1C7C">
              <w:rPr>
                <w:rFonts w:ascii="Arial" w:hAnsi="Arial" w:cs="Arial"/>
                <w:color w:val="auto"/>
                <w:sz w:val="20"/>
                <w:szCs w:val="20"/>
              </w:rPr>
              <w:t>Start participating from next class and track monthly progress.</w:t>
            </w:r>
          </w:p>
        </w:tc>
      </w:tr>
    </w:tbl>
    <w:p w14:paraId="775BC0D3" w14:textId="11504ACE" w:rsidR="004072FB" w:rsidRPr="00CF1C7C" w:rsidRDefault="00CF1C7C" w:rsidP="00CF1C7C">
      <w:pPr>
        <w:pStyle w:val="Subtitle"/>
      </w:pPr>
      <w:r>
        <w:t>A</w:t>
      </w:r>
      <w:r w:rsidR="004072FB">
        <w:t>CTION P</w:t>
      </w:r>
      <w:r w:rsidR="004072FB" w:rsidRPr="003C3D90">
        <w:t xml:space="preserve">LAN </w:t>
      </w:r>
    </w:p>
    <w:p w14:paraId="0CAC2064" w14:textId="77777777" w:rsidR="0016305B" w:rsidRDefault="0016305B" w:rsidP="002F7AD3">
      <w:pPr>
        <w:spacing w:line="360" w:lineRule="auto"/>
        <w:jc w:val="both"/>
        <w:rPr>
          <w:rFonts w:ascii="Verdana" w:hAnsi="Verdana"/>
          <w:b/>
          <w:bCs/>
          <w:sz w:val="18"/>
          <w:szCs w:val="18"/>
        </w:rPr>
        <w:sectPr w:rsidR="0016305B" w:rsidSect="0016305B">
          <w:pgSz w:w="16838" w:h="11906" w:orient="landscape"/>
          <w:pgMar w:top="1440" w:right="1440" w:bottom="1440" w:left="1440" w:header="708" w:footer="708" w:gutter="0"/>
          <w:cols w:space="708"/>
          <w:docGrid w:linePitch="360"/>
        </w:sectPr>
      </w:pPr>
    </w:p>
    <w:p w14:paraId="26CF1812" w14:textId="77777777" w:rsidR="004072FB" w:rsidRPr="002F7AD3" w:rsidRDefault="004072FB" w:rsidP="002F7AD3">
      <w:pPr>
        <w:spacing w:line="360" w:lineRule="auto"/>
        <w:jc w:val="both"/>
        <w:rPr>
          <w:rFonts w:ascii="Verdana" w:hAnsi="Verdana"/>
          <w:b/>
          <w:bCs/>
          <w:sz w:val="18"/>
          <w:szCs w:val="18"/>
        </w:rPr>
      </w:pPr>
    </w:p>
    <w:p w14:paraId="310B6644" w14:textId="50528E63" w:rsidR="00902461" w:rsidRDefault="002F7AD3" w:rsidP="004072FB">
      <w:pPr>
        <w:pStyle w:val="Subtitle"/>
      </w:pPr>
      <w:r w:rsidRPr="002F7AD3">
        <w:t>REFERENCE LIST</w:t>
      </w:r>
    </w:p>
    <w:p w14:paraId="0A2D45BC" w14:textId="77777777" w:rsidR="00CF1C7C" w:rsidRPr="00CF1C7C" w:rsidRDefault="00CF1C7C" w:rsidP="00CF1C7C">
      <w:pPr>
        <w:rPr>
          <w:lang w:eastAsia="zh-CN"/>
        </w:rPr>
      </w:pPr>
    </w:p>
    <w:p w14:paraId="31BB6BD9" w14:textId="77777777" w:rsidR="00430F20" w:rsidRPr="00A37657" w:rsidRDefault="00430F20" w:rsidP="00EF4924">
      <w:pPr>
        <w:pStyle w:val="NormalWeb"/>
        <w:rPr>
          <w:rFonts w:ascii="Arial" w:hAnsi="Arial" w:cs="Arial"/>
          <w:sz w:val="18"/>
          <w:szCs w:val="18"/>
        </w:rPr>
      </w:pPr>
      <w:r w:rsidRPr="00A37657">
        <w:rPr>
          <w:rFonts w:ascii="Arial" w:hAnsi="Arial" w:cs="Arial"/>
          <w:sz w:val="18"/>
          <w:szCs w:val="18"/>
        </w:rPr>
        <w:t xml:space="preserve">Berman, A. and Cheng, L. (2020) </w:t>
      </w:r>
      <w:r w:rsidRPr="00A37657">
        <w:rPr>
          <w:rStyle w:val="Emphasis"/>
          <w:rFonts w:ascii="Arial" w:eastAsiaTheme="majorEastAsia" w:hAnsi="Arial" w:cs="Arial"/>
          <w:sz w:val="18"/>
          <w:szCs w:val="18"/>
        </w:rPr>
        <w:t>Academic Writing for Adult Learners: Strategies for Success</w:t>
      </w:r>
      <w:r w:rsidRPr="00A37657">
        <w:rPr>
          <w:rFonts w:ascii="Arial" w:hAnsi="Arial" w:cs="Arial"/>
          <w:sz w:val="18"/>
          <w:szCs w:val="18"/>
        </w:rPr>
        <w:t>. Routledge.</w:t>
      </w:r>
    </w:p>
    <w:p w14:paraId="7E252996" w14:textId="77777777" w:rsidR="00430F20" w:rsidRPr="00A37657" w:rsidRDefault="00430F20" w:rsidP="00B72523">
      <w:pPr>
        <w:pStyle w:val="NormalWeb"/>
        <w:rPr>
          <w:rFonts w:ascii="Arial" w:hAnsi="Arial" w:cs="Arial"/>
          <w:sz w:val="18"/>
          <w:szCs w:val="18"/>
        </w:rPr>
      </w:pPr>
      <w:r w:rsidRPr="00A37657">
        <w:rPr>
          <w:rFonts w:ascii="Arial" w:hAnsi="Arial" w:cs="Arial"/>
          <w:sz w:val="18"/>
          <w:szCs w:val="18"/>
        </w:rPr>
        <w:t xml:space="preserve">Bottomley, J, Pryjmachuk, S, &amp; Waugh, D 2018, Academic Writing and Referencing for Your Education Degree, Critical Publishing, ST ALBANS. </w:t>
      </w:r>
    </w:p>
    <w:p w14:paraId="72B963D0" w14:textId="4D3F4C7C" w:rsidR="00430F20" w:rsidRPr="00A37657" w:rsidRDefault="00430F20" w:rsidP="00CE4ADF">
      <w:pPr>
        <w:pStyle w:val="NormalWeb"/>
        <w:ind w:hanging="450"/>
        <w:rPr>
          <w:rFonts w:ascii="Arial" w:hAnsi="Arial" w:cs="Arial"/>
          <w:sz w:val="18"/>
          <w:szCs w:val="18"/>
        </w:rPr>
      </w:pPr>
      <w:r w:rsidRPr="00A37657">
        <w:rPr>
          <w:rFonts w:ascii="Arial" w:hAnsi="Arial" w:cs="Arial"/>
          <w:sz w:val="18"/>
          <w:szCs w:val="18"/>
        </w:rPr>
        <w:t xml:space="preserve">        Burroughs, C. (2019) </w:t>
      </w:r>
      <w:r w:rsidRPr="00A37657">
        <w:rPr>
          <w:rFonts w:ascii="Arial" w:hAnsi="Arial" w:cs="Arial"/>
          <w:i/>
          <w:iCs/>
          <w:sz w:val="18"/>
          <w:szCs w:val="18"/>
        </w:rPr>
        <w:t>The return to study handbook: study skills for mature, distance, and workplace learners</w:t>
      </w:r>
      <w:r w:rsidRPr="00A37657">
        <w:rPr>
          <w:rFonts w:ascii="Arial" w:hAnsi="Arial" w:cs="Arial"/>
          <w:sz w:val="18"/>
          <w:szCs w:val="18"/>
        </w:rPr>
        <w:t>. London, England; Kogan Page.</w:t>
      </w:r>
    </w:p>
    <w:p w14:paraId="4D371A5F" w14:textId="77777777" w:rsidR="00430F20" w:rsidRPr="00A37657" w:rsidRDefault="00430F20" w:rsidP="00B72523">
      <w:pPr>
        <w:pStyle w:val="NormalWeb"/>
        <w:rPr>
          <w:rFonts w:ascii="Arial" w:hAnsi="Arial" w:cs="Arial"/>
          <w:sz w:val="18"/>
          <w:szCs w:val="18"/>
        </w:rPr>
      </w:pPr>
      <w:r w:rsidRPr="00A37657">
        <w:rPr>
          <w:rFonts w:ascii="Arial" w:hAnsi="Arial" w:cs="Arial"/>
          <w:sz w:val="18"/>
          <w:szCs w:val="18"/>
        </w:rPr>
        <w:t>Cottrell, S 2024, The Study Skills Handbook, Bloomsbury Publishing Plc, London.</w:t>
      </w:r>
    </w:p>
    <w:p w14:paraId="55FB996F" w14:textId="018CB49E" w:rsidR="00430F20" w:rsidRPr="00A37657" w:rsidRDefault="00430F20" w:rsidP="00CE4ADF">
      <w:pPr>
        <w:pStyle w:val="NormalWeb"/>
        <w:ind w:hanging="450"/>
        <w:rPr>
          <w:rFonts w:ascii="Arial" w:hAnsi="Arial" w:cs="Arial"/>
          <w:sz w:val="18"/>
          <w:szCs w:val="18"/>
        </w:rPr>
      </w:pPr>
      <w:r w:rsidRPr="00A37657">
        <w:rPr>
          <w:rFonts w:ascii="Arial" w:hAnsi="Arial" w:cs="Arial"/>
          <w:sz w:val="18"/>
          <w:szCs w:val="18"/>
        </w:rPr>
        <w:t xml:space="preserve">        Creed, P.A., Fallon, T. and Hood, M., 2009. The relationship between career adaptability, person and situation variables, and career concerns in young adults. </w:t>
      </w:r>
      <w:r w:rsidRPr="00A37657">
        <w:rPr>
          <w:rStyle w:val="Emphasis"/>
          <w:rFonts w:ascii="Arial" w:eastAsiaTheme="majorEastAsia" w:hAnsi="Arial" w:cs="Arial"/>
          <w:sz w:val="18"/>
          <w:szCs w:val="18"/>
        </w:rPr>
        <w:t>Journal of Vocational Behaviour</w:t>
      </w:r>
      <w:r w:rsidRPr="00A37657">
        <w:rPr>
          <w:rFonts w:ascii="Arial" w:hAnsi="Arial" w:cs="Arial"/>
          <w:sz w:val="18"/>
          <w:szCs w:val="18"/>
        </w:rPr>
        <w:t xml:space="preserve">, 74(2), pp.219-229. </w:t>
      </w:r>
      <w:proofErr w:type="spellStart"/>
      <w:r w:rsidRPr="00A37657">
        <w:rPr>
          <w:rFonts w:ascii="Arial" w:hAnsi="Arial" w:cs="Arial"/>
          <w:sz w:val="18"/>
          <w:szCs w:val="18"/>
        </w:rPr>
        <w:t>doi</w:t>
      </w:r>
      <w:proofErr w:type="spellEnd"/>
      <w:r w:rsidRPr="00A37657">
        <w:rPr>
          <w:rFonts w:ascii="Arial" w:hAnsi="Arial" w:cs="Arial"/>
          <w:sz w:val="18"/>
          <w:szCs w:val="18"/>
        </w:rPr>
        <w:t xml:space="preserve">: 10.1016/j.jvb.2008.12.004. Available at: </w:t>
      </w:r>
      <w:hyperlink r:id="rId6" w:tgtFrame="_new" w:history="1">
        <w:r w:rsidRPr="00A37657">
          <w:rPr>
            <w:rStyle w:val="Hyperlink"/>
            <w:rFonts w:ascii="Arial" w:eastAsiaTheme="majorEastAsia" w:hAnsi="Arial" w:cs="Arial"/>
            <w:sz w:val="18"/>
            <w:szCs w:val="18"/>
          </w:rPr>
          <w:t>https://www.sciencedirect.com/science/article/pii/S0001879108001292</w:t>
        </w:r>
      </w:hyperlink>
      <w:r w:rsidRPr="00A37657">
        <w:rPr>
          <w:rFonts w:ascii="Arial" w:hAnsi="Arial" w:cs="Arial"/>
          <w:sz w:val="18"/>
          <w:szCs w:val="18"/>
        </w:rPr>
        <w:t xml:space="preserve"> [Accessed 26 February 2025].</w:t>
      </w:r>
    </w:p>
    <w:p w14:paraId="303A18E2" w14:textId="77777777" w:rsidR="00430F20" w:rsidRPr="00A37657" w:rsidRDefault="00430F20" w:rsidP="00B72523">
      <w:pPr>
        <w:pStyle w:val="NormalWeb"/>
        <w:rPr>
          <w:rFonts w:ascii="Arial" w:hAnsi="Arial" w:cs="Arial"/>
          <w:sz w:val="18"/>
          <w:szCs w:val="18"/>
        </w:rPr>
      </w:pPr>
      <w:r w:rsidRPr="00A37657">
        <w:rPr>
          <w:rFonts w:ascii="Arial" w:hAnsi="Arial" w:cs="Arial"/>
          <w:sz w:val="18"/>
          <w:szCs w:val="18"/>
        </w:rPr>
        <w:t xml:space="preserve">Creed, P.A., Hood, M., Bialocerkowski, A., Machin, M.A., Brough, P., Kim, S., Winterbotham, S., &amp; Eastgate, L., 2023. Students managing work and study role boundaries: a person-centred approach. </w:t>
      </w:r>
      <w:r w:rsidRPr="00A37657">
        <w:rPr>
          <w:rStyle w:val="Emphasis"/>
          <w:rFonts w:ascii="Arial" w:eastAsiaTheme="majorEastAsia" w:hAnsi="Arial" w:cs="Arial"/>
          <w:sz w:val="18"/>
          <w:szCs w:val="18"/>
        </w:rPr>
        <w:t>Frontiers in Psychology</w:t>
      </w:r>
      <w:r w:rsidRPr="00A37657">
        <w:rPr>
          <w:rFonts w:ascii="Arial" w:hAnsi="Arial" w:cs="Arial"/>
          <w:sz w:val="18"/>
          <w:szCs w:val="18"/>
        </w:rPr>
        <w:t xml:space="preserve">, 14, p.1116031. Available at: </w:t>
      </w:r>
      <w:hyperlink r:id="rId7" w:tgtFrame="_new" w:history="1">
        <w:r w:rsidRPr="00A37657">
          <w:rPr>
            <w:rStyle w:val="Hyperlink"/>
            <w:rFonts w:ascii="Arial" w:eastAsiaTheme="majorEastAsia" w:hAnsi="Arial" w:cs="Arial"/>
            <w:sz w:val="18"/>
            <w:szCs w:val="18"/>
          </w:rPr>
          <w:t>https://doi.org/10.3389/fpsyg.2023.1116031</w:t>
        </w:r>
      </w:hyperlink>
      <w:r w:rsidRPr="00A37657">
        <w:rPr>
          <w:rFonts w:ascii="Arial" w:hAnsi="Arial" w:cs="Arial"/>
          <w:sz w:val="18"/>
          <w:szCs w:val="18"/>
        </w:rPr>
        <w:t xml:space="preserve"> [Accessed 26 February 2025].</w:t>
      </w:r>
    </w:p>
    <w:p w14:paraId="3FD95C9C" w14:textId="77777777" w:rsidR="00430F20" w:rsidRPr="00CF1C7C" w:rsidRDefault="00430F20" w:rsidP="00CF1C7C">
      <w:pPr>
        <w:pStyle w:val="NormalWeb"/>
        <w:ind w:hanging="450"/>
        <w:rPr>
          <w:rFonts w:ascii="Arial" w:hAnsi="Arial" w:cs="Arial"/>
          <w:sz w:val="18"/>
          <w:szCs w:val="18"/>
        </w:rPr>
      </w:pPr>
      <w:r>
        <w:rPr>
          <w:rFonts w:ascii="Arial" w:hAnsi="Arial" w:cs="Arial"/>
          <w:sz w:val="18"/>
          <w:szCs w:val="18"/>
        </w:rPr>
        <w:t xml:space="preserve">         </w:t>
      </w:r>
      <w:r w:rsidRPr="00802D20">
        <w:rPr>
          <w:rFonts w:ascii="Arial" w:hAnsi="Arial" w:cs="Arial"/>
          <w:sz w:val="18"/>
          <w:szCs w:val="18"/>
        </w:rPr>
        <w:t>Godfrey, J. (2018) How to use your reading in your essays. Third edition. London, United Kingdom: Bloomsbury Academic</w:t>
      </w:r>
    </w:p>
    <w:p w14:paraId="10C2A398" w14:textId="77777777" w:rsidR="00430F20" w:rsidRPr="00A37657" w:rsidRDefault="00430F20" w:rsidP="00AD0856">
      <w:pPr>
        <w:pStyle w:val="NormalWeb"/>
        <w:ind w:left="450" w:hanging="450"/>
        <w:rPr>
          <w:rFonts w:ascii="Arial" w:hAnsi="Arial" w:cs="Arial"/>
          <w:sz w:val="18"/>
          <w:szCs w:val="18"/>
        </w:rPr>
      </w:pPr>
      <w:r w:rsidRPr="00A37657">
        <w:rPr>
          <w:rFonts w:ascii="Arial" w:hAnsi="Arial" w:cs="Arial"/>
          <w:sz w:val="18"/>
          <w:szCs w:val="18"/>
        </w:rPr>
        <w:t xml:space="preserve">Goldman, Z. 2011, "Balancing Quality and Workload in Asynchronous Online Discussions: A Win-Win Approach for Students and Instructors", </w:t>
      </w:r>
      <w:r w:rsidRPr="00A37657">
        <w:rPr>
          <w:rFonts w:ascii="Arial" w:hAnsi="Arial" w:cs="Arial"/>
          <w:i/>
          <w:iCs/>
          <w:sz w:val="18"/>
          <w:szCs w:val="18"/>
        </w:rPr>
        <w:t xml:space="preserve">Journal of Online Learning and Teaching, </w:t>
      </w:r>
      <w:r w:rsidRPr="00A37657">
        <w:rPr>
          <w:rFonts w:ascii="Arial" w:hAnsi="Arial" w:cs="Arial"/>
          <w:sz w:val="18"/>
          <w:szCs w:val="18"/>
        </w:rPr>
        <w:t xml:space="preserve">vol. 7, no. 2, pp. 313. </w:t>
      </w:r>
    </w:p>
    <w:p w14:paraId="160AA64F" w14:textId="77777777" w:rsidR="00430F20" w:rsidRDefault="00430F20" w:rsidP="00CE4ADF">
      <w:pPr>
        <w:pStyle w:val="NormalWeb"/>
        <w:ind w:hanging="450"/>
        <w:rPr>
          <w:rFonts w:ascii="Arial" w:hAnsi="Arial" w:cs="Arial"/>
          <w:sz w:val="18"/>
          <w:szCs w:val="18"/>
        </w:rPr>
      </w:pPr>
      <w:r>
        <w:rPr>
          <w:rFonts w:ascii="Arial" w:hAnsi="Arial" w:cs="Arial"/>
          <w:sz w:val="18"/>
          <w:szCs w:val="18"/>
        </w:rPr>
        <w:t xml:space="preserve">         </w:t>
      </w:r>
      <w:r w:rsidRPr="00822B5B">
        <w:rPr>
          <w:rFonts w:ascii="Arial" w:hAnsi="Arial" w:cs="Arial"/>
          <w:sz w:val="18"/>
          <w:szCs w:val="18"/>
        </w:rPr>
        <w:t>McMillan, K, &amp; Weyers, J 2021, The Study Skills Book, Pearson Education, Limited, Harlow.</w:t>
      </w:r>
    </w:p>
    <w:p w14:paraId="319ADEFF" w14:textId="77777777" w:rsidR="00430F20" w:rsidRPr="00A37657" w:rsidRDefault="00430F20" w:rsidP="00B72523">
      <w:pPr>
        <w:pStyle w:val="NormalWeb"/>
        <w:rPr>
          <w:rFonts w:ascii="Arial" w:hAnsi="Arial" w:cs="Arial"/>
          <w:sz w:val="18"/>
          <w:szCs w:val="18"/>
        </w:rPr>
      </w:pPr>
      <w:r w:rsidRPr="00A37657">
        <w:rPr>
          <w:rFonts w:ascii="Arial" w:hAnsi="Arial" w:cs="Arial"/>
          <w:sz w:val="18"/>
          <w:szCs w:val="18"/>
        </w:rPr>
        <w:t xml:space="preserve">Merrill, B. (2020) 'Gender and Higher Education: The Struggles of Women Returning to University', </w:t>
      </w:r>
      <w:r w:rsidRPr="00A37657">
        <w:rPr>
          <w:rStyle w:val="Emphasis"/>
          <w:rFonts w:ascii="Arial" w:eastAsiaTheme="majorEastAsia" w:hAnsi="Arial" w:cs="Arial"/>
          <w:sz w:val="18"/>
          <w:szCs w:val="18"/>
        </w:rPr>
        <w:t>Gender &amp; Education</w:t>
      </w:r>
      <w:r w:rsidRPr="00A37657">
        <w:rPr>
          <w:rFonts w:ascii="Arial" w:hAnsi="Arial" w:cs="Arial"/>
          <w:sz w:val="18"/>
          <w:szCs w:val="18"/>
        </w:rPr>
        <w:t>, 32(5), pp. 779-795.</w:t>
      </w:r>
    </w:p>
    <w:p w14:paraId="1D699C41" w14:textId="77777777" w:rsidR="00430F20" w:rsidRPr="00A37657" w:rsidRDefault="00430F20" w:rsidP="00CE4ADF">
      <w:pPr>
        <w:pStyle w:val="NormalWeb"/>
        <w:ind w:hanging="450"/>
        <w:rPr>
          <w:rFonts w:ascii="Arial" w:hAnsi="Arial" w:cs="Arial"/>
          <w:sz w:val="18"/>
          <w:szCs w:val="18"/>
        </w:rPr>
      </w:pPr>
      <w:r w:rsidRPr="00A37657">
        <w:rPr>
          <w:rFonts w:ascii="Arial" w:hAnsi="Arial" w:cs="Arial"/>
          <w:sz w:val="18"/>
          <w:szCs w:val="18"/>
        </w:rPr>
        <w:t xml:space="preserve">       NIțĂ, V. and GUțU, I., 2023. The Role of Leadership and Digital Transformation in Higher Education Students’ Work Engagement. </w:t>
      </w:r>
      <w:r w:rsidRPr="00A37657">
        <w:rPr>
          <w:rFonts w:ascii="Arial" w:hAnsi="Arial" w:cs="Arial"/>
          <w:i/>
          <w:iCs/>
          <w:sz w:val="18"/>
          <w:szCs w:val="18"/>
        </w:rPr>
        <w:t xml:space="preserve">International Journal of Environmental Research and Public Health, </w:t>
      </w:r>
      <w:r w:rsidRPr="00A37657">
        <w:rPr>
          <w:rFonts w:ascii="Arial" w:hAnsi="Arial" w:cs="Arial"/>
          <w:b/>
          <w:bCs/>
          <w:sz w:val="18"/>
          <w:szCs w:val="18"/>
        </w:rPr>
        <w:t>20</w:t>
      </w:r>
      <w:r w:rsidRPr="00A37657">
        <w:rPr>
          <w:rFonts w:ascii="Arial" w:hAnsi="Arial" w:cs="Arial"/>
          <w:sz w:val="18"/>
          <w:szCs w:val="18"/>
        </w:rPr>
        <w:t xml:space="preserve">(6), pp. 5124. </w:t>
      </w:r>
    </w:p>
    <w:p w14:paraId="779C2541" w14:textId="77777777" w:rsidR="00430F20" w:rsidRDefault="00430F20" w:rsidP="00CE4ADF">
      <w:pPr>
        <w:pStyle w:val="NormalWeb"/>
        <w:ind w:hanging="450"/>
        <w:rPr>
          <w:rFonts w:ascii="Arial" w:hAnsi="Arial" w:cs="Arial"/>
          <w:sz w:val="20"/>
          <w:szCs w:val="20"/>
        </w:rPr>
      </w:pPr>
      <w:r w:rsidRPr="00A37657">
        <w:rPr>
          <w:rFonts w:ascii="Arial" w:hAnsi="Arial" w:cs="Arial"/>
          <w:sz w:val="18"/>
          <w:szCs w:val="18"/>
        </w:rPr>
        <w:t xml:space="preserve">        Olckers, C. and Harumavamwe, M. (2025) ‘The relationship between study resources, task performance and subjective wellbeing among university students: The role of academic self</w:t>
      </w:r>
      <w:r w:rsidRPr="00A37657">
        <w:rPr>
          <w:rFonts w:ascii="Cambria Math" w:hAnsi="Cambria Math" w:cs="Cambria Math"/>
          <w:sz w:val="18"/>
          <w:szCs w:val="18"/>
        </w:rPr>
        <w:t>‐</w:t>
      </w:r>
      <w:r w:rsidRPr="00A37657">
        <w:rPr>
          <w:rFonts w:ascii="Arial" w:hAnsi="Arial" w:cs="Arial"/>
          <w:sz w:val="18"/>
          <w:szCs w:val="18"/>
        </w:rPr>
        <w:t>efficacy</w:t>
      </w:r>
      <w:r w:rsidRPr="00A37657">
        <w:rPr>
          <w:rFonts w:ascii="Arial" w:hAnsi="Arial" w:cs="Arial"/>
          <w:sz w:val="20"/>
          <w:szCs w:val="20"/>
        </w:rPr>
        <w:t xml:space="preserve"> as personal resource’, </w:t>
      </w:r>
      <w:r w:rsidRPr="00A37657">
        <w:rPr>
          <w:rFonts w:ascii="Arial" w:hAnsi="Arial" w:cs="Arial"/>
          <w:i/>
          <w:iCs/>
          <w:sz w:val="20"/>
          <w:szCs w:val="20"/>
        </w:rPr>
        <w:t>Review of education (Oxford)</w:t>
      </w:r>
      <w:r w:rsidRPr="00A37657">
        <w:rPr>
          <w:rFonts w:ascii="Arial" w:hAnsi="Arial" w:cs="Arial"/>
          <w:sz w:val="20"/>
          <w:szCs w:val="20"/>
        </w:rPr>
        <w:t xml:space="preserve">, 13(1). Available at: </w:t>
      </w:r>
      <w:hyperlink r:id="rId8" w:history="1">
        <w:r w:rsidRPr="00CB04D3">
          <w:rPr>
            <w:rStyle w:val="Hyperlink"/>
            <w:rFonts w:ascii="Arial" w:hAnsi="Arial" w:cs="Arial"/>
            <w:sz w:val="20"/>
            <w:szCs w:val="20"/>
          </w:rPr>
          <w:t>https://doi.org/10.1002/rev3.70023</w:t>
        </w:r>
      </w:hyperlink>
    </w:p>
    <w:p w14:paraId="3C4E1EEE" w14:textId="77777777" w:rsidR="00430F20" w:rsidRPr="00A37657" w:rsidRDefault="00430F20" w:rsidP="002F7AD3">
      <w:pPr>
        <w:spacing w:line="360" w:lineRule="auto"/>
        <w:jc w:val="both"/>
        <w:rPr>
          <w:rFonts w:ascii="Arial" w:hAnsi="Arial" w:cs="Arial"/>
          <w:sz w:val="18"/>
          <w:szCs w:val="18"/>
        </w:rPr>
      </w:pPr>
      <w:r w:rsidRPr="00A37657">
        <w:rPr>
          <w:rFonts w:ascii="Arial" w:hAnsi="Arial" w:cs="Arial"/>
          <w:sz w:val="18"/>
          <w:szCs w:val="18"/>
        </w:rPr>
        <w:t xml:space="preserve">Schmidt, M. and Hansson, E. (2022) ‘“I didn’t want to be a troublemaker” – doctoral students’ experiences of change in supervisory arrangements’, </w:t>
      </w:r>
      <w:r w:rsidRPr="00A37657">
        <w:rPr>
          <w:rStyle w:val="Emphasis"/>
          <w:rFonts w:ascii="Arial" w:hAnsi="Arial" w:cs="Arial"/>
          <w:sz w:val="18"/>
          <w:szCs w:val="18"/>
        </w:rPr>
        <w:t>Studies in Graduate and Postdoctoral Education</w:t>
      </w:r>
      <w:r w:rsidRPr="00A37657">
        <w:rPr>
          <w:rFonts w:ascii="Arial" w:hAnsi="Arial" w:cs="Arial"/>
          <w:sz w:val="18"/>
          <w:szCs w:val="18"/>
        </w:rPr>
        <w:t>, 13(1), pp. 54-73</w:t>
      </w:r>
    </w:p>
    <w:p w14:paraId="1C057518" w14:textId="77777777" w:rsidR="00430F20" w:rsidRPr="00A37657" w:rsidRDefault="00430F20" w:rsidP="002F7AD3">
      <w:pPr>
        <w:spacing w:line="360" w:lineRule="auto"/>
        <w:jc w:val="both"/>
        <w:rPr>
          <w:rFonts w:ascii="Arial" w:hAnsi="Arial" w:cs="Arial"/>
          <w:sz w:val="18"/>
          <w:szCs w:val="18"/>
        </w:rPr>
      </w:pPr>
      <w:r w:rsidRPr="00A37657">
        <w:rPr>
          <w:rFonts w:ascii="Arial" w:hAnsi="Arial" w:cs="Arial"/>
          <w:sz w:val="18"/>
          <w:szCs w:val="18"/>
        </w:rPr>
        <w:t xml:space="preserve">Stone, C., &amp; O'Shea, S. (2013). Time, money, leisure and guilt - the gendered challenges of higher education for mature-age students. </w:t>
      </w:r>
      <w:r w:rsidRPr="00A37657">
        <w:rPr>
          <w:rFonts w:ascii="Arial" w:hAnsi="Arial" w:cs="Arial"/>
          <w:i/>
          <w:iCs/>
          <w:sz w:val="18"/>
          <w:szCs w:val="18"/>
        </w:rPr>
        <w:t>Australian Journal of Adult Learning</w:t>
      </w:r>
      <w:r w:rsidRPr="00A37657">
        <w:rPr>
          <w:rFonts w:ascii="Arial" w:hAnsi="Arial" w:cs="Arial"/>
          <w:sz w:val="18"/>
          <w:szCs w:val="18"/>
        </w:rPr>
        <w:t>, 53(1), 96-103.</w:t>
      </w:r>
      <w:r w:rsidRPr="00A37657">
        <w:rPr>
          <w:rFonts w:ascii="Arial" w:hAnsi="Arial" w:cs="Arial"/>
          <w:sz w:val="18"/>
          <w:szCs w:val="18"/>
        </w:rPr>
        <w:br/>
        <w:t xml:space="preserve">Berman, R. and Cheng, L. (1998) ‘English academic language skills: Perceived difficulties by undergraduate and graduate students, and their academic achievement’, </w:t>
      </w:r>
      <w:r w:rsidRPr="00A37657">
        <w:rPr>
          <w:rStyle w:val="Emphasis"/>
          <w:rFonts w:ascii="Arial" w:hAnsi="Arial" w:cs="Arial"/>
          <w:sz w:val="18"/>
          <w:szCs w:val="18"/>
        </w:rPr>
        <w:t>Journal of International Education</w:t>
      </w:r>
      <w:r w:rsidRPr="00A37657">
        <w:rPr>
          <w:rFonts w:ascii="Arial" w:hAnsi="Arial" w:cs="Arial"/>
          <w:sz w:val="18"/>
          <w:szCs w:val="18"/>
        </w:rPr>
        <w:t>, 4(1-2), pp. 25-40.</w:t>
      </w:r>
    </w:p>
    <w:p w14:paraId="1869CB06" w14:textId="77777777" w:rsidR="00430F20" w:rsidRPr="00A37657" w:rsidRDefault="00430F20" w:rsidP="00B72523">
      <w:pPr>
        <w:pStyle w:val="NormalWeb"/>
        <w:rPr>
          <w:rFonts w:ascii="Arial" w:hAnsi="Arial" w:cs="Arial"/>
          <w:sz w:val="18"/>
          <w:szCs w:val="18"/>
        </w:rPr>
      </w:pPr>
      <w:r w:rsidRPr="00A37657">
        <w:rPr>
          <w:rFonts w:ascii="Arial" w:hAnsi="Arial" w:cs="Arial"/>
          <w:sz w:val="18"/>
          <w:szCs w:val="18"/>
        </w:rPr>
        <w:t xml:space="preserve">Young, T. J. et al. (2012) ‘Success factors for international postgraduate students’ adjustment: exploring the roles of intercultural competence, language proficiency, social contact and social support’, </w:t>
      </w:r>
      <w:r w:rsidRPr="00A37657">
        <w:rPr>
          <w:rStyle w:val="Emphasis"/>
          <w:rFonts w:ascii="Arial" w:eastAsiaTheme="majorEastAsia" w:hAnsi="Arial" w:cs="Arial"/>
          <w:sz w:val="18"/>
          <w:szCs w:val="18"/>
        </w:rPr>
        <w:t>European Journal of Higher Education</w:t>
      </w:r>
      <w:r w:rsidRPr="00A37657">
        <w:rPr>
          <w:rFonts w:ascii="Arial" w:hAnsi="Arial" w:cs="Arial"/>
          <w:sz w:val="18"/>
          <w:szCs w:val="18"/>
        </w:rPr>
        <w:t>, 3(2), pp. 151–171.</w:t>
      </w:r>
    </w:p>
    <w:p w14:paraId="5C455C34" w14:textId="77777777" w:rsidR="00EF4924" w:rsidRDefault="00EF4924" w:rsidP="002F7AD3">
      <w:pPr>
        <w:spacing w:line="360" w:lineRule="auto"/>
        <w:jc w:val="both"/>
      </w:pPr>
    </w:p>
    <w:sectPr w:rsidR="00EF4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02ADB"/>
    <w:rsid w:val="00013E52"/>
    <w:rsid w:val="00054F3D"/>
    <w:rsid w:val="00081E77"/>
    <w:rsid w:val="000945F7"/>
    <w:rsid w:val="000A58E1"/>
    <w:rsid w:val="000C29F7"/>
    <w:rsid w:val="000E42B9"/>
    <w:rsid w:val="000F55BE"/>
    <w:rsid w:val="0013245F"/>
    <w:rsid w:val="00140B1A"/>
    <w:rsid w:val="0016305B"/>
    <w:rsid w:val="00163340"/>
    <w:rsid w:val="001E7784"/>
    <w:rsid w:val="002857E4"/>
    <w:rsid w:val="00292FBD"/>
    <w:rsid w:val="002F7AD3"/>
    <w:rsid w:val="00392B6A"/>
    <w:rsid w:val="003B19D4"/>
    <w:rsid w:val="003B5DD3"/>
    <w:rsid w:val="004072FB"/>
    <w:rsid w:val="00413A59"/>
    <w:rsid w:val="00430F20"/>
    <w:rsid w:val="004F3B15"/>
    <w:rsid w:val="005D1A79"/>
    <w:rsid w:val="005D55C0"/>
    <w:rsid w:val="005F3B6B"/>
    <w:rsid w:val="006805A9"/>
    <w:rsid w:val="006B7880"/>
    <w:rsid w:val="006F6707"/>
    <w:rsid w:val="007051A9"/>
    <w:rsid w:val="00733E4E"/>
    <w:rsid w:val="00740432"/>
    <w:rsid w:val="007A5D10"/>
    <w:rsid w:val="00801587"/>
    <w:rsid w:val="00802D20"/>
    <w:rsid w:val="00822B5B"/>
    <w:rsid w:val="00867AB9"/>
    <w:rsid w:val="008746EE"/>
    <w:rsid w:val="00890531"/>
    <w:rsid w:val="008D6074"/>
    <w:rsid w:val="00902461"/>
    <w:rsid w:val="009046D5"/>
    <w:rsid w:val="00946095"/>
    <w:rsid w:val="00993585"/>
    <w:rsid w:val="009B2143"/>
    <w:rsid w:val="009B7A65"/>
    <w:rsid w:val="009C1FCB"/>
    <w:rsid w:val="00A10DB1"/>
    <w:rsid w:val="00A255CD"/>
    <w:rsid w:val="00A31841"/>
    <w:rsid w:val="00A37657"/>
    <w:rsid w:val="00A62D8A"/>
    <w:rsid w:val="00A64823"/>
    <w:rsid w:val="00A8612C"/>
    <w:rsid w:val="00AA5380"/>
    <w:rsid w:val="00AD0856"/>
    <w:rsid w:val="00AD708D"/>
    <w:rsid w:val="00B05474"/>
    <w:rsid w:val="00B502AA"/>
    <w:rsid w:val="00B62AC6"/>
    <w:rsid w:val="00B67787"/>
    <w:rsid w:val="00B72523"/>
    <w:rsid w:val="00B8751C"/>
    <w:rsid w:val="00C24BC5"/>
    <w:rsid w:val="00C75A07"/>
    <w:rsid w:val="00C76D48"/>
    <w:rsid w:val="00C952B9"/>
    <w:rsid w:val="00C95BA6"/>
    <w:rsid w:val="00CE4ADF"/>
    <w:rsid w:val="00CF1C7C"/>
    <w:rsid w:val="00D04D05"/>
    <w:rsid w:val="00D37DCE"/>
    <w:rsid w:val="00DC6BB6"/>
    <w:rsid w:val="00DF3AC6"/>
    <w:rsid w:val="00DF605A"/>
    <w:rsid w:val="00E97B4F"/>
    <w:rsid w:val="00EF4924"/>
    <w:rsid w:val="00F4467E"/>
    <w:rsid w:val="00F80E84"/>
    <w:rsid w:val="00F85546"/>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E3CC2E9-01A8-4F37-BB8A-499B336C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46095"/>
    <w:rPr>
      <w:i/>
      <w:iCs/>
    </w:rPr>
  </w:style>
  <w:style w:type="paragraph" w:styleId="NormalWeb">
    <w:name w:val="Normal (Web)"/>
    <w:basedOn w:val="Normal"/>
    <w:uiPriority w:val="99"/>
    <w:semiHidden/>
    <w:unhideWhenUsed/>
    <w:rsid w:val="00EF4924"/>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5474"/>
    <w:rPr>
      <w:color w:val="0000FF"/>
      <w:u w:val="single"/>
    </w:rPr>
  </w:style>
  <w:style w:type="character" w:styleId="UnresolvedMention">
    <w:name w:val="Unresolved Mention"/>
    <w:basedOn w:val="DefaultParagraphFont"/>
    <w:uiPriority w:val="99"/>
    <w:semiHidden/>
    <w:unhideWhenUsed/>
    <w:rsid w:val="00822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4058">
      <w:bodyDiv w:val="1"/>
      <w:marLeft w:val="0"/>
      <w:marRight w:val="0"/>
      <w:marTop w:val="0"/>
      <w:marBottom w:val="0"/>
      <w:divBdr>
        <w:top w:val="none" w:sz="0" w:space="0" w:color="auto"/>
        <w:left w:val="none" w:sz="0" w:space="0" w:color="auto"/>
        <w:bottom w:val="none" w:sz="0" w:space="0" w:color="auto"/>
        <w:right w:val="none" w:sz="0" w:space="0" w:color="auto"/>
      </w:divBdr>
    </w:div>
    <w:div w:id="498544994">
      <w:bodyDiv w:val="1"/>
      <w:marLeft w:val="0"/>
      <w:marRight w:val="0"/>
      <w:marTop w:val="0"/>
      <w:marBottom w:val="0"/>
      <w:divBdr>
        <w:top w:val="none" w:sz="0" w:space="0" w:color="auto"/>
        <w:left w:val="none" w:sz="0" w:space="0" w:color="auto"/>
        <w:bottom w:val="none" w:sz="0" w:space="0" w:color="auto"/>
        <w:right w:val="none" w:sz="0" w:space="0" w:color="auto"/>
      </w:divBdr>
      <w:divsChild>
        <w:div w:id="941300618">
          <w:marLeft w:val="0"/>
          <w:marRight w:val="0"/>
          <w:marTop w:val="0"/>
          <w:marBottom w:val="0"/>
          <w:divBdr>
            <w:top w:val="none" w:sz="0" w:space="0" w:color="auto"/>
            <w:left w:val="none" w:sz="0" w:space="0" w:color="auto"/>
            <w:bottom w:val="none" w:sz="0" w:space="0" w:color="auto"/>
            <w:right w:val="none" w:sz="0" w:space="0" w:color="auto"/>
          </w:divBdr>
          <w:divsChild>
            <w:div w:id="1592198649">
              <w:marLeft w:val="0"/>
              <w:marRight w:val="0"/>
              <w:marTop w:val="0"/>
              <w:marBottom w:val="0"/>
              <w:divBdr>
                <w:top w:val="none" w:sz="0" w:space="0" w:color="auto"/>
                <w:left w:val="none" w:sz="0" w:space="0" w:color="auto"/>
                <w:bottom w:val="none" w:sz="0" w:space="0" w:color="auto"/>
                <w:right w:val="none" w:sz="0" w:space="0" w:color="auto"/>
              </w:divBdr>
              <w:divsChild>
                <w:div w:id="607928554">
                  <w:marLeft w:val="0"/>
                  <w:marRight w:val="0"/>
                  <w:marTop w:val="0"/>
                  <w:marBottom w:val="0"/>
                  <w:divBdr>
                    <w:top w:val="none" w:sz="0" w:space="0" w:color="auto"/>
                    <w:left w:val="none" w:sz="0" w:space="0" w:color="auto"/>
                    <w:bottom w:val="none" w:sz="0" w:space="0" w:color="auto"/>
                    <w:right w:val="none" w:sz="0" w:space="0" w:color="auto"/>
                  </w:divBdr>
                  <w:divsChild>
                    <w:div w:id="267204603">
                      <w:marLeft w:val="0"/>
                      <w:marRight w:val="0"/>
                      <w:marTop w:val="0"/>
                      <w:marBottom w:val="0"/>
                      <w:divBdr>
                        <w:top w:val="none" w:sz="0" w:space="0" w:color="auto"/>
                        <w:left w:val="none" w:sz="0" w:space="0" w:color="auto"/>
                        <w:bottom w:val="none" w:sz="0" w:space="0" w:color="auto"/>
                        <w:right w:val="none" w:sz="0" w:space="0" w:color="auto"/>
                      </w:divBdr>
                      <w:divsChild>
                        <w:div w:id="148900851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621160">
      <w:bodyDiv w:val="1"/>
      <w:marLeft w:val="0"/>
      <w:marRight w:val="0"/>
      <w:marTop w:val="0"/>
      <w:marBottom w:val="0"/>
      <w:divBdr>
        <w:top w:val="none" w:sz="0" w:space="0" w:color="auto"/>
        <w:left w:val="none" w:sz="0" w:space="0" w:color="auto"/>
        <w:bottom w:val="none" w:sz="0" w:space="0" w:color="auto"/>
        <w:right w:val="none" w:sz="0" w:space="0" w:color="auto"/>
      </w:divBdr>
    </w:div>
    <w:div w:id="1531652018">
      <w:bodyDiv w:val="1"/>
      <w:marLeft w:val="0"/>
      <w:marRight w:val="0"/>
      <w:marTop w:val="0"/>
      <w:marBottom w:val="0"/>
      <w:divBdr>
        <w:top w:val="none" w:sz="0" w:space="0" w:color="auto"/>
        <w:left w:val="none" w:sz="0" w:space="0" w:color="auto"/>
        <w:bottom w:val="none" w:sz="0" w:space="0" w:color="auto"/>
        <w:right w:val="none" w:sz="0" w:space="0" w:color="auto"/>
      </w:divBdr>
      <w:divsChild>
        <w:div w:id="1046100284">
          <w:marLeft w:val="0"/>
          <w:marRight w:val="0"/>
          <w:marTop w:val="0"/>
          <w:marBottom w:val="0"/>
          <w:divBdr>
            <w:top w:val="none" w:sz="0" w:space="0" w:color="auto"/>
            <w:left w:val="none" w:sz="0" w:space="0" w:color="auto"/>
            <w:bottom w:val="none" w:sz="0" w:space="0" w:color="auto"/>
            <w:right w:val="none" w:sz="0" w:space="0" w:color="auto"/>
          </w:divBdr>
          <w:divsChild>
            <w:div w:id="909461727">
              <w:marLeft w:val="0"/>
              <w:marRight w:val="0"/>
              <w:marTop w:val="0"/>
              <w:marBottom w:val="0"/>
              <w:divBdr>
                <w:top w:val="none" w:sz="0" w:space="0" w:color="auto"/>
                <w:left w:val="none" w:sz="0" w:space="0" w:color="auto"/>
                <w:bottom w:val="none" w:sz="0" w:space="0" w:color="auto"/>
                <w:right w:val="none" w:sz="0" w:space="0" w:color="auto"/>
              </w:divBdr>
              <w:divsChild>
                <w:div w:id="1778914130">
                  <w:marLeft w:val="0"/>
                  <w:marRight w:val="0"/>
                  <w:marTop w:val="0"/>
                  <w:marBottom w:val="0"/>
                  <w:divBdr>
                    <w:top w:val="none" w:sz="0" w:space="0" w:color="auto"/>
                    <w:left w:val="none" w:sz="0" w:space="0" w:color="auto"/>
                    <w:bottom w:val="none" w:sz="0" w:space="0" w:color="auto"/>
                    <w:right w:val="none" w:sz="0" w:space="0" w:color="auto"/>
                  </w:divBdr>
                  <w:divsChild>
                    <w:div w:id="401870321">
                      <w:marLeft w:val="0"/>
                      <w:marRight w:val="0"/>
                      <w:marTop w:val="0"/>
                      <w:marBottom w:val="0"/>
                      <w:divBdr>
                        <w:top w:val="none" w:sz="0" w:space="0" w:color="auto"/>
                        <w:left w:val="none" w:sz="0" w:space="0" w:color="auto"/>
                        <w:bottom w:val="none" w:sz="0" w:space="0" w:color="auto"/>
                        <w:right w:val="none" w:sz="0" w:space="0" w:color="auto"/>
                      </w:divBdr>
                      <w:divsChild>
                        <w:div w:id="8862800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rev3.70023" TargetMode="External"/><Relationship Id="rId3" Type="http://schemas.openxmlformats.org/officeDocument/2006/relationships/settings" Target="settings.xml"/><Relationship Id="rId7" Type="http://schemas.openxmlformats.org/officeDocument/2006/relationships/hyperlink" Target="https://doi.org/10.3389/fpsyg.2023.111603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ciencedirect.com/science/article/pii/S0001879108001292"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93CF7-0CB4-4319-92C7-C12B3AFB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Azmi, Lakme</cp:lastModifiedBy>
  <cp:revision>4</cp:revision>
  <dcterms:created xsi:type="dcterms:W3CDTF">2025-03-07T01:32:00Z</dcterms:created>
  <dcterms:modified xsi:type="dcterms:W3CDTF">2025-03-07T03:28:00Z</dcterms:modified>
</cp:coreProperties>
</file>