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7446C58" wp14:paraId="6BCECAE5" wp14:textId="0A3DCA17">
      <w:pPr>
        <w:spacing w:before="0" w:beforeAutospacing="off" w:after="160" w:afterAutospacing="off"/>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17446C58" w:rsidR="703ACC24">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Name: Shazma Raza</w:t>
      </w:r>
    </w:p>
    <w:p xmlns:wp14="http://schemas.microsoft.com/office/word/2010/wordml" w:rsidP="17446C58" wp14:paraId="35DD65E2" wp14:textId="16B274AD">
      <w:pPr>
        <w:spacing w:before="0" w:beforeAutospacing="off" w:after="160" w:afterAutospacing="off"/>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17446C58" w:rsidR="703ACC24">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Student ID: 2515556</w:t>
      </w:r>
    </w:p>
    <w:p xmlns:wp14="http://schemas.microsoft.com/office/word/2010/wordml" w:rsidP="17446C58" wp14:paraId="650B6BD7" wp14:textId="2B8F2818">
      <w:pPr>
        <w:pStyle w:val="Normal"/>
        <w:shd w:val="clear" w:color="auto" w:fill="FFFFFF" w:themeFill="background1"/>
        <w:spacing w:before="0" w:beforeAutospacing="off" w:after="120" w:afterAutospacing="off"/>
        <w:jc w:val="left"/>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17446C58" w:rsidR="703ACC24">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Module Code: </w:t>
      </w:r>
      <w:r w:rsidRPr="17446C58" w:rsidR="6E48938D">
        <w:rPr>
          <w:rFonts w:ascii="Arial" w:hAnsi="Arial" w:eastAsia="Arial" w:cs="Arial"/>
          <w:b w:val="0"/>
          <w:bCs w:val="0"/>
          <w:i w:val="0"/>
          <w:iCs w:val="0"/>
          <w:strike w:val="0"/>
          <w:dstrike w:val="0"/>
          <w:noProof w:val="0"/>
          <w:color w:val="000000" w:themeColor="text1" w:themeTint="FF" w:themeShade="FF"/>
          <w:sz w:val="28"/>
          <w:szCs w:val="28"/>
          <w:u w:val="none"/>
          <w:lang w:val="en-GB"/>
        </w:rPr>
        <w:t>LCHS4008</w:t>
      </w:r>
    </w:p>
    <w:p xmlns:wp14="http://schemas.microsoft.com/office/word/2010/wordml" w:rsidP="17446C58" wp14:paraId="0F73D9E0" wp14:textId="6D7733F5">
      <w:pPr>
        <w:spacing w:before="0" w:beforeAutospacing="off" w:after="160" w:afterAutospacing="off"/>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17446C58" w:rsidR="703ACC24">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Module: Health and Social Care </w:t>
      </w:r>
    </w:p>
    <w:p xmlns:wp14="http://schemas.microsoft.com/office/word/2010/wordml" w:rsidP="17446C58" wp14:paraId="5331EBAE" wp14:textId="45389DA4">
      <w:pPr>
        <w:pStyle w:val="Normal"/>
        <w:spacing w:before="0" w:beforeAutospacing="off" w:after="160" w:afterAutospacing="off"/>
        <w:jc w:val="both"/>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r w:rsidRPr="17446C58" w:rsidR="703ACC24">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Lecturer: </w:t>
      </w:r>
      <w:r w:rsidRPr="17446C58" w:rsidR="13C749B0">
        <w:rPr>
          <w:rFonts w:ascii="Arial" w:hAnsi="Arial" w:eastAsia="Arial" w:cs="Arial" w:asciiTheme="minorAscii" w:hAnsiTheme="minorAscii" w:eastAsiaTheme="minorAscii" w:cstheme="minorAscii"/>
          <w:b w:val="0"/>
          <w:bCs w:val="0"/>
          <w:i w:val="0"/>
          <w:iCs w:val="0"/>
          <w:caps w:val="0"/>
          <w:smallCaps w:val="0"/>
          <w:noProof w:val="0"/>
          <w:color w:val="1D2125"/>
          <w:sz w:val="28"/>
          <w:szCs w:val="28"/>
          <w:lang w:val="en-GB"/>
        </w:rPr>
        <w:t>Debra Odeh</w:t>
      </w:r>
    </w:p>
    <w:p xmlns:wp14="http://schemas.microsoft.com/office/word/2010/wordml" wp14:paraId="5E5787A5" wp14:textId="4DDD07D3"/>
    <w:p w:rsidR="17446C58" w:rsidRDefault="17446C58" w14:paraId="6DC7A988" w14:textId="03BA320A"/>
    <w:p w:rsidR="17446C58" w:rsidRDefault="17446C58" w14:paraId="23F9B989" w14:textId="5DE0BC84"/>
    <w:p w:rsidR="17446C58" w:rsidRDefault="17446C58" w14:paraId="7F0169A2" w14:textId="44B8B80B"/>
    <w:p w:rsidR="17446C58" w:rsidRDefault="17446C58" w14:paraId="6D17C0DB" w14:textId="2CE4F741"/>
    <w:p w:rsidR="17446C58" w:rsidP="17446C58" w:rsidRDefault="17446C58" w14:paraId="52FA8EA4" w14:textId="0BB06C02">
      <w:pPr>
        <w:pStyle w:val="Normal"/>
      </w:pPr>
    </w:p>
    <w:p w:rsidR="17446C58" w:rsidP="17446C58" w:rsidRDefault="17446C58" w14:paraId="2E705C97" w14:textId="53730512">
      <w:pPr>
        <w:pStyle w:val="Normal"/>
      </w:pPr>
    </w:p>
    <w:p w:rsidR="17446C58" w:rsidP="17446C58" w:rsidRDefault="17446C58" w14:paraId="1AC0260C" w14:textId="391B448A">
      <w:pPr>
        <w:pStyle w:val="Normal"/>
      </w:pPr>
    </w:p>
    <w:p w:rsidR="17446C58" w:rsidP="17446C58" w:rsidRDefault="17446C58" w14:paraId="2FE9BBA1" w14:textId="515BB4C7">
      <w:pPr>
        <w:pStyle w:val="Normal"/>
      </w:pPr>
    </w:p>
    <w:p w:rsidR="17446C58" w:rsidP="17446C58" w:rsidRDefault="17446C58" w14:paraId="1882C49C" w14:textId="2A4DA5C2">
      <w:pPr>
        <w:pStyle w:val="Normal"/>
      </w:pPr>
    </w:p>
    <w:p w:rsidR="17446C58" w:rsidP="17446C58" w:rsidRDefault="17446C58" w14:paraId="090A50A4" w14:textId="6C727181">
      <w:pPr>
        <w:pStyle w:val="Normal"/>
      </w:pPr>
    </w:p>
    <w:p w:rsidR="17446C58" w:rsidP="17446C58" w:rsidRDefault="17446C58" w14:paraId="7A65E57E" w14:textId="61F0FAAF">
      <w:pPr>
        <w:pStyle w:val="Normal"/>
      </w:pPr>
    </w:p>
    <w:p w:rsidR="17446C58" w:rsidP="17446C58" w:rsidRDefault="17446C58" w14:paraId="4F7D65A5" w14:textId="594ACB25">
      <w:pPr>
        <w:pStyle w:val="Normal"/>
      </w:pPr>
    </w:p>
    <w:p w:rsidR="17446C58" w:rsidP="17446C58" w:rsidRDefault="17446C58" w14:paraId="7815F46D" w14:textId="657E6185">
      <w:pPr>
        <w:pStyle w:val="Normal"/>
      </w:pPr>
    </w:p>
    <w:p w:rsidR="17446C58" w:rsidP="17446C58" w:rsidRDefault="17446C58" w14:paraId="0CB568BD" w14:textId="353B5F48">
      <w:pPr>
        <w:pStyle w:val="Normal"/>
      </w:pPr>
    </w:p>
    <w:p w:rsidR="17446C58" w:rsidP="17446C58" w:rsidRDefault="17446C58" w14:paraId="0E4F6866" w14:textId="404FB666">
      <w:pPr>
        <w:pStyle w:val="Normal"/>
      </w:pPr>
    </w:p>
    <w:p w:rsidR="17446C58" w:rsidP="17446C58" w:rsidRDefault="17446C58" w14:paraId="7F7F8DD0" w14:textId="7F02A7D1">
      <w:pPr>
        <w:pStyle w:val="Normal"/>
      </w:pPr>
    </w:p>
    <w:p w:rsidR="17446C58" w:rsidP="17446C58" w:rsidRDefault="17446C58" w14:paraId="4620F0A7" w14:textId="22212236">
      <w:pPr>
        <w:pStyle w:val="Normal"/>
      </w:pPr>
    </w:p>
    <w:p w:rsidR="17446C58" w:rsidP="17446C58" w:rsidRDefault="17446C58" w14:paraId="5CB57D8D" w14:textId="257FC759">
      <w:pPr>
        <w:pStyle w:val="Normal"/>
      </w:pPr>
    </w:p>
    <w:p w:rsidR="17446C58" w:rsidP="17446C58" w:rsidRDefault="17446C58" w14:paraId="272BC35E" w14:textId="4EEA4E65">
      <w:pPr>
        <w:pStyle w:val="Normal"/>
      </w:pPr>
    </w:p>
    <w:p w:rsidR="17446C58" w:rsidP="17446C58" w:rsidRDefault="17446C58" w14:paraId="3C4D511A" w14:textId="11EEFF8F">
      <w:pPr>
        <w:pStyle w:val="Normal"/>
      </w:pPr>
    </w:p>
    <w:p w:rsidR="17446C58" w:rsidP="17446C58" w:rsidRDefault="17446C58" w14:paraId="1720CA28" w14:textId="3B6E547C">
      <w:pPr>
        <w:pStyle w:val="Normal"/>
      </w:pPr>
    </w:p>
    <w:p w:rsidR="17446C58" w:rsidP="17446C58" w:rsidRDefault="17446C58" w14:paraId="22935A90" w14:textId="74A821CF">
      <w:pPr>
        <w:pStyle w:val="Normal"/>
      </w:pPr>
    </w:p>
    <w:p w:rsidR="17446C58" w:rsidP="17446C58" w:rsidRDefault="17446C58" w14:paraId="152DDEBF" w14:textId="7A8C2B9A">
      <w:pPr>
        <w:pStyle w:val="Normal"/>
      </w:pPr>
    </w:p>
    <w:p w:rsidR="7E480573" w:rsidP="17446C58" w:rsidRDefault="7E480573" w14:paraId="4E18420C" w14:textId="6FE9850F">
      <w:pPr>
        <w:pStyle w:val="Normal"/>
        <w:jc w:val="center"/>
        <w:rPr>
          <w:rFonts w:ascii="Arial" w:hAnsi="Arial" w:eastAsia="Arial" w:cs="Arial" w:asciiTheme="minorAscii" w:hAnsiTheme="minorAscii" w:eastAsiaTheme="minorAscii" w:cstheme="minorAscii"/>
          <w:b w:val="1"/>
          <w:bCs w:val="1"/>
          <w:noProof w:val="0"/>
          <w:sz w:val="32"/>
          <w:szCs w:val="32"/>
          <w:lang w:val="en-GB"/>
        </w:rPr>
      </w:pPr>
      <w:r w:rsidRPr="17446C58" w:rsidR="7E480573">
        <w:rPr>
          <w:rFonts w:ascii="Arial" w:hAnsi="Arial" w:eastAsia="Arial" w:cs="Arial" w:asciiTheme="minorAscii" w:hAnsiTheme="minorAscii" w:eastAsiaTheme="minorAscii" w:cstheme="minorAscii"/>
          <w:b w:val="1"/>
          <w:bCs w:val="1"/>
          <w:noProof w:val="0"/>
          <w:sz w:val="32"/>
          <w:szCs w:val="32"/>
          <w:lang w:val="en-GB"/>
        </w:rPr>
        <w:t>Tuberculosis</w:t>
      </w:r>
    </w:p>
    <w:p w:rsidR="17446C58" w:rsidP="17446C58" w:rsidRDefault="17446C58" w14:paraId="58838ACD" w14:textId="156DF36C">
      <w:pPr>
        <w:pStyle w:val="Normal"/>
        <w:jc w:val="center"/>
        <w:rPr>
          <w:rFonts w:ascii="Arial" w:hAnsi="Arial" w:eastAsia="Arial" w:cs="Arial" w:asciiTheme="minorAscii" w:hAnsiTheme="minorAscii" w:eastAsiaTheme="minorAscii" w:cstheme="minorAscii"/>
          <w:b w:val="1"/>
          <w:bCs w:val="1"/>
          <w:noProof w:val="0"/>
          <w:sz w:val="28"/>
          <w:szCs w:val="28"/>
          <w:lang w:val="en-GB"/>
        </w:rPr>
      </w:pPr>
    </w:p>
    <w:p w:rsidR="548C5AFB" w:rsidP="17446C58" w:rsidRDefault="548C5AFB" w14:paraId="5E297516" w14:textId="65A8FA46">
      <w:pPr>
        <w:pStyle w:val="Normal"/>
        <w:jc w:val="left"/>
        <w:rPr>
          <w:rFonts w:ascii="Arial" w:hAnsi="Arial" w:eastAsia="Arial" w:cs="Arial"/>
          <w:b w:val="1"/>
          <w:bCs w:val="1"/>
          <w:noProof w:val="0"/>
          <w:sz w:val="28"/>
          <w:szCs w:val="28"/>
          <w:lang w:val="en-GB"/>
        </w:rPr>
      </w:pPr>
      <w:r w:rsidRPr="69C3DC0E" w:rsidR="548C5AFB">
        <w:rPr>
          <w:rFonts w:ascii="Arial" w:hAnsi="Arial" w:eastAsia="Arial" w:cs="Arial"/>
          <w:b w:val="1"/>
          <w:bCs w:val="1"/>
          <w:noProof w:val="0"/>
          <w:sz w:val="28"/>
          <w:szCs w:val="28"/>
          <w:lang w:val="en-GB"/>
        </w:rPr>
        <w:t>Introduction</w:t>
      </w:r>
    </w:p>
    <w:p w:rsidR="11A7BAB1" w:rsidP="69C3DC0E" w:rsidRDefault="11A7BAB1" w14:paraId="1BD32762" w14:textId="515EA747">
      <w:pPr>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69C3DC0E" w:rsidR="11A7BAB1">
        <w:rPr>
          <w:rFonts w:ascii="Arial" w:hAnsi="Arial" w:eastAsia="Arial" w:cs="Arial"/>
          <w:b w:val="0"/>
          <w:bCs w:val="0"/>
          <w:i w:val="0"/>
          <w:iCs w:val="0"/>
          <w:caps w:val="0"/>
          <w:smallCaps w:val="0"/>
          <w:noProof w:val="0"/>
          <w:color w:val="000000" w:themeColor="text1" w:themeTint="FF" w:themeShade="FF"/>
          <w:sz w:val="28"/>
          <w:szCs w:val="28"/>
          <w:lang w:val="en-GB"/>
        </w:rPr>
        <w:t xml:space="preserve">Tuberculosis (TB) is an infectious disease caused by the bacterium </w:t>
      </w:r>
      <w:r w:rsidRPr="69C3DC0E" w:rsidR="11A7BAB1">
        <w:rPr>
          <w:rFonts w:ascii="Arial" w:hAnsi="Arial" w:eastAsia="Arial" w:cs="Arial"/>
          <w:b w:val="0"/>
          <w:bCs w:val="0"/>
          <w:i w:val="1"/>
          <w:iCs w:val="1"/>
          <w:caps w:val="0"/>
          <w:smallCaps w:val="0"/>
          <w:noProof w:val="0"/>
          <w:color w:val="000000" w:themeColor="text1" w:themeTint="FF" w:themeShade="FF"/>
          <w:sz w:val="28"/>
          <w:szCs w:val="28"/>
          <w:lang w:val="en-GB"/>
        </w:rPr>
        <w:t>Mycobacterium tuberculosis</w:t>
      </w:r>
      <w:r w:rsidRPr="69C3DC0E" w:rsidR="11A7BAB1">
        <w:rPr>
          <w:rFonts w:ascii="Arial" w:hAnsi="Arial" w:eastAsia="Arial" w:cs="Arial"/>
          <w:b w:val="0"/>
          <w:bCs w:val="0"/>
          <w:i w:val="0"/>
          <w:iCs w:val="0"/>
          <w:caps w:val="0"/>
          <w:smallCaps w:val="0"/>
          <w:noProof w:val="0"/>
          <w:color w:val="000000" w:themeColor="text1" w:themeTint="FF" w:themeShade="FF"/>
          <w:sz w:val="28"/>
          <w:szCs w:val="28"/>
          <w:lang w:val="en-GB"/>
        </w:rPr>
        <w:t>, which affects the lungs but can infect other parts of the body such as the brain, kidneys and spine. World Health Organization, 2025. The disease spreads through airborne droplets released when an infected person coughs, sneezes or speaks. Common signs and symptoms include a persistent cough lasting three weeks, chest pain, fever, night sweats, fatigue, loss of appetite, weight loss and coughing up blood. NHS, 2024. Tuberculosis continues to be a serious worldwide public health issue. The World Health Organization estimates that 10.8 million people worldwide contracted tuberculosis (TB) in 2023, and that 1.25 million deaths were recorded. WHO, 2025. With 4,855 cases reported in England in 2023, or 8.5 cases per 100,000 people, TB incidence is lower but present in the UK. UKHSA, 2024. These figures demonstrate the ongoing national and international effects of tuberculosis.</w:t>
      </w:r>
    </w:p>
    <w:p w:rsidR="69C3DC0E" w:rsidP="69C3DC0E" w:rsidRDefault="69C3DC0E" w14:paraId="5ABAA621" w14:textId="07CD4B08">
      <w:pPr>
        <w:pStyle w:val="Normal"/>
        <w:jc w:val="left"/>
        <w:rPr>
          <w:rFonts w:ascii="Arial" w:hAnsi="Arial" w:eastAsia="Arial" w:cs="Arial"/>
          <w:noProof w:val="0"/>
          <w:sz w:val="28"/>
          <w:szCs w:val="28"/>
          <w:lang w:val="en-GB"/>
        </w:rPr>
      </w:pPr>
    </w:p>
    <w:p w:rsidR="17446C58" w:rsidP="17446C58" w:rsidRDefault="17446C58" w14:paraId="38CB8313" w14:noSpellErr="1" w14:textId="5CD3DD45">
      <w:pPr>
        <w:pStyle w:val="Normal"/>
        <w:jc w:val="left"/>
        <w:rPr>
          <w:rFonts w:ascii="Arial" w:hAnsi="Arial" w:eastAsia="Arial" w:cs="Arial"/>
          <w:b w:val="1"/>
          <w:bCs w:val="1"/>
          <w:noProof w:val="0"/>
          <w:sz w:val="28"/>
          <w:szCs w:val="28"/>
          <w:lang w:val="en-GB"/>
        </w:rPr>
      </w:pPr>
    </w:p>
    <w:p w:rsidR="41EE59BE" w:rsidP="69C3DC0E" w:rsidRDefault="41EE59BE" w14:paraId="269EB85A" w14:textId="2728619C">
      <w:pPr>
        <w:spacing w:before="240" w:beforeAutospacing="off" w:after="240" w:afterAutospacing="off"/>
        <w:jc w:val="left"/>
      </w:pPr>
      <w:r w:rsidRPr="69C3DC0E" w:rsidR="41EE59BE">
        <w:rPr>
          <w:rFonts w:ascii="Arial" w:hAnsi="Arial" w:eastAsia="Arial" w:cs="Arial"/>
          <w:b w:val="1"/>
          <w:bCs w:val="1"/>
          <w:noProof w:val="0"/>
          <w:sz w:val="28"/>
          <w:szCs w:val="28"/>
          <w:lang w:val="en-GB"/>
        </w:rPr>
        <w:t>Approaches Used to Measure and Monitor Tuberculosis</w:t>
      </w:r>
    </w:p>
    <w:p w:rsidR="41EE59BE" w:rsidP="69C3DC0E" w:rsidRDefault="41EE59BE" w14:paraId="5D88D3CC" w14:textId="71552454">
      <w:pPr>
        <w:spacing w:before="240" w:beforeAutospacing="off" w:after="240" w:afterAutospacing="off"/>
        <w:jc w:val="left"/>
      </w:pPr>
      <w:r w:rsidRPr="69C3DC0E" w:rsidR="41EE59BE">
        <w:rPr>
          <w:rFonts w:ascii="Arial" w:hAnsi="Arial" w:eastAsia="Arial" w:cs="Arial"/>
          <w:noProof w:val="0"/>
          <w:sz w:val="28"/>
          <w:szCs w:val="28"/>
          <w:lang w:val="en-GB"/>
        </w:rPr>
        <w:t>Monitoring and measuring tuberculosis (TB) is essential for understanding its spread and implementing effective public health strategies. Health organisations use a range of epidemiological methods and surveillance systems to track TB cases and evaluate control measures. These approaches include incidence and prevalence rates, notification systems, laboratory surveillance and screening programmes.</w:t>
      </w:r>
    </w:p>
    <w:p w:rsidR="41EE59BE" w:rsidP="69C3DC0E" w:rsidRDefault="41EE59BE" w14:paraId="6FC64A19" w14:textId="29CEFE85">
      <w:pPr>
        <w:spacing w:before="240" w:beforeAutospacing="off" w:after="240" w:afterAutospacing="off"/>
        <w:jc w:val="left"/>
      </w:pPr>
      <w:r w:rsidRPr="69C3DC0E" w:rsidR="41EE59BE">
        <w:rPr>
          <w:rFonts w:ascii="Arial" w:hAnsi="Arial" w:eastAsia="Arial" w:cs="Arial"/>
          <w:noProof w:val="0"/>
          <w:sz w:val="28"/>
          <w:szCs w:val="28"/>
          <w:lang w:val="en-GB"/>
        </w:rPr>
        <w:t>One key method is disease incidence, which refers to the number of new cases identified within a specific population over a defined period. Incidence rates help public health authorities determine whether TB is increasing or decreasing. Globally, the World Health Organization collects data from national health authorities to estimate TB incidence each year. In the United Kingdom, the UK Health Security Agency monitors TB incidence through national surveillance systems recording reported cases from hospitals, laboratories and healthcare professionals.</w:t>
      </w:r>
    </w:p>
    <w:p w:rsidR="41EE59BE" w:rsidP="69C3DC0E" w:rsidRDefault="41EE59BE" w14:paraId="3808E231" w14:textId="7CDC0388">
      <w:pPr>
        <w:spacing w:before="240" w:beforeAutospacing="off" w:after="240" w:afterAutospacing="off"/>
        <w:jc w:val="left"/>
      </w:pPr>
      <w:r w:rsidRPr="69C3DC0E" w:rsidR="41EE59BE">
        <w:rPr>
          <w:rFonts w:ascii="Arial" w:hAnsi="Arial" w:eastAsia="Arial" w:cs="Arial"/>
          <w:noProof w:val="0"/>
          <w:sz w:val="28"/>
          <w:szCs w:val="28"/>
          <w:lang w:val="en-GB"/>
        </w:rPr>
        <w:t>Prevalence is another important measurement and refers to the total number of TB cases in a population at a specific time. High prevalence may indicate ongoing transmission, delayed diagnosis or limited access to treatment. Monitoring prevalence enables governments and healthcare organisations to plan services and allocate resources effectively.</w:t>
      </w:r>
    </w:p>
    <w:p w:rsidR="41EE59BE" w:rsidP="69C3DC0E" w:rsidRDefault="41EE59BE" w14:paraId="6120510F" w14:textId="782F0177">
      <w:pPr>
        <w:spacing w:before="240" w:beforeAutospacing="off" w:after="240" w:afterAutospacing="off"/>
        <w:jc w:val="left"/>
      </w:pPr>
      <w:r w:rsidRPr="69C3DC0E" w:rsidR="41EE59BE">
        <w:rPr>
          <w:rFonts w:ascii="Arial" w:hAnsi="Arial" w:eastAsia="Arial" w:cs="Arial"/>
          <w:noProof w:val="0"/>
          <w:sz w:val="28"/>
          <w:szCs w:val="28"/>
          <w:lang w:val="en-GB"/>
        </w:rPr>
        <w:t>Notification systems are essential for TB surveillance. In the UK, healthcare providers must report confirmed or suspected TB cases to public health authorities. This system allows officials to track transmission patterns, identify outbreaks and begin contact tracing when necessary.</w:t>
      </w:r>
    </w:p>
    <w:p w:rsidR="41EE59BE" w:rsidP="69C3DC0E" w:rsidRDefault="41EE59BE" w14:paraId="7EA298CE" w14:textId="6B0468DE">
      <w:pPr>
        <w:spacing w:before="240" w:beforeAutospacing="off" w:after="240" w:afterAutospacing="off"/>
        <w:jc w:val="left"/>
      </w:pPr>
      <w:r w:rsidRPr="69C3DC0E" w:rsidR="41EE59BE">
        <w:rPr>
          <w:rFonts w:ascii="Arial" w:hAnsi="Arial" w:eastAsia="Arial" w:cs="Arial"/>
          <w:noProof w:val="0"/>
          <w:sz w:val="28"/>
          <w:szCs w:val="28"/>
          <w:lang w:val="en-GB"/>
        </w:rPr>
        <w:t>Laboratory surveillance plays a crucial role in confirming TB infection and identifying drug resistant strains. Diagnostic methods include sputum smear microscopy, culture tests and molecular tests such as GeneXpert. Monitoring drug resistance is important because multidrug resistant TB can make treatment more complex and costly.</w:t>
      </w:r>
    </w:p>
    <w:p w:rsidR="41EE59BE" w:rsidP="69C3DC0E" w:rsidRDefault="41EE59BE" w14:paraId="036BDD62" w14:textId="6BD563D8">
      <w:pPr>
        <w:spacing w:before="240" w:beforeAutospacing="off" w:after="240" w:afterAutospacing="off"/>
        <w:jc w:val="left"/>
      </w:pPr>
      <w:r w:rsidRPr="69C3DC0E" w:rsidR="41EE59BE">
        <w:rPr>
          <w:rFonts w:ascii="Arial" w:hAnsi="Arial" w:eastAsia="Arial" w:cs="Arial"/>
          <w:noProof w:val="0"/>
          <w:sz w:val="28"/>
          <w:szCs w:val="28"/>
          <w:lang w:val="en-GB"/>
        </w:rPr>
        <w:t>Screening programmes are another key approach, particularly for high risk groups. In the UK, healthcare workers, close contacts of TB patients and people from high prevalence countries may be screened. Screening methods include chest X rays, the Mantoux skin test and interferon gamma release assays. Together, these approaches allow health organisations to monitor trends, identify at risk populations and evaluate prevention strategies effectively.</w:t>
      </w:r>
    </w:p>
    <w:p w:rsidR="69C3DC0E" w:rsidP="69C3DC0E" w:rsidRDefault="69C3DC0E" w14:paraId="657A0F51" w14:textId="5F413630">
      <w:pPr>
        <w:spacing w:before="240" w:beforeAutospacing="off" w:after="240" w:afterAutospacing="off"/>
        <w:jc w:val="left"/>
        <w:rPr>
          <w:rFonts w:ascii="Arial" w:hAnsi="Arial" w:eastAsia="Arial" w:cs="Arial"/>
          <w:noProof w:val="0"/>
          <w:sz w:val="28"/>
          <w:szCs w:val="28"/>
          <w:lang w:val="en-GB"/>
        </w:rPr>
      </w:pPr>
    </w:p>
    <w:p w:rsidR="69C3DC0E" w:rsidP="69C3DC0E" w:rsidRDefault="69C3DC0E" w14:paraId="4DFD83BE" w14:textId="7346F6FE">
      <w:pPr>
        <w:jc w:val="left"/>
      </w:pPr>
    </w:p>
    <w:p w:rsidR="69C3DC0E" w:rsidP="69C3DC0E" w:rsidRDefault="69C3DC0E" w14:paraId="438F3391" w14:textId="16B493D2">
      <w:pPr>
        <w:spacing w:before="240" w:beforeAutospacing="off" w:after="240" w:afterAutospacing="off"/>
        <w:jc w:val="left"/>
        <w:rPr>
          <w:rFonts w:ascii="Arial" w:hAnsi="Arial" w:eastAsia="Arial" w:cs="Arial"/>
          <w:b w:val="1"/>
          <w:bCs w:val="1"/>
          <w:noProof w:val="0"/>
          <w:sz w:val="28"/>
          <w:szCs w:val="28"/>
          <w:lang w:val="en-GB"/>
        </w:rPr>
      </w:pPr>
    </w:p>
    <w:p w:rsidR="630654D4" w:rsidP="69C3DC0E" w:rsidRDefault="630654D4" w14:paraId="46B42811" w14:textId="538743EF">
      <w:pPr>
        <w:spacing w:before="240" w:beforeAutospacing="off" w:after="240" w:afterAutospacing="off"/>
        <w:jc w:val="left"/>
      </w:pPr>
      <w:r w:rsidRPr="69C3DC0E" w:rsidR="630654D4">
        <w:rPr>
          <w:rFonts w:ascii="Arial" w:hAnsi="Arial" w:eastAsia="Arial" w:cs="Arial"/>
          <w:b w:val="1"/>
          <w:bCs w:val="1"/>
          <w:noProof w:val="0"/>
          <w:sz w:val="28"/>
          <w:szCs w:val="28"/>
          <w:lang w:val="en-GB"/>
        </w:rPr>
        <w:t>How Tuberculosis Is Controlled</w:t>
      </w:r>
    </w:p>
    <w:p w:rsidR="630654D4" w:rsidP="69C3DC0E" w:rsidRDefault="630654D4" w14:paraId="39BEE878" w14:textId="76C877D6">
      <w:pPr>
        <w:spacing w:before="240" w:beforeAutospacing="off" w:after="240" w:afterAutospacing="off"/>
        <w:jc w:val="left"/>
      </w:pPr>
      <w:r w:rsidRPr="69C3DC0E" w:rsidR="630654D4">
        <w:rPr>
          <w:rFonts w:ascii="Arial" w:hAnsi="Arial" w:eastAsia="Arial" w:cs="Arial"/>
          <w:noProof w:val="0"/>
          <w:sz w:val="28"/>
          <w:szCs w:val="28"/>
          <w:lang w:val="en-GB"/>
        </w:rPr>
        <w:t>Controlling tuberculosis requires a combination of medical treatment, public health interventions and preventive strategies. The main aim is to reduce transmission, treat infected individuals and prevent new cases from occurring within the population.</w:t>
      </w:r>
    </w:p>
    <w:p w:rsidR="630654D4" w:rsidP="69C3DC0E" w:rsidRDefault="630654D4" w14:paraId="4D27B1DC" w14:textId="65C6083E">
      <w:pPr>
        <w:spacing w:before="240" w:beforeAutospacing="off" w:after="240" w:afterAutospacing="off"/>
        <w:jc w:val="left"/>
      </w:pPr>
      <w:r w:rsidRPr="69C3DC0E" w:rsidR="630654D4">
        <w:rPr>
          <w:rFonts w:ascii="Arial" w:hAnsi="Arial" w:eastAsia="Arial" w:cs="Arial"/>
          <w:noProof w:val="0"/>
          <w:sz w:val="28"/>
          <w:szCs w:val="28"/>
          <w:lang w:val="en-GB"/>
        </w:rPr>
        <w:t>Early diagnosis and effective treatment are central to TB control. Individuals diagnosed with active TB are typically treated with a combination of antibiotics for at least six months, including isoniazid, rifampicin, ethambutol and pyrazinamide. Completing the full course of treatment is essential to prevent drug resistance and ensure successful recovery.</w:t>
      </w:r>
    </w:p>
    <w:p w:rsidR="630654D4" w:rsidP="69C3DC0E" w:rsidRDefault="630654D4" w14:paraId="1F015C0F" w14:textId="5E086893">
      <w:pPr>
        <w:spacing w:before="240" w:beforeAutospacing="off" w:after="240" w:afterAutospacing="off"/>
        <w:jc w:val="left"/>
      </w:pPr>
      <w:r w:rsidRPr="69C3DC0E" w:rsidR="630654D4">
        <w:rPr>
          <w:rFonts w:ascii="Arial" w:hAnsi="Arial" w:eastAsia="Arial" w:cs="Arial"/>
          <w:noProof w:val="0"/>
          <w:sz w:val="28"/>
          <w:szCs w:val="28"/>
          <w:lang w:val="en-GB"/>
        </w:rPr>
        <w:t>Directly Observed Therapy, often referred to as DOT, may be used to ensure that patients take their medication correctly. This involves healthcare professionals supervising patients as they take each dose. This method helps improve treatment adherence, increases success rates and reduces the risk of drug resistant TB developing.</w:t>
      </w:r>
    </w:p>
    <w:p w:rsidR="630654D4" w:rsidP="69C3DC0E" w:rsidRDefault="630654D4" w14:paraId="7D9D0DE4" w14:textId="372B76B8">
      <w:pPr>
        <w:spacing w:before="240" w:beforeAutospacing="off" w:after="240" w:afterAutospacing="off"/>
        <w:jc w:val="left"/>
      </w:pPr>
      <w:r w:rsidRPr="69C3DC0E" w:rsidR="630654D4">
        <w:rPr>
          <w:rFonts w:ascii="Arial" w:hAnsi="Arial" w:eastAsia="Arial" w:cs="Arial"/>
          <w:noProof w:val="0"/>
          <w:sz w:val="28"/>
          <w:szCs w:val="28"/>
          <w:lang w:val="en-GB"/>
        </w:rPr>
        <w:t>Contact tracing is another important strategy. When a person is diagnosed with TB, public health teams identify individuals who have been in close contact with them. These contacts are then tested and provided with treatment if necessary. This approach helps prevent further spread of the disease within the community.</w:t>
      </w:r>
    </w:p>
    <w:p w:rsidR="630654D4" w:rsidP="69C3DC0E" w:rsidRDefault="630654D4" w14:paraId="30193C10" w14:textId="0D11992E">
      <w:pPr>
        <w:spacing w:before="240" w:beforeAutospacing="off" w:after="240" w:afterAutospacing="off"/>
        <w:jc w:val="left"/>
      </w:pPr>
      <w:r w:rsidRPr="69C3DC0E" w:rsidR="630654D4">
        <w:rPr>
          <w:rFonts w:ascii="Arial" w:hAnsi="Arial" w:eastAsia="Arial" w:cs="Arial"/>
          <w:noProof w:val="0"/>
          <w:sz w:val="28"/>
          <w:szCs w:val="28"/>
          <w:lang w:val="en-GB"/>
        </w:rPr>
        <w:t>Vaccination also plays a key role in prevention. The Bacillus Calmette Guerin vaccine is used in many countries to protect against severe forms of TB, particularly in children. In the UK, it is recommended for individuals who are at higher risk of exposure to the disease.</w:t>
      </w:r>
    </w:p>
    <w:p w:rsidR="630654D4" w:rsidP="69C3DC0E" w:rsidRDefault="630654D4" w14:paraId="376A944E" w14:textId="0FFF6F1B">
      <w:pPr>
        <w:spacing w:before="240" w:beforeAutospacing="off" w:after="240" w:afterAutospacing="off"/>
        <w:jc w:val="left"/>
      </w:pPr>
      <w:r w:rsidRPr="69C3DC0E" w:rsidR="630654D4">
        <w:rPr>
          <w:rFonts w:ascii="Arial" w:hAnsi="Arial" w:eastAsia="Arial" w:cs="Arial"/>
          <w:noProof w:val="0"/>
          <w:sz w:val="28"/>
          <w:szCs w:val="28"/>
          <w:lang w:val="en-GB"/>
        </w:rPr>
        <w:t>Public health education and awareness campaigns are vital in controlling TB. These initiatives aim to reduce stigma, improve understanding of symptoms and encourage individuals to seek medical help early. Early diagnosis reduces transmission and improves treatment outcomes.</w:t>
      </w:r>
    </w:p>
    <w:p w:rsidR="630654D4" w:rsidP="69C3DC0E" w:rsidRDefault="630654D4" w14:paraId="3F8E29F5" w14:textId="6D590323">
      <w:pPr>
        <w:spacing w:before="240" w:beforeAutospacing="off" w:after="240" w:afterAutospacing="off"/>
        <w:jc w:val="left"/>
      </w:pPr>
      <w:r w:rsidRPr="69C3DC0E" w:rsidR="630654D4">
        <w:rPr>
          <w:rFonts w:ascii="Arial" w:hAnsi="Arial" w:eastAsia="Arial" w:cs="Arial"/>
          <w:noProof w:val="0"/>
          <w:sz w:val="28"/>
          <w:szCs w:val="28"/>
          <w:lang w:val="en-GB"/>
        </w:rPr>
        <w:t>Improving living conditions is also important in TB control. Overcrowding, poor ventilation and poverty are major risk factors for transmission. Addressing these social determinants through effective public health policies can significantly reduce the incidence of TB.</w:t>
      </w:r>
    </w:p>
    <w:p w:rsidR="69C3DC0E" w:rsidP="69C3DC0E" w:rsidRDefault="69C3DC0E" w14:paraId="48D0D3AD" w14:textId="74D781F0">
      <w:pPr>
        <w:jc w:val="left"/>
      </w:pPr>
    </w:p>
    <w:p w:rsidR="630654D4" w:rsidP="69C3DC0E" w:rsidRDefault="630654D4" w14:paraId="4CC6F79D" w14:textId="418C529B">
      <w:pPr>
        <w:spacing w:before="240" w:beforeAutospacing="off" w:after="240" w:afterAutospacing="off"/>
        <w:jc w:val="left"/>
      </w:pPr>
      <w:r w:rsidRPr="69C3DC0E" w:rsidR="630654D4">
        <w:rPr>
          <w:rFonts w:ascii="Arial" w:hAnsi="Arial" w:eastAsia="Arial" w:cs="Arial"/>
          <w:b w:val="1"/>
          <w:bCs w:val="1"/>
          <w:noProof w:val="0"/>
          <w:sz w:val="28"/>
          <w:szCs w:val="28"/>
          <w:lang w:val="en-GB"/>
        </w:rPr>
        <w:t>Consequences of Tuberculosis on People in the Community</w:t>
      </w:r>
    </w:p>
    <w:p w:rsidR="630654D4" w:rsidP="69C3DC0E" w:rsidRDefault="630654D4" w14:paraId="22A3F1DE" w14:textId="4F81AAF7">
      <w:pPr>
        <w:spacing w:before="240" w:beforeAutospacing="off" w:after="240" w:afterAutospacing="off"/>
        <w:jc w:val="left"/>
      </w:pPr>
      <w:r w:rsidRPr="69C3DC0E" w:rsidR="630654D4">
        <w:rPr>
          <w:rFonts w:ascii="Arial" w:hAnsi="Arial" w:eastAsia="Arial" w:cs="Arial"/>
          <w:noProof w:val="0"/>
          <w:sz w:val="28"/>
          <w:szCs w:val="28"/>
          <w:lang w:val="en-GB"/>
        </w:rPr>
        <w:t>Tuberculosis can have significant physical, psychological, social and economic impacts on individuals and communities. The disease affects not only physical health but also overall quality of life and the ability to participate fully in society.</w:t>
      </w:r>
    </w:p>
    <w:p w:rsidR="630654D4" w:rsidP="69C3DC0E" w:rsidRDefault="630654D4" w14:paraId="0B763903" w14:textId="73B81B26">
      <w:pPr>
        <w:spacing w:before="240" w:beforeAutospacing="off" w:after="240" w:afterAutospacing="off"/>
        <w:jc w:val="left"/>
      </w:pPr>
      <w:r w:rsidRPr="69C3DC0E" w:rsidR="630654D4">
        <w:rPr>
          <w:rFonts w:ascii="Arial" w:hAnsi="Arial" w:eastAsia="Arial" w:cs="Arial"/>
          <w:noProof w:val="0"/>
          <w:sz w:val="28"/>
          <w:szCs w:val="28"/>
          <w:lang w:val="en-GB"/>
        </w:rPr>
        <w:t>Physical effects are among the most noticeable consequences. Symptoms include a persistent cough, fever, fatigue, weight loss and chest pain. If left untreated, TB can cause serious damage to the lungs and other organs and may result in long term disability or death.</w:t>
      </w:r>
    </w:p>
    <w:p w:rsidR="630654D4" w:rsidP="69C3DC0E" w:rsidRDefault="630654D4" w14:paraId="56516730" w14:textId="52C19745">
      <w:pPr>
        <w:spacing w:before="240" w:beforeAutospacing="off" w:after="240" w:afterAutospacing="off"/>
        <w:jc w:val="left"/>
      </w:pPr>
      <w:r w:rsidRPr="69C3DC0E" w:rsidR="630654D4">
        <w:rPr>
          <w:rFonts w:ascii="Arial" w:hAnsi="Arial" w:eastAsia="Arial" w:cs="Arial"/>
          <w:noProof w:val="0"/>
          <w:sz w:val="28"/>
          <w:szCs w:val="28"/>
          <w:lang w:val="en-GB"/>
        </w:rPr>
        <w:t>Psychological impacts are also common. The long duration of treatment and fear of spreading the infection can lead to anxiety, stress and depression. Stigma associated with TB can further affect mental health, as individuals may experience discrimination or social isolation within their communities.</w:t>
      </w:r>
    </w:p>
    <w:p w:rsidR="630654D4" w:rsidP="69C3DC0E" w:rsidRDefault="630654D4" w14:paraId="289ED8D6" w14:textId="6C6AC854">
      <w:pPr>
        <w:spacing w:before="240" w:beforeAutospacing="off" w:after="240" w:afterAutospacing="off"/>
        <w:jc w:val="left"/>
      </w:pPr>
      <w:r w:rsidRPr="69C3DC0E" w:rsidR="630654D4">
        <w:rPr>
          <w:rFonts w:ascii="Arial" w:hAnsi="Arial" w:eastAsia="Arial" w:cs="Arial"/>
          <w:noProof w:val="0"/>
          <w:sz w:val="28"/>
          <w:szCs w:val="28"/>
          <w:lang w:val="en-GB"/>
        </w:rPr>
        <w:t>Social consequences can be substantial. Individuals with TB may need to take time away from work or education, affecting their financial stability and future opportunities. Long treatment periods can disrupt daily routines and family responsibilities. Some people may avoid social interactions due to fear of transmitting the disease to others.</w:t>
      </w:r>
    </w:p>
    <w:p w:rsidR="630654D4" w:rsidP="69C3DC0E" w:rsidRDefault="630654D4" w14:paraId="701786C2" w14:textId="02822C0E">
      <w:pPr>
        <w:spacing w:before="240" w:beforeAutospacing="off" w:after="240" w:afterAutospacing="off"/>
        <w:jc w:val="left"/>
      </w:pPr>
      <w:r w:rsidRPr="69C3DC0E" w:rsidR="630654D4">
        <w:rPr>
          <w:rFonts w:ascii="Arial" w:hAnsi="Arial" w:eastAsia="Arial" w:cs="Arial"/>
          <w:noProof w:val="0"/>
          <w:sz w:val="28"/>
          <w:szCs w:val="28"/>
          <w:lang w:val="en-GB"/>
        </w:rPr>
        <w:t>Economic effects are significant for both individuals and healthcare systems. TB treatment often requires long term medication, regular monitoring and sometimes hospitalisation, which increases healthcare costs. Individuals may experience loss of income during treatment, leading to financial hardship, especially in low income households.</w:t>
      </w:r>
    </w:p>
    <w:p w:rsidR="630654D4" w:rsidP="69C3DC0E" w:rsidRDefault="630654D4" w14:paraId="6295345F" w14:textId="2B605D15">
      <w:pPr>
        <w:spacing w:before="240" w:beforeAutospacing="off" w:after="240" w:afterAutospacing="off"/>
        <w:jc w:val="left"/>
      </w:pPr>
      <w:r w:rsidRPr="69C3DC0E" w:rsidR="630654D4">
        <w:rPr>
          <w:rFonts w:ascii="Arial" w:hAnsi="Arial" w:eastAsia="Arial" w:cs="Arial"/>
          <w:noProof w:val="0"/>
          <w:sz w:val="28"/>
          <w:szCs w:val="28"/>
          <w:lang w:val="en-GB"/>
        </w:rPr>
        <w:t>At a community level, TB contributes to health inequalities. The disease is more common in disadvantaged populations, including those living in poverty or overcrowded housing. Addressing TB therefore requires not only medical treatment but also broader social support to reduce inequalities and improve living conditions.</w:t>
      </w:r>
    </w:p>
    <w:p w:rsidR="69C3DC0E" w:rsidP="69C3DC0E" w:rsidRDefault="69C3DC0E" w14:paraId="0FCDFEB0" w14:textId="38821798">
      <w:pPr>
        <w:jc w:val="left"/>
      </w:pPr>
    </w:p>
    <w:p w:rsidR="630654D4" w:rsidP="69C3DC0E" w:rsidRDefault="630654D4" w14:paraId="77523DB7" w14:textId="1329FCD5">
      <w:pPr>
        <w:spacing w:before="240" w:beforeAutospacing="off" w:after="240" w:afterAutospacing="off"/>
        <w:jc w:val="left"/>
      </w:pPr>
      <w:r w:rsidRPr="69C3DC0E" w:rsidR="630654D4">
        <w:rPr>
          <w:rFonts w:ascii="Arial" w:hAnsi="Arial" w:eastAsia="Arial" w:cs="Arial"/>
          <w:b w:val="1"/>
          <w:bCs w:val="1"/>
          <w:noProof w:val="0"/>
          <w:sz w:val="28"/>
          <w:szCs w:val="28"/>
          <w:lang w:val="en-GB"/>
        </w:rPr>
        <w:t>Health and Social Care Support Services for Individuals with Tuberculosis</w:t>
      </w:r>
    </w:p>
    <w:p w:rsidR="630654D4" w:rsidP="69C3DC0E" w:rsidRDefault="630654D4" w14:paraId="19028081" w14:textId="1462B1E5">
      <w:pPr>
        <w:spacing w:before="240" w:beforeAutospacing="off" w:after="240" w:afterAutospacing="off"/>
        <w:jc w:val="left"/>
      </w:pPr>
      <w:r w:rsidRPr="69C3DC0E" w:rsidR="630654D4">
        <w:rPr>
          <w:rFonts w:ascii="Arial" w:hAnsi="Arial" w:eastAsia="Arial" w:cs="Arial"/>
          <w:noProof w:val="0"/>
          <w:sz w:val="28"/>
          <w:szCs w:val="28"/>
          <w:lang w:val="en-GB"/>
        </w:rPr>
        <w:t>Individuals affected by tuberculosis require a wide range of health and social care services to support their treatment, recovery and overall wellbeing. These services ensure that patients receive appropriate medical care while also addressing social and psychological challenges.</w:t>
      </w:r>
    </w:p>
    <w:p w:rsidR="630654D4" w:rsidP="69C3DC0E" w:rsidRDefault="630654D4" w14:paraId="792FF62F" w14:textId="3F1CE5D2">
      <w:pPr>
        <w:spacing w:before="240" w:beforeAutospacing="off" w:after="240" w:afterAutospacing="off"/>
        <w:jc w:val="left"/>
      </w:pPr>
      <w:r w:rsidRPr="69C3DC0E" w:rsidR="630654D4">
        <w:rPr>
          <w:rFonts w:ascii="Arial" w:hAnsi="Arial" w:eastAsia="Arial" w:cs="Arial"/>
          <w:noProof w:val="0"/>
          <w:sz w:val="28"/>
          <w:szCs w:val="28"/>
          <w:lang w:val="en-GB"/>
        </w:rPr>
        <w:t>Primary healthcare services are usually the first point of contact. General practitioners assess symptoms and refer patients for further diagnostic testing and specialist care if TB is suspected.</w:t>
      </w:r>
    </w:p>
    <w:p w:rsidR="630654D4" w:rsidP="69C3DC0E" w:rsidRDefault="630654D4" w14:paraId="0161048D" w14:textId="35785462">
      <w:pPr>
        <w:spacing w:before="240" w:beforeAutospacing="off" w:after="240" w:afterAutospacing="off"/>
        <w:jc w:val="left"/>
      </w:pPr>
      <w:r w:rsidRPr="69C3DC0E" w:rsidR="630654D4">
        <w:rPr>
          <w:rFonts w:ascii="Arial" w:hAnsi="Arial" w:eastAsia="Arial" w:cs="Arial"/>
          <w:noProof w:val="0"/>
          <w:sz w:val="28"/>
          <w:szCs w:val="28"/>
          <w:lang w:val="en-GB"/>
        </w:rPr>
        <w:t>Specialist TB clinics and hospital services are responsible for diagnosis, treatment and ongoing monitoring. These services include laboratory testing, chest X rays and consultations with respiratory specialists. TB nurses play an important role by supporting patients, monitoring treatment adherence and providing education about the disease.</w:t>
      </w:r>
    </w:p>
    <w:p w:rsidR="630654D4" w:rsidP="69C3DC0E" w:rsidRDefault="630654D4" w14:paraId="4B259A87" w14:textId="19287FA6">
      <w:pPr>
        <w:spacing w:before="240" w:beforeAutospacing="off" w:after="240" w:afterAutospacing="off"/>
        <w:jc w:val="left"/>
      </w:pPr>
      <w:r w:rsidRPr="69C3DC0E" w:rsidR="630654D4">
        <w:rPr>
          <w:rFonts w:ascii="Arial" w:hAnsi="Arial" w:eastAsia="Arial" w:cs="Arial"/>
          <w:noProof w:val="0"/>
          <w:sz w:val="28"/>
          <w:szCs w:val="28"/>
          <w:lang w:val="en-GB"/>
        </w:rPr>
        <w:t>Community health services also provide essential support. Community TB nurses may visit patients at home to monitor their condition and ensure that they complete their treatment. They also offer advice on preventing the spread of infection to others.</w:t>
      </w:r>
    </w:p>
    <w:p w:rsidR="630654D4" w:rsidP="69C3DC0E" w:rsidRDefault="630654D4" w14:paraId="7020BDC0" w14:textId="09C9C24D">
      <w:pPr>
        <w:spacing w:before="240" w:beforeAutospacing="off" w:after="240" w:afterAutospacing="off"/>
        <w:jc w:val="left"/>
      </w:pPr>
      <w:r w:rsidRPr="69C3DC0E" w:rsidR="630654D4">
        <w:rPr>
          <w:rFonts w:ascii="Arial" w:hAnsi="Arial" w:eastAsia="Arial" w:cs="Arial"/>
          <w:noProof w:val="0"/>
          <w:sz w:val="28"/>
          <w:szCs w:val="28"/>
          <w:lang w:val="en-GB"/>
        </w:rPr>
        <w:t>Public health services manage screening and contact tracing programmes. These services identify individuals who may have been exposed to TB and provide testing and preventive treatment where necessary. They also monitor TB trends at the population level to inform public health strategies.</w:t>
      </w:r>
    </w:p>
    <w:p w:rsidR="630654D4" w:rsidP="69C3DC0E" w:rsidRDefault="630654D4" w14:paraId="65DA8075" w14:textId="74D2F034">
      <w:pPr>
        <w:spacing w:before="240" w:beforeAutospacing="off" w:after="240" w:afterAutospacing="off"/>
        <w:jc w:val="left"/>
      </w:pPr>
      <w:r w:rsidRPr="69C3DC0E" w:rsidR="630654D4">
        <w:rPr>
          <w:rFonts w:ascii="Arial" w:hAnsi="Arial" w:eastAsia="Arial" w:cs="Arial"/>
          <w:noProof w:val="0"/>
          <w:sz w:val="28"/>
          <w:szCs w:val="28"/>
          <w:lang w:val="en-GB"/>
        </w:rPr>
        <w:t>Social support services are often required. Some individuals may need assistance with housing, financial support or access to welfare benefits during treatment. Social workers and community organisations help patients navigate these services and manage challenges such as unemployment or unstable housing.</w:t>
      </w:r>
    </w:p>
    <w:p w:rsidR="630654D4" w:rsidP="69C3DC0E" w:rsidRDefault="630654D4" w14:paraId="5C03E226" w14:textId="42DCA518">
      <w:pPr>
        <w:spacing w:before="240" w:beforeAutospacing="off" w:after="240" w:afterAutospacing="off"/>
        <w:jc w:val="left"/>
      </w:pPr>
      <w:r w:rsidRPr="69C3DC0E" w:rsidR="630654D4">
        <w:rPr>
          <w:rFonts w:ascii="Arial" w:hAnsi="Arial" w:eastAsia="Arial" w:cs="Arial"/>
          <w:noProof w:val="0"/>
          <w:sz w:val="28"/>
          <w:szCs w:val="28"/>
          <w:lang w:val="en-GB"/>
        </w:rPr>
        <w:t>Mental health support may also be necessary. The stigma associated with TB and the long treatment process can cause emotional distress. Counselling and psychological services can help individuals cope with these challenges and improve their overall wellbeing.</w:t>
      </w:r>
    </w:p>
    <w:p w:rsidR="630654D4" w:rsidP="69C3DC0E" w:rsidRDefault="630654D4" w14:paraId="39F6159B" w14:textId="593C2744">
      <w:pPr>
        <w:spacing w:before="240" w:beforeAutospacing="off" w:after="240" w:afterAutospacing="off"/>
        <w:jc w:val="left"/>
      </w:pPr>
      <w:r w:rsidRPr="69C3DC0E" w:rsidR="630654D4">
        <w:rPr>
          <w:rFonts w:ascii="Arial" w:hAnsi="Arial" w:eastAsia="Arial" w:cs="Arial"/>
          <w:noProof w:val="0"/>
          <w:sz w:val="28"/>
          <w:szCs w:val="28"/>
          <w:lang w:val="en-GB"/>
        </w:rPr>
        <w:t>Overall, a coordinated multidisciplinary approach involving healthcare professionals, public health authorities and social care providers is essential for effectively supporting individuals with TB and improving health outcomes within the community.</w:t>
      </w:r>
    </w:p>
    <w:p w:rsidR="69C3DC0E" w:rsidP="69C3DC0E" w:rsidRDefault="69C3DC0E" w14:paraId="5A023B60" w14:textId="48A04305">
      <w:pPr>
        <w:spacing w:before="240" w:beforeAutospacing="off" w:after="240" w:afterAutospacing="off"/>
        <w:jc w:val="left"/>
        <w:rPr>
          <w:rFonts w:ascii="Arial" w:hAnsi="Arial" w:eastAsia="Arial" w:cs="Arial"/>
          <w:noProof w:val="0"/>
          <w:sz w:val="28"/>
          <w:szCs w:val="28"/>
          <w:lang w:val="en-GB"/>
        </w:rPr>
      </w:pPr>
    </w:p>
    <w:p w:rsidR="2AE3C315" w:rsidP="17446C58" w:rsidRDefault="2AE3C315" w14:paraId="65E0688B" w14:textId="5CC35CC9">
      <w:pPr>
        <w:pStyle w:val="Normal"/>
        <w:spacing w:before="240" w:beforeAutospacing="off" w:after="240" w:afterAutospacing="off"/>
        <w:jc w:val="left"/>
      </w:pPr>
      <w:r w:rsidRPr="69C3DC0E" w:rsidR="2AE3C315">
        <w:rPr>
          <w:rFonts w:ascii="Arial" w:hAnsi="Arial" w:eastAsia="Arial" w:cs="Arial"/>
          <w:b w:val="1"/>
          <w:bCs w:val="1"/>
          <w:noProof w:val="0"/>
          <w:sz w:val="28"/>
          <w:szCs w:val="28"/>
          <w:lang w:val="en-GB"/>
        </w:rPr>
        <w:t>Conclusion</w:t>
      </w:r>
    </w:p>
    <w:p w:rsidR="5F803D39" w:rsidP="69C3DC0E" w:rsidRDefault="5F803D39" w14:paraId="16AE6664" w14:textId="49CB86C0">
      <w:pPr>
        <w:spacing w:before="240" w:beforeAutospacing="off" w:after="240" w:afterAutospacing="off"/>
        <w:jc w:val="left"/>
      </w:pPr>
      <w:r w:rsidRPr="69C3DC0E" w:rsidR="5F803D39">
        <w:rPr>
          <w:rFonts w:ascii="Arial" w:hAnsi="Arial" w:eastAsia="Arial" w:cs="Arial"/>
          <w:noProof w:val="0"/>
          <w:sz w:val="28"/>
          <w:szCs w:val="28"/>
          <w:lang w:val="en-GB"/>
        </w:rPr>
        <w:t>In conclusion, tuberculosis remains a major global and public health challenge despite advances in diagnosis, treatment, and prevention. Effective monitoring through screening programs, incidence reporting, and surveillance systems allows health authorities to identify high-risk populations, track transmission patterns, and respond promptly to outbreaks. Critical control measures include early diagnosis, antibiotic treatment, vaccination, and thorough contact tracing, all of which help reduce transmission and improve patient outcomes. However, tuberculosis can significantly affect individuals’ physical, mental, social, and financial well-being. Prolonged treatment regimens, social stigma, and potential income loss may diminish quality of life and overall health. To address these challenges, comprehensive health and social care support services are essential. Coordinated collaboration among healthcare professionals, public health organisations, and community services is vital to ensure effective disease management, support treatment adherence, and ultimately reduce the burden of tuberculosis on individuals and society as a whole.</w:t>
      </w:r>
    </w:p>
    <w:p w:rsidR="69C3DC0E" w:rsidP="69C3DC0E" w:rsidRDefault="69C3DC0E" w14:paraId="4A4D409C" w14:textId="44AB9F89">
      <w:pPr>
        <w:pStyle w:val="Normal"/>
        <w:spacing w:before="240" w:beforeAutospacing="off" w:after="240" w:afterAutospacing="off"/>
        <w:jc w:val="left"/>
        <w:rPr>
          <w:rFonts w:ascii="Arial" w:hAnsi="Arial" w:eastAsia="Arial" w:cs="Arial"/>
          <w:noProof w:val="0"/>
          <w:sz w:val="28"/>
          <w:szCs w:val="28"/>
          <w:lang w:val="en-GB"/>
        </w:rPr>
      </w:pPr>
    </w:p>
    <w:p w:rsidR="17446C58" w:rsidP="17446C58" w:rsidRDefault="17446C58" w14:paraId="6788D502" w14:textId="220CBF70">
      <w:pPr>
        <w:pStyle w:val="Normal"/>
        <w:jc w:val="left"/>
        <w:rPr>
          <w:rFonts w:ascii="Arial" w:hAnsi="Arial" w:eastAsia="Arial" w:cs="Arial"/>
          <w:noProof w:val="0"/>
          <w:sz w:val="28"/>
          <w:szCs w:val="28"/>
          <w:lang w:val="en-GB"/>
        </w:rPr>
      </w:pPr>
    </w:p>
    <w:p w:rsidR="17446C58" w:rsidP="17446C58" w:rsidRDefault="17446C58" w14:paraId="4BFAC083" w14:textId="2765A2E2">
      <w:pPr>
        <w:pStyle w:val="Normal"/>
        <w:jc w:val="left"/>
        <w:rPr>
          <w:rFonts w:ascii="Arial" w:hAnsi="Arial" w:eastAsia="Arial" w:cs="Arial"/>
          <w:noProof w:val="0"/>
          <w:sz w:val="28"/>
          <w:szCs w:val="28"/>
          <w:lang w:val="en-GB"/>
        </w:rPr>
      </w:pPr>
    </w:p>
    <w:p w:rsidR="69C3DC0E" w:rsidP="69C3DC0E" w:rsidRDefault="69C3DC0E" w14:paraId="1D8B0F14" w14:textId="1B6E4805">
      <w:pPr>
        <w:pStyle w:val="Normal"/>
        <w:jc w:val="left"/>
        <w:rPr>
          <w:rFonts w:ascii="Arial" w:hAnsi="Arial" w:eastAsia="Arial" w:cs="Arial"/>
          <w:noProof w:val="0"/>
          <w:sz w:val="28"/>
          <w:szCs w:val="28"/>
          <w:lang w:val="en-GB"/>
        </w:rPr>
      </w:pPr>
    </w:p>
    <w:p w:rsidR="75BEB9BB" w:rsidP="17446C58" w:rsidRDefault="75BEB9BB" w14:paraId="59B19E96" w14:textId="1DD216CB">
      <w:pPr>
        <w:pStyle w:val="Normal"/>
        <w:jc w:val="left"/>
        <w:rPr>
          <w:rFonts w:ascii="Arial" w:hAnsi="Arial" w:eastAsia="Arial" w:cs="Arial"/>
          <w:noProof w:val="0"/>
          <w:sz w:val="28"/>
          <w:szCs w:val="28"/>
          <w:lang w:val="en-GB"/>
        </w:rPr>
      </w:pPr>
      <w:r w:rsidRPr="69C3DC0E" w:rsidR="75BEB9BB">
        <w:rPr>
          <w:rFonts w:ascii="Arial" w:hAnsi="Arial" w:eastAsia="Arial" w:cs="Arial"/>
          <w:noProof w:val="0"/>
          <w:sz w:val="28"/>
          <w:szCs w:val="28"/>
          <w:lang w:val="en-GB"/>
        </w:rPr>
        <w:t>References</w:t>
      </w:r>
    </w:p>
    <w:p w:rsidR="17446C58" w:rsidP="17446C58" w:rsidRDefault="17446C58" w14:paraId="0FEE8F21" w14:textId="1CC0B2E4">
      <w:pPr>
        <w:pStyle w:val="Normal"/>
        <w:jc w:val="left"/>
        <w:rPr>
          <w:rFonts w:ascii="Arial" w:hAnsi="Arial" w:eastAsia="Arial" w:cs="Arial"/>
          <w:noProof w:val="0"/>
          <w:sz w:val="28"/>
          <w:szCs w:val="28"/>
          <w:lang w:val="en-GB"/>
        </w:rPr>
      </w:pPr>
    </w:p>
    <w:p w:rsidR="75BEB9BB" w:rsidP="17446C58" w:rsidRDefault="75BEB9BB" w14:paraId="6C7E6BCA" w14:textId="3210DB11">
      <w:pPr>
        <w:spacing w:before="240" w:beforeAutospacing="off" w:after="240" w:afterAutospacing="off"/>
        <w:jc w:val="left"/>
      </w:pPr>
      <w:r w:rsidRPr="17446C58" w:rsidR="75BEB9BB">
        <w:rPr>
          <w:rFonts w:ascii="Arial" w:hAnsi="Arial" w:eastAsia="Arial" w:cs="Arial"/>
          <w:noProof w:val="0"/>
          <w:sz w:val="28"/>
          <w:szCs w:val="28"/>
          <w:lang w:val="en-GB"/>
        </w:rPr>
        <w:t xml:space="preserve">NHS (2024) </w:t>
      </w:r>
      <w:r w:rsidRPr="17446C58" w:rsidR="75BEB9BB">
        <w:rPr>
          <w:rFonts w:ascii="Arial" w:hAnsi="Arial" w:eastAsia="Arial" w:cs="Arial"/>
          <w:i w:val="1"/>
          <w:iCs w:val="1"/>
          <w:noProof w:val="0"/>
          <w:sz w:val="28"/>
          <w:szCs w:val="28"/>
          <w:lang w:val="en-GB"/>
        </w:rPr>
        <w:t>Tuberculosis (TB)</w:t>
      </w:r>
      <w:r w:rsidRPr="17446C58" w:rsidR="75BEB9BB">
        <w:rPr>
          <w:rFonts w:ascii="Arial" w:hAnsi="Arial" w:eastAsia="Arial" w:cs="Arial"/>
          <w:noProof w:val="0"/>
          <w:sz w:val="28"/>
          <w:szCs w:val="28"/>
          <w:lang w:val="en-GB"/>
        </w:rPr>
        <w:t xml:space="preserve">. Available at: </w:t>
      </w:r>
      <w:hyperlink r:id="Ra97c9528e90640ce">
        <w:r w:rsidRPr="17446C58" w:rsidR="75BEB9BB">
          <w:rPr>
            <w:rStyle w:val="Hyperlink"/>
            <w:rFonts w:ascii="Arial" w:hAnsi="Arial" w:eastAsia="Arial" w:cs="Arial"/>
            <w:noProof w:val="0"/>
            <w:sz w:val="28"/>
            <w:szCs w:val="28"/>
            <w:lang w:val="en-GB"/>
          </w:rPr>
          <w:t>https://www.nhs.uk/conditions/tuberculosis-tb/</w:t>
        </w:r>
      </w:hyperlink>
      <w:r w:rsidRPr="17446C58" w:rsidR="75BEB9BB">
        <w:rPr>
          <w:rFonts w:ascii="Arial" w:hAnsi="Arial" w:eastAsia="Arial" w:cs="Arial"/>
          <w:noProof w:val="0"/>
          <w:sz w:val="28"/>
          <w:szCs w:val="28"/>
          <w:lang w:val="en-GB"/>
        </w:rPr>
        <w:t xml:space="preserve"> (Accessed: 11 March 2026).</w:t>
      </w:r>
    </w:p>
    <w:p w:rsidR="75BEB9BB" w:rsidP="17446C58" w:rsidRDefault="75BEB9BB" w14:paraId="45680B1E" w14:textId="54B0ACD7">
      <w:pPr>
        <w:spacing w:before="240" w:beforeAutospacing="off" w:after="240" w:afterAutospacing="off"/>
        <w:jc w:val="left"/>
      </w:pPr>
      <w:r w:rsidRPr="17446C58" w:rsidR="75BEB9BB">
        <w:rPr>
          <w:rFonts w:ascii="Arial" w:hAnsi="Arial" w:eastAsia="Arial" w:cs="Arial"/>
          <w:noProof w:val="0"/>
          <w:sz w:val="28"/>
          <w:szCs w:val="28"/>
          <w:lang w:val="en-GB"/>
        </w:rPr>
        <w:t xml:space="preserve">UK Health Security Agency (UKHSA) (2024) </w:t>
      </w:r>
      <w:r w:rsidRPr="17446C58" w:rsidR="75BEB9BB">
        <w:rPr>
          <w:rFonts w:ascii="Arial" w:hAnsi="Arial" w:eastAsia="Arial" w:cs="Arial"/>
          <w:i w:val="1"/>
          <w:iCs w:val="1"/>
          <w:noProof w:val="0"/>
          <w:sz w:val="28"/>
          <w:szCs w:val="28"/>
          <w:lang w:val="en-GB"/>
        </w:rPr>
        <w:t>Tuberculosis in England: 2024 report</w:t>
      </w:r>
      <w:r w:rsidRPr="17446C58" w:rsidR="75BEB9BB">
        <w:rPr>
          <w:rFonts w:ascii="Arial" w:hAnsi="Arial" w:eastAsia="Arial" w:cs="Arial"/>
          <w:noProof w:val="0"/>
          <w:sz w:val="28"/>
          <w:szCs w:val="28"/>
          <w:lang w:val="en-GB"/>
        </w:rPr>
        <w:t xml:space="preserve">. Available at: </w:t>
      </w:r>
      <w:hyperlink r:id="R22246bcc38814f65">
        <w:r w:rsidRPr="17446C58" w:rsidR="75BEB9BB">
          <w:rPr>
            <w:rStyle w:val="Hyperlink"/>
            <w:rFonts w:ascii="Arial" w:hAnsi="Arial" w:eastAsia="Arial" w:cs="Arial"/>
            <w:noProof w:val="0"/>
            <w:sz w:val="28"/>
            <w:szCs w:val="28"/>
            <w:lang w:val="en-GB"/>
          </w:rPr>
          <w:t>https://www.gov.uk/government/publications/tuberculosis-in-england-2024-report</w:t>
        </w:r>
      </w:hyperlink>
      <w:r w:rsidRPr="17446C58" w:rsidR="75BEB9BB">
        <w:rPr>
          <w:rFonts w:ascii="Arial" w:hAnsi="Arial" w:eastAsia="Arial" w:cs="Arial"/>
          <w:noProof w:val="0"/>
          <w:sz w:val="28"/>
          <w:szCs w:val="28"/>
          <w:lang w:val="en-GB"/>
        </w:rPr>
        <w:t xml:space="preserve"> (Accessed: 11 March 2026).</w:t>
      </w:r>
    </w:p>
    <w:p w:rsidR="75BEB9BB" w:rsidP="17446C58" w:rsidRDefault="75BEB9BB" w14:paraId="325A2DE4" w14:textId="025A2BC3">
      <w:pPr>
        <w:spacing w:before="240" w:beforeAutospacing="off" w:after="240" w:afterAutospacing="off"/>
        <w:jc w:val="left"/>
      </w:pPr>
      <w:r w:rsidRPr="17446C58" w:rsidR="75BEB9BB">
        <w:rPr>
          <w:rFonts w:ascii="Arial" w:hAnsi="Arial" w:eastAsia="Arial" w:cs="Arial"/>
          <w:noProof w:val="0"/>
          <w:sz w:val="28"/>
          <w:szCs w:val="28"/>
          <w:lang w:val="en-GB"/>
        </w:rPr>
        <w:t xml:space="preserve">World Health Organization (WHO) (2025) </w:t>
      </w:r>
      <w:r w:rsidRPr="17446C58" w:rsidR="75BEB9BB">
        <w:rPr>
          <w:rFonts w:ascii="Arial" w:hAnsi="Arial" w:eastAsia="Arial" w:cs="Arial"/>
          <w:i w:val="1"/>
          <w:iCs w:val="1"/>
          <w:noProof w:val="0"/>
          <w:sz w:val="28"/>
          <w:szCs w:val="28"/>
          <w:lang w:val="en-GB"/>
        </w:rPr>
        <w:t>Tuberculosis</w:t>
      </w:r>
      <w:r w:rsidRPr="17446C58" w:rsidR="75BEB9BB">
        <w:rPr>
          <w:rFonts w:ascii="Arial" w:hAnsi="Arial" w:eastAsia="Arial" w:cs="Arial"/>
          <w:noProof w:val="0"/>
          <w:sz w:val="28"/>
          <w:szCs w:val="28"/>
          <w:lang w:val="en-GB"/>
        </w:rPr>
        <w:t xml:space="preserve">. Available at: </w:t>
      </w:r>
      <w:hyperlink r:id="Rebf5447367fd47f1">
        <w:r w:rsidRPr="17446C58" w:rsidR="75BEB9BB">
          <w:rPr>
            <w:rStyle w:val="Hyperlink"/>
            <w:rFonts w:ascii="Arial" w:hAnsi="Arial" w:eastAsia="Arial" w:cs="Arial"/>
            <w:noProof w:val="0"/>
            <w:sz w:val="28"/>
            <w:szCs w:val="28"/>
            <w:lang w:val="en-GB"/>
          </w:rPr>
          <w:t>https://www.who.int/news-room/fact-sheets/detail/tuberculosis</w:t>
        </w:r>
      </w:hyperlink>
      <w:r w:rsidRPr="17446C58" w:rsidR="75BEB9BB">
        <w:rPr>
          <w:rFonts w:ascii="Arial" w:hAnsi="Arial" w:eastAsia="Arial" w:cs="Arial"/>
          <w:noProof w:val="0"/>
          <w:sz w:val="28"/>
          <w:szCs w:val="28"/>
          <w:lang w:val="en-GB"/>
        </w:rPr>
        <w:t xml:space="preserve"> (Accessed: 11 March 2026).</w:t>
      </w:r>
    </w:p>
    <w:p w:rsidR="17446C58" w:rsidP="17446C58" w:rsidRDefault="17446C58" w14:paraId="101962FD" w14:textId="4F04C811">
      <w:pPr>
        <w:pStyle w:val="Normal"/>
        <w:jc w:val="left"/>
        <w:rPr>
          <w:rFonts w:ascii="Arial" w:hAnsi="Arial" w:eastAsia="Arial" w:cs="Arial"/>
          <w:noProof w:val="0"/>
          <w:sz w:val="28"/>
          <w:szCs w:val="28"/>
          <w:lang w:val="en-GB"/>
        </w:rPr>
      </w:pPr>
    </w:p>
    <w:p w:rsidR="7E44439F" w:rsidP="17446C58" w:rsidRDefault="7E44439F" w14:paraId="094D3F8C" w14:textId="730D213A">
      <w:pPr>
        <w:pStyle w:val="Normal"/>
        <w:jc w:val="left"/>
        <w:rPr>
          <w:rFonts w:ascii="Arial" w:hAnsi="Arial" w:eastAsia="Arial" w:cs="Arial"/>
          <w:noProof w:val="0"/>
          <w:sz w:val="28"/>
          <w:szCs w:val="28"/>
          <w:lang w:val="en-GB"/>
        </w:rPr>
      </w:pPr>
      <w:r w:rsidRPr="17446C58" w:rsidR="7E44439F">
        <w:rPr>
          <w:rFonts w:ascii="Arial" w:hAnsi="Arial" w:eastAsia="Arial" w:cs="Arial"/>
          <w:noProof w:val="0"/>
          <w:sz w:val="28"/>
          <w:szCs w:val="28"/>
          <w:lang w:val="en-GB"/>
        </w:rPr>
        <w:t xml:space="preserve">Marmot, M., Allen, J., Boyce, T., Goldblatt, P. and Morrison, J. (2020) </w:t>
      </w:r>
      <w:r w:rsidRPr="17446C58" w:rsidR="7E44439F">
        <w:rPr>
          <w:rFonts w:ascii="Arial" w:hAnsi="Arial" w:eastAsia="Arial" w:cs="Arial"/>
          <w:i w:val="1"/>
          <w:iCs w:val="1"/>
          <w:noProof w:val="0"/>
          <w:sz w:val="28"/>
          <w:szCs w:val="28"/>
          <w:lang w:val="en-GB"/>
        </w:rPr>
        <w:t>Health equity in England: The Marmot review 10 years on</w:t>
      </w:r>
      <w:r w:rsidRPr="17446C58" w:rsidR="7E44439F">
        <w:rPr>
          <w:rFonts w:ascii="Arial" w:hAnsi="Arial" w:eastAsia="Arial" w:cs="Arial"/>
          <w:noProof w:val="0"/>
          <w:sz w:val="28"/>
          <w:szCs w:val="28"/>
          <w:lang w:val="en-GB"/>
        </w:rPr>
        <w:t>. London: Institute of Health Equity.</w:t>
      </w:r>
    </w:p>
    <w:p w:rsidR="7E44439F" w:rsidP="17446C58" w:rsidRDefault="7E44439F" w14:paraId="6D93ABFF" w14:textId="5EEC18C4">
      <w:pPr>
        <w:spacing w:before="240" w:beforeAutospacing="off" w:after="240" w:afterAutospacing="off"/>
        <w:jc w:val="left"/>
      </w:pPr>
      <w:r w:rsidRPr="17446C58" w:rsidR="7E44439F">
        <w:rPr>
          <w:rFonts w:ascii="Arial" w:hAnsi="Arial" w:eastAsia="Arial" w:cs="Arial"/>
          <w:noProof w:val="0"/>
          <w:sz w:val="28"/>
          <w:szCs w:val="28"/>
          <w:lang w:val="en-GB"/>
        </w:rPr>
        <w:t xml:space="preserve">NHS (2024) </w:t>
      </w:r>
      <w:r w:rsidRPr="17446C58" w:rsidR="7E44439F">
        <w:rPr>
          <w:rFonts w:ascii="Arial" w:hAnsi="Arial" w:eastAsia="Arial" w:cs="Arial"/>
          <w:i w:val="1"/>
          <w:iCs w:val="1"/>
          <w:noProof w:val="0"/>
          <w:sz w:val="28"/>
          <w:szCs w:val="28"/>
          <w:lang w:val="en-GB"/>
        </w:rPr>
        <w:t>Tuberculosis (TB)</w:t>
      </w:r>
      <w:r w:rsidRPr="17446C58" w:rsidR="7E44439F">
        <w:rPr>
          <w:rFonts w:ascii="Arial" w:hAnsi="Arial" w:eastAsia="Arial" w:cs="Arial"/>
          <w:noProof w:val="0"/>
          <w:sz w:val="28"/>
          <w:szCs w:val="28"/>
          <w:lang w:val="en-GB"/>
        </w:rPr>
        <w:t xml:space="preserve">. Available at: </w:t>
      </w:r>
      <w:hyperlink r:id="R8a61460910c442f8">
        <w:r w:rsidRPr="17446C58" w:rsidR="7E44439F">
          <w:rPr>
            <w:rStyle w:val="Hyperlink"/>
            <w:rFonts w:ascii="Arial" w:hAnsi="Arial" w:eastAsia="Arial" w:cs="Arial"/>
            <w:noProof w:val="0"/>
            <w:sz w:val="28"/>
            <w:szCs w:val="28"/>
            <w:lang w:val="en-GB"/>
          </w:rPr>
          <w:t>https://www.nhs.uk/conditions/tuberculosis-tb/</w:t>
        </w:r>
      </w:hyperlink>
      <w:r w:rsidRPr="17446C58" w:rsidR="7E44439F">
        <w:rPr>
          <w:rFonts w:ascii="Arial" w:hAnsi="Arial" w:eastAsia="Arial" w:cs="Arial"/>
          <w:noProof w:val="0"/>
          <w:sz w:val="28"/>
          <w:szCs w:val="28"/>
          <w:lang w:val="en-GB"/>
        </w:rPr>
        <w:t xml:space="preserve"> (Accessed: 11 March 2026).</w:t>
      </w:r>
    </w:p>
    <w:p w:rsidR="7E44439F" w:rsidP="17446C58" w:rsidRDefault="7E44439F" w14:paraId="4D0DD6E7" w14:textId="2FD55469">
      <w:pPr>
        <w:spacing w:before="240" w:beforeAutospacing="off" w:after="240" w:afterAutospacing="off"/>
        <w:jc w:val="left"/>
      </w:pPr>
      <w:r w:rsidRPr="17446C58" w:rsidR="7E44439F">
        <w:rPr>
          <w:rFonts w:ascii="Arial" w:hAnsi="Arial" w:eastAsia="Arial" w:cs="Arial"/>
          <w:noProof w:val="0"/>
          <w:sz w:val="28"/>
          <w:szCs w:val="28"/>
          <w:lang w:val="en-GB"/>
        </w:rPr>
        <w:t xml:space="preserve">Public Health England (2019) </w:t>
      </w:r>
      <w:r w:rsidRPr="17446C58" w:rsidR="7E44439F">
        <w:rPr>
          <w:rFonts w:ascii="Arial" w:hAnsi="Arial" w:eastAsia="Arial" w:cs="Arial"/>
          <w:i w:val="1"/>
          <w:iCs w:val="1"/>
          <w:noProof w:val="0"/>
          <w:sz w:val="28"/>
          <w:szCs w:val="28"/>
          <w:lang w:val="en-GB"/>
        </w:rPr>
        <w:t>Tuberculosis prevention and control guidance</w:t>
      </w:r>
      <w:r w:rsidRPr="17446C58" w:rsidR="7E44439F">
        <w:rPr>
          <w:rFonts w:ascii="Arial" w:hAnsi="Arial" w:eastAsia="Arial" w:cs="Arial"/>
          <w:noProof w:val="0"/>
          <w:sz w:val="28"/>
          <w:szCs w:val="28"/>
          <w:lang w:val="en-GB"/>
        </w:rPr>
        <w:t>. London: PHE.</w:t>
      </w:r>
    </w:p>
    <w:p w:rsidR="7E44439F" w:rsidP="17446C58" w:rsidRDefault="7E44439F" w14:paraId="34E6E7D9" w14:textId="620C355A">
      <w:pPr>
        <w:spacing w:before="240" w:beforeAutospacing="off" w:after="240" w:afterAutospacing="off"/>
        <w:jc w:val="left"/>
      </w:pPr>
      <w:r w:rsidRPr="17446C58" w:rsidR="7E44439F">
        <w:rPr>
          <w:rFonts w:ascii="Arial" w:hAnsi="Arial" w:eastAsia="Arial" w:cs="Arial"/>
          <w:noProof w:val="0"/>
          <w:sz w:val="28"/>
          <w:szCs w:val="28"/>
          <w:lang w:val="en-GB"/>
        </w:rPr>
        <w:t xml:space="preserve">UK Health Security Agency (2024) </w:t>
      </w:r>
      <w:r w:rsidRPr="17446C58" w:rsidR="7E44439F">
        <w:rPr>
          <w:rFonts w:ascii="Arial" w:hAnsi="Arial" w:eastAsia="Arial" w:cs="Arial"/>
          <w:i w:val="1"/>
          <w:iCs w:val="1"/>
          <w:noProof w:val="0"/>
          <w:sz w:val="28"/>
          <w:szCs w:val="28"/>
          <w:lang w:val="en-GB"/>
        </w:rPr>
        <w:t>Tuberculosis in England: 2024 report</w:t>
      </w:r>
      <w:r w:rsidRPr="17446C58" w:rsidR="7E44439F">
        <w:rPr>
          <w:rFonts w:ascii="Arial" w:hAnsi="Arial" w:eastAsia="Arial" w:cs="Arial"/>
          <w:noProof w:val="0"/>
          <w:sz w:val="28"/>
          <w:szCs w:val="28"/>
          <w:lang w:val="en-GB"/>
        </w:rPr>
        <w:t xml:space="preserve">. Available at: </w:t>
      </w:r>
      <w:hyperlink r:id="Rf7d5f592606440e2">
        <w:r w:rsidRPr="17446C58" w:rsidR="7E44439F">
          <w:rPr>
            <w:rStyle w:val="Hyperlink"/>
            <w:rFonts w:ascii="Arial" w:hAnsi="Arial" w:eastAsia="Arial" w:cs="Arial"/>
            <w:noProof w:val="0"/>
            <w:sz w:val="28"/>
            <w:szCs w:val="28"/>
            <w:lang w:val="en-GB"/>
          </w:rPr>
          <w:t>https://www.gov.uk/government/publications/tuberculosis-in-england-2024-report</w:t>
        </w:r>
      </w:hyperlink>
      <w:r w:rsidRPr="17446C58" w:rsidR="7E44439F">
        <w:rPr>
          <w:rFonts w:ascii="Arial" w:hAnsi="Arial" w:eastAsia="Arial" w:cs="Arial"/>
          <w:noProof w:val="0"/>
          <w:sz w:val="28"/>
          <w:szCs w:val="28"/>
          <w:lang w:val="en-GB"/>
        </w:rPr>
        <w:t xml:space="preserve"> (Accessed: 11 March 2026).</w:t>
      </w:r>
    </w:p>
    <w:p w:rsidR="7E44439F" w:rsidP="17446C58" w:rsidRDefault="7E44439F" w14:paraId="40D51D0C" w14:textId="17BA8836">
      <w:pPr>
        <w:spacing w:before="240" w:beforeAutospacing="off" w:after="240" w:afterAutospacing="off"/>
        <w:jc w:val="left"/>
      </w:pPr>
      <w:r w:rsidRPr="17446C58" w:rsidR="7E44439F">
        <w:rPr>
          <w:rFonts w:ascii="Arial" w:hAnsi="Arial" w:eastAsia="Arial" w:cs="Arial"/>
          <w:noProof w:val="0"/>
          <w:sz w:val="28"/>
          <w:szCs w:val="28"/>
          <w:lang w:val="en-GB"/>
        </w:rPr>
        <w:t xml:space="preserve">World Health Organization (2025) </w:t>
      </w:r>
      <w:r w:rsidRPr="17446C58" w:rsidR="7E44439F">
        <w:rPr>
          <w:rFonts w:ascii="Arial" w:hAnsi="Arial" w:eastAsia="Arial" w:cs="Arial"/>
          <w:i w:val="1"/>
          <w:iCs w:val="1"/>
          <w:noProof w:val="0"/>
          <w:sz w:val="28"/>
          <w:szCs w:val="28"/>
          <w:lang w:val="en-GB"/>
        </w:rPr>
        <w:t>Tuberculosis fact sheet</w:t>
      </w:r>
      <w:r w:rsidRPr="17446C58" w:rsidR="7E44439F">
        <w:rPr>
          <w:rFonts w:ascii="Arial" w:hAnsi="Arial" w:eastAsia="Arial" w:cs="Arial"/>
          <w:noProof w:val="0"/>
          <w:sz w:val="28"/>
          <w:szCs w:val="28"/>
          <w:lang w:val="en-GB"/>
        </w:rPr>
        <w:t xml:space="preserve">. Available at: </w:t>
      </w:r>
      <w:hyperlink r:id="R34ff85565ca44edf">
        <w:r w:rsidRPr="17446C58" w:rsidR="7E44439F">
          <w:rPr>
            <w:rStyle w:val="Hyperlink"/>
            <w:rFonts w:ascii="Arial" w:hAnsi="Arial" w:eastAsia="Arial" w:cs="Arial"/>
            <w:noProof w:val="0"/>
            <w:sz w:val="28"/>
            <w:szCs w:val="28"/>
            <w:lang w:val="en-GB"/>
          </w:rPr>
          <w:t>https://www.who.int/news-room/fact-sheets/detail/tuberculosis</w:t>
        </w:r>
      </w:hyperlink>
      <w:r w:rsidRPr="17446C58" w:rsidR="7E44439F">
        <w:rPr>
          <w:rFonts w:ascii="Arial" w:hAnsi="Arial" w:eastAsia="Arial" w:cs="Arial"/>
          <w:noProof w:val="0"/>
          <w:sz w:val="28"/>
          <w:szCs w:val="28"/>
          <w:lang w:val="en-GB"/>
        </w:rPr>
        <w:t xml:space="preserve"> (Accessed: 11 March 2026).</w:t>
      </w:r>
    </w:p>
    <w:p w:rsidR="17446C58" w:rsidP="17446C58" w:rsidRDefault="17446C58" w14:paraId="180AFF05" w14:textId="62752462">
      <w:pPr>
        <w:pStyle w:val="Normal"/>
        <w:jc w:val="left"/>
        <w:rPr>
          <w:rFonts w:ascii="Arial" w:hAnsi="Arial" w:eastAsia="Arial" w:cs="Arial"/>
          <w:noProof w:val="0"/>
          <w:sz w:val="28"/>
          <w:szCs w:val="2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q7HaEdcK" int2:invalidationBookmarkName="" int2:hashCode="3KKjJeR/dxf+gy" int2:id="WcfQPARW">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5D0BAD"/>
    <w:rsid w:val="02C2BEE2"/>
    <w:rsid w:val="063F46D7"/>
    <w:rsid w:val="06AF224F"/>
    <w:rsid w:val="0E57C2A5"/>
    <w:rsid w:val="0EECF2AA"/>
    <w:rsid w:val="0F6A3E31"/>
    <w:rsid w:val="11A7BAB1"/>
    <w:rsid w:val="134E9454"/>
    <w:rsid w:val="13C749B0"/>
    <w:rsid w:val="158BB65E"/>
    <w:rsid w:val="17446C58"/>
    <w:rsid w:val="18679427"/>
    <w:rsid w:val="18E344DF"/>
    <w:rsid w:val="19AF4461"/>
    <w:rsid w:val="1C2AF246"/>
    <w:rsid w:val="1D8FE5BD"/>
    <w:rsid w:val="1E7129C5"/>
    <w:rsid w:val="1E8D2257"/>
    <w:rsid w:val="1EA6954D"/>
    <w:rsid w:val="214B55AD"/>
    <w:rsid w:val="21C1EDB5"/>
    <w:rsid w:val="232E7049"/>
    <w:rsid w:val="23526783"/>
    <w:rsid w:val="23CBB777"/>
    <w:rsid w:val="25E08695"/>
    <w:rsid w:val="260A326B"/>
    <w:rsid w:val="261A9147"/>
    <w:rsid w:val="2746B056"/>
    <w:rsid w:val="282994FB"/>
    <w:rsid w:val="282BC480"/>
    <w:rsid w:val="28D866C6"/>
    <w:rsid w:val="2AE3C315"/>
    <w:rsid w:val="2FC484E7"/>
    <w:rsid w:val="3191FE87"/>
    <w:rsid w:val="328BF0F5"/>
    <w:rsid w:val="34007DBD"/>
    <w:rsid w:val="344F5167"/>
    <w:rsid w:val="3633FE2E"/>
    <w:rsid w:val="3822181B"/>
    <w:rsid w:val="3C068A70"/>
    <w:rsid w:val="3D5D0BAD"/>
    <w:rsid w:val="3EC90F2E"/>
    <w:rsid w:val="40886894"/>
    <w:rsid w:val="41EE59BE"/>
    <w:rsid w:val="432031EA"/>
    <w:rsid w:val="44730C64"/>
    <w:rsid w:val="46498E06"/>
    <w:rsid w:val="47318BF9"/>
    <w:rsid w:val="479BC4A7"/>
    <w:rsid w:val="4A432F11"/>
    <w:rsid w:val="4DD95642"/>
    <w:rsid w:val="50DCEBE0"/>
    <w:rsid w:val="5115123F"/>
    <w:rsid w:val="52795FF7"/>
    <w:rsid w:val="548C5AFB"/>
    <w:rsid w:val="550ACB51"/>
    <w:rsid w:val="5757B841"/>
    <w:rsid w:val="575C9B9E"/>
    <w:rsid w:val="577327DC"/>
    <w:rsid w:val="59962487"/>
    <w:rsid w:val="5A22A442"/>
    <w:rsid w:val="5BC0274E"/>
    <w:rsid w:val="5C84100A"/>
    <w:rsid w:val="5CA21FED"/>
    <w:rsid w:val="5F803D39"/>
    <w:rsid w:val="6151C742"/>
    <w:rsid w:val="61AD260F"/>
    <w:rsid w:val="630654D4"/>
    <w:rsid w:val="63659A28"/>
    <w:rsid w:val="6421889A"/>
    <w:rsid w:val="649B62D8"/>
    <w:rsid w:val="67E8A2FE"/>
    <w:rsid w:val="69C3DC0E"/>
    <w:rsid w:val="6AE66A84"/>
    <w:rsid w:val="6BAAEDF5"/>
    <w:rsid w:val="6BF310B0"/>
    <w:rsid w:val="6E48938D"/>
    <w:rsid w:val="703ACC24"/>
    <w:rsid w:val="72541714"/>
    <w:rsid w:val="72A45E4D"/>
    <w:rsid w:val="7311C594"/>
    <w:rsid w:val="73199D46"/>
    <w:rsid w:val="7462AADB"/>
    <w:rsid w:val="75BEB9BB"/>
    <w:rsid w:val="76543436"/>
    <w:rsid w:val="7AAB5C4E"/>
    <w:rsid w:val="7C0141A6"/>
    <w:rsid w:val="7C51CEF9"/>
    <w:rsid w:val="7C84B3ED"/>
    <w:rsid w:val="7D6839AA"/>
    <w:rsid w:val="7E44439F"/>
    <w:rsid w:val="7E480573"/>
    <w:rsid w:val="7EB955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58265"/>
  <w15:chartTrackingRefBased/>
  <w15:docId w15:val="{EA773AEF-1615-49D8-A569-05F56478B1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7446C58"/>
    <w:rPr>
      <w:color w:val="467886"/>
      <w:u w:val="single"/>
    </w:rPr>
  </w:style>
  <w:style w:type="paragraph" w:styleId="Heading2">
    <w:uiPriority w:val="9"/>
    <w:name w:val="heading 2"/>
    <w:basedOn w:val="Normal"/>
    <w:next w:val="Normal"/>
    <w:unhideWhenUsed/>
    <w:qFormat/>
    <w:rsid w:val="17446C5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hs.uk/conditions/tuberculosis-tb/" TargetMode="External" Id="Ra97c9528e90640ce" /><Relationship Type="http://schemas.openxmlformats.org/officeDocument/2006/relationships/hyperlink" Target="https://www.gov.uk/government/publications/tuberculosis-in-england-2024-report" TargetMode="External" Id="R22246bcc38814f65" /><Relationship Type="http://schemas.openxmlformats.org/officeDocument/2006/relationships/hyperlink" Target="https://www.who.int/news-room/fact-sheets/detail/tuberculosis" TargetMode="External" Id="Rebf5447367fd47f1" /><Relationship Type="http://schemas.openxmlformats.org/officeDocument/2006/relationships/hyperlink" Target="https://www.nhs.uk/conditions/tuberculosis-tb/" TargetMode="External" Id="R8a61460910c442f8" /><Relationship Type="http://schemas.openxmlformats.org/officeDocument/2006/relationships/hyperlink" Target="https://www.gov.uk/government/publications/tuberculosis-in-england-2024-report" TargetMode="External" Id="Rf7d5f592606440e2" /><Relationship Type="http://schemas.openxmlformats.org/officeDocument/2006/relationships/hyperlink" Target="https://www.who.int/news-room/fact-sheets/detail/tuberculosis" TargetMode="External" Id="R34ff85565ca44edf" /><Relationship Type="http://schemas.microsoft.com/office/2020/10/relationships/intelligence" Target="/word/intelligence2.xml" Id="R95c1b3a7f65e42c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Shazma Raza (2515556)</dc:creator>
  <keywords/>
  <dc:description/>
  <lastModifiedBy>Shazma Raza (2515556)</lastModifiedBy>
  <revision>4</revision>
  <dcterms:created xsi:type="dcterms:W3CDTF">2026-03-11T20:53:57.3536617Z</dcterms:created>
  <dcterms:modified xsi:type="dcterms:W3CDTF">2026-03-23T21:07:51.9201551Z</dcterms:modified>
</coreProperties>
</file>