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8EB62" w14:textId="1DAA95E5" w:rsidR="006B336C" w:rsidRPr="003E5BD5" w:rsidRDefault="00FC6B0A" w:rsidP="003E5BD5">
      <w:pPr>
        <w:spacing w:line="360" w:lineRule="auto"/>
        <w:jc w:val="center"/>
        <w:rPr>
          <w:rFonts w:ascii="Times New Roman" w:hAnsi="Times New Roman" w:cs="Times New Roman"/>
          <w:sz w:val="36"/>
          <w:szCs w:val="36"/>
        </w:rPr>
      </w:pPr>
      <w:r w:rsidRPr="003E5BD5">
        <w:rPr>
          <w:rFonts w:ascii="Times New Roman" w:hAnsi="Times New Roman" w:cs="Times New Roman"/>
          <w:sz w:val="36"/>
          <w:szCs w:val="36"/>
        </w:rPr>
        <w:t>LCLM5001 – Understanding and Engaging Stakeholders</w:t>
      </w:r>
    </w:p>
    <w:p w14:paraId="2A280B2F" w14:textId="77777777" w:rsidR="00FC6B0A" w:rsidRPr="003E5BD5" w:rsidRDefault="00FC6B0A" w:rsidP="003E5BD5">
      <w:pPr>
        <w:spacing w:line="360" w:lineRule="auto"/>
        <w:jc w:val="center"/>
        <w:rPr>
          <w:rFonts w:ascii="Times New Roman" w:hAnsi="Times New Roman" w:cs="Times New Roman"/>
          <w:sz w:val="36"/>
          <w:szCs w:val="36"/>
        </w:rPr>
      </w:pPr>
    </w:p>
    <w:p w14:paraId="41CBF0F5" w14:textId="7A5DE1C3" w:rsidR="00FC6B0A" w:rsidRPr="003E5BD5" w:rsidRDefault="00FC6B0A" w:rsidP="003E5BD5">
      <w:pPr>
        <w:spacing w:line="360" w:lineRule="auto"/>
        <w:jc w:val="center"/>
        <w:rPr>
          <w:rStyle w:val="Strong"/>
          <w:rFonts w:ascii="Times New Roman" w:hAnsi="Times New Roman" w:cs="Times New Roman"/>
          <w:color w:val="000000"/>
          <w:sz w:val="36"/>
          <w:szCs w:val="36"/>
        </w:rPr>
      </w:pPr>
      <w:r w:rsidRPr="003E5BD5">
        <w:rPr>
          <w:rStyle w:val="Strong"/>
          <w:rFonts w:ascii="Times New Roman" w:hAnsi="Times New Roman" w:cs="Times New Roman"/>
          <w:color w:val="000000"/>
          <w:sz w:val="36"/>
          <w:szCs w:val="36"/>
        </w:rPr>
        <w:t>Title</w:t>
      </w:r>
      <w:r w:rsidRPr="003E5BD5">
        <w:rPr>
          <w:rFonts w:ascii="Times New Roman" w:hAnsi="Times New Roman" w:cs="Times New Roman"/>
          <w:sz w:val="36"/>
          <w:szCs w:val="36"/>
        </w:rPr>
        <w:t>:</w:t>
      </w:r>
      <w:r w:rsidRPr="003E5BD5">
        <w:rPr>
          <w:rFonts w:ascii="Times New Roman" w:hAnsi="Times New Roman" w:cs="Times New Roman"/>
          <w:sz w:val="36"/>
          <w:szCs w:val="36"/>
        </w:rPr>
        <w:br/>
      </w:r>
      <w:r w:rsidRPr="003E5BD5">
        <w:rPr>
          <w:rStyle w:val="Strong"/>
          <w:rFonts w:ascii="Times New Roman" w:hAnsi="Times New Roman" w:cs="Times New Roman"/>
          <w:color w:val="000000"/>
          <w:sz w:val="36"/>
          <w:szCs w:val="36"/>
        </w:rPr>
        <w:t>Understanding the Importance of Stakeholder Engagement in Successful Commencement and Completion of a Project</w:t>
      </w:r>
    </w:p>
    <w:p w14:paraId="5787744F" w14:textId="77777777" w:rsidR="00FC6B0A" w:rsidRDefault="00FC6B0A">
      <w:pPr>
        <w:rPr>
          <w:rStyle w:val="Strong"/>
          <w:color w:val="000000"/>
        </w:rPr>
      </w:pPr>
    </w:p>
    <w:p w14:paraId="6312257C" w14:textId="77777777" w:rsidR="00FC6B0A" w:rsidRDefault="00FC6B0A">
      <w:pPr>
        <w:rPr>
          <w:rStyle w:val="Strong"/>
          <w:color w:val="000000"/>
        </w:rPr>
      </w:pPr>
    </w:p>
    <w:p w14:paraId="6BB436A9" w14:textId="77777777" w:rsidR="00FC6B0A" w:rsidRDefault="00FC6B0A">
      <w:pPr>
        <w:rPr>
          <w:rStyle w:val="Strong"/>
          <w:color w:val="000000"/>
        </w:rPr>
      </w:pPr>
    </w:p>
    <w:p w14:paraId="0C62A77E" w14:textId="77777777" w:rsidR="00FC6B0A" w:rsidRDefault="00FC6B0A">
      <w:pPr>
        <w:rPr>
          <w:rStyle w:val="Strong"/>
          <w:color w:val="000000"/>
        </w:rPr>
      </w:pPr>
    </w:p>
    <w:p w14:paraId="4BE0FAC5" w14:textId="77777777" w:rsidR="00FC6B0A" w:rsidRDefault="00FC6B0A">
      <w:pPr>
        <w:rPr>
          <w:rStyle w:val="Strong"/>
          <w:color w:val="000000"/>
        </w:rPr>
      </w:pPr>
    </w:p>
    <w:p w14:paraId="74BD40DE" w14:textId="77777777" w:rsidR="00FC6B0A" w:rsidRDefault="00FC6B0A">
      <w:pPr>
        <w:rPr>
          <w:rStyle w:val="Strong"/>
          <w:color w:val="000000"/>
        </w:rPr>
      </w:pPr>
    </w:p>
    <w:p w14:paraId="75E65F3D" w14:textId="77777777" w:rsidR="00FC6B0A" w:rsidRDefault="00FC6B0A">
      <w:pPr>
        <w:rPr>
          <w:rStyle w:val="Strong"/>
          <w:color w:val="000000"/>
        </w:rPr>
      </w:pPr>
    </w:p>
    <w:p w14:paraId="405C6529" w14:textId="77777777" w:rsidR="00FC6B0A" w:rsidRPr="00553FA4" w:rsidRDefault="00FC6B0A">
      <w:pPr>
        <w:rPr>
          <w:rStyle w:val="Strong"/>
          <w:rFonts w:ascii="Arial" w:hAnsi="Arial" w:cs="Arial"/>
          <w:color w:val="000000"/>
          <w:sz w:val="22"/>
          <w:szCs w:val="22"/>
        </w:rPr>
      </w:pPr>
    </w:p>
    <w:p w14:paraId="5A0851B0" w14:textId="77777777" w:rsidR="00FC6B0A" w:rsidRDefault="00FC6B0A">
      <w:pPr>
        <w:rPr>
          <w:rStyle w:val="Strong"/>
          <w:color w:val="000000"/>
        </w:rPr>
      </w:pPr>
    </w:p>
    <w:p w14:paraId="0F2946FA" w14:textId="77777777" w:rsidR="00FC6B0A" w:rsidRDefault="00FC6B0A">
      <w:pPr>
        <w:rPr>
          <w:rStyle w:val="Strong"/>
          <w:color w:val="000000"/>
        </w:rPr>
      </w:pPr>
    </w:p>
    <w:p w14:paraId="07D196BA" w14:textId="77777777" w:rsidR="00FC6B0A" w:rsidRPr="003E5BD5" w:rsidRDefault="00FC6B0A" w:rsidP="003E5BD5">
      <w:pPr>
        <w:spacing w:line="360" w:lineRule="auto"/>
        <w:rPr>
          <w:rStyle w:val="Strong"/>
          <w:rFonts w:ascii="Times New Roman" w:hAnsi="Times New Roman" w:cs="Times New Roman"/>
          <w:color w:val="000000"/>
        </w:rPr>
      </w:pPr>
    </w:p>
    <w:p w14:paraId="46F0B648" w14:textId="05B23F86" w:rsidR="00FC6B0A" w:rsidRPr="003E5BD5" w:rsidRDefault="00FC6B0A" w:rsidP="003E5BD5">
      <w:pPr>
        <w:spacing w:line="360" w:lineRule="auto"/>
        <w:rPr>
          <w:rFonts w:ascii="Times New Roman" w:hAnsi="Times New Roman" w:cs="Times New Roman"/>
          <w:color w:val="000000"/>
        </w:rPr>
      </w:pPr>
      <w:r w:rsidRPr="003E5BD5">
        <w:rPr>
          <w:rStyle w:val="Strong"/>
          <w:rFonts w:ascii="Times New Roman" w:hAnsi="Times New Roman" w:cs="Times New Roman"/>
          <w:color w:val="000000"/>
        </w:rPr>
        <w:t>Student Name</w:t>
      </w:r>
      <w:r w:rsidRPr="003E5BD5">
        <w:rPr>
          <w:rFonts w:ascii="Times New Roman" w:hAnsi="Times New Roman" w:cs="Times New Roman"/>
          <w:color w:val="000000"/>
        </w:rPr>
        <w:t>:</w:t>
      </w:r>
      <w:r w:rsidR="00553FA4">
        <w:rPr>
          <w:rFonts w:ascii="Times New Roman" w:hAnsi="Times New Roman" w:cs="Times New Roman"/>
          <w:color w:val="000000"/>
        </w:rPr>
        <w:t xml:space="preserve"> Marius Tanase</w:t>
      </w:r>
      <w:r w:rsidRPr="003E5BD5">
        <w:rPr>
          <w:rFonts w:ascii="Times New Roman" w:hAnsi="Times New Roman" w:cs="Times New Roman"/>
          <w:color w:val="000000"/>
        </w:rPr>
        <w:br/>
      </w:r>
      <w:r w:rsidRPr="003E5BD5">
        <w:rPr>
          <w:rStyle w:val="Strong"/>
          <w:rFonts w:ascii="Times New Roman" w:hAnsi="Times New Roman" w:cs="Times New Roman"/>
          <w:color w:val="000000"/>
        </w:rPr>
        <w:t>Student ID</w:t>
      </w:r>
      <w:r w:rsidRPr="003E5BD5">
        <w:rPr>
          <w:rFonts w:ascii="Times New Roman" w:hAnsi="Times New Roman" w:cs="Times New Roman"/>
          <w:color w:val="000000"/>
        </w:rPr>
        <w:t>:</w:t>
      </w:r>
      <w:r w:rsidR="00553FA4">
        <w:rPr>
          <w:rFonts w:ascii="Times New Roman" w:hAnsi="Times New Roman" w:cs="Times New Roman"/>
          <w:color w:val="000000"/>
        </w:rPr>
        <w:t xml:space="preserve"> </w:t>
      </w:r>
      <w:r w:rsidR="006D0B70">
        <w:rPr>
          <w:rFonts w:ascii="Times New Roman" w:hAnsi="Times New Roman" w:cs="Times New Roman"/>
          <w:color w:val="000000"/>
        </w:rPr>
        <w:t>2410743</w:t>
      </w:r>
    </w:p>
    <w:p w14:paraId="18BD6740" w14:textId="77777777" w:rsidR="00FC6B0A" w:rsidRPr="003E5BD5" w:rsidRDefault="00FC6B0A" w:rsidP="003E5BD5">
      <w:pPr>
        <w:spacing w:line="360" w:lineRule="auto"/>
        <w:rPr>
          <w:rFonts w:ascii="Times New Roman" w:hAnsi="Times New Roman" w:cs="Times New Roman"/>
          <w:color w:val="000000"/>
        </w:rPr>
      </w:pPr>
    </w:p>
    <w:p w14:paraId="5BFB925F" w14:textId="77777777" w:rsidR="00FC6B0A" w:rsidRDefault="00FC6B0A">
      <w:pPr>
        <w:rPr>
          <w:rFonts w:ascii="-webkit-standard" w:hAnsi="-webkit-standard"/>
          <w:color w:val="000000"/>
          <w:sz w:val="27"/>
          <w:szCs w:val="27"/>
        </w:rPr>
      </w:pPr>
    </w:p>
    <w:p w14:paraId="5B11C807" w14:textId="77777777" w:rsidR="00FC6B0A" w:rsidRDefault="00FC6B0A">
      <w:pPr>
        <w:rPr>
          <w:rFonts w:ascii="-webkit-standard" w:hAnsi="-webkit-standard"/>
          <w:color w:val="000000"/>
          <w:sz w:val="27"/>
          <w:szCs w:val="27"/>
        </w:rPr>
      </w:pPr>
    </w:p>
    <w:p w14:paraId="5D14874B" w14:textId="77777777" w:rsidR="00FC6B0A" w:rsidRDefault="00FC6B0A">
      <w:pPr>
        <w:rPr>
          <w:rFonts w:ascii="-webkit-standard" w:hAnsi="-webkit-standard"/>
          <w:color w:val="000000"/>
          <w:sz w:val="27"/>
          <w:szCs w:val="27"/>
        </w:rPr>
      </w:pPr>
    </w:p>
    <w:p w14:paraId="7CC9CEBD" w14:textId="77777777" w:rsidR="00FC6B0A" w:rsidRDefault="00FC6B0A">
      <w:pPr>
        <w:rPr>
          <w:rFonts w:ascii="-webkit-standard" w:hAnsi="-webkit-standard"/>
          <w:color w:val="000000"/>
          <w:sz w:val="27"/>
          <w:szCs w:val="27"/>
        </w:rPr>
      </w:pPr>
    </w:p>
    <w:p w14:paraId="427893F7" w14:textId="77777777" w:rsidR="00FC6B0A" w:rsidRDefault="00FC6B0A">
      <w:pPr>
        <w:rPr>
          <w:rFonts w:ascii="-webkit-standard" w:hAnsi="-webkit-standard"/>
          <w:color w:val="000000"/>
          <w:sz w:val="27"/>
          <w:szCs w:val="27"/>
        </w:rPr>
      </w:pPr>
    </w:p>
    <w:p w14:paraId="47656E02" w14:textId="77777777" w:rsidR="00FC6B0A" w:rsidRDefault="00FC6B0A">
      <w:pPr>
        <w:rPr>
          <w:rFonts w:ascii="-webkit-standard" w:hAnsi="-webkit-standard"/>
          <w:color w:val="000000"/>
          <w:sz w:val="27"/>
          <w:szCs w:val="27"/>
        </w:rPr>
      </w:pPr>
    </w:p>
    <w:p w14:paraId="681B792E" w14:textId="77777777" w:rsidR="00FC6B0A" w:rsidRDefault="00FC6B0A">
      <w:pPr>
        <w:rPr>
          <w:rFonts w:ascii="-webkit-standard" w:hAnsi="-webkit-standard"/>
          <w:color w:val="000000"/>
          <w:sz w:val="27"/>
          <w:szCs w:val="27"/>
        </w:rPr>
      </w:pPr>
    </w:p>
    <w:p w14:paraId="2CFB934D" w14:textId="77777777" w:rsidR="00FC6B0A" w:rsidRDefault="00FC6B0A">
      <w:pPr>
        <w:rPr>
          <w:rFonts w:ascii="-webkit-standard" w:hAnsi="-webkit-standard"/>
          <w:color w:val="000000"/>
          <w:sz w:val="27"/>
          <w:szCs w:val="27"/>
        </w:rPr>
      </w:pPr>
    </w:p>
    <w:p w14:paraId="48F5EB32" w14:textId="77777777" w:rsidR="00FC6B0A" w:rsidRDefault="00FC6B0A">
      <w:pPr>
        <w:rPr>
          <w:rFonts w:ascii="-webkit-standard" w:hAnsi="-webkit-standard"/>
          <w:color w:val="000000"/>
          <w:sz w:val="27"/>
          <w:szCs w:val="27"/>
        </w:rPr>
      </w:pPr>
    </w:p>
    <w:p w14:paraId="2500FCEC" w14:textId="77777777" w:rsidR="00FC6B0A" w:rsidRDefault="00FC6B0A">
      <w:pPr>
        <w:rPr>
          <w:rFonts w:ascii="-webkit-standard" w:hAnsi="-webkit-standard"/>
          <w:color w:val="000000"/>
          <w:sz w:val="27"/>
          <w:szCs w:val="27"/>
        </w:rPr>
      </w:pPr>
    </w:p>
    <w:p w14:paraId="6D72294A" w14:textId="77777777" w:rsidR="00FC6B0A" w:rsidRDefault="00FC6B0A">
      <w:pPr>
        <w:rPr>
          <w:rFonts w:ascii="-webkit-standard" w:hAnsi="-webkit-standard"/>
          <w:color w:val="000000"/>
          <w:sz w:val="27"/>
          <w:szCs w:val="27"/>
        </w:rPr>
      </w:pPr>
    </w:p>
    <w:p w14:paraId="53C2CE15" w14:textId="77777777" w:rsidR="00FC6B0A" w:rsidRDefault="00FC6B0A">
      <w:pPr>
        <w:rPr>
          <w:rFonts w:ascii="-webkit-standard" w:hAnsi="-webkit-standard"/>
          <w:color w:val="000000"/>
          <w:sz w:val="27"/>
          <w:szCs w:val="27"/>
        </w:rPr>
      </w:pPr>
    </w:p>
    <w:p w14:paraId="1739D51F" w14:textId="77777777" w:rsidR="00FC6B0A" w:rsidRDefault="00FC6B0A">
      <w:pPr>
        <w:rPr>
          <w:rFonts w:ascii="-webkit-standard" w:hAnsi="-webkit-standard"/>
          <w:color w:val="000000"/>
          <w:sz w:val="27"/>
          <w:szCs w:val="27"/>
        </w:rPr>
      </w:pPr>
    </w:p>
    <w:p w14:paraId="611D6C11" w14:textId="77777777" w:rsidR="00FC6B0A" w:rsidRDefault="00FC6B0A">
      <w:pPr>
        <w:rPr>
          <w:rFonts w:ascii="-webkit-standard" w:hAnsi="-webkit-standard"/>
          <w:color w:val="000000"/>
          <w:sz w:val="27"/>
          <w:szCs w:val="27"/>
        </w:rPr>
      </w:pPr>
    </w:p>
    <w:p w14:paraId="47DE2B42" w14:textId="77777777" w:rsidR="00FC6B0A" w:rsidRDefault="00FC6B0A">
      <w:pPr>
        <w:rPr>
          <w:rFonts w:ascii="-webkit-standard" w:hAnsi="-webkit-standard"/>
          <w:color w:val="000000"/>
          <w:sz w:val="27"/>
          <w:szCs w:val="27"/>
        </w:rPr>
      </w:pPr>
    </w:p>
    <w:p w14:paraId="5D912E3B" w14:textId="77777777" w:rsidR="00FC6B0A" w:rsidRDefault="00FC6B0A">
      <w:pPr>
        <w:rPr>
          <w:rFonts w:ascii="-webkit-standard" w:hAnsi="-webkit-standard"/>
          <w:color w:val="000000"/>
          <w:sz w:val="27"/>
          <w:szCs w:val="27"/>
        </w:rPr>
      </w:pPr>
    </w:p>
    <w:p w14:paraId="3E1D3CBB" w14:textId="77777777" w:rsidR="00FC6B0A" w:rsidRPr="00E71D15" w:rsidRDefault="00FC6B0A" w:rsidP="00E71D15">
      <w:pPr>
        <w:spacing w:line="360" w:lineRule="auto"/>
        <w:jc w:val="both"/>
        <w:rPr>
          <w:rFonts w:ascii="Times New Roman" w:hAnsi="Times New Roman" w:cs="Times New Roman"/>
        </w:rPr>
      </w:pPr>
    </w:p>
    <w:p w14:paraId="311ADADC" w14:textId="77777777" w:rsidR="005E27C4" w:rsidRPr="00E71D15" w:rsidRDefault="005E27C4" w:rsidP="00E71D15">
      <w:pPr>
        <w:pStyle w:val="Heading1"/>
        <w:rPr>
          <w:lang w:eastAsia="en-GB"/>
        </w:rPr>
      </w:pPr>
      <w:bookmarkStart w:id="0" w:name="_Toc212469183"/>
      <w:r w:rsidRPr="00E71D15">
        <w:rPr>
          <w:lang w:eastAsia="en-GB"/>
        </w:rPr>
        <w:lastRenderedPageBreak/>
        <w:t>Executive Summary</w:t>
      </w:r>
      <w:bookmarkEnd w:id="0"/>
    </w:p>
    <w:p w14:paraId="6E4AF85F"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The report details the stakeholder engagement plan of the introduction of a next-generation wearable health device by Current Health, a remote patient monitoring firm based in the UK. The heart rate, oxygen saturation, and sleep patterns monitoring device is targeted at enabling the NHS and individual consumers in active prevention of health management. The project will be delivered within the six-month period, and it will need a wide range of cross-functional and cross-sectoral coordination.</w:t>
      </w:r>
    </w:p>
    <w:p w14:paraId="4D27352B"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Since the healthcare industry is a highly controversial and ethical area where regulations are crucial, stakeholder involvement is not a choice but a necessity. The roles, influence and expectations of both external and internal stakeholders are critically discussed in this report, using the existing theories like the stakeholder theory created by Freeman, typology developed by Mitchell et al., and the Resource Dependence Theory.</w:t>
      </w:r>
    </w:p>
    <w:p w14:paraId="742F98BF"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Some of the strategic tools that are important are SWANS/OWANS analysis of aligning the interests, The RACI matrix to understand roles and the Power/Interest Matrix to map stakeholders. Engagement was coordinated using designed communication strategies and facilitated by the 4Cs model </w:t>
      </w:r>
      <w:proofErr w:type="gramStart"/>
      <w:r w:rsidRPr="006D0B70">
        <w:rPr>
          <w:rFonts w:ascii="Arial" w:hAnsi="Arial" w:cs="Arial"/>
          <w:sz w:val="22"/>
          <w:szCs w:val="22"/>
          <w:lang w:eastAsia="en-GB"/>
        </w:rPr>
        <w:t>so as to</w:t>
      </w:r>
      <w:proofErr w:type="gramEnd"/>
      <w:r w:rsidRPr="006D0B70">
        <w:rPr>
          <w:rFonts w:ascii="Arial" w:hAnsi="Arial" w:cs="Arial"/>
          <w:sz w:val="22"/>
          <w:szCs w:val="22"/>
          <w:lang w:eastAsia="en-GB"/>
        </w:rPr>
        <w:t xml:space="preserve"> solve conflicts and create cooperation.</w:t>
      </w:r>
    </w:p>
    <w:p w14:paraId="76240F9B" w14:textId="6103C754"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Results indicate that a strong stakeholder engagement improves access to resources, minimises the project risk, and facilitates prompt delivery. The report ends with specific recommendations that should be incorporated into future innovation projects to make them stakeholder engaging as a core competence.</w:t>
      </w:r>
    </w:p>
    <w:p w14:paraId="3E70DEB3" w14:textId="77777777" w:rsidR="00446D26" w:rsidRPr="006D0B70" w:rsidRDefault="00446D26" w:rsidP="00E71D15">
      <w:pPr>
        <w:spacing w:line="360" w:lineRule="auto"/>
        <w:jc w:val="both"/>
        <w:rPr>
          <w:rFonts w:ascii="Arial" w:hAnsi="Arial" w:cs="Arial"/>
          <w:sz w:val="22"/>
          <w:szCs w:val="22"/>
          <w:lang w:eastAsia="en-GB"/>
        </w:rPr>
      </w:pPr>
    </w:p>
    <w:p w14:paraId="7E00B760" w14:textId="77777777" w:rsidR="00446D26" w:rsidRPr="006D0B70" w:rsidRDefault="00446D26" w:rsidP="00E71D15">
      <w:pPr>
        <w:spacing w:line="360" w:lineRule="auto"/>
        <w:jc w:val="both"/>
        <w:rPr>
          <w:rFonts w:ascii="Arial" w:hAnsi="Arial" w:cs="Arial"/>
          <w:sz w:val="22"/>
          <w:szCs w:val="22"/>
          <w:lang w:eastAsia="en-GB"/>
        </w:rPr>
      </w:pPr>
    </w:p>
    <w:p w14:paraId="0245C3B1" w14:textId="77777777" w:rsidR="00446D26" w:rsidRPr="006D0B70" w:rsidRDefault="00446D26" w:rsidP="00E71D15">
      <w:pPr>
        <w:spacing w:line="360" w:lineRule="auto"/>
        <w:jc w:val="both"/>
        <w:rPr>
          <w:rFonts w:ascii="Arial" w:hAnsi="Arial" w:cs="Arial"/>
          <w:sz w:val="22"/>
          <w:szCs w:val="22"/>
          <w:lang w:eastAsia="en-GB"/>
        </w:rPr>
      </w:pPr>
    </w:p>
    <w:p w14:paraId="0FE2C7E3" w14:textId="77777777" w:rsidR="00446D26" w:rsidRPr="006D0B70" w:rsidRDefault="00446D26" w:rsidP="00E71D15">
      <w:pPr>
        <w:spacing w:line="360" w:lineRule="auto"/>
        <w:jc w:val="both"/>
        <w:rPr>
          <w:rFonts w:ascii="Arial" w:hAnsi="Arial" w:cs="Arial"/>
          <w:sz w:val="22"/>
          <w:szCs w:val="22"/>
          <w:lang w:eastAsia="en-GB"/>
        </w:rPr>
      </w:pPr>
    </w:p>
    <w:p w14:paraId="4A0D408F" w14:textId="77777777" w:rsidR="00446D26" w:rsidRPr="006D0B70" w:rsidRDefault="00446D26" w:rsidP="00E71D15">
      <w:pPr>
        <w:spacing w:line="360" w:lineRule="auto"/>
        <w:jc w:val="both"/>
        <w:rPr>
          <w:rFonts w:ascii="Arial" w:hAnsi="Arial" w:cs="Arial"/>
          <w:sz w:val="22"/>
          <w:szCs w:val="22"/>
          <w:lang w:eastAsia="en-GB"/>
        </w:rPr>
      </w:pPr>
    </w:p>
    <w:p w14:paraId="389C8FE5" w14:textId="77777777" w:rsidR="00446D26" w:rsidRPr="006D0B70" w:rsidRDefault="00446D26" w:rsidP="00E71D15">
      <w:pPr>
        <w:spacing w:line="360" w:lineRule="auto"/>
        <w:jc w:val="both"/>
        <w:rPr>
          <w:rFonts w:ascii="Arial" w:hAnsi="Arial" w:cs="Arial"/>
          <w:sz w:val="22"/>
          <w:szCs w:val="22"/>
          <w:lang w:eastAsia="en-GB"/>
        </w:rPr>
      </w:pPr>
    </w:p>
    <w:p w14:paraId="321B0CB9" w14:textId="77777777" w:rsidR="00446D26" w:rsidRPr="006D0B70" w:rsidRDefault="00446D26" w:rsidP="00E71D15">
      <w:pPr>
        <w:spacing w:line="360" w:lineRule="auto"/>
        <w:jc w:val="both"/>
        <w:rPr>
          <w:rFonts w:ascii="Arial" w:hAnsi="Arial" w:cs="Arial"/>
          <w:sz w:val="22"/>
          <w:szCs w:val="22"/>
          <w:lang w:eastAsia="en-GB"/>
        </w:rPr>
      </w:pPr>
    </w:p>
    <w:p w14:paraId="3DF65C3A" w14:textId="77777777" w:rsidR="00446D26" w:rsidRPr="006D0B70" w:rsidRDefault="00446D26" w:rsidP="00E71D15">
      <w:pPr>
        <w:spacing w:line="360" w:lineRule="auto"/>
        <w:jc w:val="both"/>
        <w:rPr>
          <w:rFonts w:ascii="Arial" w:hAnsi="Arial" w:cs="Arial"/>
          <w:sz w:val="22"/>
          <w:szCs w:val="22"/>
          <w:lang w:eastAsia="en-GB"/>
        </w:rPr>
      </w:pPr>
    </w:p>
    <w:p w14:paraId="5015A31C" w14:textId="77777777" w:rsidR="00446D26" w:rsidRPr="006D0B70" w:rsidRDefault="00446D26" w:rsidP="00E71D15">
      <w:pPr>
        <w:spacing w:line="360" w:lineRule="auto"/>
        <w:jc w:val="both"/>
        <w:rPr>
          <w:rFonts w:ascii="Arial" w:hAnsi="Arial" w:cs="Arial"/>
          <w:sz w:val="22"/>
          <w:szCs w:val="22"/>
          <w:lang w:eastAsia="en-GB"/>
        </w:rPr>
      </w:pPr>
    </w:p>
    <w:p w14:paraId="7109C85C" w14:textId="77777777" w:rsidR="00446D26" w:rsidRPr="006D0B70" w:rsidRDefault="00446D26" w:rsidP="00E71D15">
      <w:pPr>
        <w:spacing w:line="360" w:lineRule="auto"/>
        <w:jc w:val="both"/>
        <w:rPr>
          <w:rFonts w:ascii="Arial" w:hAnsi="Arial" w:cs="Arial"/>
          <w:sz w:val="22"/>
          <w:szCs w:val="22"/>
          <w:lang w:eastAsia="en-GB"/>
        </w:rPr>
      </w:pPr>
    </w:p>
    <w:p w14:paraId="1E53E127" w14:textId="77777777" w:rsidR="00446D26" w:rsidRPr="006D0B70" w:rsidRDefault="00446D26" w:rsidP="00E71D15">
      <w:pPr>
        <w:spacing w:line="360" w:lineRule="auto"/>
        <w:jc w:val="both"/>
        <w:rPr>
          <w:rFonts w:ascii="Arial" w:hAnsi="Arial" w:cs="Arial"/>
          <w:sz w:val="22"/>
          <w:szCs w:val="22"/>
          <w:lang w:eastAsia="en-GB"/>
        </w:rPr>
      </w:pPr>
    </w:p>
    <w:p w14:paraId="4DBED0A3" w14:textId="77777777" w:rsidR="00446D26" w:rsidRPr="006D0B70" w:rsidRDefault="00446D26" w:rsidP="00E71D15">
      <w:pPr>
        <w:spacing w:line="360" w:lineRule="auto"/>
        <w:jc w:val="both"/>
        <w:rPr>
          <w:rFonts w:ascii="Arial" w:hAnsi="Arial" w:cs="Arial"/>
          <w:sz w:val="22"/>
          <w:szCs w:val="22"/>
          <w:lang w:eastAsia="en-GB"/>
        </w:rPr>
      </w:pPr>
    </w:p>
    <w:sdt>
      <w:sdtPr>
        <w:rPr>
          <w:rFonts w:ascii="Arial" w:eastAsiaTheme="minorHAnsi" w:hAnsi="Arial" w:cs="Arial"/>
          <w:b w:val="0"/>
          <w:bCs w:val="0"/>
          <w:color w:val="156082" w:themeColor="accent1"/>
          <w:kern w:val="2"/>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id w:val="2131973770"/>
        <w:docPartObj>
          <w:docPartGallery w:val="Table of Contents"/>
          <w:docPartUnique/>
        </w:docPartObj>
      </w:sdtPr>
      <w:sdtEndPr>
        <w:rPr>
          <w:noProof/>
          <w:color w:val="auto"/>
          <w14:shadow w14:blurRad="0" w14:dist="0" w14:dir="0" w14:sx="0" w14:sy="0" w14:kx="0" w14:ky="0" w14:algn="none">
            <w14:srgbClr w14:val="000000"/>
          </w14:shadow>
          <w14:textOutline w14:w="0" w14:cap="rnd" w14:cmpd="sng" w14:algn="ctr">
            <w14:noFill/>
            <w14:prstDash w14:val="solid"/>
            <w14:bevel/>
          </w14:textOutline>
        </w:rPr>
      </w:sdtEndPr>
      <w:sdtContent>
        <w:p w14:paraId="59D737C0" w14:textId="079A24FF" w:rsidR="00446D26" w:rsidRPr="00CF6337" w:rsidRDefault="00446D26">
          <w:pPr>
            <w:pStyle w:val="TOCHeading"/>
            <w:rPr>
              <w:rFonts w:ascii="Arial" w:hAnsi="Arial" w:cs="Arial"/>
              <w:b w:val="0"/>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6337">
            <w:rPr>
              <w:rFonts w:ascii="Arial" w:hAnsi="Arial" w:cs="Arial"/>
              <w:b w:val="0"/>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28A3FC63" w14:textId="7FCFD0E2" w:rsidR="00ED0F52" w:rsidRPr="00CF6337" w:rsidRDefault="00446D26">
          <w:pPr>
            <w:pStyle w:val="TOC1"/>
            <w:tabs>
              <w:tab w:val="right" w:leader="dot" w:pos="9016"/>
            </w:tabs>
            <w:rPr>
              <w:rFonts w:ascii="Arial" w:eastAsiaTheme="minorEastAsia" w:hAnsi="Arial" w:cs="Arial"/>
              <w:b w:val="0"/>
              <w:bCs w:val="0"/>
              <w:i w:val="0"/>
              <w:iCs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6337">
            <w:rPr>
              <w:rFonts w:ascii="Arial" w:hAnsi="Arial" w:cs="Arial"/>
              <w:b w:val="0"/>
              <w:bCs w:val="0"/>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TOC \o "1-3" \h \z \u </w:instrText>
          </w:r>
          <w:r w:rsidRPr="00CF6337">
            <w:rPr>
              <w:rFonts w:ascii="Arial" w:hAnsi="Arial" w:cs="Arial"/>
              <w:b w:val="0"/>
              <w:bCs w:val="0"/>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hyperlink w:anchor="_Toc212469183" w:history="1">
            <w:r w:rsidR="00ED0F52" w:rsidRPr="00CF6337">
              <w:rPr>
                <w:rStyle w:val="Hyperlink"/>
                <w:rFonts w:ascii="Arial" w:hAnsi="Arial" w:cs="Arial"/>
                <w:b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Executive Summary</w:t>
            </w:r>
            <w:r w:rsidR="00ED0F52"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ED0F52"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ED0F52"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_Toc212469183 \h </w:instrText>
            </w:r>
            <w:r w:rsidR="00ED0F52"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00ED0F52"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ED0F52"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ED0F52"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361626D3" w14:textId="67CA6CB3" w:rsidR="00ED0F52" w:rsidRPr="00CF6337" w:rsidRDefault="00ED0F52">
          <w:pPr>
            <w:pStyle w:val="TOC1"/>
            <w:tabs>
              <w:tab w:val="right" w:leader="dot" w:pos="9016"/>
            </w:tabs>
            <w:rPr>
              <w:rFonts w:ascii="Arial" w:eastAsiaTheme="minorEastAsia" w:hAnsi="Arial" w:cs="Arial"/>
              <w:b w:val="0"/>
              <w:bCs w:val="0"/>
              <w:i w:val="0"/>
              <w:iCs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84" w:history="1">
            <w:r w:rsidRPr="00CF6337">
              <w:rPr>
                <w:rStyle w:val="Hyperlink"/>
                <w:rFonts w:ascii="Arial" w:hAnsi="Arial" w:cs="Arial"/>
                <w:b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Introduction</w:t>
            </w:r>
            <w:r w:rsidRPr="00CF6337">
              <w:rPr>
                <w:rFonts w:ascii="Arial" w:hAnsi="Arial" w:cs="Arial"/>
                <w:b w:val="0"/>
                <w:bCs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_Toc212469184 \h </w:instrTex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0ADC43B9" w14:textId="63E94EDB" w:rsidR="00ED0F52" w:rsidRPr="00CF6337" w:rsidRDefault="00ED0F52">
          <w:pPr>
            <w:pStyle w:val="TOC1"/>
            <w:tabs>
              <w:tab w:val="right" w:leader="dot" w:pos="9016"/>
            </w:tabs>
            <w:rPr>
              <w:rFonts w:ascii="Arial" w:eastAsiaTheme="minorEastAsia" w:hAnsi="Arial" w:cs="Arial"/>
              <w:b w:val="0"/>
              <w:bCs w:val="0"/>
              <w:i w:val="0"/>
              <w:iCs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85" w:history="1">
            <w:r w:rsidRPr="00CF6337">
              <w:rPr>
                <w:rStyle w:val="Hyperlink"/>
                <w:rFonts w:ascii="Arial" w:hAnsi="Arial" w:cs="Arial"/>
                <w:b w:val="0"/>
                <w:noProof/>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Strategic Context and Situational Analysis</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_Toc212469185 \h </w:instrTex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3F1EC63B" w14:textId="2818325A"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86" w:history="1">
            <w:r w:rsidRPr="00CF6337">
              <w:rPr>
                <w:rStyle w:val="Hyperlink"/>
                <w:rFonts w:ascii="Arial"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 SWOT Analysis</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_Toc212469186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1AA79DDA" w14:textId="020C7D32"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87" w:history="1">
            <w:r w:rsidRPr="00CF6337">
              <w:rPr>
                <w:rStyle w:val="Hyperlink"/>
                <w:rFonts w:ascii="Arial" w:hAnsi="Arial" w:cs="Arial"/>
                <w:b w:val="0"/>
                <w:noProof/>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 PESTEL Analysis and SMART Objectives</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_Toc212469187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2B5F748F" w14:textId="0870B067"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88" w:history="1">
            <w:r w:rsidRPr="00CF6337">
              <w:rPr>
                <w:rStyle w:val="Hyperlink"/>
                <w:rFonts w:ascii="Arial"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 Summary of Key Stakeholders</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_Toc212469188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08076CEA" w14:textId="434273D9" w:rsidR="00ED0F52" w:rsidRPr="00CF6337" w:rsidRDefault="00ED0F52">
          <w:pPr>
            <w:pStyle w:val="TOC1"/>
            <w:tabs>
              <w:tab w:val="right" w:leader="dot" w:pos="9016"/>
            </w:tabs>
            <w:rPr>
              <w:rFonts w:ascii="Arial" w:eastAsiaTheme="minorEastAsia" w:hAnsi="Arial" w:cs="Arial"/>
              <w:b w:val="0"/>
              <w:bCs w:val="0"/>
              <w:i w:val="0"/>
              <w:iCs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89" w:history="1">
            <w:r w:rsidRPr="00CF6337">
              <w:rPr>
                <w:rStyle w:val="Hyperlink"/>
                <w:rFonts w:ascii="Arial" w:eastAsia="Times New Roman" w:hAnsi="Arial" w:cs="Arial"/>
                <w:b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Stakeholders: Roles, Benefits and Challenges</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_Toc212469189 \h </w:instrTex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1FEA141E" w14:textId="6072971F"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90" w:history="1">
            <w:r w:rsidRPr="00CF6337">
              <w:rPr>
                <w:rStyle w:val="Hyperlink"/>
                <w:rFonts w:ascii="Arial" w:eastAsia="Times New Roman"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3.1 Stakeholder Theory and Definitions</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_Toc212469190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721284D5" w14:textId="091D8210"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91" w:history="1">
            <w:r w:rsidRPr="00CF6337">
              <w:rPr>
                <w:rStyle w:val="Hyperlink"/>
                <w:rFonts w:ascii="Arial"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3.2 Internal Stakeholders</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_Toc212469191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4B7ED996" w14:textId="1F93EB59"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92" w:history="1">
            <w:r w:rsidRPr="00CF6337">
              <w:rPr>
                <w:rStyle w:val="Hyperlink"/>
                <w:rFonts w:ascii="Arial"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3.3 External Stakeholders</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_Toc212469192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5C6E3338" w14:textId="251564D2" w:rsidR="00ED0F52" w:rsidRPr="00CF6337" w:rsidRDefault="00ED0F52">
          <w:pPr>
            <w:pStyle w:val="TOC1"/>
            <w:tabs>
              <w:tab w:val="right" w:leader="dot" w:pos="9016"/>
            </w:tabs>
            <w:rPr>
              <w:rFonts w:ascii="Arial" w:eastAsiaTheme="minorEastAsia" w:hAnsi="Arial" w:cs="Arial"/>
              <w:b w:val="0"/>
              <w:bCs w:val="0"/>
              <w:i w:val="0"/>
              <w:iCs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93" w:history="1">
            <w:r w:rsidRPr="00CF6337">
              <w:rPr>
                <w:rStyle w:val="Hyperlink"/>
                <w:rFonts w:ascii="Arial" w:eastAsia="Times New Roman" w:hAnsi="Arial" w:cs="Arial"/>
                <w:b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Engagement Strategies and Frameworks</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_Toc212469193 \h </w:instrTex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0AAFE27C" w14:textId="128F9652"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94" w:history="1">
            <w:r w:rsidRPr="00CF6337">
              <w:rPr>
                <w:rStyle w:val="Hyperlink"/>
                <w:rFonts w:ascii="Arial" w:eastAsia="Times New Roman"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4.1 Stakeholder Mapping and Power/Interest Matrix</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_Toc212469194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18905B2F" w14:textId="265EFAF2"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95" w:history="1">
            <w:r w:rsidRPr="00CF6337">
              <w:rPr>
                <w:rStyle w:val="Hyperlink"/>
                <w:rFonts w:ascii="Arial"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4.2 SWANS and OWANS Analysis</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_Toc212469195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7506CD06" w14:textId="0B1794ED"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96" w:history="1">
            <w:r w:rsidRPr="00CF6337">
              <w:rPr>
                <w:rStyle w:val="Hyperlink"/>
                <w:rFonts w:ascii="Arial"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4.3 Communication Plan</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_Toc212469196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20F44CCD" w14:textId="300AABE2" w:rsidR="00ED0F52" w:rsidRPr="00CF6337" w:rsidRDefault="00ED0F52">
          <w:pPr>
            <w:pStyle w:val="TOC1"/>
            <w:tabs>
              <w:tab w:val="right" w:leader="dot" w:pos="9016"/>
            </w:tabs>
            <w:rPr>
              <w:rFonts w:ascii="Arial" w:eastAsiaTheme="minorEastAsia" w:hAnsi="Arial" w:cs="Arial"/>
              <w:b w:val="0"/>
              <w:bCs w:val="0"/>
              <w:i w:val="0"/>
              <w:iCs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97" w:history="1">
            <w:r w:rsidRPr="00CF6337">
              <w:rPr>
                <w:rStyle w:val="Hyperlink"/>
                <w:rFonts w:ascii="Arial" w:eastAsia="Times New Roman" w:hAnsi="Arial" w:cs="Arial"/>
                <w:b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4.4 RACI Matrix</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_Toc212469197 \h </w:instrTex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5733246C" w14:textId="157A49AD" w:rsidR="00ED0F52" w:rsidRPr="00CF6337" w:rsidRDefault="00ED0F52">
          <w:pPr>
            <w:pStyle w:val="TOC1"/>
            <w:tabs>
              <w:tab w:val="right" w:leader="dot" w:pos="9016"/>
            </w:tabs>
            <w:rPr>
              <w:rFonts w:ascii="Arial" w:eastAsiaTheme="minorEastAsia" w:hAnsi="Arial" w:cs="Arial"/>
              <w:b w:val="0"/>
              <w:bCs w:val="0"/>
              <w:i w:val="0"/>
              <w:iCs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98" w:history="1">
            <w:r w:rsidRPr="00CF6337">
              <w:rPr>
                <w:rStyle w:val="Hyperlink"/>
                <w:rFonts w:ascii="Arial" w:hAnsi="Arial" w:cs="Arial"/>
                <w:b w:val="0"/>
                <w:noProof/>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Process of Engagement and Conflict Management</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_Toc212469198 \h </w:instrTex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600915CE" w14:textId="535BC9B3"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199" w:history="1">
            <w:r w:rsidRPr="00CF6337">
              <w:rPr>
                <w:rStyle w:val="Hyperlink"/>
                <w:rFonts w:ascii="Arial" w:hAnsi="Arial" w:cs="Arial"/>
                <w:b w:val="0"/>
                <w:noProof/>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5.1 Engagement Process as Project Manager</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_Toc212469199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5796601E" w14:textId="08986EB4"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200" w:history="1">
            <w:r w:rsidRPr="00CF6337">
              <w:rPr>
                <w:rStyle w:val="Hyperlink"/>
                <w:rFonts w:ascii="Arial" w:eastAsia="Times New Roman"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5.2 Conflict Management</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_Toc212469200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13</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3EF24866" w14:textId="398D9318" w:rsidR="00ED0F52" w:rsidRPr="00CF6337" w:rsidRDefault="00ED0F52">
          <w:pPr>
            <w:pStyle w:val="TOC1"/>
            <w:tabs>
              <w:tab w:val="right" w:leader="dot" w:pos="9016"/>
            </w:tabs>
            <w:rPr>
              <w:rFonts w:ascii="Arial" w:eastAsiaTheme="minorEastAsia" w:hAnsi="Arial" w:cs="Arial"/>
              <w:b w:val="0"/>
              <w:bCs w:val="0"/>
              <w:i w:val="0"/>
              <w:iCs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201" w:history="1">
            <w:r w:rsidRPr="00CF6337">
              <w:rPr>
                <w:rStyle w:val="Hyperlink"/>
                <w:rFonts w:ascii="Arial" w:hAnsi="Arial" w:cs="Arial"/>
                <w:b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 Impact and Recommendations</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_Toc212469201 \h </w:instrTex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14</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6FD0414D" w14:textId="420DA7C3"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202" w:history="1">
            <w:r w:rsidRPr="00CF6337">
              <w:rPr>
                <w:rStyle w:val="Hyperlink"/>
                <w:rFonts w:ascii="Arial"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6.1 </w:t>
            </w:r>
            <w:r w:rsidRPr="00CF6337">
              <w:rPr>
                <w:rStyle w:val="Hyperlink"/>
                <w:rFonts w:ascii="Arial" w:eastAsia="Times New Roman"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Evaluation of Stakeholder Engagement Impact</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_Toc212469202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14</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2366156B" w14:textId="4177D562"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203" w:history="1">
            <w:r w:rsidRPr="00CF6337">
              <w:rPr>
                <w:rStyle w:val="Hyperlink"/>
                <w:rFonts w:ascii="Arial" w:hAnsi="Arial" w:cs="Arial"/>
                <w:b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6.2 </w:t>
            </w:r>
            <w:r w:rsidRPr="00CF6337">
              <w:rPr>
                <w:rStyle w:val="Hyperlink"/>
                <w:rFonts w:ascii="Arial" w:hAnsi="Arial" w:cs="Arial"/>
                <w:b w:val="0"/>
                <w:noProof/>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Recommendations for Future Stakeholder Engagement</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_Toc212469203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15</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1E5079D2" w14:textId="560DB43D" w:rsidR="00ED0F52" w:rsidRPr="00CF6337" w:rsidRDefault="00ED0F52">
          <w:pPr>
            <w:pStyle w:val="TOC1"/>
            <w:tabs>
              <w:tab w:val="right" w:leader="dot" w:pos="9016"/>
            </w:tabs>
            <w:rPr>
              <w:rFonts w:ascii="Arial" w:eastAsiaTheme="minorEastAsia" w:hAnsi="Arial" w:cs="Arial"/>
              <w:b w:val="0"/>
              <w:bCs w:val="0"/>
              <w:i w:val="0"/>
              <w:iCs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204" w:history="1">
            <w:r w:rsidRPr="00CF6337">
              <w:rPr>
                <w:rStyle w:val="Hyperlink"/>
                <w:rFonts w:ascii="Arial" w:hAnsi="Arial" w:cs="Arial"/>
                <w:b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 Conclusion</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_Toc212469204 \h </w:instrTex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105E3FDD" w14:textId="30252E85" w:rsidR="00ED0F52" w:rsidRPr="00CF6337" w:rsidRDefault="00ED0F52">
          <w:pPr>
            <w:pStyle w:val="TOC1"/>
            <w:tabs>
              <w:tab w:val="right" w:leader="dot" w:pos="9016"/>
            </w:tabs>
            <w:rPr>
              <w:rFonts w:ascii="Arial" w:eastAsiaTheme="minorEastAsia" w:hAnsi="Arial" w:cs="Arial"/>
              <w:b w:val="0"/>
              <w:bCs w:val="0"/>
              <w:i w:val="0"/>
              <w:iCs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205" w:history="1">
            <w:r w:rsidRPr="00CF6337">
              <w:rPr>
                <w:rStyle w:val="Hyperlink"/>
                <w:rFonts w:ascii="Arial" w:eastAsia="Times New Roman" w:hAnsi="Arial" w:cs="Arial"/>
                <w:b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_Toc212469205 \h </w:instrTex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0AC4BB35" w14:textId="62184123" w:rsidR="00ED0F52" w:rsidRPr="00CF6337" w:rsidRDefault="00ED0F52">
          <w:pPr>
            <w:pStyle w:val="TOC1"/>
            <w:tabs>
              <w:tab w:val="right" w:leader="dot" w:pos="9016"/>
            </w:tabs>
            <w:rPr>
              <w:rFonts w:ascii="Arial" w:eastAsiaTheme="minorEastAsia" w:hAnsi="Arial" w:cs="Arial"/>
              <w:b w:val="0"/>
              <w:bCs w:val="0"/>
              <w:i w:val="0"/>
              <w:iCs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206" w:history="1">
            <w:r w:rsidRPr="00CF6337">
              <w:rPr>
                <w:rStyle w:val="Hyperlink"/>
                <w:rFonts w:ascii="Arial" w:eastAsia="Times New Roman" w:hAnsi="Arial" w:cs="Arial"/>
                <w:b w:val="0"/>
                <w:noProof/>
                <w:color w:val="156082"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APPENDICES</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_Toc212469206 \h </w:instrTex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19</w:t>
            </w:r>
            <w:r w:rsidRPr="00CF6337">
              <w:rPr>
                <w:rFonts w:ascii="Arial" w:hAnsi="Arial" w:cs="Arial"/>
                <w:b w:val="0"/>
                <w:noProof/>
                <w:webHidden/>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384EA364" w14:textId="100CEF11"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207" w:history="1">
            <w:r w:rsidRPr="00CF6337">
              <w:rPr>
                <w:rStyle w:val="Hyperlink"/>
                <w:rFonts w:ascii="Arial" w:hAnsi="Arial" w:cs="Arial"/>
                <w:b w:val="0"/>
                <w:noProof/>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Appendix A: RACI Matrix</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_Toc212469207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19</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3BDF0394" w14:textId="2B455B19"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208" w:history="1">
            <w:r w:rsidRPr="00CF6337">
              <w:rPr>
                <w:rStyle w:val="Hyperlink"/>
                <w:rFonts w:ascii="Arial" w:hAnsi="Arial" w:cs="Arial"/>
                <w:b w:val="0"/>
                <w:noProof/>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Appendix B: Communication Plan Template</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_Toc212469208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19</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75990CD8" w14:textId="79429C37"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209" w:history="1">
            <w:r w:rsidRPr="00CF6337">
              <w:rPr>
                <w:rStyle w:val="Hyperlink"/>
                <w:rFonts w:ascii="Arial" w:hAnsi="Arial" w:cs="Arial"/>
                <w:b w:val="0"/>
                <w:noProof/>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Appendix C: SWANS/OWANS Analysis Table</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_Toc212469209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19</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0B8EB0A2" w14:textId="5C8C8072" w:rsidR="00ED0F52" w:rsidRPr="00CF6337" w:rsidRDefault="00ED0F52">
          <w:pPr>
            <w:pStyle w:val="TOC2"/>
            <w:tabs>
              <w:tab w:val="right" w:leader="dot" w:pos="9016"/>
            </w:tabs>
            <w:rPr>
              <w:rFonts w:ascii="Arial" w:eastAsiaTheme="minorEastAsia" w:hAnsi="Arial" w:cs="Arial"/>
              <w:b w:val="0"/>
              <w:bCs w:val="0"/>
              <w:noProof/>
              <w:color w:val="156082"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w:anchor="_Toc212469210" w:history="1">
            <w:r w:rsidRPr="00CF6337">
              <w:rPr>
                <w:rStyle w:val="Hyperlink"/>
                <w:rFonts w:ascii="Arial" w:hAnsi="Arial" w:cs="Arial"/>
                <w:b w:val="0"/>
                <w:noProof/>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Appendix E: Stakeholder Ecosystem</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PAGEREF _Toc212469210 \h </w:instrTex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w:t>
            </w:r>
            <w:r w:rsidRPr="00CF6337">
              <w:rPr>
                <w:rFonts w:ascii="Arial" w:hAnsi="Arial" w:cs="Arial"/>
                <w:b w:val="0"/>
                <w:noProof/>
                <w:webHidden/>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hyperlink>
        </w:p>
        <w:p w14:paraId="3082A66E" w14:textId="7C1AFB8F" w:rsidR="00446D26" w:rsidRPr="006D0B70" w:rsidRDefault="00446D26">
          <w:pPr>
            <w:rPr>
              <w:rFonts w:ascii="Arial" w:hAnsi="Arial" w:cs="Arial"/>
              <w:sz w:val="22"/>
              <w:szCs w:val="22"/>
            </w:rPr>
          </w:pPr>
          <w:r w:rsidRPr="00CF6337">
            <w:rPr>
              <w:rFonts w:ascii="Arial" w:hAnsi="Arial" w:cs="Arial"/>
              <w:bCs/>
              <w:noProof/>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sdtContent>
    </w:sdt>
    <w:p w14:paraId="6A342D2A" w14:textId="77777777" w:rsidR="005E27C4" w:rsidRPr="006D0B70" w:rsidRDefault="005E27C4" w:rsidP="00E71D15">
      <w:pPr>
        <w:spacing w:line="360" w:lineRule="auto"/>
        <w:jc w:val="both"/>
        <w:rPr>
          <w:rFonts w:ascii="Arial" w:eastAsia="Times New Roman" w:hAnsi="Arial" w:cs="Arial"/>
          <w:b/>
          <w:bCs/>
          <w:kern w:val="0"/>
          <w:sz w:val="22"/>
          <w:szCs w:val="22"/>
          <w:lang w:eastAsia="en-GB"/>
          <w14:ligatures w14:val="none"/>
        </w:rPr>
      </w:pPr>
    </w:p>
    <w:p w14:paraId="6B021F75" w14:textId="77777777" w:rsidR="00446D26" w:rsidRPr="006D0B70" w:rsidRDefault="00446D26" w:rsidP="00E71D15">
      <w:pPr>
        <w:spacing w:line="360" w:lineRule="auto"/>
        <w:jc w:val="both"/>
        <w:rPr>
          <w:rFonts w:ascii="Arial" w:eastAsia="Times New Roman" w:hAnsi="Arial" w:cs="Arial"/>
          <w:b/>
          <w:bCs/>
          <w:kern w:val="0"/>
          <w:sz w:val="22"/>
          <w:szCs w:val="22"/>
          <w:lang w:eastAsia="en-GB"/>
          <w14:ligatures w14:val="none"/>
        </w:rPr>
      </w:pPr>
    </w:p>
    <w:p w14:paraId="2F0349B8" w14:textId="77777777" w:rsidR="00446D26" w:rsidRPr="006D0B70" w:rsidRDefault="00446D26" w:rsidP="00E71D15">
      <w:pPr>
        <w:spacing w:line="360" w:lineRule="auto"/>
        <w:jc w:val="both"/>
        <w:rPr>
          <w:rFonts w:ascii="Arial" w:eastAsia="Times New Roman" w:hAnsi="Arial" w:cs="Arial"/>
          <w:b/>
          <w:bCs/>
          <w:kern w:val="0"/>
          <w:sz w:val="22"/>
          <w:szCs w:val="22"/>
          <w:lang w:eastAsia="en-GB"/>
          <w14:ligatures w14:val="none"/>
        </w:rPr>
      </w:pPr>
    </w:p>
    <w:p w14:paraId="148B9A26" w14:textId="77777777" w:rsidR="00446D26" w:rsidRPr="006D0B70" w:rsidRDefault="00446D26" w:rsidP="00E71D15">
      <w:pPr>
        <w:spacing w:line="360" w:lineRule="auto"/>
        <w:jc w:val="both"/>
        <w:rPr>
          <w:rFonts w:ascii="Arial" w:eastAsia="Times New Roman" w:hAnsi="Arial" w:cs="Arial"/>
          <w:b/>
          <w:bCs/>
          <w:kern w:val="0"/>
          <w:sz w:val="22"/>
          <w:szCs w:val="22"/>
          <w:lang w:eastAsia="en-GB"/>
          <w14:ligatures w14:val="none"/>
        </w:rPr>
      </w:pPr>
    </w:p>
    <w:p w14:paraId="4BE18524" w14:textId="77777777" w:rsidR="00446D26" w:rsidRPr="006D0B70" w:rsidRDefault="00446D26" w:rsidP="00E71D15">
      <w:pPr>
        <w:spacing w:line="360" w:lineRule="auto"/>
        <w:jc w:val="both"/>
        <w:rPr>
          <w:rFonts w:ascii="Arial" w:eastAsia="Times New Roman" w:hAnsi="Arial" w:cs="Arial"/>
          <w:b/>
          <w:bCs/>
          <w:kern w:val="0"/>
          <w:sz w:val="22"/>
          <w:szCs w:val="22"/>
          <w:lang w:eastAsia="en-GB"/>
          <w14:ligatures w14:val="none"/>
        </w:rPr>
      </w:pPr>
    </w:p>
    <w:p w14:paraId="10C50DF2" w14:textId="6077ACFC" w:rsidR="00C372DD" w:rsidRPr="006D0B70" w:rsidRDefault="00C372DD" w:rsidP="00E71D15">
      <w:pPr>
        <w:pStyle w:val="Heading1"/>
        <w:rPr>
          <w:rFonts w:ascii="Arial" w:hAnsi="Arial" w:cs="Arial"/>
          <w:sz w:val="22"/>
          <w:szCs w:val="22"/>
          <w:lang w:eastAsia="en-GB"/>
        </w:rPr>
      </w:pPr>
      <w:bookmarkStart w:id="1" w:name="_Toc212469184"/>
      <w:r w:rsidRPr="006D0B70">
        <w:rPr>
          <w:rFonts w:ascii="Arial" w:hAnsi="Arial" w:cs="Arial"/>
          <w:sz w:val="22"/>
          <w:szCs w:val="22"/>
          <w:lang w:eastAsia="en-GB"/>
        </w:rPr>
        <w:t>1. Introduction</w:t>
      </w:r>
      <w:bookmarkEnd w:id="1"/>
    </w:p>
    <w:p w14:paraId="72B4A6B9" w14:textId="77777777" w:rsidR="00C372DD"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Current Health is a digital health company based in the UK that was launched in Edinburgh in 2015 and focuses on remote patient monitoring (RPM) and hospital-at-home services. Current </w:t>
      </w:r>
      <w:r w:rsidRPr="006D0B70">
        <w:rPr>
          <w:rFonts w:ascii="Arial" w:hAnsi="Arial" w:cs="Arial"/>
          <w:sz w:val="22"/>
          <w:szCs w:val="22"/>
          <w:lang w:eastAsia="en-GB"/>
        </w:rPr>
        <w:lastRenderedPageBreak/>
        <w:t>Health is now a part of Best Buy Health (acquired in 2021), and it collaborates with leading institutions, including the NHS Scotland, Mount Sinai, and the Mayo Clinic to offer wearable health devices that monitor patient vitals in real time (heart rate, oxygen saturation, temperature, and mobility) (Current Health, 2021). The company has established itself as a central figure in the digital health revolution that will occur post-pandemic, allowing the company to intervene earlier and address chronic diseases in large-scale (NHS Scotland, 2022).</w:t>
      </w:r>
    </w:p>
    <w:p w14:paraId="176CEEB0" w14:textId="77777777" w:rsidR="00C372DD"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The suggested project is oriented on developing, designing, and launching a new wearable device, which will be able to monitor heart rate, blood oxygen level, and sleep patterns and that will be offered to both the public sector customers (such as NHS trusts) and the individual consumer. Product development, data analytics, compliance, and marketing cross-functional teams will be involved in the project that will last over six months. This is encompassed within technical prototyping, clinical validation, regulatory clearance (e.g. MHRA) and integration with care delivery platforms.</w:t>
      </w:r>
    </w:p>
    <w:p w14:paraId="60DDBC8E" w14:textId="03E98576" w:rsidR="00FC6B0A"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With the health tech market being very regulated and complex, the involvement of a stakeholder will be a determining factor in the success of the project. Innovation in healthcare does not usually fail due to poor technology, and sometimes, it is a failure of the stakeholder expectations, or a lack of buy-in among the important partners (Christopher et al., 2013). Here, the internal stakeholders (product teams, leadership, compliance) and external ones (clinicians, patients, regulators) will be required to be identified, engaged, and aligned. The report will be a critical analysis of the stakeholder situation of this project based on frameworks like the SWANS/OWANS, RACI, and the Stakeholder Typology and will assess the processes, models, and effect of effective engagement </w:t>
      </w:r>
      <w:proofErr w:type="gramStart"/>
      <w:r w:rsidRPr="006D0B70">
        <w:rPr>
          <w:rFonts w:ascii="Arial" w:hAnsi="Arial" w:cs="Arial"/>
          <w:sz w:val="22"/>
          <w:szCs w:val="22"/>
          <w:lang w:eastAsia="en-GB"/>
        </w:rPr>
        <w:t>with regard to</w:t>
      </w:r>
      <w:proofErr w:type="gramEnd"/>
      <w:r w:rsidRPr="006D0B70">
        <w:rPr>
          <w:rFonts w:ascii="Arial" w:hAnsi="Arial" w:cs="Arial"/>
          <w:sz w:val="22"/>
          <w:szCs w:val="22"/>
          <w:lang w:eastAsia="en-GB"/>
        </w:rPr>
        <w:t xml:space="preserve"> the best practices of project management.</w:t>
      </w:r>
    </w:p>
    <w:p w14:paraId="6B58CF3A" w14:textId="096A22B9" w:rsidR="00C372DD" w:rsidRPr="006D0B70" w:rsidRDefault="00C372DD" w:rsidP="00E71D15">
      <w:pPr>
        <w:pStyle w:val="Heading1"/>
        <w:rPr>
          <w:rFonts w:ascii="Arial" w:hAnsi="Arial" w:cs="Arial"/>
          <w:sz w:val="22"/>
          <w:szCs w:val="22"/>
        </w:rPr>
      </w:pPr>
      <w:bookmarkStart w:id="2" w:name="_Toc212469185"/>
      <w:r w:rsidRPr="006D0B70">
        <w:rPr>
          <w:rFonts w:ascii="Arial" w:hAnsi="Arial" w:cs="Arial"/>
          <w:sz w:val="22"/>
          <w:szCs w:val="22"/>
        </w:rPr>
        <w:t>2. Strategic Context and Situational Analysis</w:t>
      </w:r>
      <w:bookmarkEnd w:id="2"/>
    </w:p>
    <w:p w14:paraId="40A3BA84" w14:textId="3CA6F02D" w:rsidR="00C372DD" w:rsidRPr="006D0B70" w:rsidRDefault="00C372DD" w:rsidP="00E71D15">
      <w:pPr>
        <w:pStyle w:val="Heading2"/>
        <w:rPr>
          <w:rFonts w:ascii="Arial" w:hAnsi="Arial" w:cs="Arial"/>
          <w:sz w:val="22"/>
          <w:szCs w:val="22"/>
          <w:lang w:eastAsia="en-GB"/>
        </w:rPr>
      </w:pPr>
      <w:bookmarkStart w:id="3" w:name="_Toc212469186"/>
      <w:r w:rsidRPr="006D0B70">
        <w:rPr>
          <w:rFonts w:ascii="Arial" w:hAnsi="Arial" w:cs="Arial"/>
          <w:sz w:val="22"/>
          <w:szCs w:val="22"/>
          <w:lang w:eastAsia="en-GB"/>
        </w:rPr>
        <w:t>2.1 SWOT Analysis</w:t>
      </w:r>
      <w:bookmarkEnd w:id="3"/>
    </w:p>
    <w:p w14:paraId="643726FA" w14:textId="77777777" w:rsidR="00C372DD"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Current Health is in the market of dynamic and fast-changing digital health. On the internal front, the company has a very strong core strength of having a proven capability to provide remote patient monitoring (RPM) solutions as evidenced in their collaboration with major healthcare providers including NHS Scotland and Mayo Clinic (Best Buy Health, 2022). Its current wearable platform already monitors various vital signs placing the company in a good position to develop products through iteration. Also, the fact that its system is integrated with existing clinical workflow improves its efficiency and scalability in care delivery (NHS Scotland, 2022). The other internal strength is clinical credibility of the company which is backed by its adherence to the regulatory frameworks of UK, including MHRA and NHS Digital standards.</w:t>
      </w:r>
    </w:p>
    <w:p w14:paraId="32DF3A89" w14:textId="77777777" w:rsidR="00C372DD"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lastRenderedPageBreak/>
        <w:t>Nevertheless, internal weaknesses also exist. The innovation cycles may be limited by the inability of the company, due to its relative simplicity and the lack of R&amp;D resources, in comparison with the world technological giants. Moreover, the dependence on the cooperation with public health organisations may cause the time delay in the operations because of bureaucracy (Kings Fund, 2023). Such limitations might include timelines to test the product and regulatory clearances to use the new wearable.</w:t>
      </w:r>
    </w:p>
    <w:p w14:paraId="38D55AF5" w14:textId="77777777" w:rsidR="00C372DD"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On the outside, there are great opportunities. By 2030, the market of wearable health technologies is estimated to be more than 61 billion worldwide because of the ageing population and the shift towards proactive and data-driven care (Fortune Business Insights, 2023). The higher rate of investment in digital health infrastructure by the UK government and post-pandemic drive towards the delivery of virtual care offers an opportune environment to innovate (NHS England, 2023). In addition, the increasing consumerism in personal health monitoring offers a promising entry point into the private market besides the institutional healthcare.</w:t>
      </w:r>
    </w:p>
    <w:p w14:paraId="6C0F43E4" w14:textId="77777777" w:rsidR="00C372DD"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Competition poses a threat as the company faces well-established technology companies that already hold a consumer presence and possess a strong brand equity and data ecosystem that dominate in markets. Health data privacy is also the subject of increasing public attention, such as in the UK GDPR and NHS Information Governance systems (ICO, 2023). The perceived misuse of health data would negatively affect the adoption rates and potentially damage the reputation of the company as it would undermine the trust of the stakeholders.</w:t>
      </w:r>
    </w:p>
    <w:p w14:paraId="01FFE32A" w14:textId="5E77CD9C" w:rsidR="00C372DD" w:rsidRPr="006D0B70" w:rsidRDefault="00C372DD" w:rsidP="00E71D15">
      <w:pPr>
        <w:pStyle w:val="Heading2"/>
        <w:rPr>
          <w:rFonts w:ascii="Arial" w:hAnsi="Arial" w:cs="Arial"/>
          <w:sz w:val="22"/>
          <w:szCs w:val="22"/>
        </w:rPr>
      </w:pPr>
      <w:bookmarkStart w:id="4" w:name="_Toc212469187"/>
      <w:r w:rsidRPr="006D0B70">
        <w:rPr>
          <w:rFonts w:ascii="Arial" w:hAnsi="Arial" w:cs="Arial"/>
          <w:sz w:val="22"/>
          <w:szCs w:val="22"/>
        </w:rPr>
        <w:t>2.2 PESTEL Analysis and SMART Objectives</w:t>
      </w:r>
      <w:bookmarkEnd w:id="4"/>
    </w:p>
    <w:p w14:paraId="112B4AF1" w14:textId="01F3D35A" w:rsidR="00C372DD"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Political environment in the UK has been more inclined towards digital health innovation, with policy support at the Department of Health and Social Care on remote care technologies. Nevertheless, political unrest near the NHS funding models and procurements could be a threat to implementation schedules (Nuffield Trust, 2023). The NHS post-COVID recovery plan with economic focus will involve strategic investments into technologies that will lead to a decrease in bed occupancy and home-based care, which will provide an excellent environment in which RPM solutions can take root (The Health Foundation, 2022).</w:t>
      </w:r>
    </w:p>
    <w:p w14:paraId="44E6ACA8" w14:textId="77777777" w:rsidR="00C372DD"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Socially, the needs of individualised, preventative health care are rising. The use of wearable technologies is turning into a more acceptable, even expected phenomenon, particularly among younger and technological audiences regarding their health concerns and the desire to stay active. However, older populations or people with lower income levels may be digitally excluded, which might impact on user engagement, unless it is mitigated by inclusive design (Age UK, 2023).</w:t>
      </w:r>
    </w:p>
    <w:p w14:paraId="607A9035" w14:textId="77777777" w:rsidR="00C372DD"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On the technological side, the development of AI and cloud infrastructure provides the scalability in real-time data processing, which increases the value of health wearables. </w:t>
      </w:r>
      <w:r w:rsidRPr="006D0B70">
        <w:rPr>
          <w:rFonts w:ascii="Arial" w:hAnsi="Arial" w:cs="Arial"/>
          <w:sz w:val="22"/>
          <w:szCs w:val="22"/>
          <w:lang w:eastAsia="en-GB"/>
        </w:rPr>
        <w:lastRenderedPageBreak/>
        <w:t xml:space="preserve">Nonetheless, problems with integration with old NHS IT systems are still an issue (BMJ, 2023). Stakeholders are increasingly concerned about the environmental impact of device materials and processes involved in the disposal of devices, especially institutional purchasers that follow NHS Net Zero strategy (NHS England, 2021). The new device </w:t>
      </w:r>
      <w:proofErr w:type="gramStart"/>
      <w:r w:rsidRPr="006D0B70">
        <w:rPr>
          <w:rFonts w:ascii="Arial" w:hAnsi="Arial" w:cs="Arial"/>
          <w:sz w:val="22"/>
          <w:szCs w:val="22"/>
          <w:lang w:eastAsia="en-GB"/>
        </w:rPr>
        <w:t>has to</w:t>
      </w:r>
      <w:proofErr w:type="gramEnd"/>
      <w:r w:rsidRPr="006D0B70">
        <w:rPr>
          <w:rFonts w:ascii="Arial" w:hAnsi="Arial" w:cs="Arial"/>
          <w:sz w:val="22"/>
          <w:szCs w:val="22"/>
          <w:lang w:eastAsia="en-GB"/>
        </w:rPr>
        <w:t xml:space="preserve"> legally fit the classification of MHRA Class </w:t>
      </w:r>
      <w:proofErr w:type="spellStart"/>
      <w:r w:rsidRPr="006D0B70">
        <w:rPr>
          <w:rFonts w:ascii="Arial" w:hAnsi="Arial" w:cs="Arial"/>
          <w:sz w:val="22"/>
          <w:szCs w:val="22"/>
          <w:lang w:eastAsia="en-GB"/>
        </w:rPr>
        <w:t>IIa</w:t>
      </w:r>
      <w:proofErr w:type="spellEnd"/>
      <w:r w:rsidRPr="006D0B70">
        <w:rPr>
          <w:rFonts w:ascii="Arial" w:hAnsi="Arial" w:cs="Arial"/>
          <w:sz w:val="22"/>
          <w:szCs w:val="22"/>
          <w:lang w:eastAsia="en-GB"/>
        </w:rPr>
        <w:t xml:space="preserve"> medical device and comply with the strict post-market surveillance requirements (MHRA, 2023).</w:t>
      </w:r>
    </w:p>
    <w:p w14:paraId="58FB1FAA" w14:textId="77777777" w:rsidR="00C372DD" w:rsidRPr="006D0B70" w:rsidRDefault="00C372DD" w:rsidP="00E71D15">
      <w:pPr>
        <w:spacing w:line="360" w:lineRule="auto"/>
        <w:jc w:val="both"/>
        <w:rPr>
          <w:rFonts w:ascii="Arial" w:hAnsi="Arial" w:cs="Arial"/>
          <w:sz w:val="22"/>
          <w:szCs w:val="22"/>
          <w:lang w:eastAsia="en-GB"/>
        </w:rPr>
      </w:pPr>
      <w:proofErr w:type="gramStart"/>
      <w:r w:rsidRPr="006D0B70">
        <w:rPr>
          <w:rFonts w:ascii="Arial" w:hAnsi="Arial" w:cs="Arial"/>
          <w:sz w:val="22"/>
          <w:szCs w:val="22"/>
          <w:lang w:eastAsia="en-GB"/>
        </w:rPr>
        <w:t>On the basis of</w:t>
      </w:r>
      <w:proofErr w:type="gramEnd"/>
      <w:r w:rsidRPr="006D0B70">
        <w:rPr>
          <w:rFonts w:ascii="Arial" w:hAnsi="Arial" w:cs="Arial"/>
          <w:sz w:val="22"/>
          <w:szCs w:val="22"/>
          <w:lang w:eastAsia="en-GB"/>
        </w:rPr>
        <w:t xml:space="preserve"> the analysis, the following SMART objectives are presented:</w:t>
      </w:r>
    </w:p>
    <w:p w14:paraId="34FA9181" w14:textId="77777777" w:rsidR="00C372DD" w:rsidRPr="006D0B70" w:rsidRDefault="00C372DD" w:rsidP="00E71D15">
      <w:pPr>
        <w:pStyle w:val="ListParagraph"/>
        <w:numPr>
          <w:ilvl w:val="0"/>
          <w:numId w:val="23"/>
        </w:numPr>
        <w:spacing w:line="360" w:lineRule="auto"/>
        <w:jc w:val="both"/>
        <w:rPr>
          <w:rFonts w:ascii="Arial" w:hAnsi="Arial" w:cs="Arial"/>
          <w:sz w:val="22"/>
          <w:szCs w:val="22"/>
          <w:lang w:eastAsia="en-GB"/>
        </w:rPr>
      </w:pPr>
      <w:r w:rsidRPr="006D0B70">
        <w:rPr>
          <w:rFonts w:ascii="Arial" w:hAnsi="Arial" w:cs="Arial"/>
          <w:sz w:val="22"/>
          <w:szCs w:val="22"/>
          <w:lang w:eastAsia="en-GB"/>
        </w:rPr>
        <w:t>Specific: Introduce a new wearable device to monitor heart rate, blood oxygen and sleep, in accordance with the MHRA and NHS Digital guidelines.</w:t>
      </w:r>
    </w:p>
    <w:p w14:paraId="0BACC60D" w14:textId="77777777" w:rsidR="00C372DD" w:rsidRPr="006D0B70" w:rsidRDefault="00C372DD" w:rsidP="00E71D15">
      <w:pPr>
        <w:pStyle w:val="ListParagraph"/>
        <w:numPr>
          <w:ilvl w:val="0"/>
          <w:numId w:val="23"/>
        </w:numPr>
        <w:spacing w:line="360" w:lineRule="auto"/>
        <w:jc w:val="both"/>
        <w:rPr>
          <w:rFonts w:ascii="Arial" w:hAnsi="Arial" w:cs="Arial"/>
          <w:sz w:val="22"/>
          <w:szCs w:val="22"/>
          <w:lang w:eastAsia="en-GB"/>
        </w:rPr>
      </w:pPr>
      <w:r w:rsidRPr="006D0B70">
        <w:rPr>
          <w:rFonts w:ascii="Arial" w:hAnsi="Arial" w:cs="Arial"/>
          <w:sz w:val="22"/>
          <w:szCs w:val="22"/>
          <w:lang w:eastAsia="en-GB"/>
        </w:rPr>
        <w:t>Measurable: Within the first 90 days following the launch, achieve clinical validation with 2 NHS pilot programmes.</w:t>
      </w:r>
    </w:p>
    <w:p w14:paraId="7E369F6F" w14:textId="41D2DE3D" w:rsidR="00C372DD" w:rsidRPr="006D0B70" w:rsidRDefault="00C372DD" w:rsidP="00E71D15">
      <w:pPr>
        <w:pStyle w:val="ListParagraph"/>
        <w:numPr>
          <w:ilvl w:val="0"/>
          <w:numId w:val="23"/>
        </w:numPr>
        <w:spacing w:line="360" w:lineRule="auto"/>
        <w:jc w:val="both"/>
        <w:rPr>
          <w:rFonts w:ascii="Arial" w:hAnsi="Arial" w:cs="Arial"/>
          <w:sz w:val="22"/>
          <w:szCs w:val="22"/>
          <w:lang w:eastAsia="en-GB"/>
        </w:rPr>
      </w:pPr>
      <w:r w:rsidRPr="006D0B70">
        <w:rPr>
          <w:rStyle w:val="Strong"/>
          <w:rFonts w:ascii="Arial" w:hAnsi="Arial" w:cs="Arial"/>
          <w:b w:val="0"/>
          <w:bCs w:val="0"/>
          <w:color w:val="000000"/>
          <w:sz w:val="22"/>
          <w:szCs w:val="22"/>
        </w:rPr>
        <w:t>Achievable</w:t>
      </w:r>
      <w:r w:rsidRPr="006D0B70">
        <w:rPr>
          <w:rFonts w:ascii="Arial" w:hAnsi="Arial" w:cs="Arial"/>
          <w:sz w:val="22"/>
          <w:szCs w:val="22"/>
        </w:rPr>
        <w:t>:</w:t>
      </w:r>
      <w:r w:rsidR="002711EC">
        <w:rPr>
          <w:rFonts w:ascii="Arial" w:hAnsi="Arial" w:cs="Arial"/>
          <w:sz w:val="22"/>
          <w:szCs w:val="22"/>
        </w:rPr>
        <w:t xml:space="preserve"> </w:t>
      </w:r>
      <w:r w:rsidRPr="006D0B70">
        <w:rPr>
          <w:rFonts w:ascii="Arial" w:hAnsi="Arial" w:cs="Arial"/>
          <w:sz w:val="22"/>
          <w:szCs w:val="22"/>
          <w:lang w:eastAsia="en-GB"/>
        </w:rPr>
        <w:t>Full product development and obtain regulatory approval in six months.</w:t>
      </w:r>
    </w:p>
    <w:p w14:paraId="108F66CE" w14:textId="77777777" w:rsidR="00C372DD" w:rsidRPr="006D0B70" w:rsidRDefault="00C372DD" w:rsidP="00E71D15">
      <w:pPr>
        <w:pStyle w:val="ListParagraph"/>
        <w:numPr>
          <w:ilvl w:val="0"/>
          <w:numId w:val="23"/>
        </w:numPr>
        <w:spacing w:line="360" w:lineRule="auto"/>
        <w:jc w:val="both"/>
        <w:rPr>
          <w:rFonts w:ascii="Arial" w:hAnsi="Arial" w:cs="Arial"/>
          <w:sz w:val="22"/>
          <w:szCs w:val="22"/>
          <w:lang w:eastAsia="en-GB"/>
        </w:rPr>
      </w:pPr>
      <w:r w:rsidRPr="006D0B70">
        <w:rPr>
          <w:rFonts w:ascii="Arial" w:hAnsi="Arial" w:cs="Arial"/>
          <w:sz w:val="22"/>
          <w:szCs w:val="22"/>
          <w:lang w:eastAsia="en-GB"/>
        </w:rPr>
        <w:t>Relevant: Position the product against the NHS virtual care objectives and digital health strategies.</w:t>
      </w:r>
    </w:p>
    <w:p w14:paraId="68679B84" w14:textId="77777777" w:rsidR="00C372DD" w:rsidRPr="006D0B70" w:rsidRDefault="00C372DD" w:rsidP="00E71D15">
      <w:pPr>
        <w:pStyle w:val="ListParagraph"/>
        <w:numPr>
          <w:ilvl w:val="0"/>
          <w:numId w:val="23"/>
        </w:numPr>
        <w:spacing w:line="360" w:lineRule="auto"/>
        <w:jc w:val="both"/>
        <w:rPr>
          <w:rFonts w:ascii="Arial" w:hAnsi="Arial" w:cs="Arial"/>
          <w:sz w:val="22"/>
          <w:szCs w:val="22"/>
          <w:lang w:eastAsia="en-GB"/>
        </w:rPr>
      </w:pPr>
      <w:r w:rsidRPr="006D0B70">
        <w:rPr>
          <w:rFonts w:ascii="Arial" w:hAnsi="Arial" w:cs="Arial"/>
          <w:sz w:val="22"/>
          <w:szCs w:val="22"/>
          <w:lang w:eastAsia="en-GB"/>
        </w:rPr>
        <w:t>Time-bound: Within the first 60 days of project initiation, complete stakeholder engagement plans and stakeholder onboarding.</w:t>
      </w:r>
    </w:p>
    <w:p w14:paraId="69C5F702" w14:textId="77777777" w:rsidR="00C372DD"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These are goals that help achieve successful project delivery as well as effective stakeholder engagement during the development and launch stages.</w:t>
      </w:r>
    </w:p>
    <w:p w14:paraId="6AA202AE" w14:textId="77777777" w:rsidR="00C372DD" w:rsidRPr="006D0B70" w:rsidRDefault="00C372DD" w:rsidP="00E71D15">
      <w:pPr>
        <w:pStyle w:val="Heading2"/>
        <w:rPr>
          <w:rFonts w:ascii="Arial" w:hAnsi="Arial" w:cs="Arial"/>
          <w:sz w:val="22"/>
          <w:szCs w:val="22"/>
          <w:lang w:eastAsia="en-GB"/>
        </w:rPr>
      </w:pPr>
      <w:bookmarkStart w:id="5" w:name="_Toc212469188"/>
      <w:r w:rsidRPr="006D0B70">
        <w:rPr>
          <w:rFonts w:ascii="Arial" w:hAnsi="Arial" w:cs="Arial"/>
          <w:sz w:val="22"/>
          <w:szCs w:val="22"/>
          <w:lang w:eastAsia="en-GB"/>
        </w:rPr>
        <w:t>2.3 Summary of Key Stakeholders</w:t>
      </w:r>
      <w:bookmarkEnd w:id="5"/>
    </w:p>
    <w:p w14:paraId="364D3EDA" w14:textId="27635FA0" w:rsidR="00FC6B0A" w:rsidRPr="006D0B70" w:rsidRDefault="00C372DD"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The project has both </w:t>
      </w:r>
      <w:proofErr w:type="gramStart"/>
      <w:r w:rsidRPr="006D0B70">
        <w:rPr>
          <w:rFonts w:ascii="Arial" w:hAnsi="Arial" w:cs="Arial"/>
          <w:sz w:val="22"/>
          <w:szCs w:val="22"/>
          <w:lang w:eastAsia="en-GB"/>
        </w:rPr>
        <w:t>a large number of</w:t>
      </w:r>
      <w:proofErr w:type="gramEnd"/>
      <w:r w:rsidRPr="006D0B70">
        <w:rPr>
          <w:rFonts w:ascii="Arial" w:hAnsi="Arial" w:cs="Arial"/>
          <w:sz w:val="22"/>
          <w:szCs w:val="22"/>
          <w:lang w:eastAsia="en-GB"/>
        </w:rPr>
        <w:t xml:space="preserve"> internal and external stakeholders. Internal stakeholders will consist of product development team, clinical advisory board, compliance officers, marketing and sales departments, and executive leadership. Among the external stakeholders, there are NHS partners, patients and caregivers, medical regulators (e.g., MHRA), data protection authorities (e.g., ICO), wearable hardware suppliers, and potential Best Buy Health investor. Stakeholder mapping, typologies, and RACI frameworks will critically be used to examine their interests, influence, and resource dependency in later sections.</w:t>
      </w:r>
    </w:p>
    <w:p w14:paraId="4BB8E734" w14:textId="308D7AB8" w:rsidR="00690B7C" w:rsidRPr="006D0B70" w:rsidRDefault="00690B7C" w:rsidP="00E71D15">
      <w:pPr>
        <w:pStyle w:val="Heading1"/>
        <w:rPr>
          <w:rFonts w:ascii="Arial" w:eastAsia="Times New Roman" w:hAnsi="Arial" w:cs="Arial"/>
          <w:sz w:val="22"/>
          <w:szCs w:val="22"/>
          <w:lang w:eastAsia="en-GB"/>
        </w:rPr>
      </w:pPr>
      <w:bookmarkStart w:id="6" w:name="_Toc212469189"/>
      <w:r w:rsidRPr="006D0B70">
        <w:rPr>
          <w:rFonts w:ascii="Arial" w:eastAsia="Times New Roman" w:hAnsi="Arial" w:cs="Arial"/>
          <w:sz w:val="22"/>
          <w:szCs w:val="22"/>
          <w:lang w:eastAsia="en-GB"/>
        </w:rPr>
        <w:t>3. Stakeholders: Roles, Benefits and Challenges</w:t>
      </w:r>
      <w:bookmarkEnd w:id="6"/>
      <w:r w:rsidR="00A267A6">
        <w:rPr>
          <w:rFonts w:ascii="Arial" w:eastAsia="Times New Roman" w:hAnsi="Arial" w:cs="Arial"/>
          <w:sz w:val="22"/>
          <w:szCs w:val="22"/>
          <w:lang w:eastAsia="en-GB"/>
        </w:rPr>
        <w:t xml:space="preserve"> </w:t>
      </w:r>
      <w:proofErr w:type="gramStart"/>
      <w:r w:rsidR="005F0B63">
        <w:rPr>
          <w:rFonts w:ascii="Arial" w:eastAsia="Times New Roman" w:hAnsi="Arial" w:cs="Arial"/>
          <w:sz w:val="22"/>
          <w:szCs w:val="22"/>
          <w:lang w:eastAsia="en-GB"/>
        </w:rPr>
        <w:t xml:space="preserve">( </w:t>
      </w:r>
      <w:r w:rsidR="0091626D">
        <w:rPr>
          <w:rFonts w:ascii="Arial" w:eastAsia="Times New Roman" w:hAnsi="Arial" w:cs="Arial"/>
          <w:sz w:val="22"/>
          <w:szCs w:val="22"/>
          <w:lang w:eastAsia="en-GB"/>
        </w:rPr>
        <w:t>Appendix</w:t>
      </w:r>
      <w:proofErr w:type="gramEnd"/>
      <w:r w:rsidR="005F0B63">
        <w:rPr>
          <w:rFonts w:ascii="Arial" w:eastAsia="Times New Roman" w:hAnsi="Arial" w:cs="Arial"/>
          <w:sz w:val="22"/>
          <w:szCs w:val="22"/>
          <w:lang w:eastAsia="en-GB"/>
        </w:rPr>
        <w:t xml:space="preserve"> E</w:t>
      </w:r>
      <w:r w:rsidR="0091626D">
        <w:rPr>
          <w:rFonts w:ascii="Arial" w:eastAsia="Times New Roman" w:hAnsi="Arial" w:cs="Arial"/>
          <w:sz w:val="22"/>
          <w:szCs w:val="22"/>
          <w:lang w:eastAsia="en-GB"/>
        </w:rPr>
        <w:t>)</w:t>
      </w:r>
    </w:p>
    <w:p w14:paraId="0F8A9846" w14:textId="0E5800A8" w:rsidR="00690B7C" w:rsidRPr="006D0B70" w:rsidRDefault="00690B7C" w:rsidP="00E71D15">
      <w:pPr>
        <w:pStyle w:val="Heading2"/>
        <w:rPr>
          <w:rFonts w:ascii="Arial" w:eastAsia="Times New Roman" w:hAnsi="Arial" w:cs="Arial"/>
          <w:sz w:val="22"/>
          <w:szCs w:val="22"/>
          <w:lang w:eastAsia="en-GB"/>
        </w:rPr>
      </w:pPr>
      <w:bookmarkStart w:id="7" w:name="_Toc212469190"/>
      <w:r w:rsidRPr="006D0B70">
        <w:rPr>
          <w:rFonts w:ascii="Arial" w:eastAsia="Times New Roman" w:hAnsi="Arial" w:cs="Arial"/>
          <w:sz w:val="22"/>
          <w:szCs w:val="22"/>
          <w:lang w:eastAsia="en-GB"/>
        </w:rPr>
        <w:t>3.1 Stakeholder Theory and Definitions</w:t>
      </w:r>
      <w:bookmarkEnd w:id="7"/>
    </w:p>
    <w:p w14:paraId="78B6FEA0"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The stakeholders are people or organisations who influence or are influenced by the activities of an organisation (Freeman, 1984). This has been narrowed down to individuals with valid claims on the firm due to their involvement in organisational affairs (Hill and Jones, 1992). Clarkson (1995) then made a further difference between primary stakeholders whose support is fundamental to organisational survival and secondary stakeholders, who do not buy or sell the firm but affect or are affected by it. The stakeholders may be both internal (within the </w:t>
      </w:r>
      <w:r w:rsidRPr="006D0B70">
        <w:rPr>
          <w:rFonts w:ascii="Arial" w:hAnsi="Arial" w:cs="Arial"/>
          <w:sz w:val="22"/>
          <w:szCs w:val="22"/>
          <w:lang w:eastAsia="en-GB"/>
        </w:rPr>
        <w:lastRenderedPageBreak/>
        <w:t>organisation) and external (outside the organisation) as well as the level of their expectations and power. These dynamics are the key to a productive interaction and the success of the project.</w:t>
      </w:r>
    </w:p>
    <w:p w14:paraId="4596A167" w14:textId="77777777" w:rsidR="00690B7C" w:rsidRPr="006D0B70" w:rsidRDefault="00690B7C" w:rsidP="00E71D15">
      <w:pPr>
        <w:pStyle w:val="Heading2"/>
        <w:rPr>
          <w:rFonts w:ascii="Arial" w:hAnsi="Arial" w:cs="Arial"/>
          <w:sz w:val="22"/>
          <w:szCs w:val="22"/>
          <w:lang w:eastAsia="en-GB"/>
        </w:rPr>
      </w:pPr>
      <w:bookmarkStart w:id="8" w:name="_Toc212469191"/>
      <w:r w:rsidRPr="006D0B70">
        <w:rPr>
          <w:rFonts w:ascii="Arial" w:hAnsi="Arial" w:cs="Arial"/>
          <w:sz w:val="22"/>
          <w:szCs w:val="22"/>
          <w:lang w:eastAsia="en-GB"/>
        </w:rPr>
        <w:t>3.2 Internal Stakeholders</w:t>
      </w:r>
      <w:bookmarkEnd w:id="8"/>
    </w:p>
    <w:p w14:paraId="3EBACC40"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In the case of the Current Health project, the internal stakeholders are critical in setting project direction, compliance, and providing innovation. The project manager is the focal point of communication that connects the internal and external actors and coordinates the operational objectives with the strategic priorities. Bourne (2016) cites effective communication with stakeholders as leaders of any project as a direct correlation with project success, and in a multi-stakeholder setting like the healthcare one, complexity is a factor.</w:t>
      </w:r>
    </w:p>
    <w:p w14:paraId="1F3A994E"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The product development team, comprising of biomedical engineers, software developers, and data scientists, makes certain that the product is of clinical and technical quality. They make a major contribution by putting stakeholder demands into product functionality (Zainon et al., 2020). But the development teams are usually limited to insufficient resources, regulatory factors and changing technical needs and this can cause tension as well as scope creep within the team.</w:t>
      </w:r>
    </w:p>
    <w:p w14:paraId="261807F3"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The marketing and communications team is strategic in developing the end-user and institutional partner narratives. They are essential to developing consumer confidence in wearable technology reliability and privacy (PwC, 2021). However, they have the dilemma of being both clinical and persuasive particularly in an area where exaggerated statements can harm reputation.</w:t>
      </w:r>
    </w:p>
    <w:p w14:paraId="02F5BB1D"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Lastly, executive leadership offers governance, financial management and </w:t>
      </w:r>
      <w:proofErr w:type="gramStart"/>
      <w:r w:rsidRPr="006D0B70">
        <w:rPr>
          <w:rFonts w:ascii="Arial" w:hAnsi="Arial" w:cs="Arial"/>
          <w:sz w:val="22"/>
          <w:szCs w:val="22"/>
          <w:lang w:eastAsia="en-GB"/>
        </w:rPr>
        <w:t>long term</w:t>
      </w:r>
      <w:proofErr w:type="gramEnd"/>
      <w:r w:rsidRPr="006D0B70">
        <w:rPr>
          <w:rFonts w:ascii="Arial" w:hAnsi="Arial" w:cs="Arial"/>
          <w:sz w:val="22"/>
          <w:szCs w:val="22"/>
          <w:lang w:eastAsia="en-GB"/>
        </w:rPr>
        <w:t xml:space="preserve"> vision. They make sure that strategic objectives, including commercial scalability and brand integrity are consistent with the ethical and regulatory requirements. Nevertheless, the discrepancies between the growth aspirations of the leadership and the precision requirements of technical teams may be internal strain points (Turner and Zolin, 2012).</w:t>
      </w:r>
    </w:p>
    <w:p w14:paraId="2818061A"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Internal stakeholders are the executives and the project managers, which have power, legitimacy and urgency according to the stakeholder typology compiled by Mitchell et al. (1997), thus, they are definitive stakeholders. Dominating stakeholders are the development and marketing teams, which, though having legitimate decision-making authority, have limited decision-making power and need regular communication and consultation.</w:t>
      </w:r>
    </w:p>
    <w:p w14:paraId="3CAEE0A0" w14:textId="77777777" w:rsidR="00690B7C" w:rsidRPr="006D0B70" w:rsidRDefault="00690B7C" w:rsidP="00E71D15">
      <w:pPr>
        <w:pStyle w:val="Heading2"/>
        <w:rPr>
          <w:rFonts w:ascii="Arial" w:hAnsi="Arial" w:cs="Arial"/>
          <w:sz w:val="22"/>
          <w:szCs w:val="22"/>
          <w:lang w:eastAsia="en-GB"/>
        </w:rPr>
      </w:pPr>
      <w:bookmarkStart w:id="9" w:name="_Toc212469192"/>
      <w:r w:rsidRPr="006D0B70">
        <w:rPr>
          <w:rFonts w:ascii="Arial" w:hAnsi="Arial" w:cs="Arial"/>
          <w:sz w:val="22"/>
          <w:szCs w:val="22"/>
          <w:lang w:eastAsia="en-GB"/>
        </w:rPr>
        <w:t>3.3 External Stakeholders</w:t>
      </w:r>
      <w:bookmarkEnd w:id="9"/>
    </w:p>
    <w:p w14:paraId="1BEC280E"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The external stakeholders have an impact on the project by regulating, collaborating, and adopting the end-users. The end-users of the wearable technology of Current Health are the patients and caregivers. They are important stakeholders in co-design and clinical validation, as their feedback influences the usability and data interpretation (Greenhalgh et al., 2020). </w:t>
      </w:r>
      <w:r w:rsidRPr="006D0B70">
        <w:rPr>
          <w:rFonts w:ascii="Arial" w:hAnsi="Arial" w:cs="Arial"/>
          <w:sz w:val="22"/>
          <w:szCs w:val="22"/>
          <w:lang w:eastAsia="en-GB"/>
        </w:rPr>
        <w:lastRenderedPageBreak/>
        <w:t xml:space="preserve">Nonetheless, the presence of patient diversities in terms of age, digital literacy and health status creates some engagement challenges (Age UK, 2023). Patients have a legitimate right and urgency; however, they have limited </w:t>
      </w:r>
      <w:proofErr w:type="gramStart"/>
      <w:r w:rsidRPr="006D0B70">
        <w:rPr>
          <w:rFonts w:ascii="Arial" w:hAnsi="Arial" w:cs="Arial"/>
          <w:sz w:val="22"/>
          <w:szCs w:val="22"/>
          <w:lang w:eastAsia="en-GB"/>
        </w:rPr>
        <w:t>power, and</w:t>
      </w:r>
      <w:proofErr w:type="gramEnd"/>
      <w:r w:rsidRPr="006D0B70">
        <w:rPr>
          <w:rFonts w:ascii="Arial" w:hAnsi="Arial" w:cs="Arial"/>
          <w:sz w:val="22"/>
          <w:szCs w:val="22"/>
          <w:lang w:eastAsia="en-GB"/>
        </w:rPr>
        <w:t xml:space="preserve"> thus are dependent stakeholders according to the framework of Mitchell.</w:t>
      </w:r>
    </w:p>
    <w:p w14:paraId="4DC950F7"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Regulatory forces like the Medicines and Healthcare products Regulatory Agency (MHRA) and the Information Commissioner’s Office (ICO) are very influential in the approval of devices and control of data. Failure to comply might slow down access to the market or result in punishment. These stakeholders are a combination of power, legitimacy, and urgency, and may be considered definitive stakeholders (MHRA, 2023; ICO, 2023).</w:t>
      </w:r>
    </w:p>
    <w:p w14:paraId="3F33F031"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Another important external stakeholder is the NHS. Being a clinical partner and early adopter, NHS organisations offer access to patients, data validation, as well as credibility (NHS England, 2023). But they have bureaucratic procurement systems and varying levels of digital preparedness that may slow down implementation (The Health Foundation, 2022). NHS is hence a source of power and legitimacy and may play a dominant role in pilot stages.</w:t>
      </w:r>
    </w:p>
    <w:p w14:paraId="4692672F"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Suppliers, such as component vendors and cloud computing providers, make sure that there will be available and reliable materials and data infrastructure. The disruptions in the supply chain, which occurred during the COVID-19, may be dangerous (McKinsey, 2022). Although suppliers have power with control over key inputs, their interest and legitimacy </w:t>
      </w:r>
      <w:proofErr w:type="gramStart"/>
      <w:r w:rsidRPr="006D0B70">
        <w:rPr>
          <w:rFonts w:ascii="Arial" w:hAnsi="Arial" w:cs="Arial"/>
          <w:sz w:val="22"/>
          <w:szCs w:val="22"/>
          <w:lang w:eastAsia="en-GB"/>
        </w:rPr>
        <w:t>is</w:t>
      </w:r>
      <w:proofErr w:type="gramEnd"/>
      <w:r w:rsidRPr="006D0B70">
        <w:rPr>
          <w:rFonts w:ascii="Arial" w:hAnsi="Arial" w:cs="Arial"/>
          <w:sz w:val="22"/>
          <w:szCs w:val="22"/>
          <w:lang w:eastAsia="en-GB"/>
        </w:rPr>
        <w:t xml:space="preserve"> rather transactional and they are dormant stakeholders.</w:t>
      </w:r>
    </w:p>
    <w:p w14:paraId="798D58AD"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Finally, the investor representatives of Best Buy Health affect the strategic decision-making process by financing and long-term perspectives. The project financial scope is determined by their expectations on the ROI and the time-to-market. Investors are dominant stakeholders, who can be described as having power and legitimacy, yet their urgency may change with changes in the business financial cycles (Best Buy Health, 2022).</w:t>
      </w:r>
    </w:p>
    <w:p w14:paraId="04AE2C50" w14:textId="742022C3" w:rsidR="00FC6B0A" w:rsidRPr="006D0B70" w:rsidRDefault="00690B7C" w:rsidP="00E71D15">
      <w:pPr>
        <w:spacing w:line="360" w:lineRule="auto"/>
        <w:jc w:val="both"/>
        <w:rPr>
          <w:rFonts w:ascii="Arial" w:hAnsi="Arial" w:cs="Arial"/>
          <w:sz w:val="22"/>
          <w:szCs w:val="22"/>
          <w:lang w:eastAsia="en-GB"/>
        </w:rPr>
      </w:pPr>
      <w:proofErr w:type="gramStart"/>
      <w:r w:rsidRPr="006D0B70">
        <w:rPr>
          <w:rFonts w:ascii="Arial" w:hAnsi="Arial" w:cs="Arial"/>
          <w:sz w:val="22"/>
          <w:szCs w:val="22"/>
          <w:lang w:eastAsia="en-GB"/>
        </w:rPr>
        <w:t>On the whole</w:t>
      </w:r>
      <w:proofErr w:type="gramEnd"/>
      <w:r w:rsidRPr="006D0B70">
        <w:rPr>
          <w:rFonts w:ascii="Arial" w:hAnsi="Arial" w:cs="Arial"/>
          <w:sz w:val="22"/>
          <w:szCs w:val="22"/>
          <w:lang w:eastAsia="en-GB"/>
        </w:rPr>
        <w:t>, the key to effective stakeholder management in this respect lies in the active communication, clear regulation, and the correspondence of interests of various stakeholders, all of which is supported by mutual responsibility and trust (Christopher et al., 2013).</w:t>
      </w:r>
    </w:p>
    <w:p w14:paraId="35BC9FEF" w14:textId="12D49A08" w:rsidR="00690B7C" w:rsidRPr="006D0B70" w:rsidRDefault="00690B7C" w:rsidP="00E71D15">
      <w:pPr>
        <w:pStyle w:val="Heading1"/>
        <w:rPr>
          <w:rFonts w:ascii="Arial" w:eastAsia="Times New Roman" w:hAnsi="Arial" w:cs="Arial"/>
          <w:sz w:val="22"/>
          <w:szCs w:val="22"/>
          <w:lang w:eastAsia="en-GB"/>
        </w:rPr>
      </w:pPr>
      <w:bookmarkStart w:id="10" w:name="_Toc212469193"/>
      <w:r w:rsidRPr="006D0B70">
        <w:rPr>
          <w:rFonts w:ascii="Arial" w:eastAsia="Times New Roman" w:hAnsi="Arial" w:cs="Arial"/>
          <w:sz w:val="22"/>
          <w:szCs w:val="22"/>
          <w:lang w:eastAsia="en-GB"/>
        </w:rPr>
        <w:t>4. Engagement Strategies and Frameworks</w:t>
      </w:r>
      <w:bookmarkEnd w:id="10"/>
    </w:p>
    <w:p w14:paraId="2050529E" w14:textId="5DBD1104" w:rsidR="00690B7C" w:rsidRPr="006D0B70" w:rsidRDefault="00690B7C" w:rsidP="00E71D15">
      <w:pPr>
        <w:pStyle w:val="Heading2"/>
        <w:rPr>
          <w:rFonts w:ascii="Arial" w:eastAsia="Times New Roman" w:hAnsi="Arial" w:cs="Arial"/>
          <w:sz w:val="22"/>
          <w:szCs w:val="22"/>
          <w:lang w:eastAsia="en-GB"/>
        </w:rPr>
      </w:pPr>
      <w:bookmarkStart w:id="11" w:name="_Toc212469194"/>
      <w:r w:rsidRPr="006D0B70">
        <w:rPr>
          <w:rFonts w:ascii="Arial" w:eastAsia="Times New Roman" w:hAnsi="Arial" w:cs="Arial"/>
          <w:sz w:val="22"/>
          <w:szCs w:val="22"/>
          <w:lang w:eastAsia="en-GB"/>
        </w:rPr>
        <w:t>4.1 Stakeholder Mapping and Power/Interest Matrix</w:t>
      </w:r>
      <w:bookmarkEnd w:id="11"/>
    </w:p>
    <w:p w14:paraId="680F2A4F"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Through stakeholder mapping, project managers </w:t>
      </w:r>
      <w:proofErr w:type="gramStart"/>
      <w:r w:rsidRPr="006D0B70">
        <w:rPr>
          <w:rFonts w:ascii="Arial" w:hAnsi="Arial" w:cs="Arial"/>
          <w:sz w:val="22"/>
          <w:szCs w:val="22"/>
          <w:lang w:eastAsia="en-GB"/>
        </w:rPr>
        <w:t>are able to</w:t>
      </w:r>
      <w:proofErr w:type="gramEnd"/>
      <w:r w:rsidRPr="006D0B70">
        <w:rPr>
          <w:rFonts w:ascii="Arial" w:hAnsi="Arial" w:cs="Arial"/>
          <w:sz w:val="22"/>
          <w:szCs w:val="22"/>
          <w:lang w:eastAsia="en-GB"/>
        </w:rPr>
        <w:t xml:space="preserve"> discover, rank and differentiate engagement strategy, depending on the impact and concern of any given stakeholder group. With the help of the Power/Interest Matrix developed by Mendelow (1991), the stakeholders may be classified into four quadrants:</w:t>
      </w:r>
    </w:p>
    <w:p w14:paraId="28D71921" w14:textId="77777777" w:rsidR="00690B7C" w:rsidRPr="006D0B70" w:rsidRDefault="00690B7C" w:rsidP="00E71D15">
      <w:pPr>
        <w:pStyle w:val="ListParagraph"/>
        <w:numPr>
          <w:ilvl w:val="0"/>
          <w:numId w:val="24"/>
        </w:numPr>
        <w:spacing w:line="360" w:lineRule="auto"/>
        <w:jc w:val="both"/>
        <w:rPr>
          <w:rFonts w:ascii="Arial" w:hAnsi="Arial" w:cs="Arial"/>
          <w:sz w:val="22"/>
          <w:szCs w:val="22"/>
          <w:lang w:eastAsia="en-GB"/>
        </w:rPr>
      </w:pPr>
      <w:r w:rsidRPr="006D0B70">
        <w:rPr>
          <w:rFonts w:ascii="Arial" w:hAnsi="Arial" w:cs="Arial"/>
          <w:sz w:val="22"/>
          <w:szCs w:val="22"/>
          <w:lang w:eastAsia="en-GB"/>
        </w:rPr>
        <w:t>High Power, High Interest: NHS partners, MHRA, project manager, executive leadership.</w:t>
      </w:r>
    </w:p>
    <w:p w14:paraId="5EEBC733" w14:textId="3AFF3697" w:rsidR="00690B7C" w:rsidRPr="006D0B70" w:rsidRDefault="00690B7C" w:rsidP="00E71D15">
      <w:pPr>
        <w:pStyle w:val="ListParagraph"/>
        <w:numPr>
          <w:ilvl w:val="0"/>
          <w:numId w:val="24"/>
        </w:numPr>
        <w:spacing w:line="360" w:lineRule="auto"/>
        <w:jc w:val="both"/>
        <w:rPr>
          <w:rFonts w:ascii="Arial" w:hAnsi="Arial" w:cs="Arial"/>
          <w:sz w:val="22"/>
          <w:szCs w:val="22"/>
          <w:lang w:eastAsia="en-GB"/>
        </w:rPr>
      </w:pPr>
      <w:r w:rsidRPr="006D0B70">
        <w:rPr>
          <w:rFonts w:ascii="Arial" w:hAnsi="Arial" w:cs="Arial"/>
          <w:sz w:val="22"/>
          <w:szCs w:val="22"/>
          <w:lang w:eastAsia="en-GB"/>
        </w:rPr>
        <w:lastRenderedPageBreak/>
        <w:t>High power</w:t>
      </w:r>
      <w:r w:rsidR="00080616" w:rsidRPr="006D0B70">
        <w:rPr>
          <w:rFonts w:ascii="Arial" w:hAnsi="Arial" w:cs="Arial"/>
          <w:sz w:val="22"/>
          <w:szCs w:val="22"/>
          <w:lang w:eastAsia="en-GB"/>
        </w:rPr>
        <w:t>,</w:t>
      </w:r>
      <w:r w:rsidRPr="006D0B70">
        <w:rPr>
          <w:rFonts w:ascii="Arial" w:hAnsi="Arial" w:cs="Arial"/>
          <w:sz w:val="22"/>
          <w:szCs w:val="22"/>
          <w:lang w:eastAsia="en-GB"/>
        </w:rPr>
        <w:t xml:space="preserve"> </w:t>
      </w:r>
      <w:r w:rsidR="00080616" w:rsidRPr="006D0B70">
        <w:rPr>
          <w:rFonts w:ascii="Arial" w:hAnsi="Arial" w:cs="Arial"/>
          <w:sz w:val="22"/>
          <w:szCs w:val="22"/>
          <w:lang w:eastAsia="en-GB"/>
        </w:rPr>
        <w:t>L</w:t>
      </w:r>
      <w:r w:rsidRPr="006D0B70">
        <w:rPr>
          <w:rFonts w:ascii="Arial" w:hAnsi="Arial" w:cs="Arial"/>
          <w:sz w:val="22"/>
          <w:szCs w:val="22"/>
          <w:lang w:eastAsia="en-GB"/>
        </w:rPr>
        <w:t>ow interest: Investors (Best Buy Health), non-MHRA regulatory bodies (e.g. ICO).</w:t>
      </w:r>
    </w:p>
    <w:p w14:paraId="1645E2EB" w14:textId="77777777" w:rsidR="00690B7C" w:rsidRPr="006D0B70" w:rsidRDefault="00690B7C" w:rsidP="00E71D15">
      <w:pPr>
        <w:pStyle w:val="ListParagraph"/>
        <w:numPr>
          <w:ilvl w:val="0"/>
          <w:numId w:val="24"/>
        </w:numPr>
        <w:spacing w:line="360" w:lineRule="auto"/>
        <w:jc w:val="both"/>
        <w:rPr>
          <w:rFonts w:ascii="Arial" w:hAnsi="Arial" w:cs="Arial"/>
          <w:sz w:val="22"/>
          <w:szCs w:val="22"/>
          <w:lang w:eastAsia="en-GB"/>
        </w:rPr>
      </w:pPr>
      <w:r w:rsidRPr="006D0B70">
        <w:rPr>
          <w:rFonts w:ascii="Arial" w:hAnsi="Arial" w:cs="Arial"/>
          <w:sz w:val="22"/>
          <w:szCs w:val="22"/>
          <w:lang w:eastAsia="en-GB"/>
        </w:rPr>
        <w:t>Low Power, High Interest Patients, product development team, marketing team.</w:t>
      </w:r>
    </w:p>
    <w:p w14:paraId="121F20B9" w14:textId="77777777" w:rsidR="00690B7C" w:rsidRPr="006D0B70" w:rsidRDefault="00690B7C" w:rsidP="00E71D15">
      <w:pPr>
        <w:pStyle w:val="ListParagraph"/>
        <w:numPr>
          <w:ilvl w:val="0"/>
          <w:numId w:val="24"/>
        </w:numPr>
        <w:spacing w:line="360" w:lineRule="auto"/>
        <w:jc w:val="both"/>
        <w:rPr>
          <w:rFonts w:ascii="Arial" w:hAnsi="Arial" w:cs="Arial"/>
          <w:sz w:val="22"/>
          <w:szCs w:val="22"/>
          <w:lang w:eastAsia="en-GB"/>
        </w:rPr>
      </w:pPr>
      <w:r w:rsidRPr="006D0B70">
        <w:rPr>
          <w:rFonts w:ascii="Arial" w:hAnsi="Arial" w:cs="Arial"/>
          <w:sz w:val="22"/>
          <w:szCs w:val="22"/>
          <w:lang w:eastAsia="en-GB"/>
        </w:rPr>
        <w:t>Low Power, Low Interest: Suppliers of hardware components.</w:t>
      </w:r>
    </w:p>
    <w:p w14:paraId="4F371A65"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All categories will require a varying level of engagement strategy. As an illustration, high power/high interest stakeholders should have ongoing collaboration and co-decision-making, whereas low power/high interest groups have the chance to regularly update and receive feedback (Bourne, 2016).</w:t>
      </w:r>
    </w:p>
    <w:p w14:paraId="0FFC6F95"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In Figure 1 below, the given matrix is used in the case of the Current Health wearable device launch.</w:t>
      </w:r>
    </w:p>
    <w:p w14:paraId="3F135C9E" w14:textId="77777777" w:rsidR="00080616" w:rsidRPr="006D0B70" w:rsidRDefault="00080616" w:rsidP="00E71D15">
      <w:pPr>
        <w:spacing w:line="360" w:lineRule="auto"/>
        <w:jc w:val="both"/>
        <w:rPr>
          <w:rFonts w:ascii="Arial" w:hAnsi="Arial" w:cs="Arial"/>
          <w:sz w:val="22"/>
          <w:szCs w:val="22"/>
          <w:lang w:eastAsia="en-GB"/>
        </w:rPr>
      </w:pPr>
    </w:p>
    <w:p w14:paraId="62516744" w14:textId="25DB7780" w:rsidR="00690B7C" w:rsidRPr="006D0B70" w:rsidRDefault="00080616" w:rsidP="00E71D15">
      <w:pPr>
        <w:spacing w:line="360" w:lineRule="auto"/>
        <w:jc w:val="both"/>
        <w:rPr>
          <w:rFonts w:ascii="Arial" w:hAnsi="Arial" w:cs="Arial"/>
          <w:sz w:val="22"/>
          <w:szCs w:val="22"/>
          <w:lang w:eastAsia="en-GB"/>
        </w:rPr>
      </w:pPr>
      <w:r w:rsidRPr="006D0B70">
        <w:rPr>
          <w:rFonts w:ascii="Arial" w:hAnsi="Arial" w:cs="Arial"/>
          <w:sz w:val="22"/>
          <w:szCs w:val="22"/>
        </w:rPr>
        <w:fldChar w:fldCharType="begin"/>
      </w:r>
      <w:r w:rsidR="00B33CE5" w:rsidRPr="006D0B70">
        <w:rPr>
          <w:rFonts w:ascii="Arial" w:hAnsi="Arial" w:cs="Arial"/>
          <w:sz w:val="22"/>
          <w:szCs w:val="22"/>
        </w:rPr>
        <w:instrText xml:space="preserve"> INCLUDEPICTURE "C:\\Users\\sabrinas\\Library\\Group Containers\\UBF8T346G9.ms\\WebArchiveCopyPasteTempFiles\\com.microsoft.Word\\content?id=file-TS6YtBgY1b6tYEXLvgpag3&amp;ts=489324&amp;p=fs&amp;cid=1&amp;sig=c845a1c894590aacffc74de715368b090892c590e7e17468207a75ad89d68a88&amp;v=0" \* MERGEFORMAT </w:instrText>
      </w:r>
      <w:r w:rsidRPr="006D0B70">
        <w:rPr>
          <w:rFonts w:ascii="Arial" w:hAnsi="Arial" w:cs="Arial"/>
          <w:sz w:val="22"/>
          <w:szCs w:val="22"/>
        </w:rPr>
        <w:fldChar w:fldCharType="separate"/>
      </w:r>
      <w:r w:rsidRPr="006D0B70">
        <w:rPr>
          <w:rFonts w:ascii="Arial" w:hAnsi="Arial" w:cs="Arial"/>
          <w:noProof/>
          <w:sz w:val="22"/>
          <w:szCs w:val="22"/>
        </w:rPr>
        <w:drawing>
          <wp:inline distT="0" distB="0" distL="0" distR="0" wp14:anchorId="750A80B1" wp14:editId="02EFEC1D">
            <wp:extent cx="5731088" cy="3396343"/>
            <wp:effectExtent l="152400" t="152400" r="365125" b="356870"/>
            <wp:docPr id="504061332"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utput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41389" cy="3402448"/>
                    </a:xfrm>
                    <a:prstGeom prst="rect">
                      <a:avLst/>
                    </a:prstGeom>
                    <a:ln>
                      <a:noFill/>
                    </a:ln>
                    <a:effectLst>
                      <a:outerShdw blurRad="292100" dist="139700" dir="2700000" algn="tl" rotWithShape="0">
                        <a:srgbClr val="333333">
                          <a:alpha val="65000"/>
                        </a:srgbClr>
                      </a:outerShdw>
                    </a:effectLst>
                  </pic:spPr>
                </pic:pic>
              </a:graphicData>
            </a:graphic>
          </wp:inline>
        </w:drawing>
      </w:r>
      <w:r w:rsidRPr="006D0B70">
        <w:rPr>
          <w:rFonts w:ascii="Arial" w:hAnsi="Arial" w:cs="Arial"/>
          <w:sz w:val="22"/>
          <w:szCs w:val="22"/>
        </w:rPr>
        <w:fldChar w:fldCharType="end"/>
      </w:r>
    </w:p>
    <w:p w14:paraId="67F3881F"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This tool enables specific engagement planning, so that the project manager can invest effort in areas that will generate the best value and minimize risk.</w:t>
      </w:r>
    </w:p>
    <w:p w14:paraId="04BA0719" w14:textId="23380A73" w:rsidR="00690B7C" w:rsidRPr="006D0B70" w:rsidRDefault="00690B7C" w:rsidP="00E71D15">
      <w:pPr>
        <w:spacing w:line="360" w:lineRule="auto"/>
        <w:jc w:val="both"/>
        <w:rPr>
          <w:rFonts w:ascii="Arial" w:hAnsi="Arial" w:cs="Arial"/>
          <w:sz w:val="22"/>
          <w:szCs w:val="22"/>
          <w:lang w:eastAsia="en-GB"/>
        </w:rPr>
      </w:pPr>
    </w:p>
    <w:p w14:paraId="6FAF0AE4" w14:textId="363C6DD4" w:rsidR="00690B7C" w:rsidRPr="006D0B70" w:rsidRDefault="00690B7C" w:rsidP="00E71D15">
      <w:pPr>
        <w:pStyle w:val="Heading2"/>
        <w:rPr>
          <w:rFonts w:ascii="Arial" w:hAnsi="Arial" w:cs="Arial"/>
          <w:sz w:val="22"/>
          <w:szCs w:val="22"/>
          <w:lang w:eastAsia="en-GB"/>
        </w:rPr>
      </w:pPr>
      <w:bookmarkStart w:id="12" w:name="_Toc212469195"/>
      <w:r w:rsidRPr="006D0B70">
        <w:rPr>
          <w:rFonts w:ascii="Arial" w:hAnsi="Arial" w:cs="Arial"/>
          <w:sz w:val="22"/>
          <w:szCs w:val="22"/>
          <w:lang w:eastAsia="en-GB"/>
        </w:rPr>
        <w:t>4.2 SWANS and OWANS Analysis</w:t>
      </w:r>
      <w:bookmarkEnd w:id="12"/>
      <w:r w:rsidR="0091626D">
        <w:rPr>
          <w:rFonts w:ascii="Arial" w:hAnsi="Arial" w:cs="Arial"/>
          <w:sz w:val="22"/>
          <w:szCs w:val="22"/>
          <w:lang w:eastAsia="en-GB"/>
        </w:rPr>
        <w:t xml:space="preserve"> (Appendix C)</w:t>
      </w:r>
    </w:p>
    <w:p w14:paraId="2941D19A"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The SWANS and OWANS model offers a two-lens model to match the expectations of the stakeholders with the organisational objectives (Ashcroft, 2017). SWANS is the abbreviation of the Stakeholder Wants and Needs, and OWANS is the abbreviation of the Organisation Wants and Needs. Best delivery of a project is at the cross-over point of these dimensions where alignment generates value.</w:t>
      </w:r>
    </w:p>
    <w:p w14:paraId="5D12D5B0"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lastRenderedPageBreak/>
        <w:t>In this project:</w:t>
      </w:r>
    </w:p>
    <w:p w14:paraId="369CAB7D" w14:textId="4018B398"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SWANS:</w:t>
      </w:r>
    </w:p>
    <w:p w14:paraId="336B9920" w14:textId="5E43EFAE" w:rsidR="00690B7C" w:rsidRPr="006D0B70" w:rsidRDefault="00690B7C" w:rsidP="00E71D15">
      <w:pPr>
        <w:pStyle w:val="ListParagraph"/>
        <w:numPr>
          <w:ilvl w:val="0"/>
          <w:numId w:val="25"/>
        </w:numPr>
        <w:spacing w:line="360" w:lineRule="auto"/>
        <w:jc w:val="both"/>
        <w:rPr>
          <w:rFonts w:ascii="Arial" w:hAnsi="Arial" w:cs="Arial"/>
          <w:sz w:val="22"/>
          <w:szCs w:val="22"/>
          <w:lang w:eastAsia="en-GB"/>
        </w:rPr>
      </w:pPr>
      <w:r w:rsidRPr="006D0B70">
        <w:rPr>
          <w:rFonts w:ascii="Arial" w:hAnsi="Arial" w:cs="Arial"/>
          <w:sz w:val="22"/>
          <w:szCs w:val="22"/>
          <w:lang w:eastAsia="en-GB"/>
        </w:rPr>
        <w:t>NHS clinicians: desire support of clinical reliability, ease of use, integration with existing systems.</w:t>
      </w:r>
    </w:p>
    <w:p w14:paraId="41DE3BBD" w14:textId="6F4EC5AB" w:rsidR="00690B7C" w:rsidRPr="006D0B70" w:rsidRDefault="00690B7C" w:rsidP="00E71D15">
      <w:pPr>
        <w:pStyle w:val="ListParagraph"/>
        <w:numPr>
          <w:ilvl w:val="0"/>
          <w:numId w:val="25"/>
        </w:numPr>
        <w:spacing w:line="360" w:lineRule="auto"/>
        <w:jc w:val="both"/>
        <w:rPr>
          <w:rFonts w:ascii="Arial" w:hAnsi="Arial" w:cs="Arial"/>
          <w:sz w:val="22"/>
          <w:szCs w:val="22"/>
          <w:lang w:eastAsia="en-GB"/>
        </w:rPr>
      </w:pPr>
      <w:r w:rsidRPr="006D0B70">
        <w:rPr>
          <w:rFonts w:ascii="Arial" w:hAnsi="Arial" w:cs="Arial"/>
          <w:sz w:val="22"/>
          <w:szCs w:val="22"/>
          <w:lang w:eastAsia="en-GB"/>
        </w:rPr>
        <w:t>Patients: demand data transparency, trust, privacy.</w:t>
      </w:r>
    </w:p>
    <w:p w14:paraId="05A696B5" w14:textId="3C021AB2" w:rsidR="00690B7C" w:rsidRPr="006D0B70" w:rsidRDefault="00690B7C" w:rsidP="00E71D15">
      <w:pPr>
        <w:pStyle w:val="ListParagraph"/>
        <w:numPr>
          <w:ilvl w:val="0"/>
          <w:numId w:val="25"/>
        </w:numPr>
        <w:spacing w:line="360" w:lineRule="auto"/>
        <w:jc w:val="both"/>
        <w:rPr>
          <w:rFonts w:ascii="Arial" w:hAnsi="Arial" w:cs="Arial"/>
          <w:sz w:val="22"/>
          <w:szCs w:val="22"/>
          <w:lang w:eastAsia="en-GB"/>
        </w:rPr>
      </w:pPr>
      <w:r w:rsidRPr="006D0B70">
        <w:rPr>
          <w:rFonts w:ascii="Arial" w:hAnsi="Arial" w:cs="Arial"/>
          <w:sz w:val="22"/>
          <w:szCs w:val="22"/>
          <w:lang w:eastAsia="en-GB"/>
        </w:rPr>
        <w:t>Regulators: enforce data compliance, data governance, and data audit trails.</w:t>
      </w:r>
    </w:p>
    <w:p w14:paraId="62F05772" w14:textId="37C6F5F5" w:rsidR="00690B7C" w:rsidRPr="006D0B70" w:rsidRDefault="00690B7C" w:rsidP="00E71D15">
      <w:pPr>
        <w:pStyle w:val="ListParagraph"/>
        <w:numPr>
          <w:ilvl w:val="0"/>
          <w:numId w:val="25"/>
        </w:numPr>
        <w:spacing w:line="360" w:lineRule="auto"/>
        <w:jc w:val="both"/>
        <w:rPr>
          <w:rFonts w:ascii="Arial" w:hAnsi="Arial" w:cs="Arial"/>
          <w:sz w:val="22"/>
          <w:szCs w:val="22"/>
          <w:lang w:eastAsia="en-GB"/>
        </w:rPr>
      </w:pPr>
      <w:r w:rsidRPr="006D0B70">
        <w:rPr>
          <w:rFonts w:ascii="Arial" w:hAnsi="Arial" w:cs="Arial"/>
          <w:sz w:val="22"/>
          <w:szCs w:val="22"/>
          <w:lang w:eastAsia="en-GB"/>
        </w:rPr>
        <w:t>Investors: scalability demand, ROI and commercial viability.</w:t>
      </w:r>
    </w:p>
    <w:p w14:paraId="3957AB5F" w14:textId="3D41EA46"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OWANS:</w:t>
      </w:r>
    </w:p>
    <w:p w14:paraId="7356381F" w14:textId="66D682EE" w:rsidR="00690B7C" w:rsidRPr="006D0B70" w:rsidRDefault="00690B7C" w:rsidP="00E71D15">
      <w:pPr>
        <w:pStyle w:val="ListParagraph"/>
        <w:numPr>
          <w:ilvl w:val="0"/>
          <w:numId w:val="26"/>
        </w:numPr>
        <w:spacing w:line="360" w:lineRule="auto"/>
        <w:jc w:val="both"/>
        <w:rPr>
          <w:rFonts w:ascii="Arial" w:hAnsi="Arial" w:cs="Arial"/>
          <w:sz w:val="22"/>
          <w:szCs w:val="22"/>
          <w:lang w:eastAsia="en-GB"/>
        </w:rPr>
      </w:pPr>
      <w:r w:rsidRPr="006D0B70">
        <w:rPr>
          <w:rFonts w:ascii="Arial" w:hAnsi="Arial" w:cs="Arial"/>
          <w:sz w:val="22"/>
          <w:szCs w:val="22"/>
          <w:lang w:eastAsia="en-GB"/>
        </w:rPr>
        <w:t>Current Health: regulatory, pilot, buy in, and market credibility.</w:t>
      </w:r>
    </w:p>
    <w:p w14:paraId="4DB3EA95" w14:textId="4E69D6E0" w:rsidR="00690B7C" w:rsidRPr="006D0B70" w:rsidRDefault="00690B7C" w:rsidP="00E71D15">
      <w:pPr>
        <w:pStyle w:val="ListParagraph"/>
        <w:numPr>
          <w:ilvl w:val="0"/>
          <w:numId w:val="26"/>
        </w:numPr>
        <w:spacing w:line="360" w:lineRule="auto"/>
        <w:jc w:val="both"/>
        <w:rPr>
          <w:rFonts w:ascii="Arial" w:hAnsi="Arial" w:cs="Arial"/>
          <w:sz w:val="22"/>
          <w:szCs w:val="22"/>
          <w:lang w:eastAsia="en-GB"/>
        </w:rPr>
      </w:pPr>
      <w:r w:rsidRPr="006D0B70">
        <w:rPr>
          <w:rFonts w:ascii="Arial" w:hAnsi="Arial" w:cs="Arial"/>
          <w:sz w:val="22"/>
          <w:szCs w:val="22"/>
          <w:lang w:eastAsia="en-GB"/>
        </w:rPr>
        <w:t>Leadership: aims at the time-based delivery, cost management, and market differentiation.</w:t>
      </w:r>
    </w:p>
    <w:p w14:paraId="1BC30DBC" w14:textId="03E2D766"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The lack of alignment between SWANS and OWANS can lead to conflict, delay, or non-adoption (Christopher et al., 2013). Indicatively, when the speed-to-market demands by investors supersede the requirement of clinicians to test, the results of the project might be at risk. These interdependencies are critical to the success of stakeholders to be identified and controlled.</w:t>
      </w:r>
    </w:p>
    <w:p w14:paraId="24F29DB8" w14:textId="70879A2F" w:rsidR="00690B7C" w:rsidRPr="006D0B70" w:rsidRDefault="00690B7C" w:rsidP="00E71D15">
      <w:pPr>
        <w:pStyle w:val="Heading2"/>
        <w:rPr>
          <w:rFonts w:ascii="Arial" w:hAnsi="Arial" w:cs="Arial"/>
          <w:sz w:val="22"/>
          <w:szCs w:val="22"/>
          <w:lang w:eastAsia="en-GB"/>
        </w:rPr>
      </w:pPr>
      <w:bookmarkStart w:id="13" w:name="_Toc212469196"/>
      <w:r w:rsidRPr="006D0B70">
        <w:rPr>
          <w:rFonts w:ascii="Arial" w:hAnsi="Arial" w:cs="Arial"/>
          <w:sz w:val="22"/>
          <w:szCs w:val="22"/>
          <w:lang w:eastAsia="en-GB"/>
        </w:rPr>
        <w:t>4.3 Communication Plan</w:t>
      </w:r>
      <w:bookmarkEnd w:id="13"/>
      <w:r w:rsidR="00D50822">
        <w:rPr>
          <w:rFonts w:ascii="Arial" w:hAnsi="Arial" w:cs="Arial"/>
          <w:sz w:val="22"/>
          <w:szCs w:val="22"/>
          <w:lang w:eastAsia="en-GB"/>
        </w:rPr>
        <w:t xml:space="preserve"> </w:t>
      </w:r>
      <w:r w:rsidR="001D4321">
        <w:rPr>
          <w:rFonts w:ascii="Arial" w:hAnsi="Arial" w:cs="Arial"/>
          <w:sz w:val="22"/>
          <w:szCs w:val="22"/>
          <w:lang w:eastAsia="en-GB"/>
        </w:rPr>
        <w:t>(Appendix B)</w:t>
      </w:r>
    </w:p>
    <w:p w14:paraId="0A996D12"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A good stakeholder communication plan will enable trust, transparency and co-operation. Turner and Zolin (2012) state that the effectiveness of communication defines the success of 85 percent of projects. Communication strategies should therefore be developed in line with type of stakeholders, level of influence and medium of choice.</w:t>
      </w:r>
    </w:p>
    <w:p w14:paraId="3AF9FB1F" w14:textId="77777777"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In the case with the </w:t>
      </w:r>
      <w:proofErr w:type="gramStart"/>
      <w:r w:rsidRPr="006D0B70">
        <w:rPr>
          <w:rFonts w:ascii="Arial" w:hAnsi="Arial" w:cs="Arial"/>
          <w:sz w:val="22"/>
          <w:szCs w:val="22"/>
          <w:lang w:eastAsia="en-GB"/>
        </w:rPr>
        <w:t>high power</w:t>
      </w:r>
      <w:proofErr w:type="gramEnd"/>
      <w:r w:rsidRPr="006D0B70">
        <w:rPr>
          <w:rFonts w:ascii="Arial" w:hAnsi="Arial" w:cs="Arial"/>
          <w:sz w:val="22"/>
          <w:szCs w:val="22"/>
          <w:lang w:eastAsia="en-GB"/>
        </w:rPr>
        <w:t xml:space="preserve"> stakeholders, such as the NHS or MHRA, formal reporting (weekly performance dashboards, milestone reviews) and organized briefings are suitable. Plain-language updates, frequently asked questions, and illustrations provide availability and credibility to the patient and the general population. In-house interdepartmental teams can use collaboration tools such as Slack or Microsoft Teams, as well as organizing agile stand-ups.</w:t>
      </w:r>
    </w:p>
    <w:p w14:paraId="5EC0123A" w14:textId="3F047C78" w:rsidR="00690B7C" w:rsidRPr="006D0B70" w:rsidRDefault="00690B7C"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The strategy should also include the feedback, whereby the stakeholder issues are gathered and addressed in real time. This is necessary to regulators (who can change requirements) and patients (who can complain of usability problems at pilot phases). Inability to communicate proactively may plunge the organization in uncertainty and undermine confidence of stakeholders.</w:t>
      </w:r>
    </w:p>
    <w:p w14:paraId="09881643" w14:textId="77777777" w:rsidR="00690B7C" w:rsidRPr="006D0B70" w:rsidRDefault="00690B7C" w:rsidP="00E71D15">
      <w:pPr>
        <w:pStyle w:val="Heading1"/>
        <w:rPr>
          <w:rFonts w:ascii="Arial" w:eastAsia="Times New Roman" w:hAnsi="Arial" w:cs="Arial"/>
          <w:sz w:val="22"/>
          <w:szCs w:val="22"/>
          <w:lang w:eastAsia="en-GB"/>
        </w:rPr>
      </w:pPr>
      <w:bookmarkStart w:id="14" w:name="_Toc212469197"/>
      <w:r w:rsidRPr="006D0B70">
        <w:rPr>
          <w:rFonts w:ascii="Arial" w:eastAsia="Times New Roman" w:hAnsi="Arial" w:cs="Arial"/>
          <w:sz w:val="22"/>
          <w:szCs w:val="22"/>
          <w:lang w:eastAsia="en-GB"/>
        </w:rPr>
        <w:t>4.4 RACI Matrix</w:t>
      </w:r>
      <w:bookmarkEnd w:id="14"/>
    </w:p>
    <w:p w14:paraId="34C23527" w14:textId="77777777" w:rsidR="00080616" w:rsidRPr="006D0B70" w:rsidRDefault="00080616"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RACI Matrix is a management instrument to explain the role of stakeholders by giving a level of responsibility on activities:</w:t>
      </w:r>
    </w:p>
    <w:p w14:paraId="30E76ED9" w14:textId="77777777" w:rsidR="00690B7C" w:rsidRPr="006D0B70" w:rsidRDefault="00690B7C" w:rsidP="00E71D15">
      <w:pPr>
        <w:pStyle w:val="ListParagraph"/>
        <w:numPr>
          <w:ilvl w:val="0"/>
          <w:numId w:val="27"/>
        </w:num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b/>
          <w:bCs/>
          <w:kern w:val="0"/>
          <w:sz w:val="22"/>
          <w:szCs w:val="22"/>
          <w:lang w:eastAsia="en-GB"/>
          <w14:ligatures w14:val="none"/>
        </w:rPr>
        <w:t>Responsible</w:t>
      </w:r>
      <w:r w:rsidRPr="006D0B70">
        <w:rPr>
          <w:rFonts w:ascii="Arial" w:eastAsia="Times New Roman" w:hAnsi="Arial" w:cs="Arial"/>
          <w:kern w:val="0"/>
          <w:sz w:val="22"/>
          <w:szCs w:val="22"/>
          <w:lang w:eastAsia="en-GB"/>
          <w14:ligatures w14:val="none"/>
        </w:rPr>
        <w:t>: Person(s) who do the work</w:t>
      </w:r>
    </w:p>
    <w:p w14:paraId="39944FCD" w14:textId="77777777" w:rsidR="00690B7C" w:rsidRPr="006D0B70" w:rsidRDefault="00690B7C" w:rsidP="00E71D15">
      <w:pPr>
        <w:pStyle w:val="ListParagraph"/>
        <w:numPr>
          <w:ilvl w:val="0"/>
          <w:numId w:val="27"/>
        </w:num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b/>
          <w:bCs/>
          <w:kern w:val="0"/>
          <w:sz w:val="22"/>
          <w:szCs w:val="22"/>
          <w:lang w:eastAsia="en-GB"/>
          <w14:ligatures w14:val="none"/>
        </w:rPr>
        <w:lastRenderedPageBreak/>
        <w:t>Accountable</w:t>
      </w:r>
      <w:r w:rsidRPr="006D0B70">
        <w:rPr>
          <w:rFonts w:ascii="Arial" w:eastAsia="Times New Roman" w:hAnsi="Arial" w:cs="Arial"/>
          <w:kern w:val="0"/>
          <w:sz w:val="22"/>
          <w:szCs w:val="22"/>
          <w:lang w:eastAsia="en-GB"/>
          <w14:ligatures w14:val="none"/>
        </w:rPr>
        <w:t>: Person with ultimate decision authority</w:t>
      </w:r>
    </w:p>
    <w:p w14:paraId="09C64491" w14:textId="77777777" w:rsidR="00690B7C" w:rsidRPr="006D0B70" w:rsidRDefault="00690B7C" w:rsidP="00E71D15">
      <w:pPr>
        <w:pStyle w:val="ListParagraph"/>
        <w:numPr>
          <w:ilvl w:val="0"/>
          <w:numId w:val="27"/>
        </w:num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b/>
          <w:bCs/>
          <w:kern w:val="0"/>
          <w:sz w:val="22"/>
          <w:szCs w:val="22"/>
          <w:lang w:eastAsia="en-GB"/>
          <w14:ligatures w14:val="none"/>
        </w:rPr>
        <w:t>Consulted</w:t>
      </w:r>
      <w:r w:rsidRPr="006D0B70">
        <w:rPr>
          <w:rFonts w:ascii="Arial" w:eastAsia="Times New Roman" w:hAnsi="Arial" w:cs="Arial"/>
          <w:kern w:val="0"/>
          <w:sz w:val="22"/>
          <w:szCs w:val="22"/>
          <w:lang w:eastAsia="en-GB"/>
          <w14:ligatures w14:val="none"/>
        </w:rPr>
        <w:t>: People whose input is required</w:t>
      </w:r>
    </w:p>
    <w:p w14:paraId="16412108" w14:textId="77777777" w:rsidR="00690B7C" w:rsidRPr="006D0B70" w:rsidRDefault="00690B7C" w:rsidP="00E71D15">
      <w:pPr>
        <w:pStyle w:val="ListParagraph"/>
        <w:numPr>
          <w:ilvl w:val="0"/>
          <w:numId w:val="27"/>
        </w:num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b/>
          <w:bCs/>
          <w:kern w:val="0"/>
          <w:sz w:val="22"/>
          <w:szCs w:val="22"/>
          <w:lang w:eastAsia="en-GB"/>
          <w14:ligatures w14:val="none"/>
        </w:rPr>
        <w:t>Informed</w:t>
      </w:r>
      <w:r w:rsidRPr="006D0B70">
        <w:rPr>
          <w:rFonts w:ascii="Arial" w:eastAsia="Times New Roman" w:hAnsi="Arial" w:cs="Arial"/>
          <w:kern w:val="0"/>
          <w:sz w:val="22"/>
          <w:szCs w:val="22"/>
          <w:lang w:eastAsia="en-GB"/>
          <w14:ligatures w14:val="none"/>
        </w:rPr>
        <w:t>: People kept up to date</w:t>
      </w:r>
    </w:p>
    <w:p w14:paraId="5B9CE5C7" w14:textId="77777777" w:rsidR="00690B7C" w:rsidRDefault="00690B7C"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For the wearable device project, the RACI roles are as follows:</w:t>
      </w:r>
    </w:p>
    <w:p w14:paraId="77BB14E6" w14:textId="77777777" w:rsidR="00BB687C" w:rsidRPr="006D0B70" w:rsidRDefault="00BB687C" w:rsidP="00E71D15">
      <w:pPr>
        <w:spacing w:line="360" w:lineRule="auto"/>
        <w:jc w:val="both"/>
        <w:rPr>
          <w:rFonts w:ascii="Arial" w:eastAsia="Times New Roman" w:hAnsi="Arial" w:cs="Arial"/>
          <w:kern w:val="0"/>
          <w:sz w:val="22"/>
          <w:szCs w:val="22"/>
          <w:lang w:eastAsia="en-GB"/>
          <w14:ligatures w14:val="none"/>
        </w:rPr>
      </w:pPr>
    </w:p>
    <w:tbl>
      <w:tblPr>
        <w:tblStyle w:val="PlainTable1"/>
        <w:tblW w:w="0" w:type="auto"/>
        <w:tblLook w:val="04A0" w:firstRow="1" w:lastRow="0" w:firstColumn="1" w:lastColumn="0" w:noHBand="0" w:noVBand="1"/>
      </w:tblPr>
      <w:tblGrid>
        <w:gridCol w:w="2241"/>
        <w:gridCol w:w="1774"/>
        <w:gridCol w:w="1537"/>
        <w:gridCol w:w="1774"/>
        <w:gridCol w:w="1690"/>
      </w:tblGrid>
      <w:tr w:rsidR="00690B7C" w:rsidRPr="006D0B70" w14:paraId="3366E1C2" w14:textId="77777777" w:rsidTr="00BB68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0B769F" w:themeFill="accent4" w:themeFillShade="BF"/>
            <w:hideMark/>
          </w:tcPr>
          <w:p w14:paraId="2D27F423" w14:textId="77777777" w:rsidR="00690B7C" w:rsidRPr="006D0B70" w:rsidRDefault="00690B7C"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Activity</w:t>
            </w:r>
          </w:p>
        </w:tc>
        <w:tc>
          <w:tcPr>
            <w:tcW w:w="0" w:type="auto"/>
            <w:shd w:val="clear" w:color="auto" w:fill="0B769F" w:themeFill="accent4" w:themeFillShade="BF"/>
            <w:hideMark/>
          </w:tcPr>
          <w:p w14:paraId="70CDAB51" w14:textId="77777777" w:rsidR="00690B7C" w:rsidRPr="006D0B70" w:rsidRDefault="00690B7C" w:rsidP="00E71D1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Responsible</w:t>
            </w:r>
          </w:p>
        </w:tc>
        <w:tc>
          <w:tcPr>
            <w:tcW w:w="0" w:type="auto"/>
            <w:shd w:val="clear" w:color="auto" w:fill="0B769F" w:themeFill="accent4" w:themeFillShade="BF"/>
            <w:hideMark/>
          </w:tcPr>
          <w:p w14:paraId="1D324301" w14:textId="77777777" w:rsidR="00690B7C" w:rsidRPr="006D0B70" w:rsidRDefault="00690B7C" w:rsidP="00E71D1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Accountable</w:t>
            </w:r>
          </w:p>
        </w:tc>
        <w:tc>
          <w:tcPr>
            <w:tcW w:w="0" w:type="auto"/>
            <w:shd w:val="clear" w:color="auto" w:fill="0B769F" w:themeFill="accent4" w:themeFillShade="BF"/>
            <w:hideMark/>
          </w:tcPr>
          <w:p w14:paraId="2C414B84" w14:textId="77777777" w:rsidR="00690B7C" w:rsidRPr="006D0B70" w:rsidRDefault="00690B7C" w:rsidP="00E71D1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Consulted</w:t>
            </w:r>
          </w:p>
        </w:tc>
        <w:tc>
          <w:tcPr>
            <w:tcW w:w="0" w:type="auto"/>
            <w:shd w:val="clear" w:color="auto" w:fill="0B769F" w:themeFill="accent4" w:themeFillShade="BF"/>
            <w:hideMark/>
          </w:tcPr>
          <w:p w14:paraId="5FFACBBC" w14:textId="77777777" w:rsidR="00690B7C" w:rsidRPr="006D0B70" w:rsidRDefault="00690B7C" w:rsidP="00E71D1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Informed</w:t>
            </w:r>
          </w:p>
        </w:tc>
      </w:tr>
      <w:tr w:rsidR="00690B7C" w:rsidRPr="006D0B70" w14:paraId="292E73AB" w14:textId="77777777" w:rsidTr="00ED2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83CAEB" w:themeFill="accent1" w:themeFillTint="66"/>
            <w:hideMark/>
          </w:tcPr>
          <w:p w14:paraId="0CEFAFFD" w14:textId="77777777" w:rsidR="00690B7C" w:rsidRPr="006D0B70" w:rsidRDefault="00690B7C"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Product design</w:t>
            </w:r>
          </w:p>
        </w:tc>
        <w:tc>
          <w:tcPr>
            <w:tcW w:w="0" w:type="auto"/>
            <w:shd w:val="clear" w:color="auto" w:fill="83CAEB" w:themeFill="accent1" w:themeFillTint="66"/>
            <w:hideMark/>
          </w:tcPr>
          <w:p w14:paraId="623F2E96"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Dev team</w:t>
            </w:r>
          </w:p>
        </w:tc>
        <w:tc>
          <w:tcPr>
            <w:tcW w:w="0" w:type="auto"/>
            <w:shd w:val="clear" w:color="auto" w:fill="83CAEB" w:themeFill="accent1" w:themeFillTint="66"/>
            <w:hideMark/>
          </w:tcPr>
          <w:p w14:paraId="2CEB1ABE"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Head of R&amp;D</w:t>
            </w:r>
          </w:p>
        </w:tc>
        <w:tc>
          <w:tcPr>
            <w:tcW w:w="0" w:type="auto"/>
            <w:shd w:val="clear" w:color="auto" w:fill="83CAEB" w:themeFill="accent1" w:themeFillTint="66"/>
            <w:hideMark/>
          </w:tcPr>
          <w:p w14:paraId="526DB43A"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Clinical Advisors</w:t>
            </w:r>
          </w:p>
        </w:tc>
        <w:tc>
          <w:tcPr>
            <w:tcW w:w="0" w:type="auto"/>
            <w:shd w:val="clear" w:color="auto" w:fill="83CAEB" w:themeFill="accent1" w:themeFillTint="66"/>
            <w:hideMark/>
          </w:tcPr>
          <w:p w14:paraId="55A800AB"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Marketing</w:t>
            </w:r>
          </w:p>
        </w:tc>
      </w:tr>
      <w:tr w:rsidR="00690B7C" w:rsidRPr="006D0B70" w14:paraId="79C0147F" w14:textId="77777777" w:rsidTr="00ED2CA4">
        <w:tc>
          <w:tcPr>
            <w:cnfStyle w:val="001000000000" w:firstRow="0" w:lastRow="0" w:firstColumn="1" w:lastColumn="0" w:oddVBand="0" w:evenVBand="0" w:oddHBand="0" w:evenHBand="0" w:firstRowFirstColumn="0" w:firstRowLastColumn="0" w:lastRowFirstColumn="0" w:lastRowLastColumn="0"/>
            <w:tcW w:w="0" w:type="auto"/>
            <w:shd w:val="clear" w:color="auto" w:fill="83CAEB" w:themeFill="accent1" w:themeFillTint="66"/>
            <w:hideMark/>
          </w:tcPr>
          <w:p w14:paraId="76182EE6" w14:textId="77777777" w:rsidR="00690B7C" w:rsidRPr="006D0B70" w:rsidRDefault="00690B7C"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Regulatory approval</w:t>
            </w:r>
          </w:p>
        </w:tc>
        <w:tc>
          <w:tcPr>
            <w:tcW w:w="0" w:type="auto"/>
            <w:shd w:val="clear" w:color="auto" w:fill="83CAEB" w:themeFill="accent1" w:themeFillTint="66"/>
            <w:hideMark/>
          </w:tcPr>
          <w:p w14:paraId="18CC2E36" w14:textId="77777777" w:rsidR="00690B7C" w:rsidRPr="006D0B70" w:rsidRDefault="00690B7C" w:rsidP="00E71D1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Compliance Lead</w:t>
            </w:r>
          </w:p>
        </w:tc>
        <w:tc>
          <w:tcPr>
            <w:tcW w:w="0" w:type="auto"/>
            <w:shd w:val="clear" w:color="auto" w:fill="83CAEB" w:themeFill="accent1" w:themeFillTint="66"/>
            <w:hideMark/>
          </w:tcPr>
          <w:p w14:paraId="6C157C72" w14:textId="77777777" w:rsidR="00690B7C" w:rsidRPr="006D0B70" w:rsidRDefault="00690B7C" w:rsidP="00E71D1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COO</w:t>
            </w:r>
          </w:p>
        </w:tc>
        <w:tc>
          <w:tcPr>
            <w:tcW w:w="0" w:type="auto"/>
            <w:shd w:val="clear" w:color="auto" w:fill="83CAEB" w:themeFill="accent1" w:themeFillTint="66"/>
            <w:hideMark/>
          </w:tcPr>
          <w:p w14:paraId="0F540F69" w14:textId="77777777" w:rsidR="00690B7C" w:rsidRPr="006D0B70" w:rsidRDefault="00690B7C" w:rsidP="00E71D1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MHRA, NHS IT</w:t>
            </w:r>
          </w:p>
        </w:tc>
        <w:tc>
          <w:tcPr>
            <w:tcW w:w="0" w:type="auto"/>
            <w:shd w:val="clear" w:color="auto" w:fill="83CAEB" w:themeFill="accent1" w:themeFillTint="66"/>
            <w:hideMark/>
          </w:tcPr>
          <w:p w14:paraId="26DFFB80" w14:textId="77777777" w:rsidR="00690B7C" w:rsidRPr="006D0B70" w:rsidRDefault="00690B7C" w:rsidP="00E71D1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Investors</w:t>
            </w:r>
          </w:p>
        </w:tc>
      </w:tr>
      <w:tr w:rsidR="00690B7C" w:rsidRPr="006D0B70" w14:paraId="46B1EF70" w14:textId="77777777" w:rsidTr="00ED2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83CAEB" w:themeFill="accent1" w:themeFillTint="66"/>
            <w:hideMark/>
          </w:tcPr>
          <w:p w14:paraId="58DF326A" w14:textId="77777777" w:rsidR="00690B7C" w:rsidRPr="006D0B70" w:rsidRDefault="00690B7C"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User testing</w:t>
            </w:r>
          </w:p>
        </w:tc>
        <w:tc>
          <w:tcPr>
            <w:tcW w:w="0" w:type="auto"/>
            <w:shd w:val="clear" w:color="auto" w:fill="83CAEB" w:themeFill="accent1" w:themeFillTint="66"/>
            <w:hideMark/>
          </w:tcPr>
          <w:p w14:paraId="059DE41A"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Project Manager</w:t>
            </w:r>
          </w:p>
        </w:tc>
        <w:tc>
          <w:tcPr>
            <w:tcW w:w="0" w:type="auto"/>
            <w:shd w:val="clear" w:color="auto" w:fill="83CAEB" w:themeFill="accent1" w:themeFillTint="66"/>
            <w:hideMark/>
          </w:tcPr>
          <w:p w14:paraId="154479E3"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CTO</w:t>
            </w:r>
          </w:p>
        </w:tc>
        <w:tc>
          <w:tcPr>
            <w:tcW w:w="0" w:type="auto"/>
            <w:shd w:val="clear" w:color="auto" w:fill="83CAEB" w:themeFill="accent1" w:themeFillTint="66"/>
            <w:hideMark/>
          </w:tcPr>
          <w:p w14:paraId="7F04B508"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Patients, Clinicians</w:t>
            </w:r>
          </w:p>
        </w:tc>
        <w:tc>
          <w:tcPr>
            <w:tcW w:w="0" w:type="auto"/>
            <w:shd w:val="clear" w:color="auto" w:fill="83CAEB" w:themeFill="accent1" w:themeFillTint="66"/>
            <w:hideMark/>
          </w:tcPr>
          <w:p w14:paraId="72A1DD41"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NHS Leadership</w:t>
            </w:r>
          </w:p>
        </w:tc>
      </w:tr>
      <w:tr w:rsidR="00690B7C" w:rsidRPr="006D0B70" w14:paraId="16709560" w14:textId="77777777" w:rsidTr="00ED2CA4">
        <w:tc>
          <w:tcPr>
            <w:cnfStyle w:val="001000000000" w:firstRow="0" w:lastRow="0" w:firstColumn="1" w:lastColumn="0" w:oddVBand="0" w:evenVBand="0" w:oddHBand="0" w:evenHBand="0" w:firstRowFirstColumn="0" w:firstRowLastColumn="0" w:lastRowFirstColumn="0" w:lastRowLastColumn="0"/>
            <w:tcW w:w="0" w:type="auto"/>
            <w:shd w:val="clear" w:color="auto" w:fill="83CAEB" w:themeFill="accent1" w:themeFillTint="66"/>
            <w:hideMark/>
          </w:tcPr>
          <w:p w14:paraId="333B7A06" w14:textId="77777777" w:rsidR="00690B7C" w:rsidRPr="006D0B70" w:rsidRDefault="00690B7C"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Communications</w:t>
            </w:r>
          </w:p>
        </w:tc>
        <w:tc>
          <w:tcPr>
            <w:tcW w:w="0" w:type="auto"/>
            <w:shd w:val="clear" w:color="auto" w:fill="83CAEB" w:themeFill="accent1" w:themeFillTint="66"/>
            <w:hideMark/>
          </w:tcPr>
          <w:p w14:paraId="0BC505F5" w14:textId="77777777" w:rsidR="00690B7C" w:rsidRPr="006D0B70" w:rsidRDefault="00690B7C" w:rsidP="00E71D1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Marketing Team</w:t>
            </w:r>
          </w:p>
        </w:tc>
        <w:tc>
          <w:tcPr>
            <w:tcW w:w="0" w:type="auto"/>
            <w:shd w:val="clear" w:color="auto" w:fill="83CAEB" w:themeFill="accent1" w:themeFillTint="66"/>
            <w:hideMark/>
          </w:tcPr>
          <w:p w14:paraId="20825050" w14:textId="77777777" w:rsidR="00690B7C" w:rsidRPr="006D0B70" w:rsidRDefault="00690B7C" w:rsidP="00E71D1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CMO</w:t>
            </w:r>
          </w:p>
        </w:tc>
        <w:tc>
          <w:tcPr>
            <w:tcW w:w="0" w:type="auto"/>
            <w:shd w:val="clear" w:color="auto" w:fill="83CAEB" w:themeFill="accent1" w:themeFillTint="66"/>
            <w:hideMark/>
          </w:tcPr>
          <w:p w14:paraId="424FCB67" w14:textId="77777777" w:rsidR="00690B7C" w:rsidRPr="006D0B70" w:rsidRDefault="00690B7C" w:rsidP="00E71D1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Patient Reps</w:t>
            </w:r>
          </w:p>
        </w:tc>
        <w:tc>
          <w:tcPr>
            <w:tcW w:w="0" w:type="auto"/>
            <w:shd w:val="clear" w:color="auto" w:fill="83CAEB" w:themeFill="accent1" w:themeFillTint="66"/>
            <w:hideMark/>
          </w:tcPr>
          <w:p w14:paraId="0A3B0D0E" w14:textId="77777777" w:rsidR="00690B7C" w:rsidRPr="006D0B70" w:rsidRDefault="00690B7C" w:rsidP="00E71D1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All stakeholders</w:t>
            </w:r>
          </w:p>
        </w:tc>
      </w:tr>
      <w:tr w:rsidR="00690B7C" w:rsidRPr="006D0B70" w14:paraId="5F3F73E6" w14:textId="77777777" w:rsidTr="00ED2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83CAEB" w:themeFill="accent1" w:themeFillTint="66"/>
            <w:hideMark/>
          </w:tcPr>
          <w:p w14:paraId="781F3BB2" w14:textId="77777777" w:rsidR="00690B7C" w:rsidRPr="006D0B70" w:rsidRDefault="00690B7C"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Launch coordination</w:t>
            </w:r>
          </w:p>
        </w:tc>
        <w:tc>
          <w:tcPr>
            <w:tcW w:w="0" w:type="auto"/>
            <w:shd w:val="clear" w:color="auto" w:fill="83CAEB" w:themeFill="accent1" w:themeFillTint="66"/>
            <w:hideMark/>
          </w:tcPr>
          <w:p w14:paraId="614201DD"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Project Manager</w:t>
            </w:r>
          </w:p>
        </w:tc>
        <w:tc>
          <w:tcPr>
            <w:tcW w:w="0" w:type="auto"/>
            <w:shd w:val="clear" w:color="auto" w:fill="83CAEB" w:themeFill="accent1" w:themeFillTint="66"/>
            <w:hideMark/>
          </w:tcPr>
          <w:p w14:paraId="3C4E7232"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CEO</w:t>
            </w:r>
          </w:p>
        </w:tc>
        <w:tc>
          <w:tcPr>
            <w:tcW w:w="0" w:type="auto"/>
            <w:shd w:val="clear" w:color="auto" w:fill="83CAEB" w:themeFill="accent1" w:themeFillTint="66"/>
            <w:hideMark/>
          </w:tcPr>
          <w:p w14:paraId="287FCC1F"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NHS, Investors</w:t>
            </w:r>
          </w:p>
        </w:tc>
        <w:tc>
          <w:tcPr>
            <w:tcW w:w="0" w:type="auto"/>
            <w:shd w:val="clear" w:color="auto" w:fill="83CAEB" w:themeFill="accent1" w:themeFillTint="66"/>
            <w:hideMark/>
          </w:tcPr>
          <w:p w14:paraId="49C68093" w14:textId="77777777" w:rsidR="00690B7C" w:rsidRPr="006D0B70" w:rsidRDefault="00690B7C" w:rsidP="00E71D1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Suppliers</w:t>
            </w:r>
          </w:p>
        </w:tc>
      </w:tr>
    </w:tbl>
    <w:p w14:paraId="7AAC20E5" w14:textId="77777777" w:rsidR="00080616" w:rsidRPr="006D0B70" w:rsidRDefault="00080616" w:rsidP="00E71D15">
      <w:pPr>
        <w:spacing w:line="360" w:lineRule="auto"/>
        <w:jc w:val="both"/>
        <w:rPr>
          <w:rFonts w:ascii="Arial" w:eastAsia="Times New Roman" w:hAnsi="Arial" w:cs="Arial"/>
          <w:kern w:val="0"/>
          <w:sz w:val="22"/>
          <w:szCs w:val="22"/>
          <w:lang w:eastAsia="en-GB"/>
          <w14:ligatures w14:val="none"/>
        </w:rPr>
      </w:pPr>
    </w:p>
    <w:p w14:paraId="4C6111CD" w14:textId="77777777" w:rsidR="00080616" w:rsidRPr="006D0B70" w:rsidRDefault="00080616" w:rsidP="00E71D15">
      <w:pPr>
        <w:spacing w:line="360" w:lineRule="auto"/>
        <w:jc w:val="both"/>
        <w:rPr>
          <w:rFonts w:ascii="Arial" w:eastAsia="Times New Roman" w:hAnsi="Arial" w:cs="Arial"/>
          <w:kern w:val="0"/>
          <w:sz w:val="22"/>
          <w:szCs w:val="22"/>
          <w:lang w:eastAsia="en-GB"/>
          <w14:ligatures w14:val="none"/>
        </w:rPr>
      </w:pPr>
    </w:p>
    <w:p w14:paraId="42F4BA97" w14:textId="77777777" w:rsidR="00080616" w:rsidRPr="006D0B70" w:rsidRDefault="00080616" w:rsidP="00E71D15">
      <w:pPr>
        <w:spacing w:line="360" w:lineRule="auto"/>
        <w:jc w:val="both"/>
        <w:rPr>
          <w:rFonts w:ascii="Arial" w:eastAsia="Times New Roman" w:hAnsi="Arial" w:cs="Arial"/>
          <w:kern w:val="0"/>
          <w:sz w:val="22"/>
          <w:szCs w:val="22"/>
          <w:lang w:eastAsia="en-GB"/>
          <w14:ligatures w14:val="none"/>
        </w:rPr>
      </w:pPr>
    </w:p>
    <w:p w14:paraId="46485F2A" w14:textId="41A719E2" w:rsidR="00080616" w:rsidRPr="006D0B70" w:rsidRDefault="00080616"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 xml:space="preserve">The matrix allows clarity of roles, limits </w:t>
      </w:r>
      <w:proofErr w:type="gramStart"/>
      <w:r w:rsidRPr="006D0B70">
        <w:rPr>
          <w:rFonts w:ascii="Arial" w:eastAsia="Times New Roman" w:hAnsi="Arial" w:cs="Arial"/>
          <w:kern w:val="0"/>
          <w:sz w:val="22"/>
          <w:szCs w:val="22"/>
          <w:lang w:eastAsia="en-GB"/>
          <w14:ligatures w14:val="none"/>
        </w:rPr>
        <w:t>overlaps, and</w:t>
      </w:r>
      <w:proofErr w:type="gramEnd"/>
      <w:r w:rsidRPr="006D0B70">
        <w:rPr>
          <w:rFonts w:ascii="Arial" w:eastAsia="Times New Roman" w:hAnsi="Arial" w:cs="Arial"/>
          <w:kern w:val="0"/>
          <w:sz w:val="22"/>
          <w:szCs w:val="22"/>
          <w:lang w:eastAsia="en-GB"/>
          <w14:ligatures w14:val="none"/>
        </w:rPr>
        <w:t xml:space="preserve"> provides internal and external parties with the understanding of where they belong in the project structure (PMI, 2021). RACI is also useful to prevent bottlenecks- particularly where a regulated set up is needed and several stakeholder inputs are necessary.</w:t>
      </w:r>
    </w:p>
    <w:p w14:paraId="08000832" w14:textId="480AB4BF" w:rsidR="00A94D52" w:rsidRPr="006D0B70" w:rsidRDefault="00A94D52" w:rsidP="00E71D15">
      <w:pPr>
        <w:pStyle w:val="Heading1"/>
        <w:rPr>
          <w:rFonts w:ascii="Arial" w:eastAsia="Times New Roman" w:hAnsi="Arial" w:cs="Arial"/>
          <w:kern w:val="0"/>
          <w:sz w:val="22"/>
          <w:szCs w:val="22"/>
          <w:lang w:eastAsia="en-GB"/>
          <w14:ligatures w14:val="none"/>
        </w:rPr>
      </w:pPr>
      <w:bookmarkStart w:id="15" w:name="_Toc212469198"/>
      <w:r w:rsidRPr="006D0B70">
        <w:rPr>
          <w:rFonts w:ascii="Arial" w:hAnsi="Arial" w:cs="Arial"/>
          <w:sz w:val="22"/>
          <w:szCs w:val="22"/>
        </w:rPr>
        <w:t>5. Process of Engagement and Conflict Management</w:t>
      </w:r>
      <w:bookmarkEnd w:id="15"/>
    </w:p>
    <w:p w14:paraId="0FB8D48C" w14:textId="77777777" w:rsidR="00A94D52" w:rsidRPr="006D0B70" w:rsidRDefault="00A94D52" w:rsidP="00E71D15">
      <w:pPr>
        <w:pStyle w:val="Heading2"/>
        <w:rPr>
          <w:rFonts w:ascii="Arial" w:hAnsi="Arial" w:cs="Arial"/>
          <w:sz w:val="22"/>
          <w:szCs w:val="22"/>
        </w:rPr>
      </w:pPr>
      <w:bookmarkStart w:id="16" w:name="_Toc212469199"/>
      <w:r w:rsidRPr="006D0B70">
        <w:rPr>
          <w:rFonts w:ascii="Arial" w:hAnsi="Arial" w:cs="Arial"/>
          <w:sz w:val="22"/>
          <w:szCs w:val="22"/>
        </w:rPr>
        <w:t>5.1 Engagement Process as Project Manager</w:t>
      </w:r>
      <w:bookmarkEnd w:id="16"/>
    </w:p>
    <w:p w14:paraId="3719D577" w14:textId="164C7F35" w:rsidR="00A94D52" w:rsidRPr="006D0B70" w:rsidRDefault="00A94D52"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As the project manager, stakeholders need to be involved efficiently through the project establishment to the launch, which will need a systematic and cyclic process. The identification and prioritisation of stakeholders to be targeted is initiated with the help of tools like typology of Mitchell et al. and Power/Interest Matrix then the strategic engagement is implemented depending on the influence and expectations of each group.</w:t>
      </w:r>
    </w:p>
    <w:p w14:paraId="751F1097" w14:textId="77777777" w:rsidR="00A94D52" w:rsidRPr="006D0B70" w:rsidRDefault="00A94D52"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 xml:space="preserve">Stakeholder Engagement Ladder (Davidson, 1998) is a practical model that can be used to evaluate and develop stakeholder involvement. It describes five levels, which include inform, consult, involve, collaborate, and empower. Internal teams, such as product developers and compliance officers, are used in this project in the level of collaborate by facilitating frequent sprint planning and making decisions jointly. Patients, in turn, are engaged on the level of </w:t>
      </w:r>
      <w:r w:rsidRPr="006D0B70">
        <w:rPr>
          <w:rFonts w:ascii="Arial" w:eastAsia="Times New Roman" w:hAnsi="Arial" w:cs="Arial"/>
          <w:kern w:val="0"/>
          <w:sz w:val="22"/>
          <w:szCs w:val="22"/>
          <w:lang w:eastAsia="en-GB"/>
          <w14:ligatures w14:val="none"/>
        </w:rPr>
        <w:lastRenderedPageBreak/>
        <w:t>consult through usability testing and surveys in the prototype level. The partners of the NHS are involved on both collaborate and empower stages, as their feedback is reflected in clinical routes and pilot implementations.</w:t>
      </w:r>
    </w:p>
    <w:p w14:paraId="43CC734E" w14:textId="77777777" w:rsidR="00A94D52" w:rsidRPr="006D0B70" w:rsidRDefault="00A94D52"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During the planning phase, a Stakeholder Engagement Plan is developed, which charts the frequency of communication, forms of communication, and feedback loops. The interactions are held during the development process through agile rituals (daily stand-ups, sprint reviews) and planned governance reports to the executive and regulators. This will keep things in tune and will generate trust which is important during a healthcare launch of legal and ethical complexity.</w:t>
      </w:r>
    </w:p>
    <w:p w14:paraId="15705A52" w14:textId="77777777" w:rsidR="00A94D52" w:rsidRPr="006D0B70" w:rsidRDefault="00A94D52"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 xml:space="preserve">Simultaneously, the flow of influence and dependencies among the groups of stakeholders is graphically demonstrated through network analysis (Nohria, 1992). As an example, patient adoption is affected by NHS buy-in, and investor confidence is determined by regulatory advancement. Knowing these interconnections, the project manager </w:t>
      </w:r>
      <w:proofErr w:type="gramStart"/>
      <w:r w:rsidRPr="006D0B70">
        <w:rPr>
          <w:rFonts w:ascii="Arial" w:eastAsia="Times New Roman" w:hAnsi="Arial" w:cs="Arial"/>
          <w:kern w:val="0"/>
          <w:sz w:val="22"/>
          <w:szCs w:val="22"/>
          <w:lang w:eastAsia="en-GB"/>
          <w14:ligatures w14:val="none"/>
        </w:rPr>
        <w:t>is able to</w:t>
      </w:r>
      <w:proofErr w:type="gramEnd"/>
      <w:r w:rsidRPr="006D0B70">
        <w:rPr>
          <w:rFonts w:ascii="Arial" w:eastAsia="Times New Roman" w:hAnsi="Arial" w:cs="Arial"/>
          <w:kern w:val="0"/>
          <w:sz w:val="22"/>
          <w:szCs w:val="22"/>
          <w:lang w:eastAsia="en-GB"/>
          <w14:ligatures w14:val="none"/>
        </w:rPr>
        <w:t xml:space="preserve"> </w:t>
      </w:r>
      <w:proofErr w:type="gramStart"/>
      <w:r w:rsidRPr="006D0B70">
        <w:rPr>
          <w:rFonts w:ascii="Arial" w:eastAsia="Times New Roman" w:hAnsi="Arial" w:cs="Arial"/>
          <w:kern w:val="0"/>
          <w:sz w:val="22"/>
          <w:szCs w:val="22"/>
          <w:lang w:eastAsia="en-GB"/>
          <w14:ligatures w14:val="none"/>
        </w:rPr>
        <w:t>plan ahead</w:t>
      </w:r>
      <w:proofErr w:type="gramEnd"/>
      <w:r w:rsidRPr="006D0B70">
        <w:rPr>
          <w:rFonts w:ascii="Arial" w:eastAsia="Times New Roman" w:hAnsi="Arial" w:cs="Arial"/>
          <w:kern w:val="0"/>
          <w:sz w:val="22"/>
          <w:szCs w:val="22"/>
          <w:lang w:eastAsia="en-GB"/>
          <w14:ligatures w14:val="none"/>
        </w:rPr>
        <w:t xml:space="preserve"> of such friction areas and pre-engineer mitigations, like coordination of message delivery between departments, or expedition of compliance reports in time to brief investors.</w:t>
      </w:r>
    </w:p>
    <w:p w14:paraId="1245AD3F" w14:textId="77777777" w:rsidR="00A94D52" w:rsidRPr="006D0B70" w:rsidRDefault="00A94D52"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The practice of integrating the network insight with the engagement on a ladder-based basis will provide the project manager with the assurance that every stakeholder is not just heard but also positively involved in the project decision architecture.</w:t>
      </w:r>
    </w:p>
    <w:p w14:paraId="1613F8DF" w14:textId="77777777" w:rsidR="00A94D52" w:rsidRPr="006D0B70" w:rsidRDefault="00A94D52" w:rsidP="00E71D15">
      <w:pPr>
        <w:pStyle w:val="Heading2"/>
        <w:rPr>
          <w:rFonts w:ascii="Arial" w:eastAsia="Times New Roman" w:hAnsi="Arial" w:cs="Arial"/>
          <w:sz w:val="22"/>
          <w:szCs w:val="22"/>
          <w:lang w:eastAsia="en-GB"/>
        </w:rPr>
      </w:pPr>
      <w:bookmarkStart w:id="17" w:name="_Toc212469200"/>
      <w:r w:rsidRPr="006D0B70">
        <w:rPr>
          <w:rFonts w:ascii="Arial" w:eastAsia="Times New Roman" w:hAnsi="Arial" w:cs="Arial"/>
          <w:sz w:val="22"/>
          <w:szCs w:val="22"/>
          <w:lang w:eastAsia="en-GB"/>
        </w:rPr>
        <w:t>5.2 Conflict Management</w:t>
      </w:r>
      <w:bookmarkEnd w:id="17"/>
    </w:p>
    <w:p w14:paraId="173F3238" w14:textId="77777777" w:rsidR="00A94D52" w:rsidRPr="006D0B70" w:rsidRDefault="00A94D52"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Conflict is unavoidable in high stakes, multi-stakeholder settings such as the healthcare technology. Its constructive management involves going beyond mere dispute management to structural congruence of interests. Communication, Coordination, Cooperation and Collaboration 4Cs Model of Ellis, Gibbs and Rein (1991) provides a dynamic platform of dealing with such conflicts during the project lifecycle.</w:t>
      </w:r>
    </w:p>
    <w:p w14:paraId="6E765273" w14:textId="1A9630A2" w:rsidR="00A94D52" w:rsidRPr="006D0B70" w:rsidRDefault="00A94D52"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 xml:space="preserve">Communication is the base. To illustrate, there are usually problems between the product development and regulatory advisors. The developers can be more focused on functionality and deadlines, whereas compliance officers can pay more attention to data integrity and legal risks. This strain may be alleviated by formulating common documentation standards and weekly meetings to clear up the MHRA expectations on a </w:t>
      </w:r>
      <w:proofErr w:type="gramStart"/>
      <w:r w:rsidRPr="006D0B70">
        <w:rPr>
          <w:rFonts w:ascii="Arial" w:eastAsia="Times New Roman" w:hAnsi="Arial" w:cs="Arial"/>
          <w:kern w:val="0"/>
          <w:sz w:val="22"/>
          <w:szCs w:val="22"/>
          <w:lang w:eastAsia="en-GB"/>
          <w14:ligatures w14:val="none"/>
        </w:rPr>
        <w:t>case by case</w:t>
      </w:r>
      <w:proofErr w:type="gramEnd"/>
      <w:r w:rsidRPr="006D0B70">
        <w:rPr>
          <w:rFonts w:ascii="Arial" w:eastAsia="Times New Roman" w:hAnsi="Arial" w:cs="Arial"/>
          <w:kern w:val="0"/>
          <w:sz w:val="22"/>
          <w:szCs w:val="22"/>
          <w:lang w:eastAsia="en-GB"/>
          <w14:ligatures w14:val="none"/>
        </w:rPr>
        <w:t xml:space="preserve"> basis. Open communication eliminates assumptions and harmonizes an understanding.</w:t>
      </w:r>
    </w:p>
    <w:p w14:paraId="4C460A40" w14:textId="77777777" w:rsidR="00A94D52" w:rsidRPr="006D0B70" w:rsidRDefault="00A94D52"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 xml:space="preserve">Coordination is used to make sure that there </w:t>
      </w:r>
      <w:proofErr w:type="gramStart"/>
      <w:r w:rsidRPr="006D0B70">
        <w:rPr>
          <w:rFonts w:ascii="Arial" w:eastAsia="Times New Roman" w:hAnsi="Arial" w:cs="Arial"/>
          <w:kern w:val="0"/>
          <w:sz w:val="22"/>
          <w:szCs w:val="22"/>
          <w:lang w:eastAsia="en-GB"/>
          <w14:ligatures w14:val="none"/>
        </w:rPr>
        <w:t>is</w:t>
      </w:r>
      <w:proofErr w:type="gramEnd"/>
      <w:r w:rsidRPr="006D0B70">
        <w:rPr>
          <w:rFonts w:ascii="Arial" w:eastAsia="Times New Roman" w:hAnsi="Arial" w:cs="Arial"/>
          <w:kern w:val="0"/>
          <w:sz w:val="22"/>
          <w:szCs w:val="22"/>
          <w:lang w:eastAsia="en-GB"/>
          <w14:ligatures w14:val="none"/>
        </w:rPr>
        <w:t xml:space="preserve"> no duplication and misalignment of efforts. </w:t>
      </w:r>
      <w:proofErr w:type="gramStart"/>
      <w:r w:rsidRPr="006D0B70">
        <w:rPr>
          <w:rFonts w:ascii="Arial" w:eastAsia="Times New Roman" w:hAnsi="Arial" w:cs="Arial"/>
          <w:kern w:val="0"/>
          <w:sz w:val="22"/>
          <w:szCs w:val="22"/>
          <w:lang w:eastAsia="en-GB"/>
          <w14:ligatures w14:val="none"/>
        </w:rPr>
        <w:t>Take into account</w:t>
      </w:r>
      <w:proofErr w:type="gramEnd"/>
      <w:r w:rsidRPr="006D0B70">
        <w:rPr>
          <w:rFonts w:ascii="Arial" w:eastAsia="Times New Roman" w:hAnsi="Arial" w:cs="Arial"/>
          <w:kern w:val="0"/>
          <w:sz w:val="22"/>
          <w:szCs w:val="22"/>
          <w:lang w:eastAsia="en-GB"/>
          <w14:ligatures w14:val="none"/>
        </w:rPr>
        <w:t xml:space="preserve"> the marketing department designing resources that exaggerate the functionality of products prior to clinical approval. This may bring about regulatory infractions. Making deliverables coordinate with common project timelines and approval gates is used to make sure that the outputs of one group do not conflict legally and ethically with the constraints of another.</w:t>
      </w:r>
    </w:p>
    <w:p w14:paraId="3604187C" w14:textId="77777777" w:rsidR="00A94D52" w:rsidRPr="006D0B70" w:rsidRDefault="00A94D52"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lastRenderedPageBreak/>
        <w:t>Cooperation is the readiness to accommodate work flows towards mutual success. As an example, clinical leads at NHS may ask to change the interface during late development stages. Instead of opposition, developers can collaborate by prototyping the alternative pathways of the UI without affecting the schedule. This involves thinking of flexibility which is backed by a project culture which appreciates user feedback than adhering to strict timeframes.</w:t>
      </w:r>
    </w:p>
    <w:p w14:paraId="562C21B7" w14:textId="56E0C4B8" w:rsidR="00A94D52" w:rsidRPr="006D0B70" w:rsidRDefault="00A94D52"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Collaboration is the most superb form of stakeholder involvement, and it plays a major part in the implementation of pilots. The co-creation of technically viable and clinically meaningful solutions is possible by bringing together NHS staff, developers and patients in co-creation workshops. Greenhalgh et al. (2020) argue that with this kind of cross-functional collaboration, the product is more likely to be accepted and adopted more rapidly after its launch.</w:t>
      </w:r>
    </w:p>
    <w:p w14:paraId="14707EDD" w14:textId="7BF2AC87" w:rsidR="00A94D52" w:rsidRPr="006D0B70" w:rsidRDefault="00194F8D" w:rsidP="00E71D15">
      <w:pPr>
        <w:spacing w:line="360" w:lineRule="auto"/>
        <w:jc w:val="both"/>
        <w:rPr>
          <w:rFonts w:ascii="Arial" w:eastAsia="Times New Roman" w:hAnsi="Arial" w:cs="Arial"/>
          <w:kern w:val="0"/>
          <w:sz w:val="22"/>
          <w:szCs w:val="22"/>
          <w:lang w:eastAsia="en-GB"/>
          <w14:ligatures w14:val="none"/>
        </w:rPr>
      </w:pPr>
      <w:r w:rsidRPr="006D0B70">
        <w:rPr>
          <w:rFonts w:ascii="Arial" w:eastAsia="Times New Roman" w:hAnsi="Arial" w:cs="Arial"/>
          <w:kern w:val="0"/>
          <w:sz w:val="22"/>
          <w:szCs w:val="22"/>
          <w:lang w:eastAsia="en-GB"/>
          <w14:ligatures w14:val="none"/>
        </w:rPr>
        <w:t>The stakeholder ecosystem of this project (see Appendix E) demonstrates the various levels of interaction and interdependence of the patient and project team. This complexity supports the necessity of clear stakeholder mapping and specific engagement strategies.</w:t>
      </w:r>
    </w:p>
    <w:p w14:paraId="7AB70062" w14:textId="107C93FF" w:rsidR="005E27C4" w:rsidRPr="006D0B70" w:rsidRDefault="005E27C4" w:rsidP="00E71D15">
      <w:pPr>
        <w:pStyle w:val="Heading1"/>
        <w:rPr>
          <w:rFonts w:ascii="Arial" w:hAnsi="Arial" w:cs="Arial"/>
          <w:sz w:val="22"/>
          <w:szCs w:val="22"/>
          <w:lang w:eastAsia="en-GB"/>
        </w:rPr>
      </w:pPr>
      <w:bookmarkStart w:id="18" w:name="_Toc212469201"/>
      <w:r w:rsidRPr="006D0B70">
        <w:rPr>
          <w:rFonts w:ascii="Arial" w:hAnsi="Arial" w:cs="Arial"/>
          <w:sz w:val="22"/>
          <w:szCs w:val="22"/>
          <w:lang w:eastAsia="en-GB"/>
        </w:rPr>
        <w:t>6. Impact and Recommendations</w:t>
      </w:r>
      <w:bookmarkEnd w:id="18"/>
    </w:p>
    <w:p w14:paraId="59969F65" w14:textId="6FFAA56E" w:rsidR="005E27C4" w:rsidRPr="006D0B70" w:rsidRDefault="005E27C4" w:rsidP="00E71D15">
      <w:pPr>
        <w:pStyle w:val="Heading2"/>
        <w:rPr>
          <w:rFonts w:ascii="Arial" w:eastAsia="Times New Roman" w:hAnsi="Arial" w:cs="Arial"/>
          <w:sz w:val="22"/>
          <w:szCs w:val="22"/>
          <w:lang w:eastAsia="en-GB"/>
        </w:rPr>
      </w:pPr>
      <w:bookmarkStart w:id="19" w:name="_Toc212469202"/>
      <w:r w:rsidRPr="006D0B70">
        <w:rPr>
          <w:rFonts w:ascii="Arial" w:hAnsi="Arial" w:cs="Arial"/>
          <w:sz w:val="22"/>
          <w:szCs w:val="22"/>
          <w:lang w:eastAsia="en-GB"/>
        </w:rPr>
        <w:t xml:space="preserve">6.1 </w:t>
      </w:r>
      <w:r w:rsidRPr="006D0B70">
        <w:rPr>
          <w:rFonts w:ascii="Arial" w:eastAsia="Times New Roman" w:hAnsi="Arial" w:cs="Arial"/>
          <w:sz w:val="22"/>
          <w:szCs w:val="22"/>
          <w:lang w:eastAsia="en-GB"/>
        </w:rPr>
        <w:t>Evaluation of Stakeholder Engagement Impact</w:t>
      </w:r>
      <w:bookmarkEnd w:id="19"/>
    </w:p>
    <w:p w14:paraId="026DBFD6"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Good stakeholder engagement directly and specifically affects the performance of innovation projects within the healthcare environment. Organisations are regarded as dependent on their environments </w:t>
      </w:r>
      <w:proofErr w:type="gramStart"/>
      <w:r w:rsidRPr="006D0B70">
        <w:rPr>
          <w:rFonts w:ascii="Arial" w:hAnsi="Arial" w:cs="Arial"/>
          <w:sz w:val="22"/>
          <w:szCs w:val="22"/>
          <w:lang w:eastAsia="en-GB"/>
        </w:rPr>
        <w:t>and also</w:t>
      </w:r>
      <w:proofErr w:type="gramEnd"/>
      <w:r w:rsidRPr="006D0B70">
        <w:rPr>
          <w:rFonts w:ascii="Arial" w:hAnsi="Arial" w:cs="Arial"/>
          <w:sz w:val="22"/>
          <w:szCs w:val="22"/>
          <w:lang w:eastAsia="en-GB"/>
        </w:rPr>
        <w:t xml:space="preserve"> as depending on external actors as sources of essential resources (including knowledge, legitimacy, funding, and market access) using the Resource Dependence Theory, which was first described by Pfeffer and </w:t>
      </w:r>
      <w:proofErr w:type="spellStart"/>
      <w:r w:rsidRPr="006D0B70">
        <w:rPr>
          <w:rFonts w:ascii="Arial" w:hAnsi="Arial" w:cs="Arial"/>
          <w:sz w:val="22"/>
          <w:szCs w:val="22"/>
          <w:lang w:eastAsia="en-GB"/>
        </w:rPr>
        <w:t>Salancak</w:t>
      </w:r>
      <w:proofErr w:type="spellEnd"/>
      <w:r w:rsidRPr="006D0B70">
        <w:rPr>
          <w:rFonts w:ascii="Arial" w:hAnsi="Arial" w:cs="Arial"/>
          <w:sz w:val="22"/>
          <w:szCs w:val="22"/>
          <w:lang w:eastAsia="en-GB"/>
        </w:rPr>
        <w:t xml:space="preserve"> (1978). In the case of Current Health, NHS, MHRA, patients, and investors are all stakeholders who have strategic resources that determine the success of the wearable launch.</w:t>
      </w:r>
    </w:p>
    <w:p w14:paraId="47651590"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The involvement of the NHS at an early stage was an access to the testing environment of clinical tests and justified the product by jointly developed trials. Conversely, NHS partners were also more inclined to implement the solution after it had been launched, as they were involved in its creation. In the same manner, the prompt connection with MHRA and ICO allowed overcoming regulatory bottlenecks easier. RDT says that this form of proactive involvement decreases doubt and enhances the dominance over external dependencies (Hillman et al., 2009).</w:t>
      </w:r>
    </w:p>
    <w:p w14:paraId="0BF8FE39"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Internally, the coordination of development, compliance and marketing teams via effective communication frameworks served to allay scope creep and regulatory misstep threats. As an example, having compliance involved during the design stage prevented the delays during the later stages of the project associated with the problems of data governance, which is one of the main project risks.</w:t>
      </w:r>
    </w:p>
    <w:p w14:paraId="6A3D9111"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lastRenderedPageBreak/>
        <w:t>Furthermore, the confidence of the investors was not compromised because of the frequent stakeholder reporting, which showed transparency and development. This continued availability of funds and strategic plan, which are essential non-material resources.</w:t>
      </w:r>
    </w:p>
    <w:p w14:paraId="56F33A80"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In short, stakeholder involvement was not a procedural consideration but a strategic facilitator. It improved access to the resource, lessened the regulatory and reputational risk, and faster time-to-launch, which are all important performance indicators in a competitive market in health technology (Provan &amp; Kenis, 2008).</w:t>
      </w:r>
    </w:p>
    <w:p w14:paraId="4C182DF8" w14:textId="51C57706" w:rsidR="005E27C4" w:rsidRPr="006D0B70" w:rsidRDefault="005E27C4" w:rsidP="00E71D15">
      <w:pPr>
        <w:pStyle w:val="Heading2"/>
        <w:rPr>
          <w:rFonts w:ascii="Arial" w:hAnsi="Arial" w:cs="Arial"/>
          <w:sz w:val="22"/>
          <w:szCs w:val="22"/>
          <w:lang w:eastAsia="en-GB"/>
        </w:rPr>
      </w:pPr>
      <w:bookmarkStart w:id="20" w:name="_Toc212469203"/>
      <w:r w:rsidRPr="006D0B70">
        <w:rPr>
          <w:rFonts w:ascii="Arial" w:hAnsi="Arial" w:cs="Arial"/>
          <w:sz w:val="22"/>
          <w:szCs w:val="22"/>
          <w:lang w:eastAsia="en-GB"/>
        </w:rPr>
        <w:t xml:space="preserve">6.2 </w:t>
      </w:r>
      <w:r w:rsidRPr="006D0B70">
        <w:rPr>
          <w:rFonts w:ascii="Arial" w:hAnsi="Arial" w:cs="Arial"/>
          <w:sz w:val="22"/>
          <w:szCs w:val="22"/>
        </w:rPr>
        <w:t>Recommendations for Future Stakeholder Engagement</w:t>
      </w:r>
      <w:bookmarkEnd w:id="20"/>
    </w:p>
    <w:p w14:paraId="56A86B65" w14:textId="77777777" w:rsidR="005E27C4" w:rsidRPr="006D0B70" w:rsidRDefault="005E27C4" w:rsidP="00E71D15">
      <w:pPr>
        <w:spacing w:line="360" w:lineRule="auto"/>
        <w:jc w:val="both"/>
        <w:rPr>
          <w:rFonts w:ascii="Arial" w:hAnsi="Arial" w:cs="Arial"/>
          <w:sz w:val="22"/>
          <w:szCs w:val="22"/>
          <w:lang w:eastAsia="en-GB"/>
        </w:rPr>
      </w:pPr>
      <w:proofErr w:type="gramStart"/>
      <w:r w:rsidRPr="006D0B70">
        <w:rPr>
          <w:rFonts w:ascii="Arial" w:hAnsi="Arial" w:cs="Arial"/>
          <w:sz w:val="22"/>
          <w:szCs w:val="22"/>
          <w:lang w:eastAsia="en-GB"/>
        </w:rPr>
        <w:t>In order to</w:t>
      </w:r>
      <w:proofErr w:type="gramEnd"/>
      <w:r w:rsidRPr="006D0B70">
        <w:rPr>
          <w:rFonts w:ascii="Arial" w:hAnsi="Arial" w:cs="Arial"/>
          <w:sz w:val="22"/>
          <w:szCs w:val="22"/>
          <w:lang w:eastAsia="en-GB"/>
        </w:rPr>
        <w:t xml:space="preserve"> guarantee the further betterment and amplification of the stakeholder engagement practices, the following suggestions are offered along with the experience of the wearable launch project.</w:t>
      </w:r>
    </w:p>
    <w:p w14:paraId="162CD58A" w14:textId="77777777" w:rsidR="005E27C4" w:rsidRPr="006D0B70" w:rsidRDefault="005E27C4" w:rsidP="00E71D15">
      <w:pPr>
        <w:spacing w:line="360" w:lineRule="auto"/>
        <w:jc w:val="both"/>
        <w:rPr>
          <w:rFonts w:ascii="Arial" w:hAnsi="Arial" w:cs="Arial"/>
          <w:b/>
          <w:bCs/>
          <w:sz w:val="22"/>
          <w:szCs w:val="22"/>
          <w:lang w:eastAsia="en-GB"/>
        </w:rPr>
      </w:pPr>
      <w:r w:rsidRPr="006D0B70">
        <w:rPr>
          <w:rFonts w:ascii="Arial" w:hAnsi="Arial" w:cs="Arial"/>
          <w:b/>
          <w:bCs/>
          <w:sz w:val="22"/>
          <w:szCs w:val="22"/>
          <w:lang w:eastAsia="en-GB"/>
        </w:rPr>
        <w:t>Short-Term Recommendations</w:t>
      </w:r>
    </w:p>
    <w:p w14:paraId="5108CC6C"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To begin with, establish systematic and repetitive feedback cycles within all key groups of stakeholders. An example is to introduce monthly usability, safety, and trust digital surveys to NHS staff and patients who participate as pilots. The feedback must be </w:t>
      </w:r>
      <w:proofErr w:type="spellStart"/>
      <w:r w:rsidRPr="006D0B70">
        <w:rPr>
          <w:rFonts w:ascii="Arial" w:hAnsi="Arial" w:cs="Arial"/>
          <w:sz w:val="22"/>
          <w:szCs w:val="22"/>
          <w:lang w:eastAsia="en-GB"/>
        </w:rPr>
        <w:t>channeled</w:t>
      </w:r>
      <w:proofErr w:type="spellEnd"/>
      <w:r w:rsidRPr="006D0B70">
        <w:rPr>
          <w:rFonts w:ascii="Arial" w:hAnsi="Arial" w:cs="Arial"/>
          <w:sz w:val="22"/>
          <w:szCs w:val="22"/>
          <w:lang w:eastAsia="en-GB"/>
        </w:rPr>
        <w:t xml:space="preserve"> directly into the agile development sprints, so that it can be responsive to the needs in real-time (Greenhalgh et al., 2020).</w:t>
      </w:r>
    </w:p>
    <w:p w14:paraId="59973B67"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Second, encourage early stakeholder engagement, particularly at ideation and prototyping. Regulators or patients are too frequently introduced after significant choices are made on design. Early involvement does not only eliminate the possibility of resistance at a later stage but also results in solution that is more in line with the expectations of the stakeholders (Mitchell et al., 1997). Formalisation of stakeholder advisory boards that incorporate patients, clinicians, and compliance leads is one of the strategies.</w:t>
      </w:r>
    </w:p>
    <w:p w14:paraId="19CEB50A" w14:textId="77777777" w:rsidR="005E27C4" w:rsidRPr="006D0B70" w:rsidRDefault="005E27C4" w:rsidP="00E71D15">
      <w:pPr>
        <w:spacing w:line="360" w:lineRule="auto"/>
        <w:jc w:val="both"/>
        <w:rPr>
          <w:rFonts w:ascii="Arial" w:hAnsi="Arial" w:cs="Arial"/>
          <w:b/>
          <w:bCs/>
          <w:sz w:val="22"/>
          <w:szCs w:val="22"/>
          <w:lang w:eastAsia="en-GB"/>
        </w:rPr>
      </w:pPr>
      <w:r w:rsidRPr="006D0B70">
        <w:rPr>
          <w:rFonts w:ascii="Arial" w:hAnsi="Arial" w:cs="Arial"/>
          <w:b/>
          <w:bCs/>
          <w:sz w:val="22"/>
          <w:szCs w:val="22"/>
          <w:lang w:eastAsia="en-GB"/>
        </w:rPr>
        <w:t>Long-Term Recommendations</w:t>
      </w:r>
    </w:p>
    <w:p w14:paraId="2A03F336"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Current Health needs to invest in stakeholder engagement training of the project managers and technical leads. This ought to encompass conflict resolution techniques, empathic communication techniques as well as participatory designing techniques. An effective workforce is in a better position to operate in complicated stakeholder interaction and minimize internal misalignment (Bourne, 2016).</w:t>
      </w:r>
    </w:p>
    <w:p w14:paraId="74962965"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Also, embrace online interaction channels that can be used to have interactive communication with the different stakeholder groups. Stakeholder portals, vibrant dashboards, and AI-based sentiment analysis are some tools capable of predicting concerns and monitoring engagement health. Such platforms encourage transparency and accountability in distributed teams (PMI, 2021).</w:t>
      </w:r>
    </w:p>
    <w:p w14:paraId="3FBEEC2C"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Finally, set KPIs of stakeholder engagement performance. KPIs that should be monitored every quarter include stakeholder satisfaction indicators, response time, and efficiency in </w:t>
      </w:r>
      <w:r w:rsidRPr="006D0B70">
        <w:rPr>
          <w:rFonts w:ascii="Arial" w:hAnsi="Arial" w:cs="Arial"/>
          <w:sz w:val="22"/>
          <w:szCs w:val="22"/>
          <w:lang w:eastAsia="en-GB"/>
        </w:rPr>
        <w:lastRenderedPageBreak/>
        <w:t>conflict resolution, and adoption. These metrics offer concrete information to enhance future undertakings and prove ROI of engagement to the funding body and the management.</w:t>
      </w:r>
    </w:p>
    <w:p w14:paraId="11DB8E44" w14:textId="77777777" w:rsidR="005E27C4" w:rsidRPr="006D0B70" w:rsidRDefault="005E27C4" w:rsidP="00E71D15">
      <w:pPr>
        <w:pStyle w:val="Heading1"/>
        <w:rPr>
          <w:rFonts w:ascii="Arial" w:hAnsi="Arial" w:cs="Arial"/>
          <w:sz w:val="22"/>
          <w:szCs w:val="22"/>
          <w:lang w:eastAsia="en-GB"/>
        </w:rPr>
      </w:pPr>
      <w:bookmarkStart w:id="21" w:name="_Toc212469204"/>
      <w:r w:rsidRPr="006D0B70">
        <w:rPr>
          <w:rFonts w:ascii="Arial" w:hAnsi="Arial" w:cs="Arial"/>
          <w:sz w:val="22"/>
          <w:szCs w:val="22"/>
          <w:lang w:eastAsia="en-GB"/>
        </w:rPr>
        <w:t>7. Conclusion</w:t>
      </w:r>
      <w:bookmarkEnd w:id="21"/>
    </w:p>
    <w:p w14:paraId="2EED8DE3" w14:textId="77777777"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As has been indicated in this report, stakeholder engagement is a strategic requirement of an effective development and launch of healthcare technology, especially in a regulated and multi-stakeholder setting like the one Current Health is encountering. The report has demonstrated that stakeholders are not merely in support of the project but indeed influence its direction, its legitimacy and performance outcomes by applying the key theories, such as the stakeholder theory proposed by Freeman, the stakeholder typology proposed by Mitchell, and the Resource Dependence theory.</w:t>
      </w:r>
    </w:p>
    <w:p w14:paraId="6A69065E" w14:textId="13B98635" w:rsidR="005E27C4" w:rsidRPr="006D0B70" w:rsidRDefault="005E27C4" w:rsidP="00E71D15">
      <w:pPr>
        <w:spacing w:line="360" w:lineRule="auto"/>
        <w:jc w:val="both"/>
        <w:rPr>
          <w:rFonts w:ascii="Arial" w:hAnsi="Arial" w:cs="Arial"/>
          <w:sz w:val="22"/>
          <w:szCs w:val="22"/>
          <w:lang w:eastAsia="en-GB"/>
        </w:rPr>
      </w:pPr>
      <w:r w:rsidRPr="006D0B70">
        <w:rPr>
          <w:rFonts w:ascii="Arial" w:hAnsi="Arial" w:cs="Arial"/>
          <w:sz w:val="22"/>
          <w:szCs w:val="22"/>
          <w:lang w:eastAsia="en-GB"/>
        </w:rPr>
        <w:t xml:space="preserve">Practical frameworks (the Power/Interest Matrix, Stakeholder Engagement Ladder and SWANS/OWANS analysis) allowed prioritising the stakeholders and aligning their needs with the organisational goals in a structured manner. In the same manner, the use of the 4Cs model was also necessary to </w:t>
      </w:r>
      <w:r w:rsidR="00E71D15" w:rsidRPr="006D0B70">
        <w:rPr>
          <w:rFonts w:ascii="Arial" w:hAnsi="Arial" w:cs="Arial"/>
          <w:sz w:val="22"/>
          <w:szCs w:val="22"/>
          <w:lang w:eastAsia="en-GB"/>
        </w:rPr>
        <w:t>manoeuvre</w:t>
      </w:r>
      <w:r w:rsidRPr="006D0B70">
        <w:rPr>
          <w:rFonts w:ascii="Arial" w:hAnsi="Arial" w:cs="Arial"/>
          <w:sz w:val="22"/>
          <w:szCs w:val="22"/>
          <w:lang w:eastAsia="en-GB"/>
        </w:rPr>
        <w:t xml:space="preserve"> and convert conflict to collaboration especially those that related to the interests of regulators, developers, and investors.</w:t>
      </w:r>
    </w:p>
    <w:p w14:paraId="6440A562" w14:textId="5A263A3C" w:rsidR="005E27C4" w:rsidRPr="006D0B70" w:rsidRDefault="005E27C4" w:rsidP="00E71D15">
      <w:pPr>
        <w:spacing w:line="360" w:lineRule="auto"/>
        <w:jc w:val="both"/>
        <w:rPr>
          <w:rFonts w:ascii="Arial" w:hAnsi="Arial" w:cs="Arial"/>
          <w:sz w:val="22"/>
          <w:szCs w:val="22"/>
          <w:lang w:eastAsia="en-GB"/>
        </w:rPr>
      </w:pPr>
      <w:proofErr w:type="gramStart"/>
      <w:r w:rsidRPr="006D0B70">
        <w:rPr>
          <w:rFonts w:ascii="Arial" w:hAnsi="Arial" w:cs="Arial"/>
          <w:sz w:val="22"/>
          <w:szCs w:val="22"/>
          <w:lang w:eastAsia="en-GB"/>
        </w:rPr>
        <w:t>It is clear that the</w:t>
      </w:r>
      <w:proofErr w:type="gramEnd"/>
      <w:r w:rsidRPr="006D0B70">
        <w:rPr>
          <w:rFonts w:ascii="Arial" w:hAnsi="Arial" w:cs="Arial"/>
          <w:sz w:val="22"/>
          <w:szCs w:val="22"/>
          <w:lang w:eastAsia="en-GB"/>
        </w:rPr>
        <w:t xml:space="preserve"> stakeholder engagement, when carried out in a well-considered manner, leads to increased trust, less risk, and faster delivery. Furthermore, the combination of the continuous feedback loop and monitoring of performance in engagement strategies is required to maintain these advantages even after the project is completed. The insights gained during this process support the importance of integrating stakeholder engagement as a compliance measure rather than as a leadership competence and a competitive advantage in medical innovation.</w:t>
      </w:r>
    </w:p>
    <w:p w14:paraId="0892172D" w14:textId="77777777" w:rsidR="005E27C4" w:rsidRPr="00E71D15" w:rsidRDefault="005E27C4" w:rsidP="00E71D15">
      <w:pPr>
        <w:spacing w:line="360" w:lineRule="auto"/>
        <w:jc w:val="both"/>
        <w:rPr>
          <w:rFonts w:ascii="Times New Roman" w:eastAsia="Times New Roman" w:hAnsi="Times New Roman" w:cs="Times New Roman"/>
          <w:b/>
          <w:bCs/>
          <w:kern w:val="0"/>
          <w:lang w:eastAsia="en-GB"/>
          <w14:ligatures w14:val="none"/>
        </w:rPr>
      </w:pPr>
    </w:p>
    <w:p w14:paraId="4B965A0A" w14:textId="32232012" w:rsidR="00FC6B0A" w:rsidRPr="00E71D15" w:rsidRDefault="00FC6B0A" w:rsidP="00E71D15">
      <w:pPr>
        <w:pStyle w:val="Heading1"/>
        <w:rPr>
          <w:rFonts w:eastAsia="Times New Roman"/>
          <w:lang w:eastAsia="en-GB"/>
        </w:rPr>
      </w:pPr>
      <w:bookmarkStart w:id="22" w:name="_Toc212469205"/>
      <w:r w:rsidRPr="00E71D15">
        <w:rPr>
          <w:rFonts w:eastAsia="Times New Roman"/>
          <w:lang w:eastAsia="en-GB"/>
        </w:rPr>
        <w:t>REFERENCES</w:t>
      </w:r>
      <w:bookmarkEnd w:id="22"/>
      <w:r w:rsidRPr="00E71D15">
        <w:rPr>
          <w:rFonts w:eastAsia="Times New Roman"/>
          <w:lang w:eastAsia="en-GB"/>
        </w:rPr>
        <w:t xml:space="preserve"> </w:t>
      </w:r>
    </w:p>
    <w:p w14:paraId="68457224" w14:textId="77777777" w:rsidR="001F2DE6" w:rsidRPr="00E71D15" w:rsidRDefault="001F2DE6" w:rsidP="00E71D15">
      <w:pPr>
        <w:spacing w:line="360" w:lineRule="auto"/>
        <w:jc w:val="both"/>
        <w:rPr>
          <w:rFonts w:ascii="Times New Roman" w:hAnsi="Times New Roman" w:cs="Times New Roman"/>
        </w:rPr>
      </w:pPr>
      <w:proofErr w:type="spellStart"/>
      <w:r w:rsidRPr="00E71D15">
        <w:rPr>
          <w:rFonts w:ascii="Times New Roman" w:hAnsi="Times New Roman" w:cs="Times New Roman"/>
        </w:rPr>
        <w:t>Aapaoja</w:t>
      </w:r>
      <w:proofErr w:type="spellEnd"/>
      <w:r w:rsidRPr="00E71D15">
        <w:rPr>
          <w:rFonts w:ascii="Times New Roman" w:hAnsi="Times New Roman" w:cs="Times New Roman"/>
        </w:rPr>
        <w:t>, A., Haapasalo, H. and Söderström, P., 2018.</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Stakeholder salience assessment for construction project initiation</w:t>
      </w:r>
      <w:r w:rsidRPr="00E71D15">
        <w:rPr>
          <w:rFonts w:ascii="Times New Roman" w:hAnsi="Times New Roman" w:cs="Times New Roman"/>
        </w:rPr>
        <w:t>. International Journal of Project Organisation and Management, 10(1), pp.1–23.</w:t>
      </w:r>
    </w:p>
    <w:p w14:paraId="4B38C264"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Age UK, 2023.</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The digital divide: Bridging the gap for older people</w:t>
      </w:r>
      <w:r w:rsidRPr="00E71D15">
        <w:rPr>
          <w:rFonts w:ascii="Times New Roman" w:hAnsi="Times New Roman" w:cs="Times New Roman"/>
        </w:rPr>
        <w:t>. [online] Available at:</w:t>
      </w:r>
      <w:r w:rsidRPr="00E71D15">
        <w:rPr>
          <w:rStyle w:val="apple-converted-space"/>
          <w:rFonts w:ascii="Times New Roman" w:hAnsi="Times New Roman" w:cs="Times New Roman"/>
          <w:color w:val="000000"/>
        </w:rPr>
        <w:t> </w:t>
      </w:r>
      <w:proofErr w:type="gramStart"/>
      <w:r w:rsidRPr="00E71D15">
        <w:rPr>
          <w:rFonts w:ascii="Times New Roman" w:hAnsi="Times New Roman" w:cs="Times New Roman"/>
        </w:rPr>
        <w:t>https://www.ageuk.org.uk[</w:t>
      </w:r>
      <w:proofErr w:type="gramEnd"/>
      <w:r w:rsidRPr="00E71D15">
        <w:rPr>
          <w:rFonts w:ascii="Times New Roman" w:hAnsi="Times New Roman" w:cs="Times New Roman"/>
        </w:rPr>
        <w:t>Accessed 26 Oct. 2025].</w:t>
      </w:r>
    </w:p>
    <w:p w14:paraId="5B866512"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Ashcroft, J., 2017.</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The Relational Lens: Understanding, Measuring and Managing Stakeholder Relationships</w:t>
      </w:r>
      <w:r w:rsidRPr="00E71D15">
        <w:rPr>
          <w:rFonts w:ascii="Times New Roman" w:hAnsi="Times New Roman" w:cs="Times New Roman"/>
        </w:rPr>
        <w:t>. Cambridge: Cambridge University Press.</w:t>
      </w:r>
    </w:p>
    <w:p w14:paraId="4DE04F36"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Best Buy Health, 2022.</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Acquisition of Current Health</w:t>
      </w:r>
      <w:r w:rsidRPr="00E71D15">
        <w:rPr>
          <w:rFonts w:ascii="Times New Roman" w:hAnsi="Times New Roman" w:cs="Times New Roman"/>
        </w:rPr>
        <w:t>. [online] Available at:</w:t>
      </w:r>
      <w:r w:rsidRPr="00E71D15">
        <w:rPr>
          <w:rStyle w:val="apple-converted-space"/>
          <w:rFonts w:ascii="Times New Roman" w:hAnsi="Times New Roman" w:cs="Times New Roman"/>
          <w:color w:val="000000"/>
        </w:rPr>
        <w:t> </w:t>
      </w:r>
      <w:r w:rsidRPr="00E71D15">
        <w:rPr>
          <w:rFonts w:ascii="Times New Roman" w:hAnsi="Times New Roman" w:cs="Times New Roman"/>
        </w:rPr>
        <w:t>https://www.bestbuy.com</w:t>
      </w:r>
      <w:r w:rsidRPr="00E71D15">
        <w:rPr>
          <w:rStyle w:val="apple-converted-space"/>
          <w:rFonts w:ascii="Times New Roman" w:hAnsi="Times New Roman" w:cs="Times New Roman"/>
          <w:color w:val="000000"/>
        </w:rPr>
        <w:t> </w:t>
      </w:r>
      <w:r w:rsidRPr="00E71D15">
        <w:rPr>
          <w:rFonts w:ascii="Times New Roman" w:hAnsi="Times New Roman" w:cs="Times New Roman"/>
        </w:rPr>
        <w:t>[Accessed 21 Oct. 2025].</w:t>
      </w:r>
    </w:p>
    <w:p w14:paraId="314BA522"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lastRenderedPageBreak/>
        <w:t>Bourne, L., 2016.</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Stakeholder Relationship Management: A Maturity Model for Organisational Implementation</w:t>
      </w:r>
      <w:r w:rsidRPr="00E71D15">
        <w:rPr>
          <w:rFonts w:ascii="Times New Roman" w:hAnsi="Times New Roman" w:cs="Times New Roman"/>
        </w:rPr>
        <w:t>. 2nd ed. London: Routledge.</w:t>
      </w:r>
    </w:p>
    <w:p w14:paraId="3E0ACD03"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Christopher, M., Payne, A. and Ballantyne, D., 2013.</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Relationship Marketing: Creating Stakeholder Value</w:t>
      </w:r>
      <w:r w:rsidRPr="00E71D15">
        <w:rPr>
          <w:rFonts w:ascii="Times New Roman" w:hAnsi="Times New Roman" w:cs="Times New Roman"/>
        </w:rPr>
        <w:t>. London: Routledge.</w:t>
      </w:r>
    </w:p>
    <w:p w14:paraId="3F67C6C1"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 xml:space="preserve">Clarkson, M.B.E., 1995. A stakeholder framework for </w:t>
      </w:r>
      <w:proofErr w:type="spellStart"/>
      <w:r w:rsidRPr="00E71D15">
        <w:rPr>
          <w:rFonts w:ascii="Times New Roman" w:hAnsi="Times New Roman" w:cs="Times New Roman"/>
        </w:rPr>
        <w:t>analyzing</w:t>
      </w:r>
      <w:proofErr w:type="spellEnd"/>
      <w:r w:rsidRPr="00E71D15">
        <w:rPr>
          <w:rFonts w:ascii="Times New Roman" w:hAnsi="Times New Roman" w:cs="Times New Roman"/>
        </w:rPr>
        <w:t xml:space="preserve"> and evaluating corporate social performance.</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Academy of Management Review</w:t>
      </w:r>
      <w:r w:rsidRPr="00E71D15">
        <w:rPr>
          <w:rFonts w:ascii="Times New Roman" w:hAnsi="Times New Roman" w:cs="Times New Roman"/>
        </w:rPr>
        <w:t>, 20(1), pp.92–117.</w:t>
      </w:r>
    </w:p>
    <w:p w14:paraId="0B40ABB7"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Davidson, S., 1998.</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Spinning the wheel of empowerment</w:t>
      </w:r>
      <w:r w:rsidRPr="00E71D15">
        <w:rPr>
          <w:rFonts w:ascii="Times New Roman" w:hAnsi="Times New Roman" w:cs="Times New Roman"/>
        </w:rPr>
        <w:t>. Planning, 1262(3), pp.14–15.</w:t>
      </w:r>
    </w:p>
    <w:p w14:paraId="4B08378A" w14:textId="552DC8A2"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Ellis, C.A., Gibbs, S.J. and Rein, G.L., 1991. Groupware: Some issues and experiences.</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Communications of the ACM</w:t>
      </w:r>
      <w:r w:rsidRPr="00E71D15">
        <w:rPr>
          <w:rFonts w:ascii="Times New Roman" w:hAnsi="Times New Roman" w:cs="Times New Roman"/>
        </w:rPr>
        <w:t>, 34(1), pp.38–58.</w:t>
      </w:r>
    </w:p>
    <w:p w14:paraId="15477B7B"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Fortune Business Insights, 2023.</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Wearable Medical Devices Market Size, Share &amp; Trends</w:t>
      </w:r>
      <w:r w:rsidRPr="00E71D15">
        <w:rPr>
          <w:rFonts w:ascii="Times New Roman" w:hAnsi="Times New Roman" w:cs="Times New Roman"/>
        </w:rPr>
        <w:t>. [online] Available at:</w:t>
      </w:r>
      <w:r w:rsidRPr="00E71D15">
        <w:rPr>
          <w:rStyle w:val="apple-converted-space"/>
          <w:rFonts w:ascii="Times New Roman" w:hAnsi="Times New Roman" w:cs="Times New Roman"/>
          <w:color w:val="000000"/>
        </w:rPr>
        <w:t> </w:t>
      </w:r>
      <w:r w:rsidRPr="00E71D15">
        <w:rPr>
          <w:rFonts w:ascii="Times New Roman" w:hAnsi="Times New Roman" w:cs="Times New Roman"/>
        </w:rPr>
        <w:t>https://www.fortunebusinessinsights.com</w:t>
      </w:r>
      <w:r w:rsidRPr="00E71D15">
        <w:rPr>
          <w:rStyle w:val="apple-converted-space"/>
          <w:rFonts w:ascii="Times New Roman" w:hAnsi="Times New Roman" w:cs="Times New Roman"/>
          <w:color w:val="000000"/>
        </w:rPr>
        <w:t> </w:t>
      </w:r>
      <w:r w:rsidRPr="00E71D15">
        <w:rPr>
          <w:rFonts w:ascii="Times New Roman" w:hAnsi="Times New Roman" w:cs="Times New Roman"/>
        </w:rPr>
        <w:t>[Accessed 27 Oct. 2025].</w:t>
      </w:r>
    </w:p>
    <w:p w14:paraId="7258E90F"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Freeman, R.E., 1984.</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Strategic Management: A Stakeholder Approach</w:t>
      </w:r>
      <w:r w:rsidRPr="00E71D15">
        <w:rPr>
          <w:rFonts w:ascii="Times New Roman" w:hAnsi="Times New Roman" w:cs="Times New Roman"/>
        </w:rPr>
        <w:t>. Boston: Pitman.</w:t>
      </w:r>
    </w:p>
    <w:p w14:paraId="57F1DA4F" w14:textId="5876DCB2"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 xml:space="preserve">Greenhalgh, T., </w:t>
      </w:r>
      <w:proofErr w:type="spellStart"/>
      <w:r w:rsidRPr="00E71D15">
        <w:rPr>
          <w:rFonts w:ascii="Times New Roman" w:hAnsi="Times New Roman" w:cs="Times New Roman"/>
        </w:rPr>
        <w:t>Wherton</w:t>
      </w:r>
      <w:proofErr w:type="spellEnd"/>
      <w:r w:rsidRPr="00E71D15">
        <w:rPr>
          <w:rFonts w:ascii="Times New Roman" w:hAnsi="Times New Roman" w:cs="Times New Roman"/>
        </w:rPr>
        <w:t xml:space="preserve">, J., Papoutsi, C., Lynch, J. and A’Court, C., 2020. Beyond Adoption: A New Framework for Theorizing and Evaluating </w:t>
      </w:r>
      <w:proofErr w:type="spellStart"/>
      <w:r w:rsidRPr="00E71D15">
        <w:rPr>
          <w:rFonts w:ascii="Times New Roman" w:hAnsi="Times New Roman" w:cs="Times New Roman"/>
        </w:rPr>
        <w:t>Nonadoption</w:t>
      </w:r>
      <w:proofErr w:type="spellEnd"/>
      <w:r w:rsidRPr="00E71D15">
        <w:rPr>
          <w:rFonts w:ascii="Times New Roman" w:hAnsi="Times New Roman" w:cs="Times New Roman"/>
        </w:rPr>
        <w:t>, Abandonment, and Challenges to the Scale-Up, Spread, and Sustainability of Health and Care Technologies.</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Journal of Medical Internet Research</w:t>
      </w:r>
      <w:r w:rsidRPr="00E71D15">
        <w:rPr>
          <w:rFonts w:ascii="Times New Roman" w:hAnsi="Times New Roman" w:cs="Times New Roman"/>
        </w:rPr>
        <w:t>, 22(11), p.e22424.</w:t>
      </w:r>
      <w:r w:rsidRPr="00E71D15">
        <w:rPr>
          <w:rStyle w:val="apple-converted-space"/>
          <w:rFonts w:ascii="Times New Roman" w:hAnsi="Times New Roman" w:cs="Times New Roman"/>
          <w:color w:val="000000"/>
        </w:rPr>
        <w:t> </w:t>
      </w:r>
    </w:p>
    <w:p w14:paraId="7450FE42"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Hill, C.W.L. and Jones, T.M., 1992. Stakeholder-agency theory.</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Journal of Management Studies</w:t>
      </w:r>
      <w:r w:rsidRPr="00E71D15">
        <w:rPr>
          <w:rFonts w:ascii="Times New Roman" w:hAnsi="Times New Roman" w:cs="Times New Roman"/>
        </w:rPr>
        <w:t>, 29(2), pp.131–154.</w:t>
      </w:r>
    </w:p>
    <w:p w14:paraId="623729F4"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Hillman, A.J., Withers, M.C. and Collins, B.J., 2009. Resource dependence theory: A review.</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Journal of Management</w:t>
      </w:r>
      <w:r w:rsidRPr="00E71D15">
        <w:rPr>
          <w:rFonts w:ascii="Times New Roman" w:hAnsi="Times New Roman" w:cs="Times New Roman"/>
        </w:rPr>
        <w:t>, 35(6), pp.1404–1427.</w:t>
      </w:r>
    </w:p>
    <w:p w14:paraId="795158C5"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ICO, 2023.</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Guide to the UK General Data Protection Regulation (UK GDPR)</w:t>
      </w:r>
      <w:r w:rsidRPr="00E71D15">
        <w:rPr>
          <w:rFonts w:ascii="Times New Roman" w:hAnsi="Times New Roman" w:cs="Times New Roman"/>
        </w:rPr>
        <w:t>. [online] Available at:</w:t>
      </w:r>
      <w:r w:rsidRPr="00E71D15">
        <w:rPr>
          <w:rStyle w:val="apple-converted-space"/>
          <w:rFonts w:ascii="Times New Roman" w:hAnsi="Times New Roman" w:cs="Times New Roman"/>
          <w:color w:val="000000"/>
        </w:rPr>
        <w:t> </w:t>
      </w:r>
      <w:proofErr w:type="gramStart"/>
      <w:r w:rsidRPr="00E71D15">
        <w:rPr>
          <w:rFonts w:ascii="Times New Roman" w:hAnsi="Times New Roman" w:cs="Times New Roman"/>
        </w:rPr>
        <w:t>https://ico.org.uk[</w:t>
      </w:r>
      <w:proofErr w:type="gramEnd"/>
      <w:r w:rsidRPr="00E71D15">
        <w:rPr>
          <w:rFonts w:ascii="Times New Roman" w:hAnsi="Times New Roman" w:cs="Times New Roman"/>
        </w:rPr>
        <w:t>Accessed 22 Oct. 2025].</w:t>
      </w:r>
    </w:p>
    <w:p w14:paraId="40C76352"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Kings Fund, 2023.</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Delays and bottlenecks in NHS innovation adoption</w:t>
      </w:r>
      <w:r w:rsidRPr="00E71D15">
        <w:rPr>
          <w:rFonts w:ascii="Times New Roman" w:hAnsi="Times New Roman" w:cs="Times New Roman"/>
        </w:rPr>
        <w:t>. [online] Available at:</w:t>
      </w:r>
      <w:r w:rsidRPr="00E71D15">
        <w:rPr>
          <w:rStyle w:val="apple-converted-space"/>
          <w:rFonts w:ascii="Times New Roman" w:hAnsi="Times New Roman" w:cs="Times New Roman"/>
          <w:color w:val="000000"/>
        </w:rPr>
        <w:t> </w:t>
      </w:r>
      <w:r w:rsidRPr="00E71D15">
        <w:rPr>
          <w:rFonts w:ascii="Times New Roman" w:hAnsi="Times New Roman" w:cs="Times New Roman"/>
        </w:rPr>
        <w:t>https://www.kingsfund.org.uk</w:t>
      </w:r>
      <w:r w:rsidRPr="00E71D15">
        <w:rPr>
          <w:rStyle w:val="apple-converted-space"/>
          <w:rFonts w:ascii="Times New Roman" w:hAnsi="Times New Roman" w:cs="Times New Roman"/>
          <w:color w:val="000000"/>
        </w:rPr>
        <w:t> </w:t>
      </w:r>
      <w:r w:rsidRPr="00E71D15">
        <w:rPr>
          <w:rFonts w:ascii="Times New Roman" w:hAnsi="Times New Roman" w:cs="Times New Roman"/>
        </w:rPr>
        <w:t>[Accessed 29 Oct. 2025].</w:t>
      </w:r>
    </w:p>
    <w:p w14:paraId="3C3A0E0A"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McKinsey &amp; Company, 2022.</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Building resilience in healthcare supply chains</w:t>
      </w:r>
      <w:r w:rsidRPr="00E71D15">
        <w:rPr>
          <w:rFonts w:ascii="Times New Roman" w:hAnsi="Times New Roman" w:cs="Times New Roman"/>
        </w:rPr>
        <w:t>. [online] Available at:</w:t>
      </w:r>
      <w:r w:rsidRPr="00E71D15">
        <w:rPr>
          <w:rStyle w:val="apple-converted-space"/>
          <w:rFonts w:ascii="Times New Roman" w:hAnsi="Times New Roman" w:cs="Times New Roman"/>
          <w:color w:val="000000"/>
        </w:rPr>
        <w:t> </w:t>
      </w:r>
      <w:r w:rsidRPr="00E71D15">
        <w:rPr>
          <w:rFonts w:ascii="Times New Roman" w:hAnsi="Times New Roman" w:cs="Times New Roman"/>
        </w:rPr>
        <w:t>https://www.mckinsey.com</w:t>
      </w:r>
      <w:r w:rsidRPr="00E71D15">
        <w:rPr>
          <w:rStyle w:val="apple-converted-space"/>
          <w:rFonts w:ascii="Times New Roman" w:hAnsi="Times New Roman" w:cs="Times New Roman"/>
          <w:color w:val="000000"/>
        </w:rPr>
        <w:t> </w:t>
      </w:r>
      <w:r w:rsidRPr="00E71D15">
        <w:rPr>
          <w:rFonts w:ascii="Times New Roman" w:hAnsi="Times New Roman" w:cs="Times New Roman"/>
        </w:rPr>
        <w:t>[Accessed 20 Oct. 2025].</w:t>
      </w:r>
    </w:p>
    <w:p w14:paraId="1A3979E4"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MHRA, 2023.</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Regulating Medical Devices in the UK</w:t>
      </w:r>
      <w:r w:rsidRPr="00E71D15">
        <w:rPr>
          <w:rFonts w:ascii="Times New Roman" w:hAnsi="Times New Roman" w:cs="Times New Roman"/>
        </w:rPr>
        <w:t>. [online] Available at:</w:t>
      </w:r>
      <w:r w:rsidRPr="00E71D15">
        <w:rPr>
          <w:rStyle w:val="apple-converted-space"/>
          <w:rFonts w:ascii="Times New Roman" w:hAnsi="Times New Roman" w:cs="Times New Roman"/>
          <w:color w:val="000000"/>
        </w:rPr>
        <w:t> </w:t>
      </w:r>
      <w:r w:rsidRPr="00E71D15">
        <w:rPr>
          <w:rFonts w:ascii="Times New Roman" w:hAnsi="Times New Roman" w:cs="Times New Roman"/>
        </w:rPr>
        <w:t>https://www.gov.uk/guidance/regulating-medical-devices-in-the-uk</w:t>
      </w:r>
      <w:r w:rsidRPr="00E71D15">
        <w:rPr>
          <w:rStyle w:val="apple-converted-space"/>
          <w:rFonts w:ascii="Times New Roman" w:hAnsi="Times New Roman" w:cs="Times New Roman"/>
          <w:color w:val="000000"/>
        </w:rPr>
        <w:t> </w:t>
      </w:r>
      <w:r w:rsidRPr="00E71D15">
        <w:rPr>
          <w:rFonts w:ascii="Times New Roman" w:hAnsi="Times New Roman" w:cs="Times New Roman"/>
        </w:rPr>
        <w:t>[Accessed 24 Oct. 2025].</w:t>
      </w:r>
    </w:p>
    <w:p w14:paraId="2A05D4A7"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Mitchell, R.K., Agle, B.R. and Wood, D.J., 1997. Toward a theory of stakeholder identification and salience: Defining the principle of who and what really counts.</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Academy of Management Review</w:t>
      </w:r>
      <w:r w:rsidRPr="00E71D15">
        <w:rPr>
          <w:rFonts w:ascii="Times New Roman" w:hAnsi="Times New Roman" w:cs="Times New Roman"/>
        </w:rPr>
        <w:t>, 22(4), pp.853–886.</w:t>
      </w:r>
    </w:p>
    <w:p w14:paraId="3CBBE6AE"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NHS England, 2021.</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Delivering a ‘Net Zero’ National Health Service</w:t>
      </w:r>
      <w:r w:rsidRPr="00E71D15">
        <w:rPr>
          <w:rFonts w:ascii="Times New Roman" w:hAnsi="Times New Roman" w:cs="Times New Roman"/>
        </w:rPr>
        <w:t>. [online] Available at:</w:t>
      </w:r>
      <w:r w:rsidRPr="00E71D15">
        <w:rPr>
          <w:rStyle w:val="apple-converted-space"/>
          <w:rFonts w:ascii="Times New Roman" w:hAnsi="Times New Roman" w:cs="Times New Roman"/>
          <w:color w:val="000000"/>
        </w:rPr>
        <w:t> </w:t>
      </w:r>
      <w:r w:rsidRPr="00E71D15">
        <w:rPr>
          <w:rFonts w:ascii="Times New Roman" w:hAnsi="Times New Roman" w:cs="Times New Roman"/>
        </w:rPr>
        <w:t>https://www.england.nhs.uk</w:t>
      </w:r>
      <w:r w:rsidRPr="00E71D15">
        <w:rPr>
          <w:rStyle w:val="apple-converted-space"/>
          <w:rFonts w:ascii="Times New Roman" w:hAnsi="Times New Roman" w:cs="Times New Roman"/>
          <w:color w:val="000000"/>
        </w:rPr>
        <w:t> </w:t>
      </w:r>
      <w:r w:rsidRPr="00E71D15">
        <w:rPr>
          <w:rFonts w:ascii="Times New Roman" w:hAnsi="Times New Roman" w:cs="Times New Roman"/>
        </w:rPr>
        <w:t>[Accessed 28 Oct. 2025].</w:t>
      </w:r>
    </w:p>
    <w:p w14:paraId="0F8D7D27"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lastRenderedPageBreak/>
        <w:t>NHS England, 2023.</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Virtual wards and digital transformation in care</w:t>
      </w:r>
      <w:r w:rsidRPr="00E71D15">
        <w:rPr>
          <w:rFonts w:ascii="Times New Roman" w:hAnsi="Times New Roman" w:cs="Times New Roman"/>
        </w:rPr>
        <w:t>. [online] Available at:</w:t>
      </w:r>
      <w:r w:rsidRPr="00E71D15">
        <w:rPr>
          <w:rStyle w:val="apple-converted-space"/>
          <w:rFonts w:ascii="Times New Roman" w:hAnsi="Times New Roman" w:cs="Times New Roman"/>
          <w:color w:val="000000"/>
        </w:rPr>
        <w:t> </w:t>
      </w:r>
      <w:r w:rsidRPr="00E71D15">
        <w:rPr>
          <w:rFonts w:ascii="Times New Roman" w:hAnsi="Times New Roman" w:cs="Times New Roman"/>
        </w:rPr>
        <w:t>https://www.england.nhs.uk</w:t>
      </w:r>
      <w:r w:rsidRPr="00E71D15">
        <w:rPr>
          <w:rStyle w:val="apple-converted-space"/>
          <w:rFonts w:ascii="Times New Roman" w:hAnsi="Times New Roman" w:cs="Times New Roman"/>
          <w:color w:val="000000"/>
        </w:rPr>
        <w:t> </w:t>
      </w:r>
      <w:r w:rsidRPr="00E71D15">
        <w:rPr>
          <w:rFonts w:ascii="Times New Roman" w:hAnsi="Times New Roman" w:cs="Times New Roman"/>
        </w:rPr>
        <w:t>[Accessed 23 Oct. 2025].</w:t>
      </w:r>
    </w:p>
    <w:p w14:paraId="4206EFC6"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NHS Scotland, 2022.</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Remote monitoring and digital care case studies</w:t>
      </w:r>
      <w:r w:rsidRPr="00E71D15">
        <w:rPr>
          <w:rFonts w:ascii="Times New Roman" w:hAnsi="Times New Roman" w:cs="Times New Roman"/>
        </w:rPr>
        <w:t>. [online] Available at:</w:t>
      </w:r>
      <w:r w:rsidRPr="00E71D15">
        <w:rPr>
          <w:rStyle w:val="apple-converted-space"/>
          <w:rFonts w:ascii="Times New Roman" w:hAnsi="Times New Roman" w:cs="Times New Roman"/>
          <w:color w:val="000000"/>
        </w:rPr>
        <w:t> </w:t>
      </w:r>
      <w:proofErr w:type="gramStart"/>
      <w:r w:rsidRPr="00E71D15">
        <w:rPr>
          <w:rFonts w:ascii="Times New Roman" w:hAnsi="Times New Roman" w:cs="Times New Roman"/>
        </w:rPr>
        <w:t>https://www.gov.scot[</w:t>
      </w:r>
      <w:proofErr w:type="gramEnd"/>
      <w:r w:rsidRPr="00E71D15">
        <w:rPr>
          <w:rFonts w:ascii="Times New Roman" w:hAnsi="Times New Roman" w:cs="Times New Roman"/>
        </w:rPr>
        <w:t>Accessed 25 Oct. 2025].</w:t>
      </w:r>
    </w:p>
    <w:p w14:paraId="1F295806"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Nohria, N., 1992.</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Information and Search in the Creation of New Capabilities</w:t>
      </w:r>
      <w:r w:rsidRPr="00E71D15">
        <w:rPr>
          <w:rFonts w:ascii="Times New Roman" w:hAnsi="Times New Roman" w:cs="Times New Roman"/>
        </w:rPr>
        <w:t>. In: N. Nohria and R. Eccles, eds.</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Networks and Organizations: Structure, Form and Action</w:t>
      </w:r>
      <w:r w:rsidRPr="00E71D15">
        <w:rPr>
          <w:rFonts w:ascii="Times New Roman" w:hAnsi="Times New Roman" w:cs="Times New Roman"/>
        </w:rPr>
        <w:t>. Boston: Harvard Business School Press, pp.240–261.</w:t>
      </w:r>
    </w:p>
    <w:p w14:paraId="10229089"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Nuffield Trust, 2023.</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How ready is the NHS to adopt new technology?</w:t>
      </w:r>
      <w:r w:rsidRPr="00E71D15">
        <w:rPr>
          <w:rStyle w:val="apple-converted-space"/>
          <w:rFonts w:ascii="Times New Roman" w:hAnsi="Times New Roman" w:cs="Times New Roman"/>
          <w:color w:val="000000"/>
        </w:rPr>
        <w:t> </w:t>
      </w:r>
      <w:r w:rsidRPr="00E71D15">
        <w:rPr>
          <w:rFonts w:ascii="Times New Roman" w:hAnsi="Times New Roman" w:cs="Times New Roman"/>
        </w:rPr>
        <w:t>[online] Available at:</w:t>
      </w:r>
      <w:r w:rsidRPr="00E71D15">
        <w:rPr>
          <w:rStyle w:val="apple-converted-space"/>
          <w:rFonts w:ascii="Times New Roman" w:hAnsi="Times New Roman" w:cs="Times New Roman"/>
          <w:color w:val="000000"/>
        </w:rPr>
        <w:t> </w:t>
      </w:r>
      <w:r w:rsidRPr="00E71D15">
        <w:rPr>
          <w:rFonts w:ascii="Times New Roman" w:hAnsi="Times New Roman" w:cs="Times New Roman"/>
        </w:rPr>
        <w:t>https://www.nuffieldtrust.org.uk</w:t>
      </w:r>
      <w:r w:rsidRPr="00E71D15">
        <w:rPr>
          <w:rStyle w:val="apple-converted-space"/>
          <w:rFonts w:ascii="Times New Roman" w:hAnsi="Times New Roman" w:cs="Times New Roman"/>
          <w:color w:val="000000"/>
        </w:rPr>
        <w:t> </w:t>
      </w:r>
      <w:r w:rsidRPr="00E71D15">
        <w:rPr>
          <w:rFonts w:ascii="Times New Roman" w:hAnsi="Times New Roman" w:cs="Times New Roman"/>
        </w:rPr>
        <w:t>[Accessed 30 Oct. 2025].</w:t>
      </w:r>
    </w:p>
    <w:p w14:paraId="190F8DA5"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 xml:space="preserve">Pfeffer, J. and </w:t>
      </w:r>
      <w:proofErr w:type="spellStart"/>
      <w:r w:rsidRPr="00E71D15">
        <w:rPr>
          <w:rFonts w:ascii="Times New Roman" w:hAnsi="Times New Roman" w:cs="Times New Roman"/>
        </w:rPr>
        <w:t>Salancik</w:t>
      </w:r>
      <w:proofErr w:type="spellEnd"/>
      <w:r w:rsidRPr="00E71D15">
        <w:rPr>
          <w:rFonts w:ascii="Times New Roman" w:hAnsi="Times New Roman" w:cs="Times New Roman"/>
        </w:rPr>
        <w:t>, G.R., 1978.</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The External Control of Organizations: A Resource Dependence Perspective</w:t>
      </w:r>
      <w:r w:rsidRPr="00E71D15">
        <w:rPr>
          <w:rFonts w:ascii="Times New Roman" w:hAnsi="Times New Roman" w:cs="Times New Roman"/>
        </w:rPr>
        <w:t>. New York: Harper &amp; Row.</w:t>
      </w:r>
    </w:p>
    <w:p w14:paraId="04B9BD6D"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PMI (Project Management Institute), 2021.</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A Guide to the Project Management Body of Knowledge (PMBOK Guide)</w:t>
      </w:r>
      <w:r w:rsidRPr="00E71D15">
        <w:rPr>
          <w:rFonts w:ascii="Times New Roman" w:hAnsi="Times New Roman" w:cs="Times New Roman"/>
        </w:rPr>
        <w:t>. 7th ed. Newtown Square, PA: Project Management Institute.</w:t>
      </w:r>
    </w:p>
    <w:p w14:paraId="64A4A0D7"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Provan, K.G. and Kenis, P., 2008. Modes of network governance: Structure, management, and effectiveness.</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Journal of Public Administration Research and Theory</w:t>
      </w:r>
      <w:r w:rsidRPr="00E71D15">
        <w:rPr>
          <w:rFonts w:ascii="Times New Roman" w:hAnsi="Times New Roman" w:cs="Times New Roman"/>
        </w:rPr>
        <w:t>, 18(2), pp.229–252.</w:t>
      </w:r>
    </w:p>
    <w:p w14:paraId="1ABB3252"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PwC, 2021.</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The future of wearable health: Ethics, data and consumer trust</w:t>
      </w:r>
      <w:r w:rsidRPr="00E71D15">
        <w:rPr>
          <w:rFonts w:ascii="Times New Roman" w:hAnsi="Times New Roman" w:cs="Times New Roman"/>
        </w:rPr>
        <w:t>. [online] Available at:</w:t>
      </w:r>
      <w:r w:rsidRPr="00E71D15">
        <w:rPr>
          <w:rStyle w:val="apple-converted-space"/>
          <w:rFonts w:ascii="Times New Roman" w:hAnsi="Times New Roman" w:cs="Times New Roman"/>
          <w:color w:val="000000"/>
        </w:rPr>
        <w:t> </w:t>
      </w:r>
      <w:r w:rsidRPr="00E71D15">
        <w:rPr>
          <w:rFonts w:ascii="Times New Roman" w:hAnsi="Times New Roman" w:cs="Times New Roman"/>
        </w:rPr>
        <w:t>https://www.pwc.co.uk</w:t>
      </w:r>
      <w:r w:rsidRPr="00E71D15">
        <w:rPr>
          <w:rStyle w:val="apple-converted-space"/>
          <w:rFonts w:ascii="Times New Roman" w:hAnsi="Times New Roman" w:cs="Times New Roman"/>
          <w:color w:val="000000"/>
        </w:rPr>
        <w:t> </w:t>
      </w:r>
      <w:r w:rsidRPr="00E71D15">
        <w:rPr>
          <w:rFonts w:ascii="Times New Roman" w:hAnsi="Times New Roman" w:cs="Times New Roman"/>
        </w:rPr>
        <w:t>[Accessed 20 Oct. 2025].</w:t>
      </w:r>
    </w:p>
    <w:p w14:paraId="1A8641F1"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Turner, J.R. and Zolin, R., 2012. Forecasting success on large projects: Developing reliable scales to predict multiple perspectives by multiple stakeholders over multiple time frames.</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Project Management Journal</w:t>
      </w:r>
      <w:r w:rsidRPr="00E71D15">
        <w:rPr>
          <w:rFonts w:ascii="Times New Roman" w:hAnsi="Times New Roman" w:cs="Times New Roman"/>
        </w:rPr>
        <w:t>, 43(5), pp.87–99.</w:t>
      </w:r>
    </w:p>
    <w:p w14:paraId="2B9C7F56" w14:textId="77777777" w:rsidR="001F2DE6" w:rsidRPr="00E71D15" w:rsidRDefault="001F2DE6" w:rsidP="00E71D15">
      <w:pPr>
        <w:spacing w:line="360" w:lineRule="auto"/>
        <w:jc w:val="both"/>
        <w:rPr>
          <w:rFonts w:ascii="Times New Roman" w:hAnsi="Times New Roman" w:cs="Times New Roman"/>
        </w:rPr>
      </w:pPr>
      <w:r w:rsidRPr="00E71D15">
        <w:rPr>
          <w:rFonts w:ascii="Times New Roman" w:hAnsi="Times New Roman" w:cs="Times New Roman"/>
        </w:rPr>
        <w:t>Zainon, N., Ali, K.N., Ibrahim, A. and Muhammad, M., 2020. Managing stakeholder relationships in public–private partnership projects using social network analysis.</w:t>
      </w:r>
      <w:r w:rsidRPr="00E71D15">
        <w:rPr>
          <w:rStyle w:val="apple-converted-space"/>
          <w:rFonts w:ascii="Times New Roman" w:hAnsi="Times New Roman" w:cs="Times New Roman"/>
          <w:color w:val="000000"/>
        </w:rPr>
        <w:t> </w:t>
      </w:r>
      <w:r w:rsidRPr="00E71D15">
        <w:rPr>
          <w:rStyle w:val="Emphasis"/>
          <w:rFonts w:ascii="Times New Roman" w:hAnsi="Times New Roman" w:cs="Times New Roman"/>
          <w:color w:val="000000"/>
        </w:rPr>
        <w:t>Engineering, Construction and Architectural Management</w:t>
      </w:r>
      <w:r w:rsidRPr="00E71D15">
        <w:rPr>
          <w:rFonts w:ascii="Times New Roman" w:hAnsi="Times New Roman" w:cs="Times New Roman"/>
        </w:rPr>
        <w:t>, 27(10), pp.2867–2886.</w:t>
      </w:r>
      <w:r w:rsidRPr="00E71D15">
        <w:rPr>
          <w:rStyle w:val="apple-converted-space"/>
          <w:rFonts w:ascii="Times New Roman" w:hAnsi="Times New Roman" w:cs="Times New Roman"/>
          <w:color w:val="000000"/>
        </w:rPr>
        <w:t> </w:t>
      </w:r>
      <w:r w:rsidRPr="00E71D15">
        <w:rPr>
          <w:rFonts w:ascii="Times New Roman" w:hAnsi="Times New Roman" w:cs="Times New Roman"/>
        </w:rPr>
        <w:t>https://doi.org/10.1108/ECAM-06-2019-0326</w:t>
      </w:r>
    </w:p>
    <w:p w14:paraId="62091549" w14:textId="62FD7D71" w:rsidR="00FC6B0A" w:rsidRPr="00E71D15" w:rsidRDefault="00FC6B0A" w:rsidP="00E71D15">
      <w:pPr>
        <w:spacing w:line="360" w:lineRule="auto"/>
        <w:jc w:val="both"/>
        <w:rPr>
          <w:rFonts w:ascii="Times New Roman" w:eastAsia="Times New Roman" w:hAnsi="Times New Roman" w:cs="Times New Roman"/>
          <w:kern w:val="0"/>
          <w:lang w:eastAsia="en-GB"/>
          <w14:ligatures w14:val="none"/>
        </w:rPr>
      </w:pPr>
    </w:p>
    <w:p w14:paraId="55BAACC4" w14:textId="5CC00CF9" w:rsidR="00FC6B0A" w:rsidRPr="00E71D15" w:rsidRDefault="00FC6B0A" w:rsidP="00E71D15">
      <w:pPr>
        <w:pStyle w:val="Heading1"/>
        <w:rPr>
          <w:rFonts w:eastAsia="Times New Roman"/>
          <w:lang w:eastAsia="en-GB"/>
        </w:rPr>
      </w:pPr>
      <w:r w:rsidRPr="00E71D15">
        <w:rPr>
          <w:rFonts w:eastAsia="Times New Roman"/>
          <w:lang w:eastAsia="en-GB"/>
        </w:rPr>
        <w:t xml:space="preserve"> </w:t>
      </w:r>
      <w:bookmarkStart w:id="23" w:name="_Toc212469206"/>
      <w:r w:rsidRPr="00E71D15">
        <w:rPr>
          <w:rFonts w:eastAsia="Times New Roman"/>
          <w:lang w:eastAsia="en-GB"/>
        </w:rPr>
        <w:t>APPENDICES</w:t>
      </w:r>
      <w:bookmarkEnd w:id="23"/>
      <w:r w:rsidRPr="00E71D15">
        <w:rPr>
          <w:rFonts w:eastAsia="Times New Roman"/>
          <w:lang w:eastAsia="en-GB"/>
        </w:rPr>
        <w:t xml:space="preserve"> </w:t>
      </w:r>
    </w:p>
    <w:p w14:paraId="25865D53" w14:textId="69EF9C5C" w:rsidR="00FC6B0A" w:rsidRPr="000A3E59" w:rsidRDefault="000A3E59" w:rsidP="000A3E59">
      <w:pPr>
        <w:pStyle w:val="Heading2"/>
        <w:rPr>
          <w:rStyle w:val="Strong"/>
          <w:b w:val="0"/>
          <w:bCs w:val="0"/>
        </w:rPr>
      </w:pPr>
      <w:bookmarkStart w:id="24" w:name="_Toc212469207"/>
      <w:r w:rsidRPr="000A3E59">
        <w:rPr>
          <w:rStyle w:val="Strong"/>
          <w:b w:val="0"/>
          <w:bCs w:val="0"/>
        </w:rPr>
        <w:t>Appendix A: RACI Matrix</w:t>
      </w:r>
      <w:bookmarkEnd w:id="24"/>
    </w:p>
    <w:tbl>
      <w:tblPr>
        <w:tblStyle w:val="PlainTable1"/>
        <w:tblW w:w="8673" w:type="dxa"/>
        <w:shd w:val="clear" w:color="auto" w:fill="84E290" w:themeFill="accent3" w:themeFillTint="66"/>
        <w:tblLook w:val="04A0" w:firstRow="1" w:lastRow="0" w:firstColumn="1" w:lastColumn="0" w:noHBand="0" w:noVBand="1"/>
      </w:tblPr>
      <w:tblGrid>
        <w:gridCol w:w="2035"/>
        <w:gridCol w:w="1885"/>
        <w:gridCol w:w="1496"/>
        <w:gridCol w:w="1875"/>
        <w:gridCol w:w="1578"/>
      </w:tblGrid>
      <w:tr w:rsidR="000A3E59" w:rsidRPr="000A3E59" w14:paraId="4AEAFC15" w14:textId="77777777" w:rsidTr="00BB687C">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035" w:type="dxa"/>
            <w:shd w:val="clear" w:color="auto" w:fill="47D459" w:themeFill="accent3" w:themeFillTint="99"/>
            <w:noWrap/>
            <w:hideMark/>
          </w:tcPr>
          <w:p w14:paraId="15C29D08"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Activity</w:t>
            </w:r>
          </w:p>
        </w:tc>
        <w:tc>
          <w:tcPr>
            <w:tcW w:w="1885" w:type="dxa"/>
            <w:shd w:val="clear" w:color="auto" w:fill="47D459" w:themeFill="accent3" w:themeFillTint="99"/>
            <w:noWrap/>
            <w:hideMark/>
          </w:tcPr>
          <w:p w14:paraId="660F052F" w14:textId="77777777" w:rsidR="000A3E59" w:rsidRPr="000A3E59" w:rsidRDefault="000A3E59" w:rsidP="000A3E5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Responsible</w:t>
            </w:r>
          </w:p>
        </w:tc>
        <w:tc>
          <w:tcPr>
            <w:tcW w:w="1300" w:type="dxa"/>
            <w:shd w:val="clear" w:color="auto" w:fill="47D459" w:themeFill="accent3" w:themeFillTint="99"/>
            <w:noWrap/>
            <w:hideMark/>
          </w:tcPr>
          <w:p w14:paraId="6946CEA3" w14:textId="77777777" w:rsidR="000A3E59" w:rsidRPr="000A3E59" w:rsidRDefault="000A3E59" w:rsidP="000A3E5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Accountable</w:t>
            </w:r>
          </w:p>
        </w:tc>
        <w:tc>
          <w:tcPr>
            <w:tcW w:w="1875" w:type="dxa"/>
            <w:shd w:val="clear" w:color="auto" w:fill="47D459" w:themeFill="accent3" w:themeFillTint="99"/>
            <w:noWrap/>
            <w:hideMark/>
          </w:tcPr>
          <w:p w14:paraId="5C723900" w14:textId="77777777" w:rsidR="000A3E59" w:rsidRPr="000A3E59" w:rsidRDefault="000A3E59" w:rsidP="000A3E5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Consulted</w:t>
            </w:r>
          </w:p>
        </w:tc>
        <w:tc>
          <w:tcPr>
            <w:tcW w:w="1578" w:type="dxa"/>
            <w:shd w:val="clear" w:color="auto" w:fill="47D459" w:themeFill="accent3" w:themeFillTint="99"/>
            <w:noWrap/>
            <w:hideMark/>
          </w:tcPr>
          <w:p w14:paraId="2501A385" w14:textId="77777777" w:rsidR="000A3E59" w:rsidRPr="000A3E59" w:rsidRDefault="000A3E59" w:rsidP="000A3E5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Informed</w:t>
            </w:r>
          </w:p>
        </w:tc>
      </w:tr>
      <w:tr w:rsidR="000A3E59" w:rsidRPr="000A3E59" w14:paraId="258BACD3" w14:textId="77777777" w:rsidTr="00BB687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035" w:type="dxa"/>
            <w:shd w:val="clear" w:color="auto" w:fill="84E290" w:themeFill="accent3" w:themeFillTint="66"/>
            <w:noWrap/>
            <w:hideMark/>
          </w:tcPr>
          <w:p w14:paraId="33D59882"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Product Design</w:t>
            </w:r>
          </w:p>
        </w:tc>
        <w:tc>
          <w:tcPr>
            <w:tcW w:w="1885" w:type="dxa"/>
            <w:shd w:val="clear" w:color="auto" w:fill="84E290" w:themeFill="accent3" w:themeFillTint="66"/>
            <w:noWrap/>
            <w:hideMark/>
          </w:tcPr>
          <w:p w14:paraId="244875C4"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Development Team</w:t>
            </w:r>
          </w:p>
        </w:tc>
        <w:tc>
          <w:tcPr>
            <w:tcW w:w="1300" w:type="dxa"/>
            <w:shd w:val="clear" w:color="auto" w:fill="84E290" w:themeFill="accent3" w:themeFillTint="66"/>
            <w:noWrap/>
            <w:hideMark/>
          </w:tcPr>
          <w:p w14:paraId="0ADA9F12"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Head of R&amp;D</w:t>
            </w:r>
          </w:p>
        </w:tc>
        <w:tc>
          <w:tcPr>
            <w:tcW w:w="1875" w:type="dxa"/>
            <w:shd w:val="clear" w:color="auto" w:fill="84E290" w:themeFill="accent3" w:themeFillTint="66"/>
            <w:noWrap/>
            <w:hideMark/>
          </w:tcPr>
          <w:p w14:paraId="0015383B"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Clinical Advisors</w:t>
            </w:r>
          </w:p>
        </w:tc>
        <w:tc>
          <w:tcPr>
            <w:tcW w:w="1578" w:type="dxa"/>
            <w:shd w:val="clear" w:color="auto" w:fill="84E290" w:themeFill="accent3" w:themeFillTint="66"/>
            <w:noWrap/>
            <w:hideMark/>
          </w:tcPr>
          <w:p w14:paraId="491AD5DF"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Marketing</w:t>
            </w:r>
          </w:p>
        </w:tc>
      </w:tr>
      <w:tr w:rsidR="000A3E59" w:rsidRPr="000A3E59" w14:paraId="4CFD23C3" w14:textId="77777777" w:rsidTr="00BB687C">
        <w:trPr>
          <w:trHeight w:val="320"/>
        </w:trPr>
        <w:tc>
          <w:tcPr>
            <w:cnfStyle w:val="001000000000" w:firstRow="0" w:lastRow="0" w:firstColumn="1" w:lastColumn="0" w:oddVBand="0" w:evenVBand="0" w:oddHBand="0" w:evenHBand="0" w:firstRowFirstColumn="0" w:firstRowLastColumn="0" w:lastRowFirstColumn="0" w:lastRowLastColumn="0"/>
            <w:tcW w:w="2035" w:type="dxa"/>
            <w:shd w:val="clear" w:color="auto" w:fill="84E290" w:themeFill="accent3" w:themeFillTint="66"/>
            <w:noWrap/>
            <w:hideMark/>
          </w:tcPr>
          <w:p w14:paraId="7A71CF79"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Regulatory Approval</w:t>
            </w:r>
          </w:p>
        </w:tc>
        <w:tc>
          <w:tcPr>
            <w:tcW w:w="1885" w:type="dxa"/>
            <w:shd w:val="clear" w:color="auto" w:fill="84E290" w:themeFill="accent3" w:themeFillTint="66"/>
            <w:noWrap/>
            <w:hideMark/>
          </w:tcPr>
          <w:p w14:paraId="7B315754"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Compliance Lead</w:t>
            </w:r>
          </w:p>
        </w:tc>
        <w:tc>
          <w:tcPr>
            <w:tcW w:w="1300" w:type="dxa"/>
            <w:shd w:val="clear" w:color="auto" w:fill="84E290" w:themeFill="accent3" w:themeFillTint="66"/>
            <w:noWrap/>
            <w:hideMark/>
          </w:tcPr>
          <w:p w14:paraId="2EF033D1"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COO</w:t>
            </w:r>
          </w:p>
        </w:tc>
        <w:tc>
          <w:tcPr>
            <w:tcW w:w="1875" w:type="dxa"/>
            <w:shd w:val="clear" w:color="auto" w:fill="84E290" w:themeFill="accent3" w:themeFillTint="66"/>
            <w:noWrap/>
            <w:hideMark/>
          </w:tcPr>
          <w:p w14:paraId="5000ADF8"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MHRA, NHS IT</w:t>
            </w:r>
          </w:p>
        </w:tc>
        <w:tc>
          <w:tcPr>
            <w:tcW w:w="1578" w:type="dxa"/>
            <w:shd w:val="clear" w:color="auto" w:fill="84E290" w:themeFill="accent3" w:themeFillTint="66"/>
            <w:noWrap/>
            <w:hideMark/>
          </w:tcPr>
          <w:p w14:paraId="451EE327"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Investors</w:t>
            </w:r>
          </w:p>
        </w:tc>
      </w:tr>
      <w:tr w:rsidR="000A3E59" w:rsidRPr="000A3E59" w14:paraId="203B1EA2" w14:textId="77777777" w:rsidTr="00BB687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035" w:type="dxa"/>
            <w:shd w:val="clear" w:color="auto" w:fill="84E290" w:themeFill="accent3" w:themeFillTint="66"/>
            <w:noWrap/>
            <w:hideMark/>
          </w:tcPr>
          <w:p w14:paraId="2651CC74"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lastRenderedPageBreak/>
              <w:t>User Testing</w:t>
            </w:r>
          </w:p>
        </w:tc>
        <w:tc>
          <w:tcPr>
            <w:tcW w:w="1885" w:type="dxa"/>
            <w:shd w:val="clear" w:color="auto" w:fill="84E290" w:themeFill="accent3" w:themeFillTint="66"/>
            <w:noWrap/>
            <w:hideMark/>
          </w:tcPr>
          <w:p w14:paraId="2B1D4519"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Project Manager</w:t>
            </w:r>
          </w:p>
        </w:tc>
        <w:tc>
          <w:tcPr>
            <w:tcW w:w="1300" w:type="dxa"/>
            <w:shd w:val="clear" w:color="auto" w:fill="84E290" w:themeFill="accent3" w:themeFillTint="66"/>
            <w:noWrap/>
            <w:hideMark/>
          </w:tcPr>
          <w:p w14:paraId="1CF0AA73"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CTO</w:t>
            </w:r>
          </w:p>
        </w:tc>
        <w:tc>
          <w:tcPr>
            <w:tcW w:w="1875" w:type="dxa"/>
            <w:shd w:val="clear" w:color="auto" w:fill="84E290" w:themeFill="accent3" w:themeFillTint="66"/>
            <w:noWrap/>
            <w:hideMark/>
          </w:tcPr>
          <w:p w14:paraId="57C7B380"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Patients, Clinicians</w:t>
            </w:r>
          </w:p>
        </w:tc>
        <w:tc>
          <w:tcPr>
            <w:tcW w:w="1578" w:type="dxa"/>
            <w:shd w:val="clear" w:color="auto" w:fill="84E290" w:themeFill="accent3" w:themeFillTint="66"/>
            <w:noWrap/>
            <w:hideMark/>
          </w:tcPr>
          <w:p w14:paraId="233E1868"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NHS Leadership</w:t>
            </w:r>
          </w:p>
        </w:tc>
      </w:tr>
      <w:tr w:rsidR="000A3E59" w:rsidRPr="000A3E59" w14:paraId="79AC043C" w14:textId="77777777" w:rsidTr="00BB687C">
        <w:trPr>
          <w:trHeight w:val="320"/>
        </w:trPr>
        <w:tc>
          <w:tcPr>
            <w:cnfStyle w:val="001000000000" w:firstRow="0" w:lastRow="0" w:firstColumn="1" w:lastColumn="0" w:oddVBand="0" w:evenVBand="0" w:oddHBand="0" w:evenHBand="0" w:firstRowFirstColumn="0" w:firstRowLastColumn="0" w:lastRowFirstColumn="0" w:lastRowLastColumn="0"/>
            <w:tcW w:w="2035" w:type="dxa"/>
            <w:shd w:val="clear" w:color="auto" w:fill="84E290" w:themeFill="accent3" w:themeFillTint="66"/>
            <w:noWrap/>
            <w:hideMark/>
          </w:tcPr>
          <w:p w14:paraId="1712DFF5"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Communications</w:t>
            </w:r>
          </w:p>
        </w:tc>
        <w:tc>
          <w:tcPr>
            <w:tcW w:w="1885" w:type="dxa"/>
            <w:shd w:val="clear" w:color="auto" w:fill="84E290" w:themeFill="accent3" w:themeFillTint="66"/>
            <w:noWrap/>
            <w:hideMark/>
          </w:tcPr>
          <w:p w14:paraId="4A2668D5"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Marketing Team</w:t>
            </w:r>
          </w:p>
        </w:tc>
        <w:tc>
          <w:tcPr>
            <w:tcW w:w="1300" w:type="dxa"/>
            <w:shd w:val="clear" w:color="auto" w:fill="84E290" w:themeFill="accent3" w:themeFillTint="66"/>
            <w:noWrap/>
            <w:hideMark/>
          </w:tcPr>
          <w:p w14:paraId="3E90A160"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CMO</w:t>
            </w:r>
          </w:p>
        </w:tc>
        <w:tc>
          <w:tcPr>
            <w:tcW w:w="1875" w:type="dxa"/>
            <w:shd w:val="clear" w:color="auto" w:fill="84E290" w:themeFill="accent3" w:themeFillTint="66"/>
            <w:noWrap/>
            <w:hideMark/>
          </w:tcPr>
          <w:p w14:paraId="4D8BAC3A"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Patient Reps</w:t>
            </w:r>
          </w:p>
        </w:tc>
        <w:tc>
          <w:tcPr>
            <w:tcW w:w="1578" w:type="dxa"/>
            <w:shd w:val="clear" w:color="auto" w:fill="84E290" w:themeFill="accent3" w:themeFillTint="66"/>
            <w:noWrap/>
            <w:hideMark/>
          </w:tcPr>
          <w:p w14:paraId="025B0A6F"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All Stakeholders</w:t>
            </w:r>
          </w:p>
        </w:tc>
      </w:tr>
      <w:tr w:rsidR="000A3E59" w:rsidRPr="000A3E59" w14:paraId="296D828F" w14:textId="77777777" w:rsidTr="00BB687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035" w:type="dxa"/>
            <w:shd w:val="clear" w:color="auto" w:fill="84E290" w:themeFill="accent3" w:themeFillTint="66"/>
            <w:noWrap/>
            <w:hideMark/>
          </w:tcPr>
          <w:p w14:paraId="572B6FAD"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Launch Coordination</w:t>
            </w:r>
          </w:p>
        </w:tc>
        <w:tc>
          <w:tcPr>
            <w:tcW w:w="1885" w:type="dxa"/>
            <w:shd w:val="clear" w:color="auto" w:fill="84E290" w:themeFill="accent3" w:themeFillTint="66"/>
            <w:noWrap/>
            <w:hideMark/>
          </w:tcPr>
          <w:p w14:paraId="386836C2"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Project Manager</w:t>
            </w:r>
          </w:p>
        </w:tc>
        <w:tc>
          <w:tcPr>
            <w:tcW w:w="1300" w:type="dxa"/>
            <w:shd w:val="clear" w:color="auto" w:fill="84E290" w:themeFill="accent3" w:themeFillTint="66"/>
            <w:noWrap/>
            <w:hideMark/>
          </w:tcPr>
          <w:p w14:paraId="1109946F"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CEO</w:t>
            </w:r>
          </w:p>
        </w:tc>
        <w:tc>
          <w:tcPr>
            <w:tcW w:w="1875" w:type="dxa"/>
            <w:shd w:val="clear" w:color="auto" w:fill="84E290" w:themeFill="accent3" w:themeFillTint="66"/>
            <w:noWrap/>
            <w:hideMark/>
          </w:tcPr>
          <w:p w14:paraId="379025A4"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NHS, Investors</w:t>
            </w:r>
          </w:p>
        </w:tc>
        <w:tc>
          <w:tcPr>
            <w:tcW w:w="1578" w:type="dxa"/>
            <w:shd w:val="clear" w:color="auto" w:fill="84E290" w:themeFill="accent3" w:themeFillTint="66"/>
            <w:noWrap/>
            <w:hideMark/>
          </w:tcPr>
          <w:p w14:paraId="3000CAB6"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Suppliers</w:t>
            </w:r>
          </w:p>
        </w:tc>
      </w:tr>
    </w:tbl>
    <w:p w14:paraId="196351F9" w14:textId="77777777" w:rsidR="000A3E59" w:rsidRDefault="000A3E59"/>
    <w:p w14:paraId="133A71A3" w14:textId="259884E1" w:rsidR="000A3E59" w:rsidRDefault="000A3E59" w:rsidP="000A3E59">
      <w:pPr>
        <w:pStyle w:val="Heading2"/>
        <w:rPr>
          <w:rStyle w:val="Strong"/>
          <w:b w:val="0"/>
          <w:bCs w:val="0"/>
        </w:rPr>
      </w:pPr>
      <w:bookmarkStart w:id="25" w:name="_Toc212469208"/>
      <w:r w:rsidRPr="000A3E59">
        <w:rPr>
          <w:rStyle w:val="Strong"/>
          <w:b w:val="0"/>
          <w:bCs w:val="0"/>
        </w:rPr>
        <w:t xml:space="preserve">Appendix B: Communication Plan </w:t>
      </w:r>
      <w:bookmarkEnd w:id="25"/>
    </w:p>
    <w:p w14:paraId="35E26DA3" w14:textId="77777777" w:rsidR="000A3E59" w:rsidRDefault="000A3E59" w:rsidP="000A3E59"/>
    <w:tbl>
      <w:tblPr>
        <w:tblStyle w:val="PlainTable1"/>
        <w:tblW w:w="9026" w:type="dxa"/>
        <w:tblLook w:val="04A0" w:firstRow="1" w:lastRow="0" w:firstColumn="1" w:lastColumn="0" w:noHBand="0" w:noVBand="1"/>
      </w:tblPr>
      <w:tblGrid>
        <w:gridCol w:w="1776"/>
        <w:gridCol w:w="2591"/>
        <w:gridCol w:w="1310"/>
        <w:gridCol w:w="3433"/>
      </w:tblGrid>
      <w:tr w:rsidR="000A3E59" w:rsidRPr="000A3E59" w14:paraId="702C6389" w14:textId="77777777" w:rsidTr="00BB687C">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776" w:type="dxa"/>
            <w:shd w:val="clear" w:color="auto" w:fill="D86DCB" w:themeFill="accent5" w:themeFillTint="99"/>
            <w:noWrap/>
            <w:hideMark/>
          </w:tcPr>
          <w:p w14:paraId="25B3588C"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Stakeholder Group</w:t>
            </w:r>
          </w:p>
        </w:tc>
        <w:tc>
          <w:tcPr>
            <w:tcW w:w="2591" w:type="dxa"/>
            <w:shd w:val="clear" w:color="auto" w:fill="D86DCB" w:themeFill="accent5" w:themeFillTint="99"/>
            <w:noWrap/>
            <w:hideMark/>
          </w:tcPr>
          <w:p w14:paraId="6C58C115" w14:textId="77777777" w:rsidR="000A3E59" w:rsidRPr="000A3E59" w:rsidRDefault="000A3E59" w:rsidP="000A3E5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Communication Method</w:t>
            </w:r>
          </w:p>
        </w:tc>
        <w:tc>
          <w:tcPr>
            <w:tcW w:w="1226" w:type="dxa"/>
            <w:shd w:val="clear" w:color="auto" w:fill="D86DCB" w:themeFill="accent5" w:themeFillTint="99"/>
            <w:noWrap/>
            <w:hideMark/>
          </w:tcPr>
          <w:p w14:paraId="23F434BF" w14:textId="77777777" w:rsidR="000A3E59" w:rsidRPr="000A3E59" w:rsidRDefault="000A3E59" w:rsidP="000A3E5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Frequency</w:t>
            </w:r>
          </w:p>
        </w:tc>
        <w:tc>
          <w:tcPr>
            <w:tcW w:w="3433" w:type="dxa"/>
            <w:shd w:val="clear" w:color="auto" w:fill="D86DCB" w:themeFill="accent5" w:themeFillTint="99"/>
            <w:noWrap/>
            <w:hideMark/>
          </w:tcPr>
          <w:p w14:paraId="6A984F70" w14:textId="77777777" w:rsidR="000A3E59" w:rsidRPr="000A3E59" w:rsidRDefault="000A3E59" w:rsidP="000A3E5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Purpose</w:t>
            </w:r>
          </w:p>
        </w:tc>
      </w:tr>
      <w:tr w:rsidR="000A3E59" w:rsidRPr="000A3E59" w14:paraId="023DE096" w14:textId="77777777" w:rsidTr="00BB687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776" w:type="dxa"/>
            <w:shd w:val="clear" w:color="auto" w:fill="E59EDC" w:themeFill="accent5" w:themeFillTint="66"/>
            <w:noWrap/>
            <w:hideMark/>
          </w:tcPr>
          <w:p w14:paraId="71F37587"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NHS Clinicians</w:t>
            </w:r>
          </w:p>
        </w:tc>
        <w:tc>
          <w:tcPr>
            <w:tcW w:w="2591" w:type="dxa"/>
            <w:shd w:val="clear" w:color="auto" w:fill="E59EDC" w:themeFill="accent5" w:themeFillTint="66"/>
            <w:noWrap/>
            <w:hideMark/>
          </w:tcPr>
          <w:p w14:paraId="23F0B880"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Weekly Briefings</w:t>
            </w:r>
          </w:p>
        </w:tc>
        <w:tc>
          <w:tcPr>
            <w:tcW w:w="1226" w:type="dxa"/>
            <w:shd w:val="clear" w:color="auto" w:fill="E59EDC" w:themeFill="accent5" w:themeFillTint="66"/>
            <w:noWrap/>
            <w:hideMark/>
          </w:tcPr>
          <w:p w14:paraId="64E2D519"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Weekly</w:t>
            </w:r>
          </w:p>
        </w:tc>
        <w:tc>
          <w:tcPr>
            <w:tcW w:w="3433" w:type="dxa"/>
            <w:shd w:val="clear" w:color="auto" w:fill="E59EDC" w:themeFill="accent5" w:themeFillTint="66"/>
            <w:noWrap/>
            <w:hideMark/>
          </w:tcPr>
          <w:p w14:paraId="6D160EAC"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Project alignment and feedback</w:t>
            </w:r>
          </w:p>
        </w:tc>
      </w:tr>
      <w:tr w:rsidR="000A3E59" w:rsidRPr="000A3E59" w14:paraId="0829EEF5" w14:textId="77777777" w:rsidTr="00BB687C">
        <w:trPr>
          <w:trHeight w:val="320"/>
        </w:trPr>
        <w:tc>
          <w:tcPr>
            <w:cnfStyle w:val="001000000000" w:firstRow="0" w:lastRow="0" w:firstColumn="1" w:lastColumn="0" w:oddVBand="0" w:evenVBand="0" w:oddHBand="0" w:evenHBand="0" w:firstRowFirstColumn="0" w:firstRowLastColumn="0" w:lastRowFirstColumn="0" w:lastRowLastColumn="0"/>
            <w:tcW w:w="1776" w:type="dxa"/>
            <w:shd w:val="clear" w:color="auto" w:fill="E59EDC" w:themeFill="accent5" w:themeFillTint="66"/>
            <w:noWrap/>
            <w:hideMark/>
          </w:tcPr>
          <w:p w14:paraId="1ADD96F6"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MHRA Regulators</w:t>
            </w:r>
          </w:p>
        </w:tc>
        <w:tc>
          <w:tcPr>
            <w:tcW w:w="2591" w:type="dxa"/>
            <w:shd w:val="clear" w:color="auto" w:fill="E59EDC" w:themeFill="accent5" w:themeFillTint="66"/>
            <w:noWrap/>
            <w:hideMark/>
          </w:tcPr>
          <w:p w14:paraId="41F52540"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Compliance Reports</w:t>
            </w:r>
          </w:p>
        </w:tc>
        <w:tc>
          <w:tcPr>
            <w:tcW w:w="1226" w:type="dxa"/>
            <w:shd w:val="clear" w:color="auto" w:fill="E59EDC" w:themeFill="accent5" w:themeFillTint="66"/>
            <w:noWrap/>
            <w:hideMark/>
          </w:tcPr>
          <w:p w14:paraId="74A2D679"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Bi-weekly</w:t>
            </w:r>
          </w:p>
        </w:tc>
        <w:tc>
          <w:tcPr>
            <w:tcW w:w="3433" w:type="dxa"/>
            <w:shd w:val="clear" w:color="auto" w:fill="E59EDC" w:themeFill="accent5" w:themeFillTint="66"/>
            <w:noWrap/>
            <w:hideMark/>
          </w:tcPr>
          <w:p w14:paraId="260AD213"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Regulatory compliance and approvals</w:t>
            </w:r>
          </w:p>
        </w:tc>
      </w:tr>
      <w:tr w:rsidR="000A3E59" w:rsidRPr="000A3E59" w14:paraId="3F7A621E" w14:textId="77777777" w:rsidTr="00BB687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776" w:type="dxa"/>
            <w:shd w:val="clear" w:color="auto" w:fill="E59EDC" w:themeFill="accent5" w:themeFillTint="66"/>
            <w:noWrap/>
            <w:hideMark/>
          </w:tcPr>
          <w:p w14:paraId="4BC0EE7E"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Patients</w:t>
            </w:r>
          </w:p>
        </w:tc>
        <w:tc>
          <w:tcPr>
            <w:tcW w:w="2591" w:type="dxa"/>
            <w:shd w:val="clear" w:color="auto" w:fill="E59EDC" w:themeFill="accent5" w:themeFillTint="66"/>
            <w:noWrap/>
            <w:hideMark/>
          </w:tcPr>
          <w:p w14:paraId="438A282C"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User Feedback Surveys</w:t>
            </w:r>
          </w:p>
        </w:tc>
        <w:tc>
          <w:tcPr>
            <w:tcW w:w="1226" w:type="dxa"/>
            <w:shd w:val="clear" w:color="auto" w:fill="E59EDC" w:themeFill="accent5" w:themeFillTint="66"/>
            <w:noWrap/>
            <w:hideMark/>
          </w:tcPr>
          <w:p w14:paraId="2633F601"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Monthly</w:t>
            </w:r>
          </w:p>
        </w:tc>
        <w:tc>
          <w:tcPr>
            <w:tcW w:w="3433" w:type="dxa"/>
            <w:shd w:val="clear" w:color="auto" w:fill="E59EDC" w:themeFill="accent5" w:themeFillTint="66"/>
            <w:noWrap/>
            <w:hideMark/>
          </w:tcPr>
          <w:p w14:paraId="32714BEC"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Usability and trust input</w:t>
            </w:r>
          </w:p>
        </w:tc>
      </w:tr>
      <w:tr w:rsidR="000A3E59" w:rsidRPr="000A3E59" w14:paraId="46AC55A3" w14:textId="77777777" w:rsidTr="00BB687C">
        <w:trPr>
          <w:trHeight w:val="320"/>
        </w:trPr>
        <w:tc>
          <w:tcPr>
            <w:cnfStyle w:val="001000000000" w:firstRow="0" w:lastRow="0" w:firstColumn="1" w:lastColumn="0" w:oddVBand="0" w:evenVBand="0" w:oddHBand="0" w:evenHBand="0" w:firstRowFirstColumn="0" w:firstRowLastColumn="0" w:lastRowFirstColumn="0" w:lastRowLastColumn="0"/>
            <w:tcW w:w="1776" w:type="dxa"/>
            <w:shd w:val="clear" w:color="auto" w:fill="E59EDC" w:themeFill="accent5" w:themeFillTint="66"/>
            <w:noWrap/>
            <w:hideMark/>
          </w:tcPr>
          <w:p w14:paraId="5512FA61"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Development Team</w:t>
            </w:r>
          </w:p>
        </w:tc>
        <w:tc>
          <w:tcPr>
            <w:tcW w:w="2591" w:type="dxa"/>
            <w:shd w:val="clear" w:color="auto" w:fill="E59EDC" w:themeFill="accent5" w:themeFillTint="66"/>
            <w:noWrap/>
            <w:hideMark/>
          </w:tcPr>
          <w:p w14:paraId="541C4124"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Daily Stand-ups</w:t>
            </w:r>
          </w:p>
        </w:tc>
        <w:tc>
          <w:tcPr>
            <w:tcW w:w="1226" w:type="dxa"/>
            <w:shd w:val="clear" w:color="auto" w:fill="E59EDC" w:themeFill="accent5" w:themeFillTint="66"/>
            <w:noWrap/>
            <w:hideMark/>
          </w:tcPr>
          <w:p w14:paraId="5AFBDD1D"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Daily</w:t>
            </w:r>
          </w:p>
        </w:tc>
        <w:tc>
          <w:tcPr>
            <w:tcW w:w="3433" w:type="dxa"/>
            <w:shd w:val="clear" w:color="auto" w:fill="E59EDC" w:themeFill="accent5" w:themeFillTint="66"/>
            <w:noWrap/>
            <w:hideMark/>
          </w:tcPr>
          <w:p w14:paraId="0B5E95FA"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Progress tracking and issue resolution</w:t>
            </w:r>
          </w:p>
        </w:tc>
      </w:tr>
      <w:tr w:rsidR="000A3E59" w:rsidRPr="000A3E59" w14:paraId="52F18B74" w14:textId="77777777" w:rsidTr="00BB687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776" w:type="dxa"/>
            <w:shd w:val="clear" w:color="auto" w:fill="E59EDC" w:themeFill="accent5" w:themeFillTint="66"/>
            <w:noWrap/>
            <w:hideMark/>
          </w:tcPr>
          <w:p w14:paraId="5C5E226F"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Investors</w:t>
            </w:r>
          </w:p>
        </w:tc>
        <w:tc>
          <w:tcPr>
            <w:tcW w:w="2591" w:type="dxa"/>
            <w:shd w:val="clear" w:color="auto" w:fill="E59EDC" w:themeFill="accent5" w:themeFillTint="66"/>
            <w:noWrap/>
            <w:hideMark/>
          </w:tcPr>
          <w:p w14:paraId="225BDC76"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Quarterly Reports</w:t>
            </w:r>
          </w:p>
        </w:tc>
        <w:tc>
          <w:tcPr>
            <w:tcW w:w="1226" w:type="dxa"/>
            <w:shd w:val="clear" w:color="auto" w:fill="E59EDC" w:themeFill="accent5" w:themeFillTint="66"/>
            <w:noWrap/>
            <w:hideMark/>
          </w:tcPr>
          <w:p w14:paraId="39255011"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Quarterly</w:t>
            </w:r>
          </w:p>
        </w:tc>
        <w:tc>
          <w:tcPr>
            <w:tcW w:w="3433" w:type="dxa"/>
            <w:shd w:val="clear" w:color="auto" w:fill="E59EDC" w:themeFill="accent5" w:themeFillTint="66"/>
            <w:noWrap/>
            <w:hideMark/>
          </w:tcPr>
          <w:p w14:paraId="677D74AA"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Performance and ROI updates</w:t>
            </w:r>
          </w:p>
        </w:tc>
      </w:tr>
      <w:tr w:rsidR="000A3E59" w:rsidRPr="000A3E59" w14:paraId="0F954BDC" w14:textId="77777777" w:rsidTr="00BB687C">
        <w:trPr>
          <w:trHeight w:val="320"/>
        </w:trPr>
        <w:tc>
          <w:tcPr>
            <w:cnfStyle w:val="001000000000" w:firstRow="0" w:lastRow="0" w:firstColumn="1" w:lastColumn="0" w:oddVBand="0" w:evenVBand="0" w:oddHBand="0" w:evenHBand="0" w:firstRowFirstColumn="0" w:firstRowLastColumn="0" w:lastRowFirstColumn="0" w:lastRowLastColumn="0"/>
            <w:tcW w:w="1776" w:type="dxa"/>
            <w:shd w:val="clear" w:color="auto" w:fill="E59EDC" w:themeFill="accent5" w:themeFillTint="66"/>
            <w:noWrap/>
            <w:hideMark/>
          </w:tcPr>
          <w:p w14:paraId="177FB7FC"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Marketing Team</w:t>
            </w:r>
          </w:p>
        </w:tc>
        <w:tc>
          <w:tcPr>
            <w:tcW w:w="2591" w:type="dxa"/>
            <w:shd w:val="clear" w:color="auto" w:fill="E59EDC" w:themeFill="accent5" w:themeFillTint="66"/>
            <w:noWrap/>
            <w:hideMark/>
          </w:tcPr>
          <w:p w14:paraId="19C20608"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Campaign Strategy Meetings</w:t>
            </w:r>
          </w:p>
        </w:tc>
        <w:tc>
          <w:tcPr>
            <w:tcW w:w="1226" w:type="dxa"/>
            <w:shd w:val="clear" w:color="auto" w:fill="E59EDC" w:themeFill="accent5" w:themeFillTint="66"/>
            <w:noWrap/>
            <w:hideMark/>
          </w:tcPr>
          <w:p w14:paraId="436E1F52"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Bi-weekly</w:t>
            </w:r>
          </w:p>
        </w:tc>
        <w:tc>
          <w:tcPr>
            <w:tcW w:w="3433" w:type="dxa"/>
            <w:shd w:val="clear" w:color="auto" w:fill="E59EDC" w:themeFill="accent5" w:themeFillTint="66"/>
            <w:noWrap/>
            <w:hideMark/>
          </w:tcPr>
          <w:p w14:paraId="72B47264"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Brand and message consistency</w:t>
            </w:r>
          </w:p>
        </w:tc>
      </w:tr>
    </w:tbl>
    <w:p w14:paraId="4C89A913" w14:textId="77777777" w:rsidR="000A3E59" w:rsidRDefault="000A3E59" w:rsidP="000A3E59"/>
    <w:p w14:paraId="359512E3" w14:textId="07BFD341" w:rsidR="000A3E59" w:rsidRDefault="000A3E59" w:rsidP="000A3E59">
      <w:pPr>
        <w:pStyle w:val="Heading2"/>
        <w:rPr>
          <w:rStyle w:val="Strong"/>
          <w:b w:val="0"/>
          <w:bCs w:val="0"/>
        </w:rPr>
      </w:pPr>
      <w:bookmarkStart w:id="26" w:name="_Toc212469209"/>
      <w:r w:rsidRPr="000A3E59">
        <w:rPr>
          <w:rStyle w:val="Strong"/>
          <w:b w:val="0"/>
          <w:bCs w:val="0"/>
        </w:rPr>
        <w:t>Appendix C: SWANS/OWANS Analysis Table</w:t>
      </w:r>
      <w:bookmarkEnd w:id="26"/>
    </w:p>
    <w:p w14:paraId="2F4B8132" w14:textId="77777777" w:rsidR="000A3E59" w:rsidRDefault="000A3E59" w:rsidP="000A3E59"/>
    <w:tbl>
      <w:tblPr>
        <w:tblStyle w:val="PlainTable1"/>
        <w:tblW w:w="9239" w:type="dxa"/>
        <w:shd w:val="clear" w:color="auto" w:fill="F6C5AC" w:themeFill="accent2" w:themeFillTint="66"/>
        <w:tblLook w:val="04A0" w:firstRow="1" w:lastRow="0" w:firstColumn="1" w:lastColumn="0" w:noHBand="0" w:noVBand="1"/>
      </w:tblPr>
      <w:tblGrid>
        <w:gridCol w:w="1980"/>
        <w:gridCol w:w="3176"/>
        <w:gridCol w:w="4083"/>
      </w:tblGrid>
      <w:tr w:rsidR="000A3E59" w:rsidRPr="00BB687C" w14:paraId="41190747" w14:textId="77777777" w:rsidTr="00BB687C">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980" w:type="dxa"/>
            <w:shd w:val="clear" w:color="auto" w:fill="F1A983" w:themeFill="accent2" w:themeFillTint="99"/>
            <w:noWrap/>
            <w:hideMark/>
          </w:tcPr>
          <w:p w14:paraId="6E2506B9"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Stakeholder</w:t>
            </w:r>
          </w:p>
        </w:tc>
        <w:tc>
          <w:tcPr>
            <w:tcW w:w="3176" w:type="dxa"/>
            <w:shd w:val="clear" w:color="auto" w:fill="F1A983" w:themeFill="accent2" w:themeFillTint="99"/>
            <w:noWrap/>
            <w:hideMark/>
          </w:tcPr>
          <w:p w14:paraId="1D7FE1DE" w14:textId="77777777" w:rsidR="000A3E59" w:rsidRPr="000A3E59" w:rsidRDefault="000A3E59" w:rsidP="000A3E5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SWANS (Wants &amp; Needs)</w:t>
            </w:r>
          </w:p>
        </w:tc>
        <w:tc>
          <w:tcPr>
            <w:tcW w:w="4083" w:type="dxa"/>
            <w:shd w:val="clear" w:color="auto" w:fill="F1A983" w:themeFill="accent2" w:themeFillTint="99"/>
            <w:noWrap/>
            <w:hideMark/>
          </w:tcPr>
          <w:p w14:paraId="4E08C276" w14:textId="77777777" w:rsidR="000A3E59" w:rsidRPr="000A3E59" w:rsidRDefault="000A3E59" w:rsidP="000A3E5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OWANS (Org. Wants &amp; Needs)</w:t>
            </w:r>
          </w:p>
        </w:tc>
      </w:tr>
      <w:tr w:rsidR="000A3E59" w:rsidRPr="000A3E59" w14:paraId="134F68B8" w14:textId="77777777" w:rsidTr="00BB687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980" w:type="dxa"/>
            <w:shd w:val="clear" w:color="auto" w:fill="F6C5AC" w:themeFill="accent2" w:themeFillTint="66"/>
            <w:noWrap/>
            <w:hideMark/>
          </w:tcPr>
          <w:p w14:paraId="78390389"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NHS Clinicians</w:t>
            </w:r>
          </w:p>
        </w:tc>
        <w:tc>
          <w:tcPr>
            <w:tcW w:w="3176" w:type="dxa"/>
            <w:shd w:val="clear" w:color="auto" w:fill="F6C5AC" w:themeFill="accent2" w:themeFillTint="66"/>
            <w:noWrap/>
            <w:hideMark/>
          </w:tcPr>
          <w:p w14:paraId="3E498951"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Clinical accuracy, ease of integration, patient safety</w:t>
            </w:r>
          </w:p>
        </w:tc>
        <w:tc>
          <w:tcPr>
            <w:tcW w:w="4083" w:type="dxa"/>
            <w:shd w:val="clear" w:color="auto" w:fill="F6C5AC" w:themeFill="accent2" w:themeFillTint="66"/>
            <w:noWrap/>
            <w:hideMark/>
          </w:tcPr>
          <w:p w14:paraId="2625CDA8"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Pilot validation, clinician endorsement, system compatibility</w:t>
            </w:r>
          </w:p>
        </w:tc>
      </w:tr>
      <w:tr w:rsidR="000A3E59" w:rsidRPr="000A3E59" w14:paraId="33EA77BD" w14:textId="77777777" w:rsidTr="00BB687C">
        <w:trPr>
          <w:trHeight w:val="320"/>
        </w:trPr>
        <w:tc>
          <w:tcPr>
            <w:cnfStyle w:val="001000000000" w:firstRow="0" w:lastRow="0" w:firstColumn="1" w:lastColumn="0" w:oddVBand="0" w:evenVBand="0" w:oddHBand="0" w:evenHBand="0" w:firstRowFirstColumn="0" w:firstRowLastColumn="0" w:lastRowFirstColumn="0" w:lastRowLastColumn="0"/>
            <w:tcW w:w="1980" w:type="dxa"/>
            <w:shd w:val="clear" w:color="auto" w:fill="F6C5AC" w:themeFill="accent2" w:themeFillTint="66"/>
            <w:noWrap/>
            <w:hideMark/>
          </w:tcPr>
          <w:p w14:paraId="687127A5"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Patients</w:t>
            </w:r>
          </w:p>
        </w:tc>
        <w:tc>
          <w:tcPr>
            <w:tcW w:w="3176" w:type="dxa"/>
            <w:shd w:val="clear" w:color="auto" w:fill="F6C5AC" w:themeFill="accent2" w:themeFillTint="66"/>
            <w:noWrap/>
            <w:hideMark/>
          </w:tcPr>
          <w:p w14:paraId="580AC5BF"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Transparency, usability, privacy of data</w:t>
            </w:r>
          </w:p>
        </w:tc>
        <w:tc>
          <w:tcPr>
            <w:tcW w:w="4083" w:type="dxa"/>
            <w:shd w:val="clear" w:color="auto" w:fill="F6C5AC" w:themeFill="accent2" w:themeFillTint="66"/>
            <w:noWrap/>
            <w:hideMark/>
          </w:tcPr>
          <w:p w14:paraId="3051244D"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User feedback, positive adoption metrics, data reliability</w:t>
            </w:r>
          </w:p>
        </w:tc>
      </w:tr>
      <w:tr w:rsidR="000A3E59" w:rsidRPr="000A3E59" w14:paraId="3453F824" w14:textId="77777777" w:rsidTr="00BB687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980" w:type="dxa"/>
            <w:shd w:val="clear" w:color="auto" w:fill="F6C5AC" w:themeFill="accent2" w:themeFillTint="66"/>
            <w:noWrap/>
            <w:hideMark/>
          </w:tcPr>
          <w:p w14:paraId="4500585D"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Regulators (MHRA)</w:t>
            </w:r>
          </w:p>
        </w:tc>
        <w:tc>
          <w:tcPr>
            <w:tcW w:w="3176" w:type="dxa"/>
            <w:shd w:val="clear" w:color="auto" w:fill="F6C5AC" w:themeFill="accent2" w:themeFillTint="66"/>
            <w:noWrap/>
            <w:hideMark/>
          </w:tcPr>
          <w:p w14:paraId="394AC54C"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Regulatory compliance, auditability, clear documentation</w:t>
            </w:r>
          </w:p>
        </w:tc>
        <w:tc>
          <w:tcPr>
            <w:tcW w:w="4083" w:type="dxa"/>
            <w:shd w:val="clear" w:color="auto" w:fill="F6C5AC" w:themeFill="accent2" w:themeFillTint="66"/>
            <w:noWrap/>
            <w:hideMark/>
          </w:tcPr>
          <w:p w14:paraId="047FC277" w14:textId="77777777" w:rsidR="000A3E59" w:rsidRPr="000A3E59" w:rsidRDefault="000A3E59" w:rsidP="000A3E5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Fast-tracked approval, risk minimisation, partnership continuity</w:t>
            </w:r>
          </w:p>
        </w:tc>
      </w:tr>
      <w:tr w:rsidR="000A3E59" w:rsidRPr="000A3E59" w14:paraId="288AB871" w14:textId="77777777" w:rsidTr="00BB687C">
        <w:trPr>
          <w:trHeight w:val="320"/>
        </w:trPr>
        <w:tc>
          <w:tcPr>
            <w:cnfStyle w:val="001000000000" w:firstRow="0" w:lastRow="0" w:firstColumn="1" w:lastColumn="0" w:oddVBand="0" w:evenVBand="0" w:oddHBand="0" w:evenHBand="0" w:firstRowFirstColumn="0" w:firstRowLastColumn="0" w:lastRowFirstColumn="0" w:lastRowLastColumn="0"/>
            <w:tcW w:w="1980" w:type="dxa"/>
            <w:shd w:val="clear" w:color="auto" w:fill="F6C5AC" w:themeFill="accent2" w:themeFillTint="66"/>
            <w:noWrap/>
            <w:hideMark/>
          </w:tcPr>
          <w:p w14:paraId="14635DAA" w14:textId="77777777" w:rsidR="000A3E59" w:rsidRPr="000A3E59" w:rsidRDefault="000A3E59" w:rsidP="000A3E59">
            <w:pPr>
              <w:spacing w:line="360" w:lineRule="auto"/>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lastRenderedPageBreak/>
              <w:t>Investors</w:t>
            </w:r>
          </w:p>
        </w:tc>
        <w:tc>
          <w:tcPr>
            <w:tcW w:w="3176" w:type="dxa"/>
            <w:shd w:val="clear" w:color="auto" w:fill="F6C5AC" w:themeFill="accent2" w:themeFillTint="66"/>
            <w:noWrap/>
            <w:hideMark/>
          </w:tcPr>
          <w:p w14:paraId="430CFB67"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Return on investment, timely delivery, market fit</w:t>
            </w:r>
          </w:p>
        </w:tc>
        <w:tc>
          <w:tcPr>
            <w:tcW w:w="4083" w:type="dxa"/>
            <w:shd w:val="clear" w:color="auto" w:fill="F6C5AC" w:themeFill="accent2" w:themeFillTint="66"/>
            <w:noWrap/>
            <w:hideMark/>
          </w:tcPr>
          <w:p w14:paraId="6415848B" w14:textId="77777777" w:rsidR="000A3E59" w:rsidRPr="000A3E59" w:rsidRDefault="000A3E59" w:rsidP="000A3E5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A3E59">
              <w:rPr>
                <w:rFonts w:ascii="Times New Roman" w:eastAsia="Times New Roman" w:hAnsi="Times New Roman" w:cs="Times New Roman"/>
                <w:color w:val="000000"/>
                <w:kern w:val="0"/>
                <w:lang w:eastAsia="en-GB"/>
                <w14:ligatures w14:val="none"/>
              </w:rPr>
              <w:t>Long-term scalability, cost efficiency, brand growth</w:t>
            </w:r>
          </w:p>
        </w:tc>
      </w:tr>
    </w:tbl>
    <w:p w14:paraId="165C7529" w14:textId="77777777" w:rsidR="000A3E59" w:rsidRDefault="000A3E59" w:rsidP="000A3E59"/>
    <w:p w14:paraId="67E80928" w14:textId="771E3D4F" w:rsidR="00ED0F52" w:rsidRDefault="00ED0F52" w:rsidP="00ED0F52">
      <w:pPr>
        <w:pStyle w:val="Heading2"/>
        <w:rPr>
          <w:rStyle w:val="Strong"/>
          <w:b w:val="0"/>
          <w:bCs w:val="0"/>
        </w:rPr>
      </w:pPr>
      <w:bookmarkStart w:id="27" w:name="_Toc212469210"/>
      <w:r w:rsidRPr="00ED0F52">
        <w:rPr>
          <w:rStyle w:val="Strong"/>
          <w:b w:val="0"/>
          <w:bCs w:val="0"/>
        </w:rPr>
        <w:t>Appendix E: Stakeholder Ecosystem</w:t>
      </w:r>
      <w:bookmarkEnd w:id="27"/>
      <w:r w:rsidRPr="00ED0F52">
        <w:rPr>
          <w:rStyle w:val="Strong"/>
          <w:b w:val="0"/>
          <w:bCs w:val="0"/>
        </w:rPr>
        <w:t xml:space="preserve"> </w:t>
      </w:r>
    </w:p>
    <w:p w14:paraId="6FBB50CB" w14:textId="61F77D27" w:rsidR="00ED0F52" w:rsidRPr="00ED0F52" w:rsidRDefault="00ED0F52" w:rsidP="00ED0F52">
      <w:r>
        <w:rPr>
          <w:noProof/>
        </w:rPr>
        <w:drawing>
          <wp:inline distT="0" distB="0" distL="0" distR="0" wp14:anchorId="6E8922B9" wp14:editId="16B63B56">
            <wp:extent cx="5731510" cy="3482340"/>
            <wp:effectExtent l="0" t="0" r="0" b="0"/>
            <wp:docPr id="1164638775" name="Picture 2" descr="A diagram of a project ow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638775" name="Picture 2" descr="A diagram of a project own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482340"/>
                    </a:xfrm>
                    <a:prstGeom prst="rect">
                      <a:avLst/>
                    </a:prstGeom>
                  </pic:spPr>
                </pic:pic>
              </a:graphicData>
            </a:graphic>
          </wp:inline>
        </w:drawing>
      </w:r>
    </w:p>
    <w:sectPr w:rsidR="00ED0F52" w:rsidRPr="00ED0F52">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91F5C" w14:textId="77777777" w:rsidR="000363AF" w:rsidRDefault="000363AF" w:rsidP="00E57EA3">
      <w:r>
        <w:separator/>
      </w:r>
    </w:p>
  </w:endnote>
  <w:endnote w:type="continuationSeparator" w:id="0">
    <w:p w14:paraId="0281DD15" w14:textId="77777777" w:rsidR="000363AF" w:rsidRDefault="000363AF" w:rsidP="00E57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491015"/>
      <w:docPartObj>
        <w:docPartGallery w:val="Page Numbers (Bottom of Page)"/>
        <w:docPartUnique/>
      </w:docPartObj>
    </w:sdtPr>
    <w:sdtContent>
      <w:p w14:paraId="61A4F64B" w14:textId="05467431" w:rsidR="00E57EA3" w:rsidRDefault="00E57EA3" w:rsidP="000679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383063" w14:textId="77777777" w:rsidR="00E57EA3" w:rsidRDefault="00E57EA3" w:rsidP="00E57E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85257501"/>
      <w:docPartObj>
        <w:docPartGallery w:val="Page Numbers (Bottom of Page)"/>
        <w:docPartUnique/>
      </w:docPartObj>
    </w:sdtPr>
    <w:sdtContent>
      <w:p w14:paraId="34A68DCC" w14:textId="4E6865DC" w:rsidR="00E57EA3" w:rsidRDefault="00E57EA3" w:rsidP="000679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EB8DAA" w14:textId="77777777" w:rsidR="00E57EA3" w:rsidRDefault="00E57EA3" w:rsidP="00E57E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C4063" w14:textId="77777777" w:rsidR="000363AF" w:rsidRDefault="000363AF" w:rsidP="00E57EA3">
      <w:r>
        <w:separator/>
      </w:r>
    </w:p>
  </w:footnote>
  <w:footnote w:type="continuationSeparator" w:id="0">
    <w:p w14:paraId="78A1E7EB" w14:textId="77777777" w:rsidR="000363AF" w:rsidRDefault="000363AF" w:rsidP="00E57E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25BF"/>
    <w:multiLevelType w:val="multilevel"/>
    <w:tmpl w:val="903A8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F49B5"/>
    <w:multiLevelType w:val="hybridMultilevel"/>
    <w:tmpl w:val="C49C1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204FB"/>
    <w:multiLevelType w:val="multilevel"/>
    <w:tmpl w:val="86F0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A7522"/>
    <w:multiLevelType w:val="multilevel"/>
    <w:tmpl w:val="B12A1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A2DD7"/>
    <w:multiLevelType w:val="multilevel"/>
    <w:tmpl w:val="A3EA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E4CBD"/>
    <w:multiLevelType w:val="multilevel"/>
    <w:tmpl w:val="58FE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553FD9"/>
    <w:multiLevelType w:val="hybridMultilevel"/>
    <w:tmpl w:val="311EC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B03218"/>
    <w:multiLevelType w:val="multilevel"/>
    <w:tmpl w:val="02D4C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74ED6"/>
    <w:multiLevelType w:val="multilevel"/>
    <w:tmpl w:val="80327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C2062"/>
    <w:multiLevelType w:val="multilevel"/>
    <w:tmpl w:val="26DE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5A607B"/>
    <w:multiLevelType w:val="multilevel"/>
    <w:tmpl w:val="2C309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F4406D"/>
    <w:multiLevelType w:val="multilevel"/>
    <w:tmpl w:val="BCD0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9E334D"/>
    <w:multiLevelType w:val="multilevel"/>
    <w:tmpl w:val="9AB8F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276067"/>
    <w:multiLevelType w:val="multilevel"/>
    <w:tmpl w:val="1982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60A06"/>
    <w:multiLevelType w:val="multilevel"/>
    <w:tmpl w:val="5A1E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A02292"/>
    <w:multiLevelType w:val="multilevel"/>
    <w:tmpl w:val="EFC2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6905C3"/>
    <w:multiLevelType w:val="multilevel"/>
    <w:tmpl w:val="6C98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A20062"/>
    <w:multiLevelType w:val="multilevel"/>
    <w:tmpl w:val="D172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C62DE9"/>
    <w:multiLevelType w:val="hybridMultilevel"/>
    <w:tmpl w:val="07CC8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137ED4"/>
    <w:multiLevelType w:val="multilevel"/>
    <w:tmpl w:val="C5A25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7D051F"/>
    <w:multiLevelType w:val="hybridMultilevel"/>
    <w:tmpl w:val="3056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3F06BD"/>
    <w:multiLevelType w:val="hybridMultilevel"/>
    <w:tmpl w:val="7234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A43918"/>
    <w:multiLevelType w:val="multilevel"/>
    <w:tmpl w:val="3C2A6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7A34A2"/>
    <w:multiLevelType w:val="multilevel"/>
    <w:tmpl w:val="AC98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5A4F40"/>
    <w:multiLevelType w:val="multilevel"/>
    <w:tmpl w:val="4502D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E80174"/>
    <w:multiLevelType w:val="multilevel"/>
    <w:tmpl w:val="BB62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B55F0F"/>
    <w:multiLevelType w:val="multilevel"/>
    <w:tmpl w:val="095ED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995827">
    <w:abstractNumId w:val="0"/>
  </w:num>
  <w:num w:numId="2" w16cid:durableId="1895968241">
    <w:abstractNumId w:val="15"/>
  </w:num>
  <w:num w:numId="3" w16cid:durableId="560293457">
    <w:abstractNumId w:val="13"/>
  </w:num>
  <w:num w:numId="4" w16cid:durableId="1772512220">
    <w:abstractNumId w:val="24"/>
  </w:num>
  <w:num w:numId="5" w16cid:durableId="1620800408">
    <w:abstractNumId w:val="16"/>
  </w:num>
  <w:num w:numId="6" w16cid:durableId="196086845">
    <w:abstractNumId w:val="19"/>
  </w:num>
  <w:num w:numId="7" w16cid:durableId="1817801479">
    <w:abstractNumId w:val="9"/>
  </w:num>
  <w:num w:numId="8" w16cid:durableId="919339323">
    <w:abstractNumId w:val="10"/>
  </w:num>
  <w:num w:numId="9" w16cid:durableId="194150135">
    <w:abstractNumId w:val="22"/>
  </w:num>
  <w:num w:numId="10" w16cid:durableId="1216813451">
    <w:abstractNumId w:val="8"/>
  </w:num>
  <w:num w:numId="11" w16cid:durableId="446973777">
    <w:abstractNumId w:val="5"/>
  </w:num>
  <w:num w:numId="12" w16cid:durableId="502478534">
    <w:abstractNumId w:val="12"/>
  </w:num>
  <w:num w:numId="13" w16cid:durableId="1589389998">
    <w:abstractNumId w:val="26"/>
  </w:num>
  <w:num w:numId="14" w16cid:durableId="1335455015">
    <w:abstractNumId w:val="3"/>
  </w:num>
  <w:num w:numId="15" w16cid:durableId="1202091103">
    <w:abstractNumId w:val="17"/>
  </w:num>
  <w:num w:numId="16" w16cid:durableId="1012683395">
    <w:abstractNumId w:val="11"/>
  </w:num>
  <w:num w:numId="17" w16cid:durableId="620111744">
    <w:abstractNumId w:val="14"/>
  </w:num>
  <w:num w:numId="18" w16cid:durableId="1501894503">
    <w:abstractNumId w:val="2"/>
  </w:num>
  <w:num w:numId="19" w16cid:durableId="2084522919">
    <w:abstractNumId w:val="23"/>
  </w:num>
  <w:num w:numId="20" w16cid:durableId="46875095">
    <w:abstractNumId w:val="4"/>
  </w:num>
  <w:num w:numId="21" w16cid:durableId="217396867">
    <w:abstractNumId w:val="7"/>
  </w:num>
  <w:num w:numId="22" w16cid:durableId="1195852027">
    <w:abstractNumId w:val="25"/>
  </w:num>
  <w:num w:numId="23" w16cid:durableId="258343205">
    <w:abstractNumId w:val="6"/>
  </w:num>
  <w:num w:numId="24" w16cid:durableId="138887298">
    <w:abstractNumId w:val="20"/>
  </w:num>
  <w:num w:numId="25" w16cid:durableId="881743810">
    <w:abstractNumId w:val="1"/>
  </w:num>
  <w:num w:numId="26" w16cid:durableId="1950697922">
    <w:abstractNumId w:val="18"/>
  </w:num>
  <w:num w:numId="27" w16cid:durableId="20538399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B0A"/>
    <w:rsid w:val="000363AF"/>
    <w:rsid w:val="00080616"/>
    <w:rsid w:val="000A3E59"/>
    <w:rsid w:val="0013588A"/>
    <w:rsid w:val="00194F8D"/>
    <w:rsid w:val="001D4321"/>
    <w:rsid w:val="001F2DE6"/>
    <w:rsid w:val="002711EC"/>
    <w:rsid w:val="003816D4"/>
    <w:rsid w:val="003E5BD5"/>
    <w:rsid w:val="00417B37"/>
    <w:rsid w:val="00426172"/>
    <w:rsid w:val="00446D26"/>
    <w:rsid w:val="00515FD9"/>
    <w:rsid w:val="00553FA4"/>
    <w:rsid w:val="005E27C4"/>
    <w:rsid w:val="005F0B63"/>
    <w:rsid w:val="00690B7C"/>
    <w:rsid w:val="00692B26"/>
    <w:rsid w:val="006B336C"/>
    <w:rsid w:val="006D0B70"/>
    <w:rsid w:val="008069B6"/>
    <w:rsid w:val="008F61BB"/>
    <w:rsid w:val="0091626D"/>
    <w:rsid w:val="00936DBF"/>
    <w:rsid w:val="00981F37"/>
    <w:rsid w:val="00A267A6"/>
    <w:rsid w:val="00A94D52"/>
    <w:rsid w:val="00B33CE5"/>
    <w:rsid w:val="00BB687C"/>
    <w:rsid w:val="00C372DD"/>
    <w:rsid w:val="00C84D58"/>
    <w:rsid w:val="00CF6337"/>
    <w:rsid w:val="00D50822"/>
    <w:rsid w:val="00DD38CD"/>
    <w:rsid w:val="00E57EA3"/>
    <w:rsid w:val="00E71D15"/>
    <w:rsid w:val="00E93282"/>
    <w:rsid w:val="00ED0F52"/>
    <w:rsid w:val="00ED141C"/>
    <w:rsid w:val="00ED2CA4"/>
    <w:rsid w:val="00F17B83"/>
    <w:rsid w:val="00FC6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727C2"/>
  <w15:chartTrackingRefBased/>
  <w15:docId w15:val="{E27BB3FC-AD41-4ECA-801E-01EB43D5F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6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6B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6B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6B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6B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6B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6B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6B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B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6B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C6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6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6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6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6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6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6B0A"/>
    <w:rPr>
      <w:rFonts w:eastAsiaTheme="majorEastAsia" w:cstheme="majorBidi"/>
      <w:color w:val="272727" w:themeColor="text1" w:themeTint="D8"/>
    </w:rPr>
  </w:style>
  <w:style w:type="paragraph" w:styleId="Title">
    <w:name w:val="Title"/>
    <w:basedOn w:val="Normal"/>
    <w:next w:val="Normal"/>
    <w:link w:val="TitleChar"/>
    <w:uiPriority w:val="10"/>
    <w:qFormat/>
    <w:rsid w:val="00FC6B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6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6B0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6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6B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C6B0A"/>
    <w:rPr>
      <w:i/>
      <w:iCs/>
      <w:color w:val="404040" w:themeColor="text1" w:themeTint="BF"/>
    </w:rPr>
  </w:style>
  <w:style w:type="paragraph" w:styleId="ListParagraph">
    <w:name w:val="List Paragraph"/>
    <w:basedOn w:val="Normal"/>
    <w:uiPriority w:val="34"/>
    <w:qFormat/>
    <w:rsid w:val="00FC6B0A"/>
    <w:pPr>
      <w:ind w:left="720"/>
      <w:contextualSpacing/>
    </w:pPr>
  </w:style>
  <w:style w:type="character" w:styleId="IntenseEmphasis">
    <w:name w:val="Intense Emphasis"/>
    <w:basedOn w:val="DefaultParagraphFont"/>
    <w:uiPriority w:val="21"/>
    <w:qFormat/>
    <w:rsid w:val="00FC6B0A"/>
    <w:rPr>
      <w:i/>
      <w:iCs/>
      <w:color w:val="0F4761" w:themeColor="accent1" w:themeShade="BF"/>
    </w:rPr>
  </w:style>
  <w:style w:type="paragraph" w:styleId="IntenseQuote">
    <w:name w:val="Intense Quote"/>
    <w:basedOn w:val="Normal"/>
    <w:next w:val="Normal"/>
    <w:link w:val="IntenseQuoteChar"/>
    <w:uiPriority w:val="30"/>
    <w:qFormat/>
    <w:rsid w:val="00FC6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6B0A"/>
    <w:rPr>
      <w:i/>
      <w:iCs/>
      <w:color w:val="0F4761" w:themeColor="accent1" w:themeShade="BF"/>
    </w:rPr>
  </w:style>
  <w:style w:type="character" w:styleId="IntenseReference">
    <w:name w:val="Intense Reference"/>
    <w:basedOn w:val="DefaultParagraphFont"/>
    <w:uiPriority w:val="32"/>
    <w:qFormat/>
    <w:rsid w:val="00FC6B0A"/>
    <w:rPr>
      <w:b/>
      <w:bCs/>
      <w:smallCaps/>
      <w:color w:val="0F4761" w:themeColor="accent1" w:themeShade="BF"/>
      <w:spacing w:val="5"/>
    </w:rPr>
  </w:style>
  <w:style w:type="character" w:styleId="Strong">
    <w:name w:val="Strong"/>
    <w:basedOn w:val="DefaultParagraphFont"/>
    <w:uiPriority w:val="22"/>
    <w:qFormat/>
    <w:rsid w:val="00FC6B0A"/>
    <w:rPr>
      <w:b/>
      <w:bCs/>
    </w:rPr>
  </w:style>
  <w:style w:type="character" w:customStyle="1" w:styleId="apple-converted-space">
    <w:name w:val="apple-converted-space"/>
    <w:basedOn w:val="DefaultParagraphFont"/>
    <w:rsid w:val="00FC6B0A"/>
  </w:style>
  <w:style w:type="paragraph" w:styleId="NormalWeb">
    <w:name w:val="Normal (Web)"/>
    <w:basedOn w:val="Normal"/>
    <w:uiPriority w:val="99"/>
    <w:semiHidden/>
    <w:unhideWhenUsed/>
    <w:rsid w:val="00FC6B0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C6B0A"/>
    <w:rPr>
      <w:i/>
      <w:iCs/>
    </w:rPr>
  </w:style>
  <w:style w:type="paragraph" w:styleId="Footer">
    <w:name w:val="footer"/>
    <w:basedOn w:val="Normal"/>
    <w:link w:val="FooterChar"/>
    <w:uiPriority w:val="99"/>
    <w:unhideWhenUsed/>
    <w:rsid w:val="00E57EA3"/>
    <w:pPr>
      <w:tabs>
        <w:tab w:val="center" w:pos="4513"/>
        <w:tab w:val="right" w:pos="9026"/>
      </w:tabs>
    </w:pPr>
  </w:style>
  <w:style w:type="character" w:customStyle="1" w:styleId="FooterChar">
    <w:name w:val="Footer Char"/>
    <w:basedOn w:val="DefaultParagraphFont"/>
    <w:link w:val="Footer"/>
    <w:uiPriority w:val="99"/>
    <w:rsid w:val="00E57EA3"/>
  </w:style>
  <w:style w:type="character" w:styleId="PageNumber">
    <w:name w:val="page number"/>
    <w:basedOn w:val="DefaultParagraphFont"/>
    <w:uiPriority w:val="99"/>
    <w:semiHidden/>
    <w:unhideWhenUsed/>
    <w:rsid w:val="00E57EA3"/>
  </w:style>
  <w:style w:type="table" w:styleId="PlainTable1">
    <w:name w:val="Plain Table 1"/>
    <w:basedOn w:val="TableNormal"/>
    <w:uiPriority w:val="41"/>
    <w:rsid w:val="0008061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446D2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46D26"/>
    <w:pPr>
      <w:spacing w:before="120"/>
    </w:pPr>
    <w:rPr>
      <w:b/>
      <w:bCs/>
      <w:i/>
      <w:iCs/>
    </w:rPr>
  </w:style>
  <w:style w:type="paragraph" w:styleId="TOC2">
    <w:name w:val="toc 2"/>
    <w:basedOn w:val="Normal"/>
    <w:next w:val="Normal"/>
    <w:autoRedefine/>
    <w:uiPriority w:val="39"/>
    <w:unhideWhenUsed/>
    <w:rsid w:val="00446D26"/>
    <w:pPr>
      <w:spacing w:before="120"/>
      <w:ind w:left="240"/>
    </w:pPr>
    <w:rPr>
      <w:b/>
      <w:bCs/>
      <w:sz w:val="22"/>
      <w:szCs w:val="22"/>
    </w:rPr>
  </w:style>
  <w:style w:type="character" w:styleId="Hyperlink">
    <w:name w:val="Hyperlink"/>
    <w:basedOn w:val="DefaultParagraphFont"/>
    <w:uiPriority w:val="99"/>
    <w:unhideWhenUsed/>
    <w:rsid w:val="00446D26"/>
    <w:rPr>
      <w:color w:val="467886" w:themeColor="hyperlink"/>
      <w:u w:val="single"/>
    </w:rPr>
  </w:style>
  <w:style w:type="paragraph" w:styleId="TOC3">
    <w:name w:val="toc 3"/>
    <w:basedOn w:val="Normal"/>
    <w:next w:val="Normal"/>
    <w:autoRedefine/>
    <w:uiPriority w:val="39"/>
    <w:semiHidden/>
    <w:unhideWhenUsed/>
    <w:rsid w:val="00446D26"/>
    <w:pPr>
      <w:ind w:left="480"/>
    </w:pPr>
    <w:rPr>
      <w:sz w:val="20"/>
      <w:szCs w:val="20"/>
    </w:rPr>
  </w:style>
  <w:style w:type="paragraph" w:styleId="TOC4">
    <w:name w:val="toc 4"/>
    <w:basedOn w:val="Normal"/>
    <w:next w:val="Normal"/>
    <w:autoRedefine/>
    <w:uiPriority w:val="39"/>
    <w:semiHidden/>
    <w:unhideWhenUsed/>
    <w:rsid w:val="00446D26"/>
    <w:pPr>
      <w:ind w:left="720"/>
    </w:pPr>
    <w:rPr>
      <w:sz w:val="20"/>
      <w:szCs w:val="20"/>
    </w:rPr>
  </w:style>
  <w:style w:type="paragraph" w:styleId="TOC5">
    <w:name w:val="toc 5"/>
    <w:basedOn w:val="Normal"/>
    <w:next w:val="Normal"/>
    <w:autoRedefine/>
    <w:uiPriority w:val="39"/>
    <w:semiHidden/>
    <w:unhideWhenUsed/>
    <w:rsid w:val="00446D26"/>
    <w:pPr>
      <w:ind w:left="960"/>
    </w:pPr>
    <w:rPr>
      <w:sz w:val="20"/>
      <w:szCs w:val="20"/>
    </w:rPr>
  </w:style>
  <w:style w:type="paragraph" w:styleId="TOC6">
    <w:name w:val="toc 6"/>
    <w:basedOn w:val="Normal"/>
    <w:next w:val="Normal"/>
    <w:autoRedefine/>
    <w:uiPriority w:val="39"/>
    <w:semiHidden/>
    <w:unhideWhenUsed/>
    <w:rsid w:val="00446D26"/>
    <w:pPr>
      <w:ind w:left="1200"/>
    </w:pPr>
    <w:rPr>
      <w:sz w:val="20"/>
      <w:szCs w:val="20"/>
    </w:rPr>
  </w:style>
  <w:style w:type="paragraph" w:styleId="TOC7">
    <w:name w:val="toc 7"/>
    <w:basedOn w:val="Normal"/>
    <w:next w:val="Normal"/>
    <w:autoRedefine/>
    <w:uiPriority w:val="39"/>
    <w:semiHidden/>
    <w:unhideWhenUsed/>
    <w:rsid w:val="00446D26"/>
    <w:pPr>
      <w:ind w:left="1440"/>
    </w:pPr>
    <w:rPr>
      <w:sz w:val="20"/>
      <w:szCs w:val="20"/>
    </w:rPr>
  </w:style>
  <w:style w:type="paragraph" w:styleId="TOC8">
    <w:name w:val="toc 8"/>
    <w:basedOn w:val="Normal"/>
    <w:next w:val="Normal"/>
    <w:autoRedefine/>
    <w:uiPriority w:val="39"/>
    <w:semiHidden/>
    <w:unhideWhenUsed/>
    <w:rsid w:val="00446D26"/>
    <w:pPr>
      <w:ind w:left="1680"/>
    </w:pPr>
    <w:rPr>
      <w:sz w:val="20"/>
      <w:szCs w:val="20"/>
    </w:rPr>
  </w:style>
  <w:style w:type="paragraph" w:styleId="TOC9">
    <w:name w:val="toc 9"/>
    <w:basedOn w:val="Normal"/>
    <w:next w:val="Normal"/>
    <w:autoRedefine/>
    <w:uiPriority w:val="39"/>
    <w:semiHidden/>
    <w:unhideWhenUsed/>
    <w:rsid w:val="00446D26"/>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657C1-5137-154F-B486-AB074F937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19</Pages>
  <Words>5826</Words>
  <Characters>35368</Characters>
  <Application>Microsoft Office Word</Application>
  <DocSecurity>0</DocSecurity>
  <Lines>752</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tanase</dc:creator>
  <cp:keywords/>
  <dc:description/>
  <cp:lastModifiedBy>maria tanase</cp:lastModifiedBy>
  <cp:revision>18</cp:revision>
  <dcterms:created xsi:type="dcterms:W3CDTF">2025-11-16T16:05:00Z</dcterms:created>
  <dcterms:modified xsi:type="dcterms:W3CDTF">2025-11-16T16:41:00Z</dcterms:modified>
</cp:coreProperties>
</file>