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46278" w14:textId="77777777" w:rsidR="00F118B8" w:rsidRPr="00F05734" w:rsidRDefault="00F118B8">
      <w:pPr>
        <w:pStyle w:val="NoSpacing"/>
        <w:rPr>
          <w:rFonts w:ascii="Arial Black" w:hAnsi="Arial Black"/>
          <w:color w:val="00B050"/>
        </w:rPr>
      </w:pPr>
    </w:p>
    <w:p w14:paraId="44A256C8" w14:textId="77777777" w:rsidR="00F118B8" w:rsidRDefault="00F118B8">
      <w:pPr>
        <w:pStyle w:val="NoSpacing"/>
      </w:pPr>
    </w:p>
    <w:p w14:paraId="22E8118C" w14:textId="77777777" w:rsidR="00F118B8" w:rsidRDefault="00F118B8">
      <w:pPr>
        <w:pStyle w:val="NoSpacing"/>
      </w:pPr>
    </w:p>
    <w:p w14:paraId="3BF5E800" w14:textId="77777777" w:rsidR="00F118B8" w:rsidRDefault="00F118B8">
      <w:pPr>
        <w:pStyle w:val="NoSpacing"/>
      </w:pPr>
    </w:p>
    <w:p w14:paraId="63D20E0E" w14:textId="77777777" w:rsidR="00F118B8" w:rsidRDefault="00F118B8">
      <w:pPr>
        <w:pStyle w:val="NoSpacing"/>
      </w:pPr>
    </w:p>
    <w:p w14:paraId="0C7228EC" w14:textId="77777777" w:rsidR="00F118B8" w:rsidRDefault="006C7038">
      <w:r>
        <w:rPr>
          <w:noProof/>
          <w:lang w:eastAsia="en-GB"/>
        </w:rPr>
        <mc:AlternateContent>
          <mc:Choice Requires="wps">
            <w:drawing>
              <wp:anchor distT="0" distB="0" distL="114300" distR="114300" simplePos="0" relativeHeight="251661312" behindDoc="0" locked="0" layoutInCell="1" allowOverlap="1" wp14:anchorId="0CA6555D" wp14:editId="64258C93">
                <wp:simplePos x="0" y="0"/>
                <wp:positionH relativeFrom="page">
                  <wp:align>center</wp:align>
                </wp:positionH>
                <wp:positionV relativeFrom="margin">
                  <wp:align>top</wp:align>
                </wp:positionV>
                <wp:extent cx="5943600" cy="914400"/>
                <wp:effectExtent l="0" t="0" r="0" b="0"/>
                <wp:wrapNone/>
                <wp:docPr id="1"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a:noFill/>
                          <a:prstDash/>
                        </a:ln>
                      </wps:spPr>
                      <wps:txbx>
                        <w:txbxContent>
                          <w:p w14:paraId="2FD5845B" w14:textId="77777777" w:rsidR="00F118B8" w:rsidRDefault="006C7038">
                            <w:pPr>
                              <w:pStyle w:val="NoSpacing"/>
                            </w:pPr>
                            <w:r>
                              <w:rPr>
                                <w:rFonts w:ascii="Calibri Light" w:hAnsi="Calibri Light"/>
                                <w:caps/>
                                <w:color w:val="8496B0"/>
                                <w:sz w:val="64"/>
                                <w:szCs w:val="64"/>
                              </w:rPr>
                              <w:t>Public Law</w:t>
                            </w:r>
                          </w:p>
                          <w:p w14:paraId="2D435327" w14:textId="77777777" w:rsidR="00F118B8" w:rsidRDefault="006C7038">
                            <w:pPr>
                              <w:pStyle w:val="NoSpacing"/>
                              <w:spacing w:before="120"/>
                            </w:pPr>
                            <w:r>
                              <w:rPr>
                                <w:color w:val="4472C4"/>
                                <w:sz w:val="36"/>
                                <w:szCs w:val="36"/>
                              </w:rPr>
                              <w:t xml:space="preserve">Assignment 2 </w:t>
                            </w:r>
                            <w:r>
                              <w:t xml:space="preserve"> </w:t>
                            </w:r>
                          </w:p>
                          <w:p w14:paraId="0AD9CC93" w14:textId="77777777" w:rsidR="00F118B8" w:rsidRDefault="00F118B8"/>
                        </w:txbxContent>
                      </wps:txbx>
                      <wps:bodyPr vert="horz" wrap="square" lIns="91440" tIns="45720" rIns="91440" bIns="45720" anchor="t" anchorCtr="0" compatLnSpc="1">
                        <a:spAutoFit/>
                      </wps:bodyPr>
                    </wps:wsp>
                  </a:graphicData>
                </a:graphic>
              </wp:anchor>
            </w:drawing>
          </mc:Choice>
          <mc:Fallback>
            <w:pict>
              <v:shapetype w14:anchorId="0CA6555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rap-distance-left:9pt;mso-wrap-distance-top:0;mso-wrap-distance-right:9pt;mso-wrap-distance-bottom:0;mso-position-horizontal:center;mso-position-horizontal-relative:page;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" filled="f" stroked="f">
                <v:textbox style="mso-fit-shape-to-text:t">
                  <w:txbxContent>
                    <w:p w14:paraId="2FD5845B" w14:textId="77777777" w:rsidR="00F118B8" w:rsidRDefault="006C7038">
                      <w:pPr>
                        <w:pStyle w:val="NoSpacing"/>
                      </w:pPr>
                      <w:r>
                        <w:rPr>
                          <w:rFonts w:ascii="Calibri Light" w:hAnsi="Calibri Light"/>
                          <w:caps/>
                          <w:color w:val="8496B0"/>
                          <w:sz w:val="64"/>
                          <w:szCs w:val="64"/>
                        </w:rPr>
                        <w:t>Public Law</w:t>
                      </w:r>
                    </w:p>
                    <w:p w14:paraId="2D435327" w14:textId="77777777" w:rsidR="00F118B8" w:rsidRDefault="006C7038">
                      <w:pPr>
                        <w:pStyle w:val="NoSpacing"/>
                        <w:spacing w:before="120"/>
                      </w:pPr>
                      <w:r>
                        <w:rPr>
                          <w:color w:val="4472C4"/>
                          <w:sz w:val="36"/>
                          <w:szCs w:val="36"/>
                        </w:rPr>
                        <w:t xml:space="preserve">Assignment 2 </w:t>
                      </w:r>
                      <w:r>
                        <w:t xml:space="preserve"> </w:t>
                      </w:r>
                    </w:p>
                    <w:p w14:paraId="0AD9CC93" w14:textId="77777777" w:rsidR="00F118B8" w:rsidRDefault="00F118B8"/>
                  </w:txbxContent>
                </v:textbox>
                <w10:wrap anchorx="page" anchory="margin"/>
              </v:shape>
            </w:pict>
          </mc:Fallback>
        </mc:AlternateContent>
      </w:r>
      <w:r>
        <w:rPr>
          <w:noProof/>
          <w:color w:val="4472C4"/>
          <w:sz w:val="36"/>
          <w:szCs w:val="36"/>
          <w:lang w:eastAsia="en-GB"/>
        </w:rPr>
        <mc:AlternateContent>
          <mc:Choice Requires="wpg">
            <w:drawing>
              <wp:anchor distT="0" distB="0" distL="114300" distR="114300" simplePos="0" relativeHeight="251660288" behindDoc="1" locked="0" layoutInCell="1" allowOverlap="1" wp14:anchorId="0F8EE1A9" wp14:editId="7773C657">
                <wp:simplePos x="0" y="0"/>
                <wp:positionH relativeFrom="page">
                  <wp:posOffset>1663065</wp:posOffset>
                </wp:positionH>
                <wp:positionV relativeFrom="page">
                  <wp:posOffset>3207386</wp:posOffset>
                </wp:positionV>
                <wp:extent cx="5337809" cy="6048371"/>
                <wp:effectExtent l="0" t="0" r="0" b="0"/>
                <wp:wrapNone/>
                <wp:docPr id="2" name="Group 2"/>
                <wp:cNvGraphicFramePr/>
                <a:graphic xmlns:a="http://schemas.openxmlformats.org/drawingml/2006/main">
                  <a:graphicData uri="http://schemas.microsoft.com/office/word/2010/wordprocessingGroup">
                    <wpg:wgp>
                      <wpg:cNvGrpSpPr/>
                      <wpg:grpSpPr>
                        <a:xfrm>
                          <a:off x="0" y="0"/>
                          <a:ext cx="5337809" cy="6048371"/>
                          <a:chOff x="0" y="0"/>
                          <a:chExt cx="5337809" cy="6048371"/>
                        </a:xfrm>
                      </wpg:grpSpPr>
                      <wps:wsp>
                        <wps:cNvPr id="3" name="Freeform 64"/>
                        <wps:cNvSpPr/>
                        <wps:spPr>
                          <a:xfrm>
                            <a:off x="1851696" y="0"/>
                            <a:ext cx="3486113" cy="3818452"/>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 f7 0 f5"/>
                              <a:gd name="f16" fmla="+- f6 0 f5"/>
                              <a:gd name="f17" fmla="*/ f12 f0 1"/>
                              <a:gd name="f18" fmla="*/ f16 1 1781"/>
                              <a:gd name="f19" fmla="*/ f15 1 1786"/>
                              <a:gd name="f20" fmla="*/ 4 f16 1"/>
                              <a:gd name="f21" fmla="*/ 1786 f15 1"/>
                              <a:gd name="f22" fmla="*/ 0 f16 1"/>
                              <a:gd name="f23" fmla="*/ 1782 f15 1"/>
                              <a:gd name="f24" fmla="*/ 1776 f16 1"/>
                              <a:gd name="f25" fmla="*/ 0 f15 1"/>
                              <a:gd name="f26" fmla="*/ 1781 f16 1"/>
                              <a:gd name="f27" fmla="*/ 5 f15 1"/>
                              <a:gd name="f28" fmla="*/ f17 1 f2"/>
                              <a:gd name="f29" fmla="*/ f20 1 1781"/>
                              <a:gd name="f30" fmla="*/ f21 1 1786"/>
                              <a:gd name="f31" fmla="*/ f22 1 1781"/>
                              <a:gd name="f32" fmla="*/ f23 1 1786"/>
                              <a:gd name="f33" fmla="*/ f24 1 1781"/>
                              <a:gd name="f34" fmla="*/ f25 1 1786"/>
                              <a:gd name="f35" fmla="*/ f26 1 1781"/>
                              <a:gd name="f36" fmla="*/ f27 1 1786"/>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8"/>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3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60" y="f61"/>
                              </a:cxn>
                              <a:cxn ang="f41">
                                <a:pos x="f54" y="f55"/>
                              </a:cxn>
                            </a:cxnLst>
                            <a:rect l="f50" t="f53" r="f51" b="f52"/>
                            <a:pathLst>
                              <a:path w="1781" h="1786">
                                <a:moveTo>
                                  <a:pt x="f8" y="f7"/>
                                </a:moveTo>
                                <a:lnTo>
                                  <a:pt x="f5" y="f9"/>
                                </a:lnTo>
                                <a:lnTo>
                                  <a:pt x="f10" y="f5"/>
                                </a:lnTo>
                                <a:lnTo>
                                  <a:pt x="f6" y="f11"/>
                                </a:lnTo>
                                <a:lnTo>
                                  <a:pt x="f8" y="f7"/>
                                </a:lnTo>
                                <a:close/>
                              </a:path>
                            </a:pathLst>
                          </a:custGeom>
                          <a:solidFill>
                            <a:srgbClr val="8497B0"/>
                          </a:solidFill>
                          <a:ln cap="flat">
                            <a:noFill/>
                            <a:prstDash val="solid"/>
                          </a:ln>
                        </wps:spPr>
                        <wps:bodyPr lIns="0" tIns="0" rIns="0" bIns="0"/>
                      </wps:wsp>
                      <wps:wsp>
                        <wps:cNvPr id="4" name="Freeform 65"/>
                        <wps:cNvSpPr/>
                        <wps:spPr>
                          <a:xfrm>
                            <a:off x="964993" y="305729"/>
                            <a:ext cx="4372816" cy="4776267"/>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 f6 0 f5"/>
                              <a:gd name="f13" fmla="*/ f9 f0 1"/>
                              <a:gd name="f14" fmla="*/ f12 1 2234"/>
                              <a:gd name="f15" fmla="*/ 5 f12 1"/>
                              <a:gd name="f16" fmla="*/ 2234 f12 1"/>
                              <a:gd name="f17" fmla="*/ 0 f12 1"/>
                              <a:gd name="f18" fmla="*/ 2229 f12 1"/>
                              <a:gd name="f19" fmla="*/ f13 1 f2"/>
                              <a:gd name="f20" fmla="*/ f15 1 2234"/>
                              <a:gd name="f21" fmla="*/ f16 1 2234"/>
                              <a:gd name="f22" fmla="*/ f17 1 2234"/>
                              <a:gd name="f23" fmla="*/ f18 1 2234"/>
                              <a:gd name="f24" fmla="*/ 0 1 f14"/>
                              <a:gd name="f25" fmla="*/ f6 1 f14"/>
                              <a:gd name="f26" fmla="+- f19 0 f1"/>
                              <a:gd name="f27" fmla="*/ f20 1 f14"/>
                              <a:gd name="f28" fmla="*/ f21 1 f14"/>
                              <a:gd name="f29" fmla="*/ f22 1 f14"/>
                              <a:gd name="f30" fmla="*/ f23 1 f14"/>
                              <a:gd name="f31" fmla="*/ f24 f10 1"/>
                              <a:gd name="f32" fmla="*/ f25 f10 1"/>
                              <a:gd name="f33" fmla="*/ f25 f11 1"/>
                              <a:gd name="f34" fmla="*/ f24 f11 1"/>
                              <a:gd name="f35" fmla="*/ f27 f10 1"/>
                              <a:gd name="f36" fmla="*/ f28 f11 1"/>
                              <a:gd name="f37" fmla="*/ f29 f10 1"/>
                              <a:gd name="f38" fmla="*/ f30 f11 1"/>
                              <a:gd name="f39" fmla="*/ f30 f10 1"/>
                              <a:gd name="f40" fmla="*/ f29 f11 1"/>
                              <a:gd name="f41" fmla="*/ f28 f10 1"/>
                              <a:gd name="f42" fmla="*/ f27 f11 1"/>
                            </a:gdLst>
                            <a:ahLst/>
                            <a:cxnLst>
                              <a:cxn ang="3cd4">
                                <a:pos x="hc" y="t"/>
                              </a:cxn>
                              <a:cxn ang="0">
                                <a:pos x="r" y="vc"/>
                              </a:cxn>
                              <a:cxn ang="cd4">
                                <a:pos x="hc" y="b"/>
                              </a:cxn>
                              <a:cxn ang="cd2">
                                <a:pos x="l" y="vc"/>
                              </a:cxn>
                              <a:cxn ang="f26">
                                <a:pos x="f35" y="f36"/>
                              </a:cxn>
                              <a:cxn ang="f26">
                                <a:pos x="f37" y="f38"/>
                              </a:cxn>
                              <a:cxn ang="f26">
                                <a:pos x="f39" y="f40"/>
                              </a:cxn>
                              <a:cxn ang="f26">
                                <a:pos x="f41" y="f42"/>
                              </a:cxn>
                              <a:cxn ang="f26">
                                <a:pos x="f35" y="f36"/>
                              </a:cxn>
                            </a:cxnLst>
                            <a:rect l="f31" t="f34" r="f32" b="f33"/>
                            <a:pathLst>
                              <a:path w="2234" h="2234">
                                <a:moveTo>
                                  <a:pt x="f7" y="f6"/>
                                </a:moveTo>
                                <a:lnTo>
                                  <a:pt x="f5" y="f8"/>
                                </a:lnTo>
                                <a:lnTo>
                                  <a:pt x="f8" y="f5"/>
                                </a:lnTo>
                                <a:lnTo>
                                  <a:pt x="f6" y="f7"/>
                                </a:lnTo>
                                <a:lnTo>
                                  <a:pt x="f7" y="f6"/>
                                </a:lnTo>
                                <a:close/>
                              </a:path>
                            </a:pathLst>
                          </a:custGeom>
                          <a:solidFill>
                            <a:srgbClr val="8497B0"/>
                          </a:solidFill>
                          <a:ln cap="flat">
                            <a:noFill/>
                            <a:prstDash val="solid"/>
                          </a:ln>
                        </wps:spPr>
                        <wps:bodyPr lIns="0" tIns="0" rIns="0" bIns="0"/>
                      </wps:wsp>
                      <wps:wsp>
                        <wps:cNvPr id="5" name="Freeform 66"/>
                        <wps:cNvSpPr/>
                        <wps:spPr>
                          <a:xfrm>
                            <a:off x="1037414" y="147520"/>
                            <a:ext cx="4300395" cy="4697163"/>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 f6 0 f5"/>
                              <a:gd name="f15" fmla="*/ f11 f0 1"/>
                              <a:gd name="f16" fmla="*/ f14 1 2197"/>
                              <a:gd name="f17" fmla="*/ 9 f14 1"/>
                              <a:gd name="f18" fmla="*/ 2197 f14 1"/>
                              <a:gd name="f19" fmla="*/ 0 f14 1"/>
                              <a:gd name="f20" fmla="*/ 2193 f14 1"/>
                              <a:gd name="f21" fmla="*/ 2188 f14 1"/>
                              <a:gd name="f22" fmla="*/ 10 f14 1"/>
                              <a:gd name="f23" fmla="*/ f15 1 f2"/>
                              <a:gd name="f24" fmla="*/ f17 1 2197"/>
                              <a:gd name="f25" fmla="*/ f18 1 2197"/>
                              <a:gd name="f26" fmla="*/ f19 1 2197"/>
                              <a:gd name="f27" fmla="*/ f20 1 2197"/>
                              <a:gd name="f28" fmla="*/ f21 1 2197"/>
                              <a:gd name="f29" fmla="*/ f22 1 2197"/>
                              <a:gd name="f30" fmla="*/ 0 1 f16"/>
                              <a:gd name="f31" fmla="*/ f6 1 f16"/>
                              <a:gd name="f32" fmla="+- f23 0 f1"/>
                              <a:gd name="f33" fmla="*/ f24 1 f16"/>
                              <a:gd name="f34" fmla="*/ f25 1 f16"/>
                              <a:gd name="f35" fmla="*/ f26 1 f16"/>
                              <a:gd name="f36" fmla="*/ f27 1 f16"/>
                              <a:gd name="f37" fmla="*/ f28 1 f16"/>
                              <a:gd name="f38" fmla="*/ f29 1 f16"/>
                              <a:gd name="f39" fmla="*/ f30 f12 1"/>
                              <a:gd name="f40" fmla="*/ f31 f12 1"/>
                              <a:gd name="f41" fmla="*/ f31 f13 1"/>
                              <a:gd name="f42" fmla="*/ f30 f13 1"/>
                              <a:gd name="f43" fmla="*/ f33 f12 1"/>
                              <a:gd name="f44" fmla="*/ f34 f13 1"/>
                              <a:gd name="f45" fmla="*/ f35 f12 1"/>
                              <a:gd name="f46" fmla="*/ f36 f13 1"/>
                              <a:gd name="f47" fmla="*/ f37 f12 1"/>
                              <a:gd name="f48" fmla="*/ f35 f13 1"/>
                              <a:gd name="f49" fmla="*/ f34 f12 1"/>
                              <a:gd name="f50" fmla="*/ f38 f13 1"/>
                            </a:gdLst>
                            <a:ahLst/>
                            <a:cxnLst>
                              <a:cxn ang="3cd4">
                                <a:pos x="hc" y="t"/>
                              </a:cxn>
                              <a:cxn ang="0">
                                <a:pos x="r" y="vc"/>
                              </a:cxn>
                              <a:cxn ang="cd4">
                                <a:pos x="hc" y="b"/>
                              </a:cxn>
                              <a:cxn ang="cd2">
                                <a:pos x="l" y="vc"/>
                              </a:cxn>
                              <a:cxn ang="f32">
                                <a:pos x="f43" y="f44"/>
                              </a:cxn>
                              <a:cxn ang="f32">
                                <a:pos x="f45" y="f46"/>
                              </a:cxn>
                              <a:cxn ang="f32">
                                <a:pos x="f47" y="f48"/>
                              </a:cxn>
                              <a:cxn ang="f32">
                                <a:pos x="f49" y="f50"/>
                              </a:cxn>
                              <a:cxn ang="f32">
                                <a:pos x="f43" y="f44"/>
                              </a:cxn>
                            </a:cxnLst>
                            <a:rect l="f39" t="f42" r="f40" b="f41"/>
                            <a:pathLst>
                              <a:path w="2197" h="2197">
                                <a:moveTo>
                                  <a:pt x="f7" y="f6"/>
                                </a:moveTo>
                                <a:lnTo>
                                  <a:pt x="f5" y="f8"/>
                                </a:lnTo>
                                <a:lnTo>
                                  <a:pt x="f9" y="f5"/>
                                </a:lnTo>
                                <a:lnTo>
                                  <a:pt x="f6" y="f10"/>
                                </a:lnTo>
                                <a:lnTo>
                                  <a:pt x="f7" y="f6"/>
                                </a:lnTo>
                                <a:close/>
                              </a:path>
                            </a:pathLst>
                          </a:custGeom>
                          <a:solidFill>
                            <a:srgbClr val="8497B0"/>
                          </a:solidFill>
                          <a:ln cap="flat">
                            <a:noFill/>
                            <a:prstDash val="solid"/>
                          </a:ln>
                        </wps:spPr>
                        <wps:bodyPr lIns="0" tIns="0" rIns="0" bIns="0"/>
                      </wps:wsp>
                      <wps:wsp>
                        <wps:cNvPr id="6" name="Freeform 67"/>
                        <wps:cNvSpPr/>
                        <wps:spPr>
                          <a:xfrm>
                            <a:off x="1499359" y="671325"/>
                            <a:ext cx="3838450" cy="4203286"/>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 f7 0 f5"/>
                              <a:gd name="f15" fmla="+- f6 0 f5"/>
                              <a:gd name="f16" fmla="*/ f11 f0 1"/>
                              <a:gd name="f17" fmla="*/ f15 1 1961"/>
                              <a:gd name="f18" fmla="*/ f14 1 1966"/>
                              <a:gd name="f19" fmla="*/ 9 f15 1"/>
                              <a:gd name="f20" fmla="*/ 1966 f14 1"/>
                              <a:gd name="f21" fmla="*/ 0 f15 1"/>
                              <a:gd name="f22" fmla="*/ 1957 f14 1"/>
                              <a:gd name="f23" fmla="*/ 1952 f15 1"/>
                              <a:gd name="f24" fmla="*/ 0 f14 1"/>
                              <a:gd name="f25" fmla="*/ 1961 f15 1"/>
                              <a:gd name="f26" fmla="*/ 9 f14 1"/>
                              <a:gd name="f27" fmla="*/ f16 1 f2"/>
                              <a:gd name="f28" fmla="*/ f19 1 1961"/>
                              <a:gd name="f29" fmla="*/ f20 1 1966"/>
                              <a:gd name="f30" fmla="*/ f21 1 1961"/>
                              <a:gd name="f31" fmla="*/ f22 1 1966"/>
                              <a:gd name="f32" fmla="*/ f23 1 1961"/>
                              <a:gd name="f33" fmla="*/ f24 1 1966"/>
                              <a:gd name="f34" fmla="*/ f25 1 1961"/>
                              <a:gd name="f35" fmla="*/ f26 1 1966"/>
                              <a:gd name="f36" fmla="*/ 0 1 f17"/>
                              <a:gd name="f37" fmla="*/ f6 1 f17"/>
                              <a:gd name="f38" fmla="*/ 0 1 f18"/>
                              <a:gd name="f39" fmla="*/ f7 1 f18"/>
                              <a:gd name="f40" fmla="+- f27 0 f1"/>
                              <a:gd name="f41" fmla="*/ f28 1 f17"/>
                              <a:gd name="f42" fmla="*/ f29 1 f18"/>
                              <a:gd name="f43" fmla="*/ f30 1 f17"/>
                              <a:gd name="f44" fmla="*/ f31 1 f18"/>
                              <a:gd name="f45" fmla="*/ f32 1 f17"/>
                              <a:gd name="f46" fmla="*/ f33 1 f18"/>
                              <a:gd name="f47" fmla="*/ f34 1 f17"/>
                              <a:gd name="f48" fmla="*/ f35 1 f18"/>
                              <a:gd name="f49" fmla="*/ f36 f12 1"/>
                              <a:gd name="f50" fmla="*/ f37 f12 1"/>
                              <a:gd name="f51" fmla="*/ f39 f13 1"/>
                              <a:gd name="f52" fmla="*/ f38 f13 1"/>
                              <a:gd name="f53" fmla="*/ f41 f12 1"/>
                              <a:gd name="f54" fmla="*/ f42 f13 1"/>
                              <a:gd name="f55" fmla="*/ f43 f12 1"/>
                              <a:gd name="f56" fmla="*/ f44 f13 1"/>
                              <a:gd name="f57" fmla="*/ f45 f12 1"/>
                              <a:gd name="f58" fmla="*/ f46 f13 1"/>
                              <a:gd name="f59" fmla="*/ f47 f12 1"/>
                              <a:gd name="f60" fmla="*/ f48 f13 1"/>
                            </a:gdLst>
                            <a:ahLst/>
                            <a:cxnLst>
                              <a:cxn ang="3cd4">
                                <a:pos x="hc" y="t"/>
                              </a:cxn>
                              <a:cxn ang="0">
                                <a:pos x="r" y="vc"/>
                              </a:cxn>
                              <a:cxn ang="cd4">
                                <a:pos x="hc" y="b"/>
                              </a:cxn>
                              <a:cxn ang="cd2">
                                <a:pos x="l" y="vc"/>
                              </a:cxn>
                              <a:cxn ang="f40">
                                <a:pos x="f53" y="f54"/>
                              </a:cxn>
                              <a:cxn ang="f40">
                                <a:pos x="f55" y="f56"/>
                              </a:cxn>
                              <a:cxn ang="f40">
                                <a:pos x="f57" y="f58"/>
                              </a:cxn>
                              <a:cxn ang="f40">
                                <a:pos x="f59" y="f60"/>
                              </a:cxn>
                              <a:cxn ang="f40">
                                <a:pos x="f53" y="f54"/>
                              </a:cxn>
                            </a:cxnLst>
                            <a:rect l="f49" t="f52" r="f50" b="f51"/>
                            <a:pathLst>
                              <a:path w="1961" h="1966">
                                <a:moveTo>
                                  <a:pt x="f8" y="f7"/>
                                </a:moveTo>
                                <a:lnTo>
                                  <a:pt x="f5" y="f9"/>
                                </a:lnTo>
                                <a:lnTo>
                                  <a:pt x="f10" y="f5"/>
                                </a:lnTo>
                                <a:lnTo>
                                  <a:pt x="f6" y="f8"/>
                                </a:lnTo>
                                <a:lnTo>
                                  <a:pt x="f8" y="f7"/>
                                </a:lnTo>
                                <a:close/>
                              </a:path>
                            </a:pathLst>
                          </a:custGeom>
                          <a:solidFill>
                            <a:srgbClr val="8497B0"/>
                          </a:solidFill>
                          <a:ln cap="flat">
                            <a:noFill/>
                            <a:prstDash val="solid"/>
                          </a:ln>
                        </wps:spPr>
                        <wps:bodyPr lIns="0" tIns="0" rIns="0" bIns="0"/>
                      </wps:wsp>
                      <wps:wsp>
                        <wps:cNvPr id="7" name="Freeform 68"/>
                        <wps:cNvSpPr/>
                        <wps:spPr>
                          <a:xfrm>
                            <a:off x="0" y="207385"/>
                            <a:ext cx="5337809" cy="5840986"/>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 f7 0 f5"/>
                              <a:gd name="f15" fmla="+- f6 0 f5"/>
                              <a:gd name="f16" fmla="*/ f11 f0 1"/>
                              <a:gd name="f17" fmla="*/ f15 1 2727"/>
                              <a:gd name="f18" fmla="*/ f14 1 2732"/>
                              <a:gd name="f19" fmla="*/ 0 f15 1"/>
                              <a:gd name="f20" fmla="*/ 2732 f14 1"/>
                              <a:gd name="f21" fmla="*/ 2728 f14 1"/>
                              <a:gd name="f22" fmla="*/ 2722 f15 1"/>
                              <a:gd name="f23" fmla="*/ 0 f14 1"/>
                              <a:gd name="f24" fmla="*/ 2727 f15 1"/>
                              <a:gd name="f25" fmla="*/ 5 f14 1"/>
                              <a:gd name="f26" fmla="*/ f16 1 f2"/>
                              <a:gd name="f27" fmla="*/ f19 1 2727"/>
                              <a:gd name="f28" fmla="*/ f20 1 2732"/>
                              <a:gd name="f29" fmla="*/ f21 1 2732"/>
                              <a:gd name="f30" fmla="*/ f22 1 2727"/>
                              <a:gd name="f31" fmla="*/ f23 1 2732"/>
                              <a:gd name="f32" fmla="*/ f24 1 2727"/>
                              <a:gd name="f33" fmla="*/ f25 1 2732"/>
                              <a:gd name="f34" fmla="*/ 0 1 f17"/>
                              <a:gd name="f35" fmla="*/ f6 1 f17"/>
                              <a:gd name="f36" fmla="*/ 0 1 f18"/>
                              <a:gd name="f37" fmla="*/ f7 1 f18"/>
                              <a:gd name="f38" fmla="+- f26 0 f1"/>
                              <a:gd name="f39" fmla="*/ f27 1 f17"/>
                              <a:gd name="f40" fmla="*/ f28 1 f18"/>
                              <a:gd name="f41" fmla="*/ f29 1 f18"/>
                              <a:gd name="f42" fmla="*/ f30 1 f17"/>
                              <a:gd name="f43" fmla="*/ f31 1 f18"/>
                              <a:gd name="f44" fmla="*/ f32 1 f17"/>
                              <a:gd name="f45" fmla="*/ f33 1 f18"/>
                              <a:gd name="f46" fmla="*/ f34 f12 1"/>
                              <a:gd name="f47" fmla="*/ f35 f12 1"/>
                              <a:gd name="f48" fmla="*/ f37 f13 1"/>
                              <a:gd name="f49" fmla="*/ f36 f13 1"/>
                              <a:gd name="f50" fmla="*/ f39 f12 1"/>
                              <a:gd name="f51" fmla="*/ f40 f13 1"/>
                              <a:gd name="f52" fmla="*/ f41 f13 1"/>
                              <a:gd name="f53" fmla="*/ f42 f12 1"/>
                              <a:gd name="f54" fmla="*/ f43 f13 1"/>
                              <a:gd name="f55" fmla="*/ f44 f12 1"/>
                              <a:gd name="f56" fmla="*/ f45 f13 1"/>
                            </a:gdLst>
                            <a:ahLst/>
                            <a:cxnLst>
                              <a:cxn ang="3cd4">
                                <a:pos x="hc" y="t"/>
                              </a:cxn>
                              <a:cxn ang="0">
                                <a:pos x="r" y="vc"/>
                              </a:cxn>
                              <a:cxn ang="cd4">
                                <a:pos x="hc" y="b"/>
                              </a:cxn>
                              <a:cxn ang="cd2">
                                <a:pos x="l" y="vc"/>
                              </a:cxn>
                              <a:cxn ang="f38">
                                <a:pos x="f50" y="f51"/>
                              </a:cxn>
                              <a:cxn ang="f38">
                                <a:pos x="f50" y="f52"/>
                              </a:cxn>
                              <a:cxn ang="f38">
                                <a:pos x="f53" y="f54"/>
                              </a:cxn>
                              <a:cxn ang="f38">
                                <a:pos x="f55" y="f56"/>
                              </a:cxn>
                              <a:cxn ang="f38">
                                <a:pos x="f50" y="f51"/>
                              </a:cxn>
                            </a:cxnLst>
                            <a:rect l="f46" t="f49" r="f47" b="f48"/>
                            <a:pathLst>
                              <a:path w="2727" h="2732">
                                <a:moveTo>
                                  <a:pt x="f5" y="f7"/>
                                </a:moveTo>
                                <a:lnTo>
                                  <a:pt x="f5" y="f8"/>
                                </a:lnTo>
                                <a:lnTo>
                                  <a:pt x="f9" y="f5"/>
                                </a:lnTo>
                                <a:lnTo>
                                  <a:pt x="f6" y="f10"/>
                                </a:lnTo>
                                <a:lnTo>
                                  <a:pt x="f5" y="f7"/>
                                </a:lnTo>
                                <a:close/>
                              </a:path>
                            </a:pathLst>
                          </a:custGeom>
                          <a:solidFill>
                            <a:srgbClr val="8497B0"/>
                          </a:solidFill>
                          <a:ln cap="flat">
                            <a:noFill/>
                            <a:prstDash val="solid"/>
                          </a:ln>
                        </wps:spPr>
                        <wps:bodyPr lIns="0" tIns="0" rIns="0" bIns="0"/>
                      </wps:wsp>
                    </wpg:wgp>
                  </a:graphicData>
                </a:graphic>
              </wp:anchor>
            </w:drawing>
          </mc:Choice>
          <mc:Fallback>
            <w:pict>
              <v:group w14:anchorId="74683031" id="Group 2" o:spid="_x0000_s1026" style="position:absolute;margin-left:130.95pt;margin-top:252.55pt;width:420.3pt;height:476.25pt;z-index:-251656192;mso-position-horizontal-relative:page;mso-position-vertical-relative:page" coordsize="53378,60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">
                <v:shape id="Freeform 64" o:spid="_x0000_s1027" style="position:absolute;left:18516;width:34862;height:38184;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i+MMA&#10;AADaAAAADwAAAGRycy9kb3ducmV2LnhtbESPzWrDMBCE74W+g9hCLyWWk9ISXCshCQR6iAt18gCL&#10;tPWvVsZSEvftq0Igx2FmvmHy9WR7caHRN44VzJMUBLF2puFKwem4ny1B+IBssHdMCn7Jw3r1+JBj&#10;ZtyVv+lShkpECPsMFdQhDJmUXtdk0SduII7ejxsthijHSpoRrxFue7lI03dpseG4UONAu5p0V56t&#10;gq+XYdduNzq8HWRX7ltbHKaiUOr5adp8gAg0hXv41v40Cl7h/0q8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2Ni+MMAAADaAAAADwAAAAAAAAAAAAAAAACYAgAAZHJzL2Rv&#10;d25yZXYueG1sUEsFBgAAAAAEAAQA9QAAAIgDAAAAAA==&#10;" path="m4,1786l,1782,1776,r5,5l4,1786xe" fillcolor="#8497b0" stroked="f">
                  <v:path arrowok="t" o:connecttype="custom" o:connectlocs="1743057,0;3486113,1909226;1743057,3818452;0,1909226;7830,3818452;0,3809900;3476326,0;3486113,10690;7830,3818452" o:connectangles="270,0,90,180,0,0,0,0,0" textboxrect="0,0,1781,1786"/>
                </v:shape>
                <v:shape id="Freeform 65" o:spid="_x0000_s1028" style="position:absolute;left:9649;top:3057;width:43729;height:47762;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e+BMIA&#10;AADaAAAADwAAAGRycy9kb3ducmV2LnhtbESPQWsCMRSE74X+h/CEXkpNFLFlaxQpCEIPoi3i8bF5&#10;bhY3L2sSdf33RhA8DjPzDTOZda4RZwqx9qxh0FcgiEtvaq40/P8tPr5AxIRssPFMGq4UYTZ9fZlg&#10;YfyF13TepEpkCMcCNdiU2kLKWFpyGPu+Jc7e3geHKctQSRPwkuGukUOlxtJhzXnBYks/lsrD5uQ0&#10;mN1o/77bzv3q9+jtMSzVp9wqrd963fwbRKIuPcOP9tJoGMH9Sr4Bcn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N74EwgAAANoAAAAPAAAAAAAAAAAAAAAAAJgCAABkcnMvZG93&#10;bnJldi54bWxQSwUGAAAAAAQABAD1AAAAhwMAAAAA&#10;" path="m5,2234l,2229,2229,r5,5l5,2234xe" fillcolor="#8497b0" stroked="f">
                  <v:path arrowok="t" o:connecttype="custom" o:connectlocs="2186408,0;4372816,2388134;2186408,4776267;0,2388134;9787,4776267;0,4765577;4363029,0;4372816,10690;9787,4776267" o:connectangles="270,0,90,180,0,0,0,0,0" textboxrect="0,0,2234,2234"/>
                </v:shape>
                <v:shape id="Freeform 66" o:spid="_x0000_s1029" style="position:absolute;left:10374;top:1475;width:43004;height:46971;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EJDsAA&#10;AADaAAAADwAAAGRycy9kb3ducmV2LnhtbESPQYvCMBSE74L/ITzBm6aKK1JNiwiCB1l2VTw/mmdT&#10;bF5KE9v67zcLC3scZuYbZpcPthYdtb5yrGAxT0AQF05XXCq4XY+zDQgfkDXWjknBmzzk2Xi0w1S7&#10;nr+pu4RSRAj7FBWYEJpUSl8YsujnriGO3sO1FkOUbSl1i32E21ouk2QtLVYcFww2dDBUPC8vq0B/&#10;8mJ19cf+fr6f1rJLvow1vVLTybDfggg0hP/wX/ukFXzA75V4A2T2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JEJDsAAAADaAAAADwAAAAAAAAAAAAAAAACYAgAAZHJzL2Rvd25y&#10;ZXYueG1sUEsFBgAAAAAEAAQA9QAAAIUDAAAAAA==&#10;" path="m9,2197l,2193,2188,r9,10l9,2197xe" fillcolor="#8497b0" stroked="f">
                  <v:path arrowok="t" o:connecttype="custom" o:connectlocs="2150198,0;4300395,2348582;2150198,4697163;0,2348582;17617,4697163;0,4688611;4282778,0;4300395,21380;17617,4697163" o:connectangles="270,0,90,180,0,0,0,0,0" textboxrect="0,0,2197,2197"/>
                </v:shape>
                <v:shape id="Freeform 67" o:spid="_x0000_s1030" style="position:absolute;left:14993;top:6713;width:38385;height:42033;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GMEMMA&#10;AADaAAAADwAAAGRycy9kb3ducmV2LnhtbESP3YrCMBSE7xf2HcJZ8G5NqyhLNcqyIAgqqPtzfWiO&#10;bbE5qUms1ac3grCXw8x8w0znnalFS85XlhWk/QQEcW51xYWCn+/F+wcIH5A11pZJwZU8zGevL1PM&#10;tL3wjtp9KESEsM9QQRlCk0np85IM+r5tiKN3sM5giNIVUju8RLip5SBJxtJgxXGhxIa+SsqP+7NR&#10;MErXw9Ot3sp2+5evCrdJD8ntV6neW/c5ARGoC//hZ3upFYzhcSXeAD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fGMEMMAAADaAAAADwAAAAAAAAAAAAAAAACYAgAAZHJzL2Rv&#10;d25yZXYueG1sUEsFBgAAAAAEAAQA9QAAAIgDAAAAAA==&#10;" path="m9,1966l,1957,1952,r9,9l9,1966xe" fillcolor="#8497b0" stroked="f">
                  <v:path arrowok="t" o:connecttype="custom" o:connectlocs="1919225,0;3838450,2101643;1919225,4203286;0,2101643;17617,4203286;0,4184044;3820833,0;3838450,19242;17617,4203286" o:connectangles="270,0,90,180,0,0,0,0,0" textboxrect="0,0,1961,1966"/>
                </v:shape>
                <v:shape id="Freeform 68" o:spid="_x0000_s1031" style="position:absolute;top:2073;width:53378;height:58410;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nsnsIA&#10;AADaAAAADwAAAGRycy9kb3ducmV2LnhtbESPT4vCMBTE74LfITxhb5q6sLtSjSK6fzwtVIt4fDTP&#10;Nti8lCZru9/eCILHYWZ+wyxWva3FlVpvHCuYThIQxIXThksF+eFrPAPhA7LG2jEp+CcPq+VwsMBU&#10;u44zuu5DKSKEfYoKqhCaVEpfVGTRT1xDHL2zay2GKNtS6ha7CLe1fE2Sd2nRcFyosKFNRcVl/2cV&#10;fNvf/tNMj0kXfvI3c9hmpyLPlHoZ9es5iEB9eIYf7Z1W8AH3K/EGyO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eyewgAAANoAAAAPAAAAAAAAAAAAAAAAAJgCAABkcnMvZG93&#10;bnJldi54bWxQSwUGAAAAAAQABAD1AAAAhwMAAAAA&#10;" path="m,2732r,-4l2722,r5,5l,2732xe" fillcolor="#8497b0" stroked="f">
                  <v:path arrowok="t" o:connecttype="custom" o:connectlocs="2668905,0;5337809,2920493;2668905,5840986;0,2920493;0,5840986;0,5832434;5328022,0;5337809,10690;0,5840986" o:connectangles="270,0,90,180,0,0,0,0,0" textboxrect="0,0,2727,2732"/>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2F8CEF6B" wp14:editId="4CC9A06E">
                <wp:simplePos x="0" y="0"/>
                <wp:positionH relativeFrom="page">
                  <wp:align>center</wp:align>
                </wp:positionH>
                <wp:positionV relativeFrom="margin">
                  <wp:align>bottom</wp:align>
                </wp:positionV>
                <wp:extent cx="5943600" cy="374017"/>
                <wp:effectExtent l="0" t="0" r="0" b="6983"/>
                <wp:wrapNone/>
                <wp:docPr id="8" name="Text Box 69"/>
                <wp:cNvGraphicFramePr/>
                <a:graphic xmlns:a="http://schemas.openxmlformats.org/drawingml/2006/main">
                  <a:graphicData uri="http://schemas.microsoft.com/office/word/2010/wordprocessingShape">
                    <wps:wsp>
                      <wps:cNvSpPr txBox="1"/>
                      <wps:spPr>
                        <a:xfrm>
                          <a:off x="0" y="0"/>
                          <a:ext cx="5943600" cy="374017"/>
                        </a:xfrm>
                        <a:prstGeom prst="rect">
                          <a:avLst/>
                        </a:prstGeom>
                        <a:noFill/>
                        <a:ln>
                          <a:noFill/>
                          <a:prstDash/>
                        </a:ln>
                      </wps:spPr>
                      <wps:txbx>
                        <w:txbxContent>
                          <w:p w14:paraId="20EBBF99" w14:textId="77777777" w:rsidR="00F118B8" w:rsidRDefault="006C7038">
                            <w:pPr>
                              <w:pStyle w:val="NoSpacing"/>
                              <w:jc w:val="right"/>
                            </w:pPr>
                            <w:r>
                              <w:rPr>
                                <w:color w:val="4472C4"/>
                                <w:sz w:val="36"/>
                                <w:szCs w:val="36"/>
                              </w:rPr>
                              <w:t>Courtney Smith</w:t>
                            </w:r>
                          </w:p>
                          <w:p w14:paraId="0F2206FC" w14:textId="77777777" w:rsidR="00F118B8" w:rsidRDefault="006C7038">
                            <w:pPr>
                              <w:pStyle w:val="NoSpacing"/>
                              <w:jc w:val="right"/>
                            </w:pPr>
                            <w:r>
                              <w:rPr>
                                <w:color w:val="4472C4"/>
                                <w:sz w:val="36"/>
                                <w:szCs w:val="36"/>
                              </w:rPr>
                              <w:t>Student ID- 2008158</w:t>
                            </w:r>
                          </w:p>
                        </w:txbxContent>
                      </wps:txbx>
                      <wps:bodyPr vert="horz" wrap="square" lIns="0" tIns="0" rIns="0" bIns="0" anchor="b" anchorCtr="0" compatLnSpc="1">
                        <a:spAutoFit/>
                      </wps:bodyPr>
                    </wps:wsp>
                  </a:graphicData>
                </a:graphic>
              </wp:anchor>
            </w:drawing>
          </mc:Choice>
          <mc:Fallback>
            <w:pict>
              <v:shape w14:anchorId="2F8CEF6B" id="Text Box 69" o:spid="_x0000_s1027" type="#_x0000_t202" style="position:absolute;margin-left:0;margin-top:0;width:468pt;height:29.45pt;z-index:251659264;visibility:visible;mso-wrap-style:square;mso-wrap-distance-left:9pt;mso-wrap-distance-top:0;mso-wrap-distance-right:9pt;mso-wrap-distance-bottom:0;mso-position-horizontal:center;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" filled="f" stroked="f">
                <v:textbox style="mso-fit-shape-to-text:t" inset="0,0,0,0">
                  <w:txbxContent>
                    <w:p w14:paraId="20EBBF99" w14:textId="77777777" w:rsidR="00F118B8" w:rsidRDefault="006C7038">
                      <w:pPr>
                        <w:pStyle w:val="NoSpacing"/>
                        <w:jc w:val="right"/>
                      </w:pPr>
                      <w:r>
                        <w:rPr>
                          <w:color w:val="4472C4"/>
                          <w:sz w:val="36"/>
                          <w:szCs w:val="36"/>
                        </w:rPr>
                        <w:t>Courtney Smith</w:t>
                      </w:r>
                    </w:p>
                    <w:p w14:paraId="0F2206FC" w14:textId="77777777" w:rsidR="00F118B8" w:rsidRDefault="006C7038">
                      <w:pPr>
                        <w:pStyle w:val="NoSpacing"/>
                        <w:jc w:val="right"/>
                      </w:pPr>
                      <w:r>
                        <w:rPr>
                          <w:color w:val="4472C4"/>
                          <w:sz w:val="36"/>
                          <w:szCs w:val="36"/>
                        </w:rPr>
                        <w:t>Student ID- 2008158</w:t>
                      </w:r>
                    </w:p>
                  </w:txbxContent>
                </v:textbox>
                <w10:wrap anchorx="page" anchory="margin"/>
              </v:shape>
            </w:pict>
          </mc:Fallback>
        </mc:AlternateContent>
      </w:r>
    </w:p>
    <w:p w14:paraId="1298A68D" w14:textId="77777777" w:rsidR="00F118B8" w:rsidRDefault="006C7038">
      <w:r>
        <w:rPr>
          <w:noProof/>
          <w:lang w:eastAsia="en-GB"/>
        </w:rPr>
        <mc:AlternateContent>
          <mc:Choice Requires="wps">
            <w:drawing>
              <wp:anchor distT="0" distB="0" distL="114300" distR="114300" simplePos="0" relativeHeight="251662336" behindDoc="0" locked="0" layoutInCell="1" allowOverlap="1" wp14:anchorId="6E1C7D84" wp14:editId="56081DD3">
                <wp:simplePos x="0" y="0"/>
                <wp:positionH relativeFrom="column">
                  <wp:posOffset>-647696</wp:posOffset>
                </wp:positionH>
                <wp:positionV relativeFrom="paragraph">
                  <wp:posOffset>2604138</wp:posOffset>
                </wp:positionV>
                <wp:extent cx="4295778" cy="1361441"/>
                <wp:effectExtent l="0" t="0" r="28572" b="10159"/>
                <wp:wrapNone/>
                <wp:docPr id="9" name="Text Box 1"/>
                <wp:cNvGraphicFramePr/>
                <a:graphic xmlns:a="http://schemas.openxmlformats.org/drawingml/2006/main">
                  <a:graphicData uri="http://schemas.microsoft.com/office/word/2010/wordprocessingShape">
                    <wps:wsp>
                      <wps:cNvSpPr txBox="1"/>
                      <wps:spPr>
                        <a:xfrm>
                          <a:off x="0" y="0"/>
                          <a:ext cx="4295778" cy="1361441"/>
                        </a:xfrm>
                        <a:prstGeom prst="rect">
                          <a:avLst/>
                        </a:prstGeom>
                        <a:solidFill>
                          <a:srgbClr val="FFFFFF"/>
                        </a:solidFill>
                        <a:ln w="6345">
                          <a:solidFill>
                            <a:srgbClr val="FFFFFF"/>
                          </a:solidFill>
                          <a:prstDash val="solid"/>
                        </a:ln>
                      </wps:spPr>
                      <wps:txbx>
                        <w:txbxContent>
                          <w:p w14:paraId="7373F162" w14:textId="77777777" w:rsidR="00F118B8" w:rsidRDefault="006C7038">
                            <w:pPr>
                              <w:rPr>
                                <w:b/>
                                <w:bCs/>
                                <w:color w:val="5B9BD5"/>
                                <w:sz w:val="28"/>
                                <w:szCs w:val="28"/>
                              </w:rPr>
                            </w:pPr>
                            <w:r>
                              <w:rPr>
                                <w:b/>
                                <w:bCs/>
                                <w:color w:val="5B9BD5"/>
                                <w:sz w:val="28"/>
                                <w:szCs w:val="28"/>
                              </w:rPr>
                              <w:t>Task 1</w:t>
                            </w:r>
                          </w:p>
                        </w:txbxContent>
                      </wps:txbx>
                      <wps:bodyPr vert="horz" wrap="square" lIns="91440" tIns="45720" rIns="91440" bIns="45720" anchor="t" anchorCtr="0" compatLnSpc="1">
                        <a:noAutofit/>
                      </wps:bodyPr>
                    </wps:wsp>
                  </a:graphicData>
                </a:graphic>
              </wp:anchor>
            </w:drawing>
          </mc:Choice>
          <mc:Fallback>
            <w:pict>
              <v:shape w14:anchorId="6E1C7D84" id="Text Box 1" o:spid="_x0000_s1028" type="#_x0000_t202" style="position:absolute;margin-left:-51pt;margin-top:205.05pt;width:338.25pt;height:10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" strokecolor="white" strokeweight=".17625mm">
                <v:textbox>
                  <w:txbxContent>
                    <w:p w14:paraId="7373F162" w14:textId="77777777" w:rsidR="00F118B8" w:rsidRDefault="006C7038">
                      <w:pPr>
                        <w:rPr>
                          <w:b/>
                          <w:bCs/>
                          <w:color w:val="5B9BD5"/>
                          <w:sz w:val="28"/>
                          <w:szCs w:val="28"/>
                        </w:rPr>
                      </w:pPr>
                      <w:r>
                        <w:rPr>
                          <w:b/>
                          <w:bCs/>
                          <w:color w:val="5B9BD5"/>
                          <w:sz w:val="28"/>
                          <w:szCs w:val="28"/>
                        </w:rPr>
                        <w:t>Task 1</w:t>
                      </w:r>
                    </w:p>
                  </w:txbxContent>
                </v:textbox>
              </v:shape>
            </w:pict>
          </mc:Fallback>
        </mc:AlternateContent>
      </w:r>
    </w:p>
    <w:p w14:paraId="053A2746" w14:textId="77777777" w:rsidR="00F118B8" w:rsidRDefault="00F118B8">
      <w:pPr>
        <w:spacing w:line="480" w:lineRule="auto"/>
      </w:pPr>
    </w:p>
    <w:p w14:paraId="230156D0" w14:textId="77777777" w:rsidR="00F118B8" w:rsidRDefault="00F118B8">
      <w:pPr>
        <w:spacing w:line="480" w:lineRule="auto"/>
      </w:pPr>
    </w:p>
    <w:p w14:paraId="056C2DC0" w14:textId="77777777" w:rsidR="00F118B8" w:rsidRDefault="00F118B8">
      <w:pPr>
        <w:spacing w:line="480" w:lineRule="auto"/>
      </w:pPr>
    </w:p>
    <w:p w14:paraId="2223DD78" w14:textId="77777777" w:rsidR="00F118B8" w:rsidRDefault="00F118B8">
      <w:pPr>
        <w:spacing w:line="480" w:lineRule="auto"/>
      </w:pPr>
    </w:p>
    <w:p w14:paraId="54F3F958" w14:textId="77777777" w:rsidR="00F118B8" w:rsidRDefault="00F118B8">
      <w:pPr>
        <w:spacing w:line="480" w:lineRule="auto"/>
      </w:pPr>
    </w:p>
    <w:p w14:paraId="2EB17A04" w14:textId="77777777" w:rsidR="00F118B8" w:rsidRDefault="00F118B8">
      <w:pPr>
        <w:spacing w:line="480" w:lineRule="auto"/>
      </w:pPr>
    </w:p>
    <w:p w14:paraId="69A2A525" w14:textId="77777777" w:rsidR="00F118B8" w:rsidRDefault="00F118B8">
      <w:pPr>
        <w:spacing w:line="480" w:lineRule="auto"/>
      </w:pPr>
    </w:p>
    <w:p w14:paraId="1FA67767" w14:textId="77777777" w:rsidR="00F118B8" w:rsidRDefault="00F118B8">
      <w:pPr>
        <w:spacing w:line="480" w:lineRule="auto"/>
      </w:pPr>
    </w:p>
    <w:p w14:paraId="503F60AA" w14:textId="77777777" w:rsidR="00F118B8" w:rsidRDefault="00F118B8">
      <w:pPr>
        <w:spacing w:line="480" w:lineRule="auto"/>
      </w:pPr>
    </w:p>
    <w:p w14:paraId="2A6C4714" w14:textId="77777777" w:rsidR="00F118B8" w:rsidRDefault="00F118B8">
      <w:pPr>
        <w:spacing w:line="480" w:lineRule="auto"/>
      </w:pPr>
    </w:p>
    <w:p w14:paraId="16EFA4A2" w14:textId="77777777" w:rsidR="00F118B8" w:rsidRDefault="00F118B8">
      <w:pPr>
        <w:spacing w:line="480" w:lineRule="auto"/>
      </w:pPr>
    </w:p>
    <w:p w14:paraId="028B9094" w14:textId="77777777" w:rsidR="00F118B8" w:rsidRDefault="00F118B8">
      <w:pPr>
        <w:spacing w:line="480" w:lineRule="auto"/>
      </w:pPr>
    </w:p>
    <w:p w14:paraId="3F363A4F" w14:textId="77777777" w:rsidR="00F118B8" w:rsidRDefault="00F118B8">
      <w:pPr>
        <w:spacing w:line="480" w:lineRule="auto"/>
      </w:pPr>
    </w:p>
    <w:p w14:paraId="1E67B98D" w14:textId="77777777" w:rsidR="00F118B8" w:rsidRDefault="00F118B8">
      <w:pPr>
        <w:spacing w:line="480" w:lineRule="auto"/>
      </w:pPr>
    </w:p>
    <w:p w14:paraId="0C462055" w14:textId="77777777" w:rsidR="00F118B8" w:rsidRDefault="00F118B8">
      <w:pPr>
        <w:spacing w:line="480" w:lineRule="auto"/>
      </w:pPr>
    </w:p>
    <w:p w14:paraId="795302A4" w14:textId="77777777" w:rsidR="00F118B8" w:rsidRDefault="00F118B8">
      <w:pPr>
        <w:spacing w:line="480" w:lineRule="auto"/>
      </w:pPr>
    </w:p>
    <w:p w14:paraId="00993C67" w14:textId="24346645" w:rsidR="00F118B8" w:rsidRPr="00CC7CCA" w:rsidRDefault="006C7038">
      <w:pPr>
        <w:spacing w:line="480" w:lineRule="auto"/>
      </w:pPr>
      <w:r w:rsidRPr="00CC7CCA">
        <w:rPr>
          <w:sz w:val="24"/>
          <w:szCs w:val="24"/>
        </w:rPr>
        <w:lastRenderedPageBreak/>
        <w:t xml:space="preserve">Defamation is a publication of a statement that tends to lower a person’s reputation. There are two types of defamation Libel and Slander, libel is a permanent form, published or written and slander is a temporary form, Health and Safety Executive (2020?). The courts must attempt to balance reputation, but it is also important for them to also allow freedom of expression. Under </w:t>
      </w:r>
      <w:proofErr w:type="gramStart"/>
      <w:r w:rsidRPr="00CC7CCA">
        <w:rPr>
          <w:sz w:val="24"/>
          <w:szCs w:val="24"/>
        </w:rPr>
        <w:t>s.(</w:t>
      </w:r>
      <w:proofErr w:type="gramEnd"/>
      <w:r w:rsidRPr="00CC7CCA">
        <w:rPr>
          <w:sz w:val="24"/>
          <w:szCs w:val="24"/>
        </w:rPr>
        <w:t>1) Defamation Act 2013, it had introduced the requirements that the defamatory statement must have caused, or is likely to cause, serious damage to the claimant’s reputation. Section 3 of the Human Rights Act (1998) requires interpreting article 10</w:t>
      </w:r>
      <w:r w:rsidR="001975D4" w:rsidRPr="00CC7CCA">
        <w:rPr>
          <w:sz w:val="24"/>
          <w:szCs w:val="24"/>
        </w:rPr>
        <w:t>. The</w:t>
      </w:r>
      <w:r w:rsidR="00F05734" w:rsidRPr="00CC7CCA">
        <w:rPr>
          <w:sz w:val="24"/>
          <w:szCs w:val="24"/>
        </w:rPr>
        <w:t xml:space="preserve"> European Conv</w:t>
      </w:r>
      <w:r w:rsidR="00C876D1" w:rsidRPr="00CC7CCA">
        <w:rPr>
          <w:sz w:val="24"/>
          <w:szCs w:val="24"/>
        </w:rPr>
        <w:t>ention o</w:t>
      </w:r>
      <w:r w:rsidRPr="00CC7CCA">
        <w:rPr>
          <w:sz w:val="24"/>
          <w:szCs w:val="24"/>
        </w:rPr>
        <w:t>f the Human Rights Act</w:t>
      </w:r>
      <w:r w:rsidR="001975D4" w:rsidRPr="00CC7CCA">
        <w:rPr>
          <w:sz w:val="24"/>
          <w:szCs w:val="24"/>
        </w:rPr>
        <w:t xml:space="preserve"> clearly </w:t>
      </w:r>
      <w:r w:rsidRPr="00CC7CCA">
        <w:rPr>
          <w:sz w:val="24"/>
          <w:szCs w:val="24"/>
        </w:rPr>
        <w:t>states that everyone has a right of freedom of expression. This means that people have a right to hold opinions and there should be no interference by public authority, Equality and Human Right Commission (2020). However, although you have freedom of expression, you also have a duty to behave responsibly and you need to respect other people’s rights.</w:t>
      </w:r>
    </w:p>
    <w:p w14:paraId="78308B10" w14:textId="7A1D7A74" w:rsidR="001975D4" w:rsidRPr="00CC7CCA" w:rsidRDefault="006C7038">
      <w:pPr>
        <w:spacing w:line="480" w:lineRule="auto"/>
        <w:rPr>
          <w:sz w:val="24"/>
          <w:szCs w:val="24"/>
        </w:rPr>
      </w:pPr>
      <w:r w:rsidRPr="00CC7CCA">
        <w:rPr>
          <w:sz w:val="24"/>
          <w:szCs w:val="24"/>
        </w:rPr>
        <w:t>In the case of Reynolds v Times Newspapers (2002), UK Parliament (1999). The Reynolds case was designed to protect serious investigative journals acting in god faith and reporting on matters of the public interest</w:t>
      </w:r>
      <w:r w:rsidR="002D3852" w:rsidRPr="00CC7CCA">
        <w:rPr>
          <w:sz w:val="24"/>
          <w:szCs w:val="24"/>
        </w:rPr>
        <w:t xml:space="preserve">, UK Parliament (1999). In relation to the Economou v de Freitas (2016) case, the court applied the some of the Reynolds principles. A woman had accused the claimant of rape. He declared that she had intended to pervert the course of justice by falsely accusing him. She had killed herself just before the trial, Wilson (2018). The father had criticised the </w:t>
      </w:r>
      <w:r w:rsidR="001975D4" w:rsidRPr="00CC7CCA">
        <w:rPr>
          <w:sz w:val="24"/>
          <w:szCs w:val="24"/>
        </w:rPr>
        <w:t>CPS,</w:t>
      </w:r>
      <w:r w:rsidR="00C876D1" w:rsidRPr="00CC7CCA">
        <w:rPr>
          <w:sz w:val="24"/>
          <w:szCs w:val="24"/>
        </w:rPr>
        <w:t xml:space="preserve"> </w:t>
      </w:r>
      <w:r w:rsidR="001975D4" w:rsidRPr="00CC7CCA">
        <w:rPr>
          <w:sz w:val="24"/>
          <w:szCs w:val="24"/>
        </w:rPr>
        <w:t>he</w:t>
      </w:r>
      <w:r w:rsidR="00C876D1" w:rsidRPr="00CC7CCA">
        <w:rPr>
          <w:sz w:val="24"/>
          <w:szCs w:val="24"/>
        </w:rPr>
        <w:t xml:space="preserve"> had </w:t>
      </w:r>
      <w:r w:rsidR="002D3852" w:rsidRPr="00CC7CCA">
        <w:rPr>
          <w:sz w:val="24"/>
          <w:szCs w:val="24"/>
        </w:rPr>
        <w:t xml:space="preserve">issued press statements, gave media interviews, and wrote an article. This was said to be a public interest matter, Lock (2016) and Royal Courts of Justice (2016). It was argued that the defendant did not satisfy the Reynolds test. Although, the father avoided naming Economou. This shows that the publication had lacked serious harm to the claimant’s reputation which meant that the publication without question concerned a public interest matter. </w:t>
      </w:r>
      <w:r w:rsidR="001975D4" w:rsidRPr="00CC7CCA">
        <w:rPr>
          <w:sz w:val="24"/>
          <w:szCs w:val="24"/>
        </w:rPr>
        <w:t>The</w:t>
      </w:r>
      <w:r w:rsidR="002D3852" w:rsidRPr="00CC7CCA">
        <w:rPr>
          <w:sz w:val="24"/>
          <w:szCs w:val="24"/>
        </w:rPr>
        <w:t xml:space="preserve"> court tried balancing protection of </w:t>
      </w:r>
      <w:r w:rsidR="002D3852" w:rsidRPr="00CC7CCA">
        <w:rPr>
          <w:sz w:val="24"/>
          <w:szCs w:val="24"/>
        </w:rPr>
        <w:lastRenderedPageBreak/>
        <w:t xml:space="preserve">reputation but because what was said was substantially true the trial could not stand, Lovell (2019). </w:t>
      </w:r>
    </w:p>
    <w:p w14:paraId="11AEE169" w14:textId="72992515" w:rsidR="00F118B8" w:rsidRPr="00CC7CCA" w:rsidRDefault="008E57A5">
      <w:pPr>
        <w:spacing w:line="480" w:lineRule="auto"/>
        <w:rPr>
          <w:sz w:val="24"/>
          <w:szCs w:val="24"/>
        </w:rPr>
      </w:pPr>
      <w:r w:rsidRPr="00CC7CCA">
        <w:rPr>
          <w:sz w:val="24"/>
          <w:szCs w:val="24"/>
        </w:rPr>
        <w:t>Complementary to this</w:t>
      </w:r>
      <w:r w:rsidR="002D3852" w:rsidRPr="00CC7CCA">
        <w:rPr>
          <w:sz w:val="24"/>
          <w:szCs w:val="24"/>
        </w:rPr>
        <w:t xml:space="preserve">, </w:t>
      </w:r>
      <w:r w:rsidRPr="00CC7CCA">
        <w:rPr>
          <w:sz w:val="24"/>
          <w:szCs w:val="24"/>
        </w:rPr>
        <w:t xml:space="preserve">the </w:t>
      </w:r>
      <w:r w:rsidR="002D3852" w:rsidRPr="00CC7CCA">
        <w:rPr>
          <w:sz w:val="24"/>
          <w:szCs w:val="24"/>
        </w:rPr>
        <w:t xml:space="preserve">Lord McAlpine (2012) case, a tweet had been made suggesting that he had abused someone, the tweet had reached a considerable amount of people, therefore it was held defamatory. These cases exemplify that although freedom of expression by the press is </w:t>
      </w:r>
      <w:r w:rsidR="001975D4" w:rsidRPr="00CC7CCA">
        <w:rPr>
          <w:sz w:val="24"/>
          <w:szCs w:val="24"/>
        </w:rPr>
        <w:t>allowed</w:t>
      </w:r>
      <w:r w:rsidR="002D3852" w:rsidRPr="00CC7CCA">
        <w:rPr>
          <w:sz w:val="24"/>
          <w:szCs w:val="24"/>
        </w:rPr>
        <w:t>, they can be restricted through a defamation claim, Royal Courts of Justice (2013</w:t>
      </w:r>
      <w:r w:rsidR="001975D4" w:rsidRPr="00CC7CCA">
        <w:rPr>
          <w:sz w:val="24"/>
          <w:szCs w:val="24"/>
        </w:rPr>
        <w:t xml:space="preserve">). </w:t>
      </w:r>
      <w:r w:rsidR="006C7038" w:rsidRPr="00CC7CCA">
        <w:rPr>
          <w:sz w:val="24"/>
          <w:szCs w:val="24"/>
        </w:rPr>
        <w:t>Section 4 of the Defamation Act 2013 provides that the defendant must reasonably believe its publication was a matter of public interest. However, it did state that guidance from case law is prior the Defamation Act 2013 is still relevant in interpreting the legislation, Legislation (2013) and Pinsent Masons (2020).</w:t>
      </w:r>
    </w:p>
    <w:p w14:paraId="7D0A3024" w14:textId="460CE85E" w:rsidR="00F118B8" w:rsidRPr="00CC7CCA" w:rsidRDefault="006C7038">
      <w:pPr>
        <w:spacing w:line="480" w:lineRule="auto"/>
      </w:pPr>
      <w:r w:rsidRPr="00CC7CCA">
        <w:rPr>
          <w:sz w:val="24"/>
          <w:szCs w:val="24"/>
        </w:rPr>
        <w:t xml:space="preserve">In a most recent case, it had showed a clear balance between the freedom of expression and protecting reputation. Johnny Depp had lost a libel case under Section 1(1) of the Defamation Act 2013. This claim followed the publication of an article referring to johnny Depp as a ‘wife beater’. He had lost his case because his ex-wife had appealed as a witness and proved that ‘wife beater’ was substantially true. A defamation statement cannot stand if it is true, it must be false, Ramsey (2020). Therefore, in this case freedom of expression by the press was </w:t>
      </w:r>
      <w:r w:rsidR="002D3852" w:rsidRPr="00CC7CCA">
        <w:rPr>
          <w:sz w:val="24"/>
          <w:szCs w:val="24"/>
        </w:rPr>
        <w:t>allowed.</w:t>
      </w:r>
    </w:p>
    <w:p w14:paraId="0AE5C6DC" w14:textId="750A7EFD" w:rsidR="00F118B8" w:rsidRPr="00CC7CCA" w:rsidRDefault="006C7038">
      <w:pPr>
        <w:spacing w:line="480" w:lineRule="auto"/>
      </w:pPr>
      <w:r w:rsidRPr="00CC7CCA">
        <w:rPr>
          <w:sz w:val="24"/>
          <w:szCs w:val="24"/>
        </w:rPr>
        <w:t xml:space="preserve">In the case of Flood v Times Newspaper ltd (2012), the Times Newspaper (T) had published an article in its newspaper and online stating that police were investigating whether a senior police officer was guilty of taking bribes in exchange for police information. This case was protected by the Reynolds privilege where it was in the public interest that the information should be published, and that the publisher had acted responsible when publishing it. Freedom of expression by the press was considered in this case, Butterworth (2012). The </w:t>
      </w:r>
      <w:r w:rsidRPr="00CC7CCA">
        <w:rPr>
          <w:sz w:val="24"/>
          <w:szCs w:val="24"/>
        </w:rPr>
        <w:lastRenderedPageBreak/>
        <w:t>defence had succeeded because there was enough evidence to support the facts set out in the article to show that it was true, and that the claimant would have been found guilty of the corruption.</w:t>
      </w:r>
      <w:r w:rsidR="00F05734" w:rsidRPr="00CC7CCA">
        <w:rPr>
          <w:sz w:val="24"/>
          <w:szCs w:val="24"/>
        </w:rPr>
        <w:t xml:space="preserve"> </w:t>
      </w:r>
      <w:r w:rsidR="00D369FA" w:rsidRPr="00CC7CCA">
        <w:rPr>
          <w:sz w:val="24"/>
          <w:szCs w:val="24"/>
        </w:rPr>
        <w:t>This case illustrates that the judiciary is prepared to use the public inte</w:t>
      </w:r>
      <w:r w:rsidR="00CC7CCA">
        <w:rPr>
          <w:sz w:val="24"/>
          <w:szCs w:val="24"/>
        </w:rPr>
        <w:t xml:space="preserve">rest </w:t>
      </w:r>
      <w:r w:rsidR="00D369FA" w:rsidRPr="00CC7CCA">
        <w:rPr>
          <w:sz w:val="24"/>
          <w:szCs w:val="24"/>
        </w:rPr>
        <w:t>test to protect journalism that is conducted</w:t>
      </w:r>
      <w:r w:rsidR="00A47F9A" w:rsidRPr="00CC7CCA">
        <w:rPr>
          <w:sz w:val="24"/>
          <w:szCs w:val="24"/>
        </w:rPr>
        <w:t xml:space="preserve"> in a responsible way.</w:t>
      </w:r>
      <w:r w:rsidR="00F05734" w:rsidRPr="00CC7CCA">
        <w:rPr>
          <w:sz w:val="24"/>
          <w:szCs w:val="24"/>
        </w:rPr>
        <w:t xml:space="preserve"> </w:t>
      </w:r>
    </w:p>
    <w:p w14:paraId="54C7EC40" w14:textId="7BFC3425" w:rsidR="00F118B8" w:rsidRPr="00CC7CCA" w:rsidRDefault="006C7038">
      <w:pPr>
        <w:spacing w:line="480" w:lineRule="auto"/>
        <w:rPr>
          <w:rStyle w:val="Hyperlink"/>
          <w:color w:val="auto"/>
          <w:sz w:val="24"/>
          <w:szCs w:val="24"/>
          <w:u w:val="none"/>
        </w:rPr>
      </w:pPr>
      <w:r w:rsidRPr="00CC7CCA">
        <w:rPr>
          <w:sz w:val="24"/>
          <w:szCs w:val="24"/>
        </w:rPr>
        <w:t>A</w:t>
      </w:r>
      <w:r w:rsidRPr="00CC7CCA">
        <w:rPr>
          <w:rStyle w:val="Hyperlink"/>
          <w:color w:val="auto"/>
          <w:sz w:val="24"/>
          <w:szCs w:val="24"/>
          <w:u w:val="none"/>
        </w:rPr>
        <w:t xml:space="preserve"> similar case was Financial times ltd v UK 2009. </w:t>
      </w:r>
      <w:r w:rsidRPr="00CC7CCA">
        <w:rPr>
          <w:sz w:val="24"/>
          <w:szCs w:val="24"/>
        </w:rPr>
        <w:t xml:space="preserve"> This was a case where </w:t>
      </w:r>
      <w:r w:rsidRPr="00CC7CCA">
        <w:rPr>
          <w:rStyle w:val="Hyperlink"/>
          <w:color w:val="auto"/>
          <w:sz w:val="24"/>
          <w:szCs w:val="24"/>
          <w:u w:val="none"/>
        </w:rPr>
        <w:t>Article 10 of the ECHR had been violated by certain newspapers in disclosing to a brewing company that lead to the identifications of journalist sources that had leaked information about a takeover bid. The case held that it could result a threat of damage by any ‘dissemination of confidential information, it was also not enough to outweigh the public interest in the protection of journalists’ source</w:t>
      </w:r>
      <w:r w:rsidR="00A47F9A" w:rsidRPr="00CC7CCA">
        <w:rPr>
          <w:rStyle w:val="Hyperlink"/>
          <w:color w:val="auto"/>
          <w:sz w:val="24"/>
          <w:szCs w:val="24"/>
          <w:u w:val="none"/>
        </w:rPr>
        <w:t>s.</w:t>
      </w:r>
      <w:r w:rsidR="00764FDE" w:rsidRPr="00CC7CCA">
        <w:rPr>
          <w:rStyle w:val="Hyperlink"/>
          <w:color w:val="auto"/>
          <w:sz w:val="24"/>
          <w:szCs w:val="24"/>
          <w:u w:val="none"/>
        </w:rPr>
        <w:t xml:space="preserve"> In comparison, the case </w:t>
      </w:r>
      <w:proofErr w:type="spellStart"/>
      <w:r w:rsidR="00764FDE" w:rsidRPr="00CC7CCA">
        <w:rPr>
          <w:rStyle w:val="Hyperlink"/>
          <w:color w:val="auto"/>
          <w:sz w:val="24"/>
          <w:szCs w:val="24"/>
          <w:u w:val="none"/>
        </w:rPr>
        <w:t>Interbrew</w:t>
      </w:r>
      <w:proofErr w:type="spellEnd"/>
      <w:r w:rsidR="00764FDE" w:rsidRPr="00CC7CCA">
        <w:rPr>
          <w:rStyle w:val="Hyperlink"/>
          <w:color w:val="auto"/>
          <w:sz w:val="24"/>
          <w:szCs w:val="24"/>
          <w:u w:val="none"/>
        </w:rPr>
        <w:t xml:space="preserve"> SA v Financial Times ltd (1985), there was a possible takeover bid by the Claimant of South African Breweries. </w:t>
      </w:r>
      <w:r w:rsidR="00327D6F" w:rsidRPr="00CC7CCA">
        <w:rPr>
          <w:rStyle w:val="Hyperlink"/>
          <w:color w:val="auto"/>
          <w:sz w:val="24"/>
          <w:szCs w:val="24"/>
          <w:u w:val="none"/>
        </w:rPr>
        <w:t>It held that disclosure was required under s10 because the claimant must identify the source. The public interest in protecting the source could not endure the countervailing interest, therefore, the appeal was dismissed. It was believed that this case had raised fundamental issues about the confidentiality and protection of journalists' sources which has serious implications for the freedom of the press</w:t>
      </w:r>
      <w:r w:rsidR="00C876D1" w:rsidRPr="00CC7CCA">
        <w:rPr>
          <w:rStyle w:val="Hyperlink"/>
          <w:color w:val="auto"/>
          <w:sz w:val="24"/>
          <w:szCs w:val="24"/>
          <w:u w:val="none"/>
        </w:rPr>
        <w:t xml:space="preserve">, Milmo (2002). </w:t>
      </w:r>
    </w:p>
    <w:p w14:paraId="14BF3C3A" w14:textId="77777777" w:rsidR="00F118B8" w:rsidRPr="00CC7CCA" w:rsidRDefault="006C7038">
      <w:pPr>
        <w:spacing w:line="480" w:lineRule="auto"/>
      </w:pPr>
      <w:r w:rsidRPr="00CC7CCA">
        <w:rPr>
          <w:sz w:val="24"/>
          <w:szCs w:val="24"/>
        </w:rPr>
        <w:t xml:space="preserve">Under s.10 of the Contempt of Court Act (1981), this act states that no court shall require anyone to disclose a source of information unless necessary in the interest of justice, national security, or the prevention of disorder of crime. In the case of Secretary of State for Defence v Guardian Newspaper ltd (1985), the Guardian Newspaper came into possession of a copy of a secret document which it published. The secretary of state sought the return of the document which bore marked which could identify the informant. The Guardian had </w:t>
      </w:r>
      <w:r w:rsidRPr="00CC7CCA">
        <w:rPr>
          <w:sz w:val="24"/>
          <w:szCs w:val="24"/>
        </w:rPr>
        <w:lastRenderedPageBreak/>
        <w:t>claimed s.10 of the Act could not be forced to disclose the source of its information. The judge had held that s.10 does not apply to property rights, Westlaw Edge UK (2020).</w:t>
      </w:r>
    </w:p>
    <w:p w14:paraId="077642E8" w14:textId="7953EF80" w:rsidR="00F118B8" w:rsidRPr="00CC7CCA" w:rsidRDefault="006C7038">
      <w:pPr>
        <w:spacing w:line="480" w:lineRule="auto"/>
      </w:pPr>
      <w:r w:rsidRPr="00CC7CCA">
        <w:rPr>
          <w:sz w:val="24"/>
          <w:szCs w:val="24"/>
        </w:rPr>
        <w:t>Defamation law does consider both reputation and freedom of expression. In the case of R v Norway (2009), the applicant was questioned about the rape and murder of two girls. He was convicted. A newspaper was created referring to the applicant. However, he was not named directly, a photo was published but his face was not visible. The court had held that this case was defamatory. However, a fair balance had not struck between article 8 and 10 as there was a potential breach of Norway’s obligations under Article 8, The International Forum for Responsible Media Blog (2010). In this case, there was a breach of article 10 so they could not consider freedom of expression because the article could potentially cause damage to the defendant’s reputation.</w:t>
      </w:r>
    </w:p>
    <w:p w14:paraId="5EF17CD8" w14:textId="7B9C957F" w:rsidR="00F118B8" w:rsidRPr="00CC7CCA" w:rsidRDefault="006C7038">
      <w:pPr>
        <w:spacing w:line="480" w:lineRule="auto"/>
      </w:pPr>
      <w:r w:rsidRPr="00CC7CCA">
        <w:rPr>
          <w:sz w:val="24"/>
          <w:szCs w:val="24"/>
        </w:rPr>
        <w:t>Overall, before the 2013 Act the law was said to be very unbalanced and outdated. Lord McNally proposed that the 2013 Act brought the ‘tort of defamation to the 21</w:t>
      </w:r>
      <w:r w:rsidRPr="00CC7CCA">
        <w:rPr>
          <w:sz w:val="24"/>
          <w:szCs w:val="24"/>
          <w:vertAlign w:val="superscript"/>
        </w:rPr>
        <w:t>st</w:t>
      </w:r>
      <w:r w:rsidRPr="00CC7CCA">
        <w:rPr>
          <w:sz w:val="24"/>
          <w:szCs w:val="24"/>
        </w:rPr>
        <w:t xml:space="preserve"> century as the law is now more balanced and fairer, </w:t>
      </w:r>
      <w:proofErr w:type="spellStart"/>
      <w:r w:rsidRPr="00CC7CCA">
        <w:rPr>
          <w:sz w:val="24"/>
          <w:szCs w:val="24"/>
        </w:rPr>
        <w:t>Nlawrev</w:t>
      </w:r>
      <w:proofErr w:type="spellEnd"/>
      <w:r w:rsidRPr="00CC7CCA">
        <w:rPr>
          <w:sz w:val="24"/>
          <w:szCs w:val="24"/>
        </w:rPr>
        <w:t xml:space="preserve"> (2013). Therefore, defamation law does try to strike a balance between freedom of expression by the press and protection against reputation.</w:t>
      </w:r>
    </w:p>
    <w:p w14:paraId="0CD65004" w14:textId="77777777" w:rsidR="00F118B8" w:rsidRDefault="00F118B8">
      <w:pPr>
        <w:spacing w:line="480" w:lineRule="auto"/>
        <w:rPr>
          <w:sz w:val="24"/>
          <w:szCs w:val="24"/>
        </w:rPr>
      </w:pPr>
    </w:p>
    <w:p w14:paraId="14C8627A" w14:textId="77777777" w:rsidR="00F118B8" w:rsidRDefault="00F118B8">
      <w:pPr>
        <w:rPr>
          <w:sz w:val="24"/>
          <w:szCs w:val="24"/>
        </w:rPr>
      </w:pPr>
    </w:p>
    <w:p w14:paraId="66769E90" w14:textId="77777777" w:rsidR="00F118B8" w:rsidRDefault="00F118B8">
      <w:pPr>
        <w:rPr>
          <w:sz w:val="24"/>
          <w:szCs w:val="24"/>
        </w:rPr>
      </w:pPr>
    </w:p>
    <w:p w14:paraId="64D4C6A9" w14:textId="77777777" w:rsidR="001975D4" w:rsidRDefault="001975D4">
      <w:pPr>
        <w:rPr>
          <w:b/>
          <w:bCs/>
          <w:sz w:val="24"/>
          <w:szCs w:val="24"/>
          <w:u w:val="single"/>
        </w:rPr>
      </w:pPr>
    </w:p>
    <w:p w14:paraId="195685A8" w14:textId="77777777" w:rsidR="001975D4" w:rsidRDefault="001975D4">
      <w:pPr>
        <w:rPr>
          <w:b/>
          <w:bCs/>
          <w:sz w:val="24"/>
          <w:szCs w:val="24"/>
          <w:u w:val="single"/>
        </w:rPr>
      </w:pPr>
    </w:p>
    <w:p w14:paraId="178436ED" w14:textId="77777777" w:rsidR="001975D4" w:rsidRDefault="001975D4">
      <w:pPr>
        <w:rPr>
          <w:b/>
          <w:bCs/>
          <w:sz w:val="24"/>
          <w:szCs w:val="24"/>
          <w:u w:val="single"/>
        </w:rPr>
      </w:pPr>
    </w:p>
    <w:p w14:paraId="0376F7CF" w14:textId="77777777" w:rsidR="001975D4" w:rsidRDefault="001975D4">
      <w:pPr>
        <w:rPr>
          <w:b/>
          <w:bCs/>
          <w:sz w:val="24"/>
          <w:szCs w:val="24"/>
          <w:u w:val="single"/>
        </w:rPr>
      </w:pPr>
    </w:p>
    <w:p w14:paraId="137CD393" w14:textId="77777777" w:rsidR="00DD15BA" w:rsidRDefault="00DD15BA">
      <w:pPr>
        <w:rPr>
          <w:b/>
          <w:bCs/>
          <w:sz w:val="24"/>
          <w:szCs w:val="24"/>
          <w:u w:val="single"/>
        </w:rPr>
      </w:pPr>
    </w:p>
    <w:p w14:paraId="6FADD5A6" w14:textId="40157D83" w:rsidR="00F118B8" w:rsidRPr="000148D4" w:rsidRDefault="006C7038">
      <w:pPr>
        <w:rPr>
          <w:b/>
          <w:bCs/>
          <w:color w:val="00B050"/>
          <w:sz w:val="24"/>
          <w:szCs w:val="24"/>
          <w:u w:val="single"/>
        </w:rPr>
      </w:pPr>
      <w:r>
        <w:rPr>
          <w:b/>
          <w:bCs/>
          <w:sz w:val="24"/>
          <w:szCs w:val="24"/>
          <w:u w:val="single"/>
        </w:rPr>
        <w:lastRenderedPageBreak/>
        <w:t>References</w:t>
      </w:r>
      <w:r w:rsidR="000148D4">
        <w:rPr>
          <w:b/>
          <w:bCs/>
          <w:sz w:val="24"/>
          <w:szCs w:val="24"/>
          <w:u w:val="single"/>
        </w:rPr>
        <w:t xml:space="preserve"> – </w:t>
      </w:r>
    </w:p>
    <w:p w14:paraId="289F35A5" w14:textId="77777777" w:rsidR="00D37452" w:rsidRDefault="00D37452" w:rsidP="00C765C0">
      <w:pPr>
        <w:ind w:left="360"/>
      </w:pPr>
    </w:p>
    <w:p w14:paraId="7ED9CA10" w14:textId="77777777" w:rsidR="00D37452" w:rsidRDefault="00D37452" w:rsidP="00C765C0">
      <w:pPr>
        <w:ind w:left="360"/>
      </w:pPr>
    </w:p>
    <w:p w14:paraId="0429C0D3" w14:textId="77777777" w:rsidR="00D37452" w:rsidRDefault="00D37452">
      <w:pPr>
        <w:pStyle w:val="ListParagraph"/>
        <w:numPr>
          <w:ilvl w:val="0"/>
          <w:numId w:val="1"/>
        </w:numPr>
      </w:pPr>
      <w:r>
        <w:rPr>
          <w:sz w:val="24"/>
          <w:szCs w:val="24"/>
        </w:rPr>
        <w:t xml:space="preserve">Butterworth S (2012), ‘Flood v The Times: Reynolds privilege defence is back’, available at: </w:t>
      </w:r>
      <w:hyperlink r:id="rId8" w:history="1">
        <w:r>
          <w:rPr>
            <w:rStyle w:val="Hyperlink"/>
            <w:b/>
            <w:bCs/>
            <w:sz w:val="24"/>
            <w:szCs w:val="24"/>
          </w:rPr>
          <w:t>https://www.theguardian</w:t>
        </w:r>
        <w:bookmarkStart w:id="0" w:name="_Hlt57975819"/>
        <w:bookmarkStart w:id="1" w:name="_Hlt57975820"/>
        <w:r>
          <w:rPr>
            <w:rStyle w:val="Hyperlink"/>
            <w:b/>
            <w:bCs/>
            <w:sz w:val="24"/>
            <w:szCs w:val="24"/>
          </w:rPr>
          <w:t>.</w:t>
        </w:r>
        <w:bookmarkEnd w:id="0"/>
        <w:bookmarkEnd w:id="1"/>
        <w:r>
          <w:rPr>
            <w:rStyle w:val="Hyperlink"/>
            <w:b/>
            <w:bCs/>
            <w:sz w:val="24"/>
            <w:szCs w:val="24"/>
          </w:rPr>
          <w:t>com/law/2012/mar/2</w:t>
        </w:r>
        <w:bookmarkStart w:id="2" w:name="_Hlt58527244"/>
        <w:r>
          <w:rPr>
            <w:rStyle w:val="Hyperlink"/>
            <w:b/>
            <w:bCs/>
            <w:sz w:val="24"/>
            <w:szCs w:val="24"/>
          </w:rPr>
          <w:t>1</w:t>
        </w:r>
        <w:bookmarkEnd w:id="2"/>
        <w:r>
          <w:rPr>
            <w:rStyle w:val="Hyperlink"/>
            <w:b/>
            <w:bCs/>
            <w:sz w:val="24"/>
            <w:szCs w:val="24"/>
          </w:rPr>
          <w:t>/flood-times-reynolds-privilege-def</w:t>
        </w:r>
        <w:bookmarkStart w:id="3" w:name="_Hlt56767976"/>
        <w:bookmarkStart w:id="4" w:name="_Hlt56767977"/>
        <w:r>
          <w:rPr>
            <w:rStyle w:val="Hyperlink"/>
            <w:b/>
            <w:bCs/>
            <w:sz w:val="24"/>
            <w:szCs w:val="24"/>
          </w:rPr>
          <w:t>e</w:t>
        </w:r>
        <w:bookmarkEnd w:id="3"/>
        <w:bookmarkEnd w:id="4"/>
        <w:r>
          <w:rPr>
            <w:rStyle w:val="Hyperlink"/>
            <w:b/>
            <w:bCs/>
            <w:sz w:val="24"/>
            <w:szCs w:val="24"/>
          </w:rPr>
          <w:t>nce</w:t>
        </w:r>
      </w:hyperlink>
      <w:r>
        <w:rPr>
          <w:b/>
          <w:bCs/>
          <w:sz w:val="24"/>
          <w:szCs w:val="24"/>
        </w:rPr>
        <w:t>, (Accessed date: 19/11/20)</w:t>
      </w:r>
    </w:p>
    <w:p w14:paraId="50D71F9D" w14:textId="77777777" w:rsidR="00D37452" w:rsidRDefault="00D37452">
      <w:pPr>
        <w:pStyle w:val="ListParagraph"/>
        <w:numPr>
          <w:ilvl w:val="0"/>
          <w:numId w:val="1"/>
        </w:numPr>
      </w:pPr>
      <w:r>
        <w:rPr>
          <w:sz w:val="24"/>
          <w:szCs w:val="24"/>
        </w:rPr>
        <w:t xml:space="preserve">Channel Four Television Corporation (2020), ‘Section 10 Contempt of Court Act 1981’, Available at: </w:t>
      </w:r>
      <w:hyperlink r:id="rId9" w:anchor=":~:text=It%20states%20that%20no%20court,prevention%20of%20disorder%20or%20crime" w:history="1">
        <w:r>
          <w:rPr>
            <w:rStyle w:val="Hyperlink"/>
            <w:sz w:val="24"/>
            <w:szCs w:val="24"/>
          </w:rPr>
          <w:t>https://www</w:t>
        </w:r>
        <w:bookmarkStart w:id="5" w:name="_Hlt57197947"/>
        <w:bookmarkStart w:id="6" w:name="_Hlt57197948"/>
        <w:r>
          <w:rPr>
            <w:rStyle w:val="Hyperlink"/>
            <w:sz w:val="24"/>
            <w:szCs w:val="24"/>
          </w:rPr>
          <w:t>.</w:t>
        </w:r>
        <w:bookmarkEnd w:id="5"/>
        <w:bookmarkEnd w:id="6"/>
        <w:r>
          <w:rPr>
            <w:rStyle w:val="Hyperlink"/>
            <w:sz w:val="24"/>
            <w:szCs w:val="24"/>
          </w:rPr>
          <w:t>ch</w:t>
        </w:r>
        <w:bookmarkStart w:id="7" w:name="_Hlt57975848"/>
        <w:bookmarkStart w:id="8" w:name="_Hlt57975849"/>
        <w:r>
          <w:rPr>
            <w:rStyle w:val="Hyperlink"/>
            <w:sz w:val="24"/>
            <w:szCs w:val="24"/>
          </w:rPr>
          <w:t>a</w:t>
        </w:r>
        <w:bookmarkEnd w:id="7"/>
        <w:bookmarkEnd w:id="8"/>
        <w:r>
          <w:rPr>
            <w:rStyle w:val="Hyperlink"/>
            <w:sz w:val="24"/>
            <w:szCs w:val="24"/>
          </w:rPr>
          <w:t>nnel4.com/pro</w:t>
        </w:r>
        <w:bookmarkStart w:id="9" w:name="_Hlt57975858"/>
        <w:bookmarkStart w:id="10" w:name="_Hlt57975859"/>
        <w:r>
          <w:rPr>
            <w:rStyle w:val="Hyperlink"/>
            <w:sz w:val="24"/>
            <w:szCs w:val="24"/>
          </w:rPr>
          <w:t>d</w:t>
        </w:r>
        <w:bookmarkEnd w:id="9"/>
        <w:bookmarkEnd w:id="10"/>
        <w:r>
          <w:rPr>
            <w:rStyle w:val="Hyperlink"/>
            <w:sz w:val="24"/>
            <w:szCs w:val="24"/>
          </w:rPr>
          <w:t>ucers-handbook/media-law/other-laws-affecting-broadcasting/section-10-contempt-of-court-act-1981#:~:text=It%20states%20that%20n</w:t>
        </w:r>
        <w:bookmarkStart w:id="11" w:name="_Hlt58527292"/>
        <w:r>
          <w:rPr>
            <w:rStyle w:val="Hyperlink"/>
            <w:sz w:val="24"/>
            <w:szCs w:val="24"/>
          </w:rPr>
          <w:t>o</w:t>
        </w:r>
        <w:bookmarkEnd w:id="11"/>
        <w:r>
          <w:rPr>
            <w:rStyle w:val="Hyperlink"/>
            <w:sz w:val="24"/>
            <w:szCs w:val="24"/>
          </w:rPr>
          <w:t>%20court,prevention%20of%20disorder%20or%20crime</w:t>
        </w:r>
      </w:hyperlink>
      <w:r>
        <w:rPr>
          <w:sz w:val="24"/>
          <w:szCs w:val="24"/>
        </w:rPr>
        <w:t xml:space="preserve"> , Accessed date:25/11/20</w:t>
      </w:r>
    </w:p>
    <w:p w14:paraId="67E4B661" w14:textId="77777777" w:rsidR="00D37452" w:rsidRDefault="00D37452">
      <w:pPr>
        <w:pStyle w:val="ListParagraph"/>
        <w:numPr>
          <w:ilvl w:val="0"/>
          <w:numId w:val="1"/>
        </w:numPr>
      </w:pPr>
      <w:r>
        <w:rPr>
          <w:sz w:val="24"/>
          <w:szCs w:val="24"/>
        </w:rPr>
        <w:t xml:space="preserve">Equality and Human Rights Commission (2020), ‘Article 10: Freedom of expression’, Available at: </w:t>
      </w:r>
      <w:hyperlink r:id="rId10" w:history="1">
        <w:r>
          <w:rPr>
            <w:rStyle w:val="Hyperlink"/>
            <w:b/>
            <w:bCs/>
            <w:sz w:val="24"/>
            <w:szCs w:val="24"/>
          </w:rPr>
          <w:t>https://w</w:t>
        </w:r>
        <w:bookmarkStart w:id="12" w:name="_Hlt57975458"/>
        <w:bookmarkStart w:id="13" w:name="_Hlt57975459"/>
        <w:r>
          <w:rPr>
            <w:rStyle w:val="Hyperlink"/>
            <w:b/>
            <w:bCs/>
            <w:sz w:val="24"/>
            <w:szCs w:val="24"/>
          </w:rPr>
          <w:t>w</w:t>
        </w:r>
        <w:bookmarkEnd w:id="12"/>
        <w:bookmarkEnd w:id="13"/>
        <w:r>
          <w:rPr>
            <w:rStyle w:val="Hyperlink"/>
            <w:b/>
            <w:bCs/>
            <w:sz w:val="24"/>
            <w:szCs w:val="24"/>
          </w:rPr>
          <w:t>w.equalityhu</w:t>
        </w:r>
        <w:bookmarkStart w:id="14" w:name="_Hlt56768527"/>
        <w:bookmarkStart w:id="15" w:name="_Hlt56768528"/>
        <w:r>
          <w:rPr>
            <w:rStyle w:val="Hyperlink"/>
            <w:b/>
            <w:bCs/>
            <w:sz w:val="24"/>
            <w:szCs w:val="24"/>
          </w:rPr>
          <w:t>m</w:t>
        </w:r>
        <w:bookmarkEnd w:id="14"/>
        <w:bookmarkEnd w:id="15"/>
        <w:r>
          <w:rPr>
            <w:rStyle w:val="Hyperlink"/>
            <w:b/>
            <w:bCs/>
            <w:sz w:val="24"/>
            <w:szCs w:val="24"/>
          </w:rPr>
          <w:t>anrights.com/en/hum</w:t>
        </w:r>
        <w:bookmarkStart w:id="16" w:name="_Hlt56766794"/>
        <w:bookmarkStart w:id="17" w:name="_Hlt56766795"/>
        <w:r>
          <w:rPr>
            <w:rStyle w:val="Hyperlink"/>
            <w:b/>
            <w:bCs/>
            <w:sz w:val="24"/>
            <w:szCs w:val="24"/>
          </w:rPr>
          <w:t>a</w:t>
        </w:r>
        <w:bookmarkEnd w:id="16"/>
        <w:bookmarkEnd w:id="17"/>
        <w:r>
          <w:rPr>
            <w:rStyle w:val="Hyperlink"/>
            <w:b/>
            <w:bCs/>
            <w:sz w:val="24"/>
            <w:szCs w:val="24"/>
          </w:rPr>
          <w:t>n-righ</w:t>
        </w:r>
        <w:bookmarkStart w:id="18" w:name="_Hlt58527195"/>
        <w:bookmarkStart w:id="19" w:name="_Hlt58527196"/>
        <w:r>
          <w:rPr>
            <w:rStyle w:val="Hyperlink"/>
            <w:b/>
            <w:bCs/>
            <w:sz w:val="24"/>
            <w:szCs w:val="24"/>
          </w:rPr>
          <w:t>t</w:t>
        </w:r>
        <w:bookmarkEnd w:id="18"/>
        <w:bookmarkEnd w:id="19"/>
        <w:r>
          <w:rPr>
            <w:rStyle w:val="Hyperlink"/>
            <w:b/>
            <w:bCs/>
            <w:sz w:val="24"/>
            <w:szCs w:val="24"/>
          </w:rPr>
          <w:t>s-act/article-10-freedom-expression</w:t>
        </w:r>
      </w:hyperlink>
      <w:r>
        <w:rPr>
          <w:b/>
          <w:bCs/>
          <w:sz w:val="24"/>
          <w:szCs w:val="24"/>
        </w:rPr>
        <w:t xml:space="preserve"> , (Accessed date:19/11/20).</w:t>
      </w:r>
    </w:p>
    <w:p w14:paraId="4C359A1A" w14:textId="77777777" w:rsidR="00D37452" w:rsidRDefault="00D37452">
      <w:pPr>
        <w:pStyle w:val="ListParagraph"/>
        <w:numPr>
          <w:ilvl w:val="0"/>
          <w:numId w:val="1"/>
        </w:numPr>
      </w:pPr>
      <w:r>
        <w:rPr>
          <w:sz w:val="24"/>
          <w:szCs w:val="24"/>
        </w:rPr>
        <w:t xml:space="preserve">Health and Safety Executive (????), ‘Defamation: libel and slander’, Available at: </w:t>
      </w:r>
      <w:hyperlink r:id="rId11" w:history="1">
        <w:r>
          <w:rPr>
            <w:rStyle w:val="Hyperlink"/>
            <w:sz w:val="24"/>
            <w:szCs w:val="24"/>
          </w:rPr>
          <w:t>https://www.hse.gov.uk/enforce/enforcementguide/court/reportin</w:t>
        </w:r>
        <w:bookmarkStart w:id="20" w:name="_Hlt58527462"/>
        <w:r>
          <w:rPr>
            <w:rStyle w:val="Hyperlink"/>
            <w:sz w:val="24"/>
            <w:szCs w:val="24"/>
          </w:rPr>
          <w:t>g</w:t>
        </w:r>
        <w:bookmarkEnd w:id="20"/>
        <w:r>
          <w:rPr>
            <w:rStyle w:val="Hyperlink"/>
            <w:sz w:val="24"/>
            <w:szCs w:val="24"/>
          </w:rPr>
          <w:t>-defamation.htm</w:t>
        </w:r>
      </w:hyperlink>
      <w:r>
        <w:rPr>
          <w:rStyle w:val="Hyperlink"/>
          <w:sz w:val="24"/>
          <w:szCs w:val="24"/>
        </w:rPr>
        <w:t xml:space="preserve"> ,</w:t>
      </w:r>
      <w:r>
        <w:rPr>
          <w:rStyle w:val="Hyperlink"/>
          <w:color w:val="auto"/>
          <w:sz w:val="24"/>
          <w:szCs w:val="24"/>
          <w:u w:val="none"/>
        </w:rPr>
        <w:t xml:space="preserve"> (Accessed date: 27/11/20)</w:t>
      </w:r>
    </w:p>
    <w:p w14:paraId="3F65C2BE" w14:textId="77777777" w:rsidR="00D37452" w:rsidRDefault="00D37452">
      <w:pPr>
        <w:pStyle w:val="ListParagraph"/>
        <w:numPr>
          <w:ilvl w:val="0"/>
          <w:numId w:val="1"/>
        </w:numPr>
      </w:pPr>
      <w:hyperlink r:id="rId12" w:history="1">
        <w:r>
          <w:rPr>
            <w:rStyle w:val="Hyperlink"/>
            <w:b/>
            <w:bCs/>
            <w:sz w:val="24"/>
            <w:szCs w:val="24"/>
          </w:rPr>
          <w:t>https://uk.westla</w:t>
        </w:r>
        <w:bookmarkStart w:id="21" w:name="_Hlt56768115"/>
        <w:bookmarkStart w:id="22" w:name="_Hlt56768116"/>
        <w:r>
          <w:rPr>
            <w:rStyle w:val="Hyperlink"/>
            <w:b/>
            <w:bCs/>
            <w:sz w:val="24"/>
            <w:szCs w:val="24"/>
          </w:rPr>
          <w:t>w</w:t>
        </w:r>
        <w:bookmarkEnd w:id="21"/>
        <w:bookmarkEnd w:id="22"/>
        <w:r>
          <w:rPr>
            <w:rStyle w:val="Hyperlink"/>
            <w:b/>
            <w:bCs/>
            <w:sz w:val="24"/>
            <w:szCs w:val="24"/>
          </w:rPr>
          <w:t>.com/Document/IE7C3B070E42711DA8FC2A0F0355337E9/View/FullText.html?navigationPath=Search%2Fv1%2Fresults%2Fnavigation%2Fi0ad7401400000175dba6cbb963c7633f%3FNav%3DRESEARCH_COMBINED_WLUK%26fragmentIdentifier%3DIE7C3FE90E42711DA8FC2A0F0355337E9%26parentRank%3D0%26startIndex%3D1%26contextData%3D%2528sc.Search%2529%26transitionType%3DSearchItem&amp;listSource=Search&amp;listPageSource=00d72bb08e593ce8528fcde588dfeaea&amp;list=RESEARCH_COMBINED_WLUK&amp;rank=2&amp;sessionScopeId=dfb0ce97f27856dadd76b85a47e15a596cb53f209d867e947a8c1af43a9f8219&amp;originationContext=Search%20Result&amp;transitionType=SearchItem&amp;contextData=(sc.Search)&amp;comp=wluk&amp;navId=DAA9D401A3133FBCA88A51DCEDA5ECBC</w:t>
        </w:r>
      </w:hyperlink>
    </w:p>
    <w:p w14:paraId="3DECD10F" w14:textId="77777777" w:rsidR="00D37452" w:rsidRDefault="00D37452">
      <w:pPr>
        <w:pStyle w:val="ListParagraph"/>
        <w:numPr>
          <w:ilvl w:val="0"/>
          <w:numId w:val="1"/>
        </w:numPr>
      </w:pPr>
      <w:hyperlink r:id="rId13" w:history="1">
        <w:r>
          <w:rPr>
            <w:rStyle w:val="Hyperlink"/>
            <w:sz w:val="24"/>
            <w:szCs w:val="24"/>
          </w:rPr>
          <w:t>https://www.5rb.com/case/fl</w:t>
        </w:r>
        <w:bookmarkStart w:id="23" w:name="_Hlt57977811"/>
        <w:bookmarkStart w:id="24" w:name="_Hlt57977812"/>
        <w:r>
          <w:rPr>
            <w:rStyle w:val="Hyperlink"/>
            <w:sz w:val="24"/>
            <w:szCs w:val="24"/>
          </w:rPr>
          <w:t>o</w:t>
        </w:r>
        <w:bookmarkEnd w:id="23"/>
        <w:bookmarkEnd w:id="24"/>
        <w:r>
          <w:rPr>
            <w:rStyle w:val="Hyperlink"/>
            <w:sz w:val="24"/>
            <w:szCs w:val="24"/>
          </w:rPr>
          <w:t>od-v-times-newspapers-limited-sc/</w:t>
        </w:r>
      </w:hyperlink>
    </w:p>
    <w:p w14:paraId="411D04B7" w14:textId="77777777" w:rsidR="00D37452" w:rsidRDefault="00D37452">
      <w:pPr>
        <w:pStyle w:val="ListParagraph"/>
        <w:numPr>
          <w:ilvl w:val="0"/>
          <w:numId w:val="1"/>
        </w:numPr>
      </w:pPr>
      <w:r>
        <w:rPr>
          <w:sz w:val="24"/>
          <w:szCs w:val="24"/>
        </w:rPr>
        <w:t xml:space="preserve">Legislation UK Gov (2013), ‘Defamation Act 2013’, Available at: </w:t>
      </w:r>
      <w:hyperlink r:id="rId14" w:history="1">
        <w:r>
          <w:rPr>
            <w:rStyle w:val="Hyperlink"/>
            <w:b/>
            <w:bCs/>
            <w:sz w:val="24"/>
            <w:szCs w:val="24"/>
          </w:rPr>
          <w:t>https://www.le</w:t>
        </w:r>
        <w:bookmarkStart w:id="25" w:name="_Hlt56766921"/>
        <w:bookmarkStart w:id="26" w:name="_Hlt56766922"/>
        <w:r>
          <w:rPr>
            <w:rStyle w:val="Hyperlink"/>
            <w:b/>
            <w:bCs/>
            <w:sz w:val="24"/>
            <w:szCs w:val="24"/>
          </w:rPr>
          <w:t>g</w:t>
        </w:r>
        <w:bookmarkEnd w:id="25"/>
        <w:bookmarkEnd w:id="26"/>
        <w:r>
          <w:rPr>
            <w:rStyle w:val="Hyperlink"/>
            <w:b/>
            <w:bCs/>
            <w:sz w:val="24"/>
            <w:szCs w:val="24"/>
          </w:rPr>
          <w:t>islation.</w:t>
        </w:r>
        <w:bookmarkStart w:id="27" w:name="_Hlt57975770"/>
        <w:bookmarkStart w:id="28" w:name="_Hlt57975771"/>
        <w:r>
          <w:rPr>
            <w:rStyle w:val="Hyperlink"/>
            <w:b/>
            <w:bCs/>
            <w:sz w:val="24"/>
            <w:szCs w:val="24"/>
          </w:rPr>
          <w:t>g</w:t>
        </w:r>
        <w:bookmarkEnd w:id="27"/>
        <w:bookmarkEnd w:id="28"/>
        <w:r>
          <w:rPr>
            <w:rStyle w:val="Hyperlink"/>
            <w:b/>
            <w:bCs/>
            <w:sz w:val="24"/>
            <w:szCs w:val="24"/>
          </w:rPr>
          <w:t>ov.uk/ukp</w:t>
        </w:r>
        <w:bookmarkStart w:id="29" w:name="_Hlt58527204"/>
        <w:r>
          <w:rPr>
            <w:rStyle w:val="Hyperlink"/>
            <w:b/>
            <w:bCs/>
            <w:sz w:val="24"/>
            <w:szCs w:val="24"/>
          </w:rPr>
          <w:t>g</w:t>
        </w:r>
        <w:bookmarkEnd w:id="29"/>
        <w:r>
          <w:rPr>
            <w:rStyle w:val="Hyperlink"/>
            <w:b/>
            <w:bCs/>
            <w:sz w:val="24"/>
            <w:szCs w:val="24"/>
          </w:rPr>
          <w:t>a/2013/26/section/4/enacted</w:t>
        </w:r>
      </w:hyperlink>
      <w:r>
        <w:rPr>
          <w:rStyle w:val="Hyperlink"/>
          <w:b/>
          <w:bCs/>
          <w:sz w:val="24"/>
          <w:szCs w:val="24"/>
        </w:rPr>
        <w:t xml:space="preserve"> , </w:t>
      </w:r>
      <w:r>
        <w:rPr>
          <w:rStyle w:val="Hyperlink"/>
          <w:color w:val="auto"/>
          <w:sz w:val="24"/>
          <w:szCs w:val="24"/>
          <w:u w:val="none"/>
        </w:rPr>
        <w:t>(Accessed date:20/11/20)</w:t>
      </w:r>
    </w:p>
    <w:p w14:paraId="114AB946" w14:textId="77777777" w:rsidR="00D37452" w:rsidRDefault="00D37452">
      <w:pPr>
        <w:pStyle w:val="ListParagraph"/>
        <w:numPr>
          <w:ilvl w:val="0"/>
          <w:numId w:val="1"/>
        </w:numPr>
      </w:pPr>
      <w:r>
        <w:rPr>
          <w:color w:val="FF0000"/>
          <w:sz w:val="24"/>
          <w:szCs w:val="24"/>
        </w:rPr>
        <w:t xml:space="preserve">Lock O (2016), ‘Case Law: Economou v de Freitas, Is it interesting? New judgment considers the scope of the ‘public interest’ defence – Oliver Lock’, Available at: </w:t>
      </w:r>
      <w:hyperlink r:id="rId15" w:history="1">
        <w:r>
          <w:rPr>
            <w:rStyle w:val="Hyperlink"/>
            <w:b/>
            <w:bCs/>
            <w:color w:val="FF0000"/>
            <w:sz w:val="24"/>
            <w:szCs w:val="24"/>
          </w:rPr>
          <w:t>https://inforrm.org/20</w:t>
        </w:r>
        <w:bookmarkStart w:id="30" w:name="_Hlt57976339"/>
        <w:bookmarkStart w:id="31" w:name="_Hlt57976340"/>
        <w:r>
          <w:rPr>
            <w:rStyle w:val="Hyperlink"/>
            <w:b/>
            <w:bCs/>
            <w:color w:val="FF0000"/>
            <w:sz w:val="24"/>
            <w:szCs w:val="24"/>
          </w:rPr>
          <w:t>1</w:t>
        </w:r>
        <w:bookmarkEnd w:id="30"/>
        <w:bookmarkEnd w:id="31"/>
        <w:r>
          <w:rPr>
            <w:rStyle w:val="Hyperlink"/>
            <w:b/>
            <w:bCs/>
            <w:color w:val="FF0000"/>
            <w:sz w:val="24"/>
            <w:szCs w:val="24"/>
          </w:rPr>
          <w:t>6/09/28/case-l</w:t>
        </w:r>
        <w:bookmarkStart w:id="32" w:name="_Hlt57977654"/>
        <w:bookmarkStart w:id="33" w:name="_Hlt57977655"/>
        <w:r>
          <w:rPr>
            <w:rStyle w:val="Hyperlink"/>
            <w:b/>
            <w:bCs/>
            <w:color w:val="FF0000"/>
            <w:sz w:val="24"/>
            <w:szCs w:val="24"/>
          </w:rPr>
          <w:t>a</w:t>
        </w:r>
        <w:bookmarkEnd w:id="32"/>
        <w:bookmarkEnd w:id="33"/>
        <w:r>
          <w:rPr>
            <w:rStyle w:val="Hyperlink"/>
            <w:b/>
            <w:bCs/>
            <w:color w:val="FF0000"/>
            <w:sz w:val="24"/>
            <w:szCs w:val="24"/>
          </w:rPr>
          <w:t>w-economou-v-de</w:t>
        </w:r>
        <w:bookmarkStart w:id="34" w:name="_Hlt58527256"/>
        <w:r>
          <w:rPr>
            <w:rStyle w:val="Hyperlink"/>
            <w:b/>
            <w:bCs/>
            <w:color w:val="FF0000"/>
            <w:sz w:val="24"/>
            <w:szCs w:val="24"/>
          </w:rPr>
          <w:t>-</w:t>
        </w:r>
        <w:bookmarkStart w:id="35" w:name="_Hlt56768144"/>
        <w:bookmarkStart w:id="36" w:name="_Hlt56768145"/>
        <w:bookmarkEnd w:id="34"/>
        <w:r>
          <w:rPr>
            <w:rStyle w:val="Hyperlink"/>
            <w:b/>
            <w:bCs/>
            <w:color w:val="FF0000"/>
            <w:sz w:val="24"/>
            <w:szCs w:val="24"/>
          </w:rPr>
          <w:t>f</w:t>
        </w:r>
        <w:bookmarkEnd w:id="35"/>
        <w:bookmarkEnd w:id="36"/>
        <w:r>
          <w:rPr>
            <w:rStyle w:val="Hyperlink"/>
            <w:b/>
            <w:bCs/>
            <w:color w:val="FF0000"/>
            <w:sz w:val="24"/>
            <w:szCs w:val="24"/>
          </w:rPr>
          <w:t>reitas-is-it-interesting-new-judgment-considers-the-scope-of-th</w:t>
        </w:r>
        <w:bookmarkStart w:id="37" w:name="_Hlt57280333"/>
        <w:bookmarkStart w:id="38" w:name="_Hlt57280334"/>
        <w:r>
          <w:rPr>
            <w:rStyle w:val="Hyperlink"/>
            <w:b/>
            <w:bCs/>
            <w:color w:val="FF0000"/>
            <w:sz w:val="24"/>
            <w:szCs w:val="24"/>
          </w:rPr>
          <w:t>e</w:t>
        </w:r>
        <w:bookmarkEnd w:id="37"/>
        <w:bookmarkEnd w:id="38"/>
        <w:r>
          <w:rPr>
            <w:rStyle w:val="Hyperlink"/>
            <w:b/>
            <w:bCs/>
            <w:color w:val="FF0000"/>
            <w:sz w:val="24"/>
            <w:szCs w:val="24"/>
          </w:rPr>
          <w:t>-public-inte</w:t>
        </w:r>
        <w:bookmarkStart w:id="39" w:name="_Hlt57975828"/>
        <w:bookmarkStart w:id="40" w:name="_Hlt57975829"/>
        <w:r>
          <w:rPr>
            <w:rStyle w:val="Hyperlink"/>
            <w:b/>
            <w:bCs/>
            <w:color w:val="FF0000"/>
            <w:sz w:val="24"/>
            <w:szCs w:val="24"/>
          </w:rPr>
          <w:t>r</w:t>
        </w:r>
        <w:bookmarkEnd w:id="39"/>
        <w:bookmarkEnd w:id="40"/>
        <w:r>
          <w:rPr>
            <w:rStyle w:val="Hyperlink"/>
            <w:b/>
            <w:bCs/>
            <w:color w:val="FF0000"/>
            <w:sz w:val="24"/>
            <w:szCs w:val="24"/>
          </w:rPr>
          <w:t>est-defence-oliver-lock/</w:t>
        </w:r>
      </w:hyperlink>
      <w:r>
        <w:rPr>
          <w:b/>
          <w:bCs/>
          <w:color w:val="FF0000"/>
          <w:sz w:val="24"/>
          <w:szCs w:val="24"/>
        </w:rPr>
        <w:t xml:space="preserve"> , (Accessed date:20/11/20)</w:t>
      </w:r>
    </w:p>
    <w:p w14:paraId="7AB26F45" w14:textId="77777777" w:rsidR="00D37452" w:rsidRDefault="00D37452">
      <w:pPr>
        <w:pStyle w:val="ListParagraph"/>
        <w:numPr>
          <w:ilvl w:val="0"/>
          <w:numId w:val="1"/>
        </w:numPr>
      </w:pPr>
      <w:r>
        <w:rPr>
          <w:sz w:val="24"/>
          <w:szCs w:val="24"/>
        </w:rPr>
        <w:t xml:space="preserve">Lovell J (2019), ‘A closer look at the public interest defence – Jessica Lovell’, Available at: </w:t>
      </w:r>
      <w:hyperlink r:id="rId16" w:history="1">
        <w:r>
          <w:rPr>
            <w:rStyle w:val="Hyperlink"/>
            <w:b/>
            <w:bCs/>
            <w:color w:val="auto"/>
            <w:sz w:val="24"/>
            <w:szCs w:val="24"/>
          </w:rPr>
          <w:t>https://inforrm.org/20</w:t>
        </w:r>
        <w:bookmarkStart w:id="41" w:name="_Hlt58527273"/>
        <w:r>
          <w:rPr>
            <w:rStyle w:val="Hyperlink"/>
            <w:b/>
            <w:bCs/>
            <w:color w:val="auto"/>
            <w:sz w:val="24"/>
            <w:szCs w:val="24"/>
          </w:rPr>
          <w:t>1</w:t>
        </w:r>
        <w:bookmarkEnd w:id="41"/>
        <w:r>
          <w:rPr>
            <w:rStyle w:val="Hyperlink"/>
            <w:b/>
            <w:bCs/>
            <w:color w:val="auto"/>
            <w:sz w:val="24"/>
            <w:szCs w:val="24"/>
          </w:rPr>
          <w:t>9/04</w:t>
        </w:r>
        <w:bookmarkStart w:id="42" w:name="_Hlt58527603"/>
        <w:r>
          <w:rPr>
            <w:rStyle w:val="Hyperlink"/>
            <w:b/>
            <w:bCs/>
            <w:color w:val="auto"/>
            <w:sz w:val="24"/>
            <w:szCs w:val="24"/>
          </w:rPr>
          <w:t>/</w:t>
        </w:r>
        <w:bookmarkEnd w:id="42"/>
        <w:r>
          <w:rPr>
            <w:rStyle w:val="Hyperlink"/>
            <w:b/>
            <w:bCs/>
            <w:color w:val="auto"/>
            <w:sz w:val="24"/>
            <w:szCs w:val="24"/>
          </w:rPr>
          <w:t>03/a-</w:t>
        </w:r>
        <w:bookmarkStart w:id="43" w:name="_Hlt57977527"/>
        <w:bookmarkStart w:id="44" w:name="_Hlt57977528"/>
        <w:r>
          <w:rPr>
            <w:rStyle w:val="Hyperlink"/>
            <w:b/>
            <w:bCs/>
            <w:color w:val="auto"/>
            <w:sz w:val="24"/>
            <w:szCs w:val="24"/>
          </w:rPr>
          <w:t>c</w:t>
        </w:r>
        <w:bookmarkEnd w:id="43"/>
        <w:bookmarkEnd w:id="44"/>
        <w:r>
          <w:rPr>
            <w:rStyle w:val="Hyperlink"/>
            <w:b/>
            <w:bCs/>
            <w:color w:val="auto"/>
            <w:sz w:val="24"/>
            <w:szCs w:val="24"/>
          </w:rPr>
          <w:t>loser-look-at-the-public-inter</w:t>
        </w:r>
        <w:bookmarkStart w:id="45" w:name="_Hlt57975839"/>
        <w:bookmarkStart w:id="46" w:name="_Hlt57975840"/>
        <w:r>
          <w:rPr>
            <w:rStyle w:val="Hyperlink"/>
            <w:b/>
            <w:bCs/>
            <w:color w:val="auto"/>
            <w:sz w:val="24"/>
            <w:szCs w:val="24"/>
          </w:rPr>
          <w:t>e</w:t>
        </w:r>
        <w:bookmarkEnd w:id="45"/>
        <w:bookmarkEnd w:id="46"/>
        <w:r>
          <w:rPr>
            <w:rStyle w:val="Hyperlink"/>
            <w:b/>
            <w:bCs/>
            <w:color w:val="auto"/>
            <w:sz w:val="24"/>
            <w:szCs w:val="24"/>
          </w:rPr>
          <w:t>st-defence-jessica-lo</w:t>
        </w:r>
        <w:bookmarkStart w:id="47" w:name="_Hlt56768318"/>
        <w:bookmarkStart w:id="48" w:name="_Hlt56768319"/>
        <w:r>
          <w:rPr>
            <w:rStyle w:val="Hyperlink"/>
            <w:b/>
            <w:bCs/>
            <w:color w:val="auto"/>
            <w:sz w:val="24"/>
            <w:szCs w:val="24"/>
          </w:rPr>
          <w:t>v</w:t>
        </w:r>
        <w:bookmarkEnd w:id="47"/>
        <w:bookmarkEnd w:id="48"/>
        <w:r>
          <w:rPr>
            <w:rStyle w:val="Hyperlink"/>
            <w:b/>
            <w:bCs/>
            <w:color w:val="auto"/>
            <w:sz w:val="24"/>
            <w:szCs w:val="24"/>
          </w:rPr>
          <w:t>ell/</w:t>
        </w:r>
      </w:hyperlink>
      <w:r>
        <w:rPr>
          <w:b/>
          <w:bCs/>
          <w:sz w:val="24"/>
          <w:szCs w:val="24"/>
          <w:u w:val="single"/>
        </w:rPr>
        <w:t xml:space="preserve">  </w:t>
      </w:r>
      <w:r>
        <w:rPr>
          <w:sz w:val="24"/>
          <w:szCs w:val="24"/>
        </w:rPr>
        <w:t>, (Accessed date: 20/11/20)</w:t>
      </w:r>
    </w:p>
    <w:p w14:paraId="2A6396CA" w14:textId="77777777" w:rsidR="00D37452" w:rsidRDefault="00D37452">
      <w:pPr>
        <w:pStyle w:val="ListParagraph"/>
        <w:numPr>
          <w:ilvl w:val="0"/>
          <w:numId w:val="1"/>
        </w:numPr>
      </w:pPr>
      <w:r>
        <w:lastRenderedPageBreak/>
        <w:t>Milmo D (2002), ‘</w:t>
      </w:r>
      <w:proofErr w:type="spellStart"/>
      <w:r w:rsidRPr="001975D4">
        <w:t>Interbrew</w:t>
      </w:r>
      <w:proofErr w:type="spellEnd"/>
      <w:r w:rsidRPr="001975D4">
        <w:t xml:space="preserve"> targets Guardian for court action</w:t>
      </w:r>
      <w:r>
        <w:t xml:space="preserve">’, Available at: </w:t>
      </w:r>
      <w:hyperlink r:id="rId17" w:history="1">
        <w:r w:rsidRPr="00210209">
          <w:rPr>
            <w:rStyle w:val="Hyperlink"/>
          </w:rPr>
          <w:t>https://www.theguardian.com/media/2002/jul/22/theguardian.pressandpublishing</w:t>
        </w:r>
      </w:hyperlink>
      <w:r>
        <w:t xml:space="preserve"> , (Accessed date: 16/12/20)</w:t>
      </w:r>
    </w:p>
    <w:p w14:paraId="499C8C70" w14:textId="77777777" w:rsidR="00D37452" w:rsidRPr="00327D6F" w:rsidRDefault="00D37452">
      <w:pPr>
        <w:pStyle w:val="ListParagraph"/>
        <w:numPr>
          <w:ilvl w:val="0"/>
          <w:numId w:val="1"/>
        </w:numPr>
        <w:rPr>
          <w:rStyle w:val="Hyperlink"/>
          <w:color w:val="auto"/>
          <w:u w:val="none"/>
        </w:rPr>
      </w:pPr>
      <w:proofErr w:type="spellStart"/>
      <w:r>
        <w:rPr>
          <w:sz w:val="24"/>
          <w:szCs w:val="24"/>
        </w:rPr>
        <w:t>Nlawrev</w:t>
      </w:r>
      <w:proofErr w:type="spellEnd"/>
      <w:r>
        <w:rPr>
          <w:sz w:val="24"/>
          <w:szCs w:val="24"/>
        </w:rPr>
        <w:t xml:space="preserve"> (2013), ‘Defamation Act 2013: Free Speech or Reputation?’, [Blog] Accessed date: 06/12/20), Available at:</w:t>
      </w:r>
      <w:hyperlink r:id="rId18" w:history="1">
        <w:r>
          <w:rPr>
            <w:rStyle w:val="Hyperlink"/>
            <w:sz w:val="24"/>
            <w:szCs w:val="24"/>
          </w:rPr>
          <w:t>https://bl</w:t>
        </w:r>
        <w:bookmarkStart w:id="49" w:name="_Hlt58527346"/>
        <w:r>
          <w:rPr>
            <w:rStyle w:val="Hyperlink"/>
            <w:sz w:val="24"/>
            <w:szCs w:val="24"/>
          </w:rPr>
          <w:t>o</w:t>
        </w:r>
        <w:bookmarkEnd w:id="49"/>
        <w:r>
          <w:rPr>
            <w:rStyle w:val="Hyperlink"/>
            <w:sz w:val="24"/>
            <w:szCs w:val="24"/>
          </w:rPr>
          <w:t>gs.ncl.</w:t>
        </w:r>
        <w:bookmarkStart w:id="50" w:name="_Hlt58175322"/>
        <w:r>
          <w:rPr>
            <w:rStyle w:val="Hyperlink"/>
            <w:sz w:val="24"/>
            <w:szCs w:val="24"/>
          </w:rPr>
          <w:t>a</w:t>
        </w:r>
        <w:bookmarkEnd w:id="50"/>
        <w:r>
          <w:rPr>
            <w:rStyle w:val="Hyperlink"/>
            <w:sz w:val="24"/>
            <w:szCs w:val="24"/>
          </w:rPr>
          <w:t>c.uk/nelr/2013/06/25/defamation-act-2013-free-speech-or-reputation/</w:t>
        </w:r>
      </w:hyperlink>
    </w:p>
    <w:p w14:paraId="15C4825A" w14:textId="77777777" w:rsidR="00D37452" w:rsidRDefault="00D37452">
      <w:pPr>
        <w:pStyle w:val="ListParagraph"/>
        <w:numPr>
          <w:ilvl w:val="0"/>
          <w:numId w:val="1"/>
        </w:numPr>
      </w:pPr>
      <w:r>
        <w:rPr>
          <w:sz w:val="24"/>
          <w:szCs w:val="24"/>
        </w:rPr>
        <w:t xml:space="preserve">Ramsey B (2020), ‘A critical analysis of the Johnny Depp libel trial’, Available at: </w:t>
      </w:r>
      <w:hyperlink r:id="rId19" w:history="1">
        <w:r>
          <w:rPr>
            <w:rStyle w:val="Hyperlink"/>
            <w:b/>
            <w:bCs/>
            <w:sz w:val="24"/>
            <w:szCs w:val="24"/>
          </w:rPr>
          <w:t>https://www.legalcheek.com</w:t>
        </w:r>
        <w:bookmarkStart w:id="51" w:name="_Hlt57975809"/>
        <w:bookmarkStart w:id="52" w:name="_Hlt57975810"/>
        <w:r>
          <w:rPr>
            <w:rStyle w:val="Hyperlink"/>
            <w:b/>
            <w:bCs/>
            <w:sz w:val="24"/>
            <w:szCs w:val="24"/>
          </w:rPr>
          <w:t>/</w:t>
        </w:r>
        <w:bookmarkEnd w:id="51"/>
        <w:bookmarkEnd w:id="52"/>
        <w:r>
          <w:rPr>
            <w:rStyle w:val="Hyperlink"/>
            <w:b/>
            <w:bCs/>
            <w:sz w:val="24"/>
            <w:szCs w:val="24"/>
          </w:rPr>
          <w:t>lc</w:t>
        </w:r>
        <w:bookmarkStart w:id="53" w:name="_Hlt58527233"/>
        <w:r>
          <w:rPr>
            <w:rStyle w:val="Hyperlink"/>
            <w:b/>
            <w:bCs/>
            <w:sz w:val="24"/>
            <w:szCs w:val="24"/>
          </w:rPr>
          <w:t>-</w:t>
        </w:r>
        <w:bookmarkEnd w:id="53"/>
        <w:r>
          <w:rPr>
            <w:rStyle w:val="Hyperlink"/>
            <w:b/>
            <w:bCs/>
            <w:sz w:val="24"/>
            <w:szCs w:val="24"/>
          </w:rPr>
          <w:t>journal-posts/a-critical-analysis-of-the-johnny-depp-libel-tr</w:t>
        </w:r>
        <w:bookmarkStart w:id="54" w:name="_Hlt56767663"/>
        <w:bookmarkStart w:id="55" w:name="_Hlt56767664"/>
        <w:r>
          <w:rPr>
            <w:rStyle w:val="Hyperlink"/>
            <w:b/>
            <w:bCs/>
            <w:sz w:val="24"/>
            <w:szCs w:val="24"/>
          </w:rPr>
          <w:t>i</w:t>
        </w:r>
        <w:bookmarkEnd w:id="54"/>
        <w:bookmarkEnd w:id="55"/>
        <w:r>
          <w:rPr>
            <w:rStyle w:val="Hyperlink"/>
            <w:b/>
            <w:bCs/>
            <w:sz w:val="24"/>
            <w:szCs w:val="24"/>
          </w:rPr>
          <w:t>al/</w:t>
        </w:r>
      </w:hyperlink>
      <w:r>
        <w:rPr>
          <w:rStyle w:val="Hyperlink"/>
          <w:b/>
          <w:bCs/>
          <w:sz w:val="24"/>
          <w:szCs w:val="24"/>
        </w:rPr>
        <w:t xml:space="preserve"> , </w:t>
      </w:r>
      <w:r>
        <w:rPr>
          <w:rStyle w:val="Hyperlink"/>
          <w:color w:val="auto"/>
          <w:sz w:val="24"/>
          <w:szCs w:val="24"/>
          <w:u w:val="none"/>
        </w:rPr>
        <w:t>(Accessed date:20/11/20)</w:t>
      </w:r>
    </w:p>
    <w:p w14:paraId="2EC96C1F" w14:textId="77777777" w:rsidR="00D37452" w:rsidRDefault="00D37452">
      <w:pPr>
        <w:pStyle w:val="ListParagraph"/>
        <w:numPr>
          <w:ilvl w:val="0"/>
          <w:numId w:val="1"/>
        </w:numPr>
      </w:pPr>
      <w:r>
        <w:rPr>
          <w:sz w:val="24"/>
          <w:szCs w:val="24"/>
        </w:rPr>
        <w:t xml:space="preserve">Royal Courts of Justice (2013), ‘The Lord McAlpine of West Green Claimant  and -Sally Bercow’ , Available at: </w:t>
      </w:r>
      <w:hyperlink r:id="rId20" w:history="1">
        <w:r>
          <w:rPr>
            <w:rStyle w:val="Hyperlink"/>
            <w:sz w:val="24"/>
            <w:szCs w:val="24"/>
          </w:rPr>
          <w:t>https://www.judiciary.uk/wp-content/uploads/JCO/Documents</w:t>
        </w:r>
        <w:bookmarkStart w:id="56" w:name="_Hlt58527340"/>
        <w:r>
          <w:rPr>
            <w:rStyle w:val="Hyperlink"/>
            <w:sz w:val="24"/>
            <w:szCs w:val="24"/>
          </w:rPr>
          <w:t>/</w:t>
        </w:r>
        <w:bookmarkEnd w:id="56"/>
        <w:r>
          <w:rPr>
            <w:rStyle w:val="Hyperlink"/>
            <w:sz w:val="24"/>
            <w:szCs w:val="24"/>
          </w:rPr>
          <w:t>Judgments/m</w:t>
        </w:r>
        <w:bookmarkStart w:id="57" w:name="_Hlt58527421"/>
        <w:r>
          <w:rPr>
            <w:rStyle w:val="Hyperlink"/>
            <w:sz w:val="24"/>
            <w:szCs w:val="24"/>
          </w:rPr>
          <w:t>c</w:t>
        </w:r>
        <w:bookmarkEnd w:id="57"/>
        <w:r>
          <w:rPr>
            <w:rStyle w:val="Hyperlink"/>
            <w:sz w:val="24"/>
            <w:szCs w:val="24"/>
          </w:rPr>
          <w:t>alpine-bercow-judgment-24052013.pdf</w:t>
        </w:r>
      </w:hyperlink>
      <w:r>
        <w:rPr>
          <w:sz w:val="24"/>
          <w:szCs w:val="24"/>
        </w:rPr>
        <w:t xml:space="preserve"> , (Accessed date:06/12/20)</w:t>
      </w:r>
    </w:p>
    <w:p w14:paraId="0045A84C" w14:textId="77777777" w:rsidR="00D37452" w:rsidRDefault="00D37452">
      <w:pPr>
        <w:pStyle w:val="ListParagraph"/>
        <w:numPr>
          <w:ilvl w:val="0"/>
          <w:numId w:val="1"/>
        </w:numPr>
      </w:pPr>
      <w:r>
        <w:rPr>
          <w:b/>
          <w:bCs/>
          <w:sz w:val="24"/>
          <w:szCs w:val="24"/>
        </w:rPr>
        <w:t xml:space="preserve">Royal Courts of Justice (2016), ‘Alexander Economou Claimant  -and – David de Freitas’, Available at: </w:t>
      </w:r>
      <w:hyperlink r:id="rId21" w:history="1">
        <w:r>
          <w:rPr>
            <w:rStyle w:val="Hyperlink"/>
            <w:b/>
            <w:bCs/>
            <w:sz w:val="24"/>
            <w:szCs w:val="24"/>
          </w:rPr>
          <w:t>https://www.judiciary.uk/wp-content/uploads/2016/07</w:t>
        </w:r>
        <w:bookmarkStart w:id="58" w:name="_Hlt58527265"/>
        <w:r>
          <w:rPr>
            <w:rStyle w:val="Hyperlink"/>
            <w:b/>
            <w:bCs/>
            <w:sz w:val="24"/>
            <w:szCs w:val="24"/>
          </w:rPr>
          <w:t>/</w:t>
        </w:r>
        <w:bookmarkEnd w:id="58"/>
        <w:r>
          <w:rPr>
            <w:rStyle w:val="Hyperlink"/>
            <w:b/>
            <w:bCs/>
            <w:sz w:val="24"/>
            <w:szCs w:val="24"/>
          </w:rPr>
          <w:t>economou-v-de-freitas-2016-ewhc-1853-qb-28-07.pdf</w:t>
        </w:r>
      </w:hyperlink>
      <w:r>
        <w:rPr>
          <w:b/>
          <w:bCs/>
          <w:sz w:val="24"/>
          <w:szCs w:val="24"/>
        </w:rPr>
        <w:t xml:space="preserve"> , (Accessed date: 01/12/2020)</w:t>
      </w:r>
    </w:p>
    <w:p w14:paraId="0B562695" w14:textId="77777777" w:rsidR="00D37452" w:rsidRDefault="00D37452">
      <w:pPr>
        <w:pStyle w:val="ListParagraph"/>
        <w:numPr>
          <w:ilvl w:val="0"/>
          <w:numId w:val="1"/>
        </w:numPr>
      </w:pPr>
      <w:bookmarkStart w:id="59" w:name="_Hlk57977997"/>
      <w:r>
        <w:rPr>
          <w:sz w:val="24"/>
          <w:szCs w:val="24"/>
        </w:rPr>
        <w:t>The International Forum for Responsible Media Blog (2010)</w:t>
      </w:r>
      <w:bookmarkEnd w:id="59"/>
      <w:r>
        <w:rPr>
          <w:sz w:val="24"/>
          <w:szCs w:val="24"/>
        </w:rPr>
        <w:t xml:space="preserve">, ‘Strasbourg Case Law: Defamation and Balancing Articles 8 and 10’, Available at: </w:t>
      </w:r>
      <w:hyperlink r:id="rId22" w:history="1">
        <w:r>
          <w:rPr>
            <w:rStyle w:val="Hyperlink"/>
            <w:color w:val="auto"/>
            <w:sz w:val="24"/>
            <w:szCs w:val="24"/>
          </w:rPr>
          <w:t>https://inforrm.org</w:t>
        </w:r>
        <w:bookmarkStart w:id="60" w:name="_Hlt58527318"/>
        <w:r>
          <w:rPr>
            <w:rStyle w:val="Hyperlink"/>
            <w:color w:val="auto"/>
            <w:sz w:val="24"/>
            <w:szCs w:val="24"/>
          </w:rPr>
          <w:t>/</w:t>
        </w:r>
        <w:bookmarkEnd w:id="60"/>
        <w:r>
          <w:rPr>
            <w:rStyle w:val="Hyperlink"/>
            <w:color w:val="auto"/>
            <w:sz w:val="24"/>
            <w:szCs w:val="24"/>
          </w:rPr>
          <w:t>2010</w:t>
        </w:r>
        <w:bookmarkStart w:id="61" w:name="_Hlt58527362"/>
        <w:r>
          <w:rPr>
            <w:rStyle w:val="Hyperlink"/>
            <w:color w:val="auto"/>
            <w:sz w:val="24"/>
            <w:szCs w:val="24"/>
          </w:rPr>
          <w:t>/</w:t>
        </w:r>
        <w:bookmarkEnd w:id="61"/>
        <w:r>
          <w:rPr>
            <w:rStyle w:val="Hyperlink"/>
            <w:color w:val="auto"/>
            <w:sz w:val="24"/>
            <w:szCs w:val="24"/>
          </w:rPr>
          <w:t>page/3</w:t>
        </w:r>
        <w:bookmarkStart w:id="62" w:name="_Hlt57977850"/>
        <w:bookmarkStart w:id="63" w:name="_Hlt57977851"/>
        <w:r>
          <w:rPr>
            <w:rStyle w:val="Hyperlink"/>
            <w:color w:val="auto"/>
            <w:sz w:val="24"/>
            <w:szCs w:val="24"/>
          </w:rPr>
          <w:t>9</w:t>
        </w:r>
        <w:bookmarkEnd w:id="62"/>
        <w:bookmarkEnd w:id="63"/>
        <w:r>
          <w:rPr>
            <w:rStyle w:val="Hyperlink"/>
            <w:color w:val="auto"/>
            <w:sz w:val="24"/>
            <w:szCs w:val="24"/>
          </w:rPr>
          <w:t>/</w:t>
        </w:r>
      </w:hyperlink>
      <w:r>
        <w:rPr>
          <w:sz w:val="24"/>
          <w:szCs w:val="24"/>
        </w:rPr>
        <w:t xml:space="preserve"> , (Accessed date: 04/12/20)</w:t>
      </w:r>
    </w:p>
    <w:p w14:paraId="0312D3BD" w14:textId="77777777" w:rsidR="00D37452" w:rsidRDefault="00D37452">
      <w:pPr>
        <w:pStyle w:val="ListParagraph"/>
        <w:numPr>
          <w:ilvl w:val="0"/>
          <w:numId w:val="1"/>
        </w:numPr>
      </w:pPr>
      <w:r>
        <w:rPr>
          <w:sz w:val="24"/>
          <w:szCs w:val="24"/>
        </w:rPr>
        <w:t>UK Parliament (1998-99), ‘Judgments -- Reynolds v. Times Newspapers Limited and Others</w:t>
      </w:r>
      <w:proofErr w:type="gramStart"/>
      <w:r>
        <w:rPr>
          <w:sz w:val="24"/>
          <w:szCs w:val="24"/>
        </w:rPr>
        <w:t>’ ,</w:t>
      </w:r>
      <w:proofErr w:type="gramEnd"/>
      <w:r>
        <w:rPr>
          <w:sz w:val="24"/>
          <w:szCs w:val="24"/>
        </w:rPr>
        <w:t xml:space="preserve"> Available at: </w:t>
      </w:r>
      <w:hyperlink r:id="rId23" w:history="1">
        <w:r>
          <w:rPr>
            <w:rStyle w:val="Hyperlink"/>
            <w:b/>
            <w:bCs/>
            <w:sz w:val="24"/>
            <w:szCs w:val="24"/>
          </w:rPr>
          <w:t>https://publications</w:t>
        </w:r>
        <w:bookmarkStart w:id="64" w:name="_Hlt56767343"/>
        <w:bookmarkStart w:id="65" w:name="_Hlt56767344"/>
        <w:r>
          <w:rPr>
            <w:rStyle w:val="Hyperlink"/>
            <w:b/>
            <w:bCs/>
            <w:sz w:val="24"/>
            <w:szCs w:val="24"/>
          </w:rPr>
          <w:t>.</w:t>
        </w:r>
        <w:bookmarkEnd w:id="64"/>
        <w:bookmarkEnd w:id="65"/>
        <w:r>
          <w:rPr>
            <w:rStyle w:val="Hyperlink"/>
            <w:b/>
            <w:bCs/>
            <w:sz w:val="24"/>
            <w:szCs w:val="24"/>
          </w:rPr>
          <w:t>parliament.uk/pa</w:t>
        </w:r>
        <w:bookmarkStart w:id="66" w:name="_Hlt57975803"/>
        <w:r>
          <w:rPr>
            <w:rStyle w:val="Hyperlink"/>
            <w:b/>
            <w:bCs/>
            <w:sz w:val="24"/>
            <w:szCs w:val="24"/>
          </w:rPr>
          <w:t>/</w:t>
        </w:r>
        <w:bookmarkEnd w:id="66"/>
        <w:r>
          <w:rPr>
            <w:rStyle w:val="Hyperlink"/>
            <w:b/>
            <w:bCs/>
            <w:sz w:val="24"/>
            <w:szCs w:val="24"/>
          </w:rPr>
          <w:t>ld199</w:t>
        </w:r>
        <w:bookmarkStart w:id="67" w:name="_Hlt58527227"/>
        <w:r>
          <w:rPr>
            <w:rStyle w:val="Hyperlink"/>
            <w:b/>
            <w:bCs/>
            <w:sz w:val="24"/>
            <w:szCs w:val="24"/>
          </w:rPr>
          <w:t>8</w:t>
        </w:r>
        <w:bookmarkEnd w:id="67"/>
        <w:r>
          <w:rPr>
            <w:rStyle w:val="Hyperlink"/>
            <w:b/>
            <w:bCs/>
            <w:sz w:val="24"/>
            <w:szCs w:val="24"/>
          </w:rPr>
          <w:t>99/ldjudgmt/jd991028/rey01.htm</w:t>
        </w:r>
      </w:hyperlink>
      <w:r>
        <w:rPr>
          <w:rStyle w:val="Hyperlink"/>
          <w:b/>
          <w:bCs/>
          <w:sz w:val="24"/>
          <w:szCs w:val="24"/>
        </w:rPr>
        <w:t xml:space="preserve"> , </w:t>
      </w:r>
      <w:r>
        <w:rPr>
          <w:rStyle w:val="Hyperlink"/>
          <w:color w:val="auto"/>
          <w:sz w:val="24"/>
          <w:szCs w:val="24"/>
          <w:u w:val="none"/>
        </w:rPr>
        <w:t>(Accessed date: 21/10/20)</w:t>
      </w:r>
    </w:p>
    <w:p w14:paraId="04519E98" w14:textId="77777777" w:rsidR="00D37452" w:rsidRDefault="00D37452">
      <w:pPr>
        <w:pStyle w:val="ListParagraph"/>
        <w:numPr>
          <w:ilvl w:val="0"/>
          <w:numId w:val="1"/>
        </w:numPr>
      </w:pPr>
      <w:r>
        <w:rPr>
          <w:sz w:val="24"/>
          <w:szCs w:val="24"/>
        </w:rPr>
        <w:t xml:space="preserve">Westlaw Edge UK (1985), ‘Secretary of State for Defence v Guardian Newspapers Ltd’ , </w:t>
      </w:r>
      <w:proofErr w:type="spellStart"/>
      <w:r>
        <w:rPr>
          <w:sz w:val="24"/>
          <w:szCs w:val="24"/>
        </w:rPr>
        <w:t>Availble</w:t>
      </w:r>
      <w:proofErr w:type="spellEnd"/>
      <w:r>
        <w:rPr>
          <w:sz w:val="24"/>
          <w:szCs w:val="24"/>
        </w:rPr>
        <w:t xml:space="preserve"> at: </w:t>
      </w:r>
      <w:hyperlink r:id="rId24" w:history="1">
        <w:r>
          <w:rPr>
            <w:rStyle w:val="Hyperlink"/>
            <w:sz w:val="24"/>
            <w:szCs w:val="24"/>
          </w:rPr>
          <w:t>https://uk.westlaw.com/Document/I9F810AF0E42811DA8FC2A0F0355337E9/View/FullText.html?navigationPath=Se</w:t>
        </w:r>
        <w:bookmarkStart w:id="68" w:name="_Hlt57975879"/>
        <w:bookmarkStart w:id="69" w:name="_Hlt57975880"/>
        <w:r>
          <w:rPr>
            <w:rStyle w:val="Hyperlink"/>
            <w:sz w:val="24"/>
            <w:szCs w:val="24"/>
          </w:rPr>
          <w:t>a</w:t>
        </w:r>
        <w:bookmarkEnd w:id="68"/>
        <w:bookmarkEnd w:id="69"/>
        <w:r>
          <w:rPr>
            <w:rStyle w:val="Hyperlink"/>
            <w:sz w:val="24"/>
            <w:szCs w:val="24"/>
          </w:rPr>
          <w:t>rch%2Fv1%2Fresults%2Fnavigation%2Fi0ad7401100000175e5cce795b44c18bb%3FNav%3DRESEARCH_COMBINED_WLUK%26fragmentIdentifier%3DI9F810AF0E42811DA8FC2A0F0355337E9%26parentRank%3D0%26startIndex%3D1%26context</w:t>
        </w:r>
        <w:bookmarkStart w:id="70" w:name="_Hlt57198054"/>
        <w:bookmarkStart w:id="71" w:name="_Hlt57198055"/>
        <w:r>
          <w:rPr>
            <w:rStyle w:val="Hyperlink"/>
            <w:sz w:val="24"/>
            <w:szCs w:val="24"/>
          </w:rPr>
          <w:t>D</w:t>
        </w:r>
        <w:bookmarkEnd w:id="70"/>
        <w:bookmarkEnd w:id="71"/>
        <w:r>
          <w:rPr>
            <w:rStyle w:val="Hyperlink"/>
            <w:sz w:val="24"/>
            <w:szCs w:val="24"/>
          </w:rPr>
          <w:t>ata%3D%2528sc.Search%2529%26transitionType%3DSearchItem&amp;listSource=Search&amp;listP</w:t>
        </w:r>
        <w:bookmarkStart w:id="72" w:name="_Hlt58527302"/>
        <w:bookmarkStart w:id="73" w:name="_Hlt58527303"/>
        <w:r>
          <w:rPr>
            <w:rStyle w:val="Hyperlink"/>
            <w:sz w:val="24"/>
            <w:szCs w:val="24"/>
          </w:rPr>
          <w:t>a</w:t>
        </w:r>
        <w:bookmarkEnd w:id="72"/>
        <w:bookmarkEnd w:id="73"/>
        <w:r>
          <w:rPr>
            <w:rStyle w:val="Hyperlink"/>
            <w:sz w:val="24"/>
            <w:szCs w:val="24"/>
          </w:rPr>
          <w:t>geSource=468cb3fbc3cbcf445e61c33af8363a6b&amp;list=RESEARCH_COMBINED_WLUK&amp;rank=1&amp;sessionScopeId=b9296671db23f607c426859657cdd6e6f4ab3fdbc3bca8168fe42a12f6b307dd&amp;originationContext=Search%20Result&amp;transitionType=SearchItem&amp;contextData=(sc.Search)&amp;comp=wluk&amp;navId=5A805D60C825A513E6AC58DF2C06AD43</w:t>
        </w:r>
      </w:hyperlink>
      <w:r>
        <w:rPr>
          <w:rStyle w:val="Hyperlink"/>
          <w:sz w:val="24"/>
          <w:szCs w:val="24"/>
        </w:rPr>
        <w:t xml:space="preserve"> ,  </w:t>
      </w:r>
      <w:r>
        <w:rPr>
          <w:rStyle w:val="Hyperlink"/>
          <w:color w:val="auto"/>
          <w:sz w:val="24"/>
          <w:szCs w:val="24"/>
          <w:u w:val="none"/>
        </w:rPr>
        <w:t>(Accessed date:23/11/20)</w:t>
      </w:r>
    </w:p>
    <w:p w14:paraId="4A3DE67E" w14:textId="77777777" w:rsidR="00D37452" w:rsidRDefault="00D37452">
      <w:pPr>
        <w:pStyle w:val="ListParagraph"/>
        <w:numPr>
          <w:ilvl w:val="0"/>
          <w:numId w:val="1"/>
        </w:numPr>
      </w:pPr>
      <w:r>
        <w:rPr>
          <w:sz w:val="24"/>
          <w:szCs w:val="24"/>
        </w:rPr>
        <w:t xml:space="preserve">Westlaw Edge UK (2020), ‘Financial Times Ltd v United Kingdom (821/03)’ , </w:t>
      </w:r>
      <w:proofErr w:type="spellStart"/>
      <w:r>
        <w:rPr>
          <w:sz w:val="24"/>
          <w:szCs w:val="24"/>
        </w:rPr>
        <w:t>Availbel</w:t>
      </w:r>
      <w:proofErr w:type="spellEnd"/>
      <w:r>
        <w:rPr>
          <w:sz w:val="24"/>
          <w:szCs w:val="24"/>
        </w:rPr>
        <w:t xml:space="preserve"> at: </w:t>
      </w:r>
      <w:hyperlink r:id="rId25" w:history="1">
        <w:r>
          <w:rPr>
            <w:rStyle w:val="Hyperlink"/>
            <w:sz w:val="24"/>
            <w:szCs w:val="24"/>
          </w:rPr>
          <w:t>https://uk.westlaw.com/Document/IC505F1F1EACD11DEBB918F39B65C56BA/View/FullText.html?navigationPath=Search%2Fv1%2Fresults%2Fnavigation%2Fi0ad62aef000001761934d0a6812a56ca%3FNav%3DRESEARCH_COMBINED_WLUK%26fragmentIdentifier%3DIC505F1F1EACD11DEBB918F39B65C56BA%26parentRank%3D0%26startIndex%3D1%26contextData%3D%2528sc.Search%2529%26transitionType%3DSearc</w:t>
        </w:r>
        <w:r>
          <w:rPr>
            <w:rStyle w:val="Hyperlink"/>
            <w:sz w:val="24"/>
            <w:szCs w:val="24"/>
          </w:rPr>
          <w:lastRenderedPageBreak/>
          <w:t>hItem&amp;listSource=Search&amp;listPageSource=e7273fbefee62dc6b94bb723740a00a7&amp;list=RESEARCH_COMBINED_WLUK&amp;rank=1&amp;sessionScopeId=488c61e6ecf7dae9990bee643b439f98df39af953f85a665290ec283ca93e23b&amp;originationContext=Search%20Result&amp;transitionType=SearchItem&amp;contextData=(sc.Search)&amp;comp=wluk&amp;navId=40584009274BA998A6D4F1241AE0EA42</w:t>
        </w:r>
      </w:hyperlink>
      <w:r>
        <w:rPr>
          <w:sz w:val="24"/>
          <w:szCs w:val="24"/>
        </w:rPr>
        <w:t xml:space="preserve"> , (Accessed date:30/11/20)</w:t>
      </w:r>
    </w:p>
    <w:p w14:paraId="43C05F53" w14:textId="77777777" w:rsidR="00D37452" w:rsidRDefault="00D37452">
      <w:pPr>
        <w:pStyle w:val="ListParagraph"/>
        <w:numPr>
          <w:ilvl w:val="0"/>
          <w:numId w:val="1"/>
        </w:numPr>
      </w:pPr>
      <w:proofErr w:type="spellStart"/>
      <w:r>
        <w:rPr>
          <w:color w:val="FF0000"/>
          <w:sz w:val="24"/>
          <w:szCs w:val="24"/>
        </w:rPr>
        <w:t>Willson</w:t>
      </w:r>
      <w:proofErr w:type="spellEnd"/>
      <w:r>
        <w:rPr>
          <w:color w:val="FF0000"/>
          <w:sz w:val="24"/>
          <w:szCs w:val="24"/>
        </w:rPr>
        <w:t xml:space="preserve"> B (2018), ‘Economou v De Freitas: is a contributor to a matter of public interest now immune from suit?’, Available at: </w:t>
      </w:r>
      <w:hyperlink r:id="rId26" w:history="1">
        <w:r>
          <w:rPr>
            <w:rStyle w:val="Hyperlink"/>
            <w:sz w:val="24"/>
            <w:szCs w:val="24"/>
          </w:rPr>
          <w:t>https://www.brettwilson.co.uk/blog/economou-v-de-freitas-is-a-contributor-to-a-matter-of-public-interest-now-immune-from-suit/</w:t>
        </w:r>
      </w:hyperlink>
      <w:r>
        <w:rPr>
          <w:color w:val="FF0000"/>
          <w:sz w:val="24"/>
          <w:szCs w:val="24"/>
        </w:rPr>
        <w:t xml:space="preserve"> , (Accessed date: 20/11/20)</w:t>
      </w:r>
    </w:p>
    <w:p w14:paraId="5FD8DB2C" w14:textId="1D5D17D4" w:rsidR="00C765C0" w:rsidRDefault="00C765C0" w:rsidP="00C765C0">
      <w:pPr>
        <w:ind w:left="360"/>
      </w:pPr>
    </w:p>
    <w:p w14:paraId="2E1EBB1C" w14:textId="0062BD50" w:rsidR="00C765C0" w:rsidRPr="006675E7" w:rsidRDefault="00C765C0" w:rsidP="00C765C0">
      <w:pPr>
        <w:rPr>
          <w:b/>
          <w:bCs/>
          <w:sz w:val="28"/>
          <w:szCs w:val="28"/>
        </w:rPr>
      </w:pPr>
      <w:r w:rsidRPr="006675E7">
        <w:rPr>
          <w:b/>
          <w:bCs/>
          <w:sz w:val="28"/>
          <w:szCs w:val="28"/>
        </w:rPr>
        <w:t xml:space="preserve">Case Law </w:t>
      </w:r>
    </w:p>
    <w:p w14:paraId="010AF21A" w14:textId="77777777" w:rsidR="006675E7" w:rsidRDefault="006675E7" w:rsidP="00C765C0">
      <w:r w:rsidRPr="006675E7">
        <w:t>Economou v de Freitas (2016)</w:t>
      </w:r>
    </w:p>
    <w:p w14:paraId="1BF6786F" w14:textId="77777777" w:rsidR="006675E7" w:rsidRDefault="006675E7" w:rsidP="00C765C0">
      <w:r w:rsidRPr="006675E7">
        <w:t xml:space="preserve">Financial times ltd v UK </w:t>
      </w:r>
      <w:r>
        <w:t>(</w:t>
      </w:r>
      <w:r w:rsidRPr="006675E7">
        <w:t>2009</w:t>
      </w:r>
      <w:r>
        <w:t>)</w:t>
      </w:r>
    </w:p>
    <w:p w14:paraId="5976FB83" w14:textId="77777777" w:rsidR="006675E7" w:rsidRDefault="006675E7" w:rsidP="00C765C0">
      <w:r w:rsidRPr="006675E7">
        <w:t>Flood v Times Newspaper ltd (2012)</w:t>
      </w:r>
    </w:p>
    <w:p w14:paraId="449BB6FB" w14:textId="77777777" w:rsidR="006675E7" w:rsidRDefault="006675E7" w:rsidP="00C765C0">
      <w:r w:rsidRPr="006675E7">
        <w:t>R v Norway (2009</w:t>
      </w:r>
      <w:r>
        <w:t>)</w:t>
      </w:r>
    </w:p>
    <w:p w14:paraId="24C78A03" w14:textId="77777777" w:rsidR="006675E7" w:rsidRDefault="006675E7" w:rsidP="00C765C0">
      <w:r w:rsidRPr="006675E7">
        <w:t>Reynolds v Times Newspapers (2002)</w:t>
      </w:r>
    </w:p>
    <w:p w14:paraId="16064BDE" w14:textId="77777777" w:rsidR="006675E7" w:rsidRDefault="006675E7" w:rsidP="00C765C0">
      <w:r w:rsidRPr="006675E7">
        <w:t>SA v Financial Times Ltd (2002)</w:t>
      </w:r>
    </w:p>
    <w:p w14:paraId="0A992EA9" w14:textId="77777777" w:rsidR="006675E7" w:rsidRDefault="006675E7" w:rsidP="00C765C0">
      <w:r w:rsidRPr="006675E7">
        <w:t>Secretary of State for Defence v Guardian Newspaper ltd (1985)</w:t>
      </w:r>
    </w:p>
    <w:p w14:paraId="319FC6E9" w14:textId="544BF533" w:rsidR="006675E7" w:rsidRDefault="006675E7" w:rsidP="00C765C0">
      <w:r w:rsidRPr="006675E7">
        <w:t xml:space="preserve">The Lord McAlpine (2012) </w:t>
      </w:r>
    </w:p>
    <w:p w14:paraId="21161725" w14:textId="77777777" w:rsidR="006675E7" w:rsidRDefault="006675E7" w:rsidP="00C765C0"/>
    <w:p w14:paraId="0F869058" w14:textId="385C37DE" w:rsidR="006675E7" w:rsidRDefault="006675E7" w:rsidP="00C765C0"/>
    <w:p w14:paraId="4CC08BC8" w14:textId="4027D255" w:rsidR="00C765C0" w:rsidRPr="006675E7" w:rsidRDefault="00C765C0" w:rsidP="00C765C0">
      <w:pPr>
        <w:rPr>
          <w:b/>
          <w:bCs/>
          <w:sz w:val="28"/>
          <w:szCs w:val="28"/>
        </w:rPr>
      </w:pPr>
      <w:r w:rsidRPr="006675E7">
        <w:rPr>
          <w:b/>
          <w:bCs/>
          <w:sz w:val="28"/>
          <w:szCs w:val="28"/>
        </w:rPr>
        <w:t xml:space="preserve">Legislation </w:t>
      </w:r>
    </w:p>
    <w:p w14:paraId="3361E32B" w14:textId="77777777" w:rsidR="00CC7CCA" w:rsidRDefault="00CC7CCA">
      <w:pPr>
        <w:rPr>
          <w:sz w:val="24"/>
          <w:szCs w:val="24"/>
        </w:rPr>
      </w:pPr>
      <w:r w:rsidRPr="006675E7">
        <w:rPr>
          <w:sz w:val="24"/>
          <w:szCs w:val="24"/>
        </w:rPr>
        <w:t>Contempt of Court Act (1981)</w:t>
      </w:r>
      <w:r>
        <w:rPr>
          <w:sz w:val="24"/>
          <w:szCs w:val="24"/>
        </w:rPr>
        <w:t xml:space="preserve"> </w:t>
      </w:r>
      <w:r w:rsidRPr="006675E7">
        <w:rPr>
          <w:b/>
          <w:bCs/>
          <w:sz w:val="24"/>
          <w:szCs w:val="24"/>
        </w:rPr>
        <w:t>(s.10)</w:t>
      </w:r>
    </w:p>
    <w:p w14:paraId="4D54B69D" w14:textId="77777777" w:rsidR="00CC7CCA" w:rsidRDefault="00CC7CCA">
      <w:r w:rsidRPr="00C765C0">
        <w:t>Defamation Act 2013</w:t>
      </w:r>
      <w:r>
        <w:t xml:space="preserve"> </w:t>
      </w:r>
      <w:r w:rsidRPr="006675E7">
        <w:rPr>
          <w:b/>
          <w:bCs/>
        </w:rPr>
        <w:t>(</w:t>
      </w:r>
      <w:proofErr w:type="gramStart"/>
      <w:r w:rsidRPr="006675E7">
        <w:rPr>
          <w:b/>
          <w:bCs/>
        </w:rPr>
        <w:t>s.(</w:t>
      </w:r>
      <w:proofErr w:type="gramEnd"/>
      <w:r w:rsidRPr="006675E7">
        <w:rPr>
          <w:b/>
          <w:bCs/>
        </w:rPr>
        <w:t>1))</w:t>
      </w:r>
    </w:p>
    <w:p w14:paraId="45EE72FF" w14:textId="77777777" w:rsidR="00CC7CCA" w:rsidRDefault="00CC7CCA">
      <w:pPr>
        <w:rPr>
          <w:sz w:val="24"/>
          <w:szCs w:val="24"/>
        </w:rPr>
      </w:pPr>
      <w:r w:rsidRPr="00C765C0">
        <w:rPr>
          <w:sz w:val="24"/>
          <w:szCs w:val="24"/>
        </w:rPr>
        <w:t>European Convention o</w:t>
      </w:r>
      <w:r>
        <w:rPr>
          <w:sz w:val="24"/>
          <w:szCs w:val="24"/>
        </w:rPr>
        <w:t>f</w:t>
      </w:r>
      <w:r w:rsidRPr="00C765C0">
        <w:rPr>
          <w:sz w:val="24"/>
          <w:szCs w:val="24"/>
        </w:rPr>
        <w:t xml:space="preserve"> Human Rights</w:t>
      </w:r>
      <w:r>
        <w:rPr>
          <w:sz w:val="24"/>
          <w:szCs w:val="24"/>
        </w:rPr>
        <w:t xml:space="preserve"> Act</w:t>
      </w:r>
    </w:p>
    <w:p w14:paraId="67BE8D95" w14:textId="77777777" w:rsidR="00CC7CCA" w:rsidRPr="006675E7" w:rsidRDefault="00CC7CCA">
      <w:r w:rsidRPr="00C765C0">
        <w:rPr>
          <w:sz w:val="24"/>
          <w:szCs w:val="24"/>
        </w:rPr>
        <w:t>Human Rights Act (1998)</w:t>
      </w:r>
      <w:r>
        <w:rPr>
          <w:sz w:val="24"/>
          <w:szCs w:val="24"/>
        </w:rPr>
        <w:t xml:space="preserve"> </w:t>
      </w:r>
      <w:r w:rsidRPr="006675E7">
        <w:rPr>
          <w:b/>
          <w:bCs/>
          <w:sz w:val="24"/>
          <w:szCs w:val="24"/>
        </w:rPr>
        <w:t>(Section 3)</w:t>
      </w:r>
    </w:p>
    <w:p w14:paraId="144A6B04" w14:textId="77777777" w:rsidR="00CC7CCA" w:rsidRDefault="00CC7CCA">
      <w:pPr>
        <w:rPr>
          <w:sz w:val="24"/>
          <w:szCs w:val="24"/>
        </w:rPr>
      </w:pPr>
      <w:r w:rsidRPr="00CC7CCA">
        <w:rPr>
          <w:b/>
          <w:bCs/>
          <w:sz w:val="24"/>
          <w:szCs w:val="24"/>
        </w:rPr>
        <w:t>Section 1(1)</w:t>
      </w:r>
      <w:r w:rsidRPr="006675E7">
        <w:rPr>
          <w:sz w:val="24"/>
          <w:szCs w:val="24"/>
        </w:rPr>
        <w:t xml:space="preserve"> of the Defamation Act 2013</w:t>
      </w:r>
    </w:p>
    <w:p w14:paraId="05F842C9" w14:textId="77777777" w:rsidR="00CC7CCA" w:rsidRDefault="00CC7CCA">
      <w:pPr>
        <w:rPr>
          <w:sz w:val="24"/>
          <w:szCs w:val="24"/>
        </w:rPr>
      </w:pPr>
      <w:r w:rsidRPr="00CC7CCA">
        <w:rPr>
          <w:b/>
          <w:bCs/>
          <w:sz w:val="24"/>
          <w:szCs w:val="24"/>
        </w:rPr>
        <w:t>Section 4</w:t>
      </w:r>
      <w:r w:rsidRPr="006675E7">
        <w:rPr>
          <w:sz w:val="24"/>
          <w:szCs w:val="24"/>
        </w:rPr>
        <w:t xml:space="preserve"> of the Defamation Act 2013</w:t>
      </w:r>
    </w:p>
    <w:p w14:paraId="75DE75D0" w14:textId="77777777" w:rsidR="00F118B8" w:rsidRDefault="00F118B8">
      <w:pPr>
        <w:rPr>
          <w:sz w:val="24"/>
          <w:szCs w:val="24"/>
        </w:rPr>
      </w:pPr>
    </w:p>
    <w:p w14:paraId="725AB142" w14:textId="77777777" w:rsidR="00F118B8" w:rsidRDefault="00F118B8">
      <w:pPr>
        <w:rPr>
          <w:sz w:val="24"/>
          <w:szCs w:val="24"/>
        </w:rPr>
      </w:pPr>
    </w:p>
    <w:p w14:paraId="7FB80BD7" w14:textId="77777777" w:rsidR="00DD15BA" w:rsidRDefault="00DD15BA">
      <w:pPr>
        <w:rPr>
          <w:sz w:val="24"/>
          <w:szCs w:val="24"/>
        </w:rPr>
      </w:pPr>
    </w:p>
    <w:p w14:paraId="625B9267" w14:textId="77777777" w:rsidR="002C5121" w:rsidRDefault="002C5121">
      <w:pPr>
        <w:rPr>
          <w:b/>
          <w:bCs/>
          <w:sz w:val="24"/>
          <w:szCs w:val="24"/>
          <w:u w:val="single"/>
        </w:rPr>
      </w:pPr>
    </w:p>
    <w:p w14:paraId="699DDFC0" w14:textId="77777777" w:rsidR="002C5121" w:rsidRDefault="002C5121">
      <w:pPr>
        <w:rPr>
          <w:b/>
          <w:bCs/>
          <w:sz w:val="24"/>
          <w:szCs w:val="24"/>
          <w:u w:val="single"/>
        </w:rPr>
      </w:pPr>
    </w:p>
    <w:p w14:paraId="05BAA6C5" w14:textId="77777777" w:rsidR="002C5121" w:rsidRDefault="002C5121">
      <w:pPr>
        <w:rPr>
          <w:b/>
          <w:bCs/>
          <w:sz w:val="24"/>
          <w:szCs w:val="24"/>
          <w:u w:val="single"/>
        </w:rPr>
      </w:pPr>
    </w:p>
    <w:p w14:paraId="0B47561C" w14:textId="689DB877" w:rsidR="00F118B8" w:rsidRDefault="006C7038">
      <w:pPr>
        <w:rPr>
          <w:b/>
          <w:bCs/>
          <w:sz w:val="24"/>
          <w:szCs w:val="24"/>
          <w:u w:val="single"/>
        </w:rPr>
      </w:pPr>
      <w:r>
        <w:rPr>
          <w:b/>
          <w:bCs/>
          <w:sz w:val="24"/>
          <w:szCs w:val="24"/>
          <w:u w:val="single"/>
        </w:rPr>
        <w:lastRenderedPageBreak/>
        <w:t xml:space="preserve">Task 2 </w:t>
      </w:r>
    </w:p>
    <w:p w14:paraId="4ABF19D5" w14:textId="77777777" w:rsidR="00F118B8" w:rsidRPr="00D37452" w:rsidRDefault="00F118B8">
      <w:pPr>
        <w:rPr>
          <w:sz w:val="24"/>
          <w:szCs w:val="24"/>
          <w:u w:val="single"/>
        </w:rPr>
      </w:pPr>
    </w:p>
    <w:p w14:paraId="204ED9EC" w14:textId="77777777" w:rsidR="00F118B8" w:rsidRPr="00D37452" w:rsidRDefault="006C7038">
      <w:pPr>
        <w:spacing w:line="480" w:lineRule="auto"/>
      </w:pPr>
      <w:r w:rsidRPr="00D37452">
        <w:rPr>
          <w:sz w:val="24"/>
          <w:szCs w:val="24"/>
        </w:rPr>
        <w:t xml:space="preserve">Judicial Review Is the process of challenging decisions in courts that have been made by public bodies. They should not consider the merits of the decision (Cambridge Health Authority (1995). The applicant needs to obtain the courts permission to proceed with claim. If granted they will have a full hearing on alleged ground of review. </w:t>
      </w:r>
      <w:bookmarkStart w:id="74" w:name="_Hlk59040818"/>
      <w:r w:rsidRPr="00D37452">
        <w:rPr>
          <w:sz w:val="24"/>
          <w:szCs w:val="24"/>
        </w:rPr>
        <w:t xml:space="preserve">Under S.31(1) </w:t>
      </w:r>
      <w:bookmarkEnd w:id="74"/>
      <w:r w:rsidRPr="00D37452">
        <w:rPr>
          <w:sz w:val="24"/>
          <w:szCs w:val="24"/>
        </w:rPr>
        <w:t>to apply for judicial review, the applicant must be eligible and under the civil procedure rules part 54, the court must consider that the applicant has had sufficient interest in the matter in which the applicant relates. So, the claimant must be directly and adversely affected or “best placed” to bring the claim. If there standing, it would refer to a person having the right to make an application for judicial review. This refers to locus standi.</w:t>
      </w:r>
    </w:p>
    <w:p w14:paraId="0C0AE889" w14:textId="7558F6A1" w:rsidR="00F118B8" w:rsidRPr="00D37452" w:rsidRDefault="006C7038">
      <w:pPr>
        <w:spacing w:before="240" w:line="480" w:lineRule="auto"/>
        <w:rPr>
          <w:sz w:val="24"/>
          <w:szCs w:val="24"/>
        </w:rPr>
      </w:pPr>
      <w:r w:rsidRPr="00D37452">
        <w:rPr>
          <w:sz w:val="24"/>
          <w:szCs w:val="24"/>
        </w:rPr>
        <w:t xml:space="preserve">Firstly, the Plastic Regulatory Act is a public law body as it is exercising statutory functions under the Environmental Protection Act. </w:t>
      </w:r>
      <w:r w:rsidR="002C5121" w:rsidRPr="00D37452">
        <w:rPr>
          <w:sz w:val="24"/>
          <w:szCs w:val="24"/>
        </w:rPr>
        <w:t>The public law function is referring to the granting of licenses.</w:t>
      </w:r>
      <w:r w:rsidR="002C5121" w:rsidRPr="00D37452">
        <w:rPr>
          <w:sz w:val="24"/>
          <w:szCs w:val="24"/>
        </w:rPr>
        <w:t xml:space="preserve"> </w:t>
      </w:r>
      <w:r w:rsidRPr="00D37452">
        <w:rPr>
          <w:sz w:val="24"/>
          <w:szCs w:val="24"/>
        </w:rPr>
        <w:t xml:space="preserve">Therefore, the Plastic Regulatory Act is amendable for judicial review (O’Reilly v </w:t>
      </w:r>
      <w:proofErr w:type="spellStart"/>
      <w:r w:rsidRPr="00D37452">
        <w:rPr>
          <w:sz w:val="24"/>
          <w:szCs w:val="24"/>
        </w:rPr>
        <w:t>Mackman</w:t>
      </w:r>
      <w:proofErr w:type="spellEnd"/>
      <w:r w:rsidRPr="00D37452">
        <w:rPr>
          <w:sz w:val="24"/>
          <w:szCs w:val="24"/>
        </w:rPr>
        <w:t xml:space="preserve"> (1983)). Norton Solutions and the NRT has been directly affected as Norton Solutions has been refused a licence for a recycling plant in Swansea area. NRT did not hear about the new licence application as it was not posted on their website, this meant that people were unaware of the proposed recycling plant </w:t>
      </w:r>
      <w:r w:rsidR="00714FB6" w:rsidRPr="00D37452">
        <w:rPr>
          <w:sz w:val="24"/>
          <w:szCs w:val="24"/>
        </w:rPr>
        <w:t>which meant</w:t>
      </w:r>
      <w:r w:rsidRPr="00D37452">
        <w:rPr>
          <w:sz w:val="24"/>
          <w:szCs w:val="24"/>
        </w:rPr>
        <w:t xml:space="preserve"> NRT could not put forward any concerns regarding environmental impacts. Therefore, under s.3 (1) of the Supreme Court Act (1981) they have ‘sufficient interest’ that they have been affected by the decision (Inland Revenue Commissioners v National Federation of Self-Employment and Small Business Ltd).</w:t>
      </w:r>
    </w:p>
    <w:p w14:paraId="22CE3E21" w14:textId="15F7BCFF" w:rsidR="00DD15BA" w:rsidRPr="00D37452" w:rsidRDefault="006C7038">
      <w:pPr>
        <w:spacing w:before="240" w:line="480" w:lineRule="auto"/>
        <w:rPr>
          <w:color w:val="FF0000"/>
          <w:sz w:val="24"/>
          <w:szCs w:val="24"/>
        </w:rPr>
      </w:pPr>
      <w:r w:rsidRPr="00D37452">
        <w:rPr>
          <w:sz w:val="24"/>
          <w:szCs w:val="24"/>
        </w:rPr>
        <w:lastRenderedPageBreak/>
        <w:t>The Nature Reverse Trust is a group which campaigns nationwide on environmental issues, this means that there a pressure group that share a common interest. Since the decision by the House of Lords in Fleet Street casuals’ case there have been many cases where public interest groups have been held to have ‘sufficient interest’ (R v Secretary of State for Social Services, ex p Child Poverty Action Group (1989))</w:t>
      </w:r>
      <w:r w:rsidRPr="00D37452">
        <w:rPr>
          <w:color w:val="FF0000"/>
          <w:sz w:val="24"/>
          <w:szCs w:val="24"/>
        </w:rPr>
        <w:t>.</w:t>
      </w:r>
      <w:r w:rsidRPr="00D37452">
        <w:rPr>
          <w:sz w:val="24"/>
          <w:szCs w:val="24"/>
        </w:rPr>
        <w:t xml:space="preserve"> It can be challenged because Norton Solutions has evidence that suggests </w:t>
      </w:r>
      <w:proofErr w:type="spellStart"/>
      <w:r w:rsidRPr="00D37452">
        <w:rPr>
          <w:sz w:val="24"/>
          <w:szCs w:val="24"/>
        </w:rPr>
        <w:t>Westcross</w:t>
      </w:r>
      <w:proofErr w:type="spellEnd"/>
      <w:r w:rsidRPr="00D37452">
        <w:rPr>
          <w:sz w:val="24"/>
          <w:szCs w:val="24"/>
        </w:rPr>
        <w:t xml:space="preserve"> plc will not be able to meet the local demand for plastics recycling.</w:t>
      </w:r>
      <w:r w:rsidR="00DD15BA" w:rsidRPr="00D37452">
        <w:rPr>
          <w:sz w:val="24"/>
          <w:szCs w:val="24"/>
        </w:rPr>
        <w:t xml:space="preserve"> The courts would </w:t>
      </w:r>
      <w:r w:rsidR="00C70175" w:rsidRPr="00D37452">
        <w:rPr>
          <w:sz w:val="24"/>
          <w:szCs w:val="24"/>
        </w:rPr>
        <w:t>consider</w:t>
      </w:r>
      <w:r w:rsidR="00DD15BA" w:rsidRPr="00D37452">
        <w:rPr>
          <w:sz w:val="24"/>
          <w:szCs w:val="24"/>
        </w:rPr>
        <w:t xml:space="preserve"> </w:t>
      </w:r>
      <w:r w:rsidR="00850185" w:rsidRPr="00D37452">
        <w:rPr>
          <w:sz w:val="24"/>
          <w:szCs w:val="24"/>
        </w:rPr>
        <w:t>that Norton solutions has sufficient interest</w:t>
      </w:r>
      <w:r w:rsidR="005D3C83" w:rsidRPr="00D37452">
        <w:rPr>
          <w:sz w:val="24"/>
          <w:szCs w:val="24"/>
        </w:rPr>
        <w:t xml:space="preserve"> because the decision has affected Nort</w:t>
      </w:r>
      <w:r w:rsidR="00714FB6" w:rsidRPr="00D37452">
        <w:rPr>
          <w:sz w:val="24"/>
          <w:szCs w:val="24"/>
        </w:rPr>
        <w:t>o</w:t>
      </w:r>
      <w:r w:rsidR="005D3C83" w:rsidRPr="00D37452">
        <w:rPr>
          <w:sz w:val="24"/>
          <w:szCs w:val="24"/>
        </w:rPr>
        <w:t>n Solutions and has amounted to interest</w:t>
      </w:r>
      <w:r w:rsidR="00714FB6" w:rsidRPr="00D37452">
        <w:rPr>
          <w:sz w:val="24"/>
          <w:szCs w:val="24"/>
        </w:rPr>
        <w:t>. The PRA has acted ultra vires</w:t>
      </w:r>
      <w:r w:rsidR="005D3C83" w:rsidRPr="00D37452">
        <w:rPr>
          <w:sz w:val="24"/>
          <w:szCs w:val="24"/>
        </w:rPr>
        <w:t xml:space="preserve"> </w:t>
      </w:r>
      <w:r w:rsidR="00714FB6" w:rsidRPr="00D37452">
        <w:rPr>
          <w:sz w:val="24"/>
          <w:szCs w:val="24"/>
        </w:rPr>
        <w:t>(</w:t>
      </w:r>
      <w:r w:rsidR="005D3C83" w:rsidRPr="00D37452">
        <w:rPr>
          <w:sz w:val="24"/>
          <w:szCs w:val="24"/>
        </w:rPr>
        <w:t>R v S</w:t>
      </w:r>
      <w:r w:rsidR="00714FB6" w:rsidRPr="00D37452">
        <w:rPr>
          <w:sz w:val="24"/>
          <w:szCs w:val="24"/>
        </w:rPr>
        <w:t>O</w:t>
      </w:r>
      <w:r w:rsidR="005D3C83" w:rsidRPr="00D37452">
        <w:rPr>
          <w:sz w:val="24"/>
          <w:szCs w:val="24"/>
        </w:rPr>
        <w:t>S for Foreign Affairs ex p. World Development Movement Ltd (1995)).</w:t>
      </w:r>
      <w:r w:rsidR="00C70175" w:rsidRPr="00D37452">
        <w:rPr>
          <w:sz w:val="24"/>
          <w:szCs w:val="24"/>
        </w:rPr>
        <w:t xml:space="preserve"> </w:t>
      </w:r>
    </w:p>
    <w:p w14:paraId="0129FDE3" w14:textId="77777777" w:rsidR="00F118B8" w:rsidRPr="00D37452" w:rsidRDefault="006C7038">
      <w:pPr>
        <w:spacing w:line="480" w:lineRule="auto"/>
      </w:pPr>
      <w:r w:rsidRPr="00D37452">
        <w:rPr>
          <w:sz w:val="24"/>
          <w:szCs w:val="24"/>
        </w:rPr>
        <w:t>The role of the pressure group is vital as they are in the best place to bring the claim, there is evidence that there is ultra vires as the Plastic Regulatory Act had acted beyond their powers (</w:t>
      </w:r>
      <w:bookmarkStart w:id="75" w:name="_Hlk59040642"/>
      <w:r w:rsidRPr="00D37452">
        <w:rPr>
          <w:sz w:val="24"/>
          <w:szCs w:val="24"/>
        </w:rPr>
        <w:t xml:space="preserve">Attorney General v Fulham Corporation (1921)). The NRT play a key role as they see to environmental issues.  No public body should act outside its powers. In the case of </w:t>
      </w:r>
      <w:bookmarkStart w:id="76" w:name="_Hlk58696907"/>
      <w:r w:rsidRPr="00D37452">
        <w:rPr>
          <w:sz w:val="24"/>
          <w:szCs w:val="24"/>
        </w:rPr>
        <w:t>CCSU v Minister for Civil Service</w:t>
      </w:r>
      <w:bookmarkEnd w:id="75"/>
      <w:bookmarkEnd w:id="76"/>
      <w:r w:rsidRPr="00D37452">
        <w:rPr>
          <w:sz w:val="24"/>
          <w:szCs w:val="24"/>
        </w:rPr>
        <w:t xml:space="preserve">, Lord Diplock had identified four potential grounds which are illegality, irrationality, procedural impropriety, and proportionality. </w:t>
      </w:r>
    </w:p>
    <w:p w14:paraId="42FDA0F1" w14:textId="2D181C16" w:rsidR="00F118B8" w:rsidRPr="00D37452" w:rsidRDefault="006C7038">
      <w:pPr>
        <w:spacing w:line="480" w:lineRule="auto"/>
        <w:rPr>
          <w:color w:val="00B050"/>
          <w:sz w:val="24"/>
          <w:szCs w:val="24"/>
        </w:rPr>
      </w:pPr>
      <w:r w:rsidRPr="00D37452">
        <w:rPr>
          <w:sz w:val="24"/>
          <w:szCs w:val="24"/>
        </w:rPr>
        <w:t xml:space="preserve">According to the Civil Procedures Rules 54.5 the claimant should apply for commission for judicial review promptly within three months from the date of the decision, including the facts and arguments, then they must submit it to the Administrative Court (R v Dairy Produce Quota Tribunal for England and Wales (1990)).  However, the court has got discretion to extend that limit if good reason exists (R v Stratford-on Avon District Council, ex p Jackson 1985). </w:t>
      </w:r>
      <w:r w:rsidR="005D3C83" w:rsidRPr="00D37452">
        <w:rPr>
          <w:sz w:val="24"/>
          <w:szCs w:val="24"/>
        </w:rPr>
        <w:t xml:space="preserve">Providing Norton makes a claim promptly them timing would not be an issue. However, it states four months for the NRT. This means that the NRT has not met the </w:t>
      </w:r>
      <w:r w:rsidR="005D3C83" w:rsidRPr="00D37452">
        <w:rPr>
          <w:sz w:val="24"/>
          <w:szCs w:val="24"/>
        </w:rPr>
        <w:lastRenderedPageBreak/>
        <w:t xml:space="preserve">time limit under s.54.5. The Act of Parliament can possibly restrict this time limit further as seen in R v Stratford. </w:t>
      </w:r>
      <w:r w:rsidR="001D0ED7" w:rsidRPr="00D37452">
        <w:rPr>
          <w:sz w:val="24"/>
          <w:szCs w:val="24"/>
        </w:rPr>
        <w:t>A good r</w:t>
      </w:r>
      <w:r w:rsidR="005D3C83" w:rsidRPr="00D37452">
        <w:rPr>
          <w:sz w:val="24"/>
          <w:szCs w:val="24"/>
        </w:rPr>
        <w:t>eason exists</w:t>
      </w:r>
      <w:r w:rsidR="001D0ED7" w:rsidRPr="00D37452">
        <w:rPr>
          <w:sz w:val="24"/>
          <w:szCs w:val="24"/>
        </w:rPr>
        <w:t xml:space="preserve">, </w:t>
      </w:r>
      <w:r w:rsidR="005D3C83" w:rsidRPr="00D37452">
        <w:rPr>
          <w:sz w:val="24"/>
          <w:szCs w:val="24"/>
        </w:rPr>
        <w:t xml:space="preserve">however, </w:t>
      </w:r>
      <w:r w:rsidR="001D0ED7" w:rsidRPr="00D37452">
        <w:rPr>
          <w:sz w:val="24"/>
          <w:szCs w:val="24"/>
        </w:rPr>
        <w:t xml:space="preserve">Norton and NRT </w:t>
      </w:r>
      <w:r w:rsidR="005D3C83" w:rsidRPr="00D37452">
        <w:rPr>
          <w:sz w:val="24"/>
          <w:szCs w:val="24"/>
        </w:rPr>
        <w:t>can still be refused judicial review.</w:t>
      </w:r>
      <w:r w:rsidR="005D3C83" w:rsidRPr="00D37452">
        <w:rPr>
          <w:color w:val="00B050"/>
          <w:sz w:val="24"/>
          <w:szCs w:val="24"/>
        </w:rPr>
        <w:t xml:space="preserve"> </w:t>
      </w:r>
    </w:p>
    <w:p w14:paraId="59E964DA" w14:textId="06D5D9B0" w:rsidR="003A3D6F" w:rsidRPr="00D37452" w:rsidRDefault="00176CED">
      <w:pPr>
        <w:spacing w:line="480" w:lineRule="auto"/>
        <w:rPr>
          <w:sz w:val="24"/>
          <w:szCs w:val="24"/>
        </w:rPr>
      </w:pPr>
      <w:r w:rsidRPr="00D37452">
        <w:rPr>
          <w:sz w:val="24"/>
          <w:szCs w:val="24"/>
        </w:rPr>
        <w:t xml:space="preserve">The PRA only has the power to grant licences to one person in one area. There are two recycling plants In Swansea area. In relation to Irrationality, they had not used the law rationally. They had refused a licence for Norton Solutions on the basis that only one recycling plant Is allowed in one area. However, </w:t>
      </w:r>
      <w:proofErr w:type="spellStart"/>
      <w:r w:rsidRPr="00D37452">
        <w:rPr>
          <w:sz w:val="24"/>
          <w:szCs w:val="24"/>
        </w:rPr>
        <w:t>Westcross</w:t>
      </w:r>
      <w:proofErr w:type="spellEnd"/>
      <w:r w:rsidRPr="00D37452">
        <w:rPr>
          <w:sz w:val="24"/>
          <w:szCs w:val="24"/>
        </w:rPr>
        <w:t xml:space="preserve"> plc and PRA have a recycling plant in Swansea (Associated Provincial Picture House v Wednesbury Corporation (1948)). The decision of turning down the licence when they have already broken the law is very unreasonable and is unlawful. In relation to Norton’s application, it shows that the decision to limit the number of licences is irrational because the purpose of the Act is to encourage recycling.  </w:t>
      </w:r>
    </w:p>
    <w:p w14:paraId="422F0000" w14:textId="550CF633" w:rsidR="003A3D6F" w:rsidRPr="00D37452" w:rsidRDefault="003A3D6F">
      <w:pPr>
        <w:spacing w:line="480" w:lineRule="auto"/>
        <w:rPr>
          <w:sz w:val="20"/>
          <w:szCs w:val="20"/>
        </w:rPr>
      </w:pPr>
      <w:r w:rsidRPr="00D37452">
        <w:rPr>
          <w:sz w:val="24"/>
          <w:szCs w:val="24"/>
        </w:rPr>
        <w:t xml:space="preserve">The Plastic Regulatory Act did not have </w:t>
      </w:r>
      <w:r w:rsidR="00447A1E" w:rsidRPr="00D37452">
        <w:rPr>
          <w:sz w:val="24"/>
          <w:szCs w:val="24"/>
        </w:rPr>
        <w:t>an</w:t>
      </w:r>
      <w:r w:rsidRPr="00D37452">
        <w:rPr>
          <w:sz w:val="24"/>
          <w:szCs w:val="24"/>
        </w:rPr>
        <w:t xml:space="preserve"> ulterior purpose. Under the Environment</w:t>
      </w:r>
      <w:r w:rsidR="00447A1E" w:rsidRPr="00D37452">
        <w:rPr>
          <w:sz w:val="24"/>
          <w:szCs w:val="24"/>
        </w:rPr>
        <w:t>al Protection Act their role was to have one recycling plan</w:t>
      </w:r>
      <w:r w:rsidR="001871BC" w:rsidRPr="00D37452">
        <w:rPr>
          <w:sz w:val="24"/>
          <w:szCs w:val="24"/>
        </w:rPr>
        <w:t>t</w:t>
      </w:r>
      <w:r w:rsidR="00447A1E" w:rsidRPr="00D37452">
        <w:rPr>
          <w:sz w:val="24"/>
          <w:szCs w:val="24"/>
        </w:rPr>
        <w:t xml:space="preserve"> in one area and to ensure they display all application on the proposed site, online and in newspaper. Therefore, the court could fin</w:t>
      </w:r>
      <w:r w:rsidR="00C70175" w:rsidRPr="00D37452">
        <w:rPr>
          <w:sz w:val="24"/>
          <w:szCs w:val="24"/>
        </w:rPr>
        <w:t>d that</w:t>
      </w:r>
      <w:r w:rsidR="00447A1E" w:rsidRPr="00D37452">
        <w:rPr>
          <w:sz w:val="24"/>
          <w:szCs w:val="24"/>
        </w:rPr>
        <w:t xml:space="preserve"> the Act to have acted ultra vires, Congreve v Home office (1976).</w:t>
      </w:r>
      <w:r w:rsidR="00C70175" w:rsidRPr="00D37452">
        <w:rPr>
          <w:sz w:val="24"/>
          <w:szCs w:val="24"/>
        </w:rPr>
        <w:t xml:space="preserve"> Norton was interested in economic growth which is outside of the Acts purpose.</w:t>
      </w:r>
    </w:p>
    <w:p w14:paraId="3C493054" w14:textId="75CB4021" w:rsidR="006E72A7" w:rsidRPr="00D37452" w:rsidRDefault="006C7038" w:rsidP="001871BC">
      <w:pPr>
        <w:spacing w:before="240" w:line="480" w:lineRule="auto"/>
        <w:rPr>
          <w:sz w:val="24"/>
          <w:szCs w:val="24"/>
        </w:rPr>
      </w:pPr>
      <w:r w:rsidRPr="00D37452">
        <w:rPr>
          <w:sz w:val="24"/>
          <w:szCs w:val="24"/>
        </w:rPr>
        <w:t>The Plastic Regulatory Authority has made a mistake because the Environmental Protection Act requires that the authority must lay out that all applications made for the licence must be displayed at the proposed site, online and in the local newspaper, (R v Home Secretary, ex p. Khawaja (1984)) and (R (</w:t>
      </w:r>
      <w:proofErr w:type="spellStart"/>
      <w:r w:rsidRPr="00D37452">
        <w:rPr>
          <w:sz w:val="24"/>
          <w:szCs w:val="24"/>
        </w:rPr>
        <w:t>lumba</w:t>
      </w:r>
      <w:proofErr w:type="spellEnd"/>
      <w:r w:rsidRPr="00D37452">
        <w:rPr>
          <w:sz w:val="24"/>
          <w:szCs w:val="24"/>
        </w:rPr>
        <w:t>) v Secretary of State for the Home Department (2011)).</w:t>
      </w:r>
      <w:r w:rsidR="002908AE" w:rsidRPr="00D37452">
        <w:rPr>
          <w:sz w:val="24"/>
          <w:szCs w:val="24"/>
        </w:rPr>
        <w:t xml:space="preserve"> </w:t>
      </w:r>
      <w:r w:rsidR="00261D15" w:rsidRPr="00D37452">
        <w:rPr>
          <w:sz w:val="24"/>
          <w:szCs w:val="24"/>
        </w:rPr>
        <w:t>It</w:t>
      </w:r>
      <w:r w:rsidR="006E72A7" w:rsidRPr="00D37452">
        <w:rPr>
          <w:sz w:val="24"/>
          <w:szCs w:val="24"/>
        </w:rPr>
        <w:t xml:space="preserve"> is</w:t>
      </w:r>
      <w:r w:rsidR="00261D15" w:rsidRPr="00D37452">
        <w:rPr>
          <w:sz w:val="24"/>
          <w:szCs w:val="24"/>
        </w:rPr>
        <w:t xml:space="preserve"> required that all </w:t>
      </w:r>
      <w:r w:rsidR="006E72A7" w:rsidRPr="00D37452">
        <w:rPr>
          <w:sz w:val="24"/>
          <w:szCs w:val="24"/>
        </w:rPr>
        <w:t>statutory</w:t>
      </w:r>
      <w:r w:rsidR="00261D15" w:rsidRPr="00D37452">
        <w:rPr>
          <w:sz w:val="24"/>
          <w:szCs w:val="24"/>
        </w:rPr>
        <w:t xml:space="preserve"> bodies should be exercised in accordance with </w:t>
      </w:r>
      <w:r w:rsidR="006E72A7" w:rsidRPr="00D37452">
        <w:rPr>
          <w:sz w:val="24"/>
          <w:szCs w:val="24"/>
        </w:rPr>
        <w:t>specified</w:t>
      </w:r>
      <w:r w:rsidR="00261D15" w:rsidRPr="00D37452">
        <w:rPr>
          <w:sz w:val="24"/>
          <w:szCs w:val="24"/>
        </w:rPr>
        <w:t xml:space="preserve"> procedural requirements. Therefore, the Plastic Regulatory Act has not met the mandatory </w:t>
      </w:r>
      <w:r w:rsidR="00261D15" w:rsidRPr="00D37452">
        <w:rPr>
          <w:sz w:val="24"/>
          <w:szCs w:val="24"/>
        </w:rPr>
        <w:lastRenderedPageBreak/>
        <w:t xml:space="preserve">requirements </w:t>
      </w:r>
      <w:r w:rsidR="006E72A7" w:rsidRPr="00D37452">
        <w:rPr>
          <w:sz w:val="24"/>
          <w:szCs w:val="24"/>
        </w:rPr>
        <w:t>which is following</w:t>
      </w:r>
      <w:r w:rsidR="00261D15" w:rsidRPr="00D37452">
        <w:rPr>
          <w:sz w:val="24"/>
          <w:szCs w:val="24"/>
        </w:rPr>
        <w:t xml:space="preserve"> the </w:t>
      </w:r>
      <w:r w:rsidR="006E72A7" w:rsidRPr="00D37452">
        <w:rPr>
          <w:sz w:val="24"/>
          <w:szCs w:val="24"/>
        </w:rPr>
        <w:t>procedural</w:t>
      </w:r>
      <w:r w:rsidR="00261D15" w:rsidRPr="00D37452">
        <w:rPr>
          <w:sz w:val="24"/>
          <w:szCs w:val="24"/>
        </w:rPr>
        <w:t xml:space="preserve"> rules</w:t>
      </w:r>
      <w:r w:rsidR="006E72A7" w:rsidRPr="00D37452">
        <w:rPr>
          <w:sz w:val="24"/>
          <w:szCs w:val="24"/>
        </w:rPr>
        <w:t>.</w:t>
      </w:r>
      <w:r w:rsidR="006E72A7" w:rsidRPr="00D37452">
        <w:t xml:space="preserve"> </w:t>
      </w:r>
      <w:r w:rsidR="00930CB9" w:rsidRPr="00D37452">
        <w:rPr>
          <w:sz w:val="24"/>
          <w:szCs w:val="24"/>
        </w:rPr>
        <w:t>Consequently</w:t>
      </w:r>
      <w:r w:rsidR="006E72A7" w:rsidRPr="00D37452">
        <w:rPr>
          <w:sz w:val="24"/>
          <w:szCs w:val="24"/>
        </w:rPr>
        <w:t xml:space="preserve">, the breach makes the decision invalid as they did not put it on their </w:t>
      </w:r>
      <w:r w:rsidR="00176CED" w:rsidRPr="00D37452">
        <w:rPr>
          <w:sz w:val="24"/>
          <w:szCs w:val="24"/>
        </w:rPr>
        <w:t>website, (</w:t>
      </w:r>
      <w:r w:rsidR="006E72A7" w:rsidRPr="00D37452">
        <w:rPr>
          <w:sz w:val="24"/>
          <w:szCs w:val="24"/>
        </w:rPr>
        <w:t>Bradbury v Enfield LBC (1967)).</w:t>
      </w:r>
      <w:r w:rsidR="003A3D6F" w:rsidRPr="00D37452">
        <w:rPr>
          <w:sz w:val="24"/>
          <w:szCs w:val="24"/>
        </w:rPr>
        <w:t xml:space="preserve"> </w:t>
      </w:r>
      <w:r w:rsidR="001871BC" w:rsidRPr="00D37452">
        <w:rPr>
          <w:sz w:val="24"/>
          <w:szCs w:val="24"/>
        </w:rPr>
        <w:t>The court will come to the decision by looking at whether there has been a substantial compliance with the requirement</w:t>
      </w:r>
      <w:bookmarkStart w:id="77" w:name="_Hlk59040443"/>
      <w:r w:rsidR="001871BC" w:rsidRPr="00D37452">
        <w:rPr>
          <w:sz w:val="24"/>
          <w:szCs w:val="24"/>
        </w:rPr>
        <w:t xml:space="preserve"> (</w:t>
      </w:r>
      <w:r w:rsidR="002908AE" w:rsidRPr="00D37452">
        <w:rPr>
          <w:sz w:val="24"/>
          <w:szCs w:val="24"/>
        </w:rPr>
        <w:t>R v S</w:t>
      </w:r>
      <w:r w:rsidR="00930CB9" w:rsidRPr="00D37452">
        <w:rPr>
          <w:sz w:val="24"/>
          <w:szCs w:val="24"/>
        </w:rPr>
        <w:t>O</w:t>
      </w:r>
      <w:r w:rsidR="002908AE" w:rsidRPr="00D37452">
        <w:rPr>
          <w:sz w:val="24"/>
          <w:szCs w:val="24"/>
        </w:rPr>
        <w:t xml:space="preserve">S for the Home Department ex p. </w:t>
      </w:r>
      <w:proofErr w:type="spellStart"/>
      <w:r w:rsidR="002908AE" w:rsidRPr="00D37452">
        <w:rPr>
          <w:sz w:val="24"/>
          <w:szCs w:val="24"/>
        </w:rPr>
        <w:t>Jayeanthan</w:t>
      </w:r>
      <w:proofErr w:type="spellEnd"/>
      <w:r w:rsidR="002908AE" w:rsidRPr="00D37452">
        <w:rPr>
          <w:sz w:val="24"/>
          <w:szCs w:val="24"/>
        </w:rPr>
        <w:t xml:space="preserve"> </w:t>
      </w:r>
      <w:r w:rsidR="001871BC" w:rsidRPr="00D37452">
        <w:rPr>
          <w:sz w:val="24"/>
          <w:szCs w:val="24"/>
        </w:rPr>
        <w:t>(</w:t>
      </w:r>
      <w:r w:rsidR="002908AE" w:rsidRPr="00D37452">
        <w:rPr>
          <w:sz w:val="24"/>
          <w:szCs w:val="24"/>
        </w:rPr>
        <w:t>2000</w:t>
      </w:r>
      <w:r w:rsidR="001871BC" w:rsidRPr="00D37452">
        <w:rPr>
          <w:sz w:val="24"/>
          <w:szCs w:val="24"/>
        </w:rPr>
        <w:t>)).</w:t>
      </w:r>
      <w:bookmarkEnd w:id="77"/>
    </w:p>
    <w:p w14:paraId="31C7BF03" w14:textId="6682A036" w:rsidR="00F118B8" w:rsidRPr="00D37452" w:rsidRDefault="006C7038" w:rsidP="00C70175">
      <w:pPr>
        <w:spacing w:line="480" w:lineRule="auto"/>
      </w:pPr>
      <w:r w:rsidRPr="00D37452">
        <w:rPr>
          <w:sz w:val="24"/>
          <w:szCs w:val="24"/>
        </w:rPr>
        <w:t xml:space="preserve">NRT is concerned that most users for the nature are unaware of the new recycling plant </w:t>
      </w:r>
      <w:bookmarkStart w:id="78" w:name="_Hlk58520756"/>
      <w:r w:rsidRPr="00D37452">
        <w:rPr>
          <w:sz w:val="24"/>
          <w:szCs w:val="24"/>
        </w:rPr>
        <w:t xml:space="preserve">and they could not put forward any concerns regarding environmental impact. </w:t>
      </w:r>
      <w:bookmarkEnd w:id="78"/>
      <w:r w:rsidRPr="00D37452">
        <w:rPr>
          <w:sz w:val="24"/>
          <w:szCs w:val="24"/>
        </w:rPr>
        <w:t xml:space="preserve">Therefore, the Authority has acted beyond there statutory powers. This could potentially be an error of law, this is reviewable. </w:t>
      </w:r>
    </w:p>
    <w:p w14:paraId="56F7B120" w14:textId="77777777" w:rsidR="00F118B8" w:rsidRPr="00D37452" w:rsidRDefault="006C7038" w:rsidP="00C70175">
      <w:pPr>
        <w:spacing w:line="480" w:lineRule="auto"/>
        <w:rPr>
          <w:sz w:val="24"/>
          <w:szCs w:val="24"/>
        </w:rPr>
      </w:pPr>
      <w:r w:rsidRPr="00D37452">
        <w:rPr>
          <w:sz w:val="24"/>
          <w:szCs w:val="24"/>
        </w:rPr>
        <w:t>Errors of law are subject to judicial review; therefore, the claimants are specifically an outer clause excluding the jurisdictions of the court. Lord Diplock made it clear that the courts can judicially review decisions of inferior bodies or tribunals even if there is an outer cause. If Norton Solutions shows that there is an error of law, then that is a sufficient reason for the court to engage in judicial review (Re Racal Communication (1981).</w:t>
      </w:r>
    </w:p>
    <w:p w14:paraId="68649E91" w14:textId="3CAB0DC3" w:rsidR="00F118B8" w:rsidRPr="00D37452" w:rsidRDefault="00C70175" w:rsidP="00C70175">
      <w:pPr>
        <w:spacing w:line="480" w:lineRule="auto"/>
        <w:rPr>
          <w:sz w:val="24"/>
          <w:szCs w:val="24"/>
        </w:rPr>
      </w:pPr>
      <w:r w:rsidRPr="00D37452">
        <w:rPr>
          <w:sz w:val="24"/>
          <w:szCs w:val="24"/>
        </w:rPr>
        <w:t xml:space="preserve">Under the illegality fettering discretion policy, the </w:t>
      </w:r>
      <w:r w:rsidR="006C7038" w:rsidRPr="00D37452">
        <w:rPr>
          <w:sz w:val="24"/>
          <w:szCs w:val="24"/>
        </w:rPr>
        <w:t>PRA did not act within the law, therefore its unlawful because its irrational. The general rule is that anyone who must exercise a statutory discretion must not ‘shut his ears to an application’. They should listen to arguments (</w:t>
      </w:r>
      <w:bookmarkStart w:id="79" w:name="_Hlk59040359"/>
      <w:r w:rsidR="006C7038" w:rsidRPr="00D37452">
        <w:rPr>
          <w:sz w:val="24"/>
          <w:szCs w:val="24"/>
        </w:rPr>
        <w:t>British Oxygen Company ltd v Minister of Technology (1971)</w:t>
      </w:r>
      <w:bookmarkEnd w:id="79"/>
      <w:r w:rsidR="006C7038" w:rsidRPr="00D37452">
        <w:rPr>
          <w:sz w:val="24"/>
          <w:szCs w:val="24"/>
        </w:rPr>
        <w:t xml:space="preserve">). </w:t>
      </w:r>
      <w:r w:rsidR="003A3D6F" w:rsidRPr="00D37452">
        <w:rPr>
          <w:sz w:val="24"/>
          <w:szCs w:val="24"/>
        </w:rPr>
        <w:t xml:space="preserve"> Norton Solutions may be able to argue this point because they have evidence suggesting that </w:t>
      </w:r>
      <w:proofErr w:type="spellStart"/>
      <w:r w:rsidR="003A3D6F" w:rsidRPr="00D37452">
        <w:rPr>
          <w:sz w:val="24"/>
          <w:szCs w:val="24"/>
        </w:rPr>
        <w:t>Westcross</w:t>
      </w:r>
      <w:proofErr w:type="spellEnd"/>
      <w:r w:rsidR="003A3D6F" w:rsidRPr="00D37452">
        <w:rPr>
          <w:sz w:val="24"/>
          <w:szCs w:val="24"/>
        </w:rPr>
        <w:t xml:space="preserve"> plc would not be able to meet the demand. </w:t>
      </w:r>
      <w:r w:rsidR="006C7038" w:rsidRPr="00D37452">
        <w:rPr>
          <w:sz w:val="24"/>
          <w:szCs w:val="24"/>
        </w:rPr>
        <w:t xml:space="preserve"> </w:t>
      </w:r>
    </w:p>
    <w:p w14:paraId="5933C752" w14:textId="77777777" w:rsidR="00930CB9" w:rsidRPr="00D37452" w:rsidRDefault="003A3D6F">
      <w:pPr>
        <w:spacing w:line="480" w:lineRule="auto"/>
        <w:rPr>
          <w:sz w:val="24"/>
          <w:szCs w:val="24"/>
        </w:rPr>
      </w:pPr>
      <w:r w:rsidRPr="00D37452">
        <w:rPr>
          <w:sz w:val="24"/>
          <w:szCs w:val="24"/>
        </w:rPr>
        <w:t>Each Claimant should apply for judicial review and</w:t>
      </w:r>
      <w:r w:rsidR="006C7038" w:rsidRPr="00D37452">
        <w:rPr>
          <w:sz w:val="24"/>
          <w:szCs w:val="24"/>
        </w:rPr>
        <w:t xml:space="preserve"> Quashing order</w:t>
      </w:r>
      <w:r w:rsidRPr="00D37452">
        <w:rPr>
          <w:sz w:val="24"/>
          <w:szCs w:val="24"/>
        </w:rPr>
        <w:t xml:space="preserve">. As a quashing order invalidates a public </w:t>
      </w:r>
      <w:r w:rsidR="00C70175" w:rsidRPr="00D37452">
        <w:rPr>
          <w:sz w:val="24"/>
          <w:szCs w:val="24"/>
        </w:rPr>
        <w:t>bodies</w:t>
      </w:r>
      <w:r w:rsidRPr="00D37452">
        <w:rPr>
          <w:sz w:val="24"/>
          <w:szCs w:val="24"/>
        </w:rPr>
        <w:t xml:space="preserve"> decision, (Wheeler v Leicester City Council (1985).</w:t>
      </w:r>
    </w:p>
    <w:p w14:paraId="4626920C" w14:textId="656E72B7" w:rsidR="00F118B8" w:rsidRPr="00930CB9" w:rsidRDefault="006C7038">
      <w:pPr>
        <w:spacing w:line="480" w:lineRule="auto"/>
        <w:rPr>
          <w:sz w:val="24"/>
          <w:szCs w:val="24"/>
        </w:rPr>
      </w:pPr>
      <w:r>
        <w:rPr>
          <w:b/>
          <w:bCs/>
          <w:sz w:val="28"/>
          <w:szCs w:val="28"/>
          <w:u w:val="single"/>
        </w:rPr>
        <w:lastRenderedPageBreak/>
        <w:t xml:space="preserve">Legislation </w:t>
      </w:r>
    </w:p>
    <w:p w14:paraId="02F2D411" w14:textId="77777777" w:rsidR="00D37452" w:rsidRDefault="00D37452" w:rsidP="00D37452">
      <w:pPr>
        <w:pStyle w:val="ListParagraph"/>
        <w:numPr>
          <w:ilvl w:val="0"/>
          <w:numId w:val="6"/>
        </w:numPr>
      </w:pPr>
      <w:r w:rsidRPr="00D37452">
        <w:t>Civil Procedures Rules 54.5</w:t>
      </w:r>
    </w:p>
    <w:p w14:paraId="38BE442D" w14:textId="77777777" w:rsidR="00D37452" w:rsidRDefault="00D37452" w:rsidP="00D37452">
      <w:pPr>
        <w:pStyle w:val="ListParagraph"/>
        <w:numPr>
          <w:ilvl w:val="0"/>
          <w:numId w:val="6"/>
        </w:numPr>
      </w:pPr>
      <w:r>
        <w:t>Environmental Protection Act</w:t>
      </w:r>
    </w:p>
    <w:p w14:paraId="764A4E6F" w14:textId="77777777" w:rsidR="00D37452" w:rsidRDefault="00D37452" w:rsidP="00D37452">
      <w:pPr>
        <w:pStyle w:val="ListParagraph"/>
        <w:numPr>
          <w:ilvl w:val="0"/>
          <w:numId w:val="6"/>
        </w:numPr>
      </w:pPr>
      <w:r>
        <w:t xml:space="preserve">Plastic Regulatory Act </w:t>
      </w:r>
    </w:p>
    <w:p w14:paraId="1BAFF23C" w14:textId="77777777" w:rsidR="00D37452" w:rsidRDefault="00D37452" w:rsidP="00D37452">
      <w:pPr>
        <w:pStyle w:val="ListParagraph"/>
        <w:numPr>
          <w:ilvl w:val="0"/>
          <w:numId w:val="6"/>
        </w:numPr>
      </w:pPr>
      <w:r>
        <w:t>S.3 (1) of the Supreme Court Act (1981)</w:t>
      </w:r>
    </w:p>
    <w:p w14:paraId="47ECAFA7" w14:textId="77777777" w:rsidR="00D37452" w:rsidRDefault="00D37452" w:rsidP="00D37452">
      <w:pPr>
        <w:pStyle w:val="ListParagraph"/>
        <w:numPr>
          <w:ilvl w:val="0"/>
          <w:numId w:val="6"/>
        </w:numPr>
      </w:pPr>
      <w:r w:rsidRPr="00D37452">
        <w:t>Under S.31(1)</w:t>
      </w:r>
    </w:p>
    <w:p w14:paraId="1E649268" w14:textId="1609EB74" w:rsidR="00F118B8" w:rsidRDefault="006C7038">
      <w:pPr>
        <w:spacing w:line="480" w:lineRule="auto"/>
        <w:rPr>
          <w:b/>
          <w:bCs/>
          <w:sz w:val="28"/>
          <w:szCs w:val="28"/>
          <w:u w:val="single"/>
        </w:rPr>
      </w:pPr>
      <w:r>
        <w:rPr>
          <w:b/>
          <w:bCs/>
          <w:sz w:val="28"/>
          <w:szCs w:val="28"/>
          <w:u w:val="single"/>
        </w:rPr>
        <w:t xml:space="preserve">Cases </w:t>
      </w:r>
    </w:p>
    <w:p w14:paraId="31F2EFEA" w14:textId="77777777" w:rsidR="00D37452" w:rsidRDefault="00D37452" w:rsidP="00D37452">
      <w:pPr>
        <w:pStyle w:val="ListParagraph"/>
        <w:numPr>
          <w:ilvl w:val="0"/>
          <w:numId w:val="5"/>
        </w:numPr>
        <w:spacing w:line="276" w:lineRule="auto"/>
      </w:pPr>
      <w:r w:rsidRPr="00930CB9">
        <w:t>(R (</w:t>
      </w:r>
      <w:proofErr w:type="spellStart"/>
      <w:r w:rsidRPr="00930CB9">
        <w:t>lumba</w:t>
      </w:r>
      <w:proofErr w:type="spellEnd"/>
      <w:r w:rsidRPr="00930CB9">
        <w:t>) v Secretary of State for the Home Department (2011)</w:t>
      </w:r>
    </w:p>
    <w:p w14:paraId="4FEAAD96" w14:textId="77777777" w:rsidR="00D37452" w:rsidRDefault="00D37452" w:rsidP="00D37452">
      <w:pPr>
        <w:pStyle w:val="ListParagraph"/>
        <w:numPr>
          <w:ilvl w:val="0"/>
          <w:numId w:val="5"/>
        </w:numPr>
        <w:spacing w:line="276" w:lineRule="auto"/>
      </w:pPr>
      <w:r w:rsidRPr="00930CB9">
        <w:t xml:space="preserve">(R v SOS for the Home Department ex p. </w:t>
      </w:r>
      <w:proofErr w:type="spellStart"/>
      <w:r w:rsidRPr="00930CB9">
        <w:t>Jayeanthan</w:t>
      </w:r>
      <w:proofErr w:type="spellEnd"/>
      <w:r w:rsidRPr="00930CB9">
        <w:t xml:space="preserve"> (2000)).</w:t>
      </w:r>
    </w:p>
    <w:p w14:paraId="79123B90" w14:textId="77777777" w:rsidR="00D37452" w:rsidRDefault="00D37452" w:rsidP="00D37452">
      <w:pPr>
        <w:pStyle w:val="ListParagraph"/>
        <w:numPr>
          <w:ilvl w:val="0"/>
          <w:numId w:val="5"/>
        </w:numPr>
      </w:pPr>
      <w:r w:rsidRPr="00930CB9">
        <w:t>Associated Provincial Picture House v Wednesbury Corporation (1948)</w:t>
      </w:r>
    </w:p>
    <w:p w14:paraId="4B840EFA" w14:textId="77777777" w:rsidR="00D37452" w:rsidRDefault="00D37452" w:rsidP="00D37452">
      <w:pPr>
        <w:pStyle w:val="ListParagraph"/>
        <w:numPr>
          <w:ilvl w:val="0"/>
          <w:numId w:val="5"/>
        </w:numPr>
      </w:pPr>
      <w:r w:rsidRPr="00930CB9">
        <w:t>Attorney General v Fulham Corporation (1921)</w:t>
      </w:r>
    </w:p>
    <w:p w14:paraId="243F7CD7" w14:textId="77777777" w:rsidR="00D37452" w:rsidRDefault="00D37452" w:rsidP="00D37452">
      <w:pPr>
        <w:pStyle w:val="ListParagraph"/>
        <w:numPr>
          <w:ilvl w:val="0"/>
          <w:numId w:val="5"/>
        </w:numPr>
        <w:spacing w:line="276" w:lineRule="auto"/>
      </w:pPr>
      <w:r w:rsidRPr="00930CB9">
        <w:t>Bradbury v Enfield LBC (1967)</w:t>
      </w:r>
    </w:p>
    <w:p w14:paraId="32A50CC9" w14:textId="77777777" w:rsidR="00D37452" w:rsidRPr="00930CB9" w:rsidRDefault="00D37452" w:rsidP="00D37452">
      <w:pPr>
        <w:pStyle w:val="ListParagraph"/>
        <w:numPr>
          <w:ilvl w:val="0"/>
          <w:numId w:val="5"/>
        </w:numPr>
        <w:spacing w:line="276" w:lineRule="auto"/>
      </w:pPr>
      <w:r w:rsidRPr="00930CB9">
        <w:t>British Oxygen Company ltd v Minister of Technology (1971)</w:t>
      </w:r>
    </w:p>
    <w:p w14:paraId="00E85C35" w14:textId="77777777" w:rsidR="00D37452" w:rsidRPr="00930CB9" w:rsidRDefault="00D37452" w:rsidP="00D37452">
      <w:pPr>
        <w:pStyle w:val="ListParagraph"/>
        <w:numPr>
          <w:ilvl w:val="0"/>
          <w:numId w:val="5"/>
        </w:numPr>
        <w:spacing w:line="276" w:lineRule="auto"/>
      </w:pPr>
      <w:r w:rsidRPr="00930CB9">
        <w:t>Cambridge Health Authority (1995)</w:t>
      </w:r>
    </w:p>
    <w:p w14:paraId="6D2600EB" w14:textId="77777777" w:rsidR="00D37452" w:rsidRDefault="00D37452" w:rsidP="00D37452">
      <w:pPr>
        <w:pStyle w:val="ListParagraph"/>
        <w:numPr>
          <w:ilvl w:val="0"/>
          <w:numId w:val="5"/>
        </w:numPr>
      </w:pPr>
      <w:r w:rsidRPr="00930CB9">
        <w:t>CCSU v Minister for Civil Service</w:t>
      </w:r>
    </w:p>
    <w:p w14:paraId="65FE22E4" w14:textId="77777777" w:rsidR="00D37452" w:rsidRDefault="00D37452" w:rsidP="00D37452">
      <w:pPr>
        <w:pStyle w:val="ListParagraph"/>
        <w:numPr>
          <w:ilvl w:val="0"/>
          <w:numId w:val="5"/>
        </w:numPr>
        <w:spacing w:line="276" w:lineRule="auto"/>
      </w:pPr>
      <w:r w:rsidRPr="00930CB9">
        <w:t>Congreve v Home office (1976).</w:t>
      </w:r>
    </w:p>
    <w:p w14:paraId="618D8361" w14:textId="77777777" w:rsidR="00D37452" w:rsidRDefault="00D37452" w:rsidP="00D37452">
      <w:pPr>
        <w:pStyle w:val="ListParagraph"/>
        <w:numPr>
          <w:ilvl w:val="0"/>
          <w:numId w:val="5"/>
        </w:numPr>
      </w:pPr>
      <w:r w:rsidRPr="00D37452">
        <w:t>Inland Revenue Commissioners v National Federation of Self-Employment and Small Business Ltd.</w:t>
      </w:r>
    </w:p>
    <w:p w14:paraId="0CF6186D" w14:textId="77777777" w:rsidR="00D37452" w:rsidRPr="00930CB9" w:rsidRDefault="00D37452" w:rsidP="00D37452">
      <w:pPr>
        <w:pStyle w:val="ListParagraph"/>
        <w:numPr>
          <w:ilvl w:val="0"/>
          <w:numId w:val="5"/>
        </w:numPr>
        <w:spacing w:line="276" w:lineRule="auto"/>
      </w:pPr>
      <w:r w:rsidRPr="00930CB9">
        <w:t xml:space="preserve">O’Reilly v </w:t>
      </w:r>
      <w:proofErr w:type="spellStart"/>
      <w:r w:rsidRPr="00930CB9">
        <w:t>Mackman</w:t>
      </w:r>
      <w:proofErr w:type="spellEnd"/>
      <w:r w:rsidRPr="00930CB9">
        <w:t xml:space="preserve"> (1983)</w:t>
      </w:r>
    </w:p>
    <w:p w14:paraId="5813CE8F" w14:textId="77777777" w:rsidR="00D37452" w:rsidRDefault="00D37452" w:rsidP="00D37452">
      <w:pPr>
        <w:pStyle w:val="ListParagraph"/>
        <w:numPr>
          <w:ilvl w:val="0"/>
          <w:numId w:val="5"/>
        </w:numPr>
      </w:pPr>
      <w:r w:rsidRPr="00930CB9">
        <w:t>R v Dairy Produce Quota Tribunal for England and Wales (1990)</w:t>
      </w:r>
    </w:p>
    <w:p w14:paraId="0AE8304D" w14:textId="77777777" w:rsidR="00D37452" w:rsidRDefault="00D37452" w:rsidP="00D37452">
      <w:pPr>
        <w:pStyle w:val="ListParagraph"/>
        <w:numPr>
          <w:ilvl w:val="0"/>
          <w:numId w:val="5"/>
        </w:numPr>
        <w:spacing w:line="276" w:lineRule="auto"/>
      </w:pPr>
      <w:r w:rsidRPr="00930CB9">
        <w:t xml:space="preserve">R v Home Secretary, ex p. Khawaja (1984)) </w:t>
      </w:r>
    </w:p>
    <w:p w14:paraId="0891A01D" w14:textId="77777777" w:rsidR="00D37452" w:rsidRDefault="00D37452" w:rsidP="00D37452">
      <w:pPr>
        <w:pStyle w:val="ListParagraph"/>
        <w:numPr>
          <w:ilvl w:val="0"/>
          <w:numId w:val="5"/>
        </w:numPr>
      </w:pPr>
      <w:r w:rsidRPr="00930CB9">
        <w:t>R v Secretary of State for Social Services, ex p Child Poverty Action Group (1989))</w:t>
      </w:r>
    </w:p>
    <w:p w14:paraId="55B83D78" w14:textId="77777777" w:rsidR="00D37452" w:rsidRDefault="00D37452" w:rsidP="00D37452">
      <w:pPr>
        <w:pStyle w:val="ListParagraph"/>
        <w:numPr>
          <w:ilvl w:val="0"/>
          <w:numId w:val="5"/>
        </w:numPr>
      </w:pPr>
      <w:r w:rsidRPr="00930CB9">
        <w:t>R v SOS for Foreign Affairs ex p. World Development Movement Ltd (1995)).</w:t>
      </w:r>
    </w:p>
    <w:p w14:paraId="181B02A2" w14:textId="77777777" w:rsidR="00D37452" w:rsidRDefault="00D37452" w:rsidP="00D37452">
      <w:pPr>
        <w:pStyle w:val="ListParagraph"/>
        <w:numPr>
          <w:ilvl w:val="0"/>
          <w:numId w:val="5"/>
        </w:numPr>
      </w:pPr>
      <w:r>
        <w:t>R</w:t>
      </w:r>
      <w:r w:rsidRPr="00930CB9">
        <w:t xml:space="preserve"> v Stratford-on Avon District Council, ex p Jackson 1985).</w:t>
      </w:r>
    </w:p>
    <w:p w14:paraId="5F40B2C1" w14:textId="77777777" w:rsidR="00D37452" w:rsidRDefault="00D37452" w:rsidP="00D37452">
      <w:pPr>
        <w:pStyle w:val="ListParagraph"/>
        <w:numPr>
          <w:ilvl w:val="0"/>
          <w:numId w:val="5"/>
        </w:numPr>
        <w:spacing w:line="276" w:lineRule="auto"/>
      </w:pPr>
      <w:r w:rsidRPr="00930CB9">
        <w:t>Re Racal Communication (1981).</w:t>
      </w:r>
    </w:p>
    <w:p w14:paraId="50166EE7" w14:textId="77777777" w:rsidR="00D37452" w:rsidRPr="00930CB9" w:rsidRDefault="00D37452" w:rsidP="00D37452">
      <w:pPr>
        <w:pStyle w:val="ListParagraph"/>
        <w:numPr>
          <w:ilvl w:val="0"/>
          <w:numId w:val="5"/>
        </w:numPr>
        <w:spacing w:line="276" w:lineRule="auto"/>
      </w:pPr>
      <w:r w:rsidRPr="00930CB9">
        <w:t>Wheeler v Leicester City Council (1985).</w:t>
      </w:r>
    </w:p>
    <w:sectPr w:rsidR="00D37452" w:rsidRPr="00930CB9">
      <w:footerReference w:type="default" r:id="rId2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F5A73E" w14:textId="77777777" w:rsidR="008B00D0" w:rsidRDefault="008B00D0">
      <w:pPr>
        <w:spacing w:after="0"/>
      </w:pPr>
      <w:r>
        <w:separator/>
      </w:r>
    </w:p>
  </w:endnote>
  <w:endnote w:type="continuationSeparator" w:id="0">
    <w:p w14:paraId="50B9DCBC" w14:textId="77777777" w:rsidR="008B00D0" w:rsidRDefault="008B00D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C7D52" w14:textId="77777777" w:rsidR="009927AD" w:rsidRDefault="006C7038">
    <w:pPr>
      <w:pStyle w:val="Footer"/>
      <w:pBdr>
        <w:top w:val="single" w:sz="4" w:space="1" w:color="D9D9D9"/>
      </w:pBdr>
    </w:pPr>
    <w:r>
      <w:rPr>
        <w:b/>
        <w:bCs/>
      </w:rPr>
      <w:fldChar w:fldCharType="begin"/>
    </w:r>
    <w:r>
      <w:rPr>
        <w:b/>
        <w:bCs/>
      </w:rPr>
      <w:instrText xml:space="preserve"> PAGE </w:instrText>
    </w:r>
    <w:r>
      <w:rPr>
        <w:b/>
        <w:bCs/>
      </w:rPr>
      <w:fldChar w:fldCharType="separate"/>
    </w:r>
    <w:r w:rsidR="002908AE">
      <w:rPr>
        <w:b/>
        <w:bCs/>
        <w:noProof/>
      </w:rPr>
      <w:t>11</w:t>
    </w:r>
    <w:r>
      <w:rPr>
        <w:b/>
        <w:bCs/>
      </w:rPr>
      <w:fldChar w:fldCharType="end"/>
    </w:r>
    <w:r>
      <w:rPr>
        <w:b/>
        <w:bCs/>
      </w:rPr>
      <w:t xml:space="preserve"> | </w:t>
    </w:r>
    <w:r>
      <w:rPr>
        <w:color w:val="7F7F7F"/>
        <w:spacing w:val="60"/>
      </w:rPr>
      <w:t>Page</w:t>
    </w:r>
  </w:p>
  <w:p w14:paraId="6D80AF51" w14:textId="77777777" w:rsidR="009927AD" w:rsidRDefault="008B00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B0D2CA" w14:textId="77777777" w:rsidR="008B00D0" w:rsidRDefault="008B00D0">
      <w:pPr>
        <w:spacing w:after="0"/>
      </w:pPr>
      <w:r>
        <w:rPr>
          <w:color w:val="000000"/>
        </w:rPr>
        <w:separator/>
      </w:r>
    </w:p>
  </w:footnote>
  <w:footnote w:type="continuationSeparator" w:id="0">
    <w:p w14:paraId="3F547200" w14:textId="77777777" w:rsidR="008B00D0" w:rsidRDefault="008B00D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7221A5"/>
    <w:multiLevelType w:val="multilevel"/>
    <w:tmpl w:val="CA48D9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0F93883"/>
    <w:multiLevelType w:val="multilevel"/>
    <w:tmpl w:val="75222C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3301FC9"/>
    <w:multiLevelType w:val="hybridMultilevel"/>
    <w:tmpl w:val="1DB4D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C842B0"/>
    <w:multiLevelType w:val="hybridMultilevel"/>
    <w:tmpl w:val="4C863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5751C"/>
    <w:multiLevelType w:val="multilevel"/>
    <w:tmpl w:val="24AC5F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4E66B44"/>
    <w:multiLevelType w:val="multilevel"/>
    <w:tmpl w:val="C9460E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5"/>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8B8"/>
    <w:rsid w:val="000148D4"/>
    <w:rsid w:val="00160B6D"/>
    <w:rsid w:val="00176CED"/>
    <w:rsid w:val="001871BC"/>
    <w:rsid w:val="001975D4"/>
    <w:rsid w:val="001D0ED7"/>
    <w:rsid w:val="00261D15"/>
    <w:rsid w:val="002908AE"/>
    <w:rsid w:val="002C5121"/>
    <w:rsid w:val="002D3852"/>
    <w:rsid w:val="00327D6F"/>
    <w:rsid w:val="00351336"/>
    <w:rsid w:val="003A2E9F"/>
    <w:rsid w:val="003A3D6F"/>
    <w:rsid w:val="00447A1E"/>
    <w:rsid w:val="005D3C83"/>
    <w:rsid w:val="006675E7"/>
    <w:rsid w:val="006C7038"/>
    <w:rsid w:val="006E72A7"/>
    <w:rsid w:val="00714FB6"/>
    <w:rsid w:val="00764FDE"/>
    <w:rsid w:val="00780EE6"/>
    <w:rsid w:val="00850185"/>
    <w:rsid w:val="008B00D0"/>
    <w:rsid w:val="008E57A5"/>
    <w:rsid w:val="00930CB9"/>
    <w:rsid w:val="00A47F9A"/>
    <w:rsid w:val="00C70175"/>
    <w:rsid w:val="00C765C0"/>
    <w:rsid w:val="00C876D1"/>
    <w:rsid w:val="00C87BB3"/>
    <w:rsid w:val="00CC7CCA"/>
    <w:rsid w:val="00D369FA"/>
    <w:rsid w:val="00D37452"/>
    <w:rsid w:val="00DD15BA"/>
    <w:rsid w:val="00F05734"/>
    <w:rsid w:val="00F118B8"/>
    <w:rsid w:val="00FA1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10B58"/>
  <w15:docId w15:val="{D825088F-51B5-46AB-B50A-D054377E3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customStyle="1" w:styleId="UnresolvedMention1">
    <w:name w:val="Unresolved Mention1"/>
    <w:basedOn w:val="DefaultParagraphFont"/>
    <w:rPr>
      <w:color w:val="605E5C"/>
      <w:shd w:val="clear" w:color="auto" w:fill="E1DFDD"/>
    </w:rPr>
  </w:style>
  <w:style w:type="character" w:styleId="FollowedHyperlink">
    <w:name w:val="FollowedHyperlink"/>
    <w:basedOn w:val="DefaultParagraphFont"/>
    <w:rPr>
      <w:color w:val="954F72"/>
      <w:u w:val="single"/>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CommentReference">
    <w:name w:val="annotation reference"/>
    <w:basedOn w:val="DefaultParagraphFont"/>
    <w:uiPriority w:val="99"/>
    <w:semiHidden/>
    <w:unhideWhenUsed/>
    <w:rsid w:val="000148D4"/>
    <w:rPr>
      <w:sz w:val="16"/>
      <w:szCs w:val="16"/>
    </w:rPr>
  </w:style>
  <w:style w:type="paragraph" w:styleId="CommentText">
    <w:name w:val="annotation text"/>
    <w:basedOn w:val="Normal"/>
    <w:link w:val="CommentTextChar"/>
    <w:uiPriority w:val="99"/>
    <w:semiHidden/>
    <w:unhideWhenUsed/>
    <w:rsid w:val="000148D4"/>
    <w:rPr>
      <w:sz w:val="20"/>
      <w:szCs w:val="20"/>
    </w:rPr>
  </w:style>
  <w:style w:type="character" w:customStyle="1" w:styleId="CommentTextChar">
    <w:name w:val="Comment Text Char"/>
    <w:basedOn w:val="DefaultParagraphFont"/>
    <w:link w:val="CommentText"/>
    <w:uiPriority w:val="99"/>
    <w:semiHidden/>
    <w:rsid w:val="000148D4"/>
    <w:rPr>
      <w:sz w:val="20"/>
      <w:szCs w:val="20"/>
    </w:rPr>
  </w:style>
  <w:style w:type="paragraph" w:styleId="CommentSubject">
    <w:name w:val="annotation subject"/>
    <w:basedOn w:val="CommentText"/>
    <w:next w:val="CommentText"/>
    <w:link w:val="CommentSubjectChar"/>
    <w:uiPriority w:val="99"/>
    <w:semiHidden/>
    <w:unhideWhenUsed/>
    <w:rsid w:val="000148D4"/>
    <w:rPr>
      <w:b/>
      <w:bCs/>
    </w:rPr>
  </w:style>
  <w:style w:type="character" w:customStyle="1" w:styleId="CommentSubjectChar">
    <w:name w:val="Comment Subject Char"/>
    <w:basedOn w:val="CommentTextChar"/>
    <w:link w:val="CommentSubject"/>
    <w:uiPriority w:val="99"/>
    <w:semiHidden/>
    <w:rsid w:val="000148D4"/>
    <w:rPr>
      <w:b/>
      <w:bCs/>
      <w:sz w:val="20"/>
      <w:szCs w:val="20"/>
    </w:rPr>
  </w:style>
  <w:style w:type="character" w:styleId="UnresolvedMention">
    <w:name w:val="Unresolved Mention"/>
    <w:basedOn w:val="DefaultParagraphFont"/>
    <w:uiPriority w:val="99"/>
    <w:semiHidden/>
    <w:unhideWhenUsed/>
    <w:rsid w:val="00327D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theguardian.com/law/2012/mar/21/flood-times-reynolds-privilege-defence" TargetMode="External"/><Relationship Id="rId13" Type="http://schemas.openxmlformats.org/officeDocument/2006/relationships/hyperlink" Target="https://www.5rb.com/case/flood-v-times-newspapers-limited-sc/" TargetMode="External"/><Relationship Id="rId18" Type="http://schemas.openxmlformats.org/officeDocument/2006/relationships/hyperlink" Target="https://blogs.ncl.ac.uk/nelr/2013/06/25/defamation-act-2013-free-speech-or-reputation/" TargetMode="External"/><Relationship Id="rId26" Type="http://schemas.openxmlformats.org/officeDocument/2006/relationships/hyperlink" Target="https://www.brettwilson.co.uk/blog/economou-v-de-freitas-is-a-contributor-to-a-matter-of-public-interest-now-immune-from-suit/" TargetMode="External"/><Relationship Id="rId3" Type="http://schemas.openxmlformats.org/officeDocument/2006/relationships/styles" Target="styles.xml"/><Relationship Id="rId21" Type="http://schemas.openxmlformats.org/officeDocument/2006/relationships/hyperlink" Target="https://www.judiciary.uk/wp-content/uploads/2016/07/economou-v-de-freitas-2016-ewhc-1853-qb-28-07.pdf" TargetMode="External"/><Relationship Id="rId7" Type="http://schemas.openxmlformats.org/officeDocument/2006/relationships/endnotes" Target="endnotes.xml"/><Relationship Id="rId12" Type="http://schemas.openxmlformats.org/officeDocument/2006/relationships/hyperlink" Target="https://uk.westlaw.com/Document/IE7C3B070E42711DA8FC2A0F0355337E9/View/FullText.html?navigationPath=Search%2Fv1%2Fresults%2Fnavigation%2Fi0ad7401400000175dba6cbb963c7633f%3FNav%3DRESEARCH_COMBINED_WLUK%26fragmentIdentifier%3DIE7C3FE90E42711DA8FC2A0F0355337E9%26parentRank%3D0%26startIndex%3D1%26contextData%3D%2528sc.Search%2529%26transitionType%3DSearchItem&amp;listSource=Search&amp;listPageSource=00d72bb08e593ce8528fcde588dfeaea&amp;list=RESEARCH_COMBINED_WLUK&amp;rank=2&amp;sessionScopeId=dfb0ce97f27856dadd76b85a47e15a596cb53f209d867e947a8c1af43a9f8219&amp;originationContext=Search%20Result&amp;transitionType=SearchItem&amp;contextData=(sc.Search)&amp;comp=wluk&amp;navId=DAA9D401A3133FBCA88A51DCEDA5ECBC" TargetMode="External"/><Relationship Id="rId17" Type="http://schemas.openxmlformats.org/officeDocument/2006/relationships/hyperlink" Target="https://www.theguardian.com/media/2002/jul/22/theguardian.pressandpublishing" TargetMode="External"/><Relationship Id="rId25" Type="http://schemas.openxmlformats.org/officeDocument/2006/relationships/hyperlink" Target="https://uk.westlaw.com/Document/IC505F1F1EACD11DEBB918F39B65C56BA/View/FullText.html?navigationPath=Search%2Fv1%2Fresults%2Fnavigation%2Fi0ad62aef000001761934d0a6812a56ca%3FNav%3DRESEARCH_COMBINED_WLUK%26fragmentIdentifier%3DIC505F1F1EACD11DEBB918F39B65C56BA%26parentRank%3D0%26startIndex%3D1%26contextData%3D%2528sc.Search%2529%26transitionType%3DSearchItem&amp;listSource=Search&amp;listPageSource=e7273fbefee62dc6b94bb723740a00a7&amp;list=RESEARCH_COMBINED_WLUK&amp;rank=1&amp;sessionScopeId=488c61e6ecf7dae9990bee643b439f98df39af953f85a665290ec283ca93e23b&amp;originationContext=Search%20Result&amp;transitionType=SearchItem&amp;contextData=(sc.Search)&amp;comp=wluk&amp;navId=40584009274BA998A6D4F1241AE0EA42" TargetMode="External"/><Relationship Id="rId2" Type="http://schemas.openxmlformats.org/officeDocument/2006/relationships/numbering" Target="numbering.xml"/><Relationship Id="rId16" Type="http://schemas.openxmlformats.org/officeDocument/2006/relationships/hyperlink" Target="https://inforrm.org/2019/04/03/a-closer-look-at-the-public-interest-defence-jessica-lovell/" TargetMode="External"/><Relationship Id="rId20" Type="http://schemas.openxmlformats.org/officeDocument/2006/relationships/hyperlink" Target="https://www.judiciary.uk/wp-content/uploads/JCO/Documents/Judgments/mcalpine-bercow-judgment-24052013.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enforce/enforcementguide/court/reporting-defamation.htm" TargetMode="External"/><Relationship Id="rId24" Type="http://schemas.openxmlformats.org/officeDocument/2006/relationships/hyperlink" Target="https://uk.westlaw.com/Document/I9F810AF0E42811DA8FC2A0F0355337E9/View/FullText.html?navigationPath=Search%2Fv1%2Fresults%2Fnavigation%2Fi0ad7401100000175e5cce795b44c18bb%3FNav%3DRESEARCH_COMBINED_WLUK%26fragmentIdentifier%3DI9F810AF0E42811DA8FC2A0F0355337E9%26parentRank%3D0%26startIndex%3D1%26contextData%3D%2528sc.Search%2529%26transitionType%3DSearchItem&amp;listSource=Search&amp;listPageSource=468cb3fbc3cbcf445e61c33af8363a6b&amp;list=RESEARCH_COMBINED_WLUK&amp;rank=1&amp;sessionScopeId=b9296671db23f607c426859657cdd6e6f4ab3fdbc3bca8168fe42a12f6b307dd&amp;originationContext=Search%20Result&amp;transitionType=SearchItem&amp;contextData=(sc.Search)&amp;comp=wluk&amp;navId=5A805D60C825A513E6AC58DF2C06AD43" TargetMode="External"/><Relationship Id="rId5" Type="http://schemas.openxmlformats.org/officeDocument/2006/relationships/webSettings" Target="webSettings.xml"/><Relationship Id="rId15" Type="http://schemas.openxmlformats.org/officeDocument/2006/relationships/hyperlink" Target="https://inforrm.org/2016/09/28/case-law-economou-v-de-freitas-is-it-interesting-new-judgment-considers-the-scope-of-the-public-interest-defence-oliver-lock/" TargetMode="External"/><Relationship Id="rId23" Type="http://schemas.openxmlformats.org/officeDocument/2006/relationships/hyperlink" Target="https://publications.parliament.uk/pa/ld199899/ldjudgmt/jd991028/rey01.htm" TargetMode="External"/><Relationship Id="rId28" Type="http://schemas.openxmlformats.org/officeDocument/2006/relationships/fontTable" Target="fontTable.xml"/><Relationship Id="rId10" Type="http://schemas.openxmlformats.org/officeDocument/2006/relationships/hyperlink" Target="https://www.equalityhumanrights.com/en/human-rights-act/article-10-freedom-expression" TargetMode="External"/><Relationship Id="rId19" Type="http://schemas.openxmlformats.org/officeDocument/2006/relationships/hyperlink" Target="https://www.legalcheek.com/lc-journal-posts/a-critical-analysis-of-the-johnny-depp-libel-trial/" TargetMode="External"/><Relationship Id="rId4" Type="http://schemas.openxmlformats.org/officeDocument/2006/relationships/settings" Target="settings.xml"/><Relationship Id="rId9" Type="http://schemas.openxmlformats.org/officeDocument/2006/relationships/hyperlink" Target="https://www.channel4.com/producers-handbook/media-law/other-laws-affecting-broadcasting/section-10-contempt-of-court-act-1981" TargetMode="External"/><Relationship Id="rId14" Type="http://schemas.openxmlformats.org/officeDocument/2006/relationships/hyperlink" Target="https://www.legislation.gov.uk/ukpga/2013/26/section/4/enacted" TargetMode="External"/><Relationship Id="rId22" Type="http://schemas.openxmlformats.org/officeDocument/2006/relationships/hyperlink" Target="https://inforrm.org/2010/page/3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2F471-3A76-49D9-8058-3E37C0638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3862</Words>
  <Characters>22020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Public Law</vt:lpstr>
    </vt:vector>
  </TitlesOfParts>
  <Company/>
  <LinksUpToDate>false</LinksUpToDate>
  <CharactersWithSpaces>25831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Law</dc:title>
  <dc:subject>Assignment 2</dc:subject>
  <dc:creator>Courtney Smith (2008158)</dc:creator>
  <dc:description/>
  <cp:lastModifiedBy>Courtney Smith (2008158)</cp:lastModifiedBy>
  <cp:revision>2</cp:revision>
  <cp:lastPrinted>2020-12-02T17:31:00Z</cp:lastPrinted>
  <dcterms:created xsi:type="dcterms:W3CDTF">2020-12-16T19:57:00Z</dcterms:created>
  <dcterms:modified xsi:type="dcterms:W3CDTF">2020-12-16T19:57:00Z</dcterms:modified>
</cp:coreProperties>
</file>