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85A32" w14:textId="347A8A90" w:rsidR="00A8528E" w:rsidRDefault="00A8528E" w:rsidP="5A740515">
      <w:pPr>
        <w:rPr>
          <w:rFonts w:ascii="Aptos" w:eastAsia="Aptos" w:hAnsi="Aptos" w:cs="Aptos"/>
          <w:color w:val="000000" w:themeColor="text1"/>
        </w:rPr>
      </w:pPr>
    </w:p>
    <w:p w14:paraId="2897C0E2" w14:textId="75E8C4B8" w:rsidR="00A8528E" w:rsidRDefault="67F25C93" w:rsidP="24965EC0">
      <w:pPr>
        <w:jc w:val="center"/>
        <w:rPr>
          <w:rFonts w:ascii="Arial" w:eastAsia="Arial" w:hAnsi="Arial" w:cs="Arial"/>
          <w:b/>
          <w:bCs/>
          <w:color w:val="000000" w:themeColor="text1"/>
          <w:sz w:val="48"/>
          <w:szCs w:val="48"/>
        </w:rPr>
      </w:pPr>
      <w:r w:rsidRPr="24965EC0">
        <w:rPr>
          <w:rFonts w:ascii="Arial" w:eastAsia="Arial" w:hAnsi="Arial" w:cs="Arial"/>
          <w:b/>
          <w:bCs/>
          <w:color w:val="000000" w:themeColor="text1"/>
          <w:sz w:val="48"/>
          <w:szCs w:val="48"/>
          <w:lang w:val="en-US"/>
        </w:rPr>
        <w:t xml:space="preserve">Module Title: </w:t>
      </w:r>
    </w:p>
    <w:p w14:paraId="1383DFBD" w14:textId="21D3AFD2" w:rsidR="00A8528E" w:rsidRDefault="67F25C93" w:rsidP="24965EC0">
      <w:pPr>
        <w:jc w:val="center"/>
        <w:rPr>
          <w:rFonts w:ascii="Arial" w:eastAsia="Arial" w:hAnsi="Arial" w:cs="Arial"/>
          <w:b/>
          <w:bCs/>
          <w:color w:val="000000" w:themeColor="text1"/>
          <w:sz w:val="48"/>
          <w:szCs w:val="48"/>
        </w:rPr>
      </w:pPr>
      <w:r w:rsidRPr="24965EC0">
        <w:rPr>
          <w:rFonts w:ascii="Arial" w:eastAsia="Arial" w:hAnsi="Arial" w:cs="Arial"/>
          <w:b/>
          <w:bCs/>
          <w:color w:val="000000" w:themeColor="text1"/>
          <w:sz w:val="48"/>
          <w:szCs w:val="48"/>
          <w:lang w:val="en-US"/>
        </w:rPr>
        <w:t>Understanding and Engaging Stakeholders</w:t>
      </w:r>
    </w:p>
    <w:p w14:paraId="4C441EC4" w14:textId="54C6E691" w:rsidR="00A8528E" w:rsidRDefault="00A8528E" w:rsidP="24965EC0">
      <w:pPr>
        <w:spacing w:line="276" w:lineRule="auto"/>
        <w:jc w:val="center"/>
        <w:rPr>
          <w:rFonts w:ascii="Arial" w:eastAsia="Arial" w:hAnsi="Arial" w:cs="Arial"/>
          <w:b/>
          <w:bCs/>
          <w:color w:val="000000" w:themeColor="text1"/>
          <w:sz w:val="48"/>
          <w:szCs w:val="48"/>
        </w:rPr>
      </w:pPr>
    </w:p>
    <w:p w14:paraId="72BBDEB3" w14:textId="4E2D6C41" w:rsidR="00A8528E" w:rsidRDefault="67F25C93" w:rsidP="24965EC0">
      <w:pPr>
        <w:spacing w:line="276" w:lineRule="auto"/>
        <w:jc w:val="center"/>
        <w:rPr>
          <w:rFonts w:ascii="Arial" w:eastAsia="Arial" w:hAnsi="Arial" w:cs="Arial"/>
          <w:b/>
          <w:bCs/>
          <w:color w:val="000000" w:themeColor="text1"/>
          <w:sz w:val="48"/>
          <w:szCs w:val="48"/>
        </w:rPr>
      </w:pPr>
      <w:r w:rsidRPr="24965EC0">
        <w:rPr>
          <w:rFonts w:ascii="Arial" w:eastAsia="Arial" w:hAnsi="Arial" w:cs="Arial"/>
          <w:b/>
          <w:bCs/>
          <w:color w:val="000000" w:themeColor="text1"/>
          <w:sz w:val="48"/>
          <w:szCs w:val="48"/>
          <w:lang w:val="en-US"/>
        </w:rPr>
        <w:t>Module Code: - LCLM 5001 C1</w:t>
      </w:r>
    </w:p>
    <w:p w14:paraId="305CA443" w14:textId="1F1A62C6" w:rsidR="00A8528E" w:rsidRDefault="67F25C93" w:rsidP="1BCBD797">
      <w:pPr>
        <w:spacing w:line="276" w:lineRule="auto"/>
        <w:jc w:val="center"/>
        <w:rPr>
          <w:rFonts w:ascii="Arial" w:eastAsia="Arial" w:hAnsi="Arial" w:cs="Arial"/>
          <w:b/>
          <w:bCs/>
          <w:color w:val="000000" w:themeColor="text1"/>
          <w:sz w:val="48"/>
          <w:szCs w:val="48"/>
        </w:rPr>
      </w:pPr>
      <w:r w:rsidRPr="1BCBD797">
        <w:rPr>
          <w:rFonts w:ascii="Arial" w:eastAsia="Arial" w:hAnsi="Arial" w:cs="Arial"/>
          <w:b/>
          <w:bCs/>
          <w:color w:val="000000" w:themeColor="text1"/>
          <w:sz w:val="48"/>
          <w:szCs w:val="48"/>
          <w:lang w:val="en-US"/>
        </w:rPr>
        <w:t>Assignment</w:t>
      </w:r>
      <w:r w:rsidR="3B3D9EA4" w:rsidRPr="1BCBD797">
        <w:rPr>
          <w:rFonts w:ascii="Arial" w:eastAsia="Arial" w:hAnsi="Arial" w:cs="Arial"/>
          <w:b/>
          <w:bCs/>
          <w:color w:val="000000" w:themeColor="text1"/>
          <w:sz w:val="48"/>
          <w:szCs w:val="48"/>
          <w:lang w:val="en-US"/>
        </w:rPr>
        <w:t>: Individual Report</w:t>
      </w:r>
    </w:p>
    <w:p w14:paraId="5F6E8731" w14:textId="016C7324" w:rsidR="00A8528E" w:rsidRDefault="00A8528E" w:rsidP="24965EC0">
      <w:pPr>
        <w:spacing w:line="276" w:lineRule="auto"/>
        <w:jc w:val="center"/>
        <w:rPr>
          <w:rFonts w:ascii="Arial" w:eastAsia="Arial" w:hAnsi="Arial" w:cs="Arial"/>
          <w:b/>
          <w:bCs/>
          <w:color w:val="000000" w:themeColor="text1"/>
          <w:sz w:val="48"/>
          <w:szCs w:val="48"/>
        </w:rPr>
      </w:pPr>
    </w:p>
    <w:p w14:paraId="57FC47CA" w14:textId="69CF78F6" w:rsidR="00A8528E" w:rsidRDefault="67F25C93" w:rsidP="24965EC0">
      <w:pPr>
        <w:spacing w:line="276" w:lineRule="auto"/>
        <w:jc w:val="center"/>
        <w:rPr>
          <w:rFonts w:ascii="Arial" w:eastAsia="Arial" w:hAnsi="Arial" w:cs="Arial"/>
          <w:b/>
          <w:bCs/>
          <w:color w:val="000000" w:themeColor="text1"/>
          <w:sz w:val="48"/>
          <w:szCs w:val="48"/>
        </w:rPr>
      </w:pPr>
      <w:r w:rsidRPr="24965EC0">
        <w:rPr>
          <w:rFonts w:ascii="Arial" w:eastAsia="Arial" w:hAnsi="Arial" w:cs="Arial"/>
          <w:b/>
          <w:bCs/>
          <w:color w:val="000000" w:themeColor="text1"/>
          <w:sz w:val="48"/>
          <w:szCs w:val="48"/>
          <w:lang w:val="en-US"/>
        </w:rPr>
        <w:t>Student Name: - Mihaela Amisculesei</w:t>
      </w:r>
    </w:p>
    <w:p w14:paraId="3206C3F0" w14:textId="6518E3A7" w:rsidR="00A8528E" w:rsidRDefault="00A8528E" w:rsidP="24965EC0">
      <w:pPr>
        <w:spacing w:line="276" w:lineRule="auto"/>
        <w:jc w:val="center"/>
        <w:rPr>
          <w:rFonts w:ascii="Arial" w:eastAsia="Arial" w:hAnsi="Arial" w:cs="Arial"/>
          <w:b/>
          <w:bCs/>
          <w:color w:val="000000" w:themeColor="text1"/>
          <w:sz w:val="48"/>
          <w:szCs w:val="48"/>
        </w:rPr>
      </w:pPr>
    </w:p>
    <w:p w14:paraId="151001CA" w14:textId="4A0A693E" w:rsidR="00A8528E" w:rsidRDefault="67F25C93" w:rsidP="24965EC0">
      <w:pPr>
        <w:spacing w:line="276" w:lineRule="auto"/>
        <w:jc w:val="center"/>
        <w:rPr>
          <w:rFonts w:ascii="Arial" w:eastAsia="Arial" w:hAnsi="Arial" w:cs="Arial"/>
          <w:b/>
          <w:bCs/>
          <w:color w:val="000000" w:themeColor="text1"/>
          <w:sz w:val="48"/>
          <w:szCs w:val="48"/>
        </w:rPr>
      </w:pPr>
      <w:r w:rsidRPr="24965EC0">
        <w:rPr>
          <w:rFonts w:ascii="Arial" w:eastAsia="Arial" w:hAnsi="Arial" w:cs="Arial"/>
          <w:b/>
          <w:bCs/>
          <w:color w:val="000000" w:themeColor="text1"/>
          <w:sz w:val="48"/>
          <w:szCs w:val="48"/>
          <w:lang w:val="en-US"/>
        </w:rPr>
        <w:t>Student Number: - 2411946</w:t>
      </w:r>
    </w:p>
    <w:p w14:paraId="46DC27DA" w14:textId="724F7490" w:rsidR="00A8528E" w:rsidRDefault="00A8528E" w:rsidP="24965EC0">
      <w:pPr>
        <w:spacing w:line="276" w:lineRule="auto"/>
        <w:jc w:val="center"/>
        <w:rPr>
          <w:rFonts w:ascii="Arial" w:eastAsia="Arial" w:hAnsi="Arial" w:cs="Arial"/>
          <w:b/>
          <w:bCs/>
          <w:color w:val="000000" w:themeColor="text1"/>
          <w:sz w:val="48"/>
          <w:szCs w:val="48"/>
        </w:rPr>
      </w:pPr>
    </w:p>
    <w:p w14:paraId="7BBF59BD" w14:textId="4341597C" w:rsidR="00A8528E" w:rsidRDefault="67F25C93" w:rsidP="24965EC0">
      <w:pPr>
        <w:spacing w:line="276" w:lineRule="auto"/>
        <w:jc w:val="center"/>
        <w:rPr>
          <w:rFonts w:ascii="Arial" w:eastAsia="Arial" w:hAnsi="Arial" w:cs="Arial"/>
          <w:b/>
          <w:bCs/>
          <w:color w:val="000000" w:themeColor="text1"/>
          <w:sz w:val="48"/>
          <w:szCs w:val="48"/>
        </w:rPr>
      </w:pPr>
      <w:r w:rsidRPr="24965EC0">
        <w:rPr>
          <w:rFonts w:ascii="Arial" w:eastAsia="Arial" w:hAnsi="Arial" w:cs="Arial"/>
          <w:b/>
          <w:bCs/>
          <w:color w:val="000000" w:themeColor="text1"/>
          <w:sz w:val="48"/>
          <w:szCs w:val="48"/>
          <w:lang w:val="en-US"/>
        </w:rPr>
        <w:t>Lecturer’s Name: - Eric Osei</w:t>
      </w:r>
    </w:p>
    <w:p w14:paraId="5E5787A5" w14:textId="76EA77F7" w:rsidR="00A8528E" w:rsidRDefault="00A8528E" w:rsidP="24965EC0">
      <w:pPr>
        <w:jc w:val="center"/>
      </w:pPr>
    </w:p>
    <w:p w14:paraId="5D80B665" w14:textId="3ED4B438" w:rsidR="5A740515" w:rsidRDefault="5A740515"/>
    <w:p w14:paraId="156A10D1" w14:textId="400E0980" w:rsidR="5A740515" w:rsidRDefault="5A740515"/>
    <w:p w14:paraId="0CC9EBAC" w14:textId="19F12832" w:rsidR="5A740515" w:rsidRDefault="5A740515"/>
    <w:p w14:paraId="5C30E3BB" w14:textId="0D646986" w:rsidR="5A740515" w:rsidRDefault="5A740515"/>
    <w:p w14:paraId="18515C1B" w14:textId="223865DF" w:rsidR="5A740515" w:rsidRDefault="5A740515"/>
    <w:p w14:paraId="3A7F5A88" w14:textId="5BC7BDCF" w:rsidR="5A740515" w:rsidRDefault="5A740515"/>
    <w:p w14:paraId="22DC67AD" w14:textId="1D7749D9" w:rsidR="5A740515" w:rsidRDefault="5A740515"/>
    <w:p w14:paraId="1CE2A759" w14:textId="6500AB16" w:rsidR="5A740515" w:rsidRDefault="5A740515"/>
    <w:p w14:paraId="093411EC" w14:textId="019D216F" w:rsidR="64DD5B07" w:rsidRDefault="64DD5B07" w:rsidP="5A740515">
      <w:pPr>
        <w:rPr>
          <w:rFonts w:ascii="Arial" w:eastAsia="Arial" w:hAnsi="Arial" w:cs="Arial"/>
          <w:b/>
          <w:bCs/>
          <w:sz w:val="32"/>
          <w:szCs w:val="32"/>
        </w:rPr>
      </w:pPr>
      <w:r w:rsidRPr="5A740515">
        <w:rPr>
          <w:rFonts w:ascii="Arial" w:eastAsia="Arial" w:hAnsi="Arial" w:cs="Arial"/>
          <w:b/>
          <w:bCs/>
          <w:sz w:val="32"/>
          <w:szCs w:val="32"/>
        </w:rPr>
        <w:t>Table of contents</w:t>
      </w:r>
    </w:p>
    <w:sdt>
      <w:sdtPr>
        <w:id w:val="908119116"/>
        <w:docPartObj>
          <w:docPartGallery w:val="Table of Contents"/>
          <w:docPartUnique/>
        </w:docPartObj>
      </w:sdtPr>
      <w:sdtContent>
        <w:p w14:paraId="2FEE9B39" w14:textId="7C083DBE" w:rsidR="5A740515" w:rsidRDefault="4590112F" w:rsidP="0407C32D">
          <w:pPr>
            <w:pStyle w:val="TOC3"/>
            <w:tabs>
              <w:tab w:val="right" w:leader="dot" w:pos="9015"/>
            </w:tabs>
            <w:rPr>
              <w:rStyle w:val="Hyperlink"/>
              <w:noProof/>
            </w:rPr>
          </w:pPr>
          <w:r>
            <w:fldChar w:fldCharType="begin"/>
          </w:r>
          <w:r w:rsidR="5A740515">
            <w:instrText>TOC \o "1-9" \z \u \h</w:instrText>
          </w:r>
          <w:r>
            <w:fldChar w:fldCharType="separate"/>
          </w:r>
          <w:hyperlink w:anchor="_Toc1213389750">
            <w:r w:rsidR="2A4916C0" w:rsidRPr="2A4916C0">
              <w:rPr>
                <w:rStyle w:val="Hyperlink"/>
                <w:noProof/>
              </w:rPr>
              <w:t>1.0 Introduction: Holiday Inn and the Stay Smart+ Initiative</w:t>
            </w:r>
            <w:r w:rsidR="5A740515">
              <w:rPr>
                <w:noProof/>
              </w:rPr>
              <w:tab/>
            </w:r>
            <w:r w:rsidR="5A740515">
              <w:rPr>
                <w:noProof/>
              </w:rPr>
              <w:fldChar w:fldCharType="begin"/>
            </w:r>
            <w:r w:rsidR="5A740515">
              <w:rPr>
                <w:noProof/>
              </w:rPr>
              <w:instrText>PAGEREF _Toc1213389750 \h</w:instrText>
            </w:r>
            <w:r w:rsidR="5A740515">
              <w:rPr>
                <w:noProof/>
              </w:rPr>
            </w:r>
            <w:r w:rsidR="5A740515">
              <w:rPr>
                <w:noProof/>
              </w:rPr>
              <w:fldChar w:fldCharType="separate"/>
            </w:r>
            <w:r w:rsidR="005473CF">
              <w:rPr>
                <w:noProof/>
              </w:rPr>
              <w:t>4</w:t>
            </w:r>
            <w:r w:rsidR="5A740515">
              <w:rPr>
                <w:noProof/>
              </w:rPr>
              <w:fldChar w:fldCharType="end"/>
            </w:r>
          </w:hyperlink>
        </w:p>
        <w:p w14:paraId="1F72061E" w14:textId="3B4AD984" w:rsidR="5A740515" w:rsidRDefault="2A4916C0" w:rsidP="0407C32D">
          <w:pPr>
            <w:pStyle w:val="TOC3"/>
            <w:tabs>
              <w:tab w:val="right" w:leader="dot" w:pos="9015"/>
            </w:tabs>
            <w:rPr>
              <w:rStyle w:val="Hyperlink"/>
              <w:noProof/>
            </w:rPr>
          </w:pPr>
          <w:hyperlink w:anchor="_Toc752106193">
            <w:r w:rsidRPr="2A4916C0">
              <w:rPr>
                <w:rStyle w:val="Hyperlink"/>
                <w:noProof/>
              </w:rPr>
              <w:t>2.0 Situational Analysis: SWOT and PESTLE</w:t>
            </w:r>
            <w:r w:rsidR="5A740515">
              <w:rPr>
                <w:noProof/>
              </w:rPr>
              <w:tab/>
            </w:r>
            <w:r w:rsidR="5A740515">
              <w:rPr>
                <w:noProof/>
              </w:rPr>
              <w:fldChar w:fldCharType="begin"/>
            </w:r>
            <w:r w:rsidR="5A740515">
              <w:rPr>
                <w:noProof/>
              </w:rPr>
              <w:instrText>PAGEREF _Toc752106193 \h</w:instrText>
            </w:r>
            <w:r w:rsidR="5A740515">
              <w:rPr>
                <w:noProof/>
              </w:rPr>
            </w:r>
            <w:r w:rsidR="5A740515">
              <w:rPr>
                <w:noProof/>
              </w:rPr>
              <w:fldChar w:fldCharType="separate"/>
            </w:r>
            <w:r w:rsidR="005473CF">
              <w:rPr>
                <w:noProof/>
              </w:rPr>
              <w:t>4</w:t>
            </w:r>
            <w:r w:rsidR="5A740515">
              <w:rPr>
                <w:noProof/>
              </w:rPr>
              <w:fldChar w:fldCharType="end"/>
            </w:r>
          </w:hyperlink>
        </w:p>
        <w:p w14:paraId="4E73559B" w14:textId="120B1084" w:rsidR="5A740515" w:rsidRDefault="2A4916C0" w:rsidP="0407C32D">
          <w:pPr>
            <w:pStyle w:val="TOC4"/>
            <w:tabs>
              <w:tab w:val="right" w:leader="dot" w:pos="9015"/>
            </w:tabs>
            <w:rPr>
              <w:rStyle w:val="Hyperlink"/>
              <w:noProof/>
            </w:rPr>
          </w:pPr>
          <w:hyperlink w:anchor="_Toc65947521">
            <w:r w:rsidRPr="2A4916C0">
              <w:rPr>
                <w:rStyle w:val="Hyperlink"/>
                <w:noProof/>
              </w:rPr>
              <w:t>SWOT Analysis</w:t>
            </w:r>
            <w:r w:rsidR="5A740515">
              <w:rPr>
                <w:noProof/>
              </w:rPr>
              <w:tab/>
            </w:r>
            <w:r w:rsidR="5A740515">
              <w:rPr>
                <w:noProof/>
              </w:rPr>
              <w:fldChar w:fldCharType="begin"/>
            </w:r>
            <w:r w:rsidR="5A740515">
              <w:rPr>
                <w:noProof/>
              </w:rPr>
              <w:instrText>PAGEREF _Toc65947521 \h</w:instrText>
            </w:r>
            <w:r w:rsidR="5A740515">
              <w:rPr>
                <w:noProof/>
              </w:rPr>
            </w:r>
            <w:r w:rsidR="5A740515">
              <w:rPr>
                <w:noProof/>
              </w:rPr>
              <w:fldChar w:fldCharType="separate"/>
            </w:r>
            <w:r w:rsidR="005473CF">
              <w:rPr>
                <w:noProof/>
              </w:rPr>
              <w:t>5</w:t>
            </w:r>
            <w:r w:rsidR="5A740515">
              <w:rPr>
                <w:noProof/>
              </w:rPr>
              <w:fldChar w:fldCharType="end"/>
            </w:r>
          </w:hyperlink>
        </w:p>
        <w:p w14:paraId="52805698" w14:textId="45840AE8" w:rsidR="5A740515" w:rsidRDefault="2A4916C0" w:rsidP="0407C32D">
          <w:pPr>
            <w:pStyle w:val="TOC4"/>
            <w:tabs>
              <w:tab w:val="right" w:leader="dot" w:pos="9015"/>
            </w:tabs>
            <w:rPr>
              <w:rStyle w:val="Hyperlink"/>
              <w:noProof/>
            </w:rPr>
          </w:pPr>
          <w:hyperlink w:anchor="_Toc78596695">
            <w:r w:rsidRPr="2A4916C0">
              <w:rPr>
                <w:rStyle w:val="Hyperlink"/>
                <w:noProof/>
              </w:rPr>
              <w:t>PESTLE Analysis</w:t>
            </w:r>
            <w:r w:rsidR="5A740515">
              <w:rPr>
                <w:noProof/>
              </w:rPr>
              <w:tab/>
            </w:r>
            <w:r w:rsidR="5A740515">
              <w:rPr>
                <w:noProof/>
              </w:rPr>
              <w:fldChar w:fldCharType="begin"/>
            </w:r>
            <w:r w:rsidR="5A740515">
              <w:rPr>
                <w:noProof/>
              </w:rPr>
              <w:instrText>PAGEREF _Toc78596695 \h</w:instrText>
            </w:r>
            <w:r w:rsidR="5A740515">
              <w:rPr>
                <w:noProof/>
              </w:rPr>
            </w:r>
            <w:r w:rsidR="5A740515">
              <w:rPr>
                <w:noProof/>
              </w:rPr>
              <w:fldChar w:fldCharType="separate"/>
            </w:r>
            <w:r w:rsidR="005473CF">
              <w:rPr>
                <w:noProof/>
              </w:rPr>
              <w:t>6</w:t>
            </w:r>
            <w:r w:rsidR="5A740515">
              <w:rPr>
                <w:noProof/>
              </w:rPr>
              <w:fldChar w:fldCharType="end"/>
            </w:r>
          </w:hyperlink>
        </w:p>
        <w:p w14:paraId="57E259DD" w14:textId="205606D3" w:rsidR="5A740515" w:rsidRDefault="2A4916C0" w:rsidP="0407C32D">
          <w:pPr>
            <w:pStyle w:val="TOC3"/>
            <w:tabs>
              <w:tab w:val="right" w:leader="dot" w:pos="9015"/>
            </w:tabs>
            <w:rPr>
              <w:rStyle w:val="Hyperlink"/>
              <w:noProof/>
            </w:rPr>
          </w:pPr>
          <w:hyperlink w:anchor="_Toc332495777">
            <w:r w:rsidRPr="2A4916C0">
              <w:rPr>
                <w:rStyle w:val="Hyperlink"/>
                <w:noProof/>
              </w:rPr>
              <w:t>3.0 Identification and Categorisation of Key Stakeholders</w:t>
            </w:r>
            <w:r w:rsidR="5A740515">
              <w:rPr>
                <w:noProof/>
              </w:rPr>
              <w:tab/>
            </w:r>
            <w:r w:rsidR="5A740515">
              <w:rPr>
                <w:noProof/>
              </w:rPr>
              <w:fldChar w:fldCharType="begin"/>
            </w:r>
            <w:r w:rsidR="5A740515">
              <w:rPr>
                <w:noProof/>
              </w:rPr>
              <w:instrText>PAGEREF _Toc332495777 \h</w:instrText>
            </w:r>
            <w:r w:rsidR="5A740515">
              <w:rPr>
                <w:noProof/>
              </w:rPr>
            </w:r>
            <w:r w:rsidR="5A740515">
              <w:rPr>
                <w:noProof/>
              </w:rPr>
              <w:fldChar w:fldCharType="separate"/>
            </w:r>
            <w:r w:rsidR="005473CF">
              <w:rPr>
                <w:noProof/>
              </w:rPr>
              <w:t>7</w:t>
            </w:r>
            <w:r w:rsidR="5A740515">
              <w:rPr>
                <w:noProof/>
              </w:rPr>
              <w:fldChar w:fldCharType="end"/>
            </w:r>
          </w:hyperlink>
        </w:p>
        <w:p w14:paraId="57F359A8" w14:textId="0D936C1A" w:rsidR="5A740515" w:rsidRDefault="2A4916C0" w:rsidP="0407C32D">
          <w:pPr>
            <w:pStyle w:val="TOC4"/>
            <w:tabs>
              <w:tab w:val="right" w:leader="dot" w:pos="9015"/>
            </w:tabs>
            <w:rPr>
              <w:rStyle w:val="Hyperlink"/>
              <w:noProof/>
            </w:rPr>
          </w:pPr>
          <w:hyperlink w:anchor="_Toc842120355">
            <w:r w:rsidRPr="2A4916C0">
              <w:rPr>
                <w:rStyle w:val="Hyperlink"/>
                <w:noProof/>
              </w:rPr>
              <w:t>Internal Stakeholders</w:t>
            </w:r>
            <w:r w:rsidR="5A740515">
              <w:rPr>
                <w:noProof/>
              </w:rPr>
              <w:tab/>
            </w:r>
            <w:r w:rsidR="5A740515">
              <w:rPr>
                <w:noProof/>
              </w:rPr>
              <w:fldChar w:fldCharType="begin"/>
            </w:r>
            <w:r w:rsidR="5A740515">
              <w:rPr>
                <w:noProof/>
              </w:rPr>
              <w:instrText>PAGEREF _Toc842120355 \h</w:instrText>
            </w:r>
            <w:r w:rsidR="5A740515">
              <w:rPr>
                <w:noProof/>
              </w:rPr>
            </w:r>
            <w:r w:rsidR="5A740515">
              <w:rPr>
                <w:noProof/>
              </w:rPr>
              <w:fldChar w:fldCharType="separate"/>
            </w:r>
            <w:r w:rsidR="005473CF">
              <w:rPr>
                <w:noProof/>
              </w:rPr>
              <w:t>7</w:t>
            </w:r>
            <w:r w:rsidR="5A740515">
              <w:rPr>
                <w:noProof/>
              </w:rPr>
              <w:fldChar w:fldCharType="end"/>
            </w:r>
          </w:hyperlink>
        </w:p>
        <w:p w14:paraId="74D3AA2D" w14:textId="6EE5B534" w:rsidR="5A740515" w:rsidRDefault="2A4916C0" w:rsidP="0407C32D">
          <w:pPr>
            <w:pStyle w:val="TOC4"/>
            <w:tabs>
              <w:tab w:val="right" w:leader="dot" w:pos="9015"/>
            </w:tabs>
            <w:rPr>
              <w:rStyle w:val="Hyperlink"/>
              <w:noProof/>
            </w:rPr>
          </w:pPr>
          <w:hyperlink w:anchor="_Toc935972251">
            <w:r w:rsidRPr="2A4916C0">
              <w:rPr>
                <w:rStyle w:val="Hyperlink"/>
                <w:noProof/>
              </w:rPr>
              <w:t>External Stakeholders</w:t>
            </w:r>
            <w:r w:rsidR="5A740515">
              <w:rPr>
                <w:noProof/>
              </w:rPr>
              <w:tab/>
            </w:r>
            <w:r w:rsidR="5A740515">
              <w:rPr>
                <w:noProof/>
              </w:rPr>
              <w:fldChar w:fldCharType="begin"/>
            </w:r>
            <w:r w:rsidR="5A740515">
              <w:rPr>
                <w:noProof/>
              </w:rPr>
              <w:instrText>PAGEREF _Toc935972251 \h</w:instrText>
            </w:r>
            <w:r w:rsidR="5A740515">
              <w:rPr>
                <w:noProof/>
              </w:rPr>
            </w:r>
            <w:r w:rsidR="5A740515">
              <w:rPr>
                <w:noProof/>
              </w:rPr>
              <w:fldChar w:fldCharType="separate"/>
            </w:r>
            <w:r w:rsidR="005473CF">
              <w:rPr>
                <w:noProof/>
              </w:rPr>
              <w:t>7</w:t>
            </w:r>
            <w:r w:rsidR="5A740515">
              <w:rPr>
                <w:noProof/>
              </w:rPr>
              <w:fldChar w:fldCharType="end"/>
            </w:r>
          </w:hyperlink>
        </w:p>
        <w:p w14:paraId="2DD57C4D" w14:textId="06598D62" w:rsidR="5A740515" w:rsidRDefault="2A4916C0" w:rsidP="0407C32D">
          <w:pPr>
            <w:pStyle w:val="TOC3"/>
            <w:tabs>
              <w:tab w:val="right" w:leader="dot" w:pos="9015"/>
            </w:tabs>
            <w:rPr>
              <w:rStyle w:val="Hyperlink"/>
              <w:noProof/>
            </w:rPr>
          </w:pPr>
          <w:hyperlink w:anchor="_Toc158185022">
            <w:r w:rsidRPr="2A4916C0">
              <w:rPr>
                <w:rStyle w:val="Hyperlink"/>
                <w:noProof/>
              </w:rPr>
              <w:t>4.0 Stakeholder Roles, Responsibilities, and Analytical Frameworks</w:t>
            </w:r>
            <w:r w:rsidR="5A740515">
              <w:rPr>
                <w:noProof/>
              </w:rPr>
              <w:tab/>
            </w:r>
            <w:r w:rsidR="5A740515">
              <w:rPr>
                <w:noProof/>
              </w:rPr>
              <w:fldChar w:fldCharType="begin"/>
            </w:r>
            <w:r w:rsidR="5A740515">
              <w:rPr>
                <w:noProof/>
              </w:rPr>
              <w:instrText>PAGEREF _Toc158185022 \h</w:instrText>
            </w:r>
            <w:r w:rsidR="5A740515">
              <w:rPr>
                <w:noProof/>
              </w:rPr>
            </w:r>
            <w:r w:rsidR="5A740515">
              <w:rPr>
                <w:noProof/>
              </w:rPr>
              <w:fldChar w:fldCharType="separate"/>
            </w:r>
            <w:r w:rsidR="005473CF">
              <w:rPr>
                <w:noProof/>
              </w:rPr>
              <w:t>8</w:t>
            </w:r>
            <w:r w:rsidR="5A740515">
              <w:rPr>
                <w:noProof/>
              </w:rPr>
              <w:fldChar w:fldCharType="end"/>
            </w:r>
          </w:hyperlink>
        </w:p>
        <w:p w14:paraId="102CACB9" w14:textId="3CE0D95B" w:rsidR="5A740515" w:rsidRDefault="2A4916C0" w:rsidP="0407C32D">
          <w:pPr>
            <w:pStyle w:val="TOC4"/>
            <w:tabs>
              <w:tab w:val="right" w:leader="dot" w:pos="9015"/>
            </w:tabs>
            <w:rPr>
              <w:rStyle w:val="Hyperlink"/>
              <w:noProof/>
            </w:rPr>
          </w:pPr>
          <w:hyperlink w:anchor="_Toc1838028322">
            <w:r w:rsidRPr="2A4916C0">
              <w:rPr>
                <w:rStyle w:val="Hyperlink"/>
                <w:noProof/>
              </w:rPr>
              <w:t>RACI Matrix for Stay Smart+ Launch</w:t>
            </w:r>
            <w:r w:rsidR="5A740515">
              <w:rPr>
                <w:noProof/>
              </w:rPr>
              <w:tab/>
            </w:r>
            <w:r w:rsidR="5A740515">
              <w:rPr>
                <w:noProof/>
              </w:rPr>
              <w:fldChar w:fldCharType="begin"/>
            </w:r>
            <w:r w:rsidR="5A740515">
              <w:rPr>
                <w:noProof/>
              </w:rPr>
              <w:instrText>PAGEREF _Toc1838028322 \h</w:instrText>
            </w:r>
            <w:r w:rsidR="5A740515">
              <w:rPr>
                <w:noProof/>
              </w:rPr>
            </w:r>
            <w:r w:rsidR="5A740515">
              <w:rPr>
                <w:noProof/>
              </w:rPr>
              <w:fldChar w:fldCharType="separate"/>
            </w:r>
            <w:r w:rsidR="005473CF">
              <w:rPr>
                <w:noProof/>
              </w:rPr>
              <w:t>8</w:t>
            </w:r>
            <w:r w:rsidR="5A740515">
              <w:rPr>
                <w:noProof/>
              </w:rPr>
              <w:fldChar w:fldCharType="end"/>
            </w:r>
          </w:hyperlink>
        </w:p>
        <w:p w14:paraId="607C8266" w14:textId="66F6CABB" w:rsidR="5A740515" w:rsidRDefault="2A4916C0" w:rsidP="0407C32D">
          <w:pPr>
            <w:pStyle w:val="TOC4"/>
            <w:tabs>
              <w:tab w:val="right" w:leader="dot" w:pos="9015"/>
            </w:tabs>
            <w:rPr>
              <w:rStyle w:val="Hyperlink"/>
              <w:noProof/>
            </w:rPr>
          </w:pPr>
          <w:hyperlink w:anchor="_Toc92312139">
            <w:r w:rsidRPr="2A4916C0">
              <w:rPr>
                <w:rStyle w:val="Hyperlink"/>
                <w:noProof/>
              </w:rPr>
              <w:t>Stakeholder Power/Interest Grid</w:t>
            </w:r>
            <w:r w:rsidR="5A740515">
              <w:rPr>
                <w:noProof/>
              </w:rPr>
              <w:tab/>
            </w:r>
            <w:r w:rsidR="5A740515">
              <w:rPr>
                <w:noProof/>
              </w:rPr>
              <w:fldChar w:fldCharType="begin"/>
            </w:r>
            <w:r w:rsidR="5A740515">
              <w:rPr>
                <w:noProof/>
              </w:rPr>
              <w:instrText>PAGEREF _Toc92312139 \h</w:instrText>
            </w:r>
            <w:r w:rsidR="5A740515">
              <w:rPr>
                <w:noProof/>
              </w:rPr>
            </w:r>
            <w:r w:rsidR="5A740515">
              <w:rPr>
                <w:noProof/>
              </w:rPr>
              <w:fldChar w:fldCharType="separate"/>
            </w:r>
            <w:r w:rsidR="005473CF">
              <w:rPr>
                <w:noProof/>
              </w:rPr>
              <w:t>9</w:t>
            </w:r>
            <w:r w:rsidR="5A740515">
              <w:rPr>
                <w:noProof/>
              </w:rPr>
              <w:fldChar w:fldCharType="end"/>
            </w:r>
          </w:hyperlink>
        </w:p>
        <w:p w14:paraId="723149BC" w14:textId="5C320F45" w:rsidR="4590112F" w:rsidRDefault="2A4916C0" w:rsidP="0407C32D">
          <w:pPr>
            <w:pStyle w:val="TOC4"/>
            <w:tabs>
              <w:tab w:val="right" w:leader="dot" w:pos="9015"/>
            </w:tabs>
            <w:rPr>
              <w:rStyle w:val="Hyperlink"/>
              <w:noProof/>
            </w:rPr>
          </w:pPr>
          <w:hyperlink w:anchor="_Toc509703221">
            <w:r w:rsidRPr="2A4916C0">
              <w:rPr>
                <w:rStyle w:val="Hyperlink"/>
                <w:noProof/>
              </w:rPr>
              <w:t>Stakeholder Roles, Benefits, and Challenges – Table 2</w:t>
            </w:r>
            <w:r w:rsidR="4590112F">
              <w:rPr>
                <w:noProof/>
              </w:rPr>
              <w:tab/>
            </w:r>
            <w:r w:rsidR="4590112F">
              <w:rPr>
                <w:noProof/>
              </w:rPr>
              <w:fldChar w:fldCharType="begin"/>
            </w:r>
            <w:r w:rsidR="4590112F">
              <w:rPr>
                <w:noProof/>
              </w:rPr>
              <w:instrText>PAGEREF _Toc509703221 \h</w:instrText>
            </w:r>
            <w:r w:rsidR="4590112F">
              <w:rPr>
                <w:noProof/>
              </w:rPr>
            </w:r>
            <w:r w:rsidR="4590112F">
              <w:rPr>
                <w:noProof/>
              </w:rPr>
              <w:fldChar w:fldCharType="separate"/>
            </w:r>
            <w:r w:rsidR="005473CF">
              <w:rPr>
                <w:noProof/>
              </w:rPr>
              <w:t>10</w:t>
            </w:r>
            <w:r w:rsidR="4590112F">
              <w:rPr>
                <w:noProof/>
              </w:rPr>
              <w:fldChar w:fldCharType="end"/>
            </w:r>
          </w:hyperlink>
        </w:p>
        <w:p w14:paraId="04BD8C2B" w14:textId="07BF906D" w:rsidR="4590112F" w:rsidRDefault="2A4916C0" w:rsidP="0407C32D">
          <w:pPr>
            <w:pStyle w:val="TOC2"/>
            <w:tabs>
              <w:tab w:val="right" w:leader="dot" w:pos="9015"/>
            </w:tabs>
            <w:rPr>
              <w:rStyle w:val="Hyperlink"/>
              <w:noProof/>
            </w:rPr>
          </w:pPr>
          <w:hyperlink w:anchor="_Toc1061934210">
            <w:r w:rsidRPr="2A4916C0">
              <w:rPr>
                <w:rStyle w:val="Hyperlink"/>
                <w:noProof/>
              </w:rPr>
              <w:t>Communication Plan: Stay Smart+ Global Launch</w:t>
            </w:r>
            <w:r w:rsidR="4590112F">
              <w:rPr>
                <w:noProof/>
              </w:rPr>
              <w:tab/>
            </w:r>
            <w:r w:rsidR="4590112F">
              <w:rPr>
                <w:noProof/>
              </w:rPr>
              <w:fldChar w:fldCharType="begin"/>
            </w:r>
            <w:r w:rsidR="4590112F">
              <w:rPr>
                <w:noProof/>
              </w:rPr>
              <w:instrText>PAGEREF _Toc1061934210 \h</w:instrText>
            </w:r>
            <w:r w:rsidR="4590112F">
              <w:rPr>
                <w:noProof/>
              </w:rPr>
            </w:r>
            <w:r w:rsidR="4590112F">
              <w:rPr>
                <w:noProof/>
              </w:rPr>
              <w:fldChar w:fldCharType="separate"/>
            </w:r>
            <w:r w:rsidR="005473CF">
              <w:rPr>
                <w:noProof/>
              </w:rPr>
              <w:t>11</w:t>
            </w:r>
            <w:r w:rsidR="4590112F">
              <w:rPr>
                <w:noProof/>
              </w:rPr>
              <w:fldChar w:fldCharType="end"/>
            </w:r>
          </w:hyperlink>
        </w:p>
        <w:p w14:paraId="3D05A04A" w14:textId="0F111C59" w:rsidR="4590112F" w:rsidRDefault="2A4916C0" w:rsidP="0407C32D">
          <w:pPr>
            <w:pStyle w:val="TOC3"/>
            <w:tabs>
              <w:tab w:val="right" w:leader="dot" w:pos="9015"/>
            </w:tabs>
            <w:rPr>
              <w:rStyle w:val="Hyperlink"/>
              <w:noProof/>
            </w:rPr>
          </w:pPr>
          <w:hyperlink w:anchor="_Toc492098682">
            <w:r w:rsidRPr="2A4916C0">
              <w:rPr>
                <w:rStyle w:val="Hyperlink"/>
                <w:noProof/>
              </w:rPr>
              <w:t>5.0 Stakeholder Engagement Process and Conflict Management (The 4C's Model)</w:t>
            </w:r>
            <w:r w:rsidR="4590112F">
              <w:rPr>
                <w:noProof/>
              </w:rPr>
              <w:tab/>
            </w:r>
            <w:r w:rsidR="4590112F">
              <w:rPr>
                <w:noProof/>
              </w:rPr>
              <w:fldChar w:fldCharType="begin"/>
            </w:r>
            <w:r w:rsidR="4590112F">
              <w:rPr>
                <w:noProof/>
              </w:rPr>
              <w:instrText>PAGEREF _Toc492098682 \h</w:instrText>
            </w:r>
            <w:r w:rsidR="4590112F">
              <w:rPr>
                <w:noProof/>
              </w:rPr>
            </w:r>
            <w:r w:rsidR="4590112F">
              <w:rPr>
                <w:noProof/>
              </w:rPr>
              <w:fldChar w:fldCharType="separate"/>
            </w:r>
            <w:r w:rsidR="005473CF">
              <w:rPr>
                <w:noProof/>
              </w:rPr>
              <w:t>17</w:t>
            </w:r>
            <w:r w:rsidR="4590112F">
              <w:rPr>
                <w:noProof/>
              </w:rPr>
              <w:fldChar w:fldCharType="end"/>
            </w:r>
          </w:hyperlink>
        </w:p>
        <w:p w14:paraId="3B165ECE" w14:textId="43DC8995" w:rsidR="4590112F" w:rsidRDefault="2A4916C0" w:rsidP="0407C32D">
          <w:pPr>
            <w:pStyle w:val="TOC4"/>
            <w:tabs>
              <w:tab w:val="right" w:leader="dot" w:pos="9015"/>
            </w:tabs>
            <w:rPr>
              <w:rStyle w:val="Hyperlink"/>
              <w:noProof/>
            </w:rPr>
          </w:pPr>
          <w:hyperlink w:anchor="_Toc752813360">
            <w:r w:rsidRPr="2A4916C0">
              <w:rPr>
                <w:rStyle w:val="Hyperlink"/>
                <w:noProof/>
              </w:rPr>
              <w:t>Managing Conflict</w:t>
            </w:r>
            <w:r w:rsidR="4590112F">
              <w:rPr>
                <w:noProof/>
              </w:rPr>
              <w:tab/>
            </w:r>
            <w:r w:rsidR="4590112F">
              <w:rPr>
                <w:noProof/>
              </w:rPr>
              <w:fldChar w:fldCharType="begin"/>
            </w:r>
            <w:r w:rsidR="4590112F">
              <w:rPr>
                <w:noProof/>
              </w:rPr>
              <w:instrText>PAGEREF _Toc752813360 \h</w:instrText>
            </w:r>
            <w:r w:rsidR="4590112F">
              <w:rPr>
                <w:noProof/>
              </w:rPr>
            </w:r>
            <w:r w:rsidR="4590112F">
              <w:rPr>
                <w:noProof/>
              </w:rPr>
              <w:fldChar w:fldCharType="separate"/>
            </w:r>
            <w:r w:rsidR="005473CF">
              <w:rPr>
                <w:noProof/>
              </w:rPr>
              <w:t>19</w:t>
            </w:r>
            <w:r w:rsidR="4590112F">
              <w:rPr>
                <w:noProof/>
              </w:rPr>
              <w:fldChar w:fldCharType="end"/>
            </w:r>
          </w:hyperlink>
        </w:p>
        <w:p w14:paraId="08138823" w14:textId="63D69DDF" w:rsidR="4590112F" w:rsidRDefault="2A4916C0" w:rsidP="0407C32D">
          <w:pPr>
            <w:pStyle w:val="TOC3"/>
            <w:tabs>
              <w:tab w:val="right" w:leader="dot" w:pos="9015"/>
            </w:tabs>
            <w:rPr>
              <w:rStyle w:val="Hyperlink"/>
              <w:noProof/>
            </w:rPr>
          </w:pPr>
          <w:hyperlink w:anchor="_Toc1491324194">
            <w:r w:rsidRPr="2A4916C0">
              <w:rPr>
                <w:rStyle w:val="Hyperlink"/>
                <w:noProof/>
              </w:rPr>
              <w:t>6.0 Evaluation of Impact and Recommendations</w:t>
            </w:r>
            <w:r w:rsidR="4590112F">
              <w:rPr>
                <w:noProof/>
              </w:rPr>
              <w:tab/>
            </w:r>
            <w:r w:rsidR="4590112F">
              <w:rPr>
                <w:noProof/>
              </w:rPr>
              <w:fldChar w:fldCharType="begin"/>
            </w:r>
            <w:r w:rsidR="4590112F">
              <w:rPr>
                <w:noProof/>
              </w:rPr>
              <w:instrText>PAGEREF _Toc1491324194 \h</w:instrText>
            </w:r>
            <w:r w:rsidR="4590112F">
              <w:rPr>
                <w:noProof/>
              </w:rPr>
            </w:r>
            <w:r w:rsidR="4590112F">
              <w:rPr>
                <w:noProof/>
              </w:rPr>
              <w:fldChar w:fldCharType="separate"/>
            </w:r>
            <w:r w:rsidR="005473CF">
              <w:rPr>
                <w:noProof/>
              </w:rPr>
              <w:t>19</w:t>
            </w:r>
            <w:r w:rsidR="4590112F">
              <w:rPr>
                <w:noProof/>
              </w:rPr>
              <w:fldChar w:fldCharType="end"/>
            </w:r>
          </w:hyperlink>
        </w:p>
        <w:p w14:paraId="09CB5E53" w14:textId="25643A48" w:rsidR="4590112F" w:rsidRDefault="2A4916C0" w:rsidP="0407C32D">
          <w:pPr>
            <w:pStyle w:val="TOC4"/>
            <w:tabs>
              <w:tab w:val="right" w:leader="dot" w:pos="9015"/>
            </w:tabs>
            <w:rPr>
              <w:rStyle w:val="Hyperlink"/>
              <w:noProof/>
            </w:rPr>
          </w:pPr>
          <w:hyperlink w:anchor="_Toc225386544">
            <w:r w:rsidRPr="2A4916C0">
              <w:rPr>
                <w:rStyle w:val="Hyperlink"/>
                <w:noProof/>
              </w:rPr>
              <w:t>Impact of Stakeholder Engagement on Business Performance</w:t>
            </w:r>
            <w:r w:rsidR="4590112F">
              <w:rPr>
                <w:noProof/>
              </w:rPr>
              <w:tab/>
            </w:r>
            <w:r w:rsidR="4590112F">
              <w:rPr>
                <w:noProof/>
              </w:rPr>
              <w:fldChar w:fldCharType="begin"/>
            </w:r>
            <w:r w:rsidR="4590112F">
              <w:rPr>
                <w:noProof/>
              </w:rPr>
              <w:instrText>PAGEREF _Toc225386544 \h</w:instrText>
            </w:r>
            <w:r w:rsidR="4590112F">
              <w:rPr>
                <w:noProof/>
              </w:rPr>
            </w:r>
            <w:r w:rsidR="4590112F">
              <w:rPr>
                <w:noProof/>
              </w:rPr>
              <w:fldChar w:fldCharType="separate"/>
            </w:r>
            <w:r w:rsidR="005473CF">
              <w:rPr>
                <w:noProof/>
              </w:rPr>
              <w:t>19</w:t>
            </w:r>
            <w:r w:rsidR="4590112F">
              <w:rPr>
                <w:noProof/>
              </w:rPr>
              <w:fldChar w:fldCharType="end"/>
            </w:r>
          </w:hyperlink>
        </w:p>
        <w:p w14:paraId="145E633D" w14:textId="77B90994" w:rsidR="4590112F" w:rsidRDefault="2A4916C0" w:rsidP="0407C32D">
          <w:pPr>
            <w:pStyle w:val="TOC4"/>
            <w:tabs>
              <w:tab w:val="right" w:leader="dot" w:pos="9015"/>
            </w:tabs>
            <w:rPr>
              <w:rStyle w:val="Hyperlink"/>
              <w:noProof/>
            </w:rPr>
          </w:pPr>
          <w:hyperlink w:anchor="_Toc1528737088">
            <w:r w:rsidRPr="2A4916C0">
              <w:rPr>
                <w:rStyle w:val="Hyperlink"/>
                <w:noProof/>
              </w:rPr>
              <w:t>Recommendations for Future Stakeholder Engagement</w:t>
            </w:r>
            <w:r w:rsidR="4590112F">
              <w:rPr>
                <w:noProof/>
              </w:rPr>
              <w:tab/>
            </w:r>
            <w:r w:rsidR="4590112F">
              <w:rPr>
                <w:noProof/>
              </w:rPr>
              <w:fldChar w:fldCharType="begin"/>
            </w:r>
            <w:r w:rsidR="4590112F">
              <w:rPr>
                <w:noProof/>
              </w:rPr>
              <w:instrText>PAGEREF _Toc1528737088 \h</w:instrText>
            </w:r>
            <w:r w:rsidR="4590112F">
              <w:rPr>
                <w:noProof/>
              </w:rPr>
            </w:r>
            <w:r w:rsidR="4590112F">
              <w:rPr>
                <w:noProof/>
              </w:rPr>
              <w:fldChar w:fldCharType="separate"/>
            </w:r>
            <w:r w:rsidR="005473CF">
              <w:rPr>
                <w:noProof/>
              </w:rPr>
              <w:t>20</w:t>
            </w:r>
            <w:r w:rsidR="4590112F">
              <w:rPr>
                <w:noProof/>
              </w:rPr>
              <w:fldChar w:fldCharType="end"/>
            </w:r>
          </w:hyperlink>
        </w:p>
        <w:p w14:paraId="7DC5C0A3" w14:textId="21A80D97" w:rsidR="4590112F" w:rsidRDefault="2A4916C0" w:rsidP="0407C32D">
          <w:pPr>
            <w:pStyle w:val="TOC3"/>
            <w:tabs>
              <w:tab w:val="right" w:leader="dot" w:pos="9015"/>
            </w:tabs>
            <w:rPr>
              <w:rStyle w:val="Hyperlink"/>
              <w:noProof/>
            </w:rPr>
          </w:pPr>
          <w:hyperlink w:anchor="_Toc2102035850">
            <w:r w:rsidRPr="2A4916C0">
              <w:rPr>
                <w:rStyle w:val="Hyperlink"/>
                <w:noProof/>
              </w:rPr>
              <w:t>7.0 Conclusion</w:t>
            </w:r>
            <w:r w:rsidR="4590112F">
              <w:rPr>
                <w:noProof/>
              </w:rPr>
              <w:tab/>
            </w:r>
            <w:r w:rsidR="4590112F">
              <w:rPr>
                <w:noProof/>
              </w:rPr>
              <w:fldChar w:fldCharType="begin"/>
            </w:r>
            <w:r w:rsidR="4590112F">
              <w:rPr>
                <w:noProof/>
              </w:rPr>
              <w:instrText>PAGEREF _Toc2102035850 \h</w:instrText>
            </w:r>
            <w:r w:rsidR="4590112F">
              <w:rPr>
                <w:noProof/>
              </w:rPr>
            </w:r>
            <w:r w:rsidR="4590112F">
              <w:rPr>
                <w:noProof/>
              </w:rPr>
              <w:fldChar w:fldCharType="separate"/>
            </w:r>
            <w:r w:rsidR="005473CF">
              <w:rPr>
                <w:noProof/>
              </w:rPr>
              <w:t>21</w:t>
            </w:r>
            <w:r w:rsidR="4590112F">
              <w:rPr>
                <w:noProof/>
              </w:rPr>
              <w:fldChar w:fldCharType="end"/>
            </w:r>
          </w:hyperlink>
        </w:p>
        <w:p w14:paraId="20400F41" w14:textId="7F8582AA" w:rsidR="4590112F" w:rsidRDefault="2A4916C0" w:rsidP="0407C32D">
          <w:pPr>
            <w:pStyle w:val="TOC2"/>
            <w:tabs>
              <w:tab w:val="right" w:leader="dot" w:pos="9015"/>
            </w:tabs>
            <w:rPr>
              <w:rStyle w:val="Hyperlink"/>
            </w:rPr>
          </w:pPr>
          <w:hyperlink w:anchor="_Toc801745572">
            <w:r w:rsidRPr="2A4916C0">
              <w:rPr>
                <w:rStyle w:val="Hyperlink"/>
                <w:noProof/>
              </w:rPr>
              <w:t>Reference List</w:t>
            </w:r>
            <w:r w:rsidR="4590112F">
              <w:rPr>
                <w:noProof/>
              </w:rPr>
              <w:tab/>
            </w:r>
            <w:r w:rsidR="4590112F">
              <w:rPr>
                <w:noProof/>
              </w:rPr>
              <w:fldChar w:fldCharType="begin"/>
            </w:r>
            <w:r w:rsidR="4590112F">
              <w:rPr>
                <w:noProof/>
              </w:rPr>
              <w:instrText>PAGEREF _Toc801745572 \h</w:instrText>
            </w:r>
            <w:r w:rsidR="4590112F">
              <w:rPr>
                <w:noProof/>
              </w:rPr>
            </w:r>
            <w:r w:rsidR="4590112F">
              <w:rPr>
                <w:noProof/>
              </w:rPr>
              <w:fldChar w:fldCharType="separate"/>
            </w:r>
            <w:r w:rsidR="005473CF">
              <w:rPr>
                <w:noProof/>
              </w:rPr>
              <w:t>22</w:t>
            </w:r>
            <w:r w:rsidR="4590112F">
              <w:rPr>
                <w:noProof/>
              </w:rPr>
              <w:fldChar w:fldCharType="end"/>
            </w:r>
          </w:hyperlink>
          <w:r w:rsidR="4590112F">
            <w:fldChar w:fldCharType="end"/>
          </w:r>
        </w:p>
      </w:sdtContent>
    </w:sdt>
    <w:p w14:paraId="0ACCA648" w14:textId="776AD843" w:rsidR="5A740515" w:rsidRDefault="5A740515" w:rsidP="5A740515">
      <w:pPr>
        <w:spacing w:line="276" w:lineRule="auto"/>
        <w:jc w:val="both"/>
        <w:rPr>
          <w:rFonts w:ascii="Aptos" w:eastAsia="Aptos" w:hAnsi="Aptos" w:cs="Aptos"/>
          <w:color w:val="000000" w:themeColor="text1"/>
          <w:sz w:val="48"/>
          <w:szCs w:val="48"/>
          <w:lang w:val="en-US"/>
        </w:rPr>
      </w:pPr>
    </w:p>
    <w:p w14:paraId="19742687" w14:textId="4B9B572F" w:rsidR="5A740515" w:rsidRDefault="5A740515" w:rsidP="5A740515">
      <w:pPr>
        <w:spacing w:line="276" w:lineRule="auto"/>
        <w:jc w:val="both"/>
        <w:rPr>
          <w:rFonts w:ascii="Aptos" w:eastAsia="Aptos" w:hAnsi="Aptos" w:cs="Aptos"/>
          <w:color w:val="000000" w:themeColor="text1"/>
          <w:sz w:val="48"/>
          <w:szCs w:val="48"/>
          <w:lang w:val="en-US"/>
        </w:rPr>
      </w:pPr>
    </w:p>
    <w:p w14:paraId="441C3F95" w14:textId="172D24B4" w:rsidR="5A740515" w:rsidRDefault="5A740515"/>
    <w:p w14:paraId="6C4EEED6" w14:textId="64808DA4" w:rsidR="0407C32D" w:rsidRDefault="0407C32D"/>
    <w:p w14:paraId="4864E3B4" w14:textId="42C45EE9" w:rsidR="5A740515" w:rsidRDefault="5A740515"/>
    <w:p w14:paraId="2C088066" w14:textId="6FF0A2A1" w:rsidR="5A740515" w:rsidRDefault="5A740515"/>
    <w:p w14:paraId="2B28BDD0" w14:textId="17A6DC43" w:rsidR="5A740515" w:rsidRDefault="5A740515"/>
    <w:p w14:paraId="11153065" w14:textId="0DB42B9A" w:rsidR="5A740515" w:rsidRDefault="5A740515" w:rsidP="5A740515"/>
    <w:p w14:paraId="0A0EE9B6" w14:textId="7D18BD40" w:rsidR="6317D0BD" w:rsidRDefault="6317D0BD" w:rsidP="6317D0BD"/>
    <w:p w14:paraId="5AD5D04E" w14:textId="2B1D5737" w:rsidR="28D9B84F" w:rsidRDefault="28D9B84F" w:rsidP="5A740515">
      <w:pPr>
        <w:rPr>
          <w:rFonts w:ascii="Arial" w:eastAsia="Arial" w:hAnsi="Arial" w:cs="Arial"/>
          <w:color w:val="0F1115"/>
          <w:sz w:val="32"/>
          <w:szCs w:val="32"/>
          <w:lang w:val="ro-RO"/>
        </w:rPr>
      </w:pPr>
      <w:r w:rsidRPr="5A740515">
        <w:rPr>
          <w:rFonts w:ascii="Arial" w:eastAsia="Arial" w:hAnsi="Arial" w:cs="Arial"/>
          <w:b/>
          <w:bCs/>
          <w:color w:val="0F1115"/>
          <w:sz w:val="32"/>
          <w:szCs w:val="32"/>
        </w:rPr>
        <w:t>Executive Summary</w:t>
      </w:r>
    </w:p>
    <w:p w14:paraId="211222B8" w14:textId="612C93D0" w:rsidR="28D9B84F" w:rsidRDefault="28D9B84F" w:rsidP="24965EC0">
      <w:pPr>
        <w:shd w:val="clear" w:color="auto" w:fill="FFFFFF" w:themeFill="background1"/>
        <w:spacing w:before="240" w:after="240" w:line="360" w:lineRule="auto"/>
        <w:jc w:val="both"/>
        <w:rPr>
          <w:rFonts w:ascii="Arial" w:eastAsia="Arial" w:hAnsi="Arial" w:cs="Arial"/>
          <w:color w:val="0F1115"/>
          <w:sz w:val="22"/>
          <w:szCs w:val="22"/>
          <w:lang w:val="ro-RO"/>
        </w:rPr>
      </w:pPr>
      <w:r w:rsidRPr="24965EC0">
        <w:rPr>
          <w:rFonts w:ascii="Arial" w:eastAsia="Arial" w:hAnsi="Arial" w:cs="Arial"/>
          <w:color w:val="0F1115"/>
          <w:sz w:val="22"/>
          <w:szCs w:val="22"/>
        </w:rPr>
        <w:t>This report outlines the stakeholder engagement strategy for the global launch of "Stay</w:t>
      </w:r>
      <w:r w:rsidR="758D0E82" w:rsidRPr="24965EC0">
        <w:rPr>
          <w:rFonts w:ascii="Arial" w:eastAsia="Arial" w:hAnsi="Arial" w:cs="Arial"/>
          <w:color w:val="0F1115"/>
          <w:sz w:val="22"/>
          <w:szCs w:val="22"/>
        </w:rPr>
        <w:t xml:space="preserve"> </w:t>
      </w:r>
      <w:r w:rsidRPr="24965EC0">
        <w:rPr>
          <w:rFonts w:ascii="Arial" w:eastAsia="Arial" w:hAnsi="Arial" w:cs="Arial"/>
          <w:color w:val="0F1115"/>
          <w:sz w:val="22"/>
          <w:szCs w:val="22"/>
        </w:rPr>
        <w:t>Smart+," a new AI-driven and sustainability-focused customer experience service for Holiday Inn. The project aims to integrate personalised travel planning and eco-friendly amenities across selected international markets within six months. As Project Manager, this report identifies and categorises key internal and external stakeholders critical to the launch's success. Utilising frameworks such as stakeholder theory, the Power/Interest Grid, and a RACI Matrix, the report justifies tailored engagement strategies to foster collaboration and commitment across diverse cultural contexts. The analysis critically evaluates the benefits, challenges, and ethical considerations inherent in managing these relationships, applying the 4C's model to propose a conflict resolution process. Finally, the report evaluates the impact of robust stakeholder engagement on business performance and provides strategic recommendations to ensure the Stay</w:t>
      </w:r>
      <w:r w:rsidR="426CC8F0" w:rsidRPr="24965EC0">
        <w:rPr>
          <w:rFonts w:ascii="Arial" w:eastAsia="Arial" w:hAnsi="Arial" w:cs="Arial"/>
          <w:color w:val="0F1115"/>
          <w:sz w:val="22"/>
          <w:szCs w:val="22"/>
        </w:rPr>
        <w:t xml:space="preserve"> </w:t>
      </w:r>
      <w:r w:rsidRPr="24965EC0">
        <w:rPr>
          <w:rFonts w:ascii="Arial" w:eastAsia="Arial" w:hAnsi="Arial" w:cs="Arial"/>
          <w:color w:val="0F1115"/>
          <w:sz w:val="22"/>
          <w:szCs w:val="22"/>
        </w:rPr>
        <w:t>Smart+ initiative achieves its objectives of enhanced brand differentiation and operational excellence.</w:t>
      </w:r>
    </w:p>
    <w:p w14:paraId="54C8CF12" w14:textId="62D62CFD"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38D35BED" w14:textId="3B8CB10D"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68142D64" w14:textId="50255095"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6CF6CEC8" w14:textId="4935EBF3"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79C35841" w14:textId="686C2DB8"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55391B74" w14:textId="74DF2FA5" w:rsidR="24965EC0" w:rsidRDefault="24965EC0" w:rsidP="2A4916C0">
      <w:pPr>
        <w:shd w:val="clear" w:color="auto" w:fill="FFFFFF" w:themeFill="background1"/>
        <w:spacing w:before="240" w:after="240" w:line="360" w:lineRule="auto"/>
        <w:jc w:val="both"/>
        <w:rPr>
          <w:rFonts w:ascii="Arial" w:eastAsia="Arial" w:hAnsi="Arial" w:cs="Arial"/>
          <w:color w:val="0F1115"/>
          <w:sz w:val="22"/>
          <w:szCs w:val="22"/>
        </w:rPr>
      </w:pPr>
    </w:p>
    <w:p w14:paraId="48A7E52B" w14:textId="25CB3C1D"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5CCF8AFE" w14:textId="69F6A31E"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75078E74" w14:textId="7C2106CF"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1661B5F6" w14:textId="5D415551"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21CE3E96" w14:textId="2AC0A5A3" w:rsidR="24965EC0" w:rsidRDefault="24965EC0" w:rsidP="24965EC0">
      <w:pPr>
        <w:shd w:val="clear" w:color="auto" w:fill="FFFFFF" w:themeFill="background1"/>
        <w:spacing w:before="240" w:after="240" w:line="360" w:lineRule="auto"/>
        <w:jc w:val="both"/>
        <w:rPr>
          <w:rFonts w:ascii="Arial" w:eastAsia="Arial" w:hAnsi="Arial" w:cs="Arial"/>
          <w:color w:val="0F1115"/>
          <w:sz w:val="22"/>
          <w:szCs w:val="22"/>
        </w:rPr>
      </w:pPr>
    </w:p>
    <w:p w14:paraId="750AD992" w14:textId="518913BF" w:rsidR="28D9B84F" w:rsidRDefault="0D06F853" w:rsidP="2A4916C0">
      <w:pPr>
        <w:pStyle w:val="Heading3"/>
        <w:shd w:val="clear" w:color="auto" w:fill="FFFFFF" w:themeFill="background1"/>
        <w:spacing w:before="480" w:after="240" w:line="450" w:lineRule="auto"/>
        <w:rPr>
          <w:rFonts w:ascii="Arial" w:eastAsia="Arial" w:hAnsi="Arial" w:cs="Arial"/>
          <w:color w:val="0F1115"/>
          <w:sz w:val="32"/>
          <w:szCs w:val="32"/>
          <w:lang w:val="ro-RO"/>
        </w:rPr>
      </w:pPr>
      <w:bookmarkStart w:id="0" w:name="_Toc1213389750"/>
      <w:r w:rsidRPr="2A4916C0">
        <w:rPr>
          <w:rFonts w:ascii="Arial" w:eastAsia="Arial" w:hAnsi="Arial" w:cs="Arial"/>
          <w:b/>
          <w:bCs/>
          <w:color w:val="0F1115"/>
          <w:sz w:val="32"/>
          <w:szCs w:val="32"/>
        </w:rPr>
        <w:lastRenderedPageBreak/>
        <w:t>1.0 Introduction: Holiday Inn and the Stay</w:t>
      </w:r>
      <w:r w:rsidR="2A9E2535" w:rsidRPr="2A4916C0">
        <w:rPr>
          <w:rFonts w:ascii="Arial" w:eastAsia="Arial" w:hAnsi="Arial" w:cs="Arial"/>
          <w:b/>
          <w:bCs/>
          <w:color w:val="0F1115"/>
          <w:sz w:val="32"/>
          <w:szCs w:val="32"/>
        </w:rPr>
        <w:t xml:space="preserve"> </w:t>
      </w:r>
      <w:r w:rsidRPr="2A4916C0">
        <w:rPr>
          <w:rFonts w:ascii="Arial" w:eastAsia="Arial" w:hAnsi="Arial" w:cs="Arial"/>
          <w:b/>
          <w:bCs/>
          <w:color w:val="0F1115"/>
          <w:sz w:val="32"/>
          <w:szCs w:val="32"/>
        </w:rPr>
        <w:t>Smart+ Initiative</w:t>
      </w:r>
      <w:bookmarkEnd w:id="0"/>
    </w:p>
    <w:p w14:paraId="76C71428" w14:textId="3591D489" w:rsidR="28D9B84F" w:rsidRDefault="28D9B84F" w:rsidP="5A740515">
      <w:pPr>
        <w:shd w:val="clear" w:color="auto" w:fill="FFFFFF" w:themeFill="background1"/>
        <w:spacing w:before="240" w:after="240" w:line="360" w:lineRule="auto"/>
        <w:jc w:val="both"/>
        <w:rPr>
          <w:rFonts w:ascii="Arial" w:eastAsia="Arial" w:hAnsi="Arial" w:cs="Arial"/>
          <w:color w:val="0F1115"/>
          <w:lang w:val="ro-RO"/>
        </w:rPr>
      </w:pPr>
      <w:r w:rsidRPr="5A740515">
        <w:rPr>
          <w:rFonts w:ascii="Arial" w:eastAsia="Arial" w:hAnsi="Arial" w:cs="Arial"/>
          <w:color w:val="0F1115"/>
        </w:rPr>
        <w:t>InterContinental Hotels Group (IHG) is one of the world's leading hotel and hospitality companies, with a portfolio of well-recognised brands, including Holiday Inn and Holiday Inn Express. With over 4,000 Holiday Inn-branded hotels globally, it is a cornerstone of the mid-scale to upper mid-scale accommodation market, serving both leisure and business travellers (IHG, 2026). The brand has a significant presence in major urban centres, including London and Birmingham, where it competes on service consistency, location, and value. As part of IHG's broader strategy, which focuses on operational efficiency and brand relevance (IHG, 2026), Holiday Inn continually evolves to meet changing guest expectations.</w:t>
      </w:r>
    </w:p>
    <w:p w14:paraId="39946840" w14:textId="0A41F283" w:rsidR="28D9B84F" w:rsidRDefault="28D9B84F" w:rsidP="5A740515">
      <w:pPr>
        <w:shd w:val="clear" w:color="auto" w:fill="FFFFFF" w:themeFill="background1"/>
        <w:spacing w:before="240" w:after="240" w:line="360" w:lineRule="auto"/>
        <w:jc w:val="both"/>
        <w:rPr>
          <w:rFonts w:ascii="Arial" w:eastAsia="Arial" w:hAnsi="Arial" w:cs="Arial"/>
          <w:color w:val="0F1115"/>
          <w:lang w:val="ro-RO"/>
        </w:rPr>
      </w:pPr>
      <w:r w:rsidRPr="5A740515">
        <w:rPr>
          <w:rFonts w:ascii="Arial" w:eastAsia="Arial" w:hAnsi="Arial" w:cs="Arial"/>
          <w:color w:val="0F1115"/>
        </w:rPr>
        <w:t>In this context, the company is preparing to launch "Stay</w:t>
      </w:r>
      <w:r w:rsidR="4813C0F4" w:rsidRPr="5A740515">
        <w:rPr>
          <w:rFonts w:ascii="Arial" w:eastAsia="Arial" w:hAnsi="Arial" w:cs="Arial"/>
          <w:color w:val="0F1115"/>
        </w:rPr>
        <w:t xml:space="preserve"> </w:t>
      </w:r>
      <w:r w:rsidRPr="5A740515">
        <w:rPr>
          <w:rFonts w:ascii="Arial" w:eastAsia="Arial" w:hAnsi="Arial" w:cs="Arial"/>
          <w:color w:val="0F1115"/>
        </w:rPr>
        <w:t>Smart+," a premium customer experience service. This six-month global project integrates three core components:</w:t>
      </w:r>
    </w:p>
    <w:p w14:paraId="67FF957C" w14:textId="3F9A9378" w:rsidR="28D9B84F" w:rsidRDefault="28D9B84F" w:rsidP="5A740515">
      <w:pPr>
        <w:pStyle w:val="ListParagraph"/>
        <w:numPr>
          <w:ilvl w:val="0"/>
          <w:numId w:val="18"/>
        </w:numPr>
        <w:shd w:val="clear" w:color="auto" w:fill="FFFFFF" w:themeFill="background1"/>
        <w:spacing w:before="240" w:after="240" w:line="360" w:lineRule="auto"/>
        <w:rPr>
          <w:rFonts w:ascii="Arial" w:eastAsia="Arial" w:hAnsi="Arial" w:cs="Arial"/>
          <w:color w:val="0F1115"/>
          <w:sz w:val="22"/>
          <w:szCs w:val="22"/>
          <w:lang w:val="ro-RO"/>
        </w:rPr>
      </w:pPr>
      <w:r w:rsidRPr="5A740515">
        <w:rPr>
          <w:rFonts w:ascii="Arial" w:eastAsia="Arial" w:hAnsi="Arial" w:cs="Arial"/>
          <w:b/>
          <w:bCs/>
          <w:color w:val="0F1115"/>
          <w:sz w:val="22"/>
          <w:szCs w:val="22"/>
        </w:rPr>
        <w:t>AI-Driven Guest Interaction:</w:t>
      </w:r>
      <w:r w:rsidRPr="5A740515">
        <w:rPr>
          <w:rFonts w:ascii="Arial" w:eastAsia="Arial" w:hAnsi="Arial" w:cs="Arial"/>
          <w:color w:val="0F1115"/>
          <w:sz w:val="22"/>
          <w:szCs w:val="22"/>
        </w:rPr>
        <w:t xml:space="preserve"> Implementing an AI concierge and chatbot for 24/7 guest requests, personalised local recommendations, and seamless service recovery.</w:t>
      </w:r>
    </w:p>
    <w:p w14:paraId="13544287" w14:textId="3CC330F5" w:rsidR="28D9B84F" w:rsidRDefault="28D9B84F" w:rsidP="5A740515">
      <w:pPr>
        <w:pStyle w:val="ListParagraph"/>
        <w:numPr>
          <w:ilvl w:val="0"/>
          <w:numId w:val="18"/>
        </w:numPr>
        <w:shd w:val="clear" w:color="auto" w:fill="FFFFFF" w:themeFill="background1"/>
        <w:spacing w:before="240" w:after="240" w:line="360" w:lineRule="auto"/>
        <w:jc w:val="both"/>
        <w:rPr>
          <w:rFonts w:ascii="Arial" w:eastAsia="Arial" w:hAnsi="Arial" w:cs="Arial"/>
          <w:color w:val="0F1115"/>
          <w:sz w:val="22"/>
          <w:szCs w:val="22"/>
          <w:lang w:val="ro-RO"/>
        </w:rPr>
      </w:pPr>
      <w:r w:rsidRPr="5A740515">
        <w:rPr>
          <w:rFonts w:ascii="Arial" w:eastAsia="Arial" w:hAnsi="Arial" w:cs="Arial"/>
          <w:b/>
          <w:bCs/>
          <w:color w:val="0F1115"/>
          <w:sz w:val="22"/>
          <w:szCs w:val="22"/>
        </w:rPr>
        <w:t>Personalised Travel Planning:</w:t>
      </w:r>
      <w:r w:rsidRPr="5A740515">
        <w:rPr>
          <w:rFonts w:ascii="Arial" w:eastAsia="Arial" w:hAnsi="Arial" w:cs="Arial"/>
          <w:color w:val="0F1115"/>
          <w:sz w:val="22"/>
          <w:szCs w:val="22"/>
        </w:rPr>
        <w:t xml:space="preserve"> Using guest data to pre-empt needs, offering tailored itineraries, and integrating with loyalty programmes to reward individual preferences.</w:t>
      </w:r>
    </w:p>
    <w:p w14:paraId="26A85583" w14:textId="20D3E800" w:rsidR="28D9B84F" w:rsidRDefault="28D9B84F" w:rsidP="5A740515">
      <w:pPr>
        <w:pStyle w:val="ListParagraph"/>
        <w:numPr>
          <w:ilvl w:val="0"/>
          <w:numId w:val="18"/>
        </w:numPr>
        <w:shd w:val="clear" w:color="auto" w:fill="FFFFFF" w:themeFill="background1"/>
        <w:spacing w:before="240" w:after="240" w:line="360" w:lineRule="auto"/>
        <w:jc w:val="both"/>
        <w:rPr>
          <w:rFonts w:ascii="Arial" w:eastAsia="Arial" w:hAnsi="Arial" w:cs="Arial"/>
          <w:color w:val="0F1115"/>
          <w:sz w:val="22"/>
          <w:szCs w:val="22"/>
          <w:lang w:val="ro-RO"/>
        </w:rPr>
      </w:pPr>
      <w:r w:rsidRPr="5A740515">
        <w:rPr>
          <w:rFonts w:ascii="Arial" w:eastAsia="Arial" w:hAnsi="Arial" w:cs="Arial"/>
          <w:b/>
          <w:bCs/>
          <w:color w:val="0F1115"/>
          <w:sz w:val="22"/>
          <w:szCs w:val="22"/>
        </w:rPr>
        <w:t>Sustainability-Focused Amenities:</w:t>
      </w:r>
      <w:r w:rsidRPr="5A740515">
        <w:rPr>
          <w:rFonts w:ascii="Arial" w:eastAsia="Arial" w:hAnsi="Arial" w:cs="Arial"/>
          <w:color w:val="0F1115"/>
          <w:sz w:val="22"/>
          <w:szCs w:val="22"/>
        </w:rPr>
        <w:t xml:space="preserve"> Introducing in-room sustainability features (e.g., digital guides to reduce paper waste, refillable dispensers) and offering guests carbon-offset options for their stay, aligning with IHG's "Journey to Tomorrow" ESG commitments (IHG, 2026).</w:t>
      </w:r>
    </w:p>
    <w:p w14:paraId="74856FEF" w14:textId="4FD6D77B" w:rsidR="4590112F" w:rsidRDefault="67F25C93" w:rsidP="0407C32D">
      <w:pPr>
        <w:shd w:val="clear" w:color="auto" w:fill="FFFFFF" w:themeFill="background1"/>
        <w:spacing w:before="240" w:after="240" w:line="360" w:lineRule="auto"/>
        <w:ind w:firstLine="720"/>
        <w:jc w:val="both"/>
        <w:rPr>
          <w:rFonts w:ascii="Arial" w:eastAsia="Arial" w:hAnsi="Arial" w:cs="Arial"/>
          <w:color w:val="0F1115"/>
          <w:sz w:val="22"/>
          <w:szCs w:val="22"/>
          <w:lang w:val="ro-RO"/>
        </w:rPr>
      </w:pPr>
      <w:r w:rsidRPr="0407C32D">
        <w:rPr>
          <w:rFonts w:ascii="Arial" w:eastAsia="Arial" w:hAnsi="Arial" w:cs="Arial"/>
          <w:color w:val="0F1115"/>
          <w:sz w:val="22"/>
          <w:szCs w:val="22"/>
        </w:rPr>
        <w:t>This ambitious project requires the seamless cooperation of diverse stakeholders. As the appointed Project Manager, this report details the strategic approach to identifying, analysing, and engaging these key players. The objective is to ensure that Stay</w:t>
      </w:r>
      <w:r w:rsidR="202C8673" w:rsidRPr="0407C32D">
        <w:rPr>
          <w:rFonts w:ascii="Arial" w:eastAsia="Arial" w:hAnsi="Arial" w:cs="Arial"/>
          <w:color w:val="0F1115"/>
          <w:sz w:val="22"/>
          <w:szCs w:val="22"/>
        </w:rPr>
        <w:t xml:space="preserve"> </w:t>
      </w:r>
      <w:r w:rsidRPr="0407C32D">
        <w:rPr>
          <w:rFonts w:ascii="Arial" w:eastAsia="Arial" w:hAnsi="Arial" w:cs="Arial"/>
          <w:color w:val="0F1115"/>
          <w:sz w:val="22"/>
          <w:szCs w:val="22"/>
        </w:rPr>
        <w:t>Smart+ is not only successfully launched but also effectively adopted, creating a distinct competitive advantage for Holiday Inn in its local and international markets.</w:t>
      </w:r>
    </w:p>
    <w:p w14:paraId="478E90C9" w14:textId="5B073E4A" w:rsidR="28D9B84F" w:rsidRDefault="0D06F853" w:rsidP="2A4916C0">
      <w:pPr>
        <w:pStyle w:val="Heading3"/>
        <w:shd w:val="clear" w:color="auto" w:fill="FFFFFF" w:themeFill="background1"/>
        <w:spacing w:before="480" w:after="240" w:line="450" w:lineRule="auto"/>
        <w:rPr>
          <w:rFonts w:ascii="Arial" w:eastAsia="Arial" w:hAnsi="Arial" w:cs="Arial"/>
          <w:color w:val="0F1115"/>
          <w:sz w:val="32"/>
          <w:szCs w:val="32"/>
          <w:lang w:val="ro-RO"/>
        </w:rPr>
      </w:pPr>
      <w:bookmarkStart w:id="1" w:name="_Toc752106193"/>
      <w:r w:rsidRPr="2A4916C0">
        <w:rPr>
          <w:rFonts w:ascii="Arial" w:eastAsia="Arial" w:hAnsi="Arial" w:cs="Arial"/>
          <w:b/>
          <w:bCs/>
          <w:color w:val="0F1115"/>
          <w:sz w:val="32"/>
          <w:szCs w:val="32"/>
        </w:rPr>
        <w:t>2.0 Situational Analysis: SWOT and PESTLE</w:t>
      </w:r>
      <w:bookmarkEnd w:id="1"/>
    </w:p>
    <w:p w14:paraId="0064496D" w14:textId="5C81A121" w:rsidR="28D9B84F" w:rsidRDefault="28D9B84F" w:rsidP="4590112F">
      <w:pPr>
        <w:shd w:val="clear" w:color="auto" w:fill="FFFFFF" w:themeFill="background1"/>
        <w:spacing w:before="240" w:after="240" w:line="360" w:lineRule="auto"/>
        <w:jc w:val="both"/>
        <w:rPr>
          <w:rFonts w:ascii="Arial" w:eastAsia="Arial" w:hAnsi="Arial" w:cs="Arial"/>
          <w:color w:val="0F1115"/>
          <w:sz w:val="22"/>
          <w:szCs w:val="22"/>
        </w:rPr>
      </w:pPr>
      <w:r w:rsidRPr="4590112F">
        <w:rPr>
          <w:rFonts w:ascii="Arial" w:eastAsia="Arial" w:hAnsi="Arial" w:cs="Arial"/>
          <w:color w:val="0F1115"/>
          <w:sz w:val="22"/>
          <w:szCs w:val="22"/>
        </w:rPr>
        <w:t>To contextualise the Stay</w:t>
      </w:r>
      <w:r w:rsidR="06B298C1" w:rsidRPr="4590112F">
        <w:rPr>
          <w:rFonts w:ascii="Arial" w:eastAsia="Arial" w:hAnsi="Arial" w:cs="Arial"/>
          <w:color w:val="0F1115"/>
          <w:sz w:val="22"/>
          <w:szCs w:val="22"/>
        </w:rPr>
        <w:t xml:space="preserve"> </w:t>
      </w:r>
      <w:r w:rsidRPr="4590112F">
        <w:rPr>
          <w:rFonts w:ascii="Arial" w:eastAsia="Arial" w:hAnsi="Arial" w:cs="Arial"/>
          <w:color w:val="0F1115"/>
          <w:sz w:val="22"/>
          <w:szCs w:val="22"/>
        </w:rPr>
        <w:t>Smart+ launch, a situational analysis of Holiday Inn within the IHG group is essential. This appraisal identifies the internal and external factors that will influence the project's trajectory.</w:t>
      </w:r>
    </w:p>
    <w:p w14:paraId="6B75A904" w14:textId="795D3052" w:rsidR="28D9B84F" w:rsidRDefault="6FCE0225" w:rsidP="2A4916C0">
      <w:pPr>
        <w:pStyle w:val="Heading4"/>
        <w:shd w:val="clear" w:color="auto" w:fill="FFFFFF" w:themeFill="background1"/>
        <w:spacing w:before="240" w:after="240" w:line="420" w:lineRule="auto"/>
        <w:rPr>
          <w:rFonts w:ascii="Arial" w:eastAsia="Arial" w:hAnsi="Arial" w:cs="Arial"/>
          <w:b/>
          <w:bCs/>
          <w:i w:val="0"/>
          <w:iCs w:val="0"/>
          <w:color w:val="0F1115"/>
          <w:sz w:val="32"/>
          <w:szCs w:val="32"/>
        </w:rPr>
      </w:pPr>
      <w:bookmarkStart w:id="2" w:name="_Toc65947521"/>
      <w:r w:rsidRPr="2A4916C0">
        <w:rPr>
          <w:rFonts w:ascii="Arial" w:eastAsia="Arial" w:hAnsi="Arial" w:cs="Arial"/>
          <w:b/>
          <w:bCs/>
          <w:i w:val="0"/>
          <w:iCs w:val="0"/>
          <w:color w:val="0F1115"/>
          <w:sz w:val="32"/>
          <w:szCs w:val="32"/>
        </w:rPr>
        <w:lastRenderedPageBreak/>
        <w:t>SWOT Analysis</w:t>
      </w:r>
      <w:bookmarkEnd w:id="2"/>
    </w:p>
    <w:p w14:paraId="2E074A07" w14:textId="65F1DD49" w:rsidR="207E8C9A" w:rsidRDefault="207E8C9A" w:rsidP="2A4916C0">
      <w:pPr>
        <w:spacing w:before="240" w:after="240" w:line="360" w:lineRule="auto"/>
        <w:jc w:val="both"/>
        <w:rPr>
          <w:rFonts w:ascii="Arial" w:eastAsia="Arial" w:hAnsi="Arial" w:cs="Arial"/>
          <w:sz w:val="22"/>
          <w:szCs w:val="22"/>
        </w:rPr>
      </w:pPr>
      <w:r w:rsidRPr="2A4916C0">
        <w:rPr>
          <w:rFonts w:ascii="Arial" w:eastAsia="Arial" w:hAnsi="Arial" w:cs="Arial"/>
          <w:b/>
          <w:bCs/>
          <w:sz w:val="22"/>
          <w:szCs w:val="22"/>
        </w:rPr>
        <w:t>SWOT analysis</w:t>
      </w:r>
      <w:r w:rsidRPr="2A4916C0">
        <w:rPr>
          <w:rFonts w:ascii="Arial" w:eastAsia="Arial" w:hAnsi="Arial" w:cs="Arial"/>
          <w:sz w:val="22"/>
          <w:szCs w:val="22"/>
        </w:rPr>
        <w:t xml:space="preserve"> is a strategic planning framework used to evaluate the </w:t>
      </w:r>
      <w:r w:rsidRPr="2A4916C0">
        <w:rPr>
          <w:rFonts w:ascii="Arial" w:eastAsia="Arial" w:hAnsi="Arial" w:cs="Arial"/>
          <w:b/>
          <w:bCs/>
          <w:sz w:val="22"/>
          <w:szCs w:val="22"/>
        </w:rPr>
        <w:t>Strengths</w:t>
      </w:r>
      <w:r w:rsidRPr="2A4916C0">
        <w:rPr>
          <w:rFonts w:ascii="Arial" w:eastAsia="Arial" w:hAnsi="Arial" w:cs="Arial"/>
          <w:sz w:val="22"/>
          <w:szCs w:val="22"/>
        </w:rPr>
        <w:t xml:space="preserve">, </w:t>
      </w:r>
      <w:r w:rsidRPr="2A4916C0">
        <w:rPr>
          <w:rFonts w:ascii="Arial" w:eastAsia="Arial" w:hAnsi="Arial" w:cs="Arial"/>
          <w:b/>
          <w:bCs/>
          <w:sz w:val="22"/>
          <w:szCs w:val="22"/>
        </w:rPr>
        <w:t>Weaknesses</w:t>
      </w:r>
      <w:r w:rsidRPr="2A4916C0">
        <w:rPr>
          <w:rFonts w:ascii="Arial" w:eastAsia="Arial" w:hAnsi="Arial" w:cs="Arial"/>
          <w:sz w:val="22"/>
          <w:szCs w:val="22"/>
        </w:rPr>
        <w:t xml:space="preserve">, </w:t>
      </w:r>
      <w:r w:rsidRPr="2A4916C0">
        <w:rPr>
          <w:rFonts w:ascii="Arial" w:eastAsia="Arial" w:hAnsi="Arial" w:cs="Arial"/>
          <w:b/>
          <w:bCs/>
          <w:sz w:val="22"/>
          <w:szCs w:val="22"/>
        </w:rPr>
        <w:t>Opportunities</w:t>
      </w:r>
      <w:r w:rsidRPr="2A4916C0">
        <w:rPr>
          <w:rFonts w:ascii="Arial" w:eastAsia="Arial" w:hAnsi="Arial" w:cs="Arial"/>
          <w:sz w:val="22"/>
          <w:szCs w:val="22"/>
        </w:rPr>
        <w:t xml:space="preserve">, and </w:t>
      </w:r>
      <w:r w:rsidRPr="2A4916C0">
        <w:rPr>
          <w:rFonts w:ascii="Arial" w:eastAsia="Arial" w:hAnsi="Arial" w:cs="Arial"/>
          <w:b/>
          <w:bCs/>
          <w:sz w:val="22"/>
          <w:szCs w:val="22"/>
        </w:rPr>
        <w:t>Threats</w:t>
      </w:r>
      <w:r w:rsidRPr="2A4916C0">
        <w:rPr>
          <w:rFonts w:ascii="Arial" w:eastAsia="Arial" w:hAnsi="Arial" w:cs="Arial"/>
          <w:sz w:val="22"/>
          <w:szCs w:val="22"/>
        </w:rPr>
        <w:t xml:space="preserve"> involved in a project, organization, or business venture (Ghazinoory et al., 2011). It serves as a situational analysis tool that identifies internal factors (strengths and weaknesses) and external environmental factors (opportunities and threats) to help managers match an organization's resources and capabilities to the competitive environment (Gürel &amp; Tat, 2017).</w:t>
      </w:r>
    </w:p>
    <w:p w14:paraId="55078C86" w14:textId="0348A065" w:rsidR="207E8C9A" w:rsidRDefault="207E8C9A" w:rsidP="2A4916C0">
      <w:pPr>
        <w:spacing w:before="240" w:after="240" w:line="360" w:lineRule="auto"/>
        <w:jc w:val="both"/>
        <w:rPr>
          <w:rFonts w:ascii="Arial" w:eastAsia="Arial" w:hAnsi="Arial" w:cs="Arial"/>
          <w:sz w:val="22"/>
          <w:szCs w:val="22"/>
        </w:rPr>
      </w:pPr>
      <w:r w:rsidRPr="2A4916C0">
        <w:rPr>
          <w:rFonts w:ascii="Arial" w:eastAsia="Arial" w:hAnsi="Arial" w:cs="Arial"/>
          <w:sz w:val="22"/>
          <w:szCs w:val="22"/>
        </w:rPr>
        <w:t>The components are typically defined as follows:</w:t>
      </w:r>
    </w:p>
    <w:p w14:paraId="39EC6612" w14:textId="4B26DC93" w:rsidR="207E8C9A" w:rsidRDefault="207E8C9A" w:rsidP="2A4916C0">
      <w:pPr>
        <w:pStyle w:val="ListParagraph"/>
        <w:numPr>
          <w:ilvl w:val="0"/>
          <w:numId w:val="1"/>
        </w:numPr>
        <w:spacing w:before="240" w:after="240" w:line="360" w:lineRule="auto"/>
        <w:jc w:val="both"/>
        <w:rPr>
          <w:rFonts w:ascii="Arial" w:eastAsia="Arial" w:hAnsi="Arial" w:cs="Arial"/>
          <w:sz w:val="22"/>
          <w:szCs w:val="22"/>
        </w:rPr>
      </w:pPr>
      <w:r w:rsidRPr="2A4916C0">
        <w:rPr>
          <w:rFonts w:ascii="Arial" w:eastAsia="Arial" w:hAnsi="Arial" w:cs="Arial"/>
          <w:b/>
          <w:bCs/>
          <w:sz w:val="22"/>
          <w:szCs w:val="22"/>
        </w:rPr>
        <w:t>Strengths:</w:t>
      </w:r>
      <w:r w:rsidRPr="2A4916C0">
        <w:rPr>
          <w:rFonts w:ascii="Arial" w:eastAsia="Arial" w:hAnsi="Arial" w:cs="Arial"/>
          <w:sz w:val="22"/>
          <w:szCs w:val="22"/>
        </w:rPr>
        <w:t xml:space="preserve"> Internal attributes and resources that support a successful outcome.</w:t>
      </w:r>
    </w:p>
    <w:p w14:paraId="34E1A744" w14:textId="5DDDC259" w:rsidR="207E8C9A" w:rsidRDefault="207E8C9A" w:rsidP="2A4916C0">
      <w:pPr>
        <w:pStyle w:val="ListParagraph"/>
        <w:numPr>
          <w:ilvl w:val="0"/>
          <w:numId w:val="1"/>
        </w:numPr>
        <w:spacing w:before="240" w:after="240" w:line="360" w:lineRule="auto"/>
        <w:jc w:val="both"/>
        <w:rPr>
          <w:rFonts w:ascii="Arial" w:eastAsia="Arial" w:hAnsi="Arial" w:cs="Arial"/>
          <w:sz w:val="22"/>
          <w:szCs w:val="22"/>
        </w:rPr>
      </w:pPr>
      <w:r w:rsidRPr="2A4916C0">
        <w:rPr>
          <w:rFonts w:ascii="Arial" w:eastAsia="Arial" w:hAnsi="Arial" w:cs="Arial"/>
          <w:b/>
          <w:bCs/>
          <w:sz w:val="22"/>
          <w:szCs w:val="22"/>
        </w:rPr>
        <w:t>Weaknesses:</w:t>
      </w:r>
      <w:r w:rsidRPr="2A4916C0">
        <w:rPr>
          <w:rFonts w:ascii="Arial" w:eastAsia="Arial" w:hAnsi="Arial" w:cs="Arial"/>
          <w:sz w:val="22"/>
          <w:szCs w:val="22"/>
        </w:rPr>
        <w:t xml:space="preserve"> Internal attributes and resources that work against a successful outcome.</w:t>
      </w:r>
    </w:p>
    <w:p w14:paraId="6F888F06" w14:textId="14B64DA1" w:rsidR="207E8C9A" w:rsidRDefault="207E8C9A" w:rsidP="2A4916C0">
      <w:pPr>
        <w:pStyle w:val="ListParagraph"/>
        <w:numPr>
          <w:ilvl w:val="0"/>
          <w:numId w:val="1"/>
        </w:numPr>
        <w:spacing w:before="240" w:after="240" w:line="360" w:lineRule="auto"/>
        <w:jc w:val="both"/>
        <w:rPr>
          <w:rFonts w:ascii="Arial" w:eastAsia="Arial" w:hAnsi="Arial" w:cs="Arial"/>
          <w:sz w:val="22"/>
          <w:szCs w:val="22"/>
        </w:rPr>
      </w:pPr>
      <w:r w:rsidRPr="2A4916C0">
        <w:rPr>
          <w:rFonts w:ascii="Arial" w:eastAsia="Arial" w:hAnsi="Arial" w:cs="Arial"/>
          <w:b/>
          <w:bCs/>
          <w:sz w:val="22"/>
          <w:szCs w:val="22"/>
        </w:rPr>
        <w:t>Opportunities:</w:t>
      </w:r>
      <w:r w:rsidRPr="2A4916C0">
        <w:rPr>
          <w:rFonts w:ascii="Arial" w:eastAsia="Arial" w:hAnsi="Arial" w:cs="Arial"/>
          <w:sz w:val="22"/>
          <w:szCs w:val="22"/>
        </w:rPr>
        <w:t xml:space="preserve"> External factors the entity can capitalize on or use to its advantage.</w:t>
      </w:r>
    </w:p>
    <w:p w14:paraId="29B1072A" w14:textId="721518AA" w:rsidR="207E8C9A" w:rsidRDefault="207E8C9A" w:rsidP="2A4916C0">
      <w:pPr>
        <w:pStyle w:val="ListParagraph"/>
        <w:numPr>
          <w:ilvl w:val="0"/>
          <w:numId w:val="1"/>
        </w:numPr>
        <w:spacing w:before="240" w:after="240" w:line="360" w:lineRule="auto"/>
        <w:jc w:val="both"/>
        <w:rPr>
          <w:rFonts w:ascii="Arial" w:eastAsia="Arial" w:hAnsi="Arial" w:cs="Arial"/>
          <w:sz w:val="22"/>
          <w:szCs w:val="22"/>
        </w:rPr>
      </w:pPr>
      <w:r w:rsidRPr="2A4916C0">
        <w:rPr>
          <w:rFonts w:ascii="Arial" w:eastAsia="Arial" w:hAnsi="Arial" w:cs="Arial"/>
          <w:b/>
          <w:bCs/>
          <w:sz w:val="22"/>
          <w:szCs w:val="22"/>
        </w:rPr>
        <w:t>Threats:</w:t>
      </w:r>
      <w:r w:rsidRPr="2A4916C0">
        <w:rPr>
          <w:rFonts w:ascii="Arial" w:eastAsia="Arial" w:hAnsi="Arial" w:cs="Arial"/>
          <w:sz w:val="22"/>
          <w:szCs w:val="22"/>
        </w:rPr>
        <w:t xml:space="preserve"> External factors that could jeopardize the entity's performance or goals (Helms &amp; Nixon, 2010).</w:t>
      </w:r>
    </w:p>
    <w:p w14:paraId="3F6FD1D0" w14:textId="267A2235" w:rsidR="17E02FE6" w:rsidRDefault="17E02FE6" w:rsidP="2A4916C0">
      <w:pPr>
        <w:spacing w:before="240" w:after="240" w:line="360" w:lineRule="auto"/>
        <w:jc w:val="both"/>
        <w:rPr>
          <w:rFonts w:ascii="Arial" w:eastAsia="Arial" w:hAnsi="Arial" w:cs="Arial"/>
          <w:sz w:val="22"/>
          <w:szCs w:val="22"/>
        </w:rPr>
      </w:pPr>
      <w:r w:rsidRPr="2A4916C0">
        <w:t xml:space="preserve">Table </w:t>
      </w:r>
      <w:r w:rsidR="678159E5" w:rsidRPr="2A4916C0">
        <w:t>1 shows the Strengths, Weaknesses,</w:t>
      </w:r>
      <w:r w:rsidR="03B3FA53" w:rsidRPr="2A4916C0">
        <w:t xml:space="preserve"> Opportunities and Threats </w:t>
      </w:r>
      <w:r w:rsidR="0B630908" w:rsidRPr="2A4916C0">
        <w:t>of</w:t>
      </w:r>
      <w:r w:rsidR="03B3FA53" w:rsidRPr="2A4916C0">
        <w:t xml:space="preserve"> Holiday Inn.</w:t>
      </w:r>
    </w:p>
    <w:p w14:paraId="6F19EBD8" w14:textId="786A29E3" w:rsidR="2A4916C0" w:rsidRDefault="2A4916C0" w:rsidP="2A4916C0">
      <w:pPr>
        <w:keepNext/>
        <w:keepLines/>
      </w:pPr>
    </w:p>
    <w:p w14:paraId="17F594C1" w14:textId="6D7B8BA0" w:rsidR="2A4916C0" w:rsidRDefault="2A4916C0" w:rsidP="2A4916C0">
      <w:pPr>
        <w:keepNext/>
        <w:keepLines/>
      </w:pPr>
    </w:p>
    <w:p w14:paraId="762D6FD1" w14:textId="11600148" w:rsidR="6317D0BD" w:rsidRDefault="17E02FE6" w:rsidP="2A4916C0">
      <w:pPr>
        <w:keepNext/>
        <w:keepLines/>
        <w:rPr>
          <w:rFonts w:ascii="Arial" w:eastAsia="Arial" w:hAnsi="Arial" w:cs="Arial"/>
          <w:sz w:val="22"/>
          <w:szCs w:val="22"/>
        </w:rPr>
      </w:pPr>
      <w:r w:rsidRPr="2A4916C0">
        <w:rPr>
          <w:rFonts w:ascii="Arial" w:eastAsia="Arial" w:hAnsi="Arial" w:cs="Arial"/>
          <w:sz w:val="22"/>
          <w:szCs w:val="22"/>
        </w:rPr>
        <w:t>Table 1</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500"/>
        <w:gridCol w:w="4500"/>
      </w:tblGrid>
      <w:tr w:rsidR="5A740515" w14:paraId="2163F10F" w14:textId="77777777" w:rsidTr="5A740515">
        <w:trPr>
          <w:trHeight w:val="300"/>
        </w:trPr>
        <w:tc>
          <w:tcPr>
            <w:tcW w:w="4500" w:type="dxa"/>
            <w:tcMar>
              <w:left w:w="105" w:type="dxa"/>
              <w:right w:w="105" w:type="dxa"/>
            </w:tcMar>
          </w:tcPr>
          <w:p w14:paraId="0FDDE034" w14:textId="56392807" w:rsidR="5A740515" w:rsidRDefault="5A740515" w:rsidP="5A740515">
            <w:pPr>
              <w:spacing w:line="375" w:lineRule="auto"/>
              <w:rPr>
                <w:rFonts w:ascii="Arial" w:eastAsia="Arial" w:hAnsi="Arial" w:cs="Arial"/>
                <w:color w:val="0F1115"/>
                <w:sz w:val="28"/>
                <w:szCs w:val="28"/>
                <w:lang w:val="ro-RO"/>
              </w:rPr>
            </w:pPr>
            <w:r w:rsidRPr="5A740515">
              <w:rPr>
                <w:rFonts w:ascii="Arial" w:eastAsia="Arial" w:hAnsi="Arial" w:cs="Arial"/>
                <w:b/>
                <w:bCs/>
                <w:color w:val="0F1115"/>
                <w:sz w:val="28"/>
                <w:szCs w:val="28"/>
              </w:rPr>
              <w:t>Strengths</w:t>
            </w:r>
          </w:p>
          <w:p w14:paraId="1A88A1B0" w14:textId="42A55B95" w:rsidR="5A740515" w:rsidRDefault="5A740515" w:rsidP="5A740515">
            <w:pPr>
              <w:pStyle w:val="ListParagraph"/>
              <w:numPr>
                <w:ilvl w:val="0"/>
                <w:numId w:val="17"/>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 xml:space="preserve"> Vast global scale and distribution of IHG (IHG, 2026). </w:t>
            </w:r>
          </w:p>
          <w:p w14:paraId="36423D3C" w14:textId="27BD6137" w:rsidR="5A740515" w:rsidRDefault="5A740515" w:rsidP="5A740515">
            <w:pPr>
              <w:pStyle w:val="ListParagraph"/>
              <w:numPr>
                <w:ilvl w:val="0"/>
                <w:numId w:val="17"/>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Strong brand recognition and loyal customer base (IHG Rewards).</w:t>
            </w:r>
          </w:p>
          <w:p w14:paraId="4D3CCF7F" w14:textId="031F862B" w:rsidR="5A740515" w:rsidRDefault="5A740515" w:rsidP="5A740515">
            <w:pPr>
              <w:pStyle w:val="ListParagraph"/>
              <w:numPr>
                <w:ilvl w:val="0"/>
                <w:numId w:val="17"/>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Proven operational expertise and established franchise network.</w:t>
            </w:r>
          </w:p>
        </w:tc>
        <w:tc>
          <w:tcPr>
            <w:tcW w:w="4500" w:type="dxa"/>
            <w:tcMar>
              <w:left w:w="105" w:type="dxa"/>
              <w:right w:w="105" w:type="dxa"/>
            </w:tcMar>
          </w:tcPr>
          <w:p w14:paraId="5AD9F943" w14:textId="4CD622BF" w:rsidR="5A740515" w:rsidRDefault="5A740515" w:rsidP="5A740515">
            <w:pPr>
              <w:rPr>
                <w:rFonts w:ascii="Arial" w:eastAsia="Arial" w:hAnsi="Arial" w:cs="Arial"/>
                <w:color w:val="0F1115"/>
                <w:sz w:val="28"/>
                <w:szCs w:val="28"/>
                <w:lang w:val="ro-RO"/>
              </w:rPr>
            </w:pPr>
            <w:r w:rsidRPr="5A740515">
              <w:rPr>
                <w:rFonts w:ascii="Arial" w:eastAsia="Arial" w:hAnsi="Arial" w:cs="Arial"/>
                <w:b/>
                <w:bCs/>
                <w:color w:val="0F1115"/>
                <w:sz w:val="28"/>
                <w:szCs w:val="28"/>
              </w:rPr>
              <w:t>Weaknesses</w:t>
            </w:r>
          </w:p>
          <w:p w14:paraId="49D4B67C" w14:textId="611E9E3F" w:rsidR="5A740515" w:rsidRDefault="5A740515" w:rsidP="5A740515">
            <w:pPr>
              <w:rPr>
                <w:rFonts w:ascii="system-ui" w:eastAsia="system-ui" w:hAnsi="system-ui" w:cs="system-ui"/>
                <w:color w:val="0F1115"/>
                <w:sz w:val="22"/>
                <w:szCs w:val="22"/>
                <w:lang w:val="ro-RO"/>
              </w:rPr>
            </w:pPr>
          </w:p>
          <w:p w14:paraId="34D83F6D" w14:textId="6316A71F" w:rsidR="5A740515" w:rsidRDefault="5A740515" w:rsidP="5A740515">
            <w:pPr>
              <w:pStyle w:val="ListParagraph"/>
              <w:numPr>
                <w:ilvl w:val="0"/>
                <w:numId w:val="16"/>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Potential for brand dilution between Holiday Inn and Holiday Inn Express (</w:t>
            </w:r>
            <w:r w:rsidRPr="5A740515">
              <w:rPr>
                <w:rFonts w:ascii="system-ui" w:eastAsia="system-ui" w:hAnsi="system-ui" w:cs="system-ui"/>
                <w:color w:val="0F1115"/>
              </w:rPr>
              <w:t>Warislohner</w:t>
            </w:r>
            <w:r w:rsidRPr="5A740515">
              <w:rPr>
                <w:rFonts w:ascii="Arial" w:eastAsia="Arial" w:hAnsi="Arial" w:cs="Arial"/>
                <w:color w:val="0F1115"/>
                <w:sz w:val="22"/>
                <w:szCs w:val="22"/>
              </w:rPr>
              <w:t>, 2025).</w:t>
            </w:r>
          </w:p>
          <w:p w14:paraId="1C697A1C" w14:textId="71E9B74E" w:rsidR="5A740515" w:rsidRDefault="5A740515" w:rsidP="5A740515">
            <w:pPr>
              <w:pStyle w:val="ListParagraph"/>
              <w:numPr>
                <w:ilvl w:val="0"/>
                <w:numId w:val="16"/>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Inconsistent service delivery across franchise-owned versus corporate-managed properties.</w:t>
            </w:r>
          </w:p>
          <w:p w14:paraId="749C6AA4" w14:textId="126E91EB" w:rsidR="5A740515" w:rsidRDefault="5A740515" w:rsidP="5A740515">
            <w:pPr>
              <w:pStyle w:val="ListParagraph"/>
              <w:numPr>
                <w:ilvl w:val="0"/>
                <w:numId w:val="16"/>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Legacy IT infrastructure in some hotels, which may complicate AI integration.</w:t>
            </w:r>
          </w:p>
        </w:tc>
      </w:tr>
      <w:tr w:rsidR="5A740515" w14:paraId="1AAC5B2A" w14:textId="77777777" w:rsidTr="5A740515">
        <w:trPr>
          <w:trHeight w:val="300"/>
        </w:trPr>
        <w:tc>
          <w:tcPr>
            <w:tcW w:w="4500" w:type="dxa"/>
            <w:tcMar>
              <w:left w:w="105" w:type="dxa"/>
              <w:right w:w="105" w:type="dxa"/>
            </w:tcMar>
          </w:tcPr>
          <w:p w14:paraId="69BF10DC" w14:textId="7B177E9C" w:rsidR="5A740515" w:rsidRDefault="5A740515" w:rsidP="5A740515">
            <w:pPr>
              <w:rPr>
                <w:rFonts w:ascii="Arial" w:eastAsia="Arial" w:hAnsi="Arial" w:cs="Arial"/>
                <w:color w:val="0F1115"/>
                <w:sz w:val="28"/>
                <w:szCs w:val="28"/>
                <w:lang w:val="ro-RO"/>
              </w:rPr>
            </w:pPr>
            <w:r w:rsidRPr="5A740515">
              <w:rPr>
                <w:rFonts w:ascii="Arial" w:eastAsia="Arial" w:hAnsi="Arial" w:cs="Arial"/>
                <w:b/>
                <w:bCs/>
                <w:color w:val="0F1115"/>
                <w:sz w:val="28"/>
                <w:szCs w:val="28"/>
              </w:rPr>
              <w:t>Opportunities</w:t>
            </w:r>
          </w:p>
          <w:p w14:paraId="72EC5EE3" w14:textId="72395572" w:rsidR="5A740515" w:rsidRDefault="5A740515" w:rsidP="5A740515">
            <w:pPr>
              <w:rPr>
                <w:rFonts w:ascii="system-ui" w:eastAsia="system-ui" w:hAnsi="system-ui" w:cs="system-ui"/>
                <w:color w:val="0F1115"/>
                <w:sz w:val="22"/>
                <w:szCs w:val="22"/>
                <w:lang w:val="ro-RO"/>
              </w:rPr>
            </w:pPr>
          </w:p>
          <w:p w14:paraId="25CEFD32" w14:textId="5DA2CE86" w:rsidR="5A740515" w:rsidRDefault="5A740515" w:rsidP="5A740515">
            <w:pPr>
              <w:pStyle w:val="ListParagraph"/>
              <w:numPr>
                <w:ilvl w:val="0"/>
                <w:numId w:val="15"/>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lastRenderedPageBreak/>
              <w:t>Growing demand for hyper-personalisation and contactless technology in travel.</w:t>
            </w:r>
          </w:p>
          <w:p w14:paraId="02B86BB8" w14:textId="684C7956" w:rsidR="5A740515" w:rsidRDefault="5A740515" w:rsidP="5A740515">
            <w:pPr>
              <w:pStyle w:val="ListParagraph"/>
              <w:numPr>
                <w:ilvl w:val="0"/>
                <w:numId w:val="15"/>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Increasing consumer preference for sustainable and responsible brands (Font and Lynes, 2018).</w:t>
            </w:r>
          </w:p>
          <w:p w14:paraId="751C3BF5" w14:textId="48E31C3F" w:rsidR="5A740515" w:rsidRDefault="5A740515" w:rsidP="5A740515">
            <w:pPr>
              <w:pStyle w:val="ListParagraph"/>
              <w:numPr>
                <w:ilvl w:val="0"/>
                <w:numId w:val="15"/>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Leveraging AI to improve operational efficiency and reduce labour costs.</w:t>
            </w:r>
          </w:p>
          <w:p w14:paraId="04DFEB38" w14:textId="76DB6407" w:rsidR="5A740515" w:rsidRDefault="5A740515" w:rsidP="5A740515">
            <w:pPr>
              <w:rPr>
                <w:rFonts w:ascii="system-ui" w:eastAsia="system-ui" w:hAnsi="system-ui" w:cs="system-ui"/>
                <w:color w:val="0F1115"/>
                <w:sz w:val="22"/>
                <w:szCs w:val="22"/>
                <w:lang w:val="ro-RO"/>
              </w:rPr>
            </w:pPr>
          </w:p>
        </w:tc>
        <w:tc>
          <w:tcPr>
            <w:tcW w:w="4500" w:type="dxa"/>
            <w:tcMar>
              <w:left w:w="105" w:type="dxa"/>
              <w:right w:w="105" w:type="dxa"/>
            </w:tcMar>
          </w:tcPr>
          <w:p w14:paraId="5543F713" w14:textId="6C749EC9" w:rsidR="5A740515" w:rsidRDefault="5A740515" w:rsidP="5A740515">
            <w:pPr>
              <w:rPr>
                <w:rFonts w:ascii="Arial" w:eastAsia="Arial" w:hAnsi="Arial" w:cs="Arial"/>
                <w:color w:val="0F1115"/>
                <w:sz w:val="28"/>
                <w:szCs w:val="28"/>
                <w:lang w:val="ro-RO"/>
              </w:rPr>
            </w:pPr>
            <w:r w:rsidRPr="5A740515">
              <w:rPr>
                <w:rFonts w:ascii="Arial" w:eastAsia="Arial" w:hAnsi="Arial" w:cs="Arial"/>
                <w:b/>
                <w:bCs/>
                <w:color w:val="0F1115"/>
                <w:sz w:val="28"/>
                <w:szCs w:val="28"/>
              </w:rPr>
              <w:lastRenderedPageBreak/>
              <w:t>Threats</w:t>
            </w:r>
          </w:p>
          <w:p w14:paraId="78E92BF3" w14:textId="3C36D79E" w:rsidR="5A740515" w:rsidRDefault="5A740515" w:rsidP="5A740515">
            <w:pPr>
              <w:rPr>
                <w:rFonts w:ascii="system-ui" w:eastAsia="system-ui" w:hAnsi="system-ui" w:cs="system-ui"/>
                <w:color w:val="0F1115"/>
                <w:sz w:val="22"/>
                <w:szCs w:val="22"/>
                <w:lang w:val="ro-RO"/>
              </w:rPr>
            </w:pPr>
          </w:p>
          <w:p w14:paraId="29989EDD" w14:textId="7604137E" w:rsidR="5A740515" w:rsidRDefault="5A740515" w:rsidP="5A740515">
            <w:pPr>
              <w:pStyle w:val="ListParagraph"/>
              <w:numPr>
                <w:ilvl w:val="0"/>
                <w:numId w:val="14"/>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lastRenderedPageBreak/>
              <w:t>Aggressive competitive moves from Hilton and Marriott (Warislohner, 2025).</w:t>
            </w:r>
          </w:p>
          <w:p w14:paraId="4F9D66A2" w14:textId="7DD6C75F" w:rsidR="5A740515" w:rsidRDefault="5A740515" w:rsidP="5A740515">
            <w:pPr>
              <w:pStyle w:val="ListParagraph"/>
              <w:numPr>
                <w:ilvl w:val="0"/>
                <w:numId w:val="14"/>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Economic uncertainty and cost-conscious consumers impacting leisure travel spend (Warislohner, 2025).</w:t>
            </w:r>
          </w:p>
          <w:p w14:paraId="2FB9FBFE" w14:textId="19762930" w:rsidR="5A740515" w:rsidRDefault="5A740515" w:rsidP="5A740515">
            <w:pPr>
              <w:pStyle w:val="ListParagraph"/>
              <w:numPr>
                <w:ilvl w:val="0"/>
                <w:numId w:val="14"/>
              </w:numPr>
              <w:spacing w:line="360" w:lineRule="auto"/>
              <w:rPr>
                <w:rFonts w:ascii="Arial" w:eastAsia="Arial" w:hAnsi="Arial" w:cs="Arial"/>
                <w:color w:val="0F1115"/>
                <w:sz w:val="22"/>
                <w:szCs w:val="22"/>
                <w:lang w:val="ro-RO"/>
              </w:rPr>
            </w:pPr>
            <w:r w:rsidRPr="5A740515">
              <w:rPr>
                <w:rFonts w:ascii="Arial" w:eastAsia="Arial" w:hAnsi="Arial" w:cs="Arial"/>
                <w:color w:val="0F1115"/>
                <w:sz w:val="22"/>
                <w:szCs w:val="22"/>
              </w:rPr>
              <w:t>Data privacy regulations and guest scepticism regarding AI data usage.</w:t>
            </w:r>
          </w:p>
        </w:tc>
      </w:tr>
    </w:tbl>
    <w:p w14:paraId="2FDE8F11" w14:textId="1A40C82F" w:rsidR="5A740515" w:rsidRDefault="5A740515" w:rsidP="5A740515">
      <w:pPr>
        <w:shd w:val="clear" w:color="auto" w:fill="FFFFFF" w:themeFill="background1"/>
        <w:spacing w:before="240" w:after="240" w:line="360" w:lineRule="auto"/>
        <w:rPr>
          <w:rFonts w:ascii="Arial" w:eastAsia="Arial" w:hAnsi="Arial" w:cs="Arial"/>
          <w:color w:val="0F1115"/>
          <w:sz w:val="22"/>
          <w:szCs w:val="22"/>
        </w:rPr>
      </w:pPr>
    </w:p>
    <w:p w14:paraId="1F1867F8" w14:textId="3E3CFC9B" w:rsidR="5FE58A62" w:rsidRDefault="6C43ADDF" w:rsidP="2A4916C0">
      <w:pPr>
        <w:pStyle w:val="Heading4"/>
        <w:shd w:val="clear" w:color="auto" w:fill="FFFFFF" w:themeFill="background1"/>
        <w:spacing w:before="240" w:after="120" w:line="420" w:lineRule="auto"/>
        <w:rPr>
          <w:rFonts w:ascii="Arial" w:eastAsia="Arial" w:hAnsi="Arial" w:cs="Arial"/>
          <w:b/>
          <w:bCs/>
          <w:i w:val="0"/>
          <w:iCs w:val="0"/>
          <w:color w:val="0F1115"/>
          <w:sz w:val="32"/>
          <w:szCs w:val="32"/>
        </w:rPr>
      </w:pPr>
      <w:bookmarkStart w:id="3" w:name="_Toc78596695"/>
      <w:r w:rsidRPr="2A4916C0">
        <w:rPr>
          <w:rFonts w:ascii="Arial" w:eastAsia="Arial" w:hAnsi="Arial" w:cs="Arial"/>
          <w:b/>
          <w:bCs/>
          <w:i w:val="0"/>
          <w:iCs w:val="0"/>
          <w:color w:val="0F1115"/>
          <w:sz w:val="32"/>
          <w:szCs w:val="32"/>
        </w:rPr>
        <w:t>PESTLE Analysis</w:t>
      </w:r>
      <w:bookmarkEnd w:id="3"/>
    </w:p>
    <w:p w14:paraId="70BD2414" w14:textId="7EA9B3F7" w:rsidR="5FE58A62" w:rsidRDefault="5FE58A62" w:rsidP="5A740515">
      <w:pPr>
        <w:pStyle w:val="ListParagraph"/>
        <w:numPr>
          <w:ilvl w:val="0"/>
          <w:numId w:val="13"/>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Political:</w:t>
      </w:r>
      <w:r w:rsidRPr="5A740515">
        <w:rPr>
          <w:rFonts w:ascii="Arial" w:eastAsia="Arial" w:hAnsi="Arial" w:cs="Arial"/>
          <w:color w:val="0F1115"/>
          <w:sz w:val="22"/>
          <w:szCs w:val="22"/>
        </w:rPr>
        <w:t xml:space="preserve"> Geopolitical instability and changing travel regulations can impact international travel volumes. IHG's global footprint requires navigating diverse political landscapes.</w:t>
      </w:r>
    </w:p>
    <w:p w14:paraId="101E319D" w14:textId="1CBDD186" w:rsidR="5FE58A62" w:rsidRDefault="5FE58A62" w:rsidP="5A740515">
      <w:pPr>
        <w:pStyle w:val="ListParagraph"/>
        <w:numPr>
          <w:ilvl w:val="0"/>
          <w:numId w:val="13"/>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Economic:</w:t>
      </w:r>
      <w:r w:rsidRPr="5A740515">
        <w:rPr>
          <w:rFonts w:ascii="Arial" w:eastAsia="Arial" w:hAnsi="Arial" w:cs="Arial"/>
          <w:color w:val="0F1115"/>
          <w:sz w:val="22"/>
          <w:szCs w:val="22"/>
        </w:rPr>
        <w:t xml:space="preserve"> While IHG has shown resilience, US RevPAR has faced challenges (Warislohner, 2025). The launch must provide clear ROI for hotel owners. Major events like the FIFA World Cup 2026 present a significant short-term economic opportunity to drive adoption.</w:t>
      </w:r>
    </w:p>
    <w:p w14:paraId="5183C720" w14:textId="1BC95BDF" w:rsidR="5FE58A62" w:rsidRDefault="5FE58A62" w:rsidP="5A740515">
      <w:pPr>
        <w:pStyle w:val="ListParagraph"/>
        <w:numPr>
          <w:ilvl w:val="0"/>
          <w:numId w:val="13"/>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Social:</w:t>
      </w:r>
      <w:r w:rsidRPr="5A740515">
        <w:rPr>
          <w:rFonts w:ascii="Arial" w:eastAsia="Arial" w:hAnsi="Arial" w:cs="Arial"/>
          <w:color w:val="0F1115"/>
          <w:sz w:val="22"/>
          <w:szCs w:val="22"/>
        </w:rPr>
        <w:t xml:space="preserve"> There is a social shift towards "experiential travel" and sustainability. Guests expect technology to enhance, not replace, human interaction. The "de-skilling" of service must be managed carefully to avoid guest dissatisfaction.</w:t>
      </w:r>
    </w:p>
    <w:p w14:paraId="1076AAB0" w14:textId="0F90D031" w:rsidR="5FE58A62" w:rsidRDefault="5FE58A62" w:rsidP="24965EC0">
      <w:pPr>
        <w:pStyle w:val="ListParagraph"/>
        <w:numPr>
          <w:ilvl w:val="0"/>
          <w:numId w:val="13"/>
        </w:numPr>
        <w:shd w:val="clear" w:color="auto" w:fill="FFFFFF" w:themeFill="background1"/>
        <w:spacing w:before="240" w:after="240" w:line="360" w:lineRule="auto"/>
        <w:jc w:val="both"/>
        <w:rPr>
          <w:rFonts w:ascii="Arial" w:eastAsia="Arial" w:hAnsi="Arial" w:cs="Arial"/>
          <w:color w:val="0F1115"/>
          <w:sz w:val="22"/>
          <w:szCs w:val="22"/>
        </w:rPr>
      </w:pPr>
      <w:r w:rsidRPr="24965EC0">
        <w:rPr>
          <w:rFonts w:ascii="Arial" w:eastAsia="Arial" w:hAnsi="Arial" w:cs="Arial"/>
          <w:b/>
          <w:bCs/>
          <w:color w:val="0F1115"/>
          <w:sz w:val="22"/>
          <w:szCs w:val="22"/>
        </w:rPr>
        <w:t>Technological:</w:t>
      </w:r>
      <w:r w:rsidRPr="24965EC0">
        <w:rPr>
          <w:rFonts w:ascii="Arial" w:eastAsia="Arial" w:hAnsi="Arial" w:cs="Arial"/>
          <w:color w:val="0F1115"/>
          <w:sz w:val="22"/>
          <w:szCs w:val="22"/>
        </w:rPr>
        <w:t xml:space="preserve"> The rapid advancement of generative AI makes the Stay</w:t>
      </w:r>
      <w:r w:rsidR="19A09E68" w:rsidRPr="24965EC0">
        <w:rPr>
          <w:rFonts w:ascii="Arial" w:eastAsia="Arial" w:hAnsi="Arial" w:cs="Arial"/>
          <w:color w:val="0F1115"/>
          <w:sz w:val="22"/>
          <w:szCs w:val="22"/>
        </w:rPr>
        <w:t xml:space="preserve"> </w:t>
      </w:r>
      <w:r w:rsidRPr="24965EC0">
        <w:rPr>
          <w:rFonts w:ascii="Arial" w:eastAsia="Arial" w:hAnsi="Arial" w:cs="Arial"/>
          <w:color w:val="0F1115"/>
          <w:sz w:val="22"/>
          <w:szCs w:val="22"/>
        </w:rPr>
        <w:t>Smart+ vision feasible but also raises the risk of rapid obsolescence. Cybersecurity and seamless integration with existing Property Management Systems (PMS) are critical challenges.</w:t>
      </w:r>
    </w:p>
    <w:p w14:paraId="386BD588" w14:textId="74EFEFA3" w:rsidR="5FE58A62" w:rsidRDefault="5FE58A62" w:rsidP="5A740515">
      <w:pPr>
        <w:pStyle w:val="ListParagraph"/>
        <w:numPr>
          <w:ilvl w:val="0"/>
          <w:numId w:val="13"/>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Legal:</w:t>
      </w:r>
      <w:r w:rsidRPr="5A740515">
        <w:rPr>
          <w:rFonts w:ascii="Arial" w:eastAsia="Arial" w:hAnsi="Arial" w:cs="Arial"/>
          <w:color w:val="0F1115"/>
          <w:sz w:val="22"/>
          <w:szCs w:val="22"/>
        </w:rPr>
        <w:t xml:space="preserve"> Compliance with global data protection laws (GDPR in the UK/EU, CCPA in California) is paramount for the AI-driven personalisation features. Accessibility standards must also be met.</w:t>
      </w:r>
    </w:p>
    <w:p w14:paraId="69BDF858" w14:textId="7DD6451E" w:rsidR="5FE58A62" w:rsidRDefault="5FE58A62" w:rsidP="5A740515">
      <w:pPr>
        <w:pStyle w:val="ListParagraph"/>
        <w:numPr>
          <w:ilvl w:val="0"/>
          <w:numId w:val="13"/>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Environmental:</w:t>
      </w:r>
      <w:r w:rsidRPr="5A740515">
        <w:rPr>
          <w:rFonts w:ascii="Arial" w:eastAsia="Arial" w:hAnsi="Arial" w:cs="Arial"/>
          <w:color w:val="0F1115"/>
          <w:sz w:val="22"/>
          <w:szCs w:val="22"/>
        </w:rPr>
        <w:t xml:space="preserve"> IHG's commitment to ESG goals (IHG, 2026) aligns with the sustainability amenities of Stay</w:t>
      </w:r>
      <w:r w:rsidR="41845EE9" w:rsidRPr="5A740515">
        <w:rPr>
          <w:rFonts w:ascii="Arial" w:eastAsia="Arial" w:hAnsi="Arial" w:cs="Arial"/>
          <w:color w:val="0F1115"/>
          <w:sz w:val="22"/>
          <w:szCs w:val="22"/>
        </w:rPr>
        <w:t xml:space="preserve"> </w:t>
      </w:r>
      <w:r w:rsidRPr="5A740515">
        <w:rPr>
          <w:rFonts w:ascii="Arial" w:eastAsia="Arial" w:hAnsi="Arial" w:cs="Arial"/>
          <w:color w:val="0F1115"/>
          <w:sz w:val="22"/>
          <w:szCs w:val="22"/>
        </w:rPr>
        <w:t>Smart+. However, the environmental impact of increased technology use (e.g., energy for data centres) must be considered.</w:t>
      </w:r>
    </w:p>
    <w:p w14:paraId="643DDFEC" w14:textId="77777777" w:rsidR="003027E3" w:rsidRDefault="003027E3" w:rsidP="003027E3">
      <w:pPr>
        <w:pStyle w:val="ListParagraph"/>
        <w:shd w:val="clear" w:color="auto" w:fill="FFFFFF" w:themeFill="background1"/>
        <w:spacing w:before="240" w:after="240" w:line="360" w:lineRule="auto"/>
        <w:jc w:val="both"/>
        <w:rPr>
          <w:rFonts w:ascii="Arial" w:eastAsia="Arial" w:hAnsi="Arial" w:cs="Arial"/>
          <w:color w:val="0F1115"/>
          <w:sz w:val="22"/>
          <w:szCs w:val="22"/>
        </w:rPr>
      </w:pPr>
    </w:p>
    <w:p w14:paraId="239EE34F" w14:textId="792BB9D4" w:rsidR="5FE58A62" w:rsidRDefault="5FE58A62" w:rsidP="24965EC0">
      <w:pPr>
        <w:shd w:val="clear" w:color="auto" w:fill="FFFFFF" w:themeFill="background1"/>
        <w:spacing w:before="240" w:after="240" w:line="360" w:lineRule="auto"/>
        <w:jc w:val="both"/>
        <w:rPr>
          <w:rFonts w:ascii="Arial" w:eastAsia="Arial" w:hAnsi="Arial" w:cs="Arial"/>
          <w:color w:val="0F1115"/>
          <w:sz w:val="22"/>
          <w:szCs w:val="22"/>
        </w:rPr>
      </w:pPr>
      <w:r w:rsidRPr="24965EC0">
        <w:rPr>
          <w:rFonts w:ascii="Arial" w:eastAsia="Arial" w:hAnsi="Arial" w:cs="Arial"/>
          <w:b/>
          <w:bCs/>
          <w:color w:val="0F1115"/>
          <w:sz w:val="22"/>
          <w:szCs w:val="22"/>
        </w:rPr>
        <w:lastRenderedPageBreak/>
        <w:t>SMART Objective for Stay</w:t>
      </w:r>
      <w:r w:rsidR="3911DF08" w:rsidRPr="24965EC0">
        <w:rPr>
          <w:rFonts w:ascii="Arial" w:eastAsia="Arial" w:hAnsi="Arial" w:cs="Arial"/>
          <w:b/>
          <w:bCs/>
          <w:color w:val="0F1115"/>
          <w:sz w:val="22"/>
          <w:szCs w:val="22"/>
        </w:rPr>
        <w:t xml:space="preserve"> </w:t>
      </w:r>
      <w:r w:rsidRPr="24965EC0">
        <w:rPr>
          <w:rFonts w:ascii="Arial" w:eastAsia="Arial" w:hAnsi="Arial" w:cs="Arial"/>
          <w:b/>
          <w:bCs/>
          <w:color w:val="0F1115"/>
          <w:sz w:val="22"/>
          <w:szCs w:val="22"/>
        </w:rPr>
        <w:t>Smart+:</w:t>
      </w:r>
      <w:r w:rsidRPr="24965EC0">
        <w:rPr>
          <w:rFonts w:ascii="Arial" w:eastAsia="Arial" w:hAnsi="Arial" w:cs="Arial"/>
          <w:color w:val="0F1115"/>
          <w:sz w:val="22"/>
          <w:szCs w:val="22"/>
        </w:rPr>
        <w:t xml:space="preserve"> </w:t>
      </w:r>
    </w:p>
    <w:p w14:paraId="278AFA5C" w14:textId="59BA45AA" w:rsidR="5FE58A62" w:rsidRDefault="34E4FA2C" w:rsidP="24965EC0">
      <w:pPr>
        <w:pStyle w:val="ListParagraph"/>
        <w:numPr>
          <w:ilvl w:val="0"/>
          <w:numId w:val="2"/>
        </w:numPr>
        <w:shd w:val="clear" w:color="auto" w:fill="FFFFFF" w:themeFill="background1"/>
        <w:spacing w:before="240" w:after="240" w:line="360" w:lineRule="auto"/>
        <w:jc w:val="both"/>
        <w:rPr>
          <w:rFonts w:ascii="Arial" w:eastAsia="Arial" w:hAnsi="Arial" w:cs="Arial"/>
          <w:color w:val="0F1115"/>
          <w:sz w:val="22"/>
          <w:szCs w:val="22"/>
        </w:rPr>
      </w:pPr>
      <w:r w:rsidRPr="24965EC0">
        <w:rPr>
          <w:rFonts w:ascii="Arial" w:eastAsia="Arial" w:hAnsi="Arial" w:cs="Arial"/>
          <w:color w:val="0F1115"/>
          <w:sz w:val="22"/>
          <w:szCs w:val="22"/>
        </w:rPr>
        <w:t>b</w:t>
      </w:r>
      <w:r w:rsidR="5FE58A62" w:rsidRPr="24965EC0">
        <w:rPr>
          <w:rFonts w:ascii="Arial" w:eastAsia="Arial" w:hAnsi="Arial" w:cs="Arial"/>
          <w:color w:val="0F1115"/>
          <w:sz w:val="22"/>
          <w:szCs w:val="22"/>
        </w:rPr>
        <w:t xml:space="preserve">y 31 January 2027 (six months post-full launch), </w:t>
      </w:r>
    </w:p>
    <w:p w14:paraId="135A908F" w14:textId="1FD9AC7C" w:rsidR="5FE58A62" w:rsidRDefault="5FE58A62" w:rsidP="24965EC0">
      <w:pPr>
        <w:pStyle w:val="ListParagraph"/>
        <w:numPr>
          <w:ilvl w:val="0"/>
          <w:numId w:val="2"/>
        </w:numPr>
        <w:shd w:val="clear" w:color="auto" w:fill="FFFFFF" w:themeFill="background1"/>
        <w:spacing w:before="240" w:after="240" w:line="360" w:lineRule="auto"/>
        <w:jc w:val="both"/>
        <w:rPr>
          <w:rFonts w:ascii="Arial" w:eastAsia="Arial" w:hAnsi="Arial" w:cs="Arial"/>
          <w:color w:val="0F1115"/>
          <w:sz w:val="22"/>
          <w:szCs w:val="22"/>
        </w:rPr>
      </w:pPr>
      <w:r w:rsidRPr="24965EC0">
        <w:rPr>
          <w:rFonts w:ascii="Arial" w:eastAsia="Arial" w:hAnsi="Arial" w:cs="Arial"/>
          <w:color w:val="0F1115"/>
          <w:sz w:val="22"/>
          <w:szCs w:val="22"/>
        </w:rPr>
        <w:t>achieve a 15% increase in Guest Satisfaction Scores (GSS) related to "personalisation" and "technology" in pilot hotels,</w:t>
      </w:r>
    </w:p>
    <w:p w14:paraId="76CAB41E" w14:textId="674D136E" w:rsidR="5FE58A62" w:rsidRDefault="5FE58A62" w:rsidP="24965EC0">
      <w:pPr>
        <w:pStyle w:val="ListParagraph"/>
        <w:numPr>
          <w:ilvl w:val="0"/>
          <w:numId w:val="2"/>
        </w:numPr>
        <w:shd w:val="clear" w:color="auto" w:fill="FFFFFF" w:themeFill="background1"/>
        <w:spacing w:before="240" w:after="240" w:line="360" w:lineRule="auto"/>
        <w:jc w:val="both"/>
        <w:rPr>
          <w:rFonts w:ascii="Arial" w:eastAsia="Arial" w:hAnsi="Arial" w:cs="Arial"/>
          <w:color w:val="0F1115"/>
          <w:sz w:val="22"/>
          <w:szCs w:val="22"/>
        </w:rPr>
      </w:pPr>
      <w:r w:rsidRPr="24965EC0">
        <w:rPr>
          <w:rFonts w:ascii="Arial" w:eastAsia="Arial" w:hAnsi="Arial" w:cs="Arial"/>
          <w:color w:val="0F1115"/>
          <w:sz w:val="22"/>
          <w:szCs w:val="22"/>
        </w:rPr>
        <w:t>secure commitment from 80% of franchise owners in target markets to implement the full Stay</w:t>
      </w:r>
      <w:r w:rsidR="72ACF0F6" w:rsidRPr="24965EC0">
        <w:rPr>
          <w:rFonts w:ascii="Arial" w:eastAsia="Arial" w:hAnsi="Arial" w:cs="Arial"/>
          <w:color w:val="0F1115"/>
          <w:sz w:val="22"/>
          <w:szCs w:val="22"/>
        </w:rPr>
        <w:t xml:space="preserve"> </w:t>
      </w:r>
      <w:r w:rsidRPr="24965EC0">
        <w:rPr>
          <w:rFonts w:ascii="Arial" w:eastAsia="Arial" w:hAnsi="Arial" w:cs="Arial"/>
          <w:color w:val="0F1115"/>
          <w:sz w:val="22"/>
          <w:szCs w:val="22"/>
        </w:rPr>
        <w:t>Smart+ suite.</w:t>
      </w:r>
    </w:p>
    <w:p w14:paraId="3202D791" w14:textId="7A35518D" w:rsidR="21874843" w:rsidRDefault="4C09EEBC" w:rsidP="2A4916C0">
      <w:pPr>
        <w:pStyle w:val="Heading3"/>
        <w:shd w:val="clear" w:color="auto" w:fill="FFFFFF" w:themeFill="background1"/>
        <w:spacing w:before="480" w:after="240" w:line="450" w:lineRule="auto"/>
        <w:jc w:val="both"/>
        <w:rPr>
          <w:rFonts w:ascii="Arial" w:eastAsia="Arial" w:hAnsi="Arial" w:cs="Arial"/>
          <w:b/>
          <w:bCs/>
          <w:color w:val="0F1115"/>
          <w:sz w:val="30"/>
          <w:szCs w:val="30"/>
        </w:rPr>
      </w:pPr>
      <w:bookmarkStart w:id="4" w:name="_Toc332495777"/>
      <w:r w:rsidRPr="2A4916C0">
        <w:rPr>
          <w:rFonts w:ascii="Arial" w:eastAsia="Arial" w:hAnsi="Arial" w:cs="Arial"/>
          <w:b/>
          <w:bCs/>
          <w:color w:val="0F1115"/>
          <w:sz w:val="30"/>
          <w:szCs w:val="30"/>
        </w:rPr>
        <w:t>3.0 Identification and Categorisation of Key Stakeholders</w:t>
      </w:r>
      <w:bookmarkEnd w:id="4"/>
    </w:p>
    <w:p w14:paraId="338DD0CB" w14:textId="7C29C027" w:rsidR="21874843" w:rsidRDefault="21874843" w:rsidP="5A740515">
      <w:p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color w:val="0F1115"/>
          <w:sz w:val="22"/>
          <w:szCs w:val="22"/>
        </w:rPr>
        <w:t>Effective stakeholder engagement begins with systematic identification. Drawing on stakeholder theory (Freeman, 1984), which posits that organisations must consider all groups who can affect or are affected by their actions, the stakeholders for Stay Smart+ are categorised as internal and external.</w:t>
      </w:r>
    </w:p>
    <w:p w14:paraId="4C4262FF" w14:textId="22710101" w:rsidR="057BAB59" w:rsidRDefault="3AA0B9D6" w:rsidP="2A4916C0">
      <w:pPr>
        <w:pStyle w:val="Heading4"/>
        <w:shd w:val="clear" w:color="auto" w:fill="FFFFFF" w:themeFill="background1"/>
        <w:spacing w:before="240" w:after="120" w:line="420" w:lineRule="auto"/>
        <w:jc w:val="both"/>
        <w:rPr>
          <w:rFonts w:ascii="Arial" w:eastAsia="Arial" w:hAnsi="Arial" w:cs="Arial"/>
          <w:b/>
          <w:bCs/>
          <w:i w:val="0"/>
          <w:iCs w:val="0"/>
          <w:color w:val="0F1115"/>
        </w:rPr>
      </w:pPr>
      <w:bookmarkStart w:id="5" w:name="_Toc842120355"/>
      <w:r w:rsidRPr="2A4916C0">
        <w:rPr>
          <w:rFonts w:ascii="Arial" w:eastAsia="Arial" w:hAnsi="Arial" w:cs="Arial"/>
          <w:b/>
          <w:bCs/>
          <w:i w:val="0"/>
          <w:iCs w:val="0"/>
          <w:color w:val="0F1115"/>
        </w:rPr>
        <w:t>Internal Stakeholders</w:t>
      </w:r>
      <w:bookmarkEnd w:id="5"/>
    </w:p>
    <w:p w14:paraId="182BBC3E" w14:textId="394A9157" w:rsidR="057BAB59" w:rsidRDefault="057BAB59" w:rsidP="5A740515">
      <w:pPr>
        <w:pStyle w:val="ListParagraph"/>
        <w:numPr>
          <w:ilvl w:val="0"/>
          <w:numId w:val="12"/>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Product Development Team:</w:t>
      </w:r>
      <w:r w:rsidRPr="5A740515">
        <w:rPr>
          <w:rFonts w:ascii="Arial" w:eastAsia="Arial" w:hAnsi="Arial" w:cs="Arial"/>
          <w:color w:val="0F1115"/>
          <w:sz w:val="22"/>
          <w:szCs w:val="22"/>
        </w:rPr>
        <w:t xml:space="preserve"> Responsible for the technical architecture of the AI tools and sustainability features.</w:t>
      </w:r>
    </w:p>
    <w:p w14:paraId="5CD8DB8B" w14:textId="179917B0" w:rsidR="057BAB59" w:rsidRDefault="1A5CF16B" w:rsidP="6317D0BD">
      <w:pPr>
        <w:pStyle w:val="ListParagraph"/>
        <w:numPr>
          <w:ilvl w:val="0"/>
          <w:numId w:val="12"/>
        </w:numPr>
        <w:shd w:val="clear" w:color="auto" w:fill="FFFFFF" w:themeFill="background1"/>
        <w:spacing w:before="240" w:after="240" w:line="360" w:lineRule="auto"/>
        <w:jc w:val="both"/>
        <w:rPr>
          <w:rFonts w:ascii="Arial" w:eastAsia="Arial" w:hAnsi="Arial" w:cs="Arial"/>
          <w:color w:val="0F1115"/>
          <w:sz w:val="22"/>
          <w:szCs w:val="22"/>
        </w:rPr>
      </w:pPr>
      <w:r w:rsidRPr="6317D0BD">
        <w:rPr>
          <w:rFonts w:ascii="Arial" w:eastAsia="Arial" w:hAnsi="Arial" w:cs="Arial"/>
          <w:b/>
          <w:bCs/>
          <w:color w:val="0F1115"/>
          <w:sz w:val="22"/>
          <w:szCs w:val="22"/>
        </w:rPr>
        <w:t>Marketing &amp; Sales Department:</w:t>
      </w:r>
      <w:r w:rsidRPr="6317D0BD">
        <w:rPr>
          <w:rFonts w:ascii="Arial" w:eastAsia="Arial" w:hAnsi="Arial" w:cs="Arial"/>
          <w:color w:val="0F1115"/>
          <w:sz w:val="22"/>
          <w:szCs w:val="22"/>
        </w:rPr>
        <w:t xml:space="preserve"> Tasked with crafting the value proposition, promoting Stay</w:t>
      </w:r>
      <w:r w:rsidR="4EAE5FB4" w:rsidRPr="6317D0BD">
        <w:rPr>
          <w:rFonts w:ascii="Arial" w:eastAsia="Arial" w:hAnsi="Arial" w:cs="Arial"/>
          <w:color w:val="0F1115"/>
          <w:sz w:val="22"/>
          <w:szCs w:val="22"/>
        </w:rPr>
        <w:t xml:space="preserve"> </w:t>
      </w:r>
      <w:r w:rsidRPr="6317D0BD">
        <w:rPr>
          <w:rFonts w:ascii="Arial" w:eastAsia="Arial" w:hAnsi="Arial" w:cs="Arial"/>
          <w:color w:val="0F1115"/>
          <w:sz w:val="22"/>
          <w:szCs w:val="22"/>
        </w:rPr>
        <w:t>Smart+ to guests, and training sales teams for corporate accounts.</w:t>
      </w:r>
    </w:p>
    <w:p w14:paraId="35F67A3F" w14:textId="4ABADCB0" w:rsidR="057BAB59" w:rsidRDefault="057BAB59" w:rsidP="5A740515">
      <w:pPr>
        <w:pStyle w:val="ListParagraph"/>
        <w:numPr>
          <w:ilvl w:val="0"/>
          <w:numId w:val="12"/>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Hotel General Managers (GMs) &amp; Operations Staff:</w:t>
      </w:r>
      <w:r w:rsidRPr="5A740515">
        <w:rPr>
          <w:rFonts w:ascii="Arial" w:eastAsia="Arial" w:hAnsi="Arial" w:cs="Arial"/>
          <w:color w:val="0F1115"/>
          <w:sz w:val="22"/>
          <w:szCs w:val="22"/>
        </w:rPr>
        <w:t xml:space="preserve"> The end-users of the system within each hotel, responsible for day-to-day execution.</w:t>
      </w:r>
    </w:p>
    <w:p w14:paraId="4A93B221" w14:textId="45641594" w:rsidR="057BAB59" w:rsidRDefault="057BAB59" w:rsidP="5A740515">
      <w:pPr>
        <w:pStyle w:val="ListParagraph"/>
        <w:numPr>
          <w:ilvl w:val="0"/>
          <w:numId w:val="12"/>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IHG Executive Team:</w:t>
      </w:r>
      <w:r w:rsidRPr="5A740515">
        <w:rPr>
          <w:rFonts w:ascii="Arial" w:eastAsia="Arial" w:hAnsi="Arial" w:cs="Arial"/>
          <w:color w:val="0F1115"/>
          <w:sz w:val="22"/>
          <w:szCs w:val="22"/>
        </w:rPr>
        <w:t xml:space="preserve"> Holds budgetary authority and strategic oversight, measuring project success against corporate goals.</w:t>
      </w:r>
    </w:p>
    <w:p w14:paraId="34192E73" w14:textId="70E11C5F" w:rsidR="057BAB59" w:rsidRDefault="057BAB59" w:rsidP="5A740515">
      <w:pPr>
        <w:pStyle w:val="ListParagraph"/>
        <w:numPr>
          <w:ilvl w:val="0"/>
          <w:numId w:val="12"/>
        </w:numPr>
        <w:shd w:val="clear" w:color="auto" w:fill="FFFFFF" w:themeFill="background1"/>
        <w:spacing w:before="240" w:after="240" w:line="360" w:lineRule="auto"/>
        <w:rPr>
          <w:rFonts w:ascii="Arial" w:eastAsia="Arial" w:hAnsi="Arial" w:cs="Arial"/>
          <w:color w:val="0F1115"/>
          <w:sz w:val="22"/>
          <w:szCs w:val="22"/>
        </w:rPr>
      </w:pPr>
      <w:r w:rsidRPr="5A740515">
        <w:rPr>
          <w:rFonts w:ascii="Arial" w:eastAsia="Arial" w:hAnsi="Arial" w:cs="Arial"/>
          <w:b/>
          <w:bCs/>
          <w:color w:val="0F1115"/>
          <w:sz w:val="22"/>
          <w:szCs w:val="22"/>
        </w:rPr>
        <w:t>IT &amp; Data Security Team:</w:t>
      </w:r>
      <w:r w:rsidRPr="5A740515">
        <w:rPr>
          <w:rFonts w:ascii="Arial" w:eastAsia="Arial" w:hAnsi="Arial" w:cs="Arial"/>
          <w:color w:val="0F1115"/>
          <w:sz w:val="22"/>
          <w:szCs w:val="22"/>
        </w:rPr>
        <w:t xml:space="preserve"> Ensures system integration, data privacy compliance, and cybersecurity.</w:t>
      </w:r>
    </w:p>
    <w:p w14:paraId="1F62C747" w14:textId="073D1869" w:rsidR="057BAB59" w:rsidRDefault="057BAB59" w:rsidP="5A740515">
      <w:pPr>
        <w:pStyle w:val="ListParagraph"/>
        <w:numPr>
          <w:ilvl w:val="0"/>
          <w:numId w:val="12"/>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Human Resources (HR):</w:t>
      </w:r>
      <w:r w:rsidRPr="5A740515">
        <w:rPr>
          <w:rFonts w:ascii="Arial" w:eastAsia="Arial" w:hAnsi="Arial" w:cs="Arial"/>
          <w:color w:val="0F1115"/>
          <w:sz w:val="22"/>
          <w:szCs w:val="22"/>
        </w:rPr>
        <w:t xml:space="preserve"> Manages the change process, including staff training and updated job descriptions.</w:t>
      </w:r>
    </w:p>
    <w:p w14:paraId="41826F90" w14:textId="1C0E8A49" w:rsidR="057BAB59" w:rsidRDefault="3AA0B9D6" w:rsidP="2A4916C0">
      <w:pPr>
        <w:pStyle w:val="Heading4"/>
        <w:shd w:val="clear" w:color="auto" w:fill="FFFFFF" w:themeFill="background1"/>
        <w:spacing w:before="240" w:after="120" w:line="420" w:lineRule="auto"/>
        <w:jc w:val="both"/>
        <w:rPr>
          <w:rFonts w:ascii="Arial" w:eastAsia="Arial" w:hAnsi="Arial" w:cs="Arial"/>
          <w:b/>
          <w:bCs/>
          <w:i w:val="0"/>
          <w:iCs w:val="0"/>
          <w:color w:val="0F1115"/>
        </w:rPr>
      </w:pPr>
      <w:bookmarkStart w:id="6" w:name="_Toc935972251"/>
      <w:r w:rsidRPr="2A4916C0">
        <w:rPr>
          <w:rFonts w:ascii="Arial" w:eastAsia="Arial" w:hAnsi="Arial" w:cs="Arial"/>
          <w:b/>
          <w:bCs/>
          <w:i w:val="0"/>
          <w:iCs w:val="0"/>
          <w:color w:val="0F1115"/>
        </w:rPr>
        <w:t>External Stakeholders</w:t>
      </w:r>
      <w:bookmarkEnd w:id="6"/>
    </w:p>
    <w:p w14:paraId="3023898F" w14:textId="5662BFD2" w:rsidR="057BAB59" w:rsidRDefault="057BAB59" w:rsidP="5A740515">
      <w:pPr>
        <w:pStyle w:val="ListParagraph"/>
        <w:numPr>
          <w:ilvl w:val="0"/>
          <w:numId w:val="11"/>
        </w:numPr>
        <w:shd w:val="clear" w:color="auto" w:fill="FFFFFF" w:themeFill="background1"/>
        <w:spacing w:before="240" w:after="240"/>
        <w:jc w:val="both"/>
        <w:rPr>
          <w:rFonts w:ascii="Arial" w:eastAsia="Arial" w:hAnsi="Arial" w:cs="Arial"/>
          <w:color w:val="0F1115"/>
          <w:sz w:val="22"/>
          <w:szCs w:val="22"/>
        </w:rPr>
      </w:pPr>
      <w:r w:rsidRPr="5A740515">
        <w:rPr>
          <w:rFonts w:ascii="Arial" w:eastAsia="Arial" w:hAnsi="Arial" w:cs="Arial"/>
          <w:b/>
          <w:bCs/>
          <w:color w:val="0F1115"/>
          <w:sz w:val="22"/>
          <w:szCs w:val="22"/>
        </w:rPr>
        <w:t>Hotel Owners/Franchisees:</w:t>
      </w:r>
      <w:r w:rsidRPr="5A740515">
        <w:rPr>
          <w:rFonts w:ascii="Arial" w:eastAsia="Arial" w:hAnsi="Arial" w:cs="Arial"/>
          <w:color w:val="0F1115"/>
          <w:sz w:val="22"/>
          <w:szCs w:val="22"/>
        </w:rPr>
        <w:t xml:space="preserve"> Independent business owners who license the Holiday Inn brand. They must invest in the new technology and adopt the operational changes (Donaldson and Preston, 1995).</w:t>
      </w:r>
    </w:p>
    <w:p w14:paraId="4C7E57B0" w14:textId="16EADB9B" w:rsidR="057BAB59" w:rsidRDefault="057BAB59" w:rsidP="5A740515">
      <w:pPr>
        <w:pStyle w:val="ListParagraph"/>
        <w:numPr>
          <w:ilvl w:val="0"/>
          <w:numId w:val="11"/>
        </w:numPr>
        <w:shd w:val="clear" w:color="auto" w:fill="FFFFFF" w:themeFill="background1"/>
        <w:spacing w:before="240" w:after="240"/>
        <w:jc w:val="both"/>
        <w:rPr>
          <w:rFonts w:ascii="Arial" w:eastAsia="Arial" w:hAnsi="Arial" w:cs="Arial"/>
          <w:color w:val="0F1115"/>
          <w:sz w:val="22"/>
          <w:szCs w:val="22"/>
        </w:rPr>
      </w:pPr>
      <w:r w:rsidRPr="5A740515">
        <w:rPr>
          <w:rFonts w:ascii="Arial" w:eastAsia="Arial" w:hAnsi="Arial" w:cs="Arial"/>
          <w:b/>
          <w:bCs/>
          <w:color w:val="0F1115"/>
          <w:sz w:val="22"/>
          <w:szCs w:val="22"/>
        </w:rPr>
        <w:t>Guests (Existing and Target):</w:t>
      </w:r>
      <w:r w:rsidRPr="5A740515">
        <w:rPr>
          <w:rFonts w:ascii="Arial" w:eastAsia="Arial" w:hAnsi="Arial" w:cs="Arial"/>
          <w:color w:val="0F1115"/>
          <w:sz w:val="22"/>
          <w:szCs w:val="22"/>
        </w:rPr>
        <w:t xml:space="preserve"> The end-users whose experience and data are central to the Stay</w:t>
      </w:r>
      <w:r w:rsidR="4ABEF78B" w:rsidRPr="5A740515">
        <w:rPr>
          <w:rFonts w:ascii="Arial" w:eastAsia="Arial" w:hAnsi="Arial" w:cs="Arial"/>
          <w:color w:val="0F1115"/>
          <w:sz w:val="22"/>
          <w:szCs w:val="22"/>
        </w:rPr>
        <w:t xml:space="preserve"> </w:t>
      </w:r>
      <w:r w:rsidRPr="5A740515">
        <w:rPr>
          <w:rFonts w:ascii="Arial" w:eastAsia="Arial" w:hAnsi="Arial" w:cs="Arial"/>
          <w:color w:val="0F1115"/>
          <w:sz w:val="22"/>
          <w:szCs w:val="22"/>
        </w:rPr>
        <w:t>Smart+ value proposition.</w:t>
      </w:r>
    </w:p>
    <w:p w14:paraId="64F1978C" w14:textId="79B57AE6" w:rsidR="057BAB59" w:rsidRDefault="057BAB59" w:rsidP="5A740515">
      <w:pPr>
        <w:pStyle w:val="ListParagraph"/>
        <w:numPr>
          <w:ilvl w:val="0"/>
          <w:numId w:val="11"/>
        </w:numPr>
        <w:shd w:val="clear" w:color="auto" w:fill="FFFFFF" w:themeFill="background1"/>
        <w:spacing w:before="240" w:after="240"/>
        <w:jc w:val="both"/>
        <w:rPr>
          <w:rFonts w:ascii="Arial" w:eastAsia="Arial" w:hAnsi="Arial" w:cs="Arial"/>
          <w:color w:val="0F1115"/>
          <w:sz w:val="22"/>
          <w:szCs w:val="22"/>
        </w:rPr>
      </w:pPr>
      <w:r w:rsidRPr="5A740515">
        <w:rPr>
          <w:rFonts w:ascii="Arial" w:eastAsia="Arial" w:hAnsi="Arial" w:cs="Arial"/>
          <w:b/>
          <w:bCs/>
          <w:color w:val="0F1115"/>
          <w:sz w:val="22"/>
          <w:szCs w:val="22"/>
        </w:rPr>
        <w:lastRenderedPageBreak/>
        <w:t>Suppliers &amp; Technology Partners:</w:t>
      </w:r>
      <w:r w:rsidRPr="5A740515">
        <w:rPr>
          <w:rFonts w:ascii="Arial" w:eastAsia="Arial" w:hAnsi="Arial" w:cs="Arial"/>
          <w:color w:val="0F1115"/>
          <w:sz w:val="22"/>
          <w:szCs w:val="22"/>
        </w:rPr>
        <w:t xml:space="preserve"> Third-party vendors providing AI software, IoT devices for rooms, and sustainable amenity products.</w:t>
      </w:r>
    </w:p>
    <w:p w14:paraId="3CCC09C7" w14:textId="628C8C7B" w:rsidR="057BAB59" w:rsidRDefault="057BAB59" w:rsidP="5A740515">
      <w:pPr>
        <w:pStyle w:val="ListParagraph"/>
        <w:numPr>
          <w:ilvl w:val="0"/>
          <w:numId w:val="11"/>
        </w:numPr>
        <w:shd w:val="clear" w:color="auto" w:fill="FFFFFF" w:themeFill="background1"/>
        <w:spacing w:before="240" w:after="240"/>
        <w:jc w:val="both"/>
        <w:rPr>
          <w:rFonts w:ascii="Arial" w:eastAsia="Arial" w:hAnsi="Arial" w:cs="Arial"/>
          <w:color w:val="0F1115"/>
          <w:sz w:val="22"/>
          <w:szCs w:val="22"/>
        </w:rPr>
      </w:pPr>
      <w:r w:rsidRPr="5A740515">
        <w:rPr>
          <w:rFonts w:ascii="Arial" w:eastAsia="Arial" w:hAnsi="Arial" w:cs="Arial"/>
          <w:b/>
          <w:bCs/>
          <w:color w:val="0F1115"/>
          <w:sz w:val="22"/>
          <w:szCs w:val="22"/>
        </w:rPr>
        <w:t>Local Communities:</w:t>
      </w:r>
      <w:r w:rsidRPr="5A740515">
        <w:rPr>
          <w:rFonts w:ascii="Arial" w:eastAsia="Arial" w:hAnsi="Arial" w:cs="Arial"/>
          <w:color w:val="0F1115"/>
          <w:sz w:val="22"/>
          <w:szCs w:val="22"/>
        </w:rPr>
        <w:t xml:space="preserve"> In various international markets, communities will be impacted by the hotel's sustainability practices and tourism flows (Barakat and Wada, 2021).</w:t>
      </w:r>
    </w:p>
    <w:p w14:paraId="5CADED37" w14:textId="0E404CE7" w:rsidR="057BAB59" w:rsidRDefault="057BAB59" w:rsidP="5A740515">
      <w:pPr>
        <w:pStyle w:val="ListParagraph"/>
        <w:numPr>
          <w:ilvl w:val="0"/>
          <w:numId w:val="11"/>
        </w:numPr>
        <w:shd w:val="clear" w:color="auto" w:fill="FFFFFF" w:themeFill="background1"/>
        <w:spacing w:before="240" w:after="240"/>
        <w:jc w:val="both"/>
        <w:rPr>
          <w:rFonts w:ascii="Arial" w:eastAsia="Arial" w:hAnsi="Arial" w:cs="Arial"/>
          <w:color w:val="0F1115"/>
          <w:sz w:val="22"/>
          <w:szCs w:val="22"/>
        </w:rPr>
      </w:pPr>
      <w:r w:rsidRPr="5A740515">
        <w:rPr>
          <w:rFonts w:ascii="Arial" w:eastAsia="Arial" w:hAnsi="Arial" w:cs="Arial"/>
          <w:b/>
          <w:bCs/>
          <w:color w:val="0F1115"/>
          <w:sz w:val="22"/>
          <w:szCs w:val="22"/>
        </w:rPr>
        <w:t>Regulatory Bodies:</w:t>
      </w:r>
      <w:r w:rsidRPr="5A740515">
        <w:rPr>
          <w:rFonts w:ascii="Arial" w:eastAsia="Arial" w:hAnsi="Arial" w:cs="Arial"/>
          <w:color w:val="0F1115"/>
          <w:sz w:val="22"/>
          <w:szCs w:val="22"/>
        </w:rPr>
        <w:t xml:space="preserve"> Government agencies and industry associations that set standards for data privacy, health &amp; safety, and environmental claims.</w:t>
      </w:r>
    </w:p>
    <w:p w14:paraId="2849E36B" w14:textId="31540673" w:rsidR="057BAB59" w:rsidRDefault="3AA0B9D6" w:rsidP="5A740515">
      <w:pPr>
        <w:pStyle w:val="ListParagraph"/>
        <w:numPr>
          <w:ilvl w:val="0"/>
          <w:numId w:val="11"/>
        </w:numPr>
        <w:shd w:val="clear" w:color="auto" w:fill="FFFFFF" w:themeFill="background1"/>
        <w:spacing w:before="240" w:after="240"/>
        <w:jc w:val="both"/>
        <w:rPr>
          <w:rFonts w:ascii="Arial" w:eastAsia="Arial" w:hAnsi="Arial" w:cs="Arial"/>
          <w:color w:val="0F1115"/>
          <w:sz w:val="22"/>
          <w:szCs w:val="22"/>
        </w:rPr>
      </w:pPr>
      <w:r w:rsidRPr="2A4916C0">
        <w:rPr>
          <w:rFonts w:ascii="Arial" w:eastAsia="Arial" w:hAnsi="Arial" w:cs="Arial"/>
          <w:b/>
          <w:bCs/>
          <w:color w:val="0F1115"/>
          <w:sz w:val="22"/>
          <w:szCs w:val="22"/>
        </w:rPr>
        <w:t>Online Travel Agencies (OTAs):</w:t>
      </w:r>
      <w:r w:rsidRPr="2A4916C0">
        <w:rPr>
          <w:rFonts w:ascii="Arial" w:eastAsia="Arial" w:hAnsi="Arial" w:cs="Arial"/>
          <w:color w:val="0F1115"/>
          <w:sz w:val="22"/>
          <w:szCs w:val="22"/>
        </w:rPr>
        <w:t xml:space="preserve"> Partners like Expedia, whose relationship with the hotel may evolve as direct bookings are incentivised through personalised offers.</w:t>
      </w:r>
    </w:p>
    <w:p w14:paraId="6EBC5358" w14:textId="13B5080F" w:rsidR="77A9CA5D" w:rsidRDefault="77A9CA5D" w:rsidP="2A4916C0">
      <w:pPr>
        <w:shd w:val="clear" w:color="auto" w:fill="FFFFFF" w:themeFill="background1"/>
        <w:spacing w:before="240" w:after="240"/>
        <w:jc w:val="both"/>
        <w:rPr>
          <w:rFonts w:ascii="Arial" w:eastAsia="Arial" w:hAnsi="Arial" w:cs="Arial"/>
          <w:color w:val="0F1115"/>
          <w:sz w:val="22"/>
          <w:szCs w:val="22"/>
        </w:rPr>
      </w:pPr>
      <w:r w:rsidRPr="2A4916C0">
        <w:rPr>
          <w:rFonts w:ascii="Arial" w:eastAsia="Arial" w:hAnsi="Arial" w:cs="Arial"/>
          <w:color w:val="0F1115"/>
          <w:sz w:val="22"/>
          <w:szCs w:val="22"/>
        </w:rPr>
        <w:t xml:space="preserve">Figure 1 is </w:t>
      </w:r>
      <w:r w:rsidR="38342CD2" w:rsidRPr="2A4916C0">
        <w:rPr>
          <w:rFonts w:ascii="Arial" w:eastAsia="Arial" w:hAnsi="Arial" w:cs="Arial"/>
          <w:color w:val="0F1115"/>
          <w:sz w:val="22"/>
          <w:szCs w:val="22"/>
        </w:rPr>
        <w:t>a</w:t>
      </w:r>
      <w:r w:rsidRPr="2A4916C0">
        <w:rPr>
          <w:rFonts w:ascii="Arial" w:eastAsia="Arial" w:hAnsi="Arial" w:cs="Arial"/>
          <w:color w:val="0F1115"/>
          <w:sz w:val="22"/>
          <w:szCs w:val="22"/>
        </w:rPr>
        <w:t xml:space="preserve"> </w:t>
      </w:r>
      <w:r w:rsidR="4E57964E" w:rsidRPr="2A4916C0">
        <w:rPr>
          <w:rFonts w:ascii="Arial" w:eastAsia="Arial" w:hAnsi="Arial" w:cs="Arial"/>
          <w:color w:val="0F1115"/>
          <w:sz w:val="22"/>
          <w:szCs w:val="22"/>
        </w:rPr>
        <w:t>Stakeholder Map</w:t>
      </w:r>
    </w:p>
    <w:p w14:paraId="1CC5ED24" w14:textId="091C6EDF" w:rsidR="2A4916C0" w:rsidRDefault="2A4916C0" w:rsidP="2A4916C0">
      <w:pPr>
        <w:shd w:val="clear" w:color="auto" w:fill="FFFFFF" w:themeFill="background1"/>
        <w:spacing w:before="240" w:after="240"/>
        <w:jc w:val="both"/>
        <w:rPr>
          <w:rFonts w:ascii="Arial" w:eastAsia="Arial" w:hAnsi="Arial" w:cs="Arial"/>
          <w:color w:val="0F1115"/>
          <w:sz w:val="22"/>
          <w:szCs w:val="22"/>
        </w:rPr>
      </w:pPr>
    </w:p>
    <w:p w14:paraId="1234FB52" w14:textId="1D3CD1A1" w:rsidR="77A9CA5D" w:rsidRDefault="77A9CA5D" w:rsidP="2A4916C0">
      <w:pPr>
        <w:shd w:val="clear" w:color="auto" w:fill="FFFFFF" w:themeFill="background1"/>
        <w:spacing w:before="240" w:after="240"/>
        <w:jc w:val="both"/>
        <w:rPr>
          <w:rFonts w:ascii="Arial" w:eastAsia="Arial" w:hAnsi="Arial" w:cs="Arial"/>
          <w:color w:val="0F1115"/>
          <w:sz w:val="22"/>
          <w:szCs w:val="22"/>
        </w:rPr>
      </w:pPr>
      <w:r w:rsidRPr="2A4916C0">
        <w:rPr>
          <w:rFonts w:ascii="Arial" w:eastAsia="Arial" w:hAnsi="Arial" w:cs="Arial"/>
          <w:color w:val="0F1115"/>
          <w:sz w:val="22"/>
          <w:szCs w:val="22"/>
        </w:rPr>
        <w:t>Fig. 1</w:t>
      </w:r>
    </w:p>
    <w:p w14:paraId="1D387C76" w14:textId="6F0FC06F" w:rsidR="5E80DAE5" w:rsidRDefault="5E80DAE5" w:rsidP="5A740515">
      <w:pPr>
        <w:shd w:val="clear" w:color="auto" w:fill="FFFFFF" w:themeFill="background1"/>
        <w:spacing w:before="240" w:after="240"/>
        <w:jc w:val="both"/>
      </w:pPr>
      <w:r>
        <w:rPr>
          <w:noProof/>
        </w:rPr>
        <w:drawing>
          <wp:inline distT="0" distB="0" distL="0" distR="0" wp14:anchorId="08E404F3" wp14:editId="6D8DED5B">
            <wp:extent cx="5532544" cy="3019425"/>
            <wp:effectExtent l="0" t="0" r="0" b="0"/>
            <wp:docPr id="21421150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115012" name="Picture 2142115012"/>
                    <pic:cNvPicPr/>
                  </pic:nvPicPr>
                  <pic:blipFill>
                    <a:blip r:embed="rId7">
                      <a:extLst>
                        <a:ext uri="{28A0092B-C50C-407E-A947-70E740481C1C}">
                          <a14:useLocalDpi xmlns:a14="http://schemas.microsoft.com/office/drawing/2010/main"/>
                        </a:ext>
                      </a:extLst>
                    </a:blip>
                    <a:stretch>
                      <a:fillRect/>
                    </a:stretch>
                  </pic:blipFill>
                  <pic:spPr>
                    <a:xfrm>
                      <a:off x="0" y="0"/>
                      <a:ext cx="5532544" cy="3019425"/>
                    </a:xfrm>
                    <a:prstGeom prst="rect">
                      <a:avLst/>
                    </a:prstGeom>
                  </pic:spPr>
                </pic:pic>
              </a:graphicData>
            </a:graphic>
          </wp:inline>
        </w:drawing>
      </w:r>
    </w:p>
    <w:p w14:paraId="0C2457CA" w14:textId="055049F0" w:rsidR="7369C5A8" w:rsidRDefault="718DFFAF" w:rsidP="2A4916C0">
      <w:pPr>
        <w:pStyle w:val="Heading3"/>
        <w:shd w:val="clear" w:color="auto" w:fill="FFFFFF" w:themeFill="background1"/>
        <w:spacing w:before="480" w:after="240" w:line="450" w:lineRule="auto"/>
        <w:jc w:val="both"/>
        <w:rPr>
          <w:rFonts w:ascii="Arial" w:eastAsia="Arial" w:hAnsi="Arial" w:cs="Arial"/>
          <w:b/>
          <w:bCs/>
          <w:color w:val="0F1115"/>
          <w:sz w:val="30"/>
          <w:szCs w:val="30"/>
        </w:rPr>
      </w:pPr>
      <w:bookmarkStart w:id="7" w:name="_Toc158185022"/>
      <w:r w:rsidRPr="2A4916C0">
        <w:rPr>
          <w:rFonts w:ascii="Arial" w:eastAsia="Arial" w:hAnsi="Arial" w:cs="Arial"/>
          <w:b/>
          <w:bCs/>
          <w:color w:val="0F1115"/>
          <w:sz w:val="30"/>
          <w:szCs w:val="30"/>
        </w:rPr>
        <w:t>4.0 Stakeholder Roles, Responsibilities, and Analytical Frameworks</w:t>
      </w:r>
      <w:bookmarkEnd w:id="7"/>
    </w:p>
    <w:p w14:paraId="0BB23B76" w14:textId="3D3D3B60" w:rsidR="0407C32D" w:rsidRDefault="7369C5A8" w:rsidP="24965EC0">
      <w:pPr>
        <w:shd w:val="clear" w:color="auto" w:fill="FFFFFF" w:themeFill="background1"/>
        <w:spacing w:before="240" w:after="240" w:line="360" w:lineRule="auto"/>
        <w:jc w:val="both"/>
        <w:rPr>
          <w:rFonts w:ascii="system-ui" w:eastAsia="system-ui" w:hAnsi="system-ui" w:cs="system-ui"/>
          <w:color w:val="0F1115"/>
          <w:sz w:val="22"/>
          <w:szCs w:val="22"/>
        </w:rPr>
      </w:pPr>
      <w:r w:rsidRPr="24965EC0">
        <w:rPr>
          <w:rFonts w:ascii="system-ui" w:eastAsia="system-ui" w:hAnsi="system-ui" w:cs="system-ui"/>
          <w:color w:val="0F1115"/>
          <w:sz w:val="22"/>
          <w:szCs w:val="22"/>
        </w:rPr>
        <w:t>To manage this complex network, a structured approach using a RACI Matrix and a Power/Interest Grid is required. These frameworks clarify roles and prioritise engagement efforts (Eden and Ackermann, 2013; Jacka and Keller, 2009).</w:t>
      </w:r>
    </w:p>
    <w:p w14:paraId="7E6AE565" w14:textId="3173A111" w:rsidR="7369C5A8" w:rsidRDefault="718DFFAF" w:rsidP="2A4916C0">
      <w:pPr>
        <w:pStyle w:val="Heading4"/>
        <w:shd w:val="clear" w:color="auto" w:fill="FFFFFF" w:themeFill="background1"/>
        <w:spacing w:before="240" w:after="240" w:line="420" w:lineRule="auto"/>
        <w:jc w:val="both"/>
        <w:rPr>
          <w:rFonts w:ascii="Arial" w:eastAsia="Arial" w:hAnsi="Arial" w:cs="Arial"/>
          <w:b/>
          <w:bCs/>
          <w:i w:val="0"/>
          <w:iCs w:val="0"/>
          <w:color w:val="0F1115"/>
        </w:rPr>
      </w:pPr>
      <w:bookmarkStart w:id="8" w:name="_Toc1838028322"/>
      <w:r w:rsidRPr="2A4916C0">
        <w:rPr>
          <w:rFonts w:ascii="Arial" w:eastAsia="Arial" w:hAnsi="Arial" w:cs="Arial"/>
          <w:b/>
          <w:bCs/>
          <w:i w:val="0"/>
          <w:iCs w:val="0"/>
          <w:color w:val="0F1115"/>
        </w:rPr>
        <w:t>RACI Matrix for Stay</w:t>
      </w:r>
      <w:r w:rsidR="299D6D59" w:rsidRPr="2A4916C0">
        <w:rPr>
          <w:rFonts w:ascii="Arial" w:eastAsia="Arial" w:hAnsi="Arial" w:cs="Arial"/>
          <w:b/>
          <w:bCs/>
          <w:i w:val="0"/>
          <w:iCs w:val="0"/>
          <w:color w:val="0F1115"/>
        </w:rPr>
        <w:t xml:space="preserve"> </w:t>
      </w:r>
      <w:r w:rsidRPr="2A4916C0">
        <w:rPr>
          <w:rFonts w:ascii="Arial" w:eastAsia="Arial" w:hAnsi="Arial" w:cs="Arial"/>
          <w:b/>
          <w:bCs/>
          <w:i w:val="0"/>
          <w:iCs w:val="0"/>
          <w:color w:val="0F1115"/>
        </w:rPr>
        <w:t>Smart+ Launch</w:t>
      </w:r>
      <w:bookmarkEnd w:id="8"/>
    </w:p>
    <w:p w14:paraId="550F858D" w14:textId="33D69D3B" w:rsidR="7369C5A8" w:rsidRDefault="7369C5A8" w:rsidP="5A740515">
      <w:p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color w:val="0F1115"/>
          <w:sz w:val="22"/>
          <w:szCs w:val="22"/>
        </w:rPr>
        <w:t>This matrix clarifies who is Responsible (doer), Accountable (approver), Consulted, and Informed for key project deliverables (Jacka and Keller, 2009).</w:t>
      </w:r>
    </w:p>
    <w:tbl>
      <w:tblPr>
        <w:tblStyle w:val="TableGrid"/>
        <w:tblW w:w="0" w:type="auto"/>
        <w:tblLook w:val="06A0" w:firstRow="1" w:lastRow="0" w:firstColumn="1" w:lastColumn="0" w:noHBand="1" w:noVBand="1"/>
      </w:tblPr>
      <w:tblGrid>
        <w:gridCol w:w="2340"/>
        <w:gridCol w:w="1108"/>
        <w:gridCol w:w="1275"/>
        <w:gridCol w:w="1346"/>
        <w:gridCol w:w="1063"/>
        <w:gridCol w:w="1048"/>
        <w:gridCol w:w="836"/>
      </w:tblGrid>
      <w:tr w:rsidR="5A740515" w14:paraId="35C4C356" w14:textId="77777777" w:rsidTr="5A740515">
        <w:trPr>
          <w:trHeight w:val="300"/>
        </w:trPr>
        <w:tc>
          <w:tcPr>
            <w:tcW w:w="2340" w:type="dxa"/>
          </w:tcPr>
          <w:p w14:paraId="0692ACE6" w14:textId="74619719" w:rsidR="5A740515" w:rsidRDefault="5A740515" w:rsidP="5A740515">
            <w:pPr>
              <w:spacing w:line="375" w:lineRule="auto"/>
              <w:rPr>
                <w:rFonts w:ascii="Arial" w:eastAsia="Arial" w:hAnsi="Arial" w:cs="Arial"/>
                <w:color w:val="0F1115"/>
                <w:sz w:val="22"/>
                <w:szCs w:val="22"/>
              </w:rPr>
            </w:pPr>
            <w:r w:rsidRPr="5A740515">
              <w:rPr>
                <w:rFonts w:ascii="Arial" w:eastAsia="Arial" w:hAnsi="Arial" w:cs="Arial"/>
                <w:color w:val="0F1115"/>
                <w:sz w:val="22"/>
                <w:szCs w:val="22"/>
              </w:rPr>
              <w:lastRenderedPageBreak/>
              <w:t>Deliverable / Activity</w:t>
            </w:r>
          </w:p>
        </w:tc>
        <w:tc>
          <w:tcPr>
            <w:tcW w:w="1108" w:type="dxa"/>
          </w:tcPr>
          <w:p w14:paraId="36059443" w14:textId="0363BDC0"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Product Dev.</w:t>
            </w:r>
          </w:p>
        </w:tc>
        <w:tc>
          <w:tcPr>
            <w:tcW w:w="1275" w:type="dxa"/>
          </w:tcPr>
          <w:p w14:paraId="63EE10E0" w14:textId="4E4F6203"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Marketing</w:t>
            </w:r>
          </w:p>
        </w:tc>
        <w:tc>
          <w:tcPr>
            <w:tcW w:w="1346" w:type="dxa"/>
          </w:tcPr>
          <w:p w14:paraId="2A17A33E" w14:textId="3A54C2C7"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Hotel GMs</w:t>
            </w:r>
          </w:p>
        </w:tc>
        <w:tc>
          <w:tcPr>
            <w:tcW w:w="1063" w:type="dxa"/>
          </w:tcPr>
          <w:p w14:paraId="0427937C" w14:textId="31E5DF41"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Hotel Owners</w:t>
            </w:r>
          </w:p>
        </w:tc>
        <w:tc>
          <w:tcPr>
            <w:tcW w:w="1048" w:type="dxa"/>
          </w:tcPr>
          <w:p w14:paraId="5580B639" w14:textId="5AB52BB2"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IT Security</w:t>
            </w:r>
          </w:p>
        </w:tc>
        <w:tc>
          <w:tcPr>
            <w:tcW w:w="836" w:type="dxa"/>
          </w:tcPr>
          <w:p w14:paraId="54179704" w14:textId="125CDD25"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IHG Exec.</w:t>
            </w:r>
          </w:p>
        </w:tc>
      </w:tr>
      <w:tr w:rsidR="5A740515" w14:paraId="3A35D453" w14:textId="77777777" w:rsidTr="5A740515">
        <w:trPr>
          <w:trHeight w:val="300"/>
        </w:trPr>
        <w:tc>
          <w:tcPr>
            <w:tcW w:w="2340" w:type="dxa"/>
          </w:tcPr>
          <w:p w14:paraId="63478B27" w14:textId="127032F9"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Develop AI Software</w:t>
            </w:r>
          </w:p>
        </w:tc>
        <w:tc>
          <w:tcPr>
            <w:tcW w:w="1108" w:type="dxa"/>
            <w:shd w:val="clear" w:color="auto" w:fill="FF0000"/>
          </w:tcPr>
          <w:p w14:paraId="53A3B153" w14:textId="094E8ADB" w:rsidR="5A740515" w:rsidRDefault="5A740515" w:rsidP="5A740515">
            <w:pPr>
              <w:spacing w:line="375" w:lineRule="auto"/>
            </w:pPr>
            <w:r w:rsidRPr="5A740515">
              <w:rPr>
                <w:rFonts w:ascii="system-ui" w:eastAsia="system-ui" w:hAnsi="system-ui" w:cs="system-ui"/>
                <w:b/>
                <w:bCs/>
                <w:color w:val="0F1115"/>
                <w:sz w:val="22"/>
                <w:szCs w:val="22"/>
              </w:rPr>
              <w:t>R</w:t>
            </w:r>
          </w:p>
        </w:tc>
        <w:tc>
          <w:tcPr>
            <w:tcW w:w="1275" w:type="dxa"/>
            <w:shd w:val="clear" w:color="auto" w:fill="92D050"/>
          </w:tcPr>
          <w:p w14:paraId="36F7B39F" w14:textId="025E2DA5" w:rsidR="5A740515" w:rsidRDefault="5A740515" w:rsidP="5A740515">
            <w:pPr>
              <w:spacing w:line="375" w:lineRule="auto"/>
            </w:pPr>
            <w:r w:rsidRPr="5A740515">
              <w:rPr>
                <w:rFonts w:ascii="system-ui" w:eastAsia="system-ui" w:hAnsi="system-ui" w:cs="system-ui"/>
                <w:color w:val="0F1115"/>
                <w:sz w:val="22"/>
                <w:szCs w:val="22"/>
              </w:rPr>
              <w:t>I</w:t>
            </w:r>
          </w:p>
        </w:tc>
        <w:tc>
          <w:tcPr>
            <w:tcW w:w="1346" w:type="dxa"/>
            <w:shd w:val="clear" w:color="auto" w:fill="92D050"/>
          </w:tcPr>
          <w:p w14:paraId="496AC4D9" w14:textId="657DDF00" w:rsidR="5A740515" w:rsidRDefault="5A740515" w:rsidP="5A740515">
            <w:pPr>
              <w:spacing w:line="375" w:lineRule="auto"/>
            </w:pPr>
            <w:r w:rsidRPr="5A740515">
              <w:rPr>
                <w:rFonts w:ascii="system-ui" w:eastAsia="system-ui" w:hAnsi="system-ui" w:cs="system-ui"/>
                <w:color w:val="0F1115"/>
                <w:sz w:val="22"/>
                <w:szCs w:val="22"/>
              </w:rPr>
              <w:t>I</w:t>
            </w:r>
          </w:p>
        </w:tc>
        <w:tc>
          <w:tcPr>
            <w:tcW w:w="1063" w:type="dxa"/>
            <w:shd w:val="clear" w:color="auto" w:fill="92D050"/>
          </w:tcPr>
          <w:p w14:paraId="27B56E6B" w14:textId="20DFAF99" w:rsidR="5A740515" w:rsidRDefault="5A740515" w:rsidP="5A740515">
            <w:pPr>
              <w:spacing w:line="375" w:lineRule="auto"/>
            </w:pPr>
            <w:r w:rsidRPr="5A740515">
              <w:rPr>
                <w:rFonts w:ascii="system-ui" w:eastAsia="system-ui" w:hAnsi="system-ui" w:cs="system-ui"/>
                <w:color w:val="0F1115"/>
                <w:sz w:val="22"/>
                <w:szCs w:val="22"/>
              </w:rPr>
              <w:t>I</w:t>
            </w:r>
          </w:p>
        </w:tc>
        <w:tc>
          <w:tcPr>
            <w:tcW w:w="1048" w:type="dxa"/>
            <w:shd w:val="clear" w:color="auto" w:fill="00B0F0"/>
          </w:tcPr>
          <w:p w14:paraId="54DD5183" w14:textId="6FD11193" w:rsidR="5A740515" w:rsidRDefault="5A740515" w:rsidP="5A740515">
            <w:pPr>
              <w:spacing w:line="375" w:lineRule="auto"/>
            </w:pPr>
            <w:r w:rsidRPr="5A740515">
              <w:rPr>
                <w:rFonts w:ascii="system-ui" w:eastAsia="system-ui" w:hAnsi="system-ui" w:cs="system-ui"/>
                <w:color w:val="0F1115"/>
                <w:sz w:val="22"/>
                <w:szCs w:val="22"/>
              </w:rPr>
              <w:t>C</w:t>
            </w:r>
          </w:p>
        </w:tc>
        <w:tc>
          <w:tcPr>
            <w:tcW w:w="836" w:type="dxa"/>
            <w:shd w:val="clear" w:color="auto" w:fill="FFC000"/>
          </w:tcPr>
          <w:p w14:paraId="5B428D67" w14:textId="14D2709F" w:rsidR="5A740515" w:rsidRDefault="5A740515" w:rsidP="5A740515">
            <w:pPr>
              <w:spacing w:line="375" w:lineRule="auto"/>
            </w:pPr>
            <w:r w:rsidRPr="5A740515">
              <w:rPr>
                <w:rFonts w:ascii="system-ui" w:eastAsia="system-ui" w:hAnsi="system-ui" w:cs="system-ui"/>
                <w:color w:val="0F1115"/>
                <w:sz w:val="22"/>
                <w:szCs w:val="22"/>
              </w:rPr>
              <w:t>A</w:t>
            </w:r>
          </w:p>
        </w:tc>
      </w:tr>
      <w:tr w:rsidR="5A740515" w14:paraId="5751F13A" w14:textId="77777777" w:rsidTr="5A740515">
        <w:trPr>
          <w:trHeight w:val="300"/>
        </w:trPr>
        <w:tc>
          <w:tcPr>
            <w:tcW w:w="2340" w:type="dxa"/>
          </w:tcPr>
          <w:p w14:paraId="715A9124" w14:textId="536529F3"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Create Launch Marketing Plan</w:t>
            </w:r>
          </w:p>
        </w:tc>
        <w:tc>
          <w:tcPr>
            <w:tcW w:w="1108" w:type="dxa"/>
            <w:shd w:val="clear" w:color="auto" w:fill="92D050"/>
          </w:tcPr>
          <w:p w14:paraId="3A0DC093" w14:textId="499C6389" w:rsidR="5A740515" w:rsidRDefault="5A740515" w:rsidP="5A740515">
            <w:pPr>
              <w:spacing w:line="375" w:lineRule="auto"/>
            </w:pPr>
            <w:r w:rsidRPr="5A740515">
              <w:rPr>
                <w:rFonts w:ascii="system-ui" w:eastAsia="system-ui" w:hAnsi="system-ui" w:cs="system-ui"/>
                <w:color w:val="0F1115"/>
                <w:sz w:val="22"/>
                <w:szCs w:val="22"/>
              </w:rPr>
              <w:t>I</w:t>
            </w:r>
          </w:p>
        </w:tc>
        <w:tc>
          <w:tcPr>
            <w:tcW w:w="1275" w:type="dxa"/>
            <w:shd w:val="clear" w:color="auto" w:fill="FF0000"/>
          </w:tcPr>
          <w:p w14:paraId="1A544FA8" w14:textId="5BA48BF1" w:rsidR="5A740515" w:rsidRDefault="5A740515" w:rsidP="5A740515">
            <w:pPr>
              <w:spacing w:line="375" w:lineRule="auto"/>
            </w:pPr>
            <w:r w:rsidRPr="5A740515">
              <w:rPr>
                <w:rFonts w:ascii="system-ui" w:eastAsia="system-ui" w:hAnsi="system-ui" w:cs="system-ui"/>
                <w:b/>
                <w:bCs/>
                <w:color w:val="0F1115"/>
                <w:sz w:val="22"/>
                <w:szCs w:val="22"/>
              </w:rPr>
              <w:t>R</w:t>
            </w:r>
          </w:p>
        </w:tc>
        <w:tc>
          <w:tcPr>
            <w:tcW w:w="1346" w:type="dxa"/>
            <w:shd w:val="clear" w:color="auto" w:fill="00B0F0"/>
          </w:tcPr>
          <w:p w14:paraId="7DE26B66" w14:textId="4DBFC000" w:rsidR="5A740515" w:rsidRDefault="5A740515" w:rsidP="5A740515">
            <w:pPr>
              <w:spacing w:line="375" w:lineRule="auto"/>
            </w:pPr>
            <w:r w:rsidRPr="5A740515">
              <w:rPr>
                <w:rFonts w:ascii="system-ui" w:eastAsia="system-ui" w:hAnsi="system-ui" w:cs="system-ui"/>
                <w:color w:val="0F1115"/>
                <w:sz w:val="22"/>
                <w:szCs w:val="22"/>
              </w:rPr>
              <w:t>C</w:t>
            </w:r>
          </w:p>
        </w:tc>
        <w:tc>
          <w:tcPr>
            <w:tcW w:w="1063" w:type="dxa"/>
            <w:shd w:val="clear" w:color="auto" w:fill="00B0F0"/>
          </w:tcPr>
          <w:p w14:paraId="07887399" w14:textId="558E60BB" w:rsidR="5A740515" w:rsidRDefault="5A740515" w:rsidP="5A740515">
            <w:pPr>
              <w:spacing w:line="375" w:lineRule="auto"/>
            </w:pPr>
            <w:r w:rsidRPr="5A740515">
              <w:rPr>
                <w:rFonts w:ascii="system-ui" w:eastAsia="system-ui" w:hAnsi="system-ui" w:cs="system-ui"/>
                <w:color w:val="0F1115"/>
                <w:sz w:val="22"/>
                <w:szCs w:val="22"/>
              </w:rPr>
              <w:t>C</w:t>
            </w:r>
          </w:p>
        </w:tc>
        <w:tc>
          <w:tcPr>
            <w:tcW w:w="1048" w:type="dxa"/>
            <w:shd w:val="clear" w:color="auto" w:fill="92D050"/>
          </w:tcPr>
          <w:p w14:paraId="71291142" w14:textId="671E1582" w:rsidR="5A740515" w:rsidRDefault="5A740515" w:rsidP="5A740515">
            <w:pPr>
              <w:spacing w:line="375" w:lineRule="auto"/>
            </w:pPr>
            <w:r w:rsidRPr="5A740515">
              <w:rPr>
                <w:rFonts w:ascii="system-ui" w:eastAsia="system-ui" w:hAnsi="system-ui" w:cs="system-ui"/>
                <w:color w:val="0F1115"/>
                <w:sz w:val="22"/>
                <w:szCs w:val="22"/>
              </w:rPr>
              <w:t>I</w:t>
            </w:r>
          </w:p>
        </w:tc>
        <w:tc>
          <w:tcPr>
            <w:tcW w:w="836" w:type="dxa"/>
            <w:shd w:val="clear" w:color="auto" w:fill="FFC000"/>
          </w:tcPr>
          <w:p w14:paraId="64397257" w14:textId="4EC08AF7" w:rsidR="5A740515" w:rsidRDefault="5A740515" w:rsidP="5A740515">
            <w:pPr>
              <w:spacing w:line="375" w:lineRule="auto"/>
            </w:pPr>
            <w:r w:rsidRPr="5A740515">
              <w:rPr>
                <w:rFonts w:ascii="system-ui" w:eastAsia="system-ui" w:hAnsi="system-ui" w:cs="system-ui"/>
                <w:color w:val="0F1115"/>
                <w:sz w:val="22"/>
                <w:szCs w:val="22"/>
              </w:rPr>
              <w:t>A</w:t>
            </w:r>
          </w:p>
        </w:tc>
      </w:tr>
      <w:tr w:rsidR="5A740515" w14:paraId="65E518D2" w14:textId="77777777" w:rsidTr="5A740515">
        <w:trPr>
          <w:trHeight w:val="300"/>
        </w:trPr>
        <w:tc>
          <w:tcPr>
            <w:tcW w:w="2340" w:type="dxa"/>
          </w:tcPr>
          <w:p w14:paraId="4614C004" w14:textId="6F537D7E"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Install &amp; Test In-Hotel Tech</w:t>
            </w:r>
          </w:p>
        </w:tc>
        <w:tc>
          <w:tcPr>
            <w:tcW w:w="1108" w:type="dxa"/>
            <w:shd w:val="clear" w:color="auto" w:fill="00B0F0"/>
          </w:tcPr>
          <w:p w14:paraId="0435392F" w14:textId="50DF61E6" w:rsidR="5A740515" w:rsidRDefault="5A740515" w:rsidP="5A740515">
            <w:pPr>
              <w:spacing w:line="375" w:lineRule="auto"/>
            </w:pPr>
            <w:r w:rsidRPr="5A740515">
              <w:rPr>
                <w:rFonts w:ascii="system-ui" w:eastAsia="system-ui" w:hAnsi="system-ui" w:cs="system-ui"/>
                <w:color w:val="0F1115"/>
                <w:sz w:val="22"/>
                <w:szCs w:val="22"/>
              </w:rPr>
              <w:t>C</w:t>
            </w:r>
          </w:p>
        </w:tc>
        <w:tc>
          <w:tcPr>
            <w:tcW w:w="1275" w:type="dxa"/>
            <w:shd w:val="clear" w:color="auto" w:fill="92D050"/>
          </w:tcPr>
          <w:p w14:paraId="0197DC0A" w14:textId="1C72F908" w:rsidR="5A740515" w:rsidRDefault="5A740515" w:rsidP="5A740515">
            <w:pPr>
              <w:spacing w:line="375" w:lineRule="auto"/>
            </w:pPr>
            <w:r w:rsidRPr="5A740515">
              <w:rPr>
                <w:rFonts w:ascii="system-ui" w:eastAsia="system-ui" w:hAnsi="system-ui" w:cs="system-ui"/>
                <w:color w:val="0F1115"/>
                <w:sz w:val="22"/>
                <w:szCs w:val="22"/>
              </w:rPr>
              <w:t>I</w:t>
            </w:r>
          </w:p>
        </w:tc>
        <w:tc>
          <w:tcPr>
            <w:tcW w:w="1346" w:type="dxa"/>
            <w:shd w:val="clear" w:color="auto" w:fill="FF0000"/>
          </w:tcPr>
          <w:p w14:paraId="1E95D6FC" w14:textId="7D570AC6" w:rsidR="5A740515" w:rsidRDefault="5A740515" w:rsidP="5A740515">
            <w:pPr>
              <w:spacing w:line="375" w:lineRule="auto"/>
            </w:pPr>
            <w:r w:rsidRPr="5A740515">
              <w:rPr>
                <w:rFonts w:ascii="system-ui" w:eastAsia="system-ui" w:hAnsi="system-ui" w:cs="system-ui"/>
                <w:b/>
                <w:bCs/>
                <w:color w:val="0F1115"/>
                <w:sz w:val="22"/>
                <w:szCs w:val="22"/>
              </w:rPr>
              <w:t>R</w:t>
            </w:r>
          </w:p>
        </w:tc>
        <w:tc>
          <w:tcPr>
            <w:tcW w:w="1063" w:type="dxa"/>
            <w:shd w:val="clear" w:color="auto" w:fill="FFC000"/>
          </w:tcPr>
          <w:p w14:paraId="36DAC168" w14:textId="78747E46" w:rsidR="5A740515" w:rsidRDefault="5A740515" w:rsidP="5A740515">
            <w:pPr>
              <w:spacing w:line="375" w:lineRule="auto"/>
            </w:pPr>
            <w:r w:rsidRPr="5A740515">
              <w:rPr>
                <w:rFonts w:ascii="system-ui" w:eastAsia="system-ui" w:hAnsi="system-ui" w:cs="system-ui"/>
                <w:color w:val="0F1115"/>
                <w:sz w:val="22"/>
                <w:szCs w:val="22"/>
              </w:rPr>
              <w:t>A</w:t>
            </w:r>
          </w:p>
        </w:tc>
        <w:tc>
          <w:tcPr>
            <w:tcW w:w="1048" w:type="dxa"/>
            <w:shd w:val="clear" w:color="auto" w:fill="00B0F0"/>
          </w:tcPr>
          <w:p w14:paraId="304B0EFA" w14:textId="7524D53F" w:rsidR="5A740515" w:rsidRDefault="5A740515" w:rsidP="5A740515">
            <w:pPr>
              <w:spacing w:line="375" w:lineRule="auto"/>
            </w:pPr>
            <w:r w:rsidRPr="5A740515">
              <w:rPr>
                <w:rFonts w:ascii="system-ui" w:eastAsia="system-ui" w:hAnsi="system-ui" w:cs="system-ui"/>
                <w:color w:val="0F1115"/>
                <w:sz w:val="22"/>
                <w:szCs w:val="22"/>
              </w:rPr>
              <w:t>C</w:t>
            </w:r>
          </w:p>
        </w:tc>
        <w:tc>
          <w:tcPr>
            <w:tcW w:w="836" w:type="dxa"/>
            <w:shd w:val="clear" w:color="auto" w:fill="92D050"/>
          </w:tcPr>
          <w:p w14:paraId="09DDFBC6" w14:textId="6C3EE6C7" w:rsidR="5A740515" w:rsidRDefault="5A740515" w:rsidP="5A740515">
            <w:pPr>
              <w:spacing w:line="375" w:lineRule="auto"/>
            </w:pPr>
            <w:r w:rsidRPr="5A740515">
              <w:rPr>
                <w:rFonts w:ascii="system-ui" w:eastAsia="system-ui" w:hAnsi="system-ui" w:cs="system-ui"/>
                <w:color w:val="0F1115"/>
                <w:sz w:val="22"/>
                <w:szCs w:val="22"/>
              </w:rPr>
              <w:t>I</w:t>
            </w:r>
          </w:p>
        </w:tc>
      </w:tr>
      <w:tr w:rsidR="5A740515" w14:paraId="08D53CF4" w14:textId="77777777" w:rsidTr="5A740515">
        <w:trPr>
          <w:trHeight w:val="300"/>
        </w:trPr>
        <w:tc>
          <w:tcPr>
            <w:tcW w:w="2340" w:type="dxa"/>
          </w:tcPr>
          <w:p w14:paraId="57F05EEE" w14:textId="7662DE23"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Approve Owner Funding</w:t>
            </w:r>
          </w:p>
        </w:tc>
        <w:tc>
          <w:tcPr>
            <w:tcW w:w="1108" w:type="dxa"/>
            <w:shd w:val="clear" w:color="auto" w:fill="92D050"/>
          </w:tcPr>
          <w:p w14:paraId="69F5B584" w14:textId="78FD54D0" w:rsidR="5A740515" w:rsidRDefault="5A740515" w:rsidP="5A740515">
            <w:pPr>
              <w:spacing w:line="375" w:lineRule="auto"/>
            </w:pPr>
            <w:r w:rsidRPr="5A740515">
              <w:rPr>
                <w:rFonts w:ascii="system-ui" w:eastAsia="system-ui" w:hAnsi="system-ui" w:cs="system-ui"/>
                <w:color w:val="0F1115"/>
                <w:sz w:val="22"/>
                <w:szCs w:val="22"/>
              </w:rPr>
              <w:t>I</w:t>
            </w:r>
          </w:p>
        </w:tc>
        <w:tc>
          <w:tcPr>
            <w:tcW w:w="1275" w:type="dxa"/>
            <w:shd w:val="clear" w:color="auto" w:fill="92D050"/>
          </w:tcPr>
          <w:p w14:paraId="3472A213" w14:textId="106C0E40" w:rsidR="5A740515" w:rsidRDefault="5A740515" w:rsidP="5A740515">
            <w:pPr>
              <w:spacing w:line="375" w:lineRule="auto"/>
            </w:pPr>
            <w:r w:rsidRPr="5A740515">
              <w:rPr>
                <w:rFonts w:ascii="system-ui" w:eastAsia="system-ui" w:hAnsi="system-ui" w:cs="system-ui"/>
                <w:color w:val="0F1115"/>
                <w:sz w:val="22"/>
                <w:szCs w:val="22"/>
              </w:rPr>
              <w:t>I</w:t>
            </w:r>
          </w:p>
        </w:tc>
        <w:tc>
          <w:tcPr>
            <w:tcW w:w="1346" w:type="dxa"/>
            <w:shd w:val="clear" w:color="auto" w:fill="00B0F0"/>
          </w:tcPr>
          <w:p w14:paraId="4C1B31B9" w14:textId="02ED7ECC" w:rsidR="5A740515" w:rsidRDefault="5A740515" w:rsidP="5A740515">
            <w:pPr>
              <w:spacing w:line="375" w:lineRule="auto"/>
            </w:pPr>
            <w:r w:rsidRPr="5A740515">
              <w:rPr>
                <w:rFonts w:ascii="system-ui" w:eastAsia="system-ui" w:hAnsi="system-ui" w:cs="system-ui"/>
                <w:color w:val="0F1115"/>
                <w:sz w:val="22"/>
                <w:szCs w:val="22"/>
              </w:rPr>
              <w:t>C</w:t>
            </w:r>
          </w:p>
        </w:tc>
        <w:tc>
          <w:tcPr>
            <w:tcW w:w="1063" w:type="dxa"/>
            <w:shd w:val="clear" w:color="auto" w:fill="FFC000"/>
          </w:tcPr>
          <w:p w14:paraId="39441EE0" w14:textId="54E1AC02" w:rsidR="5A740515" w:rsidRDefault="5A740515" w:rsidP="5A740515">
            <w:pPr>
              <w:spacing w:line="375" w:lineRule="auto"/>
            </w:pPr>
            <w:r w:rsidRPr="5A740515">
              <w:rPr>
                <w:rFonts w:ascii="system-ui" w:eastAsia="system-ui" w:hAnsi="system-ui" w:cs="system-ui"/>
                <w:b/>
                <w:bCs/>
                <w:color w:val="0F1115"/>
                <w:sz w:val="22"/>
                <w:szCs w:val="22"/>
              </w:rPr>
              <w:t>A</w:t>
            </w:r>
          </w:p>
        </w:tc>
        <w:tc>
          <w:tcPr>
            <w:tcW w:w="1048" w:type="dxa"/>
            <w:shd w:val="clear" w:color="auto" w:fill="92D050"/>
          </w:tcPr>
          <w:p w14:paraId="3E7C6E05" w14:textId="71627FAD" w:rsidR="5A740515" w:rsidRDefault="5A740515" w:rsidP="5A740515">
            <w:pPr>
              <w:spacing w:line="375" w:lineRule="auto"/>
            </w:pPr>
            <w:r w:rsidRPr="5A740515">
              <w:rPr>
                <w:rFonts w:ascii="system-ui" w:eastAsia="system-ui" w:hAnsi="system-ui" w:cs="system-ui"/>
                <w:color w:val="0F1115"/>
                <w:sz w:val="22"/>
                <w:szCs w:val="22"/>
              </w:rPr>
              <w:t>I</w:t>
            </w:r>
          </w:p>
        </w:tc>
        <w:tc>
          <w:tcPr>
            <w:tcW w:w="836" w:type="dxa"/>
            <w:shd w:val="clear" w:color="auto" w:fill="00B0F0"/>
          </w:tcPr>
          <w:p w14:paraId="7410E6BE" w14:textId="6C3605B7" w:rsidR="5A740515" w:rsidRDefault="5A740515" w:rsidP="5A740515">
            <w:pPr>
              <w:spacing w:line="375" w:lineRule="auto"/>
            </w:pPr>
            <w:r w:rsidRPr="5A740515">
              <w:rPr>
                <w:rFonts w:ascii="system-ui" w:eastAsia="system-ui" w:hAnsi="system-ui" w:cs="system-ui"/>
                <w:color w:val="0F1115"/>
                <w:sz w:val="22"/>
                <w:szCs w:val="22"/>
              </w:rPr>
              <w:t>C</w:t>
            </w:r>
          </w:p>
        </w:tc>
      </w:tr>
      <w:tr w:rsidR="5A740515" w14:paraId="4C79D86D" w14:textId="77777777" w:rsidTr="5A740515">
        <w:trPr>
          <w:trHeight w:val="300"/>
        </w:trPr>
        <w:tc>
          <w:tcPr>
            <w:tcW w:w="2340" w:type="dxa"/>
          </w:tcPr>
          <w:p w14:paraId="33CFEE9B" w14:textId="06699208"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Ensure Data Privacy Compliance</w:t>
            </w:r>
          </w:p>
        </w:tc>
        <w:tc>
          <w:tcPr>
            <w:tcW w:w="1108" w:type="dxa"/>
            <w:shd w:val="clear" w:color="auto" w:fill="00B0F0"/>
          </w:tcPr>
          <w:p w14:paraId="4DCA9829" w14:textId="730B6721" w:rsidR="5A740515" w:rsidRDefault="5A740515" w:rsidP="5A740515">
            <w:pPr>
              <w:spacing w:line="375" w:lineRule="auto"/>
            </w:pPr>
            <w:r w:rsidRPr="5A740515">
              <w:rPr>
                <w:rFonts w:ascii="system-ui" w:eastAsia="system-ui" w:hAnsi="system-ui" w:cs="system-ui"/>
                <w:color w:val="0F1115"/>
                <w:sz w:val="22"/>
                <w:szCs w:val="22"/>
              </w:rPr>
              <w:t>C</w:t>
            </w:r>
          </w:p>
        </w:tc>
        <w:tc>
          <w:tcPr>
            <w:tcW w:w="1275" w:type="dxa"/>
            <w:shd w:val="clear" w:color="auto" w:fill="92D050"/>
          </w:tcPr>
          <w:p w14:paraId="3CC90A55" w14:textId="17060EEB" w:rsidR="5A740515" w:rsidRDefault="5A740515" w:rsidP="5A740515">
            <w:pPr>
              <w:spacing w:line="375" w:lineRule="auto"/>
            </w:pPr>
            <w:r w:rsidRPr="5A740515">
              <w:rPr>
                <w:rFonts w:ascii="system-ui" w:eastAsia="system-ui" w:hAnsi="system-ui" w:cs="system-ui"/>
                <w:color w:val="0F1115"/>
                <w:sz w:val="22"/>
                <w:szCs w:val="22"/>
              </w:rPr>
              <w:t>I</w:t>
            </w:r>
          </w:p>
        </w:tc>
        <w:tc>
          <w:tcPr>
            <w:tcW w:w="1346" w:type="dxa"/>
            <w:shd w:val="clear" w:color="auto" w:fill="92D050"/>
          </w:tcPr>
          <w:p w14:paraId="7CF17413" w14:textId="6953B66C" w:rsidR="5A740515" w:rsidRDefault="5A740515" w:rsidP="5A740515">
            <w:pPr>
              <w:spacing w:line="375" w:lineRule="auto"/>
            </w:pPr>
            <w:r w:rsidRPr="5A740515">
              <w:rPr>
                <w:rFonts w:ascii="system-ui" w:eastAsia="system-ui" w:hAnsi="system-ui" w:cs="system-ui"/>
                <w:color w:val="0F1115"/>
                <w:sz w:val="22"/>
                <w:szCs w:val="22"/>
              </w:rPr>
              <w:t>I</w:t>
            </w:r>
          </w:p>
        </w:tc>
        <w:tc>
          <w:tcPr>
            <w:tcW w:w="1063" w:type="dxa"/>
            <w:shd w:val="clear" w:color="auto" w:fill="92D050"/>
          </w:tcPr>
          <w:p w14:paraId="7976263C" w14:textId="3944EB82" w:rsidR="5A740515" w:rsidRDefault="5A740515" w:rsidP="5A740515">
            <w:pPr>
              <w:spacing w:line="375" w:lineRule="auto"/>
            </w:pPr>
            <w:r w:rsidRPr="5A740515">
              <w:rPr>
                <w:rFonts w:ascii="system-ui" w:eastAsia="system-ui" w:hAnsi="system-ui" w:cs="system-ui"/>
                <w:color w:val="0F1115"/>
                <w:sz w:val="22"/>
                <w:szCs w:val="22"/>
              </w:rPr>
              <w:t>I</w:t>
            </w:r>
          </w:p>
        </w:tc>
        <w:tc>
          <w:tcPr>
            <w:tcW w:w="1048" w:type="dxa"/>
            <w:shd w:val="clear" w:color="auto" w:fill="FF0000"/>
          </w:tcPr>
          <w:p w14:paraId="45CEDEB8" w14:textId="37194B89" w:rsidR="5A740515" w:rsidRDefault="5A740515" w:rsidP="5A740515">
            <w:pPr>
              <w:spacing w:line="375" w:lineRule="auto"/>
            </w:pPr>
            <w:r w:rsidRPr="5A740515">
              <w:rPr>
                <w:rFonts w:ascii="system-ui" w:eastAsia="system-ui" w:hAnsi="system-ui" w:cs="system-ui"/>
                <w:b/>
                <w:bCs/>
                <w:color w:val="0F1115"/>
                <w:sz w:val="22"/>
                <w:szCs w:val="22"/>
              </w:rPr>
              <w:t>R</w:t>
            </w:r>
          </w:p>
        </w:tc>
        <w:tc>
          <w:tcPr>
            <w:tcW w:w="836" w:type="dxa"/>
            <w:shd w:val="clear" w:color="auto" w:fill="FFC000"/>
          </w:tcPr>
          <w:p w14:paraId="39B4CC45" w14:textId="4B36C720" w:rsidR="5A740515" w:rsidRDefault="5A740515" w:rsidP="5A740515">
            <w:pPr>
              <w:spacing w:line="375" w:lineRule="auto"/>
            </w:pPr>
            <w:r w:rsidRPr="5A740515">
              <w:rPr>
                <w:rFonts w:ascii="system-ui" w:eastAsia="system-ui" w:hAnsi="system-ui" w:cs="system-ui"/>
                <w:color w:val="0F1115"/>
                <w:sz w:val="22"/>
                <w:szCs w:val="22"/>
              </w:rPr>
              <w:t>A</w:t>
            </w:r>
          </w:p>
        </w:tc>
      </w:tr>
      <w:tr w:rsidR="5A740515" w14:paraId="666E434E" w14:textId="77777777" w:rsidTr="5A740515">
        <w:trPr>
          <w:trHeight w:val="300"/>
        </w:trPr>
        <w:tc>
          <w:tcPr>
            <w:tcW w:w="2340" w:type="dxa"/>
          </w:tcPr>
          <w:p w14:paraId="386A1FF8" w14:textId="63B48C9F" w:rsidR="4368B455" w:rsidRDefault="4368B455" w:rsidP="5A740515">
            <w:pPr>
              <w:rPr>
                <w:rFonts w:ascii="Arial" w:eastAsia="Arial" w:hAnsi="Arial" w:cs="Arial"/>
                <w:sz w:val="22"/>
                <w:szCs w:val="22"/>
              </w:rPr>
            </w:pPr>
            <w:r w:rsidRPr="5A740515">
              <w:rPr>
                <w:rFonts w:ascii="Arial" w:eastAsia="Arial" w:hAnsi="Arial" w:cs="Arial"/>
                <w:color w:val="0F1115"/>
                <w:sz w:val="22"/>
                <w:szCs w:val="22"/>
              </w:rPr>
              <w:t>Train Hotel Staff</w:t>
            </w:r>
          </w:p>
        </w:tc>
        <w:tc>
          <w:tcPr>
            <w:tcW w:w="1108" w:type="dxa"/>
            <w:shd w:val="clear" w:color="auto" w:fill="92D050"/>
          </w:tcPr>
          <w:p w14:paraId="6F67AF41" w14:textId="09D4B86C" w:rsidR="5A740515" w:rsidRDefault="5A740515" w:rsidP="5A740515">
            <w:pPr>
              <w:spacing w:line="375" w:lineRule="auto"/>
            </w:pPr>
            <w:r w:rsidRPr="5A740515">
              <w:rPr>
                <w:rFonts w:ascii="system-ui" w:eastAsia="system-ui" w:hAnsi="system-ui" w:cs="system-ui"/>
                <w:color w:val="0F1115"/>
                <w:sz w:val="22"/>
                <w:szCs w:val="22"/>
              </w:rPr>
              <w:t>I</w:t>
            </w:r>
          </w:p>
        </w:tc>
        <w:tc>
          <w:tcPr>
            <w:tcW w:w="1275" w:type="dxa"/>
            <w:shd w:val="clear" w:color="auto" w:fill="00B0F0"/>
          </w:tcPr>
          <w:p w14:paraId="18902A60" w14:textId="3B5EB672" w:rsidR="5A740515" w:rsidRDefault="5A740515" w:rsidP="5A740515">
            <w:pPr>
              <w:spacing w:line="375" w:lineRule="auto"/>
            </w:pPr>
            <w:r w:rsidRPr="5A740515">
              <w:rPr>
                <w:rFonts w:ascii="system-ui" w:eastAsia="system-ui" w:hAnsi="system-ui" w:cs="system-ui"/>
                <w:color w:val="0F1115"/>
                <w:sz w:val="22"/>
                <w:szCs w:val="22"/>
              </w:rPr>
              <w:t>C</w:t>
            </w:r>
          </w:p>
        </w:tc>
        <w:tc>
          <w:tcPr>
            <w:tcW w:w="1346" w:type="dxa"/>
            <w:shd w:val="clear" w:color="auto" w:fill="FF0000"/>
          </w:tcPr>
          <w:p w14:paraId="0FCF8407" w14:textId="52734F00" w:rsidR="5A740515" w:rsidRDefault="5A740515" w:rsidP="5A740515">
            <w:pPr>
              <w:spacing w:line="375" w:lineRule="auto"/>
            </w:pPr>
            <w:r w:rsidRPr="5A740515">
              <w:rPr>
                <w:rFonts w:ascii="system-ui" w:eastAsia="system-ui" w:hAnsi="system-ui" w:cs="system-ui"/>
                <w:b/>
                <w:bCs/>
                <w:color w:val="0F1115"/>
                <w:sz w:val="22"/>
                <w:szCs w:val="22"/>
              </w:rPr>
              <w:t>R</w:t>
            </w:r>
          </w:p>
        </w:tc>
        <w:tc>
          <w:tcPr>
            <w:tcW w:w="1063" w:type="dxa"/>
            <w:shd w:val="clear" w:color="auto" w:fill="92D050"/>
          </w:tcPr>
          <w:p w14:paraId="19D12A5C" w14:textId="41256E50" w:rsidR="5A740515" w:rsidRDefault="5A740515" w:rsidP="5A740515">
            <w:pPr>
              <w:spacing w:line="375" w:lineRule="auto"/>
            </w:pPr>
            <w:r w:rsidRPr="5A740515">
              <w:rPr>
                <w:rFonts w:ascii="system-ui" w:eastAsia="system-ui" w:hAnsi="system-ui" w:cs="system-ui"/>
                <w:color w:val="0F1115"/>
                <w:sz w:val="22"/>
                <w:szCs w:val="22"/>
              </w:rPr>
              <w:t>I</w:t>
            </w:r>
          </w:p>
        </w:tc>
        <w:tc>
          <w:tcPr>
            <w:tcW w:w="1048" w:type="dxa"/>
          </w:tcPr>
          <w:p w14:paraId="4F2C51C1" w14:textId="0B379A7B" w:rsidR="5A740515" w:rsidRDefault="5A740515" w:rsidP="5A740515">
            <w:pPr>
              <w:spacing w:line="375" w:lineRule="auto"/>
            </w:pPr>
            <w:r w:rsidRPr="5A740515">
              <w:rPr>
                <w:rFonts w:ascii="system-ui" w:eastAsia="system-ui" w:hAnsi="system-ui" w:cs="system-ui"/>
                <w:color w:val="0F1115"/>
                <w:sz w:val="22"/>
                <w:szCs w:val="22"/>
              </w:rPr>
              <w:t>-</w:t>
            </w:r>
          </w:p>
        </w:tc>
        <w:tc>
          <w:tcPr>
            <w:tcW w:w="836" w:type="dxa"/>
            <w:shd w:val="clear" w:color="auto" w:fill="92D050"/>
          </w:tcPr>
          <w:p w14:paraId="1C3F2180" w14:textId="248994AD" w:rsidR="5A740515" w:rsidRDefault="5A740515" w:rsidP="5A740515">
            <w:pPr>
              <w:spacing w:line="375" w:lineRule="auto"/>
            </w:pPr>
            <w:r w:rsidRPr="5A740515">
              <w:rPr>
                <w:rFonts w:ascii="system-ui" w:eastAsia="system-ui" w:hAnsi="system-ui" w:cs="system-ui"/>
                <w:color w:val="0F1115"/>
                <w:sz w:val="22"/>
                <w:szCs w:val="22"/>
              </w:rPr>
              <w:t>I</w:t>
            </w:r>
          </w:p>
        </w:tc>
      </w:tr>
    </w:tbl>
    <w:p w14:paraId="4C453C41" w14:textId="3DE6794E" w:rsidR="5A740515" w:rsidRDefault="5A740515" w:rsidP="5A740515">
      <w:pPr>
        <w:shd w:val="clear" w:color="auto" w:fill="FFFFFF" w:themeFill="background1"/>
        <w:spacing w:before="240" w:after="240" w:line="360" w:lineRule="auto"/>
        <w:jc w:val="both"/>
        <w:rPr>
          <w:rFonts w:ascii="Arial" w:eastAsia="Arial" w:hAnsi="Arial" w:cs="Arial"/>
          <w:color w:val="0F1115"/>
          <w:sz w:val="22"/>
          <w:szCs w:val="22"/>
        </w:rPr>
      </w:pPr>
    </w:p>
    <w:tbl>
      <w:tblPr>
        <w:tblStyle w:val="TableGrid"/>
        <w:tblW w:w="0" w:type="auto"/>
        <w:tblLook w:val="06A0" w:firstRow="1" w:lastRow="0" w:firstColumn="1" w:lastColumn="0" w:noHBand="1" w:noVBand="1"/>
      </w:tblPr>
      <w:tblGrid>
        <w:gridCol w:w="4508"/>
        <w:gridCol w:w="4508"/>
      </w:tblGrid>
      <w:tr w:rsidR="5A740515" w14:paraId="214169D3" w14:textId="77777777" w:rsidTr="5A740515">
        <w:trPr>
          <w:trHeight w:val="300"/>
        </w:trPr>
        <w:tc>
          <w:tcPr>
            <w:tcW w:w="4508" w:type="dxa"/>
          </w:tcPr>
          <w:p w14:paraId="6628A11D" w14:textId="7E6DC23A" w:rsidR="4B03C2A8" w:rsidRDefault="4B03C2A8" w:rsidP="5A740515">
            <w:pPr>
              <w:rPr>
                <w:rFonts w:ascii="Arial" w:eastAsia="Arial" w:hAnsi="Arial" w:cs="Arial"/>
                <w:color w:val="0F1115"/>
                <w:sz w:val="22"/>
                <w:szCs w:val="22"/>
              </w:rPr>
            </w:pPr>
            <w:r w:rsidRPr="5A740515">
              <w:rPr>
                <w:rFonts w:ascii="Arial" w:eastAsia="Arial" w:hAnsi="Arial" w:cs="Arial"/>
                <w:color w:val="0F1115"/>
                <w:sz w:val="22"/>
                <w:szCs w:val="22"/>
              </w:rPr>
              <w:t>RESPONSIBLE</w:t>
            </w:r>
          </w:p>
        </w:tc>
        <w:tc>
          <w:tcPr>
            <w:tcW w:w="4508" w:type="dxa"/>
            <w:shd w:val="clear" w:color="auto" w:fill="FF0000"/>
          </w:tcPr>
          <w:p w14:paraId="14F5BB4C" w14:textId="7F49F630" w:rsidR="5A740515" w:rsidRDefault="5A740515" w:rsidP="5A740515">
            <w:pPr>
              <w:rPr>
                <w:rFonts w:ascii="Arial" w:eastAsia="Arial" w:hAnsi="Arial" w:cs="Arial"/>
                <w:color w:val="0F1115"/>
                <w:sz w:val="22"/>
                <w:szCs w:val="22"/>
              </w:rPr>
            </w:pPr>
          </w:p>
        </w:tc>
      </w:tr>
      <w:tr w:rsidR="5A740515" w14:paraId="3B6394B8" w14:textId="77777777" w:rsidTr="5A740515">
        <w:trPr>
          <w:trHeight w:val="300"/>
        </w:trPr>
        <w:tc>
          <w:tcPr>
            <w:tcW w:w="4508" w:type="dxa"/>
          </w:tcPr>
          <w:p w14:paraId="5BD862EF" w14:textId="54606967" w:rsidR="4B03C2A8" w:rsidRDefault="4B03C2A8" w:rsidP="5A740515">
            <w:pPr>
              <w:rPr>
                <w:rFonts w:ascii="Arial" w:eastAsia="Arial" w:hAnsi="Arial" w:cs="Arial"/>
                <w:color w:val="0F1115"/>
                <w:sz w:val="22"/>
                <w:szCs w:val="22"/>
              </w:rPr>
            </w:pPr>
            <w:r w:rsidRPr="5A740515">
              <w:rPr>
                <w:rFonts w:ascii="Arial" w:eastAsia="Arial" w:hAnsi="Arial" w:cs="Arial"/>
                <w:color w:val="0F1115"/>
                <w:sz w:val="22"/>
                <w:szCs w:val="22"/>
              </w:rPr>
              <w:t>ACCOUNTABLE</w:t>
            </w:r>
          </w:p>
        </w:tc>
        <w:tc>
          <w:tcPr>
            <w:tcW w:w="4508" w:type="dxa"/>
            <w:shd w:val="clear" w:color="auto" w:fill="FFC000"/>
          </w:tcPr>
          <w:p w14:paraId="50140B4E" w14:textId="7F49F630" w:rsidR="5A740515" w:rsidRDefault="5A740515" w:rsidP="5A740515">
            <w:pPr>
              <w:rPr>
                <w:rFonts w:ascii="Arial" w:eastAsia="Arial" w:hAnsi="Arial" w:cs="Arial"/>
                <w:color w:val="0F1115"/>
                <w:sz w:val="22"/>
                <w:szCs w:val="22"/>
              </w:rPr>
            </w:pPr>
          </w:p>
        </w:tc>
      </w:tr>
      <w:tr w:rsidR="5A740515" w14:paraId="488FD9B1" w14:textId="77777777" w:rsidTr="5A740515">
        <w:trPr>
          <w:trHeight w:val="300"/>
        </w:trPr>
        <w:tc>
          <w:tcPr>
            <w:tcW w:w="4508" w:type="dxa"/>
          </w:tcPr>
          <w:p w14:paraId="7C2896F0" w14:textId="560A2F4E" w:rsidR="4B03C2A8" w:rsidRDefault="4B03C2A8" w:rsidP="5A740515">
            <w:pPr>
              <w:rPr>
                <w:rFonts w:ascii="Arial" w:eastAsia="Arial" w:hAnsi="Arial" w:cs="Arial"/>
                <w:color w:val="0F1115"/>
                <w:sz w:val="22"/>
                <w:szCs w:val="22"/>
              </w:rPr>
            </w:pPr>
            <w:r w:rsidRPr="5A740515">
              <w:rPr>
                <w:rFonts w:ascii="Arial" w:eastAsia="Arial" w:hAnsi="Arial" w:cs="Arial"/>
                <w:color w:val="0F1115"/>
                <w:sz w:val="22"/>
                <w:szCs w:val="22"/>
              </w:rPr>
              <w:t>INFORMED</w:t>
            </w:r>
          </w:p>
        </w:tc>
        <w:tc>
          <w:tcPr>
            <w:tcW w:w="4508" w:type="dxa"/>
            <w:shd w:val="clear" w:color="auto" w:fill="92D050"/>
          </w:tcPr>
          <w:p w14:paraId="11FDC0D4" w14:textId="7F49F630" w:rsidR="5A740515" w:rsidRDefault="5A740515" w:rsidP="5A740515">
            <w:pPr>
              <w:rPr>
                <w:rFonts w:ascii="Arial" w:eastAsia="Arial" w:hAnsi="Arial" w:cs="Arial"/>
                <w:color w:val="0F1115"/>
                <w:sz w:val="22"/>
                <w:szCs w:val="22"/>
              </w:rPr>
            </w:pPr>
          </w:p>
        </w:tc>
      </w:tr>
      <w:tr w:rsidR="5A740515" w14:paraId="3D8B0759" w14:textId="77777777" w:rsidTr="5A740515">
        <w:trPr>
          <w:trHeight w:val="300"/>
        </w:trPr>
        <w:tc>
          <w:tcPr>
            <w:tcW w:w="4508" w:type="dxa"/>
          </w:tcPr>
          <w:p w14:paraId="3ACD3AC6" w14:textId="65E368CA" w:rsidR="4B03C2A8" w:rsidRDefault="4B03C2A8" w:rsidP="5A740515">
            <w:pPr>
              <w:rPr>
                <w:rFonts w:ascii="Arial" w:eastAsia="Arial" w:hAnsi="Arial" w:cs="Arial"/>
                <w:color w:val="0F1115"/>
                <w:sz w:val="22"/>
                <w:szCs w:val="22"/>
              </w:rPr>
            </w:pPr>
            <w:r w:rsidRPr="5A740515">
              <w:rPr>
                <w:rFonts w:ascii="Arial" w:eastAsia="Arial" w:hAnsi="Arial" w:cs="Arial"/>
                <w:color w:val="0F1115"/>
                <w:sz w:val="22"/>
                <w:szCs w:val="22"/>
              </w:rPr>
              <w:t>CONSULTED</w:t>
            </w:r>
          </w:p>
        </w:tc>
        <w:tc>
          <w:tcPr>
            <w:tcW w:w="4508" w:type="dxa"/>
            <w:shd w:val="clear" w:color="auto" w:fill="00B0F0"/>
          </w:tcPr>
          <w:p w14:paraId="269535FE" w14:textId="7F49F630" w:rsidR="5A740515" w:rsidRDefault="5A740515" w:rsidP="5A740515">
            <w:pPr>
              <w:rPr>
                <w:rFonts w:ascii="Arial" w:eastAsia="Arial" w:hAnsi="Arial" w:cs="Arial"/>
                <w:color w:val="0F1115"/>
                <w:sz w:val="22"/>
                <w:szCs w:val="22"/>
              </w:rPr>
            </w:pPr>
          </w:p>
        </w:tc>
      </w:tr>
    </w:tbl>
    <w:p w14:paraId="527B16BF" w14:textId="087765E9" w:rsidR="5A740515" w:rsidRDefault="5A740515" w:rsidP="5A740515">
      <w:pPr>
        <w:shd w:val="clear" w:color="auto" w:fill="FFFFFF" w:themeFill="background1"/>
        <w:spacing w:before="240" w:after="240" w:line="360" w:lineRule="auto"/>
        <w:jc w:val="both"/>
        <w:rPr>
          <w:rFonts w:ascii="Arial" w:eastAsia="Arial" w:hAnsi="Arial" w:cs="Arial"/>
          <w:color w:val="0F1115"/>
          <w:sz w:val="22"/>
          <w:szCs w:val="22"/>
        </w:rPr>
      </w:pPr>
    </w:p>
    <w:p w14:paraId="13A77DA0" w14:textId="3BD75BCB" w:rsidR="59FEDB46" w:rsidRDefault="604641C7" w:rsidP="2A4916C0">
      <w:pPr>
        <w:pStyle w:val="Heading4"/>
        <w:shd w:val="clear" w:color="auto" w:fill="FFFFFF" w:themeFill="background1"/>
        <w:spacing w:before="240" w:after="240" w:line="360" w:lineRule="auto"/>
        <w:jc w:val="both"/>
        <w:rPr>
          <w:rFonts w:ascii="Arial" w:eastAsia="Arial" w:hAnsi="Arial" w:cs="Arial"/>
          <w:b/>
          <w:bCs/>
          <w:i w:val="0"/>
          <w:iCs w:val="0"/>
          <w:color w:val="0F1115"/>
        </w:rPr>
      </w:pPr>
      <w:bookmarkStart w:id="9" w:name="_Toc92312139"/>
      <w:r w:rsidRPr="2A4916C0">
        <w:rPr>
          <w:rFonts w:ascii="Arial" w:eastAsia="Arial" w:hAnsi="Arial" w:cs="Arial"/>
          <w:b/>
          <w:bCs/>
          <w:i w:val="0"/>
          <w:iCs w:val="0"/>
          <w:color w:val="0F1115"/>
        </w:rPr>
        <w:t>Stakeholder Power/Interest Grid</w:t>
      </w:r>
      <w:bookmarkEnd w:id="9"/>
    </w:p>
    <w:p w14:paraId="6510AC7D" w14:textId="5E381092" w:rsidR="59FEDB46" w:rsidRDefault="59FEDB46" w:rsidP="5A740515">
      <w:pPr>
        <w:shd w:val="clear" w:color="auto" w:fill="FFFFFF" w:themeFill="background1"/>
        <w:spacing w:before="240" w:after="240" w:line="360" w:lineRule="auto"/>
        <w:jc w:val="both"/>
        <w:rPr>
          <w:rFonts w:ascii="Arial" w:eastAsia="Arial" w:hAnsi="Arial" w:cs="Arial"/>
          <w:color w:val="0F1115"/>
        </w:rPr>
      </w:pPr>
      <w:r w:rsidRPr="5A740515">
        <w:rPr>
          <w:rFonts w:ascii="Arial" w:eastAsia="Arial" w:hAnsi="Arial" w:cs="Arial"/>
          <w:color w:val="0F1115"/>
        </w:rPr>
        <w:t>Based on the model used in project management (Eden and Ackermann, 2013), this grid helps prioritise engagement.</w:t>
      </w:r>
    </w:p>
    <w:p w14:paraId="2BDBD2AD" w14:textId="2C34B069" w:rsidR="59FEDB46" w:rsidRDefault="59FEDB46" w:rsidP="5A740515">
      <w:pPr>
        <w:pStyle w:val="ListParagraph"/>
        <w:numPr>
          <w:ilvl w:val="0"/>
          <w:numId w:val="10"/>
        </w:numPr>
        <w:shd w:val="clear" w:color="auto" w:fill="FFFFFF" w:themeFill="background1"/>
        <w:spacing w:before="240" w:after="240" w:line="360" w:lineRule="auto"/>
        <w:jc w:val="both"/>
        <w:rPr>
          <w:rFonts w:ascii="Arial" w:eastAsia="Arial" w:hAnsi="Arial" w:cs="Arial"/>
          <w:color w:val="0F1115"/>
        </w:rPr>
      </w:pPr>
      <w:r w:rsidRPr="5A740515">
        <w:rPr>
          <w:rFonts w:ascii="Arial" w:eastAsia="Arial" w:hAnsi="Arial" w:cs="Arial"/>
          <w:b/>
          <w:bCs/>
          <w:color w:val="0F1115"/>
        </w:rPr>
        <w:t>High Power, High Interest (Manage Closely):</w:t>
      </w:r>
      <w:r w:rsidRPr="5A740515">
        <w:rPr>
          <w:rFonts w:ascii="Arial" w:eastAsia="Arial" w:hAnsi="Arial" w:cs="Arial"/>
          <w:color w:val="0F1115"/>
        </w:rPr>
        <w:t xml:space="preserve"> IHG Executive Team, Hotel Owners/Franchisees. Their buy-in is non-negotiable for funding and rollout.</w:t>
      </w:r>
    </w:p>
    <w:p w14:paraId="466996CD" w14:textId="68F2A027" w:rsidR="59FEDB46" w:rsidRDefault="59FEDB46" w:rsidP="5A740515">
      <w:pPr>
        <w:pStyle w:val="ListParagraph"/>
        <w:numPr>
          <w:ilvl w:val="0"/>
          <w:numId w:val="10"/>
        </w:numPr>
        <w:shd w:val="clear" w:color="auto" w:fill="FFFFFF" w:themeFill="background1"/>
        <w:spacing w:before="240" w:after="240" w:line="360" w:lineRule="auto"/>
        <w:jc w:val="both"/>
        <w:rPr>
          <w:rFonts w:ascii="Arial" w:eastAsia="Arial" w:hAnsi="Arial" w:cs="Arial"/>
          <w:color w:val="0F1115"/>
        </w:rPr>
      </w:pPr>
      <w:r w:rsidRPr="5A740515">
        <w:rPr>
          <w:rFonts w:ascii="Arial" w:eastAsia="Arial" w:hAnsi="Arial" w:cs="Arial"/>
          <w:b/>
          <w:bCs/>
          <w:color w:val="0F1115"/>
        </w:rPr>
        <w:t>High Power, Low Interest (Keep Satisfied):</w:t>
      </w:r>
      <w:r w:rsidRPr="5A740515">
        <w:rPr>
          <w:rFonts w:ascii="Arial" w:eastAsia="Arial" w:hAnsi="Arial" w:cs="Arial"/>
          <w:color w:val="0F1115"/>
        </w:rPr>
        <w:t xml:space="preserve"> Regulatory Bodies, Major Technology Partners. They require compliance and contractual updates but not daily communication.</w:t>
      </w:r>
    </w:p>
    <w:p w14:paraId="08198E23" w14:textId="39A59436" w:rsidR="59FEDB46" w:rsidRDefault="59FEDB46" w:rsidP="5A740515">
      <w:pPr>
        <w:pStyle w:val="ListParagraph"/>
        <w:numPr>
          <w:ilvl w:val="0"/>
          <w:numId w:val="10"/>
        </w:numPr>
        <w:shd w:val="clear" w:color="auto" w:fill="FFFFFF" w:themeFill="background1"/>
        <w:spacing w:before="240" w:after="240" w:line="360" w:lineRule="auto"/>
        <w:jc w:val="both"/>
        <w:rPr>
          <w:rFonts w:ascii="Arial" w:eastAsia="Arial" w:hAnsi="Arial" w:cs="Arial"/>
          <w:color w:val="0F1115"/>
        </w:rPr>
      </w:pPr>
      <w:r w:rsidRPr="5A740515">
        <w:rPr>
          <w:rFonts w:ascii="Arial" w:eastAsia="Arial" w:hAnsi="Arial" w:cs="Arial"/>
          <w:b/>
          <w:bCs/>
          <w:color w:val="0F1115"/>
        </w:rPr>
        <w:t>Low Power, High Interest (Keep Informed):</w:t>
      </w:r>
      <w:r w:rsidRPr="5A740515">
        <w:rPr>
          <w:rFonts w:ascii="Arial" w:eastAsia="Arial" w:hAnsi="Arial" w:cs="Arial"/>
          <w:color w:val="0F1115"/>
        </w:rPr>
        <w:t xml:space="preserve"> Hotel GMs and Operations Staff, Guests, Local Communities. Their feedback is vital for iteration, and their satisfaction determines success.</w:t>
      </w:r>
    </w:p>
    <w:p w14:paraId="6757523B" w14:textId="6E9BB5EF" w:rsidR="59FEDB46" w:rsidRDefault="604641C7" w:rsidP="5A740515">
      <w:pPr>
        <w:pStyle w:val="ListParagraph"/>
        <w:numPr>
          <w:ilvl w:val="0"/>
          <w:numId w:val="10"/>
        </w:numPr>
        <w:shd w:val="clear" w:color="auto" w:fill="FFFFFF" w:themeFill="background1"/>
        <w:spacing w:before="240" w:after="240" w:line="360" w:lineRule="auto"/>
        <w:jc w:val="both"/>
        <w:rPr>
          <w:rFonts w:ascii="Arial" w:eastAsia="Arial" w:hAnsi="Arial" w:cs="Arial"/>
          <w:color w:val="0F1115"/>
        </w:rPr>
      </w:pPr>
      <w:r w:rsidRPr="2A4916C0">
        <w:rPr>
          <w:rFonts w:ascii="Arial" w:eastAsia="Arial" w:hAnsi="Arial" w:cs="Arial"/>
          <w:b/>
          <w:bCs/>
          <w:color w:val="0F1115"/>
        </w:rPr>
        <w:t>Low Power, Low Interest (Monitor):</w:t>
      </w:r>
      <w:r w:rsidRPr="2A4916C0">
        <w:rPr>
          <w:rFonts w:ascii="Arial" w:eastAsia="Arial" w:hAnsi="Arial" w:cs="Arial"/>
          <w:color w:val="0F1115"/>
        </w:rPr>
        <w:t xml:space="preserve"> General suppliers, secondary competitors. Minimal engagement is required.</w:t>
      </w:r>
    </w:p>
    <w:p w14:paraId="2AD1B9ED" w14:textId="5D171CA7" w:rsidR="5678B48C" w:rsidRDefault="5678B48C" w:rsidP="2A4916C0">
      <w:pPr>
        <w:shd w:val="clear" w:color="auto" w:fill="FFFFFF" w:themeFill="background1"/>
        <w:spacing w:before="240" w:after="240" w:line="360" w:lineRule="auto"/>
        <w:jc w:val="both"/>
        <w:rPr>
          <w:rFonts w:ascii="Arial" w:eastAsia="Arial" w:hAnsi="Arial" w:cs="Arial"/>
          <w:color w:val="0F1115"/>
        </w:rPr>
      </w:pPr>
      <w:r w:rsidRPr="2A4916C0">
        <w:rPr>
          <w:rFonts w:ascii="Arial" w:eastAsia="Arial" w:hAnsi="Arial" w:cs="Arial"/>
          <w:color w:val="0F1115"/>
        </w:rPr>
        <w:t>Figure 2 show</w:t>
      </w:r>
      <w:r w:rsidR="00E96753" w:rsidRPr="2A4916C0">
        <w:rPr>
          <w:rFonts w:ascii="Arial" w:eastAsia="Arial" w:hAnsi="Arial" w:cs="Arial"/>
          <w:color w:val="0F1115"/>
        </w:rPr>
        <w:t>s</w:t>
      </w:r>
      <w:r w:rsidRPr="2A4916C0">
        <w:rPr>
          <w:rFonts w:ascii="Arial" w:eastAsia="Arial" w:hAnsi="Arial" w:cs="Arial"/>
          <w:color w:val="0F1115"/>
        </w:rPr>
        <w:t xml:space="preserve"> a graphic of </w:t>
      </w:r>
      <w:r w:rsidR="6EC152E5" w:rsidRPr="2A4916C0">
        <w:rPr>
          <w:rFonts w:ascii="Arial" w:eastAsia="Arial" w:hAnsi="Arial" w:cs="Arial"/>
          <w:color w:val="0F1115"/>
        </w:rPr>
        <w:t>stakeholder power and interest.</w:t>
      </w:r>
    </w:p>
    <w:p w14:paraId="6C30CFC9" w14:textId="452A93FA" w:rsidR="2A4916C0" w:rsidRDefault="2A4916C0" w:rsidP="2A4916C0">
      <w:pPr>
        <w:shd w:val="clear" w:color="auto" w:fill="FFFFFF" w:themeFill="background1"/>
        <w:spacing w:before="240" w:after="240" w:line="360" w:lineRule="auto"/>
        <w:jc w:val="both"/>
        <w:rPr>
          <w:rFonts w:ascii="Arial" w:eastAsia="Arial" w:hAnsi="Arial" w:cs="Arial"/>
          <w:color w:val="0F1115"/>
        </w:rPr>
      </w:pPr>
    </w:p>
    <w:p w14:paraId="2DAD84F8" w14:textId="13088E56" w:rsidR="5678B48C" w:rsidRDefault="5678B48C" w:rsidP="2A4916C0">
      <w:pPr>
        <w:shd w:val="clear" w:color="auto" w:fill="FFFFFF" w:themeFill="background1"/>
        <w:spacing w:before="240" w:after="240" w:line="360" w:lineRule="auto"/>
        <w:jc w:val="both"/>
        <w:rPr>
          <w:rFonts w:ascii="Arial" w:eastAsia="Arial" w:hAnsi="Arial" w:cs="Arial"/>
          <w:color w:val="0F1115"/>
        </w:rPr>
      </w:pPr>
      <w:r w:rsidRPr="2A4916C0">
        <w:rPr>
          <w:rFonts w:ascii="Arial" w:eastAsia="Arial" w:hAnsi="Arial" w:cs="Arial"/>
          <w:color w:val="0F1115"/>
        </w:rPr>
        <w:lastRenderedPageBreak/>
        <w:t>Fig. 2</w:t>
      </w:r>
    </w:p>
    <w:p w14:paraId="48452988" w14:textId="1EF2491A" w:rsidR="25C5503C" w:rsidRDefault="25C5503C" w:rsidP="5A740515">
      <w:pPr>
        <w:pStyle w:val="ListParagraph"/>
        <w:shd w:val="clear" w:color="auto" w:fill="FFFFFF" w:themeFill="background1"/>
        <w:spacing w:before="240" w:after="240" w:line="360" w:lineRule="auto"/>
        <w:jc w:val="both"/>
      </w:pPr>
      <w:r>
        <w:rPr>
          <w:noProof/>
        </w:rPr>
        <w:drawing>
          <wp:inline distT="0" distB="0" distL="0" distR="0" wp14:anchorId="4BAF8A1D" wp14:editId="699845E7">
            <wp:extent cx="5067300" cy="2766377"/>
            <wp:effectExtent l="0" t="0" r="0" b="0"/>
            <wp:docPr id="18454250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25055" name="Picture 1845425055"/>
                    <pic:cNvPicPr/>
                  </pic:nvPicPr>
                  <pic:blipFill>
                    <a:blip r:embed="rId8">
                      <a:extLst>
                        <a:ext uri="{28A0092B-C50C-407E-A947-70E740481C1C}">
                          <a14:useLocalDpi xmlns:a14="http://schemas.microsoft.com/office/drawing/2010/main"/>
                        </a:ext>
                      </a:extLst>
                    </a:blip>
                    <a:stretch>
                      <a:fillRect/>
                    </a:stretch>
                  </pic:blipFill>
                  <pic:spPr>
                    <a:xfrm>
                      <a:off x="0" y="0"/>
                      <a:ext cx="5067300" cy="2766377"/>
                    </a:xfrm>
                    <a:prstGeom prst="rect">
                      <a:avLst/>
                    </a:prstGeom>
                  </pic:spPr>
                </pic:pic>
              </a:graphicData>
            </a:graphic>
          </wp:inline>
        </w:drawing>
      </w:r>
    </w:p>
    <w:p w14:paraId="6F512ABC" w14:textId="6C89FFD9" w:rsidR="102D47FC" w:rsidRDefault="32B7FD1A" w:rsidP="2A4916C0">
      <w:pPr>
        <w:pStyle w:val="Heading4"/>
        <w:shd w:val="clear" w:color="auto" w:fill="FFFFFF" w:themeFill="background1"/>
        <w:spacing w:before="240" w:after="240" w:line="420" w:lineRule="auto"/>
        <w:rPr>
          <w:rFonts w:ascii="system-ui" w:eastAsia="system-ui" w:hAnsi="system-ui" w:cs="system-ui"/>
          <w:b/>
          <w:bCs/>
          <w:i w:val="0"/>
          <w:iCs w:val="0"/>
          <w:color w:val="0F1115"/>
        </w:rPr>
      </w:pPr>
      <w:bookmarkStart w:id="10" w:name="_Toc509703221"/>
      <w:r w:rsidRPr="2A4916C0">
        <w:rPr>
          <w:rFonts w:ascii="system-ui" w:eastAsia="system-ui" w:hAnsi="system-ui" w:cs="system-ui"/>
          <w:b/>
          <w:bCs/>
          <w:i w:val="0"/>
          <w:iCs w:val="0"/>
          <w:color w:val="0F1115"/>
        </w:rPr>
        <w:t>Stakeholder Roles, Benefits, and Challenges</w:t>
      </w:r>
      <w:r w:rsidR="0CE9B788" w:rsidRPr="2A4916C0">
        <w:rPr>
          <w:rFonts w:ascii="system-ui" w:eastAsia="system-ui" w:hAnsi="system-ui" w:cs="system-ui"/>
          <w:b/>
          <w:bCs/>
          <w:i w:val="0"/>
          <w:iCs w:val="0"/>
          <w:color w:val="0F1115"/>
        </w:rPr>
        <w:t xml:space="preserve"> – Table 2</w:t>
      </w:r>
      <w:bookmarkEnd w:id="10"/>
    </w:p>
    <w:p w14:paraId="5E3D7478" w14:textId="6A0083F3" w:rsidR="0CE9B788" w:rsidRDefault="0CE9B788" w:rsidP="2A4916C0">
      <w:r w:rsidRPr="2A4916C0">
        <w:t>Table 2</w:t>
      </w:r>
    </w:p>
    <w:tbl>
      <w:tblPr>
        <w:tblStyle w:val="TableGrid"/>
        <w:tblW w:w="0" w:type="auto"/>
        <w:tblLook w:val="06A0" w:firstRow="1" w:lastRow="0" w:firstColumn="1" w:lastColumn="0" w:noHBand="1" w:noVBand="1"/>
      </w:tblPr>
      <w:tblGrid>
        <w:gridCol w:w="2254"/>
        <w:gridCol w:w="2254"/>
        <w:gridCol w:w="2254"/>
        <w:gridCol w:w="2254"/>
      </w:tblGrid>
      <w:tr w:rsidR="5A740515" w14:paraId="1549C1E0" w14:textId="77777777" w:rsidTr="2A4916C0">
        <w:trPr>
          <w:trHeight w:val="300"/>
        </w:trPr>
        <w:tc>
          <w:tcPr>
            <w:tcW w:w="2254" w:type="dxa"/>
          </w:tcPr>
          <w:p w14:paraId="371211FB" w14:textId="5650DCEA" w:rsidR="5A740515" w:rsidRDefault="1998D8C6" w:rsidP="2A4916C0">
            <w:pPr>
              <w:spacing w:line="360" w:lineRule="auto"/>
              <w:rPr>
                <w:rFonts w:ascii="Arial" w:eastAsia="Arial" w:hAnsi="Arial" w:cs="Arial"/>
                <w:b/>
                <w:bCs/>
                <w:color w:val="0F1115"/>
                <w:sz w:val="22"/>
                <w:szCs w:val="22"/>
              </w:rPr>
            </w:pPr>
            <w:r w:rsidRPr="2A4916C0">
              <w:rPr>
                <w:rFonts w:ascii="Arial" w:eastAsia="Arial" w:hAnsi="Arial" w:cs="Arial"/>
                <w:b/>
                <w:bCs/>
                <w:color w:val="0F1115"/>
                <w:sz w:val="22"/>
                <w:szCs w:val="22"/>
              </w:rPr>
              <w:t>Stakeholder</w:t>
            </w:r>
          </w:p>
        </w:tc>
        <w:tc>
          <w:tcPr>
            <w:tcW w:w="2254" w:type="dxa"/>
          </w:tcPr>
          <w:p w14:paraId="32F79602" w14:textId="08ACB940" w:rsidR="5735D975" w:rsidRDefault="3E8AA633" w:rsidP="2A4916C0">
            <w:pPr>
              <w:spacing w:line="360" w:lineRule="auto"/>
              <w:rPr>
                <w:rFonts w:ascii="Arial" w:eastAsia="Arial" w:hAnsi="Arial" w:cs="Arial"/>
                <w:b/>
                <w:bCs/>
                <w:sz w:val="22"/>
                <w:szCs w:val="22"/>
              </w:rPr>
            </w:pPr>
            <w:r w:rsidRPr="2A4916C0">
              <w:rPr>
                <w:rFonts w:ascii="Arial" w:eastAsia="Arial" w:hAnsi="Arial" w:cs="Arial"/>
                <w:b/>
                <w:bCs/>
                <w:color w:val="0F1115"/>
                <w:sz w:val="22"/>
                <w:szCs w:val="22"/>
              </w:rPr>
              <w:t>Key Role in Stay Smart+</w:t>
            </w:r>
          </w:p>
        </w:tc>
        <w:tc>
          <w:tcPr>
            <w:tcW w:w="2254" w:type="dxa"/>
          </w:tcPr>
          <w:p w14:paraId="09916514" w14:textId="1A3A596F" w:rsidR="5735D975" w:rsidRDefault="3E8AA633" w:rsidP="2A4916C0">
            <w:pPr>
              <w:spacing w:line="360" w:lineRule="auto"/>
              <w:rPr>
                <w:rFonts w:ascii="Arial" w:eastAsia="Arial" w:hAnsi="Arial" w:cs="Arial"/>
                <w:b/>
                <w:bCs/>
                <w:sz w:val="22"/>
                <w:szCs w:val="22"/>
              </w:rPr>
            </w:pPr>
            <w:r w:rsidRPr="2A4916C0">
              <w:rPr>
                <w:rFonts w:ascii="Arial" w:eastAsia="Arial" w:hAnsi="Arial" w:cs="Arial"/>
                <w:b/>
                <w:bCs/>
                <w:color w:val="0F1115"/>
                <w:sz w:val="22"/>
                <w:szCs w:val="22"/>
              </w:rPr>
              <w:t>Benefits They Bring</w:t>
            </w:r>
          </w:p>
        </w:tc>
        <w:tc>
          <w:tcPr>
            <w:tcW w:w="2254" w:type="dxa"/>
          </w:tcPr>
          <w:p w14:paraId="113899A7" w14:textId="4D6FACC9" w:rsidR="5735D975" w:rsidRDefault="3E8AA633" w:rsidP="2A4916C0">
            <w:pPr>
              <w:spacing w:line="360" w:lineRule="auto"/>
              <w:rPr>
                <w:rFonts w:ascii="Arial" w:eastAsia="Arial" w:hAnsi="Arial" w:cs="Arial"/>
                <w:b/>
                <w:bCs/>
                <w:sz w:val="22"/>
                <w:szCs w:val="22"/>
              </w:rPr>
            </w:pPr>
            <w:r w:rsidRPr="2A4916C0">
              <w:rPr>
                <w:rFonts w:ascii="Arial" w:eastAsia="Arial" w:hAnsi="Arial" w:cs="Arial"/>
                <w:b/>
                <w:bCs/>
                <w:color w:val="0F1115"/>
                <w:sz w:val="22"/>
                <w:szCs w:val="22"/>
              </w:rPr>
              <w:t>Potential Challenges They Face</w:t>
            </w:r>
          </w:p>
        </w:tc>
      </w:tr>
      <w:tr w:rsidR="5A740515" w14:paraId="578ED299" w14:textId="77777777" w:rsidTr="2A4916C0">
        <w:trPr>
          <w:trHeight w:val="300"/>
        </w:trPr>
        <w:tc>
          <w:tcPr>
            <w:tcW w:w="2254" w:type="dxa"/>
          </w:tcPr>
          <w:p w14:paraId="641DA449" w14:textId="51F20DD1" w:rsidR="5735D975" w:rsidRDefault="5735D975" w:rsidP="5A740515">
            <w:pPr>
              <w:spacing w:line="360" w:lineRule="auto"/>
              <w:rPr>
                <w:rFonts w:ascii="Arial" w:eastAsia="Arial" w:hAnsi="Arial" w:cs="Arial"/>
                <w:sz w:val="22"/>
                <w:szCs w:val="22"/>
              </w:rPr>
            </w:pPr>
            <w:r w:rsidRPr="5A740515">
              <w:rPr>
                <w:rFonts w:ascii="Arial" w:eastAsia="Arial" w:hAnsi="Arial" w:cs="Arial"/>
                <w:b/>
                <w:bCs/>
                <w:color w:val="0F1115"/>
                <w:sz w:val="22"/>
                <w:szCs w:val="22"/>
              </w:rPr>
              <w:t>Product Development Team</w:t>
            </w:r>
          </w:p>
        </w:tc>
        <w:tc>
          <w:tcPr>
            <w:tcW w:w="2254" w:type="dxa"/>
          </w:tcPr>
          <w:p w14:paraId="13E937A5" w14:textId="753C3F34" w:rsidR="5A740515" w:rsidRDefault="5A740515" w:rsidP="5A740515">
            <w:pPr>
              <w:spacing w:line="360" w:lineRule="auto"/>
              <w:rPr>
                <w:rFonts w:ascii="Arial" w:eastAsia="Arial" w:hAnsi="Arial" w:cs="Arial"/>
                <w:sz w:val="22"/>
                <w:szCs w:val="22"/>
              </w:rPr>
            </w:pPr>
          </w:p>
          <w:p w14:paraId="77E36B87" w14:textId="24ACDA52" w:rsidR="5A740515" w:rsidRDefault="5A740515" w:rsidP="5A740515">
            <w:pPr>
              <w:spacing w:line="360" w:lineRule="auto"/>
              <w:rPr>
                <w:rFonts w:ascii="Arial" w:eastAsia="Arial" w:hAnsi="Arial" w:cs="Arial"/>
                <w:color w:val="0F1115"/>
                <w:sz w:val="22"/>
                <w:szCs w:val="22"/>
              </w:rPr>
            </w:pPr>
            <w:r w:rsidRPr="5A740515">
              <w:rPr>
                <w:rFonts w:ascii="Arial" w:eastAsia="Arial" w:hAnsi="Arial" w:cs="Arial"/>
                <w:color w:val="0F1115"/>
                <w:sz w:val="22"/>
                <w:szCs w:val="22"/>
              </w:rPr>
              <w:t>Build and test the AI platform.</w:t>
            </w:r>
          </w:p>
        </w:tc>
        <w:tc>
          <w:tcPr>
            <w:tcW w:w="2254" w:type="dxa"/>
          </w:tcPr>
          <w:p w14:paraId="01C83FD1" w14:textId="1BFDF9C3"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Technical expertise; innovation capability.</w:t>
            </w:r>
          </w:p>
        </w:tc>
        <w:tc>
          <w:tcPr>
            <w:tcW w:w="2254" w:type="dxa"/>
          </w:tcPr>
          <w:p w14:paraId="01A84F9E" w14:textId="1CCDC51C"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Scope creep; integration with legacy hotel systems.</w:t>
            </w:r>
          </w:p>
        </w:tc>
      </w:tr>
      <w:tr w:rsidR="5A740515" w14:paraId="161198B7" w14:textId="77777777" w:rsidTr="2A4916C0">
        <w:trPr>
          <w:trHeight w:val="300"/>
        </w:trPr>
        <w:tc>
          <w:tcPr>
            <w:tcW w:w="2254" w:type="dxa"/>
          </w:tcPr>
          <w:p w14:paraId="0EE00EEA" w14:textId="333EF8C0" w:rsidR="5735D975" w:rsidRDefault="5735D975" w:rsidP="5A740515">
            <w:pPr>
              <w:spacing w:line="360" w:lineRule="auto"/>
              <w:rPr>
                <w:rFonts w:ascii="Arial" w:eastAsia="Arial" w:hAnsi="Arial" w:cs="Arial"/>
                <w:sz w:val="22"/>
                <w:szCs w:val="22"/>
              </w:rPr>
            </w:pPr>
            <w:r w:rsidRPr="5A740515">
              <w:rPr>
                <w:rFonts w:ascii="Arial" w:eastAsia="Arial" w:hAnsi="Arial" w:cs="Arial"/>
                <w:b/>
                <w:bCs/>
                <w:color w:val="0F1115"/>
                <w:sz w:val="22"/>
                <w:szCs w:val="22"/>
              </w:rPr>
              <w:t>Hotel Owners</w:t>
            </w:r>
          </w:p>
        </w:tc>
        <w:tc>
          <w:tcPr>
            <w:tcW w:w="2254" w:type="dxa"/>
          </w:tcPr>
          <w:p w14:paraId="268ADA51" w14:textId="5A944F8D"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Fund and authorise implementation in their properties.</w:t>
            </w:r>
          </w:p>
        </w:tc>
        <w:tc>
          <w:tcPr>
            <w:tcW w:w="2254" w:type="dxa"/>
          </w:tcPr>
          <w:p w14:paraId="10B403EF" w14:textId="40023ED5"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Capital; local market knowledge; operational control.</w:t>
            </w:r>
          </w:p>
        </w:tc>
        <w:tc>
          <w:tcPr>
            <w:tcW w:w="2254" w:type="dxa"/>
          </w:tcPr>
          <w:p w14:paraId="1FB7C577" w14:textId="59E00E88"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ROI concerns; resistance to additional operational complexity; short-term franchise agreements (Donaldson and Preston, 1995).</w:t>
            </w:r>
          </w:p>
        </w:tc>
      </w:tr>
      <w:tr w:rsidR="5A740515" w14:paraId="639BC85E" w14:textId="77777777" w:rsidTr="2A4916C0">
        <w:trPr>
          <w:trHeight w:val="300"/>
        </w:trPr>
        <w:tc>
          <w:tcPr>
            <w:tcW w:w="2254" w:type="dxa"/>
          </w:tcPr>
          <w:p w14:paraId="43E60D87" w14:textId="02093636" w:rsidR="5735D975" w:rsidRDefault="5735D975" w:rsidP="5A740515">
            <w:pPr>
              <w:spacing w:line="360" w:lineRule="auto"/>
              <w:rPr>
                <w:rFonts w:ascii="Arial" w:eastAsia="Arial" w:hAnsi="Arial" w:cs="Arial"/>
                <w:sz w:val="22"/>
                <w:szCs w:val="22"/>
              </w:rPr>
            </w:pPr>
            <w:r w:rsidRPr="5A740515">
              <w:rPr>
                <w:rFonts w:ascii="Arial" w:eastAsia="Arial" w:hAnsi="Arial" w:cs="Arial"/>
                <w:b/>
                <w:bCs/>
                <w:color w:val="0F1115"/>
                <w:sz w:val="22"/>
                <w:szCs w:val="22"/>
              </w:rPr>
              <w:t>Hotel GMs &amp; Staff</w:t>
            </w:r>
          </w:p>
        </w:tc>
        <w:tc>
          <w:tcPr>
            <w:tcW w:w="2254" w:type="dxa"/>
          </w:tcPr>
          <w:p w14:paraId="141CD6E1" w14:textId="69E99BF3"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Implement and use the system daily.</w:t>
            </w:r>
          </w:p>
        </w:tc>
        <w:tc>
          <w:tcPr>
            <w:tcW w:w="2254" w:type="dxa"/>
          </w:tcPr>
          <w:p w14:paraId="3E4E7C7D" w14:textId="14C74AE7" w:rsidR="5A740515" w:rsidRDefault="5A740515" w:rsidP="5A740515">
            <w:pPr>
              <w:spacing w:line="360" w:lineRule="auto"/>
              <w:rPr>
                <w:rFonts w:ascii="Arial" w:eastAsia="Arial" w:hAnsi="Arial" w:cs="Arial"/>
                <w:sz w:val="22"/>
                <w:szCs w:val="22"/>
              </w:rPr>
            </w:pPr>
          </w:p>
          <w:p w14:paraId="2FF0B306" w14:textId="6BEFDB1B" w:rsidR="5A740515" w:rsidRDefault="5A740515" w:rsidP="5A740515">
            <w:pPr>
              <w:spacing w:line="360" w:lineRule="auto"/>
              <w:rPr>
                <w:rFonts w:ascii="Arial" w:eastAsia="Arial" w:hAnsi="Arial" w:cs="Arial"/>
                <w:color w:val="0F1115"/>
                <w:sz w:val="22"/>
                <w:szCs w:val="22"/>
              </w:rPr>
            </w:pPr>
            <w:r w:rsidRPr="5A740515">
              <w:rPr>
                <w:rFonts w:ascii="Arial" w:eastAsia="Arial" w:hAnsi="Arial" w:cs="Arial"/>
                <w:color w:val="0F1115"/>
                <w:sz w:val="22"/>
                <w:szCs w:val="22"/>
              </w:rPr>
              <w:lastRenderedPageBreak/>
              <w:t>On-the-ground insight; direct guest interaction.</w:t>
            </w:r>
          </w:p>
        </w:tc>
        <w:tc>
          <w:tcPr>
            <w:tcW w:w="2254" w:type="dxa"/>
          </w:tcPr>
          <w:p w14:paraId="076A7E0D" w14:textId="39751A50"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lastRenderedPageBreak/>
              <w:t>Inadequate training; fear of technology replacing jobs ("de-</w:t>
            </w:r>
            <w:r w:rsidRPr="5A740515">
              <w:rPr>
                <w:rFonts w:ascii="Arial" w:eastAsia="Arial" w:hAnsi="Arial" w:cs="Arial"/>
                <w:color w:val="0F1115"/>
                <w:sz w:val="22"/>
                <w:szCs w:val="22"/>
              </w:rPr>
              <w:lastRenderedPageBreak/>
              <w:t>skilling"); increased workload during transition.</w:t>
            </w:r>
          </w:p>
        </w:tc>
      </w:tr>
      <w:tr w:rsidR="5A740515" w14:paraId="0772C2BD" w14:textId="77777777" w:rsidTr="2A4916C0">
        <w:trPr>
          <w:trHeight w:val="300"/>
        </w:trPr>
        <w:tc>
          <w:tcPr>
            <w:tcW w:w="2254" w:type="dxa"/>
          </w:tcPr>
          <w:p w14:paraId="53E0EE2D" w14:textId="3E2C8B3F" w:rsidR="5735D975" w:rsidRDefault="5735D975" w:rsidP="5A740515">
            <w:pPr>
              <w:spacing w:line="360" w:lineRule="auto"/>
              <w:rPr>
                <w:rFonts w:ascii="Arial" w:eastAsia="Arial" w:hAnsi="Arial" w:cs="Arial"/>
                <w:sz w:val="22"/>
                <w:szCs w:val="22"/>
              </w:rPr>
            </w:pPr>
            <w:r w:rsidRPr="5A740515">
              <w:rPr>
                <w:rFonts w:ascii="Arial" w:eastAsia="Arial" w:hAnsi="Arial" w:cs="Arial"/>
                <w:b/>
                <w:bCs/>
                <w:color w:val="0F1115"/>
                <w:sz w:val="22"/>
                <w:szCs w:val="22"/>
              </w:rPr>
              <w:lastRenderedPageBreak/>
              <w:t>Guests</w:t>
            </w:r>
          </w:p>
        </w:tc>
        <w:tc>
          <w:tcPr>
            <w:tcW w:w="2254" w:type="dxa"/>
          </w:tcPr>
          <w:p w14:paraId="45235300" w14:textId="773B403B"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Use the service and provide data.</w:t>
            </w:r>
          </w:p>
        </w:tc>
        <w:tc>
          <w:tcPr>
            <w:tcW w:w="2254" w:type="dxa"/>
          </w:tcPr>
          <w:p w14:paraId="4071A662" w14:textId="527C9EAE"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Real-world feedback; data to fuel personalisation.</w:t>
            </w:r>
          </w:p>
        </w:tc>
        <w:tc>
          <w:tcPr>
            <w:tcW w:w="2254" w:type="dxa"/>
          </w:tcPr>
          <w:p w14:paraId="096912DD" w14:textId="23A6089C"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 xml:space="preserve">Privacy </w:t>
            </w:r>
            <w:proofErr w:type="gramStart"/>
            <w:r w:rsidRPr="5A740515">
              <w:rPr>
                <w:rFonts w:ascii="Arial" w:eastAsia="Arial" w:hAnsi="Arial" w:cs="Arial"/>
                <w:color w:val="0F1115"/>
                <w:sz w:val="22"/>
                <w:szCs w:val="22"/>
              </w:rPr>
              <w:t>concerns;</w:t>
            </w:r>
            <w:proofErr w:type="gramEnd"/>
            <w:r w:rsidRPr="5A740515">
              <w:rPr>
                <w:rFonts w:ascii="Arial" w:eastAsia="Arial" w:hAnsi="Arial" w:cs="Arial"/>
                <w:color w:val="0F1115"/>
                <w:sz w:val="22"/>
                <w:szCs w:val="22"/>
              </w:rPr>
              <w:t xml:space="preserve"> frustration if AI fails to understand complex requests.</w:t>
            </w:r>
          </w:p>
        </w:tc>
      </w:tr>
      <w:tr w:rsidR="5A740515" w14:paraId="5BF713B0" w14:textId="77777777" w:rsidTr="2A4916C0">
        <w:trPr>
          <w:trHeight w:val="300"/>
        </w:trPr>
        <w:tc>
          <w:tcPr>
            <w:tcW w:w="2254" w:type="dxa"/>
          </w:tcPr>
          <w:p w14:paraId="2D6F8ECD" w14:textId="3253B968" w:rsidR="5735D975" w:rsidRDefault="5735D975" w:rsidP="5A740515">
            <w:pPr>
              <w:spacing w:line="360" w:lineRule="auto"/>
              <w:rPr>
                <w:rFonts w:ascii="Arial" w:eastAsia="Arial" w:hAnsi="Arial" w:cs="Arial"/>
                <w:sz w:val="22"/>
                <w:szCs w:val="22"/>
              </w:rPr>
            </w:pPr>
            <w:r w:rsidRPr="5A740515">
              <w:rPr>
                <w:rFonts w:ascii="Arial" w:eastAsia="Arial" w:hAnsi="Arial" w:cs="Arial"/>
                <w:b/>
                <w:bCs/>
                <w:color w:val="0F1115"/>
                <w:sz w:val="22"/>
                <w:szCs w:val="22"/>
              </w:rPr>
              <w:t>Local Communities</w:t>
            </w:r>
          </w:p>
        </w:tc>
        <w:tc>
          <w:tcPr>
            <w:tcW w:w="2254" w:type="dxa"/>
          </w:tcPr>
          <w:p w14:paraId="12ABAFE3" w14:textId="4058D2A2"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Recipients of sustainability efforts.</w:t>
            </w:r>
          </w:p>
        </w:tc>
        <w:tc>
          <w:tcPr>
            <w:tcW w:w="2254" w:type="dxa"/>
          </w:tcPr>
          <w:p w14:paraId="69D1F10B" w14:textId="61EBFC84"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Social license to operate; potential for local partnerships.</w:t>
            </w:r>
          </w:p>
        </w:tc>
        <w:tc>
          <w:tcPr>
            <w:tcW w:w="2254" w:type="dxa"/>
          </w:tcPr>
          <w:p w14:paraId="380402D6" w14:textId="01DF9B7F" w:rsidR="5735D975" w:rsidRDefault="5735D975" w:rsidP="5A740515">
            <w:pPr>
              <w:spacing w:line="360" w:lineRule="auto"/>
              <w:rPr>
                <w:rFonts w:ascii="Arial" w:eastAsia="Arial" w:hAnsi="Arial" w:cs="Arial"/>
                <w:sz w:val="22"/>
                <w:szCs w:val="22"/>
              </w:rPr>
            </w:pPr>
            <w:r w:rsidRPr="5A740515">
              <w:rPr>
                <w:rFonts w:ascii="Arial" w:eastAsia="Arial" w:hAnsi="Arial" w:cs="Arial"/>
                <w:color w:val="0F1115"/>
                <w:sz w:val="22"/>
                <w:szCs w:val="22"/>
              </w:rPr>
              <w:t>"Greenwashing" accusations if sustainability claims are not genuine (Font and Lynes, 2018).</w:t>
            </w:r>
          </w:p>
        </w:tc>
      </w:tr>
    </w:tbl>
    <w:p w14:paraId="41E0860E" w14:textId="3E5FD57B" w:rsidR="5A740515" w:rsidRDefault="5A740515" w:rsidP="0407C32D">
      <w:pPr>
        <w:shd w:val="clear" w:color="auto" w:fill="FFFFFF" w:themeFill="background1"/>
        <w:spacing w:before="240" w:after="240" w:line="360" w:lineRule="auto"/>
        <w:rPr>
          <w:rFonts w:ascii="Arial" w:eastAsia="Arial" w:hAnsi="Arial" w:cs="Arial"/>
          <w:color w:val="0F1115"/>
          <w:sz w:val="22"/>
          <w:szCs w:val="22"/>
        </w:rPr>
      </w:pPr>
    </w:p>
    <w:p w14:paraId="37B21FFE" w14:textId="7F59144E" w:rsidR="52E12CC7" w:rsidRDefault="48AA87D9" w:rsidP="2A4916C0">
      <w:pPr>
        <w:pStyle w:val="Heading2"/>
        <w:shd w:val="clear" w:color="auto" w:fill="FFFFFF" w:themeFill="background1"/>
        <w:spacing w:before="480" w:after="240" w:line="480" w:lineRule="auto"/>
        <w:rPr>
          <w:rFonts w:ascii="system-ui" w:eastAsia="system-ui" w:hAnsi="system-ui" w:cs="system-ui"/>
          <w:b/>
          <w:bCs/>
          <w:color w:val="0F1115"/>
        </w:rPr>
      </w:pPr>
      <w:bookmarkStart w:id="11" w:name="_Toc1061934210"/>
      <w:r w:rsidRPr="2A4916C0">
        <w:rPr>
          <w:rFonts w:ascii="system-ui" w:eastAsia="system-ui" w:hAnsi="system-ui" w:cs="system-ui"/>
          <w:b/>
          <w:bCs/>
          <w:color w:val="0F1115"/>
        </w:rPr>
        <w:t>Communication Plan: Stay Smart+ Global Launch</w:t>
      </w:r>
      <w:bookmarkEnd w:id="11"/>
    </w:p>
    <w:p w14:paraId="09AD7D36" w14:textId="7EC6A5E1" w:rsidR="5A740515" w:rsidRDefault="71854AD0" w:rsidP="0407C32D">
      <w:pPr>
        <w:shd w:val="clear" w:color="auto" w:fill="FFFFFF" w:themeFill="background1"/>
        <w:spacing w:before="240" w:after="240" w:line="360" w:lineRule="auto"/>
        <w:jc w:val="both"/>
        <w:rPr>
          <w:rFonts w:ascii="Arial" w:eastAsia="Arial" w:hAnsi="Arial" w:cs="Arial"/>
          <w:sz w:val="22"/>
          <w:szCs w:val="22"/>
        </w:rPr>
      </w:pPr>
      <w:r w:rsidRPr="2A4916C0">
        <w:rPr>
          <w:rFonts w:ascii="Arial" w:eastAsia="Arial" w:hAnsi="Arial" w:cs="Arial"/>
          <w:color w:val="0F1115"/>
          <w:sz w:val="22"/>
          <w:szCs w:val="22"/>
        </w:rPr>
        <w:t>This Communication Plan operationalises the 4C's model (Communication, Consultation, Collaboration, Commitment) as outlined by Story Inc. (2021) and is designed to ensure transparent, timely, and tailored information flow to all stakeholder groups (Project Management Institute, 2021). The plan follows best practices in stakeholder engagement (Freeman, 1984; Ashcroft, 2017) and is aligned with IHG's corporate communication protocols (IHG, 2025).</w:t>
      </w:r>
    </w:p>
    <w:p w14:paraId="514E1B8D" w14:textId="4DD5E717" w:rsidR="3C366189" w:rsidRDefault="3C366189" w:rsidP="2A4916C0">
      <w:p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color w:val="0F1115"/>
          <w:sz w:val="22"/>
          <w:szCs w:val="22"/>
        </w:rPr>
        <w:t>Communication Plan – Table 3</w:t>
      </w:r>
    </w:p>
    <w:p w14:paraId="51507B29" w14:textId="4027FB5A"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4CE1F849" w14:textId="52B7DC8A"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6904B42E" w14:textId="77777777" w:rsidR="003027E3" w:rsidRDefault="003027E3" w:rsidP="2A4916C0">
      <w:pPr>
        <w:shd w:val="clear" w:color="auto" w:fill="FFFFFF" w:themeFill="background1"/>
        <w:spacing w:before="240" w:after="240" w:line="360" w:lineRule="auto"/>
        <w:jc w:val="both"/>
        <w:rPr>
          <w:rFonts w:ascii="Arial" w:eastAsia="Arial" w:hAnsi="Arial" w:cs="Arial"/>
          <w:color w:val="0F1115"/>
          <w:sz w:val="22"/>
          <w:szCs w:val="22"/>
        </w:rPr>
      </w:pPr>
    </w:p>
    <w:p w14:paraId="1EB1AC5D" w14:textId="77777777" w:rsidR="003027E3" w:rsidRDefault="003027E3" w:rsidP="2A4916C0">
      <w:pPr>
        <w:shd w:val="clear" w:color="auto" w:fill="FFFFFF" w:themeFill="background1"/>
        <w:spacing w:before="240" w:after="240" w:line="360" w:lineRule="auto"/>
        <w:jc w:val="both"/>
        <w:rPr>
          <w:rFonts w:ascii="Arial" w:eastAsia="Arial" w:hAnsi="Arial" w:cs="Arial"/>
          <w:color w:val="0F1115"/>
          <w:sz w:val="22"/>
          <w:szCs w:val="22"/>
        </w:rPr>
      </w:pPr>
    </w:p>
    <w:p w14:paraId="03AB4569" w14:textId="77777777" w:rsidR="003027E3" w:rsidRDefault="003027E3" w:rsidP="2A4916C0">
      <w:pPr>
        <w:shd w:val="clear" w:color="auto" w:fill="FFFFFF" w:themeFill="background1"/>
        <w:spacing w:before="240" w:after="240" w:line="360" w:lineRule="auto"/>
        <w:jc w:val="both"/>
        <w:rPr>
          <w:rFonts w:ascii="Arial" w:eastAsia="Arial" w:hAnsi="Arial" w:cs="Arial"/>
          <w:color w:val="0F1115"/>
          <w:sz w:val="22"/>
          <w:szCs w:val="22"/>
        </w:rPr>
      </w:pPr>
    </w:p>
    <w:p w14:paraId="7461E33A" w14:textId="6107CF02"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4E782C7B" w14:textId="2391F47E" w:rsidR="3C366189" w:rsidRDefault="3C366189" w:rsidP="2A4916C0">
      <w:p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color w:val="0F1115"/>
          <w:sz w:val="22"/>
          <w:szCs w:val="22"/>
        </w:rPr>
        <w:lastRenderedPageBreak/>
        <w:t>Table 3</w:t>
      </w:r>
    </w:p>
    <w:tbl>
      <w:tblPr>
        <w:tblStyle w:val="TableGrid"/>
        <w:tblW w:w="0" w:type="auto"/>
        <w:tblLook w:val="06A0" w:firstRow="1" w:lastRow="0" w:firstColumn="1" w:lastColumn="0" w:noHBand="1" w:noVBand="1"/>
      </w:tblPr>
      <w:tblGrid>
        <w:gridCol w:w="1961"/>
        <w:gridCol w:w="1591"/>
        <w:gridCol w:w="1746"/>
        <w:gridCol w:w="1841"/>
        <w:gridCol w:w="1877"/>
      </w:tblGrid>
      <w:tr w:rsidR="0407C32D" w14:paraId="06C4C82F" w14:textId="77777777" w:rsidTr="0407C32D">
        <w:trPr>
          <w:trHeight w:val="300"/>
        </w:trPr>
        <w:tc>
          <w:tcPr>
            <w:tcW w:w="1803" w:type="dxa"/>
          </w:tcPr>
          <w:p w14:paraId="11F2EAFD" w14:textId="714BD73C" w:rsidR="3715470A" w:rsidRDefault="3715470A"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What Information?</w:t>
            </w:r>
          </w:p>
        </w:tc>
        <w:tc>
          <w:tcPr>
            <w:tcW w:w="1803" w:type="dxa"/>
          </w:tcPr>
          <w:p w14:paraId="6B60C573" w14:textId="69D3099D" w:rsidR="3715470A" w:rsidRDefault="3715470A"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Target Audience</w:t>
            </w:r>
          </w:p>
        </w:tc>
        <w:tc>
          <w:tcPr>
            <w:tcW w:w="1803" w:type="dxa"/>
          </w:tcPr>
          <w:p w14:paraId="7C653885" w14:textId="315BF1A8" w:rsidR="3715470A" w:rsidRDefault="3715470A"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When?</w:t>
            </w:r>
          </w:p>
        </w:tc>
        <w:tc>
          <w:tcPr>
            <w:tcW w:w="1935" w:type="dxa"/>
          </w:tcPr>
          <w:p w14:paraId="4A3DD913" w14:textId="279ACDC6" w:rsidR="3715470A" w:rsidRDefault="3715470A"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Method of Communication</w:t>
            </w:r>
          </w:p>
        </w:tc>
        <w:tc>
          <w:tcPr>
            <w:tcW w:w="1671" w:type="dxa"/>
          </w:tcPr>
          <w:p w14:paraId="4E532C09" w14:textId="4BF57D39" w:rsidR="3715470A" w:rsidRDefault="3715470A"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Provider</w:t>
            </w:r>
          </w:p>
        </w:tc>
      </w:tr>
      <w:tr w:rsidR="0407C32D" w14:paraId="1B04CE4B" w14:textId="77777777" w:rsidTr="0407C32D">
        <w:trPr>
          <w:trHeight w:val="300"/>
        </w:trPr>
        <w:tc>
          <w:tcPr>
            <w:tcW w:w="1803" w:type="dxa"/>
          </w:tcPr>
          <w:p w14:paraId="37CEE759" w14:textId="317AAF65"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Project Vision &amp; Strategic Rationale</w:t>
            </w:r>
          </w:p>
        </w:tc>
        <w:tc>
          <w:tcPr>
            <w:tcW w:w="1803" w:type="dxa"/>
          </w:tcPr>
          <w:p w14:paraId="32FD600D" w14:textId="49D0C74B" w:rsidR="2B6B8CCC" w:rsidRDefault="2B6B8CCC" w:rsidP="0407C32D">
            <w:pPr>
              <w:spacing w:line="360" w:lineRule="auto"/>
              <w:rPr>
                <w:rFonts w:ascii="Arial" w:eastAsia="Arial" w:hAnsi="Arial" w:cs="Arial"/>
                <w:sz w:val="22"/>
                <w:szCs w:val="22"/>
              </w:rPr>
            </w:pPr>
            <w:r w:rsidRPr="0407C32D">
              <w:rPr>
                <w:rFonts w:ascii="Arial" w:eastAsia="Arial" w:hAnsi="Arial" w:cs="Arial"/>
                <w:color w:val="0F1115"/>
                <w:sz w:val="22"/>
                <w:szCs w:val="22"/>
              </w:rPr>
              <w:t>IHG Executive Team; Hotel Owners; Global Marketing Team</w:t>
            </w:r>
          </w:p>
        </w:tc>
        <w:tc>
          <w:tcPr>
            <w:tcW w:w="1803" w:type="dxa"/>
          </w:tcPr>
          <w:p w14:paraId="124518A7" w14:textId="55580BFA"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Project initiation; Quarterly strategic reviews</w:t>
            </w:r>
          </w:p>
        </w:tc>
        <w:tc>
          <w:tcPr>
            <w:tcW w:w="1935" w:type="dxa"/>
          </w:tcPr>
          <w:p w14:paraId="61DFB560" w14:textId="13D869AB"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Formal presentations; Board papers; Strategic roadshows (Donaldson and Preston, 1995)</w:t>
            </w:r>
          </w:p>
        </w:tc>
        <w:tc>
          <w:tcPr>
            <w:tcW w:w="1671" w:type="dxa"/>
          </w:tcPr>
          <w:p w14:paraId="07C8DD76" w14:textId="1BC377AC"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Project Manager; IHG Chief Strategy Office</w:t>
            </w:r>
          </w:p>
        </w:tc>
      </w:tr>
      <w:tr w:rsidR="0407C32D" w14:paraId="5D4B038A" w14:textId="77777777" w:rsidTr="0407C32D">
        <w:trPr>
          <w:trHeight w:val="300"/>
        </w:trPr>
        <w:tc>
          <w:tcPr>
            <w:tcW w:w="1803" w:type="dxa"/>
          </w:tcPr>
          <w:p w14:paraId="64C7AA86" w14:textId="711833B7"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Technical Specifications &amp; Integration Requirements</w:t>
            </w:r>
          </w:p>
        </w:tc>
        <w:tc>
          <w:tcPr>
            <w:tcW w:w="1803" w:type="dxa"/>
          </w:tcPr>
          <w:p w14:paraId="60450AEC" w14:textId="62675F15" w:rsidR="5515F38D" w:rsidRDefault="5515F38D" w:rsidP="0407C32D">
            <w:pPr>
              <w:spacing w:line="360" w:lineRule="auto"/>
              <w:rPr>
                <w:rFonts w:ascii="Arial" w:eastAsia="Arial" w:hAnsi="Arial" w:cs="Arial"/>
                <w:sz w:val="22"/>
                <w:szCs w:val="22"/>
              </w:rPr>
            </w:pPr>
            <w:r w:rsidRPr="0407C32D">
              <w:rPr>
                <w:rFonts w:ascii="Arial" w:eastAsia="Arial" w:hAnsi="Arial" w:cs="Arial"/>
                <w:color w:val="0F1115"/>
                <w:sz w:val="22"/>
                <w:szCs w:val="22"/>
              </w:rPr>
              <w:t>Technology Partners (AI Vendors); IT Security Team; Product Development Team</w:t>
            </w:r>
          </w:p>
        </w:tc>
        <w:tc>
          <w:tcPr>
            <w:tcW w:w="1803" w:type="dxa"/>
          </w:tcPr>
          <w:p w14:paraId="49B43B57" w14:textId="1051FB6E"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Weekly throughout development phase</w:t>
            </w:r>
          </w:p>
        </w:tc>
        <w:tc>
          <w:tcPr>
            <w:tcW w:w="1935" w:type="dxa"/>
          </w:tcPr>
          <w:p w14:paraId="266B0890" w14:textId="5510BB3A"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Technical working groups; Shared project management software (Jira/Asana); API documentation portals (Buttle and Maklan, 2019)</w:t>
            </w:r>
          </w:p>
        </w:tc>
        <w:tc>
          <w:tcPr>
            <w:tcW w:w="1671" w:type="dxa"/>
          </w:tcPr>
          <w:p w14:paraId="100480EE" w14:textId="0EF684A7"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IT Director; Product Development Lead</w:t>
            </w:r>
          </w:p>
        </w:tc>
      </w:tr>
      <w:tr w:rsidR="0407C32D" w14:paraId="49249B0D" w14:textId="77777777" w:rsidTr="0407C32D">
        <w:trPr>
          <w:trHeight w:val="300"/>
        </w:trPr>
        <w:tc>
          <w:tcPr>
            <w:tcW w:w="1803" w:type="dxa"/>
          </w:tcPr>
          <w:p w14:paraId="200C83B7" w14:textId="64E3A10C"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ROI Analysis &amp; Business Case</w:t>
            </w:r>
          </w:p>
        </w:tc>
        <w:tc>
          <w:tcPr>
            <w:tcW w:w="1803" w:type="dxa"/>
          </w:tcPr>
          <w:p w14:paraId="59A31935" w14:textId="3EAA907A" w:rsidR="6F7EA98D" w:rsidRDefault="6F7EA98D" w:rsidP="0407C32D">
            <w:pPr>
              <w:spacing w:line="360" w:lineRule="auto"/>
              <w:rPr>
                <w:rFonts w:ascii="Arial" w:eastAsia="Arial" w:hAnsi="Arial" w:cs="Arial"/>
                <w:sz w:val="22"/>
                <w:szCs w:val="22"/>
              </w:rPr>
            </w:pPr>
            <w:r w:rsidRPr="0407C32D">
              <w:rPr>
                <w:rFonts w:ascii="Arial" w:eastAsia="Arial" w:hAnsi="Arial" w:cs="Arial"/>
                <w:color w:val="0F1115"/>
                <w:sz w:val="22"/>
                <w:szCs w:val="22"/>
              </w:rPr>
              <w:t>Hotel Owners; IHG Executive Team; Investment Analysts</w:t>
            </w:r>
          </w:p>
        </w:tc>
        <w:tc>
          <w:tcPr>
            <w:tcW w:w="1803" w:type="dxa"/>
          </w:tcPr>
          <w:p w14:paraId="37F4B19D" w14:textId="70FAD5D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Pre-approval phase; Quarterly updates</w:t>
            </w:r>
          </w:p>
        </w:tc>
        <w:tc>
          <w:tcPr>
            <w:tcW w:w="1935" w:type="dxa"/>
          </w:tcPr>
          <w:p w14:paraId="196C7B85" w14:textId="6D154517"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One-on-one business reviews; Investor presentations; Dedicated owner portal (Wang, Yang and Chen, 2022)</w:t>
            </w:r>
          </w:p>
        </w:tc>
        <w:tc>
          <w:tcPr>
            <w:tcW w:w="1671" w:type="dxa"/>
          </w:tcPr>
          <w:p w14:paraId="31E68C13" w14:textId="36876A18"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Regional Operations Directors; Finance Business Partner</w:t>
            </w:r>
          </w:p>
        </w:tc>
      </w:tr>
      <w:tr w:rsidR="0407C32D" w14:paraId="3BDED960" w14:textId="77777777" w:rsidTr="0407C32D">
        <w:trPr>
          <w:trHeight w:val="300"/>
        </w:trPr>
        <w:tc>
          <w:tcPr>
            <w:tcW w:w="1803" w:type="dxa"/>
          </w:tcPr>
          <w:p w14:paraId="48E553D5" w14:textId="7FE7229F"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 xml:space="preserve">Operational Training &amp; </w:t>
            </w:r>
            <w:r w:rsidRPr="0407C32D">
              <w:rPr>
                <w:rFonts w:ascii="Arial" w:eastAsia="Arial" w:hAnsi="Arial" w:cs="Arial"/>
                <w:b/>
                <w:bCs/>
                <w:color w:val="0F1115"/>
                <w:sz w:val="22"/>
                <w:szCs w:val="22"/>
              </w:rPr>
              <w:lastRenderedPageBreak/>
              <w:t>Process Changes</w:t>
            </w:r>
          </w:p>
        </w:tc>
        <w:tc>
          <w:tcPr>
            <w:tcW w:w="1803" w:type="dxa"/>
          </w:tcPr>
          <w:p w14:paraId="0F0F9CFC" w14:textId="4E30DF51" w:rsidR="3BE53E6D" w:rsidRDefault="3BE53E6D" w:rsidP="0407C32D">
            <w:pPr>
              <w:spacing w:line="360" w:lineRule="auto"/>
              <w:rPr>
                <w:rFonts w:ascii="Arial" w:eastAsia="Arial" w:hAnsi="Arial" w:cs="Arial"/>
                <w:sz w:val="22"/>
                <w:szCs w:val="22"/>
              </w:rPr>
            </w:pPr>
            <w:r w:rsidRPr="0407C32D">
              <w:rPr>
                <w:rFonts w:ascii="Arial" w:eastAsia="Arial" w:hAnsi="Arial" w:cs="Arial"/>
                <w:color w:val="0F1115"/>
                <w:sz w:val="22"/>
                <w:szCs w:val="22"/>
              </w:rPr>
              <w:lastRenderedPageBreak/>
              <w:t>Hotel GMs; Operations Staff; Front-</w:t>
            </w:r>
            <w:r w:rsidRPr="0407C32D">
              <w:rPr>
                <w:rFonts w:ascii="Arial" w:eastAsia="Arial" w:hAnsi="Arial" w:cs="Arial"/>
                <w:color w:val="0F1115"/>
                <w:sz w:val="22"/>
                <w:szCs w:val="22"/>
              </w:rPr>
              <w:lastRenderedPageBreak/>
              <w:t>line Employees</w:t>
            </w:r>
          </w:p>
        </w:tc>
        <w:tc>
          <w:tcPr>
            <w:tcW w:w="1803" w:type="dxa"/>
          </w:tcPr>
          <w:p w14:paraId="38AA6B66" w14:textId="15925AA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lastRenderedPageBreak/>
              <w:t xml:space="preserve">4 weeks pre-launch; </w:t>
            </w:r>
            <w:r w:rsidRPr="0407C32D">
              <w:rPr>
                <w:rFonts w:ascii="Arial" w:eastAsia="Arial" w:hAnsi="Arial" w:cs="Arial"/>
                <w:color w:val="0F1115"/>
                <w:sz w:val="22"/>
                <w:szCs w:val="22"/>
              </w:rPr>
              <w:lastRenderedPageBreak/>
              <w:t>Ongoing support</w:t>
            </w:r>
          </w:p>
        </w:tc>
        <w:tc>
          <w:tcPr>
            <w:tcW w:w="1935" w:type="dxa"/>
          </w:tcPr>
          <w:p w14:paraId="4DB36547" w14:textId="42CD5603"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lastRenderedPageBreak/>
              <w:t xml:space="preserve">On-site training sessions; E-learning </w:t>
            </w:r>
            <w:r w:rsidRPr="0407C32D">
              <w:rPr>
                <w:rFonts w:ascii="Arial" w:eastAsia="Arial" w:hAnsi="Arial" w:cs="Arial"/>
                <w:color w:val="0F1115"/>
                <w:sz w:val="22"/>
                <w:szCs w:val="22"/>
              </w:rPr>
              <w:lastRenderedPageBreak/>
              <w:t>modules; "Pilot Hotel Network" peer forums (Bowie and Buttle, 2011)</w:t>
            </w:r>
          </w:p>
        </w:tc>
        <w:tc>
          <w:tcPr>
            <w:tcW w:w="1671" w:type="dxa"/>
          </w:tcPr>
          <w:p w14:paraId="58E5F375" w14:textId="3FD25C16"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lastRenderedPageBreak/>
              <w:t xml:space="preserve">HR Manager; Training Coordinator; </w:t>
            </w:r>
            <w:r w:rsidRPr="0407C32D">
              <w:rPr>
                <w:rFonts w:ascii="Arial" w:eastAsia="Arial" w:hAnsi="Arial" w:cs="Arial"/>
                <w:color w:val="0F1115"/>
                <w:sz w:val="22"/>
                <w:szCs w:val="22"/>
              </w:rPr>
              <w:lastRenderedPageBreak/>
              <w:t>Regional Operations Directors</w:t>
            </w:r>
          </w:p>
        </w:tc>
      </w:tr>
      <w:tr w:rsidR="0407C32D" w14:paraId="2E3AB099" w14:textId="77777777" w:rsidTr="0407C32D">
        <w:trPr>
          <w:trHeight w:val="300"/>
        </w:trPr>
        <w:tc>
          <w:tcPr>
            <w:tcW w:w="1803" w:type="dxa"/>
          </w:tcPr>
          <w:p w14:paraId="25DDA059" w14:textId="6B1FD7C0"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lastRenderedPageBreak/>
              <w:t>Brand Guidelines &amp; Marketing Assets</w:t>
            </w:r>
          </w:p>
        </w:tc>
        <w:tc>
          <w:tcPr>
            <w:tcW w:w="1803" w:type="dxa"/>
          </w:tcPr>
          <w:p w14:paraId="5DC7A094" w14:textId="1B90587A" w:rsidR="20D35FD4" w:rsidRDefault="20D35FD4" w:rsidP="0407C32D">
            <w:pPr>
              <w:spacing w:line="360" w:lineRule="auto"/>
              <w:rPr>
                <w:rFonts w:ascii="Arial" w:eastAsia="Arial" w:hAnsi="Arial" w:cs="Arial"/>
                <w:sz w:val="22"/>
                <w:szCs w:val="22"/>
              </w:rPr>
            </w:pPr>
            <w:r w:rsidRPr="0407C32D">
              <w:rPr>
                <w:rFonts w:ascii="Arial" w:eastAsia="Arial" w:hAnsi="Arial" w:cs="Arial"/>
                <w:color w:val="0F1115"/>
                <w:sz w:val="22"/>
                <w:szCs w:val="22"/>
              </w:rPr>
              <w:t>Global Marketing Team; Regional PR Teams; Hotel GMs</w:t>
            </w:r>
          </w:p>
        </w:tc>
        <w:tc>
          <w:tcPr>
            <w:tcW w:w="1803" w:type="dxa"/>
          </w:tcPr>
          <w:p w14:paraId="6FC955AE" w14:textId="3B9EEFED"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6 weeks pre-launch; Ongoing</w:t>
            </w:r>
          </w:p>
        </w:tc>
        <w:tc>
          <w:tcPr>
            <w:tcW w:w="1935" w:type="dxa"/>
          </w:tcPr>
          <w:p w14:paraId="725A5B98" w14:textId="3DB62B58"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Global marketing portal; Campaign toolkits; Creative review sessions (Kotler, Bowen and Baloglu, 2022)</w:t>
            </w:r>
          </w:p>
        </w:tc>
        <w:tc>
          <w:tcPr>
            <w:tcW w:w="1671" w:type="dxa"/>
          </w:tcPr>
          <w:p w14:paraId="457041BA" w14:textId="77ADBAD1"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Global Brand Director; Marketing Manager</w:t>
            </w:r>
          </w:p>
        </w:tc>
      </w:tr>
      <w:tr w:rsidR="0407C32D" w14:paraId="02445B21" w14:textId="77777777" w:rsidTr="0407C32D">
        <w:trPr>
          <w:trHeight w:val="300"/>
        </w:trPr>
        <w:tc>
          <w:tcPr>
            <w:tcW w:w="1803" w:type="dxa"/>
          </w:tcPr>
          <w:p w14:paraId="403D94D1" w14:textId="695A0AF6"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Guest-Facing Features &amp; Benefits</w:t>
            </w:r>
          </w:p>
        </w:tc>
        <w:tc>
          <w:tcPr>
            <w:tcW w:w="1803" w:type="dxa"/>
          </w:tcPr>
          <w:p w14:paraId="7FD9D13E" w14:textId="537E193E" w:rsidR="63B80AD3" w:rsidRDefault="63B80AD3" w:rsidP="0407C32D">
            <w:pPr>
              <w:spacing w:line="360" w:lineRule="auto"/>
              <w:rPr>
                <w:rFonts w:ascii="Arial" w:eastAsia="Arial" w:hAnsi="Arial" w:cs="Arial"/>
                <w:sz w:val="22"/>
                <w:szCs w:val="22"/>
              </w:rPr>
            </w:pPr>
            <w:r w:rsidRPr="0407C32D">
              <w:rPr>
                <w:rFonts w:ascii="Arial" w:eastAsia="Arial" w:hAnsi="Arial" w:cs="Arial"/>
                <w:color w:val="0F1115"/>
                <w:sz w:val="22"/>
                <w:szCs w:val="22"/>
              </w:rPr>
              <w:t>IHG Rewards Members; Target Guests; OTAs</w:t>
            </w:r>
          </w:p>
        </w:tc>
        <w:tc>
          <w:tcPr>
            <w:tcW w:w="1803" w:type="dxa"/>
          </w:tcPr>
          <w:p w14:paraId="30F560D0" w14:textId="5F6A03C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 xml:space="preserve">Pre-arrival (1 week); During stay; </w:t>
            </w:r>
            <w:r w:rsidR="7A91DF52" w:rsidRPr="0407C32D">
              <w:rPr>
                <w:rFonts w:ascii="Arial" w:eastAsia="Arial" w:hAnsi="Arial" w:cs="Arial"/>
                <w:color w:val="0F1115"/>
                <w:sz w:val="22"/>
                <w:szCs w:val="22"/>
              </w:rPr>
              <w:t>post-stay</w:t>
            </w:r>
          </w:p>
        </w:tc>
        <w:tc>
          <w:tcPr>
            <w:tcW w:w="1935" w:type="dxa"/>
          </w:tcPr>
          <w:p w14:paraId="2EA4E09D" w14:textId="344DC144"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In-app notifications; Email campaigns; In-room QR codes; Social media content (Martin and Murphy, 2017)</w:t>
            </w:r>
          </w:p>
        </w:tc>
        <w:tc>
          <w:tcPr>
            <w:tcW w:w="1671" w:type="dxa"/>
          </w:tcPr>
          <w:p w14:paraId="706FEFBE" w14:textId="7C472EF5"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Marketing Manager; Digital Experience Team</w:t>
            </w:r>
          </w:p>
        </w:tc>
      </w:tr>
      <w:tr w:rsidR="0407C32D" w14:paraId="1678F066" w14:textId="77777777" w:rsidTr="0407C32D">
        <w:trPr>
          <w:trHeight w:val="300"/>
        </w:trPr>
        <w:tc>
          <w:tcPr>
            <w:tcW w:w="1803" w:type="dxa"/>
          </w:tcPr>
          <w:p w14:paraId="58D1C07C" w14:textId="4FF34B5B"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Data Privacy &amp; Compliance Updates</w:t>
            </w:r>
          </w:p>
        </w:tc>
        <w:tc>
          <w:tcPr>
            <w:tcW w:w="1803" w:type="dxa"/>
          </w:tcPr>
          <w:p w14:paraId="73B70C5E" w14:textId="0D42D3A6" w:rsidR="41AB3126" w:rsidRDefault="41AB3126" w:rsidP="0407C32D">
            <w:pPr>
              <w:spacing w:line="360" w:lineRule="auto"/>
              <w:rPr>
                <w:rFonts w:ascii="Arial" w:eastAsia="Arial" w:hAnsi="Arial" w:cs="Arial"/>
                <w:sz w:val="22"/>
                <w:szCs w:val="22"/>
              </w:rPr>
            </w:pPr>
            <w:r w:rsidRPr="0407C32D">
              <w:rPr>
                <w:rFonts w:ascii="Arial" w:eastAsia="Arial" w:hAnsi="Arial" w:cs="Arial"/>
                <w:color w:val="0F1115"/>
                <w:sz w:val="22"/>
                <w:szCs w:val="22"/>
              </w:rPr>
              <w:t>Local Communities; Environmental NGOs; IHG Executive Team</w:t>
            </w:r>
          </w:p>
        </w:tc>
        <w:tc>
          <w:tcPr>
            <w:tcW w:w="1803" w:type="dxa"/>
          </w:tcPr>
          <w:p w14:paraId="7E025E85" w14:textId="7E5C97AF"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As required by law; Quarterly compliance reviews</w:t>
            </w:r>
          </w:p>
        </w:tc>
        <w:tc>
          <w:tcPr>
            <w:tcW w:w="1935" w:type="dxa"/>
          </w:tcPr>
          <w:p w14:paraId="0D487E3A" w14:textId="347FF2C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Formal compliance reports; Regulatory filings; Industry association working groups (GDPR, 2018)</w:t>
            </w:r>
          </w:p>
        </w:tc>
        <w:tc>
          <w:tcPr>
            <w:tcW w:w="1671" w:type="dxa"/>
          </w:tcPr>
          <w:p w14:paraId="6B31AAB7" w14:textId="0C97AA66"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Legal Counsel; Data Protection Officer</w:t>
            </w:r>
          </w:p>
        </w:tc>
      </w:tr>
      <w:tr w:rsidR="0407C32D" w14:paraId="4B67EFC4" w14:textId="77777777" w:rsidTr="0407C32D">
        <w:trPr>
          <w:trHeight w:val="300"/>
        </w:trPr>
        <w:tc>
          <w:tcPr>
            <w:tcW w:w="1803" w:type="dxa"/>
          </w:tcPr>
          <w:p w14:paraId="20E50529" w14:textId="672C6AA2"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Sustainability Impact &amp; ESG Metrics</w:t>
            </w:r>
          </w:p>
        </w:tc>
        <w:tc>
          <w:tcPr>
            <w:tcW w:w="1803" w:type="dxa"/>
          </w:tcPr>
          <w:p w14:paraId="1A5F850B" w14:textId="125371CB" w:rsidR="2009CCFB" w:rsidRDefault="2009CCFB" w:rsidP="0407C32D">
            <w:pPr>
              <w:spacing w:line="360" w:lineRule="auto"/>
              <w:rPr>
                <w:rFonts w:ascii="Arial" w:eastAsia="Arial" w:hAnsi="Arial" w:cs="Arial"/>
                <w:sz w:val="22"/>
                <w:szCs w:val="22"/>
              </w:rPr>
            </w:pPr>
            <w:r w:rsidRPr="0407C32D">
              <w:rPr>
                <w:rFonts w:ascii="Arial" w:eastAsia="Arial" w:hAnsi="Arial" w:cs="Arial"/>
                <w:color w:val="0F1115"/>
                <w:sz w:val="22"/>
                <w:szCs w:val="22"/>
              </w:rPr>
              <w:t xml:space="preserve">Local Communities; Environmental NGOs; IHG </w:t>
            </w:r>
            <w:r w:rsidRPr="0407C32D">
              <w:rPr>
                <w:rFonts w:ascii="Arial" w:eastAsia="Arial" w:hAnsi="Arial" w:cs="Arial"/>
                <w:color w:val="0F1115"/>
                <w:sz w:val="22"/>
                <w:szCs w:val="22"/>
              </w:rPr>
              <w:lastRenderedPageBreak/>
              <w:t>Executive Team</w:t>
            </w:r>
          </w:p>
        </w:tc>
        <w:tc>
          <w:tcPr>
            <w:tcW w:w="1803" w:type="dxa"/>
          </w:tcPr>
          <w:p w14:paraId="59359A9C" w14:textId="65ABDDBF"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lastRenderedPageBreak/>
              <w:t>At launch; Bi-annually thereafter</w:t>
            </w:r>
          </w:p>
        </w:tc>
        <w:tc>
          <w:tcPr>
            <w:tcW w:w="1935" w:type="dxa"/>
          </w:tcPr>
          <w:p w14:paraId="7B056491" w14:textId="42E1ED9E"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 xml:space="preserve">Sustainability reports; Community open days; </w:t>
            </w:r>
            <w:r w:rsidRPr="0407C32D">
              <w:rPr>
                <w:rFonts w:ascii="Arial" w:eastAsia="Arial" w:hAnsi="Arial" w:cs="Arial"/>
                <w:color w:val="0F1115"/>
                <w:sz w:val="22"/>
                <w:szCs w:val="22"/>
              </w:rPr>
              <w:lastRenderedPageBreak/>
              <w:t>Local press releases; NGO partnership briefings (Font and Lynes, 2018; United Nations, 2015)</w:t>
            </w:r>
          </w:p>
        </w:tc>
        <w:tc>
          <w:tcPr>
            <w:tcW w:w="1671" w:type="dxa"/>
          </w:tcPr>
          <w:p w14:paraId="3A9EE1E1" w14:textId="1E3ACFB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lastRenderedPageBreak/>
              <w:t>Sustainability Manager; Regional PR Team</w:t>
            </w:r>
          </w:p>
        </w:tc>
      </w:tr>
      <w:tr w:rsidR="0407C32D" w14:paraId="352D0224" w14:textId="77777777" w:rsidTr="0407C32D">
        <w:trPr>
          <w:trHeight w:val="300"/>
        </w:trPr>
        <w:tc>
          <w:tcPr>
            <w:tcW w:w="1803" w:type="dxa"/>
          </w:tcPr>
          <w:p w14:paraId="5D387EA1" w14:textId="170A95D8"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Progress Updates &amp; Milestone Achievements</w:t>
            </w:r>
          </w:p>
        </w:tc>
        <w:tc>
          <w:tcPr>
            <w:tcW w:w="1803" w:type="dxa"/>
          </w:tcPr>
          <w:p w14:paraId="22454C45" w14:textId="46B6005A" w:rsidR="7EB1BACA" w:rsidRDefault="7EB1BACA" w:rsidP="0407C32D">
            <w:pPr>
              <w:spacing w:line="360" w:lineRule="auto"/>
              <w:rPr>
                <w:rFonts w:ascii="Arial" w:eastAsia="Arial" w:hAnsi="Arial" w:cs="Arial"/>
                <w:sz w:val="22"/>
                <w:szCs w:val="22"/>
              </w:rPr>
            </w:pPr>
            <w:r w:rsidRPr="0407C32D">
              <w:rPr>
                <w:rFonts w:ascii="Arial" w:eastAsia="Arial" w:hAnsi="Arial" w:cs="Arial"/>
                <w:color w:val="0F1115"/>
                <w:sz w:val="22"/>
                <w:szCs w:val="22"/>
              </w:rPr>
              <w:t>All internal stakeholders (IHG employees, GMs, Owners)</w:t>
            </w:r>
          </w:p>
        </w:tc>
        <w:tc>
          <w:tcPr>
            <w:tcW w:w="1803" w:type="dxa"/>
          </w:tcPr>
          <w:p w14:paraId="26B70BE0" w14:textId="39959A38"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Monthly; Ad-hoc for critical milestones</w:t>
            </w:r>
          </w:p>
        </w:tc>
        <w:tc>
          <w:tcPr>
            <w:tcW w:w="1935" w:type="dxa"/>
          </w:tcPr>
          <w:p w14:paraId="61D83725" w14:textId="24E2B9A5"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"Stay</w:t>
            </w:r>
            <w:r w:rsidR="3057CCDB" w:rsidRPr="0407C32D">
              <w:rPr>
                <w:rFonts w:ascii="Arial" w:eastAsia="Arial" w:hAnsi="Arial" w:cs="Arial"/>
                <w:color w:val="0F1115"/>
                <w:sz w:val="22"/>
                <w:szCs w:val="22"/>
              </w:rPr>
              <w:t xml:space="preserve"> </w:t>
            </w:r>
            <w:r w:rsidRPr="0407C32D">
              <w:rPr>
                <w:rFonts w:ascii="Arial" w:eastAsia="Arial" w:hAnsi="Arial" w:cs="Arial"/>
                <w:color w:val="0F1115"/>
                <w:sz w:val="22"/>
                <w:szCs w:val="22"/>
              </w:rPr>
              <w:t>Smart+ Spotlight" newsletter; Intranet portal; Town hall webinars (Visme, 2025)</w:t>
            </w:r>
          </w:p>
        </w:tc>
        <w:tc>
          <w:tcPr>
            <w:tcW w:w="1671" w:type="dxa"/>
          </w:tcPr>
          <w:p w14:paraId="53863076" w14:textId="68F645EB"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Project Coordinator; Internal Communications Team</w:t>
            </w:r>
          </w:p>
        </w:tc>
      </w:tr>
      <w:tr w:rsidR="0407C32D" w14:paraId="0B5E3C48" w14:textId="77777777" w:rsidTr="0407C32D">
        <w:trPr>
          <w:trHeight w:val="300"/>
        </w:trPr>
        <w:tc>
          <w:tcPr>
            <w:tcW w:w="1803" w:type="dxa"/>
          </w:tcPr>
          <w:p w14:paraId="6BE3AB92" w14:textId="04A2845B"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System Performance &amp; Technical Support</w:t>
            </w:r>
          </w:p>
        </w:tc>
        <w:tc>
          <w:tcPr>
            <w:tcW w:w="1803" w:type="dxa"/>
          </w:tcPr>
          <w:p w14:paraId="13E15D2B" w14:textId="3AE5D73F" w:rsidR="43BB5717" w:rsidRDefault="43BB5717" w:rsidP="0407C32D">
            <w:pPr>
              <w:spacing w:line="360" w:lineRule="auto"/>
              <w:rPr>
                <w:rFonts w:ascii="Arial" w:eastAsia="Arial" w:hAnsi="Arial" w:cs="Arial"/>
                <w:sz w:val="22"/>
                <w:szCs w:val="22"/>
              </w:rPr>
            </w:pPr>
            <w:r w:rsidRPr="0407C32D">
              <w:rPr>
                <w:rFonts w:ascii="Arial" w:eastAsia="Arial" w:hAnsi="Arial" w:cs="Arial"/>
                <w:color w:val="0F1115"/>
                <w:sz w:val="22"/>
                <w:szCs w:val="22"/>
              </w:rPr>
              <w:t>Hotel GMs; IT Support Teams; Technology Partners</w:t>
            </w:r>
          </w:p>
        </w:tc>
        <w:tc>
          <w:tcPr>
            <w:tcW w:w="1803" w:type="dxa"/>
          </w:tcPr>
          <w:p w14:paraId="60E95B0A" w14:textId="4D2434A3"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Daily during rollout; Weekly ongoing</w:t>
            </w:r>
          </w:p>
        </w:tc>
        <w:tc>
          <w:tcPr>
            <w:tcW w:w="1935" w:type="dxa"/>
          </w:tcPr>
          <w:p w14:paraId="2C081094" w14:textId="7BB64701"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Real-time dashboards; Support ticketing system; Technical advisory calls (Christopher, Payne and Ballantyne, 2013)</w:t>
            </w:r>
          </w:p>
        </w:tc>
        <w:tc>
          <w:tcPr>
            <w:tcW w:w="1671" w:type="dxa"/>
          </w:tcPr>
          <w:p w14:paraId="56A6DED6" w14:textId="5FC9DD64"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IT Support Desk; Technology Partners</w:t>
            </w:r>
          </w:p>
        </w:tc>
      </w:tr>
      <w:tr w:rsidR="0407C32D" w14:paraId="7DC0A6FE" w14:textId="77777777" w:rsidTr="0407C32D">
        <w:trPr>
          <w:trHeight w:val="300"/>
        </w:trPr>
        <w:tc>
          <w:tcPr>
            <w:tcW w:w="1803" w:type="dxa"/>
          </w:tcPr>
          <w:p w14:paraId="7952A1D6" w14:textId="5CDC3BC5"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Conflict Resolution &amp; Issue Escalation</w:t>
            </w:r>
          </w:p>
        </w:tc>
        <w:tc>
          <w:tcPr>
            <w:tcW w:w="1803" w:type="dxa"/>
          </w:tcPr>
          <w:p w14:paraId="37288342" w14:textId="3CE675BC" w:rsidR="09CCFB76" w:rsidRDefault="09CCFB76" w:rsidP="0407C32D">
            <w:pPr>
              <w:spacing w:line="360" w:lineRule="auto"/>
              <w:rPr>
                <w:rFonts w:ascii="Arial" w:eastAsia="Arial" w:hAnsi="Arial" w:cs="Arial"/>
                <w:sz w:val="22"/>
                <w:szCs w:val="22"/>
              </w:rPr>
            </w:pPr>
            <w:r w:rsidRPr="0407C32D">
              <w:rPr>
                <w:rFonts w:ascii="Arial" w:eastAsia="Arial" w:hAnsi="Arial" w:cs="Arial"/>
                <w:color w:val="0F1115"/>
                <w:sz w:val="22"/>
                <w:szCs w:val="22"/>
              </w:rPr>
              <w:t>Hotel Owners; GMs; Technology Partners</w:t>
            </w:r>
          </w:p>
        </w:tc>
        <w:tc>
          <w:tcPr>
            <w:tcW w:w="1803" w:type="dxa"/>
          </w:tcPr>
          <w:p w14:paraId="395B5049" w14:textId="68B2988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As conflicts arise</w:t>
            </w:r>
          </w:p>
        </w:tc>
        <w:tc>
          <w:tcPr>
            <w:tcW w:w="1935" w:type="dxa"/>
          </w:tcPr>
          <w:p w14:paraId="2DB16DB9" w14:textId="16E6F691"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Mediated meetings; Formal escalation protocols; Collaborative problem-solving sessions (Freeman et al., 2010)</w:t>
            </w:r>
          </w:p>
        </w:tc>
        <w:tc>
          <w:tcPr>
            <w:tcW w:w="1671" w:type="dxa"/>
          </w:tcPr>
          <w:p w14:paraId="59C1C062" w14:textId="3928B5CF"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Project Manager; Regional Directors</w:t>
            </w:r>
          </w:p>
        </w:tc>
      </w:tr>
      <w:tr w:rsidR="0407C32D" w14:paraId="7C70FAF4" w14:textId="77777777" w:rsidTr="0407C32D">
        <w:trPr>
          <w:trHeight w:val="300"/>
        </w:trPr>
        <w:tc>
          <w:tcPr>
            <w:tcW w:w="1803" w:type="dxa"/>
          </w:tcPr>
          <w:p w14:paraId="05A774DE" w14:textId="7CD25A4A"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lastRenderedPageBreak/>
              <w:t>Guest Feedback &amp; Satisfaction Metrics</w:t>
            </w:r>
          </w:p>
        </w:tc>
        <w:tc>
          <w:tcPr>
            <w:tcW w:w="1803" w:type="dxa"/>
          </w:tcPr>
          <w:p w14:paraId="1604C73C" w14:textId="0D395995"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Product Development Team; Marketing Team; Hotel GMs</w:t>
            </w:r>
          </w:p>
        </w:tc>
        <w:tc>
          <w:tcPr>
            <w:tcW w:w="1803" w:type="dxa"/>
          </w:tcPr>
          <w:p w14:paraId="2B5347D0" w14:textId="5576E95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Weekly post-launch</w:t>
            </w:r>
          </w:p>
        </w:tc>
        <w:tc>
          <w:tcPr>
            <w:tcW w:w="1935" w:type="dxa"/>
          </w:tcPr>
          <w:p w14:paraId="7F8AA2F1" w14:textId="2E1949A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 xml:space="preserve">NPS survey reports; </w:t>
            </w:r>
            <w:r w:rsidR="579E39B1" w:rsidRPr="0407C32D">
              <w:rPr>
                <w:rFonts w:ascii="Arial" w:eastAsia="Arial" w:hAnsi="Arial" w:cs="Arial"/>
                <w:color w:val="0F1115"/>
                <w:sz w:val="22"/>
                <w:szCs w:val="22"/>
              </w:rPr>
              <w:t>social media</w:t>
            </w:r>
            <w:r w:rsidRPr="0407C32D">
              <w:rPr>
                <w:rFonts w:ascii="Arial" w:eastAsia="Arial" w:hAnsi="Arial" w:cs="Arial"/>
                <w:color w:val="0F1115"/>
                <w:sz w:val="22"/>
                <w:szCs w:val="22"/>
              </w:rPr>
              <w:t xml:space="preserve"> listening tools; Review aggregation dashboards (Oliver, 2010)</w:t>
            </w:r>
          </w:p>
        </w:tc>
        <w:tc>
          <w:tcPr>
            <w:tcW w:w="1671" w:type="dxa"/>
          </w:tcPr>
          <w:p w14:paraId="425E13FC" w14:textId="7A44C2BB"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Guest Experience Manager; Data Analytics Team</w:t>
            </w:r>
          </w:p>
        </w:tc>
      </w:tr>
      <w:tr w:rsidR="0407C32D" w14:paraId="63EB6AD4" w14:textId="77777777" w:rsidTr="0407C32D">
        <w:trPr>
          <w:trHeight w:val="300"/>
        </w:trPr>
        <w:tc>
          <w:tcPr>
            <w:tcW w:w="1803" w:type="dxa"/>
          </w:tcPr>
          <w:p w14:paraId="36E3EEB0" w14:textId="70CB67B5"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Competitive Intelligence &amp; Market Positioning</w:t>
            </w:r>
          </w:p>
        </w:tc>
        <w:tc>
          <w:tcPr>
            <w:tcW w:w="1803" w:type="dxa"/>
          </w:tcPr>
          <w:p w14:paraId="4B1351E7" w14:textId="3BB3A5A2"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IHG Executive Team; Global Marketing Team; Hotel Owners</w:t>
            </w:r>
          </w:p>
        </w:tc>
        <w:tc>
          <w:tcPr>
            <w:tcW w:w="1803" w:type="dxa"/>
          </w:tcPr>
          <w:p w14:paraId="4B88060B" w14:textId="09AB17D5"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Quarterly</w:t>
            </w:r>
          </w:p>
        </w:tc>
        <w:tc>
          <w:tcPr>
            <w:tcW w:w="1935" w:type="dxa"/>
          </w:tcPr>
          <w:p w14:paraId="68CB5BA8" w14:textId="186311E5"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Industry analysis reports; Competitor benchmarking; Market intelligence briefings (Warislohner, 2025)</w:t>
            </w:r>
          </w:p>
        </w:tc>
        <w:tc>
          <w:tcPr>
            <w:tcW w:w="1671" w:type="dxa"/>
          </w:tcPr>
          <w:p w14:paraId="5AE33700" w14:textId="0D23EEEE"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Market Research Manager; Strategy Team</w:t>
            </w:r>
          </w:p>
        </w:tc>
      </w:tr>
      <w:tr w:rsidR="0407C32D" w14:paraId="6E39D4E8" w14:textId="77777777" w:rsidTr="0407C32D">
        <w:trPr>
          <w:trHeight w:val="300"/>
        </w:trPr>
        <w:tc>
          <w:tcPr>
            <w:tcW w:w="1803" w:type="dxa"/>
          </w:tcPr>
          <w:p w14:paraId="32D1D777" w14:textId="6C740760"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Loyalty Programme Integration</w:t>
            </w:r>
          </w:p>
        </w:tc>
        <w:tc>
          <w:tcPr>
            <w:tcW w:w="1803" w:type="dxa"/>
          </w:tcPr>
          <w:p w14:paraId="6EFCBD7E" w14:textId="1C904295"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IHG Rewards Members; Loyalty Team; Hotel GMs</w:t>
            </w:r>
          </w:p>
        </w:tc>
        <w:tc>
          <w:tcPr>
            <w:tcW w:w="1803" w:type="dxa"/>
          </w:tcPr>
          <w:p w14:paraId="137E6AF8" w14:textId="0D5A1930"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Monthly; At key campaign launches</w:t>
            </w:r>
          </w:p>
        </w:tc>
        <w:tc>
          <w:tcPr>
            <w:tcW w:w="1935" w:type="dxa"/>
          </w:tcPr>
          <w:p w14:paraId="39621A37" w14:textId="5AADEADE"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Loyalty programme communications; In-app loyalty updates; Member-exclusive offers (Buttle and Maklan, 2019)</w:t>
            </w:r>
          </w:p>
        </w:tc>
        <w:tc>
          <w:tcPr>
            <w:tcW w:w="1671" w:type="dxa"/>
          </w:tcPr>
          <w:p w14:paraId="493DB26F" w14:textId="0BF12711"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Loyalty Programme Manager; CRM Team</w:t>
            </w:r>
          </w:p>
        </w:tc>
      </w:tr>
      <w:tr w:rsidR="0407C32D" w14:paraId="2CC9B4CF" w14:textId="77777777" w:rsidTr="0407C32D">
        <w:trPr>
          <w:trHeight w:val="300"/>
        </w:trPr>
        <w:tc>
          <w:tcPr>
            <w:tcW w:w="1803" w:type="dxa"/>
          </w:tcPr>
          <w:p w14:paraId="5ED0B307" w14:textId="41DC8344"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Supply Chain &amp; Amenities Delivery</w:t>
            </w:r>
          </w:p>
        </w:tc>
        <w:tc>
          <w:tcPr>
            <w:tcW w:w="1803" w:type="dxa"/>
          </w:tcPr>
          <w:p w14:paraId="394B00FD" w14:textId="4E4F0411"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Hotel Suppliers; Procurement Team; Hotel GMs</w:t>
            </w:r>
          </w:p>
        </w:tc>
        <w:tc>
          <w:tcPr>
            <w:tcW w:w="1803" w:type="dxa"/>
          </w:tcPr>
          <w:p w14:paraId="0D8DD491" w14:textId="43968ECC"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Weekly during rollout</w:t>
            </w:r>
          </w:p>
        </w:tc>
        <w:tc>
          <w:tcPr>
            <w:tcW w:w="1935" w:type="dxa"/>
          </w:tcPr>
          <w:p w14:paraId="793ACE6B" w14:textId="28A4106F"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Supplier portal; Delivery tracking dashboard; Quality assurance reports (Clarkson, 1995)</w:t>
            </w:r>
          </w:p>
        </w:tc>
        <w:tc>
          <w:tcPr>
            <w:tcW w:w="1671" w:type="dxa"/>
          </w:tcPr>
          <w:p w14:paraId="08B5D56A" w14:textId="24A6CC33"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Procurement Manager; Supply Chain Coordinator</w:t>
            </w:r>
          </w:p>
        </w:tc>
      </w:tr>
      <w:tr w:rsidR="0407C32D" w14:paraId="7DE51F28" w14:textId="77777777" w:rsidTr="0407C32D">
        <w:trPr>
          <w:trHeight w:val="300"/>
        </w:trPr>
        <w:tc>
          <w:tcPr>
            <w:tcW w:w="1803" w:type="dxa"/>
          </w:tcPr>
          <w:p w14:paraId="03DCA73F" w14:textId="34A00EB5"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lastRenderedPageBreak/>
              <w:t>Shareholder &amp; Investor Communications</w:t>
            </w:r>
          </w:p>
        </w:tc>
        <w:tc>
          <w:tcPr>
            <w:tcW w:w="1803" w:type="dxa"/>
          </w:tcPr>
          <w:p w14:paraId="38F9982A" w14:textId="69578DE2"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Investment Analysts; Shareholders; Financial Media</w:t>
            </w:r>
          </w:p>
        </w:tc>
        <w:tc>
          <w:tcPr>
            <w:tcW w:w="1803" w:type="dxa"/>
          </w:tcPr>
          <w:p w14:paraId="753B67BA" w14:textId="7447F302" w:rsidR="0407C32D" w:rsidRDefault="0407C32D" w:rsidP="0407C32D">
            <w:pPr>
              <w:spacing w:line="360" w:lineRule="auto"/>
              <w:rPr>
                <w:rFonts w:ascii="Arial" w:eastAsia="Arial" w:hAnsi="Arial" w:cs="Arial"/>
                <w:color w:val="0F1115"/>
                <w:sz w:val="22"/>
                <w:szCs w:val="22"/>
              </w:rPr>
            </w:pPr>
            <w:proofErr w:type="gramStart"/>
            <w:r w:rsidRPr="0407C32D">
              <w:rPr>
                <w:rFonts w:ascii="Arial" w:eastAsia="Arial" w:hAnsi="Arial" w:cs="Arial"/>
                <w:color w:val="0F1115"/>
                <w:sz w:val="22"/>
                <w:szCs w:val="22"/>
              </w:rPr>
              <w:t>Quarterly;</w:t>
            </w:r>
            <w:proofErr w:type="gramEnd"/>
            <w:r w:rsidRPr="0407C32D">
              <w:rPr>
                <w:rFonts w:ascii="Arial" w:eastAsia="Arial" w:hAnsi="Arial" w:cs="Arial"/>
                <w:color w:val="0F1115"/>
                <w:sz w:val="22"/>
                <w:szCs w:val="22"/>
              </w:rPr>
              <w:t xml:space="preserve"> At major announcements</w:t>
            </w:r>
          </w:p>
        </w:tc>
        <w:tc>
          <w:tcPr>
            <w:tcW w:w="1935" w:type="dxa"/>
          </w:tcPr>
          <w:p w14:paraId="29D10EBD" w14:textId="510D0D1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Earnings calls; Annual report; Investor roadshows; Regulatory announcements (IHG, 2025)</w:t>
            </w:r>
          </w:p>
        </w:tc>
        <w:tc>
          <w:tcPr>
            <w:tcW w:w="1671" w:type="dxa"/>
          </w:tcPr>
          <w:p w14:paraId="6A6524F9" w14:textId="5A26D90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IHG Investor Relations; Chief Financial Officer</w:t>
            </w:r>
          </w:p>
        </w:tc>
      </w:tr>
      <w:tr w:rsidR="0407C32D" w14:paraId="1C6EEEAF" w14:textId="77777777" w:rsidTr="0407C32D">
        <w:trPr>
          <w:trHeight w:val="300"/>
        </w:trPr>
        <w:tc>
          <w:tcPr>
            <w:tcW w:w="1803" w:type="dxa"/>
          </w:tcPr>
          <w:p w14:paraId="171964CE" w14:textId="474CEE45"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Local Community Impact Reporting</w:t>
            </w:r>
          </w:p>
        </w:tc>
        <w:tc>
          <w:tcPr>
            <w:tcW w:w="1803" w:type="dxa"/>
          </w:tcPr>
          <w:p w14:paraId="5C8DA402" w14:textId="3C06083E"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Local Communities; Regional Government; NGOs</w:t>
            </w:r>
          </w:p>
        </w:tc>
        <w:tc>
          <w:tcPr>
            <w:tcW w:w="1803" w:type="dxa"/>
          </w:tcPr>
          <w:p w14:paraId="5AC41DB9" w14:textId="1D111039"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Bi-annually</w:t>
            </w:r>
          </w:p>
        </w:tc>
        <w:tc>
          <w:tcPr>
            <w:tcW w:w="1935" w:type="dxa"/>
          </w:tcPr>
          <w:p w14:paraId="3BA813E4" w14:textId="5AF9836B"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Community newsletters; Local media partnerships; Public meetings (Elkington, 1997; Yang, 2024)</w:t>
            </w:r>
          </w:p>
        </w:tc>
        <w:tc>
          <w:tcPr>
            <w:tcW w:w="1671" w:type="dxa"/>
          </w:tcPr>
          <w:p w14:paraId="110848A5" w14:textId="69C6F52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Regional PR Manager; Sustainability Officer</w:t>
            </w:r>
          </w:p>
        </w:tc>
      </w:tr>
      <w:tr w:rsidR="0407C32D" w14:paraId="255E193F" w14:textId="77777777" w:rsidTr="0407C32D">
        <w:trPr>
          <w:trHeight w:val="300"/>
        </w:trPr>
        <w:tc>
          <w:tcPr>
            <w:tcW w:w="1803" w:type="dxa"/>
          </w:tcPr>
          <w:p w14:paraId="58E4AFF2" w14:textId="2BB64DEA"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Crisis Communication &amp; Issue Management</w:t>
            </w:r>
          </w:p>
        </w:tc>
        <w:tc>
          <w:tcPr>
            <w:tcW w:w="1803" w:type="dxa"/>
          </w:tcPr>
          <w:p w14:paraId="4CAEFD10" w14:textId="1A046EB6"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All stakeholders (tiered based on impact)</w:t>
            </w:r>
          </w:p>
        </w:tc>
        <w:tc>
          <w:tcPr>
            <w:tcW w:w="1803" w:type="dxa"/>
          </w:tcPr>
          <w:p w14:paraId="7EA30E19" w14:textId="651F9DE1"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Immediately upon issue identification</w:t>
            </w:r>
          </w:p>
        </w:tc>
        <w:tc>
          <w:tcPr>
            <w:tcW w:w="1935" w:type="dxa"/>
          </w:tcPr>
          <w:p w14:paraId="3890FAD3" w14:textId="2B218926"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Emergency alerts; Press statements; Direct stakeholder calls; Social media monitoring (Pears and Shields, 2022)</w:t>
            </w:r>
          </w:p>
        </w:tc>
        <w:tc>
          <w:tcPr>
            <w:tcW w:w="1671" w:type="dxa"/>
          </w:tcPr>
          <w:p w14:paraId="4AC8C9AE" w14:textId="598D33FC"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Corporate Communications; Crisis Management Team</w:t>
            </w:r>
          </w:p>
        </w:tc>
      </w:tr>
      <w:tr w:rsidR="0407C32D" w14:paraId="64B0328C" w14:textId="77777777" w:rsidTr="0407C32D">
        <w:trPr>
          <w:trHeight w:val="300"/>
        </w:trPr>
        <w:tc>
          <w:tcPr>
            <w:tcW w:w="1803" w:type="dxa"/>
          </w:tcPr>
          <w:p w14:paraId="4DB604D8" w14:textId="6AE5264D"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t>Post-Launch Review &amp; Lessons Learned</w:t>
            </w:r>
          </w:p>
        </w:tc>
        <w:tc>
          <w:tcPr>
            <w:tcW w:w="1803" w:type="dxa"/>
          </w:tcPr>
          <w:p w14:paraId="32228411" w14:textId="4CB9E165"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All internal stakeholders; Key external partners</w:t>
            </w:r>
          </w:p>
        </w:tc>
        <w:tc>
          <w:tcPr>
            <w:tcW w:w="1803" w:type="dxa"/>
          </w:tcPr>
          <w:p w14:paraId="05DB097D" w14:textId="5AA3A11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3 months post-launch</w:t>
            </w:r>
          </w:p>
        </w:tc>
        <w:tc>
          <w:tcPr>
            <w:tcW w:w="1935" w:type="dxa"/>
          </w:tcPr>
          <w:p w14:paraId="79A1092C" w14:textId="1838D09A"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Comprehensive review report; Stakeholder feedback workshops; Continuous improvement roadmap (Project Management Institute, 2021)</w:t>
            </w:r>
          </w:p>
        </w:tc>
        <w:tc>
          <w:tcPr>
            <w:tcW w:w="1671" w:type="dxa"/>
          </w:tcPr>
          <w:p w14:paraId="6B427F59" w14:textId="653F947C"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Project Manager; Quality Assurance Team</w:t>
            </w:r>
          </w:p>
        </w:tc>
      </w:tr>
      <w:tr w:rsidR="0407C32D" w14:paraId="46FED8A7" w14:textId="77777777" w:rsidTr="0407C32D">
        <w:trPr>
          <w:trHeight w:val="300"/>
        </w:trPr>
        <w:tc>
          <w:tcPr>
            <w:tcW w:w="1803" w:type="dxa"/>
          </w:tcPr>
          <w:p w14:paraId="15C4A44C" w14:textId="2A2A5DBD" w:rsidR="6B6348E2" w:rsidRDefault="6B6348E2" w:rsidP="0407C32D">
            <w:pPr>
              <w:spacing w:line="360" w:lineRule="auto"/>
              <w:rPr>
                <w:rFonts w:ascii="Arial" w:eastAsia="Arial" w:hAnsi="Arial" w:cs="Arial"/>
                <w:sz w:val="22"/>
                <w:szCs w:val="22"/>
              </w:rPr>
            </w:pPr>
            <w:r w:rsidRPr="0407C32D">
              <w:rPr>
                <w:rFonts w:ascii="Arial" w:eastAsia="Arial" w:hAnsi="Arial" w:cs="Arial"/>
                <w:b/>
                <w:bCs/>
                <w:color w:val="0F1115"/>
                <w:sz w:val="22"/>
                <w:szCs w:val="22"/>
              </w:rPr>
              <w:lastRenderedPageBreak/>
              <w:t>Celebration &amp; Success Recognition</w:t>
            </w:r>
          </w:p>
        </w:tc>
        <w:tc>
          <w:tcPr>
            <w:tcW w:w="1803" w:type="dxa"/>
          </w:tcPr>
          <w:p w14:paraId="4E8B96CD" w14:textId="69EE0966" w:rsidR="6B6348E2" w:rsidRDefault="6B6348E2" w:rsidP="0407C32D">
            <w:pPr>
              <w:spacing w:line="360" w:lineRule="auto"/>
              <w:rPr>
                <w:rFonts w:ascii="Arial" w:eastAsia="Arial" w:hAnsi="Arial" w:cs="Arial"/>
                <w:sz w:val="22"/>
                <w:szCs w:val="22"/>
              </w:rPr>
            </w:pPr>
            <w:r w:rsidRPr="0407C32D">
              <w:rPr>
                <w:rFonts w:ascii="Arial" w:eastAsia="Arial" w:hAnsi="Arial" w:cs="Arial"/>
                <w:color w:val="0F1115"/>
                <w:sz w:val="22"/>
                <w:szCs w:val="22"/>
              </w:rPr>
              <w:t>All project contributors; Hotel staff; Partners</w:t>
            </w:r>
          </w:p>
        </w:tc>
        <w:tc>
          <w:tcPr>
            <w:tcW w:w="1803" w:type="dxa"/>
          </w:tcPr>
          <w:p w14:paraId="58CF8980" w14:textId="18327FA3"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At successful launch completion</w:t>
            </w:r>
          </w:p>
        </w:tc>
        <w:tc>
          <w:tcPr>
            <w:tcW w:w="1935" w:type="dxa"/>
          </w:tcPr>
          <w:p w14:paraId="7A5F971B" w14:textId="07CBFDB2"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Recognition events; Internal awards; Thank-you communications; Success story publications (Carroll and Shabana, 2010)</w:t>
            </w:r>
          </w:p>
        </w:tc>
        <w:tc>
          <w:tcPr>
            <w:tcW w:w="1671" w:type="dxa"/>
          </w:tcPr>
          <w:p w14:paraId="3BE5872E" w14:textId="0D93E01B" w:rsidR="0407C32D" w:rsidRDefault="0407C32D" w:rsidP="0407C32D">
            <w:pPr>
              <w:spacing w:line="360" w:lineRule="auto"/>
              <w:rPr>
                <w:rFonts w:ascii="Arial" w:eastAsia="Arial" w:hAnsi="Arial" w:cs="Arial"/>
                <w:color w:val="0F1115"/>
                <w:sz w:val="22"/>
                <w:szCs w:val="22"/>
              </w:rPr>
            </w:pPr>
            <w:r w:rsidRPr="0407C32D">
              <w:rPr>
                <w:rFonts w:ascii="Arial" w:eastAsia="Arial" w:hAnsi="Arial" w:cs="Arial"/>
                <w:color w:val="0F1115"/>
                <w:sz w:val="22"/>
                <w:szCs w:val="22"/>
              </w:rPr>
              <w:t>HR Manager; Project Manager; IGH Executive Team</w:t>
            </w:r>
          </w:p>
        </w:tc>
      </w:tr>
    </w:tbl>
    <w:p w14:paraId="76F6A9F4" w14:textId="2EA98424" w:rsidR="5A740515" w:rsidRDefault="5A740515"/>
    <w:p w14:paraId="008F8D84" w14:textId="0034BF89" w:rsidR="5A740515" w:rsidRDefault="23425D49" w:rsidP="2A4916C0">
      <w:pPr>
        <w:spacing w:line="360" w:lineRule="auto"/>
        <w:jc w:val="both"/>
        <w:rPr>
          <w:rFonts w:ascii="Arial" w:eastAsia="Arial" w:hAnsi="Arial" w:cs="Arial"/>
          <w:sz w:val="22"/>
          <w:szCs w:val="22"/>
        </w:rPr>
      </w:pPr>
      <w:r w:rsidRPr="2A4916C0">
        <w:rPr>
          <w:rFonts w:ascii="Arial" w:eastAsia="Arial" w:hAnsi="Arial" w:cs="Arial"/>
          <w:color w:val="0F1115"/>
          <w:sz w:val="22"/>
          <w:szCs w:val="22"/>
        </w:rPr>
        <w:t>This communication plan ensures that every stakeholder group receives tailored, timely information through channels they prefer, thereby fostering the transparency and trust essential for the successful launch of Stay Smart+. The plan will be reviewed monthly and updated based on stakeholder feedback and evolving project requirements (Freeman et al., 2010).</w:t>
      </w:r>
    </w:p>
    <w:p w14:paraId="39BC4543" w14:textId="0C1C9546" w:rsidR="4E61203A" w:rsidRDefault="09ED353C" w:rsidP="2A4916C0">
      <w:pPr>
        <w:pStyle w:val="Heading3"/>
        <w:shd w:val="clear" w:color="auto" w:fill="FFFFFF" w:themeFill="background1"/>
        <w:spacing w:before="480" w:after="240" w:line="450" w:lineRule="auto"/>
        <w:rPr>
          <w:rFonts w:ascii="Arial" w:eastAsia="Arial" w:hAnsi="Arial" w:cs="Arial"/>
          <w:b/>
          <w:bCs/>
          <w:color w:val="0F1115"/>
          <w:sz w:val="30"/>
          <w:szCs w:val="30"/>
        </w:rPr>
      </w:pPr>
      <w:bookmarkStart w:id="12" w:name="_Toc492098682"/>
      <w:r w:rsidRPr="2A4916C0">
        <w:rPr>
          <w:rFonts w:ascii="Arial" w:eastAsia="Arial" w:hAnsi="Arial" w:cs="Arial"/>
          <w:b/>
          <w:bCs/>
          <w:color w:val="0F1115"/>
          <w:sz w:val="30"/>
          <w:szCs w:val="30"/>
        </w:rPr>
        <w:t>5.0 Stakeholder Engagement Process and Conflict Management (The 4C's Model)</w:t>
      </w:r>
      <w:bookmarkEnd w:id="12"/>
    </w:p>
    <w:p w14:paraId="4810FDB7" w14:textId="08E7F0A0" w:rsidR="4E61203A" w:rsidRDefault="09ED353C" w:rsidP="2A4916C0">
      <w:p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color w:val="0F1115"/>
          <w:sz w:val="22"/>
          <w:szCs w:val="22"/>
        </w:rPr>
        <w:t>As Project Manager, the process of engagement must be dynamic and structured to foster ownership and mitigate resistance. A synthesis of engagement principles (Christopher, Payne and Ballantyne, 2013; Ashcroft, 2017) can be achieved through the 4C's Model: Communication, Collaboration, Consultation, and Commitment (Story Inc., 2021). This process is not linear but a continuous cycle.</w:t>
      </w:r>
    </w:p>
    <w:p w14:paraId="7023CC2D" w14:textId="5C0DBF64" w:rsidR="0407C32D" w:rsidRDefault="0407C32D" w:rsidP="0407C32D">
      <w:pPr>
        <w:shd w:val="clear" w:color="auto" w:fill="FFFFFF" w:themeFill="background1"/>
        <w:spacing w:before="240" w:after="240" w:line="360" w:lineRule="auto"/>
        <w:jc w:val="both"/>
        <w:rPr>
          <w:rFonts w:ascii="Arial" w:eastAsia="Arial" w:hAnsi="Arial" w:cs="Arial"/>
          <w:color w:val="0F1115"/>
          <w:sz w:val="22"/>
          <w:szCs w:val="22"/>
        </w:rPr>
      </w:pPr>
    </w:p>
    <w:p w14:paraId="22852402" w14:textId="0F3BD983" w:rsidR="4E61203A" w:rsidRDefault="11033FA1" w:rsidP="0407C32D">
      <w:pPr>
        <w:shd w:val="clear" w:color="auto" w:fill="FFFFFF" w:themeFill="background1"/>
        <w:spacing w:before="240" w:after="240" w:line="360" w:lineRule="auto"/>
        <w:jc w:val="both"/>
        <w:rPr>
          <w:rFonts w:ascii="Arial" w:eastAsia="Arial" w:hAnsi="Arial" w:cs="Arial"/>
          <w:color w:val="0F1115"/>
          <w:sz w:val="22"/>
          <w:szCs w:val="22"/>
        </w:rPr>
      </w:pPr>
      <w:r w:rsidRPr="0407C32D">
        <w:rPr>
          <w:rFonts w:ascii="Arial" w:eastAsia="Arial" w:hAnsi="Arial" w:cs="Arial"/>
          <w:b/>
          <w:bCs/>
          <w:color w:val="0F1115"/>
          <w:sz w:val="22"/>
          <w:szCs w:val="22"/>
        </w:rPr>
        <w:t>1. Communication (Building Awareness)</w:t>
      </w:r>
    </w:p>
    <w:p w14:paraId="3CAD5F7B" w14:textId="5423F80C" w:rsidR="4E61203A" w:rsidRDefault="4E61203A" w:rsidP="2A4916C0">
      <w:pPr>
        <w:shd w:val="clear" w:color="auto" w:fill="FFFFFF" w:themeFill="background1"/>
        <w:spacing w:before="240" w:after="240" w:line="360" w:lineRule="auto"/>
        <w:jc w:val="both"/>
        <w:rPr>
          <w:rFonts w:ascii="Arial" w:eastAsia="Arial" w:hAnsi="Arial" w:cs="Arial"/>
          <w:color w:val="0F1115"/>
          <w:sz w:val="22"/>
          <w:szCs w:val="22"/>
        </w:rPr>
      </w:pPr>
      <w:r>
        <w:br/>
      </w:r>
      <w:r w:rsidR="60E9F044" w:rsidRPr="2A4916C0">
        <w:rPr>
          <w:rFonts w:ascii="Arial" w:eastAsia="Arial" w:hAnsi="Arial" w:cs="Arial"/>
          <w:color w:val="0F1115"/>
          <w:sz w:val="22"/>
          <w:szCs w:val="22"/>
        </w:rPr>
        <w:t xml:space="preserve">The first step is to establish clear, transparent, and tailored communication channels. For high-power stakeholders like Hotel Owners, this involves one-on-one business case presentations detailing ROI, payback periods, and support from IHG. For GMs and Staff, communication must address the "what's in it for me?" factor, framing the AI not as a replacement but as a tool to reduce mundane tasks and enhance their role as hospitality professionals (Ashcroft, 2017). A project newsletter, an intranet portal, and regular town hall webinars will be </w:t>
      </w:r>
      <w:r w:rsidR="60E9F044" w:rsidRPr="2A4916C0">
        <w:rPr>
          <w:rFonts w:ascii="Arial" w:eastAsia="Arial" w:hAnsi="Arial" w:cs="Arial"/>
          <w:color w:val="0F1115"/>
          <w:sz w:val="22"/>
          <w:szCs w:val="22"/>
        </w:rPr>
        <w:lastRenderedPageBreak/>
        <w:t>established. For Regulatory Bodies, formal communication will ensure compliance from day one. Crucially, all communication will be adapted for cultural and linguistic differences in international markets, respecting the principle that "one size does not fit all" (Barakat and Wada, 2021).</w:t>
      </w:r>
    </w:p>
    <w:p w14:paraId="3B0D487E" w14:textId="5DD09C49" w:rsidR="4E61203A" w:rsidRDefault="11033FA1" w:rsidP="0407C32D">
      <w:pPr>
        <w:shd w:val="clear" w:color="auto" w:fill="FFFFFF" w:themeFill="background1"/>
        <w:spacing w:before="240" w:after="240" w:line="360" w:lineRule="auto"/>
        <w:jc w:val="both"/>
        <w:rPr>
          <w:rFonts w:ascii="Arial" w:eastAsia="Arial" w:hAnsi="Arial" w:cs="Arial"/>
          <w:color w:val="0F1115"/>
          <w:sz w:val="22"/>
          <w:szCs w:val="22"/>
        </w:rPr>
      </w:pPr>
      <w:r w:rsidRPr="0407C32D">
        <w:rPr>
          <w:rFonts w:ascii="Arial" w:eastAsia="Arial" w:hAnsi="Arial" w:cs="Arial"/>
          <w:b/>
          <w:bCs/>
          <w:color w:val="0F1115"/>
          <w:sz w:val="22"/>
          <w:szCs w:val="22"/>
        </w:rPr>
        <w:t>2. Consultation (Seeking Input)</w:t>
      </w:r>
    </w:p>
    <w:p w14:paraId="0C62CA32" w14:textId="41C9E117" w:rsidR="4E61203A" w:rsidRDefault="4E61203A" w:rsidP="2A4916C0">
      <w:pPr>
        <w:shd w:val="clear" w:color="auto" w:fill="FFFFFF" w:themeFill="background1"/>
        <w:spacing w:before="240" w:after="240" w:line="360" w:lineRule="auto"/>
        <w:jc w:val="both"/>
        <w:rPr>
          <w:rFonts w:ascii="Arial" w:eastAsia="Arial" w:hAnsi="Arial" w:cs="Arial"/>
          <w:color w:val="0F1115"/>
          <w:sz w:val="22"/>
          <w:szCs w:val="22"/>
        </w:rPr>
      </w:pPr>
      <w:r>
        <w:br/>
      </w:r>
      <w:r w:rsidR="60E9F044" w:rsidRPr="2A4916C0">
        <w:rPr>
          <w:rFonts w:ascii="Arial" w:eastAsia="Arial" w:hAnsi="Arial" w:cs="Arial"/>
          <w:color w:val="0F1115"/>
          <w:sz w:val="22"/>
          <w:szCs w:val="22"/>
        </w:rPr>
        <w:t>Before finalising the product, a consultation phase is critical. This moves beyond informing to actively listening. Focus groups with frequent guests (IHG Rewards members) will be conducted to test the AI interface and privacy preferences. Workshops with GMs from pilot hotels in London and Birmingham will be held to gather feedback on operational workflows. This aligns with the Integrated Stakeholder Sustainability Management framework, which emphasises understanding diverse interests to build collaborative partnerships (Barakat and Wada, 2021). For the sustainability features, consultation with</w:t>
      </w:r>
      <w:r w:rsidR="60E9F044" w:rsidRPr="2A4916C0">
        <w:rPr>
          <w:rFonts w:ascii="Arial" w:eastAsia="Arial" w:hAnsi="Arial" w:cs="Arial"/>
          <w:b/>
          <w:bCs/>
          <w:color w:val="0F1115"/>
          <w:sz w:val="22"/>
          <w:szCs w:val="22"/>
        </w:rPr>
        <w:t xml:space="preserve"> </w:t>
      </w:r>
      <w:r w:rsidR="60E9F044" w:rsidRPr="2A4916C0">
        <w:rPr>
          <w:rFonts w:ascii="Arial" w:eastAsia="Arial" w:hAnsi="Arial" w:cs="Arial"/>
          <w:color w:val="0F1115"/>
          <w:sz w:val="22"/>
          <w:szCs w:val="22"/>
        </w:rPr>
        <w:t>local community groups</w:t>
      </w:r>
      <w:r w:rsidR="60E9F044" w:rsidRPr="2A4916C0">
        <w:rPr>
          <w:rFonts w:ascii="Arial" w:eastAsia="Arial" w:hAnsi="Arial" w:cs="Arial"/>
          <w:b/>
          <w:bCs/>
          <w:color w:val="0F1115"/>
          <w:sz w:val="22"/>
          <w:szCs w:val="22"/>
        </w:rPr>
        <w:t xml:space="preserve"> </w:t>
      </w:r>
      <w:r w:rsidR="60E9F044" w:rsidRPr="2A4916C0">
        <w:rPr>
          <w:rFonts w:ascii="Arial" w:eastAsia="Arial" w:hAnsi="Arial" w:cs="Arial"/>
          <w:color w:val="0F1115"/>
          <w:sz w:val="22"/>
          <w:szCs w:val="22"/>
        </w:rPr>
        <w:t>and environmental NGOs in key markets will validate the authenticity of the initiatives and mitigate the risk of being perceived as disingenuous (Font and Lynes, 2018).</w:t>
      </w:r>
    </w:p>
    <w:p w14:paraId="16831D93" w14:textId="6B786008" w:rsidR="4590112F" w:rsidRDefault="4590112F" w:rsidP="4590112F">
      <w:pPr>
        <w:shd w:val="clear" w:color="auto" w:fill="FFFFFF" w:themeFill="background1"/>
        <w:spacing w:before="240" w:after="240" w:line="360" w:lineRule="auto"/>
        <w:jc w:val="both"/>
        <w:rPr>
          <w:rFonts w:ascii="Arial" w:eastAsia="Arial" w:hAnsi="Arial" w:cs="Arial"/>
          <w:color w:val="0F1115"/>
          <w:sz w:val="22"/>
          <w:szCs w:val="22"/>
        </w:rPr>
      </w:pPr>
    </w:p>
    <w:p w14:paraId="729EE4C3" w14:textId="54D056A5" w:rsidR="11033FA1" w:rsidRDefault="11033FA1" w:rsidP="0407C32D">
      <w:pPr>
        <w:shd w:val="clear" w:color="auto" w:fill="FFFFFF" w:themeFill="background1"/>
        <w:spacing w:before="240" w:after="240" w:line="360" w:lineRule="auto"/>
        <w:jc w:val="both"/>
        <w:rPr>
          <w:rFonts w:ascii="Arial" w:eastAsia="Arial" w:hAnsi="Arial" w:cs="Arial"/>
          <w:color w:val="0F1115"/>
          <w:sz w:val="22"/>
          <w:szCs w:val="22"/>
        </w:rPr>
      </w:pPr>
      <w:r w:rsidRPr="0407C32D">
        <w:rPr>
          <w:rFonts w:ascii="Arial" w:eastAsia="Arial" w:hAnsi="Arial" w:cs="Arial"/>
          <w:b/>
          <w:bCs/>
          <w:color w:val="0F1115"/>
        </w:rPr>
        <w:t>3. Collaboration (Co-Creating Solutions)</w:t>
      </w:r>
    </w:p>
    <w:p w14:paraId="260A082D" w14:textId="54FB986E" w:rsidR="4E61203A" w:rsidRDefault="4E61203A" w:rsidP="2A4916C0">
      <w:pPr>
        <w:shd w:val="clear" w:color="auto" w:fill="FFFFFF" w:themeFill="background1"/>
        <w:spacing w:before="240" w:after="240" w:line="360" w:lineRule="auto"/>
        <w:jc w:val="both"/>
        <w:rPr>
          <w:rFonts w:ascii="Arial" w:eastAsia="Arial" w:hAnsi="Arial" w:cs="Arial"/>
          <w:color w:val="0F1115"/>
          <w:sz w:val="22"/>
          <w:szCs w:val="22"/>
        </w:rPr>
      </w:pPr>
      <w:r>
        <w:br/>
      </w:r>
      <w:r w:rsidR="60E9F044" w:rsidRPr="2A4916C0">
        <w:rPr>
          <w:rFonts w:ascii="Arial" w:eastAsia="Arial" w:hAnsi="Arial" w:cs="Arial"/>
          <w:color w:val="0F1115"/>
          <w:sz w:val="22"/>
          <w:szCs w:val="22"/>
        </w:rPr>
        <w:t>Collaboration represents a deeper level of engagement (Christopher, Payne and Ballantyne, 2013). A "Stay</w:t>
      </w:r>
      <w:r w:rsidR="6C2F0916" w:rsidRPr="2A4916C0">
        <w:rPr>
          <w:rFonts w:ascii="Arial" w:eastAsia="Arial" w:hAnsi="Arial" w:cs="Arial"/>
          <w:color w:val="0F1115"/>
          <w:sz w:val="22"/>
          <w:szCs w:val="22"/>
        </w:rPr>
        <w:t xml:space="preserve"> </w:t>
      </w:r>
      <w:r w:rsidR="60E9F044" w:rsidRPr="2A4916C0">
        <w:rPr>
          <w:rFonts w:ascii="Arial" w:eastAsia="Arial" w:hAnsi="Arial" w:cs="Arial"/>
          <w:color w:val="0F1115"/>
          <w:sz w:val="22"/>
          <w:szCs w:val="22"/>
        </w:rPr>
        <w:t>Smart+ Owner Advisory Group" will be formed, consisting of a representative sample of franchisees from different regions. This group will collaborate on the final rollout schedule and provide input on the training modules. Similarly, a "Pilot Hotel Network" will be established where GMs from early-adopter hotels can share best practices and co-create troubleshooting guides for the wider group. This co-creation fosters a sense of ownership and transforms stakeholders from passive recipients into active partners.</w:t>
      </w:r>
    </w:p>
    <w:p w14:paraId="358584E5" w14:textId="2F9403E1" w:rsidR="0407C32D" w:rsidRDefault="0407C32D" w:rsidP="0407C32D">
      <w:pPr>
        <w:shd w:val="clear" w:color="auto" w:fill="FFFFFF" w:themeFill="background1"/>
        <w:spacing w:before="240" w:after="240" w:line="360" w:lineRule="auto"/>
        <w:jc w:val="both"/>
        <w:rPr>
          <w:rFonts w:ascii="Arial" w:eastAsia="Arial" w:hAnsi="Arial" w:cs="Arial"/>
          <w:color w:val="0F1115"/>
          <w:sz w:val="22"/>
          <w:szCs w:val="22"/>
        </w:rPr>
      </w:pPr>
    </w:p>
    <w:p w14:paraId="643C7BAD" w14:textId="04501098" w:rsidR="4E61203A" w:rsidRDefault="4E61203A" w:rsidP="0407C32D">
      <w:pPr>
        <w:shd w:val="clear" w:color="auto" w:fill="FFFFFF" w:themeFill="background1"/>
        <w:spacing w:before="240" w:after="240" w:line="360" w:lineRule="auto"/>
        <w:jc w:val="both"/>
        <w:rPr>
          <w:rFonts w:ascii="Arial" w:eastAsia="Arial" w:hAnsi="Arial" w:cs="Arial"/>
          <w:color w:val="0F1115"/>
          <w:sz w:val="22"/>
          <w:szCs w:val="22"/>
        </w:rPr>
      </w:pPr>
      <w:r w:rsidRPr="0407C32D">
        <w:rPr>
          <w:rFonts w:ascii="Arial" w:eastAsia="Arial" w:hAnsi="Arial" w:cs="Arial"/>
          <w:b/>
          <w:bCs/>
          <w:color w:val="0F1115"/>
        </w:rPr>
        <w:t>4. Commitment (Securing Buy-In)</w:t>
      </w:r>
    </w:p>
    <w:p w14:paraId="2F1F8C6C" w14:textId="29A80F7F" w:rsidR="4E61203A" w:rsidRDefault="4E61203A" w:rsidP="2A4916C0">
      <w:pPr>
        <w:shd w:val="clear" w:color="auto" w:fill="FFFFFF" w:themeFill="background1"/>
        <w:spacing w:before="240" w:after="240" w:line="360" w:lineRule="auto"/>
        <w:jc w:val="both"/>
        <w:rPr>
          <w:rFonts w:ascii="Arial" w:eastAsia="Arial" w:hAnsi="Arial" w:cs="Arial"/>
          <w:color w:val="0F1115"/>
          <w:sz w:val="22"/>
          <w:szCs w:val="22"/>
        </w:rPr>
      </w:pPr>
      <w:r>
        <w:br/>
      </w:r>
      <w:r w:rsidR="09ED353C" w:rsidRPr="2A4916C0">
        <w:rPr>
          <w:rFonts w:ascii="Arial" w:eastAsia="Arial" w:hAnsi="Arial" w:cs="Arial"/>
          <w:color w:val="0F1115"/>
          <w:sz w:val="22"/>
          <w:szCs w:val="22"/>
        </w:rPr>
        <w:t xml:space="preserve">The </w:t>
      </w:r>
      <w:r w:rsidR="384725CA" w:rsidRPr="2A4916C0">
        <w:rPr>
          <w:rFonts w:ascii="Arial" w:eastAsia="Arial" w:hAnsi="Arial" w:cs="Arial"/>
          <w:color w:val="0F1115"/>
          <w:sz w:val="22"/>
          <w:szCs w:val="22"/>
        </w:rPr>
        <w:t>goal</w:t>
      </w:r>
      <w:r w:rsidR="09ED353C" w:rsidRPr="2A4916C0">
        <w:rPr>
          <w:rFonts w:ascii="Arial" w:eastAsia="Arial" w:hAnsi="Arial" w:cs="Arial"/>
          <w:color w:val="0F1115"/>
          <w:sz w:val="22"/>
          <w:szCs w:val="22"/>
        </w:rPr>
        <w:t xml:space="preserve"> is to secure stakeholder commitment. For owners, this means signing the contract to implement Stay</w:t>
      </w:r>
      <w:r w:rsidR="0F9321ED" w:rsidRPr="2A4916C0">
        <w:rPr>
          <w:rFonts w:ascii="Arial" w:eastAsia="Arial" w:hAnsi="Arial" w:cs="Arial"/>
          <w:color w:val="0F1115"/>
          <w:sz w:val="22"/>
          <w:szCs w:val="22"/>
        </w:rPr>
        <w:t xml:space="preserve"> </w:t>
      </w:r>
      <w:r w:rsidR="09ED353C" w:rsidRPr="2A4916C0">
        <w:rPr>
          <w:rFonts w:ascii="Arial" w:eastAsia="Arial" w:hAnsi="Arial" w:cs="Arial"/>
          <w:color w:val="0F1115"/>
          <w:sz w:val="22"/>
          <w:szCs w:val="22"/>
        </w:rPr>
        <w:t xml:space="preserve">Smart+. For staff, it means actively using the new tools and promoting them to guests. Commitment is secured by demonstrating that their input from the consultation and </w:t>
      </w:r>
      <w:r w:rsidR="09ED353C" w:rsidRPr="2A4916C0">
        <w:rPr>
          <w:rFonts w:ascii="Arial" w:eastAsia="Arial" w:hAnsi="Arial" w:cs="Arial"/>
          <w:color w:val="0F1115"/>
          <w:sz w:val="22"/>
          <w:szCs w:val="22"/>
        </w:rPr>
        <w:lastRenderedPageBreak/>
        <w:t>collaboration phases has been valued and incorporated. This is formalised through service level agreements (SLAs) with owners, updated job descriptions for staff, and public acknowledgment of their role in the launch materials.</w:t>
      </w:r>
    </w:p>
    <w:p w14:paraId="6FD465D8" w14:textId="2B630A9C" w:rsidR="4E61203A" w:rsidRDefault="09ED353C" w:rsidP="2A4916C0">
      <w:pPr>
        <w:pStyle w:val="Heading4"/>
        <w:shd w:val="clear" w:color="auto" w:fill="FFFFFF" w:themeFill="background1"/>
        <w:spacing w:before="240" w:after="240" w:line="420" w:lineRule="auto"/>
        <w:jc w:val="both"/>
        <w:rPr>
          <w:rFonts w:ascii="Arial" w:eastAsia="Arial" w:hAnsi="Arial" w:cs="Arial"/>
          <w:b/>
          <w:bCs/>
          <w:i w:val="0"/>
          <w:iCs w:val="0"/>
          <w:color w:val="0F1115"/>
          <w:sz w:val="32"/>
          <w:szCs w:val="32"/>
        </w:rPr>
      </w:pPr>
      <w:bookmarkStart w:id="13" w:name="_Toc752813360"/>
      <w:r w:rsidRPr="2A4916C0">
        <w:rPr>
          <w:rFonts w:ascii="Arial" w:eastAsia="Arial" w:hAnsi="Arial" w:cs="Arial"/>
          <w:b/>
          <w:bCs/>
          <w:i w:val="0"/>
          <w:iCs w:val="0"/>
          <w:color w:val="0F1115"/>
          <w:sz w:val="32"/>
          <w:szCs w:val="32"/>
        </w:rPr>
        <w:t>Managing Conflict</w:t>
      </w:r>
      <w:bookmarkEnd w:id="13"/>
    </w:p>
    <w:p w14:paraId="2519F0B6" w14:textId="314C0392" w:rsidR="4E61203A" w:rsidRDefault="09ED353C" w:rsidP="2A4916C0">
      <w:p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color w:val="0F1115"/>
          <w:sz w:val="22"/>
          <w:szCs w:val="22"/>
        </w:rPr>
        <w:t>Conflict is inevitable. The 4C's model provides a pathway for resolution. For example, a key conflict is likely to arise with Hotel Owners regarding the cost of the new technology versus the brand standard mandate. Using this model:</w:t>
      </w:r>
    </w:p>
    <w:p w14:paraId="1949DDC2" w14:textId="3A1DF60C" w:rsidR="4E61203A" w:rsidRDefault="4E61203A" w:rsidP="5A740515">
      <w:pPr>
        <w:pStyle w:val="ListParagraph"/>
        <w:numPr>
          <w:ilvl w:val="0"/>
          <w:numId w:val="9"/>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Communication:</w:t>
      </w:r>
      <w:r w:rsidRPr="5A740515">
        <w:rPr>
          <w:rFonts w:ascii="Arial" w:eastAsia="Arial" w:hAnsi="Arial" w:cs="Arial"/>
          <w:color w:val="0F1115"/>
          <w:sz w:val="22"/>
          <w:szCs w:val="22"/>
        </w:rPr>
        <w:t xml:space="preserve"> The Project Manager would first listen to the owner's specific financial concerns, acknowledging the pressure on their margins.</w:t>
      </w:r>
    </w:p>
    <w:p w14:paraId="415B7148" w14:textId="1E9B4271" w:rsidR="4E61203A" w:rsidRDefault="4E61203A" w:rsidP="5A740515">
      <w:pPr>
        <w:pStyle w:val="ListParagraph"/>
        <w:numPr>
          <w:ilvl w:val="0"/>
          <w:numId w:val="9"/>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Consultation:</w:t>
      </w:r>
      <w:r w:rsidRPr="5A740515">
        <w:rPr>
          <w:rFonts w:ascii="Arial" w:eastAsia="Arial" w:hAnsi="Arial" w:cs="Arial"/>
          <w:color w:val="0F1115"/>
          <w:sz w:val="22"/>
          <w:szCs w:val="22"/>
        </w:rPr>
        <w:t xml:space="preserve"> We would then consult with the owner to explore alternative financing models, such as IHG-subsidised pilot programmes or tiered implementation packages.</w:t>
      </w:r>
    </w:p>
    <w:p w14:paraId="65560698" w14:textId="6FD44896" w:rsidR="4E61203A" w:rsidRDefault="4E61203A" w:rsidP="5A740515">
      <w:pPr>
        <w:pStyle w:val="ListParagraph"/>
        <w:numPr>
          <w:ilvl w:val="0"/>
          <w:numId w:val="9"/>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Collaboration:</w:t>
      </w:r>
      <w:r w:rsidRPr="5A740515">
        <w:rPr>
          <w:rFonts w:ascii="Arial" w:eastAsia="Arial" w:hAnsi="Arial" w:cs="Arial"/>
          <w:color w:val="0F1115"/>
          <w:sz w:val="22"/>
          <w:szCs w:val="22"/>
        </w:rPr>
        <w:t xml:space="preserve"> Together, we would work to identify the "minimum viable product" that meets brand standards while respecting their budget, perhaps by phasing the rollout of certain amenities.</w:t>
      </w:r>
    </w:p>
    <w:p w14:paraId="15ED5DDD" w14:textId="4D4447BB" w:rsidR="4E61203A" w:rsidRDefault="4E61203A" w:rsidP="5A740515">
      <w:pPr>
        <w:pStyle w:val="ListParagraph"/>
        <w:numPr>
          <w:ilvl w:val="0"/>
          <w:numId w:val="9"/>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Commitment:</w:t>
      </w:r>
      <w:r w:rsidRPr="5A740515">
        <w:rPr>
          <w:rFonts w:ascii="Arial" w:eastAsia="Arial" w:hAnsi="Arial" w:cs="Arial"/>
          <w:color w:val="0F1115"/>
          <w:sz w:val="22"/>
          <w:szCs w:val="22"/>
        </w:rPr>
        <w:t xml:space="preserve"> This collaborative problem-solving builds trust, leading to a renewed commitment from the owner to proceed, albeit on a modified timeline. This approach, grounded in agency theory (Donaldson and Preston, 1995), aligns the interests of the principal (owner) and the agent (IHG) by finding a mutually acceptable solution.</w:t>
      </w:r>
    </w:p>
    <w:p w14:paraId="6E1F47C9" w14:textId="31AAFFF9" w:rsidR="7D845AAA" w:rsidRDefault="38376207" w:rsidP="2A4916C0">
      <w:pPr>
        <w:pStyle w:val="Heading3"/>
        <w:shd w:val="clear" w:color="auto" w:fill="FFFFFF" w:themeFill="background1"/>
        <w:spacing w:before="480" w:after="240" w:line="450" w:lineRule="auto"/>
        <w:jc w:val="both"/>
        <w:rPr>
          <w:rFonts w:ascii="system-ui" w:eastAsia="system-ui" w:hAnsi="system-ui" w:cs="system-ui"/>
          <w:b/>
          <w:bCs/>
          <w:color w:val="0F1115"/>
          <w:sz w:val="30"/>
          <w:szCs w:val="30"/>
        </w:rPr>
      </w:pPr>
      <w:bookmarkStart w:id="14" w:name="_Toc1491324194"/>
      <w:r w:rsidRPr="2A4916C0">
        <w:rPr>
          <w:rFonts w:ascii="system-ui" w:eastAsia="system-ui" w:hAnsi="system-ui" w:cs="system-ui"/>
          <w:b/>
          <w:bCs/>
          <w:color w:val="0F1115"/>
          <w:sz w:val="30"/>
          <w:szCs w:val="30"/>
        </w:rPr>
        <w:t>6.0 Evaluation of Impact and Recommendations</w:t>
      </w:r>
      <w:bookmarkEnd w:id="14"/>
    </w:p>
    <w:p w14:paraId="4330CE70" w14:textId="0B743989" w:rsidR="7D845AAA" w:rsidRDefault="38376207" w:rsidP="2A4916C0">
      <w:pPr>
        <w:pStyle w:val="Heading4"/>
        <w:shd w:val="clear" w:color="auto" w:fill="FFFFFF" w:themeFill="background1"/>
        <w:spacing w:before="240" w:after="240" w:line="360" w:lineRule="auto"/>
        <w:jc w:val="both"/>
        <w:rPr>
          <w:rFonts w:ascii="Arial" w:eastAsia="Arial" w:hAnsi="Arial" w:cs="Arial"/>
          <w:b/>
          <w:bCs/>
          <w:i w:val="0"/>
          <w:iCs w:val="0"/>
          <w:color w:val="0F1115"/>
          <w:sz w:val="22"/>
          <w:szCs w:val="22"/>
        </w:rPr>
      </w:pPr>
      <w:bookmarkStart w:id="15" w:name="_Toc225386544"/>
      <w:r w:rsidRPr="2A4916C0">
        <w:rPr>
          <w:rFonts w:ascii="Arial" w:eastAsia="Arial" w:hAnsi="Arial" w:cs="Arial"/>
          <w:b/>
          <w:bCs/>
          <w:i w:val="0"/>
          <w:iCs w:val="0"/>
          <w:color w:val="0F1115"/>
          <w:sz w:val="22"/>
          <w:szCs w:val="22"/>
        </w:rPr>
        <w:t>Impact of Stakeholder Engagement on Business Performance</w:t>
      </w:r>
      <w:bookmarkEnd w:id="15"/>
    </w:p>
    <w:p w14:paraId="5522D073" w14:textId="2C295430" w:rsidR="7D845AAA" w:rsidRDefault="7D845AAA" w:rsidP="5A740515">
      <w:p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color w:val="0F1115"/>
          <w:sz w:val="22"/>
          <w:szCs w:val="22"/>
        </w:rPr>
        <w:t>Effective stakeholder engagement is not merely a procedural exercise; it is a direct driver of business performance for the Stay</w:t>
      </w:r>
      <w:r w:rsidR="0C608460" w:rsidRPr="5A740515">
        <w:rPr>
          <w:rFonts w:ascii="Arial" w:eastAsia="Arial" w:hAnsi="Arial" w:cs="Arial"/>
          <w:color w:val="0F1115"/>
          <w:sz w:val="22"/>
          <w:szCs w:val="22"/>
        </w:rPr>
        <w:t xml:space="preserve"> </w:t>
      </w:r>
      <w:r w:rsidRPr="5A740515">
        <w:rPr>
          <w:rFonts w:ascii="Arial" w:eastAsia="Arial" w:hAnsi="Arial" w:cs="Arial"/>
          <w:color w:val="0F1115"/>
          <w:sz w:val="22"/>
          <w:szCs w:val="22"/>
        </w:rPr>
        <w:t>Smart+ launch. Its impact can be evaluated across several dimensions:</w:t>
      </w:r>
    </w:p>
    <w:p w14:paraId="17D36F79" w14:textId="1200E32D" w:rsidR="7D845AAA" w:rsidRDefault="38376207" w:rsidP="2A4916C0">
      <w:pPr>
        <w:pStyle w:val="ListParagraph"/>
        <w:numPr>
          <w:ilvl w:val="0"/>
          <w:numId w:val="8"/>
        </w:num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b/>
          <w:bCs/>
          <w:color w:val="0F1115"/>
          <w:sz w:val="22"/>
          <w:szCs w:val="22"/>
        </w:rPr>
        <w:t>Financial Performance:</w:t>
      </w:r>
      <w:r w:rsidRPr="2A4916C0">
        <w:rPr>
          <w:rFonts w:ascii="Arial" w:eastAsia="Arial" w:hAnsi="Arial" w:cs="Arial"/>
          <w:color w:val="0F1115"/>
          <w:sz w:val="22"/>
          <w:szCs w:val="22"/>
        </w:rPr>
        <w:t xml:space="preserve"> Engaging hotel owners early to co-create the ROI model increases the speed of adoption, directly impacting the project's revenue targets. Conversely, failure to engage them can lead to pushback, delayed rollouts, and the underperformance of the entire initiative. As seen in IHG's broader strategy, maintaining owner satisfaction is crucial for financial health (IHG, 2026).</w:t>
      </w:r>
    </w:p>
    <w:p w14:paraId="5B73D0F0" w14:textId="242C78D4" w:rsidR="7D845AAA" w:rsidRDefault="38376207" w:rsidP="2A4916C0">
      <w:pPr>
        <w:pStyle w:val="ListParagraph"/>
        <w:numPr>
          <w:ilvl w:val="0"/>
          <w:numId w:val="8"/>
        </w:num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b/>
          <w:bCs/>
          <w:color w:val="0F1115"/>
          <w:sz w:val="22"/>
          <w:szCs w:val="22"/>
        </w:rPr>
        <w:t>Guest Satisfaction &amp; Loyalty:</w:t>
      </w:r>
      <w:r w:rsidRPr="2A4916C0">
        <w:rPr>
          <w:rFonts w:ascii="Arial" w:eastAsia="Arial" w:hAnsi="Arial" w:cs="Arial"/>
          <w:color w:val="0F1115"/>
          <w:sz w:val="22"/>
          <w:szCs w:val="22"/>
        </w:rPr>
        <w:t xml:space="preserve"> By consulting with guests during the design phase, Stay</w:t>
      </w:r>
      <w:r w:rsidR="5C69F568" w:rsidRPr="2A4916C0">
        <w:rPr>
          <w:rFonts w:ascii="Arial" w:eastAsia="Arial" w:hAnsi="Arial" w:cs="Arial"/>
          <w:color w:val="0F1115"/>
          <w:sz w:val="22"/>
          <w:szCs w:val="22"/>
        </w:rPr>
        <w:t xml:space="preserve"> </w:t>
      </w:r>
      <w:r w:rsidRPr="2A4916C0">
        <w:rPr>
          <w:rFonts w:ascii="Arial" w:eastAsia="Arial" w:hAnsi="Arial" w:cs="Arial"/>
          <w:color w:val="0F1115"/>
          <w:sz w:val="22"/>
          <w:szCs w:val="22"/>
        </w:rPr>
        <w:t xml:space="preserve">Smart+ is more likely to deliver features that genuinely enhance their stay, leading </w:t>
      </w:r>
      <w:r w:rsidRPr="2A4916C0">
        <w:rPr>
          <w:rFonts w:ascii="Arial" w:eastAsia="Arial" w:hAnsi="Arial" w:cs="Arial"/>
          <w:color w:val="0F1115"/>
          <w:sz w:val="22"/>
          <w:szCs w:val="22"/>
        </w:rPr>
        <w:lastRenderedPageBreak/>
        <w:t>to higher GSS scores, improved online reviews, and increased loyalty programme engagement. This directly counters the risk of brand dilution (Warislohner, 2025).</w:t>
      </w:r>
    </w:p>
    <w:p w14:paraId="29FF0076" w14:textId="1664DEFC" w:rsidR="7D845AAA" w:rsidRDefault="38376207" w:rsidP="2A4916C0">
      <w:pPr>
        <w:pStyle w:val="ListParagraph"/>
        <w:numPr>
          <w:ilvl w:val="0"/>
          <w:numId w:val="8"/>
        </w:num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b/>
          <w:bCs/>
          <w:color w:val="0F1115"/>
          <w:sz w:val="22"/>
          <w:szCs w:val="22"/>
        </w:rPr>
        <w:t>Operational Efficiency:</w:t>
      </w:r>
      <w:r w:rsidRPr="2A4916C0">
        <w:rPr>
          <w:rFonts w:ascii="Arial" w:eastAsia="Arial" w:hAnsi="Arial" w:cs="Arial"/>
          <w:color w:val="0F1115"/>
          <w:sz w:val="22"/>
          <w:szCs w:val="22"/>
        </w:rPr>
        <w:t xml:space="preserve"> Collaborative planning with GMs and operations staff ensures that the AI tools are intuitive and genuinely improve workflow, rather than creating friction. This leads to higher staff adoption rates and can deliver the intended labour savings by automating routine inquiries. This addresses the operational challenges identified in industry trends (Warislohner, 2025).</w:t>
      </w:r>
    </w:p>
    <w:p w14:paraId="382C21AA" w14:textId="58C4B729" w:rsidR="7D845AAA" w:rsidRDefault="38376207" w:rsidP="2A4916C0">
      <w:pPr>
        <w:pStyle w:val="ListParagraph"/>
        <w:numPr>
          <w:ilvl w:val="0"/>
          <w:numId w:val="8"/>
        </w:num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b/>
          <w:bCs/>
          <w:color w:val="0F1115"/>
          <w:sz w:val="22"/>
          <w:szCs w:val="22"/>
        </w:rPr>
        <w:t>Brand Reputation and Risk Management:</w:t>
      </w:r>
      <w:r w:rsidRPr="2A4916C0">
        <w:rPr>
          <w:rFonts w:ascii="Arial" w:eastAsia="Arial" w:hAnsi="Arial" w:cs="Arial"/>
          <w:color w:val="0F1115"/>
          <w:sz w:val="22"/>
          <w:szCs w:val="22"/>
        </w:rPr>
        <w:t xml:space="preserve"> Engaging with local communities and ensuring regulatory compliance protects the brand's social license to operate and mitigates legal risks. Proactive consultation on sustainability features builds authentic ESG credentials (Font and Lynes, 2018), differentiating Holiday Inn from competitors and appealing to the values-driven traveller.</w:t>
      </w:r>
    </w:p>
    <w:p w14:paraId="23B4A9A2" w14:textId="05F10F08" w:rsidR="7D845AAA" w:rsidRDefault="38376207" w:rsidP="2A4916C0">
      <w:pPr>
        <w:pStyle w:val="Heading4"/>
        <w:shd w:val="clear" w:color="auto" w:fill="FFFFFF" w:themeFill="background1"/>
        <w:spacing w:before="240" w:after="240" w:line="360" w:lineRule="auto"/>
        <w:jc w:val="both"/>
        <w:rPr>
          <w:rFonts w:ascii="Arial" w:eastAsia="Arial" w:hAnsi="Arial" w:cs="Arial"/>
          <w:b/>
          <w:bCs/>
          <w:i w:val="0"/>
          <w:iCs w:val="0"/>
          <w:color w:val="0F1115"/>
          <w:sz w:val="22"/>
          <w:szCs w:val="22"/>
        </w:rPr>
      </w:pPr>
      <w:bookmarkStart w:id="16" w:name="_Toc1528737088"/>
      <w:r w:rsidRPr="2A4916C0">
        <w:rPr>
          <w:rFonts w:ascii="Arial" w:eastAsia="Arial" w:hAnsi="Arial" w:cs="Arial"/>
          <w:b/>
          <w:bCs/>
          <w:i w:val="0"/>
          <w:iCs w:val="0"/>
          <w:color w:val="0F1115"/>
          <w:sz w:val="22"/>
          <w:szCs w:val="22"/>
        </w:rPr>
        <w:t>Recommendations for Future Stakeholder Engagement</w:t>
      </w:r>
      <w:bookmarkEnd w:id="16"/>
    </w:p>
    <w:p w14:paraId="3556977B" w14:textId="00531C81" w:rsidR="7D845AAA" w:rsidRDefault="38376207" w:rsidP="2A4916C0">
      <w:pPr>
        <w:shd w:val="clear" w:color="auto" w:fill="FFFFFF" w:themeFill="background1"/>
        <w:spacing w:before="240" w:after="240" w:line="360" w:lineRule="auto"/>
        <w:jc w:val="both"/>
        <w:rPr>
          <w:rFonts w:ascii="Arial" w:eastAsia="Arial" w:hAnsi="Arial" w:cs="Arial"/>
          <w:color w:val="0F1115"/>
          <w:sz w:val="22"/>
          <w:szCs w:val="22"/>
        </w:rPr>
      </w:pPr>
      <w:r w:rsidRPr="2A4916C0">
        <w:rPr>
          <w:rFonts w:ascii="Arial" w:eastAsia="Arial" w:hAnsi="Arial" w:cs="Arial"/>
          <w:color w:val="0F1115"/>
          <w:sz w:val="22"/>
          <w:szCs w:val="22"/>
        </w:rPr>
        <w:t>To build on the foundation laid for Stay</w:t>
      </w:r>
      <w:r w:rsidR="668D8C9B" w:rsidRPr="2A4916C0">
        <w:rPr>
          <w:rFonts w:ascii="Arial" w:eastAsia="Arial" w:hAnsi="Arial" w:cs="Arial"/>
          <w:color w:val="0F1115"/>
          <w:sz w:val="22"/>
          <w:szCs w:val="22"/>
        </w:rPr>
        <w:t xml:space="preserve"> </w:t>
      </w:r>
      <w:r w:rsidRPr="2A4916C0">
        <w:rPr>
          <w:rFonts w:ascii="Arial" w:eastAsia="Arial" w:hAnsi="Arial" w:cs="Arial"/>
          <w:color w:val="0F1115"/>
          <w:sz w:val="22"/>
          <w:szCs w:val="22"/>
        </w:rPr>
        <w:t>Smart+ and institutionalise best practices, the following recommendations are made:</w:t>
      </w:r>
    </w:p>
    <w:p w14:paraId="745D4083" w14:textId="301873CB" w:rsidR="7D845AAA" w:rsidRDefault="7D845AAA" w:rsidP="5A740515">
      <w:pPr>
        <w:pStyle w:val="ListParagraph"/>
        <w:numPr>
          <w:ilvl w:val="0"/>
          <w:numId w:val="7"/>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Establish a Permanent Stakeholder Advisory Panel:</w:t>
      </w:r>
      <w:r w:rsidRPr="5A740515">
        <w:rPr>
          <w:rFonts w:ascii="Arial" w:eastAsia="Arial" w:hAnsi="Arial" w:cs="Arial"/>
          <w:color w:val="0F1115"/>
          <w:sz w:val="22"/>
          <w:szCs w:val="22"/>
        </w:rPr>
        <w:t xml:space="preserve"> Move beyond project-specific engagement by creating a permanent panel comprising franchise owners, GMs, and guests. This panel would meet bi-annually to review IHG's strategic initiatives, providing a continuous feedback loop and fostering long-term collaboration (Christopher, Payne and Ballantyne, 2013).</w:t>
      </w:r>
    </w:p>
    <w:p w14:paraId="46BAD736" w14:textId="5E153F74" w:rsidR="7D845AAA" w:rsidRDefault="7D845AAA" w:rsidP="5A740515">
      <w:pPr>
        <w:pStyle w:val="ListParagraph"/>
        <w:numPr>
          <w:ilvl w:val="0"/>
          <w:numId w:val="7"/>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Develop a Differentiated Engagement Model for International Markets:</w:t>
      </w:r>
      <w:r w:rsidRPr="5A740515">
        <w:rPr>
          <w:rFonts w:ascii="Arial" w:eastAsia="Arial" w:hAnsi="Arial" w:cs="Arial"/>
          <w:color w:val="0F1115"/>
          <w:sz w:val="22"/>
          <w:szCs w:val="22"/>
        </w:rPr>
        <w:t xml:space="preserve"> While the core frameworks are global, the "how" of engagement must be localised. In markets like China, where relationship-building (guanxi) is paramount, face-to-face consultation with owners and government bodies is more critical than digital communication (Yang, 2024). A toolkit of culturally adaptable engagement strategies should be developed.</w:t>
      </w:r>
    </w:p>
    <w:p w14:paraId="593E29A8" w14:textId="468F5471" w:rsidR="7D845AAA" w:rsidRDefault="7D845AAA" w:rsidP="5A740515">
      <w:pPr>
        <w:pStyle w:val="ListParagraph"/>
        <w:numPr>
          <w:ilvl w:val="0"/>
          <w:numId w:val="7"/>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Implement a Digital Stakeholder Relationship Management (SRM) Platform:</w:t>
      </w:r>
      <w:r w:rsidRPr="5A740515">
        <w:rPr>
          <w:rFonts w:ascii="Arial" w:eastAsia="Arial" w:hAnsi="Arial" w:cs="Arial"/>
          <w:color w:val="0F1115"/>
          <w:sz w:val="22"/>
          <w:szCs w:val="22"/>
        </w:rPr>
        <w:t xml:space="preserve"> To manage the complexity of global stakeholders, invest in an SRM platform. This would allow the project team to track engagement history, map stakeholder sentiment in real-time, and tailor communications, ensuring that no stakeholder group, especially those with lower power but high interest, is neglected (Ashcroft, 2017).</w:t>
      </w:r>
    </w:p>
    <w:p w14:paraId="6E45E0F6" w14:textId="0E1C71DE" w:rsidR="7D845AAA" w:rsidRDefault="7D845AAA" w:rsidP="5A740515">
      <w:pPr>
        <w:pStyle w:val="ListParagraph"/>
        <w:numPr>
          <w:ilvl w:val="0"/>
          <w:numId w:val="7"/>
        </w:num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b/>
          <w:bCs/>
          <w:color w:val="0F1115"/>
          <w:sz w:val="22"/>
          <w:szCs w:val="22"/>
        </w:rPr>
        <w:t>Formalise Conflict Resolution Protocols:</w:t>
      </w:r>
      <w:r w:rsidRPr="5A740515">
        <w:rPr>
          <w:rFonts w:ascii="Arial" w:eastAsia="Arial" w:hAnsi="Arial" w:cs="Arial"/>
          <w:color w:val="0F1115"/>
          <w:sz w:val="22"/>
          <w:szCs w:val="22"/>
        </w:rPr>
        <w:t xml:space="preserve"> Based on the 4C's model, develop a formal, tiered conflict resolution protocol. This would provide a clear pathway for escalating and resolving disputes with owners or other key partners, ensuring conflicts are managed constructively and transparently rather than becoming adversarial.</w:t>
      </w:r>
    </w:p>
    <w:p w14:paraId="60941D39" w14:textId="6FC7FEEC" w:rsidR="7D845AAA" w:rsidRDefault="7D845AAA" w:rsidP="5A740515">
      <w:pPr>
        <w:pStyle w:val="ListParagraph"/>
        <w:numPr>
          <w:ilvl w:val="0"/>
          <w:numId w:val="7"/>
        </w:numPr>
        <w:shd w:val="clear" w:color="auto" w:fill="FFFFFF" w:themeFill="background1"/>
        <w:spacing w:before="240" w:after="240" w:line="360" w:lineRule="auto"/>
        <w:jc w:val="both"/>
        <w:rPr>
          <w:rFonts w:ascii="system-ui" w:eastAsia="system-ui" w:hAnsi="system-ui" w:cs="system-ui"/>
          <w:color w:val="0F1115"/>
        </w:rPr>
      </w:pPr>
      <w:r w:rsidRPr="5A740515">
        <w:rPr>
          <w:rFonts w:ascii="Arial" w:eastAsia="Arial" w:hAnsi="Arial" w:cs="Arial"/>
          <w:b/>
          <w:bCs/>
          <w:color w:val="0F1115"/>
          <w:sz w:val="22"/>
          <w:szCs w:val="22"/>
        </w:rPr>
        <w:lastRenderedPageBreak/>
        <w:t>Integrate Stakeholder Feedback into Product Roadmaps:</w:t>
      </w:r>
      <w:r w:rsidRPr="5A740515">
        <w:rPr>
          <w:rFonts w:ascii="Arial" w:eastAsia="Arial" w:hAnsi="Arial" w:cs="Arial"/>
          <w:color w:val="0F1115"/>
          <w:sz w:val="22"/>
          <w:szCs w:val="22"/>
        </w:rPr>
        <w:t xml:space="preserve"> Formally link the output of stakeholder consultation and collaboration to the product development lifecycle. When a stakeholder's suggestion is not implemented, a formal response explaining the rationale should be provided. This closes the feedback loop and demonstrates that their input is genuinely valued, reinforcing commitment (Freeman, 1984)</w:t>
      </w:r>
      <w:r w:rsidRPr="5A740515">
        <w:rPr>
          <w:rFonts w:ascii="system-ui" w:eastAsia="system-ui" w:hAnsi="system-ui" w:cs="system-ui"/>
          <w:color w:val="0F1115"/>
        </w:rPr>
        <w:t>.</w:t>
      </w:r>
    </w:p>
    <w:p w14:paraId="47054B33" w14:textId="23F0B2F8" w:rsidR="7D845AAA" w:rsidRDefault="38376207" w:rsidP="2A4916C0">
      <w:pPr>
        <w:pStyle w:val="Heading3"/>
        <w:shd w:val="clear" w:color="auto" w:fill="FFFFFF" w:themeFill="background1"/>
        <w:spacing w:before="480" w:after="240" w:line="450" w:lineRule="auto"/>
        <w:jc w:val="both"/>
        <w:rPr>
          <w:rFonts w:ascii="system-ui" w:eastAsia="system-ui" w:hAnsi="system-ui" w:cs="system-ui"/>
          <w:b/>
          <w:bCs/>
          <w:color w:val="0F1115"/>
          <w:sz w:val="30"/>
          <w:szCs w:val="30"/>
        </w:rPr>
      </w:pPr>
      <w:bookmarkStart w:id="17" w:name="_Toc2102035850"/>
      <w:r w:rsidRPr="2A4916C0">
        <w:rPr>
          <w:rFonts w:ascii="system-ui" w:eastAsia="system-ui" w:hAnsi="system-ui" w:cs="system-ui"/>
          <w:b/>
          <w:bCs/>
          <w:color w:val="0F1115"/>
          <w:sz w:val="30"/>
          <w:szCs w:val="30"/>
        </w:rPr>
        <w:t>7.0 Conclusion</w:t>
      </w:r>
      <w:bookmarkEnd w:id="17"/>
    </w:p>
    <w:p w14:paraId="60602E0B" w14:textId="4C8387FB" w:rsidR="7D845AAA" w:rsidRDefault="7D845AAA" w:rsidP="5A740515">
      <w:p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color w:val="0F1115"/>
          <w:sz w:val="22"/>
          <w:szCs w:val="22"/>
        </w:rPr>
        <w:t>The successful launch of the Stay</w:t>
      </w:r>
      <w:r w:rsidR="2AAC250D" w:rsidRPr="5A740515">
        <w:rPr>
          <w:rFonts w:ascii="Arial" w:eastAsia="Arial" w:hAnsi="Arial" w:cs="Arial"/>
          <w:color w:val="0F1115"/>
          <w:sz w:val="22"/>
          <w:szCs w:val="22"/>
        </w:rPr>
        <w:t xml:space="preserve"> </w:t>
      </w:r>
      <w:r w:rsidRPr="5A740515">
        <w:rPr>
          <w:rFonts w:ascii="Arial" w:eastAsia="Arial" w:hAnsi="Arial" w:cs="Arial"/>
          <w:color w:val="0F1115"/>
          <w:sz w:val="22"/>
          <w:szCs w:val="22"/>
        </w:rPr>
        <w:t>Smart+ initiative for Holiday Inn hinges on the meticulous and strategic engagement of its diverse stakeholders. As this report has demonstrated, a structured approach grounded in stakeholder theory (Freeman, 1984) is not an optional extra but a fundamental prerequisite for success. By systematically identifying internal and external parties—from the IHG executive team and hotel owners to guests and local communities—and analysing their power, interest, and influence through tools like the RACI Matrix (Jacka and Keller, 2009) and Power/Interest Grid (Eden and Ackermann, 2013), a project manager can prioritise efforts and allocate resources effectively.</w:t>
      </w:r>
    </w:p>
    <w:p w14:paraId="440E6BED" w14:textId="40B36186" w:rsidR="7D845AAA" w:rsidRDefault="7D845AAA" w:rsidP="5A740515">
      <w:pPr>
        <w:shd w:val="clear" w:color="auto" w:fill="FFFFFF" w:themeFill="background1"/>
        <w:spacing w:before="240" w:after="240" w:line="360" w:lineRule="auto"/>
        <w:jc w:val="both"/>
        <w:rPr>
          <w:rFonts w:ascii="Arial" w:eastAsia="Arial" w:hAnsi="Arial" w:cs="Arial"/>
          <w:color w:val="0F1115"/>
          <w:sz w:val="22"/>
          <w:szCs w:val="22"/>
        </w:rPr>
      </w:pPr>
      <w:r w:rsidRPr="5A740515">
        <w:rPr>
          <w:rFonts w:ascii="Arial" w:eastAsia="Arial" w:hAnsi="Arial" w:cs="Arial"/>
          <w:color w:val="0F1115"/>
          <w:sz w:val="22"/>
          <w:szCs w:val="22"/>
        </w:rPr>
        <w:t>The application of the 4C's model (Story Inc., 2021) provides a dynamic and ethical framework for navigating the complexities of a global launch. Through transparent Communication, genuine Consultation, inclusive Collaboration, and a relentless focus on securing Commitment, potential conflicts—particularly with cost-conscious hotel owners—can be transformed into opportunities for co-created solutions. This process not only mitigates risk but also builds the trust and alignment necessary for rapid adoption.</w:t>
      </w:r>
    </w:p>
    <w:p w14:paraId="7D07F930" w14:textId="562F51FA" w:rsidR="5A740515" w:rsidRDefault="7D845AAA" w:rsidP="46F1E9C6">
      <w:pPr>
        <w:shd w:val="clear" w:color="auto" w:fill="FFFFFF" w:themeFill="background1"/>
        <w:spacing w:before="240" w:after="240" w:line="360" w:lineRule="auto"/>
        <w:jc w:val="both"/>
        <w:rPr>
          <w:rFonts w:ascii="Arial" w:eastAsia="Arial" w:hAnsi="Arial" w:cs="Arial"/>
          <w:color w:val="0F1115"/>
          <w:sz w:val="22"/>
          <w:szCs w:val="22"/>
        </w:rPr>
      </w:pPr>
      <w:r w:rsidRPr="0407C32D">
        <w:rPr>
          <w:rFonts w:ascii="Arial" w:eastAsia="Arial" w:hAnsi="Arial" w:cs="Arial"/>
          <w:color w:val="0F1115"/>
          <w:sz w:val="22"/>
          <w:szCs w:val="22"/>
        </w:rPr>
        <w:t>Ultimately, the impact of this engagement flows directly to the bottom line. It enhances financial performance by securing owner buy-in, drives guest satisfaction through co-designed features, and strengthens brand reputation through authentic sustainability practices (Font and Lynes, 2018). By adopting the recommendations to establish permanent advisory structures, localise engagement strategies, and leverage digital SRM tools (Ashcroft, 2017), Holiday Inn can ensure that the spirit of collaboration embedded in the Stay</w:t>
      </w:r>
      <w:r w:rsidR="78659953" w:rsidRPr="0407C32D">
        <w:rPr>
          <w:rFonts w:ascii="Arial" w:eastAsia="Arial" w:hAnsi="Arial" w:cs="Arial"/>
          <w:color w:val="0F1115"/>
          <w:sz w:val="22"/>
          <w:szCs w:val="22"/>
        </w:rPr>
        <w:t xml:space="preserve"> </w:t>
      </w:r>
      <w:r w:rsidRPr="0407C32D">
        <w:rPr>
          <w:rFonts w:ascii="Arial" w:eastAsia="Arial" w:hAnsi="Arial" w:cs="Arial"/>
          <w:color w:val="0F1115"/>
          <w:sz w:val="22"/>
          <w:szCs w:val="22"/>
        </w:rPr>
        <w:t>Smart+ launch becomes a lasting competitive advantage, solidifying its position in the evolving hospitality landscape.</w:t>
      </w:r>
    </w:p>
    <w:p w14:paraId="3B3C58AC" w14:textId="1143CAA5" w:rsidR="5A740515" w:rsidRDefault="5A740515" w:rsidP="2A4916C0">
      <w:pPr>
        <w:shd w:val="clear" w:color="auto" w:fill="FFFFFF" w:themeFill="background1"/>
        <w:spacing w:before="240" w:after="240" w:line="360" w:lineRule="auto"/>
        <w:jc w:val="both"/>
        <w:rPr>
          <w:rFonts w:ascii="Arial" w:eastAsia="Arial" w:hAnsi="Arial" w:cs="Arial"/>
          <w:color w:val="0F1115"/>
          <w:sz w:val="22"/>
          <w:szCs w:val="22"/>
        </w:rPr>
      </w:pPr>
    </w:p>
    <w:p w14:paraId="23D4B943" w14:textId="1D8E158D"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4650CABD" w14:textId="6EB0342E" w:rsidR="2A4916C0" w:rsidRDefault="2A4916C0" w:rsidP="2A4916C0">
      <w:pPr>
        <w:shd w:val="clear" w:color="auto" w:fill="FFFFFF" w:themeFill="background1"/>
        <w:spacing w:before="240" w:after="240" w:line="360" w:lineRule="auto"/>
        <w:jc w:val="both"/>
        <w:rPr>
          <w:rFonts w:ascii="Arial" w:eastAsia="Arial" w:hAnsi="Arial" w:cs="Arial"/>
          <w:color w:val="0F1115"/>
          <w:sz w:val="22"/>
          <w:szCs w:val="22"/>
        </w:rPr>
      </w:pPr>
    </w:p>
    <w:p w14:paraId="792C2A1C" w14:textId="4609F778" w:rsidR="74203F8B" w:rsidRDefault="118A6FE7" w:rsidP="5A740515">
      <w:pPr>
        <w:pStyle w:val="Heading2"/>
        <w:shd w:val="clear" w:color="auto" w:fill="FFFFFF" w:themeFill="background1"/>
        <w:spacing w:before="480" w:after="240" w:line="480" w:lineRule="auto"/>
        <w:jc w:val="both"/>
      </w:pPr>
      <w:bookmarkStart w:id="18" w:name="_Toc801745572"/>
      <w:r w:rsidRPr="2A4916C0">
        <w:rPr>
          <w:rFonts w:ascii="system-ui" w:eastAsia="system-ui" w:hAnsi="system-ui" w:cs="system-ui"/>
          <w:b/>
          <w:bCs/>
          <w:color w:val="0F1115"/>
          <w:sz w:val="33"/>
          <w:szCs w:val="33"/>
        </w:rPr>
        <w:lastRenderedPageBreak/>
        <w:t>Reference List</w:t>
      </w:r>
      <w:bookmarkEnd w:id="18"/>
      <w:r w:rsidRPr="2A4916C0">
        <w:rPr>
          <w:rFonts w:ascii="system-ui" w:eastAsia="system-ui" w:hAnsi="system-ui" w:cs="system-ui"/>
          <w:b/>
          <w:bCs/>
          <w:color w:val="0F1115"/>
          <w:sz w:val="33"/>
          <w:szCs w:val="33"/>
        </w:rPr>
        <w:t xml:space="preserve"> </w:t>
      </w:r>
    </w:p>
    <w:p w14:paraId="3551AE1E" w14:textId="32EB071B" w:rsidR="2A4916C0" w:rsidRDefault="2A4916C0" w:rsidP="2A4916C0"/>
    <w:p w14:paraId="4C2039E9" w14:textId="0BD08E24"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Ashcroft, J. (2017) </w:t>
      </w:r>
      <w:r w:rsidRPr="0407C32D">
        <w:rPr>
          <w:rFonts w:ascii="system-ui" w:eastAsia="system-ui" w:hAnsi="system-ui" w:cs="system-ui"/>
          <w:i/>
          <w:iCs/>
          <w:color w:val="0F1115"/>
        </w:rPr>
        <w:t>The relational lens: understanding, measuring, and managing stakeholder relationships</w:t>
      </w:r>
      <w:r w:rsidRPr="0407C32D">
        <w:rPr>
          <w:rFonts w:ascii="system-ui" w:eastAsia="system-ui" w:hAnsi="system-ui" w:cs="system-ui"/>
          <w:color w:val="0F1115"/>
        </w:rPr>
        <w:t>. Cambridge: Cambridge University Press.</w:t>
      </w:r>
    </w:p>
    <w:p w14:paraId="6F0B67CE" w14:textId="13C5113E" w:rsidR="51C4DC20" w:rsidRDefault="51C4DC20" w:rsidP="0407C32D">
      <w:pPr>
        <w:shd w:val="clear" w:color="auto" w:fill="FFFFFF" w:themeFill="background1"/>
        <w:spacing w:before="240" w:after="240"/>
        <w:rPr>
          <w:rFonts w:ascii="system-ui" w:eastAsia="system-ui" w:hAnsi="system-ui" w:cs="system-ui"/>
        </w:rPr>
      </w:pPr>
      <w:r w:rsidRPr="24965EC0">
        <w:rPr>
          <w:rFonts w:ascii="system-ui" w:eastAsia="system-ui" w:hAnsi="system-ui" w:cs="system-ui"/>
          <w:color w:val="0F1115"/>
        </w:rPr>
        <w:t xml:space="preserve">Barakat, S. and Wada, E.K. (2021) Stakeholder theory in the hospitality and tourism literature: a systematic review, </w:t>
      </w:r>
      <w:r w:rsidRPr="24965EC0">
        <w:rPr>
          <w:rFonts w:ascii="system-ui" w:eastAsia="system-ui" w:hAnsi="system-ui" w:cs="system-ui"/>
          <w:i/>
          <w:iCs/>
          <w:color w:val="0F1115"/>
        </w:rPr>
        <w:t>Journal of Hospitality and Tourism Insights</w:t>
      </w:r>
      <w:r w:rsidRPr="24965EC0">
        <w:rPr>
          <w:rFonts w:ascii="system-ui" w:eastAsia="system-ui" w:hAnsi="system-ui" w:cs="system-ui"/>
          <w:color w:val="0F1115"/>
        </w:rPr>
        <w:t>, 4(5), pp. 678-702.</w:t>
      </w:r>
    </w:p>
    <w:p w14:paraId="16CCC39C" w14:textId="49AE8707"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Bowie, D. and Buttle, F. (2011) </w:t>
      </w:r>
      <w:r w:rsidRPr="0407C32D">
        <w:rPr>
          <w:rFonts w:ascii="system-ui" w:eastAsia="system-ui" w:hAnsi="system-ui" w:cs="system-ui"/>
          <w:i/>
          <w:iCs/>
          <w:color w:val="0F1115"/>
        </w:rPr>
        <w:t>Hospitality marketing: principles and practice</w:t>
      </w:r>
      <w:r w:rsidRPr="0407C32D">
        <w:rPr>
          <w:rFonts w:ascii="system-ui" w:eastAsia="system-ui" w:hAnsi="system-ui" w:cs="system-ui"/>
          <w:color w:val="0F1115"/>
        </w:rPr>
        <w:t>. 2nd edn. Oxford: Butterworth-Heinemann.</w:t>
      </w:r>
    </w:p>
    <w:p w14:paraId="22FA89A1" w14:textId="476A95CE"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Buttle, F. and Maklan, S. (2019) </w:t>
      </w:r>
      <w:r w:rsidRPr="0407C32D">
        <w:rPr>
          <w:rFonts w:ascii="system-ui" w:eastAsia="system-ui" w:hAnsi="system-ui" w:cs="system-ui"/>
          <w:i/>
          <w:iCs/>
          <w:color w:val="0F1115"/>
        </w:rPr>
        <w:t>Customer relationship management: concepts and technologies</w:t>
      </w:r>
      <w:r w:rsidRPr="0407C32D">
        <w:rPr>
          <w:rFonts w:ascii="system-ui" w:eastAsia="system-ui" w:hAnsi="system-ui" w:cs="system-ui"/>
          <w:color w:val="0F1115"/>
        </w:rPr>
        <w:t>. 4th edn. Abingdon: Routledge.</w:t>
      </w:r>
    </w:p>
    <w:p w14:paraId="150A38F2" w14:textId="005207C7" w:rsidR="5A480003" w:rsidRDefault="5A480003" w:rsidP="0407C32D">
      <w:pPr>
        <w:shd w:val="clear" w:color="auto" w:fill="FFFFFF" w:themeFill="background1"/>
        <w:spacing w:before="240" w:after="240"/>
      </w:pPr>
      <w:r w:rsidRPr="24965EC0">
        <w:rPr>
          <w:rFonts w:ascii="system-ui" w:eastAsia="system-ui" w:hAnsi="system-ui" w:cs="system-ui"/>
          <w:color w:val="0F1115"/>
        </w:rPr>
        <w:t xml:space="preserve">Carroll, A.B. and Shabana, K.M. (2010) The business case for corporate social responsibility: a review of concepts, research and practice, </w:t>
      </w:r>
      <w:r w:rsidRPr="24965EC0">
        <w:rPr>
          <w:rFonts w:ascii="system-ui" w:eastAsia="system-ui" w:hAnsi="system-ui" w:cs="system-ui"/>
          <w:i/>
          <w:iCs/>
          <w:color w:val="0F1115"/>
        </w:rPr>
        <w:t>International Journal of Management Reviews</w:t>
      </w:r>
      <w:r w:rsidRPr="24965EC0">
        <w:rPr>
          <w:rFonts w:ascii="system-ui" w:eastAsia="system-ui" w:hAnsi="system-ui" w:cs="system-ui"/>
          <w:color w:val="0F1115"/>
        </w:rPr>
        <w:t>, 12(1), pp. 85-105.</w:t>
      </w:r>
    </w:p>
    <w:p w14:paraId="100843D0" w14:textId="24E6534F"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Christopher, M., Payne, A. and Ballantyne, D. (2013) </w:t>
      </w:r>
      <w:r w:rsidRPr="0407C32D">
        <w:rPr>
          <w:rFonts w:ascii="system-ui" w:eastAsia="system-ui" w:hAnsi="system-ui" w:cs="system-ui"/>
          <w:i/>
          <w:iCs/>
          <w:color w:val="0F1115"/>
        </w:rPr>
        <w:t>Relationship marketing: creating stakeholder value</w:t>
      </w:r>
      <w:r w:rsidRPr="0407C32D">
        <w:rPr>
          <w:rFonts w:ascii="system-ui" w:eastAsia="system-ui" w:hAnsi="system-ui" w:cs="system-ui"/>
          <w:color w:val="0F1115"/>
        </w:rPr>
        <w:t>. Saint Louis: Taylor and Francis.</w:t>
      </w:r>
    </w:p>
    <w:p w14:paraId="67B6EDEE" w14:textId="2D6658BA" w:rsidR="5A480003" w:rsidRDefault="5A480003" w:rsidP="0407C32D">
      <w:pPr>
        <w:shd w:val="clear" w:color="auto" w:fill="FFFFFF" w:themeFill="background1"/>
        <w:spacing w:before="240" w:after="240"/>
      </w:pPr>
      <w:r w:rsidRPr="24965EC0">
        <w:rPr>
          <w:rFonts w:ascii="system-ui" w:eastAsia="system-ui" w:hAnsi="system-ui" w:cs="system-ui"/>
          <w:color w:val="0F1115"/>
        </w:rPr>
        <w:t xml:space="preserve">Clarkson, M.B.E. (1995) A stakeholder framework for analysing and evaluating corporate social performance, </w:t>
      </w:r>
      <w:r w:rsidRPr="24965EC0">
        <w:rPr>
          <w:rFonts w:ascii="system-ui" w:eastAsia="system-ui" w:hAnsi="system-ui" w:cs="system-ui"/>
          <w:i/>
          <w:iCs/>
          <w:color w:val="0F1115"/>
        </w:rPr>
        <w:t>Academy of Management Review</w:t>
      </w:r>
      <w:r w:rsidRPr="24965EC0">
        <w:rPr>
          <w:rFonts w:ascii="system-ui" w:eastAsia="system-ui" w:hAnsi="system-ui" w:cs="system-ui"/>
          <w:color w:val="0F1115"/>
        </w:rPr>
        <w:t>, 20(1), pp. 92-117.</w:t>
      </w:r>
    </w:p>
    <w:p w14:paraId="7523E37C" w14:textId="01682145" w:rsidR="5A480003" w:rsidRDefault="5A480003" w:rsidP="0407C32D">
      <w:pPr>
        <w:shd w:val="clear" w:color="auto" w:fill="FFFFFF" w:themeFill="background1"/>
        <w:spacing w:before="240" w:after="240"/>
      </w:pPr>
      <w:r w:rsidRPr="24965EC0">
        <w:rPr>
          <w:rFonts w:ascii="system-ui" w:eastAsia="system-ui" w:hAnsi="system-ui" w:cs="system-ui"/>
          <w:color w:val="0F1115"/>
        </w:rPr>
        <w:t xml:space="preserve">Donaldson, T. and Preston, L.E. (1995) The stakeholder theory of the corporation: concepts, evidence, and implications, </w:t>
      </w:r>
      <w:r w:rsidRPr="24965EC0">
        <w:rPr>
          <w:rFonts w:ascii="system-ui" w:eastAsia="system-ui" w:hAnsi="system-ui" w:cs="system-ui"/>
          <w:i/>
          <w:iCs/>
          <w:color w:val="0F1115"/>
        </w:rPr>
        <w:t>Academy of Management Review</w:t>
      </w:r>
      <w:r w:rsidRPr="24965EC0">
        <w:rPr>
          <w:rFonts w:ascii="system-ui" w:eastAsia="system-ui" w:hAnsi="system-ui" w:cs="system-ui"/>
          <w:color w:val="0F1115"/>
        </w:rPr>
        <w:t>, 20(1), pp. 65-91.</w:t>
      </w:r>
    </w:p>
    <w:p w14:paraId="3B17432B" w14:textId="03A3A469" w:rsidR="46E82F22" w:rsidRDefault="46E82F22" w:rsidP="0407C32D">
      <w:pPr>
        <w:shd w:val="clear" w:color="auto" w:fill="FFFFFF" w:themeFill="background1"/>
        <w:spacing w:before="240" w:after="240"/>
        <w:rPr>
          <w:rFonts w:ascii="system-ui" w:eastAsia="system-ui" w:hAnsi="system-ui" w:cs="system-ui"/>
        </w:rPr>
      </w:pPr>
      <w:r w:rsidRPr="0407C32D">
        <w:rPr>
          <w:rFonts w:ascii="system-ui" w:eastAsia="system-ui" w:hAnsi="system-ui" w:cs="system-ui"/>
          <w:color w:val="0F1115"/>
        </w:rPr>
        <w:t xml:space="preserve">Eden, C. and Ackermann, F. (2013) </w:t>
      </w:r>
      <w:r w:rsidRPr="0407C32D">
        <w:rPr>
          <w:rFonts w:ascii="system-ui" w:eastAsia="system-ui" w:hAnsi="system-ui" w:cs="system-ui"/>
          <w:i/>
          <w:iCs/>
          <w:color w:val="0F1115"/>
        </w:rPr>
        <w:t>Making Strategy: The Journey of Strategic Management</w:t>
      </w:r>
      <w:r w:rsidRPr="0407C32D">
        <w:rPr>
          <w:rFonts w:ascii="system-ui" w:eastAsia="system-ui" w:hAnsi="system-ui" w:cs="system-ui"/>
          <w:color w:val="0F1115"/>
        </w:rPr>
        <w:t>. London: SAGE Publications.</w:t>
      </w:r>
    </w:p>
    <w:p w14:paraId="3B9B123E" w14:textId="371B8B53"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Elkington, J. (1997) </w:t>
      </w:r>
      <w:r w:rsidRPr="0407C32D">
        <w:rPr>
          <w:rFonts w:ascii="system-ui" w:eastAsia="system-ui" w:hAnsi="system-ui" w:cs="system-ui"/>
          <w:i/>
          <w:iCs/>
          <w:color w:val="0F1115"/>
        </w:rPr>
        <w:t>Cannibals with forks: the triple bottom line of 21st century business</w:t>
      </w:r>
      <w:r w:rsidRPr="0407C32D">
        <w:rPr>
          <w:rFonts w:ascii="system-ui" w:eastAsia="system-ui" w:hAnsi="system-ui" w:cs="system-ui"/>
          <w:color w:val="0F1115"/>
        </w:rPr>
        <w:t>. Oxford: Capstone Publishing.</w:t>
      </w:r>
    </w:p>
    <w:p w14:paraId="3597AE37" w14:textId="6BE5214C" w:rsidR="5A480003" w:rsidRDefault="5A480003" w:rsidP="24965EC0">
      <w:pPr>
        <w:shd w:val="clear" w:color="auto" w:fill="FFFFFF" w:themeFill="background1"/>
        <w:spacing w:before="240" w:after="240"/>
      </w:pPr>
      <w:r w:rsidRPr="24965EC0">
        <w:rPr>
          <w:rFonts w:ascii="system-ui" w:eastAsia="system-ui" w:hAnsi="system-ui" w:cs="system-ui"/>
          <w:color w:val="0F1115"/>
        </w:rPr>
        <w:t xml:space="preserve">Font, X. and Lynes, J. (2018) Corporate social responsibility in tourism and hospitality, </w:t>
      </w:r>
      <w:r w:rsidRPr="24965EC0">
        <w:rPr>
          <w:rFonts w:ascii="system-ui" w:eastAsia="system-ui" w:hAnsi="system-ui" w:cs="system-ui"/>
          <w:i/>
          <w:iCs/>
          <w:color w:val="0F1115"/>
        </w:rPr>
        <w:t>Journal of Sustainable Tourism</w:t>
      </w:r>
      <w:r w:rsidRPr="24965EC0">
        <w:rPr>
          <w:rFonts w:ascii="system-ui" w:eastAsia="system-ui" w:hAnsi="system-ui" w:cs="system-ui"/>
          <w:color w:val="0F1115"/>
        </w:rPr>
        <w:t xml:space="preserve">, 26(7), pp. 1027-1042. Available at: </w:t>
      </w:r>
      <w:hyperlink r:id="rId9">
        <w:r w:rsidRPr="24965EC0">
          <w:rPr>
            <w:rStyle w:val="Hyperlink"/>
            <w:rFonts w:ascii="system-ui" w:eastAsia="system-ui" w:hAnsi="system-ui" w:cs="system-ui"/>
            <w:color w:val="3964FE"/>
            <w:u w:val="none"/>
          </w:rPr>
          <w:t>https://doi.org/10.1080/09669582.2018.1488856</w:t>
        </w:r>
      </w:hyperlink>
      <w:r w:rsidRPr="24965EC0">
        <w:rPr>
          <w:rFonts w:ascii="system-ui" w:eastAsia="system-ui" w:hAnsi="system-ui" w:cs="system-ui"/>
          <w:color w:val="0F1115"/>
        </w:rPr>
        <w:t>.</w:t>
      </w:r>
    </w:p>
    <w:p w14:paraId="5ED1263B" w14:textId="19DF45C5"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Freeman, R.E. (1984) </w:t>
      </w:r>
      <w:r w:rsidRPr="0407C32D">
        <w:rPr>
          <w:rFonts w:ascii="system-ui" w:eastAsia="system-ui" w:hAnsi="system-ui" w:cs="system-ui"/>
          <w:i/>
          <w:iCs/>
          <w:color w:val="0F1115"/>
        </w:rPr>
        <w:t>Strategic management: a stakeholder approach</w:t>
      </w:r>
      <w:r w:rsidRPr="0407C32D">
        <w:rPr>
          <w:rFonts w:ascii="system-ui" w:eastAsia="system-ui" w:hAnsi="system-ui" w:cs="system-ui"/>
          <w:color w:val="0F1115"/>
        </w:rPr>
        <w:t>. Boston: Pitman.</w:t>
      </w:r>
    </w:p>
    <w:p w14:paraId="04F52414" w14:textId="670B72AF" w:rsidR="1AC6C7E2" w:rsidRDefault="1AC6C7E2" w:rsidP="2A4916C0">
      <w:pPr>
        <w:shd w:val="clear" w:color="auto" w:fill="FFFFFF" w:themeFill="background1"/>
        <w:spacing w:before="240" w:after="240"/>
      </w:pPr>
      <w:r w:rsidRPr="2A4916C0">
        <w:rPr>
          <w:rFonts w:ascii="system-ui" w:eastAsia="system-ui" w:hAnsi="system-ui" w:cs="system-ui"/>
          <w:color w:val="0F1115"/>
        </w:rPr>
        <w:t xml:space="preserve">Freeman, R.E., Harrison, J.S., Wicks, A.C., Parmar, B.L. and de Colle, S. (2010) </w:t>
      </w:r>
      <w:r w:rsidRPr="2A4916C0">
        <w:rPr>
          <w:rFonts w:ascii="system-ui" w:eastAsia="system-ui" w:hAnsi="system-ui" w:cs="system-ui"/>
          <w:i/>
          <w:iCs/>
          <w:color w:val="0F1115"/>
        </w:rPr>
        <w:t>Stakeholder theory: the state of the art</w:t>
      </w:r>
      <w:r w:rsidRPr="2A4916C0">
        <w:rPr>
          <w:rFonts w:ascii="system-ui" w:eastAsia="system-ui" w:hAnsi="system-ui" w:cs="system-ui"/>
          <w:color w:val="0F1115"/>
        </w:rPr>
        <w:t>. Cambridge: Cambridge University Press.</w:t>
      </w:r>
    </w:p>
    <w:p w14:paraId="5F26C9C0" w14:textId="3F0B00A8" w:rsidR="5A480003" w:rsidRDefault="1AC6C7E2" w:rsidP="0407C32D">
      <w:pPr>
        <w:shd w:val="clear" w:color="auto" w:fill="FFFFFF" w:themeFill="background1"/>
        <w:spacing w:before="240" w:after="240"/>
      </w:pPr>
      <w:r w:rsidRPr="2A4916C0">
        <w:rPr>
          <w:rFonts w:ascii="system-ui" w:eastAsia="system-ui" w:hAnsi="system-ui" w:cs="system-ui"/>
          <w:color w:val="0F1115"/>
        </w:rPr>
        <w:lastRenderedPageBreak/>
        <w:t xml:space="preserve">GDPR (2018) *General Data Protection Regulation (EU) 2016/679*. Available at: </w:t>
      </w:r>
      <w:hyperlink r:id="rId10">
        <w:r w:rsidRPr="2A4916C0">
          <w:rPr>
            <w:rStyle w:val="Hyperlink"/>
            <w:rFonts w:ascii="system-ui" w:eastAsia="system-ui" w:hAnsi="system-ui" w:cs="system-ui"/>
            <w:color w:val="3964FE"/>
            <w:u w:val="none"/>
          </w:rPr>
          <w:t>https://gdpr-info.eu/</w:t>
        </w:r>
      </w:hyperlink>
      <w:r w:rsidRPr="2A4916C0">
        <w:rPr>
          <w:rFonts w:ascii="system-ui" w:eastAsia="system-ui" w:hAnsi="system-ui" w:cs="system-ui"/>
          <w:color w:val="0F1115"/>
        </w:rPr>
        <w:t xml:space="preserve"> (Accessed: 5 March 2026).</w:t>
      </w:r>
    </w:p>
    <w:p w14:paraId="196AB8B9" w14:textId="754E3354" w:rsidR="176D7E2F" w:rsidRDefault="176D7E2F" w:rsidP="2A4916C0">
      <w:pPr>
        <w:shd w:val="clear" w:color="auto" w:fill="FFFFFF" w:themeFill="background1"/>
        <w:spacing w:before="240" w:after="240"/>
      </w:pPr>
      <w:r w:rsidRPr="2A4916C0">
        <w:rPr>
          <w:rFonts w:ascii="system-ui" w:eastAsia="system-ui" w:hAnsi="system-ui" w:cs="system-ui"/>
        </w:rPr>
        <w:t xml:space="preserve">Ghazinoory, S., Abdi, M. and Azadegan-Mehr, M. (2011) SWOT methodology: a state-of-the-art review for the past, a framework for the future, </w:t>
      </w:r>
      <w:r w:rsidRPr="2A4916C0">
        <w:rPr>
          <w:rFonts w:ascii="system-ui" w:eastAsia="system-ui" w:hAnsi="system-ui" w:cs="system-ui"/>
          <w:i/>
          <w:iCs/>
        </w:rPr>
        <w:t>Journal of Business Economics and Management</w:t>
      </w:r>
      <w:r w:rsidRPr="2A4916C0">
        <w:rPr>
          <w:rFonts w:ascii="system-ui" w:eastAsia="system-ui" w:hAnsi="system-ui" w:cs="system-ui"/>
        </w:rPr>
        <w:t xml:space="preserve">, 12(1), pp. 24–48. doi: 10.3846/16111699.2011.555358. Cited </w:t>
      </w:r>
      <w:r w:rsidR="47F8EE27" w:rsidRPr="2A4916C0">
        <w:rPr>
          <w:rFonts w:ascii="system-ui" w:eastAsia="system-ui" w:hAnsi="system-ui" w:cs="system-ui"/>
        </w:rPr>
        <w:t>by</w:t>
      </w:r>
      <w:r w:rsidRPr="2A4916C0">
        <w:rPr>
          <w:rFonts w:ascii="system-ui" w:eastAsia="system-ui" w:hAnsi="system-ui" w:cs="system-ui"/>
        </w:rPr>
        <w:t xml:space="preserve"> 74</w:t>
      </w:r>
    </w:p>
    <w:p w14:paraId="5505F33A" w14:textId="0CBBCA7F" w:rsidR="4FBFEEE5" w:rsidRDefault="4FBFEEE5" w:rsidP="2A4916C0">
      <w:pPr>
        <w:shd w:val="clear" w:color="auto" w:fill="FFFFFF" w:themeFill="background1"/>
        <w:spacing w:before="240" w:after="240"/>
      </w:pPr>
      <w:r w:rsidRPr="2A4916C0">
        <w:rPr>
          <w:rFonts w:ascii="system-ui" w:eastAsia="system-ui" w:hAnsi="system-ui" w:cs="system-ui"/>
        </w:rPr>
        <w:t xml:space="preserve">Gürel, E. and Tat, M. (2017) SWOT ANALYSIS: A THEORETICAL REVIEW, </w:t>
      </w:r>
      <w:r w:rsidRPr="2A4916C0">
        <w:rPr>
          <w:rFonts w:ascii="system-ui" w:eastAsia="system-ui" w:hAnsi="system-ui" w:cs="system-ui"/>
          <w:i/>
          <w:iCs/>
        </w:rPr>
        <w:t>Journal of International Social Research</w:t>
      </w:r>
      <w:r w:rsidRPr="2A4916C0">
        <w:rPr>
          <w:rFonts w:ascii="system-ui" w:eastAsia="system-ui" w:hAnsi="system-ui" w:cs="system-ui"/>
        </w:rPr>
        <w:t>, 10(51), pp. 994–1006. doi: 10.17719/jisr.2017.1832.</w:t>
      </w:r>
    </w:p>
    <w:p w14:paraId="1C5DB3B8" w14:textId="2AAFF12C" w:rsidR="4FBFEEE5" w:rsidRDefault="4FBFEEE5" w:rsidP="2A4916C0">
      <w:pPr>
        <w:shd w:val="clear" w:color="auto" w:fill="FFFFFF" w:themeFill="background1"/>
        <w:spacing w:before="240" w:after="240"/>
      </w:pPr>
      <w:r w:rsidRPr="2A4916C0">
        <w:rPr>
          <w:rFonts w:ascii="system-ui" w:eastAsia="system-ui" w:hAnsi="system-ui" w:cs="system-ui"/>
        </w:rPr>
        <w:t xml:space="preserve">Helms, M.M. and Nixon, J. (2010) Exploring SWOT analysis – where are we </w:t>
      </w:r>
      <w:r w:rsidR="6AACA05D" w:rsidRPr="2A4916C0">
        <w:rPr>
          <w:rFonts w:ascii="system-ui" w:eastAsia="system-ui" w:hAnsi="system-ui" w:cs="system-ui"/>
        </w:rPr>
        <w:t>now?</w:t>
      </w:r>
      <w:r w:rsidRPr="2A4916C0">
        <w:rPr>
          <w:rFonts w:ascii="system-ui" w:eastAsia="system-ui" w:hAnsi="system-ui" w:cs="system-ui"/>
        </w:rPr>
        <w:t xml:space="preserve"> </w:t>
      </w:r>
      <w:r w:rsidRPr="2A4916C0">
        <w:rPr>
          <w:rFonts w:ascii="system-ui" w:eastAsia="system-ui" w:hAnsi="system-ui" w:cs="system-ui"/>
          <w:i/>
          <w:iCs/>
        </w:rPr>
        <w:t>Journal of Strategy and Management</w:t>
      </w:r>
      <w:r w:rsidRPr="2A4916C0">
        <w:rPr>
          <w:rFonts w:ascii="system-ui" w:eastAsia="system-ui" w:hAnsi="system-ui" w:cs="system-ui"/>
        </w:rPr>
        <w:t xml:space="preserve">, 3(3), pp. 215–251. doi: 10.1108/17554251011064837. Cited </w:t>
      </w:r>
      <w:proofErr w:type="gramStart"/>
      <w:r w:rsidRPr="2A4916C0">
        <w:rPr>
          <w:rFonts w:ascii="system-ui" w:eastAsia="system-ui" w:hAnsi="system-ui" w:cs="system-ui"/>
        </w:rPr>
        <w:t>by:</w:t>
      </w:r>
      <w:proofErr w:type="gramEnd"/>
      <w:r w:rsidRPr="2A4916C0">
        <w:rPr>
          <w:rFonts w:ascii="system-ui" w:eastAsia="system-ui" w:hAnsi="system-ui" w:cs="system-ui"/>
        </w:rPr>
        <w:t xml:space="preserve"> 2422</w:t>
      </w:r>
    </w:p>
    <w:p w14:paraId="3407F321" w14:textId="3FA9506A" w:rsidR="5A480003" w:rsidRDefault="5A480003" w:rsidP="0407C32D">
      <w:pPr>
        <w:shd w:val="clear" w:color="auto" w:fill="FFFFFF" w:themeFill="background1"/>
        <w:spacing w:before="240" w:after="240"/>
      </w:pPr>
      <w:r w:rsidRPr="24965EC0">
        <w:rPr>
          <w:rFonts w:ascii="system-ui" w:eastAsia="system-ui" w:hAnsi="system-ui" w:cs="system-ui"/>
          <w:color w:val="0F1115"/>
        </w:rPr>
        <w:t xml:space="preserve">IHG (2025) Statement re shareholder engagement and outcome, </w:t>
      </w:r>
      <w:r w:rsidRPr="24965EC0">
        <w:rPr>
          <w:rFonts w:ascii="system-ui" w:eastAsia="system-ui" w:hAnsi="system-ui" w:cs="system-ui"/>
          <w:i/>
          <w:iCs/>
          <w:color w:val="0F1115"/>
        </w:rPr>
        <w:t>Investegate</w:t>
      </w:r>
      <w:r w:rsidRPr="24965EC0">
        <w:rPr>
          <w:rFonts w:ascii="system-ui" w:eastAsia="system-ui" w:hAnsi="system-ui" w:cs="system-ui"/>
          <w:color w:val="0F1115"/>
        </w:rPr>
        <w:t xml:space="preserve">, 20 August. Available at: </w:t>
      </w:r>
      <w:hyperlink r:id="rId11">
        <w:r w:rsidRPr="24965EC0">
          <w:rPr>
            <w:rStyle w:val="Hyperlink"/>
            <w:rFonts w:ascii="system-ui" w:eastAsia="system-ui" w:hAnsi="system-ui" w:cs="system-ui"/>
            <w:color w:val="3964FE"/>
            <w:u w:val="none"/>
          </w:rPr>
          <w:t>https://www.investegate.co.uk/announcement/rns/intercontinental-hotels-group--ihg/statement-re-shareholder-engagement-and-outcome/9066286</w:t>
        </w:r>
      </w:hyperlink>
      <w:r w:rsidRPr="24965EC0">
        <w:rPr>
          <w:rFonts w:ascii="system-ui" w:eastAsia="system-ui" w:hAnsi="system-ui" w:cs="system-ui"/>
          <w:color w:val="0F1115"/>
        </w:rPr>
        <w:t xml:space="preserve"> (Accessed: 5 March 2026).</w:t>
      </w:r>
    </w:p>
    <w:p w14:paraId="5936CC19" w14:textId="682D0B3C" w:rsidR="22F8E5B9" w:rsidRDefault="22F8E5B9" w:rsidP="0407C32D">
      <w:pPr>
        <w:shd w:val="clear" w:color="auto" w:fill="FFFFFF" w:themeFill="background1"/>
        <w:spacing w:before="240" w:after="240"/>
        <w:rPr>
          <w:rFonts w:ascii="system-ui" w:eastAsia="system-ui" w:hAnsi="system-ui" w:cs="system-ui"/>
        </w:rPr>
      </w:pPr>
      <w:r w:rsidRPr="0407C32D">
        <w:rPr>
          <w:rFonts w:ascii="system-ui" w:eastAsia="system-ui" w:hAnsi="system-ui" w:cs="system-ui"/>
          <w:color w:val="0F1115"/>
        </w:rPr>
        <w:t xml:space="preserve">IHG (2026) </w:t>
      </w:r>
      <w:r w:rsidRPr="0407C32D">
        <w:rPr>
          <w:rFonts w:ascii="system-ui" w:eastAsia="system-ui" w:hAnsi="system-ui" w:cs="system-ui"/>
          <w:i/>
          <w:iCs/>
          <w:color w:val="0F1115"/>
        </w:rPr>
        <w:t>IHG Annual Report and Financial Statements 2025</w:t>
      </w:r>
      <w:r w:rsidRPr="0407C32D">
        <w:rPr>
          <w:rFonts w:ascii="system-ui" w:eastAsia="system-ui" w:hAnsi="system-ui" w:cs="system-ui"/>
          <w:color w:val="0F1115"/>
        </w:rPr>
        <w:t xml:space="preserve">. Available at: </w:t>
      </w:r>
      <w:hyperlink r:id="rId12">
        <w:r w:rsidRPr="0407C32D">
          <w:rPr>
            <w:rStyle w:val="Hyperlink"/>
            <w:rFonts w:ascii="system-ui" w:eastAsia="system-ui" w:hAnsi="system-ui" w:cs="system-ui"/>
            <w:color w:val="3964FE"/>
            <w:u w:val="none"/>
          </w:rPr>
          <w:t>https://www.ihgplc.com/en/investors/annual-report</w:t>
        </w:r>
      </w:hyperlink>
      <w:r w:rsidRPr="0407C32D">
        <w:rPr>
          <w:rFonts w:ascii="system-ui" w:eastAsia="system-ui" w:hAnsi="system-ui" w:cs="system-ui"/>
          <w:color w:val="0F1115"/>
        </w:rPr>
        <w:t xml:space="preserve"> (Accessed: 5 March 2026).</w:t>
      </w:r>
    </w:p>
    <w:p w14:paraId="77560E55" w14:textId="61A02399" w:rsidR="22F8E5B9" w:rsidRDefault="22F8E5B9" w:rsidP="0407C32D">
      <w:pPr>
        <w:shd w:val="clear" w:color="auto" w:fill="FFFFFF" w:themeFill="background1"/>
        <w:spacing w:before="240" w:after="240"/>
        <w:rPr>
          <w:rFonts w:ascii="system-ui" w:eastAsia="system-ui" w:hAnsi="system-ui" w:cs="system-ui"/>
        </w:rPr>
      </w:pPr>
      <w:r w:rsidRPr="0407C32D">
        <w:rPr>
          <w:rFonts w:ascii="system-ui" w:eastAsia="system-ui" w:hAnsi="system-ui" w:cs="system-ui"/>
          <w:color w:val="0F1115"/>
        </w:rPr>
        <w:t xml:space="preserve">Jacka, J.M. and Keller, P.J. (2009) </w:t>
      </w:r>
      <w:r w:rsidRPr="0407C32D">
        <w:rPr>
          <w:rFonts w:ascii="system-ui" w:eastAsia="system-ui" w:hAnsi="system-ui" w:cs="system-ui"/>
          <w:i/>
          <w:iCs/>
          <w:color w:val="0F1115"/>
        </w:rPr>
        <w:t>Business Process Mapping: Improving Customer Satisfaction</w:t>
      </w:r>
      <w:r w:rsidRPr="0407C32D">
        <w:rPr>
          <w:rFonts w:ascii="system-ui" w:eastAsia="system-ui" w:hAnsi="system-ui" w:cs="system-ui"/>
          <w:color w:val="0F1115"/>
        </w:rPr>
        <w:t>. 2nd edn. Hoboken: John Wiley &amp; Sons.</w:t>
      </w:r>
    </w:p>
    <w:p w14:paraId="4D2AC6E9" w14:textId="2DC5376A"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Kotler, P., Bowen, J.T. and Baloglu, S. (2022) </w:t>
      </w:r>
      <w:r w:rsidRPr="0407C32D">
        <w:rPr>
          <w:rFonts w:ascii="system-ui" w:eastAsia="system-ui" w:hAnsi="system-ui" w:cs="system-ui"/>
          <w:i/>
          <w:iCs/>
          <w:color w:val="0F1115"/>
        </w:rPr>
        <w:t>Marketing for hospitality and tourism</w:t>
      </w:r>
      <w:r w:rsidRPr="0407C32D">
        <w:rPr>
          <w:rFonts w:ascii="system-ui" w:eastAsia="system-ui" w:hAnsi="system-ui" w:cs="system-ui"/>
          <w:color w:val="0F1115"/>
        </w:rPr>
        <w:t>. 8th edn. Harlow: Pearson Education.</w:t>
      </w:r>
    </w:p>
    <w:p w14:paraId="6115D08D" w14:textId="1CCD17B8" w:rsidR="5A480003" w:rsidRDefault="5A480003" w:rsidP="0407C32D">
      <w:pPr>
        <w:shd w:val="clear" w:color="auto" w:fill="FFFFFF" w:themeFill="background1"/>
        <w:spacing w:before="240" w:after="240"/>
      </w:pPr>
      <w:r w:rsidRPr="24965EC0">
        <w:rPr>
          <w:rFonts w:ascii="system-ui" w:eastAsia="system-ui" w:hAnsi="system-ui" w:cs="system-ui"/>
          <w:color w:val="0F1115"/>
        </w:rPr>
        <w:t xml:space="preserve">Martin, K.D. and Murphy, P.E. (2017) The role of data privacy in marketing, </w:t>
      </w:r>
      <w:r w:rsidRPr="24965EC0">
        <w:rPr>
          <w:rFonts w:ascii="system-ui" w:eastAsia="system-ui" w:hAnsi="system-ui" w:cs="system-ui"/>
          <w:i/>
          <w:iCs/>
          <w:color w:val="0F1115"/>
        </w:rPr>
        <w:t>Journal of the Academy of Marketing Science</w:t>
      </w:r>
      <w:r w:rsidRPr="24965EC0">
        <w:rPr>
          <w:rFonts w:ascii="system-ui" w:eastAsia="system-ui" w:hAnsi="system-ui" w:cs="system-ui"/>
          <w:color w:val="0F1115"/>
        </w:rPr>
        <w:t xml:space="preserve">, 45(2), pp. 135-155. Available at: </w:t>
      </w:r>
      <w:hyperlink r:id="rId13">
        <w:r w:rsidRPr="24965EC0">
          <w:rPr>
            <w:rStyle w:val="Hyperlink"/>
            <w:rFonts w:ascii="system-ui" w:eastAsia="system-ui" w:hAnsi="system-ui" w:cs="system-ui"/>
            <w:color w:val="3964FE"/>
            <w:u w:val="none"/>
          </w:rPr>
          <w:t>https://doi.org/10.1007/s11747-016-0495-4</w:t>
        </w:r>
      </w:hyperlink>
      <w:r w:rsidRPr="24965EC0">
        <w:rPr>
          <w:rFonts w:ascii="system-ui" w:eastAsia="system-ui" w:hAnsi="system-ui" w:cs="system-ui"/>
          <w:color w:val="0F1115"/>
        </w:rPr>
        <w:t>.</w:t>
      </w:r>
    </w:p>
    <w:p w14:paraId="1461A409" w14:textId="714C998F"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Oliver, R.L. (2010) </w:t>
      </w:r>
      <w:r w:rsidRPr="0407C32D">
        <w:rPr>
          <w:rFonts w:ascii="system-ui" w:eastAsia="system-ui" w:hAnsi="system-ui" w:cs="system-ui"/>
          <w:i/>
          <w:iCs/>
          <w:color w:val="0F1115"/>
        </w:rPr>
        <w:t>Satisfaction: a behavioural perspective on the consumer</w:t>
      </w:r>
      <w:r w:rsidRPr="0407C32D">
        <w:rPr>
          <w:rFonts w:ascii="system-ui" w:eastAsia="system-ui" w:hAnsi="system-ui" w:cs="system-ui"/>
          <w:color w:val="0F1115"/>
        </w:rPr>
        <w:t>. 2nd edn. Abingdon: Routledge.</w:t>
      </w:r>
    </w:p>
    <w:p w14:paraId="5F104865" w14:textId="7A61DB15"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Pears, R. and Shields, G. (2022) </w:t>
      </w:r>
      <w:r w:rsidRPr="0407C32D">
        <w:rPr>
          <w:rFonts w:ascii="system-ui" w:eastAsia="system-ui" w:hAnsi="system-ui" w:cs="system-ui"/>
          <w:i/>
          <w:iCs/>
          <w:color w:val="0F1115"/>
        </w:rPr>
        <w:t>Cite them right: the essential referencing guide</w:t>
      </w:r>
      <w:r w:rsidRPr="0407C32D">
        <w:rPr>
          <w:rFonts w:ascii="system-ui" w:eastAsia="system-ui" w:hAnsi="system-ui" w:cs="system-ui"/>
          <w:color w:val="0F1115"/>
        </w:rPr>
        <w:t>. 12th edn. London: Bloomsbury.</w:t>
      </w:r>
    </w:p>
    <w:p w14:paraId="7FCF0B2A" w14:textId="138D5589"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Project Management Institute (2021) </w:t>
      </w:r>
      <w:r w:rsidRPr="0407C32D">
        <w:rPr>
          <w:rFonts w:ascii="system-ui" w:eastAsia="system-ui" w:hAnsi="system-ui" w:cs="system-ui"/>
          <w:i/>
          <w:iCs/>
          <w:color w:val="0F1115"/>
        </w:rPr>
        <w:t>A guide to the project management body of knowledge (PMBOK guide)</w:t>
      </w:r>
      <w:r w:rsidRPr="0407C32D">
        <w:rPr>
          <w:rFonts w:ascii="system-ui" w:eastAsia="system-ui" w:hAnsi="system-ui" w:cs="system-ui"/>
          <w:color w:val="0F1115"/>
        </w:rPr>
        <w:t>. 7th edn. Newtown Square: Project Management Institute.</w:t>
      </w:r>
    </w:p>
    <w:p w14:paraId="0B3F80C6" w14:textId="338CA1D9"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Story Inc. (2021) *The 4 c's: connection, consultation, collaboration &amp; co-creation*. Available at: </w:t>
      </w:r>
      <w:hyperlink r:id="rId14">
        <w:r w:rsidRPr="0407C32D">
          <w:rPr>
            <w:rStyle w:val="Hyperlink"/>
            <w:rFonts w:ascii="system-ui" w:eastAsia="system-ui" w:hAnsi="system-ui" w:cs="system-ui"/>
            <w:color w:val="3964FE"/>
            <w:u w:val="none"/>
          </w:rPr>
          <w:t>https://www.storyinc.co.nz/blog/the-4-cs-connection-consultation-collaboration-amp-co-creation</w:t>
        </w:r>
      </w:hyperlink>
      <w:r w:rsidRPr="0407C32D">
        <w:rPr>
          <w:rFonts w:ascii="system-ui" w:eastAsia="system-ui" w:hAnsi="system-ui" w:cs="system-ui"/>
          <w:color w:val="0F1115"/>
        </w:rPr>
        <w:t xml:space="preserve"> (Accessed: 5 March 2026).</w:t>
      </w:r>
    </w:p>
    <w:p w14:paraId="387BC875" w14:textId="541AA7F8" w:rsidR="5A480003" w:rsidRDefault="5A480003" w:rsidP="0407C32D">
      <w:pPr>
        <w:shd w:val="clear" w:color="auto" w:fill="FFFFFF" w:themeFill="background1"/>
        <w:spacing w:before="240" w:after="240"/>
      </w:pPr>
      <w:r w:rsidRPr="0407C32D">
        <w:rPr>
          <w:rFonts w:ascii="system-ui" w:eastAsia="system-ui" w:hAnsi="system-ui" w:cs="system-ui"/>
          <w:color w:val="0F1115"/>
        </w:rPr>
        <w:lastRenderedPageBreak/>
        <w:t xml:space="preserve">United Nations (2015) </w:t>
      </w:r>
      <w:r w:rsidRPr="0407C32D">
        <w:rPr>
          <w:rFonts w:ascii="system-ui" w:eastAsia="system-ui" w:hAnsi="system-ui" w:cs="system-ui"/>
          <w:i/>
          <w:iCs/>
          <w:color w:val="0F1115"/>
        </w:rPr>
        <w:t>Transforming our world: the 2030 agenda for sustainable development</w:t>
      </w:r>
      <w:r w:rsidRPr="0407C32D">
        <w:rPr>
          <w:rFonts w:ascii="system-ui" w:eastAsia="system-ui" w:hAnsi="system-ui" w:cs="system-ui"/>
          <w:color w:val="0F1115"/>
        </w:rPr>
        <w:t>. A/RES/70/1. New York: United Nations.</w:t>
      </w:r>
    </w:p>
    <w:p w14:paraId="11EE6D88" w14:textId="4CA1232A"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Visme (2025) </w:t>
      </w:r>
      <w:r w:rsidRPr="0407C32D">
        <w:rPr>
          <w:rFonts w:ascii="system-ui" w:eastAsia="system-ui" w:hAnsi="system-ui" w:cs="system-ui"/>
          <w:i/>
          <w:iCs/>
          <w:color w:val="0F1115"/>
        </w:rPr>
        <w:t>How to create a stakeholder engagement plan (+ templates)</w:t>
      </w:r>
      <w:r w:rsidRPr="0407C32D">
        <w:rPr>
          <w:rFonts w:ascii="system-ui" w:eastAsia="system-ui" w:hAnsi="system-ui" w:cs="system-ui"/>
          <w:color w:val="0F1115"/>
        </w:rPr>
        <w:t xml:space="preserve">. Available at: </w:t>
      </w:r>
      <w:hyperlink r:id="rId15">
        <w:r w:rsidRPr="0407C32D">
          <w:rPr>
            <w:rStyle w:val="Hyperlink"/>
            <w:rFonts w:ascii="system-ui" w:eastAsia="system-ui" w:hAnsi="system-ui" w:cs="system-ui"/>
            <w:color w:val="3964FE"/>
            <w:u w:val="none"/>
          </w:rPr>
          <w:t>https://visme.co/blog/stakeholder-engagement-plan/</w:t>
        </w:r>
      </w:hyperlink>
      <w:r w:rsidRPr="0407C32D">
        <w:rPr>
          <w:rFonts w:ascii="system-ui" w:eastAsia="system-ui" w:hAnsi="system-ui" w:cs="system-ui"/>
          <w:color w:val="0F1115"/>
        </w:rPr>
        <w:t xml:space="preserve"> (Accessed: 5 March 2026).</w:t>
      </w:r>
    </w:p>
    <w:p w14:paraId="419C4B61" w14:textId="29ECBCAD" w:rsidR="5A480003" w:rsidRDefault="5A480003" w:rsidP="0407C32D">
      <w:pPr>
        <w:shd w:val="clear" w:color="auto" w:fill="FFFFFF" w:themeFill="background1"/>
        <w:spacing w:before="240" w:after="240"/>
      </w:pPr>
      <w:r w:rsidRPr="24965EC0">
        <w:rPr>
          <w:rFonts w:ascii="system-ui" w:eastAsia="system-ui" w:hAnsi="system-ui" w:cs="system-ui"/>
          <w:color w:val="0F1115"/>
        </w:rPr>
        <w:t xml:space="preserve">Wang, D., Yang, M. and Chen, G. (2022) Stakeholder engagement in sustainable tourism: a systematic review and research agenda, </w:t>
      </w:r>
      <w:r w:rsidRPr="24965EC0">
        <w:rPr>
          <w:rFonts w:ascii="system-ui" w:eastAsia="system-ui" w:hAnsi="system-ui" w:cs="system-ui"/>
          <w:i/>
          <w:iCs/>
          <w:color w:val="0F1115"/>
        </w:rPr>
        <w:t>Tourism Management Perspectives</w:t>
      </w:r>
      <w:r w:rsidRPr="24965EC0">
        <w:rPr>
          <w:rFonts w:ascii="system-ui" w:eastAsia="system-ui" w:hAnsi="system-ui" w:cs="system-ui"/>
          <w:color w:val="0F1115"/>
        </w:rPr>
        <w:t xml:space="preserve">, 42, 100967. Available at: </w:t>
      </w:r>
      <w:hyperlink r:id="rId16">
        <w:r w:rsidRPr="24965EC0">
          <w:rPr>
            <w:rStyle w:val="Hyperlink"/>
            <w:rFonts w:ascii="system-ui" w:eastAsia="system-ui" w:hAnsi="system-ui" w:cs="system-ui"/>
            <w:color w:val="3964FE"/>
            <w:u w:val="none"/>
          </w:rPr>
          <w:t>https://doi.org/10.1016/j.tmp.2022.100967</w:t>
        </w:r>
      </w:hyperlink>
      <w:r w:rsidRPr="24965EC0">
        <w:rPr>
          <w:rFonts w:ascii="system-ui" w:eastAsia="system-ui" w:hAnsi="system-ui" w:cs="system-ui"/>
          <w:color w:val="0F1115"/>
        </w:rPr>
        <w:t>.</w:t>
      </w:r>
    </w:p>
    <w:p w14:paraId="5A0BFB52" w14:textId="733B3E3E"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Warislohner, F. (2025) </w:t>
      </w:r>
      <w:r w:rsidRPr="0407C32D">
        <w:rPr>
          <w:rFonts w:ascii="system-ui" w:eastAsia="system-ui" w:hAnsi="system-ui" w:cs="system-ui"/>
          <w:i/>
          <w:iCs/>
          <w:color w:val="0F1115"/>
        </w:rPr>
        <w:t xml:space="preserve">The 2026 </w:t>
      </w:r>
      <w:r w:rsidR="539AAF62" w:rsidRPr="0407C32D">
        <w:rPr>
          <w:rFonts w:ascii="system-ui" w:eastAsia="system-ui" w:hAnsi="system-ui" w:cs="system-ui"/>
          <w:i/>
          <w:iCs/>
          <w:color w:val="0F1115"/>
        </w:rPr>
        <w:t>H</w:t>
      </w:r>
      <w:r w:rsidRPr="0407C32D">
        <w:rPr>
          <w:rFonts w:ascii="system-ui" w:eastAsia="system-ui" w:hAnsi="system-ui" w:cs="system-ui"/>
          <w:i/>
          <w:iCs/>
          <w:color w:val="0F1115"/>
        </w:rPr>
        <w:t>ospitality outlook: the year of segmentation and "The Float"</w:t>
      </w:r>
      <w:r w:rsidRPr="0407C32D">
        <w:rPr>
          <w:rFonts w:ascii="system-ui" w:eastAsia="system-ui" w:hAnsi="system-ui" w:cs="system-ui"/>
          <w:color w:val="0F1115"/>
        </w:rPr>
        <w:t xml:space="preserve">. Available at: </w:t>
      </w:r>
      <w:hyperlink r:id="rId17">
        <w:r w:rsidRPr="0407C32D">
          <w:rPr>
            <w:rStyle w:val="Hyperlink"/>
            <w:rFonts w:ascii="system-ui" w:eastAsia="system-ui" w:hAnsi="system-ui" w:cs="system-ui"/>
            <w:color w:val="3964FE"/>
            <w:u w:val="none"/>
          </w:rPr>
          <w:t>https://www.linkedin.com/pulse/2026-hospitality-outlook-year-segmentation-2l5lc</w:t>
        </w:r>
      </w:hyperlink>
      <w:r w:rsidRPr="0407C32D">
        <w:rPr>
          <w:rFonts w:ascii="system-ui" w:eastAsia="system-ui" w:hAnsi="system-ui" w:cs="system-ui"/>
          <w:color w:val="0F1115"/>
        </w:rPr>
        <w:t xml:space="preserve"> (Accessed: 5 March 2026).</w:t>
      </w:r>
    </w:p>
    <w:p w14:paraId="374E5F60" w14:textId="5B83AE0B" w:rsidR="5A480003" w:rsidRDefault="5A480003" w:rsidP="0407C32D">
      <w:pPr>
        <w:shd w:val="clear" w:color="auto" w:fill="FFFFFF" w:themeFill="background1"/>
        <w:spacing w:before="240" w:after="240"/>
      </w:pPr>
      <w:r w:rsidRPr="0407C32D">
        <w:rPr>
          <w:rFonts w:ascii="system-ui" w:eastAsia="system-ui" w:hAnsi="system-ui" w:cs="system-ui"/>
          <w:color w:val="0F1115"/>
        </w:rPr>
        <w:t xml:space="preserve">Yang, M. (2024) </w:t>
      </w:r>
      <w:r w:rsidRPr="0407C32D">
        <w:rPr>
          <w:rFonts w:ascii="system-ui" w:eastAsia="system-ui" w:hAnsi="system-ui" w:cs="system-ui"/>
          <w:i/>
          <w:iCs/>
          <w:color w:val="0F1115"/>
        </w:rPr>
        <w:t>Developing a stakeholder engagement framework for international hotel chains managing hotel environmental sustainability in China</w:t>
      </w:r>
      <w:r w:rsidRPr="0407C32D">
        <w:rPr>
          <w:rFonts w:ascii="system-ui" w:eastAsia="system-ui" w:hAnsi="system-ui" w:cs="system-ui"/>
          <w:color w:val="0F1115"/>
        </w:rPr>
        <w:t xml:space="preserve">. DHTM thesis. Hong Kong Polytechnic University. Available at: </w:t>
      </w:r>
      <w:hyperlink r:id="rId18">
        <w:r w:rsidRPr="0407C32D">
          <w:rPr>
            <w:rStyle w:val="Hyperlink"/>
            <w:rFonts w:ascii="system-ui" w:eastAsia="system-ui" w:hAnsi="system-ui" w:cs="system-ui"/>
            <w:color w:val="3964FE"/>
            <w:u w:val="none"/>
          </w:rPr>
          <w:t>https://theses.lib.polyu.edu.hk/handle/200/13476</w:t>
        </w:r>
      </w:hyperlink>
      <w:r w:rsidRPr="0407C32D">
        <w:rPr>
          <w:rFonts w:ascii="system-ui" w:eastAsia="system-ui" w:hAnsi="system-ui" w:cs="system-ui"/>
          <w:color w:val="0F1115"/>
        </w:rPr>
        <w:t xml:space="preserve"> (Accessed: 5 March 2026).</w:t>
      </w:r>
    </w:p>
    <w:p w14:paraId="56962529" w14:textId="79E9E5A3" w:rsidR="0407C32D" w:rsidRDefault="0407C32D" w:rsidP="0407C32D"/>
    <w:p w14:paraId="2DC4DCE2" w14:textId="50002BB3" w:rsidR="0407C32D" w:rsidRDefault="0407C32D" w:rsidP="0407C32D"/>
    <w:sectPr w:rsidR="0407C32D">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299C" w14:textId="77777777" w:rsidR="004C4F17" w:rsidRDefault="004C4F17">
      <w:pPr>
        <w:spacing w:after="0" w:line="240" w:lineRule="auto"/>
      </w:pPr>
      <w:r>
        <w:separator/>
      </w:r>
    </w:p>
  </w:endnote>
  <w:endnote w:type="continuationSeparator" w:id="0">
    <w:p w14:paraId="03D8F449" w14:textId="77777777" w:rsidR="004C4F17" w:rsidRDefault="004C4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4965EC0" w14:paraId="39E83E5A" w14:textId="77777777" w:rsidTr="24965EC0">
      <w:trPr>
        <w:trHeight w:val="300"/>
      </w:trPr>
      <w:tc>
        <w:tcPr>
          <w:tcW w:w="3005" w:type="dxa"/>
        </w:tcPr>
        <w:p w14:paraId="421990D2" w14:textId="7E7BDC83" w:rsidR="24965EC0" w:rsidRDefault="24965EC0" w:rsidP="24965EC0">
          <w:pPr>
            <w:pStyle w:val="Header"/>
            <w:ind w:left="-115"/>
          </w:pPr>
        </w:p>
      </w:tc>
      <w:tc>
        <w:tcPr>
          <w:tcW w:w="3005" w:type="dxa"/>
        </w:tcPr>
        <w:p w14:paraId="3B6459A4" w14:textId="648C1C18" w:rsidR="24965EC0" w:rsidRDefault="24965EC0" w:rsidP="24965EC0">
          <w:pPr>
            <w:pStyle w:val="Header"/>
            <w:jc w:val="center"/>
          </w:pPr>
          <w:r>
            <w:fldChar w:fldCharType="begin"/>
          </w:r>
          <w:r>
            <w:instrText>PAGE</w:instrText>
          </w:r>
          <w:r>
            <w:fldChar w:fldCharType="separate"/>
          </w:r>
          <w:r w:rsidR="003027E3">
            <w:rPr>
              <w:noProof/>
            </w:rPr>
            <w:t>1</w:t>
          </w:r>
          <w:r>
            <w:fldChar w:fldCharType="end"/>
          </w:r>
        </w:p>
      </w:tc>
      <w:tc>
        <w:tcPr>
          <w:tcW w:w="3005" w:type="dxa"/>
        </w:tcPr>
        <w:p w14:paraId="0F152B56" w14:textId="63A7EE51" w:rsidR="24965EC0" w:rsidRDefault="24965EC0" w:rsidP="24965EC0">
          <w:pPr>
            <w:pStyle w:val="Header"/>
            <w:ind w:right="-115"/>
            <w:jc w:val="right"/>
          </w:pPr>
        </w:p>
      </w:tc>
    </w:tr>
  </w:tbl>
  <w:p w14:paraId="6DA49200" w14:textId="0BB944E0" w:rsidR="24965EC0" w:rsidRDefault="24965EC0" w:rsidP="24965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91CA6" w14:textId="77777777" w:rsidR="004C4F17" w:rsidRDefault="004C4F17">
      <w:pPr>
        <w:spacing w:after="0" w:line="240" w:lineRule="auto"/>
      </w:pPr>
      <w:r>
        <w:separator/>
      </w:r>
    </w:p>
  </w:footnote>
  <w:footnote w:type="continuationSeparator" w:id="0">
    <w:p w14:paraId="2CFA50AD" w14:textId="77777777" w:rsidR="004C4F17" w:rsidRDefault="004C4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4965EC0" w14:paraId="097AC84F" w14:textId="77777777" w:rsidTr="24965EC0">
      <w:trPr>
        <w:trHeight w:val="300"/>
      </w:trPr>
      <w:tc>
        <w:tcPr>
          <w:tcW w:w="3005" w:type="dxa"/>
        </w:tcPr>
        <w:p w14:paraId="34D8207C" w14:textId="72504852" w:rsidR="24965EC0" w:rsidRDefault="24965EC0" w:rsidP="24965EC0">
          <w:pPr>
            <w:pStyle w:val="Header"/>
            <w:ind w:left="-115"/>
          </w:pPr>
        </w:p>
      </w:tc>
      <w:tc>
        <w:tcPr>
          <w:tcW w:w="3005" w:type="dxa"/>
        </w:tcPr>
        <w:p w14:paraId="562C0821" w14:textId="5C3161BD" w:rsidR="24965EC0" w:rsidRDefault="24965EC0" w:rsidP="24965EC0">
          <w:pPr>
            <w:pStyle w:val="Header"/>
            <w:jc w:val="center"/>
          </w:pPr>
        </w:p>
      </w:tc>
      <w:tc>
        <w:tcPr>
          <w:tcW w:w="3005" w:type="dxa"/>
        </w:tcPr>
        <w:p w14:paraId="0665C8D6" w14:textId="29AD5C32" w:rsidR="24965EC0" w:rsidRDefault="24965EC0" w:rsidP="24965EC0">
          <w:pPr>
            <w:pStyle w:val="Header"/>
            <w:ind w:right="-115"/>
            <w:jc w:val="right"/>
          </w:pPr>
        </w:p>
      </w:tc>
    </w:tr>
  </w:tbl>
  <w:p w14:paraId="08248A92" w14:textId="6EB8F761" w:rsidR="24965EC0" w:rsidRDefault="24965EC0" w:rsidP="24965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8F70"/>
    <w:multiLevelType w:val="hybridMultilevel"/>
    <w:tmpl w:val="6FBE2AB4"/>
    <w:lvl w:ilvl="0" w:tplc="BE2AC622">
      <w:start w:val="19"/>
      <w:numFmt w:val="decimal"/>
      <w:lvlText w:val="%1."/>
      <w:lvlJc w:val="left"/>
      <w:pPr>
        <w:ind w:left="720" w:hanging="360"/>
      </w:pPr>
    </w:lvl>
    <w:lvl w:ilvl="1" w:tplc="BB9E1600">
      <w:start w:val="1"/>
      <w:numFmt w:val="lowerLetter"/>
      <w:lvlText w:val="%2."/>
      <w:lvlJc w:val="left"/>
      <w:pPr>
        <w:ind w:left="1440" w:hanging="360"/>
      </w:pPr>
    </w:lvl>
    <w:lvl w:ilvl="2" w:tplc="42F40806">
      <w:start w:val="1"/>
      <w:numFmt w:val="lowerRoman"/>
      <w:lvlText w:val="%3."/>
      <w:lvlJc w:val="right"/>
      <w:pPr>
        <w:ind w:left="2160" w:hanging="180"/>
      </w:pPr>
    </w:lvl>
    <w:lvl w:ilvl="3" w:tplc="3F2495C4">
      <w:start w:val="1"/>
      <w:numFmt w:val="decimal"/>
      <w:lvlText w:val="%4."/>
      <w:lvlJc w:val="left"/>
      <w:pPr>
        <w:ind w:left="2880" w:hanging="360"/>
      </w:pPr>
    </w:lvl>
    <w:lvl w:ilvl="4" w:tplc="07827658">
      <w:start w:val="1"/>
      <w:numFmt w:val="lowerLetter"/>
      <w:lvlText w:val="%5."/>
      <w:lvlJc w:val="left"/>
      <w:pPr>
        <w:ind w:left="3600" w:hanging="360"/>
      </w:pPr>
    </w:lvl>
    <w:lvl w:ilvl="5" w:tplc="78CEE182">
      <w:start w:val="1"/>
      <w:numFmt w:val="lowerRoman"/>
      <w:lvlText w:val="%6."/>
      <w:lvlJc w:val="right"/>
      <w:pPr>
        <w:ind w:left="4320" w:hanging="180"/>
      </w:pPr>
    </w:lvl>
    <w:lvl w:ilvl="6" w:tplc="C1B48728">
      <w:start w:val="1"/>
      <w:numFmt w:val="decimal"/>
      <w:lvlText w:val="%7."/>
      <w:lvlJc w:val="left"/>
      <w:pPr>
        <w:ind w:left="5040" w:hanging="360"/>
      </w:pPr>
    </w:lvl>
    <w:lvl w:ilvl="7" w:tplc="A6E63856">
      <w:start w:val="1"/>
      <w:numFmt w:val="lowerLetter"/>
      <w:lvlText w:val="%8."/>
      <w:lvlJc w:val="left"/>
      <w:pPr>
        <w:ind w:left="5760" w:hanging="360"/>
      </w:pPr>
    </w:lvl>
    <w:lvl w:ilvl="8" w:tplc="A47CCB10">
      <w:start w:val="1"/>
      <w:numFmt w:val="lowerRoman"/>
      <w:lvlText w:val="%9."/>
      <w:lvlJc w:val="right"/>
      <w:pPr>
        <w:ind w:left="6480" w:hanging="180"/>
      </w:pPr>
    </w:lvl>
  </w:abstractNum>
  <w:abstractNum w:abstractNumId="1" w15:restartNumberingAfterBreak="0">
    <w:nsid w:val="02475F87"/>
    <w:multiLevelType w:val="hybridMultilevel"/>
    <w:tmpl w:val="ED020560"/>
    <w:lvl w:ilvl="0" w:tplc="7EAC1EB6">
      <w:start w:val="1"/>
      <w:numFmt w:val="bullet"/>
      <w:lvlText w:val=""/>
      <w:lvlJc w:val="left"/>
      <w:pPr>
        <w:ind w:left="720" w:hanging="360"/>
      </w:pPr>
      <w:rPr>
        <w:rFonts w:ascii="Symbol" w:hAnsi="Symbol" w:hint="default"/>
      </w:rPr>
    </w:lvl>
    <w:lvl w:ilvl="1" w:tplc="6C1A9E04">
      <w:start w:val="1"/>
      <w:numFmt w:val="bullet"/>
      <w:lvlText w:val="o"/>
      <w:lvlJc w:val="left"/>
      <w:pPr>
        <w:ind w:left="1440" w:hanging="360"/>
      </w:pPr>
      <w:rPr>
        <w:rFonts w:ascii="Courier New" w:hAnsi="Courier New" w:hint="default"/>
      </w:rPr>
    </w:lvl>
    <w:lvl w:ilvl="2" w:tplc="7082B28E">
      <w:start w:val="1"/>
      <w:numFmt w:val="bullet"/>
      <w:lvlText w:val=""/>
      <w:lvlJc w:val="left"/>
      <w:pPr>
        <w:ind w:left="2160" w:hanging="360"/>
      </w:pPr>
      <w:rPr>
        <w:rFonts w:ascii="Wingdings" w:hAnsi="Wingdings" w:hint="default"/>
      </w:rPr>
    </w:lvl>
    <w:lvl w:ilvl="3" w:tplc="8B68A6A6">
      <w:start w:val="1"/>
      <w:numFmt w:val="bullet"/>
      <w:lvlText w:val=""/>
      <w:lvlJc w:val="left"/>
      <w:pPr>
        <w:ind w:left="2880" w:hanging="360"/>
      </w:pPr>
      <w:rPr>
        <w:rFonts w:ascii="Symbol" w:hAnsi="Symbol" w:hint="default"/>
      </w:rPr>
    </w:lvl>
    <w:lvl w:ilvl="4" w:tplc="DCCABCEC">
      <w:start w:val="1"/>
      <w:numFmt w:val="bullet"/>
      <w:lvlText w:val="o"/>
      <w:lvlJc w:val="left"/>
      <w:pPr>
        <w:ind w:left="3600" w:hanging="360"/>
      </w:pPr>
      <w:rPr>
        <w:rFonts w:ascii="Courier New" w:hAnsi="Courier New" w:hint="default"/>
      </w:rPr>
    </w:lvl>
    <w:lvl w:ilvl="5" w:tplc="3C34F738">
      <w:start w:val="1"/>
      <w:numFmt w:val="bullet"/>
      <w:lvlText w:val=""/>
      <w:lvlJc w:val="left"/>
      <w:pPr>
        <w:ind w:left="4320" w:hanging="360"/>
      </w:pPr>
      <w:rPr>
        <w:rFonts w:ascii="Wingdings" w:hAnsi="Wingdings" w:hint="default"/>
      </w:rPr>
    </w:lvl>
    <w:lvl w:ilvl="6" w:tplc="B30EACAA">
      <w:start w:val="1"/>
      <w:numFmt w:val="bullet"/>
      <w:lvlText w:val=""/>
      <w:lvlJc w:val="left"/>
      <w:pPr>
        <w:ind w:left="5040" w:hanging="360"/>
      </w:pPr>
      <w:rPr>
        <w:rFonts w:ascii="Symbol" w:hAnsi="Symbol" w:hint="default"/>
      </w:rPr>
    </w:lvl>
    <w:lvl w:ilvl="7" w:tplc="A224CE28">
      <w:start w:val="1"/>
      <w:numFmt w:val="bullet"/>
      <w:lvlText w:val="o"/>
      <w:lvlJc w:val="left"/>
      <w:pPr>
        <w:ind w:left="5760" w:hanging="360"/>
      </w:pPr>
      <w:rPr>
        <w:rFonts w:ascii="Courier New" w:hAnsi="Courier New" w:hint="default"/>
      </w:rPr>
    </w:lvl>
    <w:lvl w:ilvl="8" w:tplc="50FE89BA">
      <w:start w:val="1"/>
      <w:numFmt w:val="bullet"/>
      <w:lvlText w:val=""/>
      <w:lvlJc w:val="left"/>
      <w:pPr>
        <w:ind w:left="6480" w:hanging="360"/>
      </w:pPr>
      <w:rPr>
        <w:rFonts w:ascii="Wingdings" w:hAnsi="Wingdings" w:hint="default"/>
      </w:rPr>
    </w:lvl>
  </w:abstractNum>
  <w:abstractNum w:abstractNumId="2" w15:restartNumberingAfterBreak="0">
    <w:nsid w:val="0258C8BF"/>
    <w:multiLevelType w:val="hybridMultilevel"/>
    <w:tmpl w:val="2292BB46"/>
    <w:lvl w:ilvl="0" w:tplc="DBB8BD54">
      <w:start w:val="1"/>
      <w:numFmt w:val="decimal"/>
      <w:lvlText w:val="%1."/>
      <w:lvlJc w:val="left"/>
      <w:pPr>
        <w:ind w:left="720" w:hanging="360"/>
      </w:pPr>
    </w:lvl>
    <w:lvl w:ilvl="1" w:tplc="F5D6A7C8">
      <w:start w:val="1"/>
      <w:numFmt w:val="lowerLetter"/>
      <w:lvlText w:val="%2."/>
      <w:lvlJc w:val="left"/>
      <w:pPr>
        <w:ind w:left="1440" w:hanging="360"/>
      </w:pPr>
    </w:lvl>
    <w:lvl w:ilvl="2" w:tplc="0ED8F72A">
      <w:start w:val="1"/>
      <w:numFmt w:val="lowerRoman"/>
      <w:lvlText w:val="%3."/>
      <w:lvlJc w:val="right"/>
      <w:pPr>
        <w:ind w:left="2160" w:hanging="180"/>
      </w:pPr>
    </w:lvl>
    <w:lvl w:ilvl="3" w:tplc="C2BA0720">
      <w:start w:val="1"/>
      <w:numFmt w:val="decimal"/>
      <w:lvlText w:val="%4."/>
      <w:lvlJc w:val="left"/>
      <w:pPr>
        <w:ind w:left="2880" w:hanging="360"/>
      </w:pPr>
    </w:lvl>
    <w:lvl w:ilvl="4" w:tplc="A2669EBA">
      <w:start w:val="1"/>
      <w:numFmt w:val="lowerLetter"/>
      <w:lvlText w:val="%5."/>
      <w:lvlJc w:val="left"/>
      <w:pPr>
        <w:ind w:left="3600" w:hanging="360"/>
      </w:pPr>
    </w:lvl>
    <w:lvl w:ilvl="5" w:tplc="C94A9560">
      <w:start w:val="1"/>
      <w:numFmt w:val="lowerRoman"/>
      <w:lvlText w:val="%6."/>
      <w:lvlJc w:val="right"/>
      <w:pPr>
        <w:ind w:left="4320" w:hanging="180"/>
      </w:pPr>
    </w:lvl>
    <w:lvl w:ilvl="6" w:tplc="03809090">
      <w:start w:val="1"/>
      <w:numFmt w:val="decimal"/>
      <w:lvlText w:val="%7."/>
      <w:lvlJc w:val="left"/>
      <w:pPr>
        <w:ind w:left="5040" w:hanging="360"/>
      </w:pPr>
    </w:lvl>
    <w:lvl w:ilvl="7" w:tplc="7480E7CA">
      <w:start w:val="1"/>
      <w:numFmt w:val="lowerLetter"/>
      <w:lvlText w:val="%8."/>
      <w:lvlJc w:val="left"/>
      <w:pPr>
        <w:ind w:left="5760" w:hanging="360"/>
      </w:pPr>
    </w:lvl>
    <w:lvl w:ilvl="8" w:tplc="C52EEB88">
      <w:start w:val="1"/>
      <w:numFmt w:val="lowerRoman"/>
      <w:lvlText w:val="%9."/>
      <w:lvlJc w:val="right"/>
      <w:pPr>
        <w:ind w:left="6480" w:hanging="180"/>
      </w:pPr>
    </w:lvl>
  </w:abstractNum>
  <w:abstractNum w:abstractNumId="3" w15:restartNumberingAfterBreak="0">
    <w:nsid w:val="0EADDF58"/>
    <w:multiLevelType w:val="hybridMultilevel"/>
    <w:tmpl w:val="2264AAF8"/>
    <w:lvl w:ilvl="0" w:tplc="89B69706">
      <w:start w:val="1"/>
      <w:numFmt w:val="decimal"/>
      <w:lvlText w:val="%1."/>
      <w:lvlJc w:val="left"/>
      <w:pPr>
        <w:ind w:left="720" w:hanging="360"/>
      </w:pPr>
    </w:lvl>
    <w:lvl w:ilvl="1" w:tplc="26D29DE6">
      <w:start w:val="1"/>
      <w:numFmt w:val="lowerLetter"/>
      <w:lvlText w:val="%2."/>
      <w:lvlJc w:val="left"/>
      <w:pPr>
        <w:ind w:left="1440" w:hanging="360"/>
      </w:pPr>
    </w:lvl>
    <w:lvl w:ilvl="2" w:tplc="1A9414DC">
      <w:start w:val="1"/>
      <w:numFmt w:val="lowerRoman"/>
      <w:lvlText w:val="%3."/>
      <w:lvlJc w:val="right"/>
      <w:pPr>
        <w:ind w:left="2160" w:hanging="180"/>
      </w:pPr>
    </w:lvl>
    <w:lvl w:ilvl="3" w:tplc="9F5620DE">
      <w:start w:val="1"/>
      <w:numFmt w:val="decimal"/>
      <w:lvlText w:val="%4."/>
      <w:lvlJc w:val="left"/>
      <w:pPr>
        <w:ind w:left="2880" w:hanging="360"/>
      </w:pPr>
    </w:lvl>
    <w:lvl w:ilvl="4" w:tplc="61988BF6">
      <w:start w:val="1"/>
      <w:numFmt w:val="lowerLetter"/>
      <w:lvlText w:val="%5."/>
      <w:lvlJc w:val="left"/>
      <w:pPr>
        <w:ind w:left="3600" w:hanging="360"/>
      </w:pPr>
    </w:lvl>
    <w:lvl w:ilvl="5" w:tplc="D1D09E32">
      <w:start w:val="1"/>
      <w:numFmt w:val="lowerRoman"/>
      <w:lvlText w:val="%6."/>
      <w:lvlJc w:val="right"/>
      <w:pPr>
        <w:ind w:left="4320" w:hanging="180"/>
      </w:pPr>
    </w:lvl>
    <w:lvl w:ilvl="6" w:tplc="935E26CE">
      <w:start w:val="1"/>
      <w:numFmt w:val="decimal"/>
      <w:lvlText w:val="%7."/>
      <w:lvlJc w:val="left"/>
      <w:pPr>
        <w:ind w:left="5040" w:hanging="360"/>
      </w:pPr>
    </w:lvl>
    <w:lvl w:ilvl="7" w:tplc="F4F60500">
      <w:start w:val="1"/>
      <w:numFmt w:val="lowerLetter"/>
      <w:lvlText w:val="%8."/>
      <w:lvlJc w:val="left"/>
      <w:pPr>
        <w:ind w:left="5760" w:hanging="360"/>
      </w:pPr>
    </w:lvl>
    <w:lvl w:ilvl="8" w:tplc="36DCF33E">
      <w:start w:val="1"/>
      <w:numFmt w:val="lowerRoman"/>
      <w:lvlText w:val="%9."/>
      <w:lvlJc w:val="right"/>
      <w:pPr>
        <w:ind w:left="6480" w:hanging="180"/>
      </w:pPr>
    </w:lvl>
  </w:abstractNum>
  <w:abstractNum w:abstractNumId="4" w15:restartNumberingAfterBreak="0">
    <w:nsid w:val="29E677C0"/>
    <w:multiLevelType w:val="hybridMultilevel"/>
    <w:tmpl w:val="06262F8C"/>
    <w:lvl w:ilvl="0" w:tplc="52F05224">
      <w:start w:val="1"/>
      <w:numFmt w:val="bullet"/>
      <w:lvlText w:val="♦"/>
      <w:lvlJc w:val="left"/>
      <w:pPr>
        <w:ind w:left="720" w:hanging="360"/>
      </w:pPr>
      <w:rPr>
        <w:rFonts w:ascii="Courier New" w:hAnsi="Courier New" w:hint="default"/>
      </w:rPr>
    </w:lvl>
    <w:lvl w:ilvl="1" w:tplc="99083EFA">
      <w:start w:val="1"/>
      <w:numFmt w:val="bullet"/>
      <w:lvlText w:val="o"/>
      <w:lvlJc w:val="left"/>
      <w:pPr>
        <w:ind w:left="1440" w:hanging="360"/>
      </w:pPr>
      <w:rPr>
        <w:rFonts w:ascii="Courier New" w:hAnsi="Courier New" w:hint="default"/>
      </w:rPr>
    </w:lvl>
    <w:lvl w:ilvl="2" w:tplc="4D6C7C3A">
      <w:start w:val="1"/>
      <w:numFmt w:val="bullet"/>
      <w:lvlText w:val=""/>
      <w:lvlJc w:val="left"/>
      <w:pPr>
        <w:ind w:left="2160" w:hanging="360"/>
      </w:pPr>
      <w:rPr>
        <w:rFonts w:ascii="Wingdings" w:hAnsi="Wingdings" w:hint="default"/>
      </w:rPr>
    </w:lvl>
    <w:lvl w:ilvl="3" w:tplc="2BE40DA6">
      <w:start w:val="1"/>
      <w:numFmt w:val="bullet"/>
      <w:lvlText w:val=""/>
      <w:lvlJc w:val="left"/>
      <w:pPr>
        <w:ind w:left="2880" w:hanging="360"/>
      </w:pPr>
      <w:rPr>
        <w:rFonts w:ascii="Symbol" w:hAnsi="Symbol" w:hint="default"/>
      </w:rPr>
    </w:lvl>
    <w:lvl w:ilvl="4" w:tplc="055AC148">
      <w:start w:val="1"/>
      <w:numFmt w:val="bullet"/>
      <w:lvlText w:val="o"/>
      <w:lvlJc w:val="left"/>
      <w:pPr>
        <w:ind w:left="3600" w:hanging="360"/>
      </w:pPr>
      <w:rPr>
        <w:rFonts w:ascii="Courier New" w:hAnsi="Courier New" w:hint="default"/>
      </w:rPr>
    </w:lvl>
    <w:lvl w:ilvl="5" w:tplc="722EDAAC">
      <w:start w:val="1"/>
      <w:numFmt w:val="bullet"/>
      <w:lvlText w:val=""/>
      <w:lvlJc w:val="left"/>
      <w:pPr>
        <w:ind w:left="4320" w:hanging="360"/>
      </w:pPr>
      <w:rPr>
        <w:rFonts w:ascii="Wingdings" w:hAnsi="Wingdings" w:hint="default"/>
      </w:rPr>
    </w:lvl>
    <w:lvl w:ilvl="6" w:tplc="BAC0E5C8">
      <w:start w:val="1"/>
      <w:numFmt w:val="bullet"/>
      <w:lvlText w:val=""/>
      <w:lvlJc w:val="left"/>
      <w:pPr>
        <w:ind w:left="5040" w:hanging="360"/>
      </w:pPr>
      <w:rPr>
        <w:rFonts w:ascii="Symbol" w:hAnsi="Symbol" w:hint="default"/>
      </w:rPr>
    </w:lvl>
    <w:lvl w:ilvl="7" w:tplc="B08C580E">
      <w:start w:val="1"/>
      <w:numFmt w:val="bullet"/>
      <w:lvlText w:val="o"/>
      <w:lvlJc w:val="left"/>
      <w:pPr>
        <w:ind w:left="5760" w:hanging="360"/>
      </w:pPr>
      <w:rPr>
        <w:rFonts w:ascii="Courier New" w:hAnsi="Courier New" w:hint="default"/>
      </w:rPr>
    </w:lvl>
    <w:lvl w:ilvl="8" w:tplc="6C2068E8">
      <w:start w:val="1"/>
      <w:numFmt w:val="bullet"/>
      <w:lvlText w:val=""/>
      <w:lvlJc w:val="left"/>
      <w:pPr>
        <w:ind w:left="6480" w:hanging="360"/>
      </w:pPr>
      <w:rPr>
        <w:rFonts w:ascii="Wingdings" w:hAnsi="Wingdings" w:hint="default"/>
      </w:rPr>
    </w:lvl>
  </w:abstractNum>
  <w:abstractNum w:abstractNumId="5" w15:restartNumberingAfterBreak="0">
    <w:nsid w:val="2A1315DB"/>
    <w:multiLevelType w:val="hybridMultilevel"/>
    <w:tmpl w:val="C52478FC"/>
    <w:lvl w:ilvl="0" w:tplc="C046D790">
      <w:start w:val="24"/>
      <w:numFmt w:val="decimal"/>
      <w:lvlText w:val="%1."/>
      <w:lvlJc w:val="left"/>
      <w:pPr>
        <w:ind w:left="720" w:hanging="360"/>
      </w:pPr>
    </w:lvl>
    <w:lvl w:ilvl="1" w:tplc="451EF168">
      <w:start w:val="1"/>
      <w:numFmt w:val="lowerLetter"/>
      <w:lvlText w:val="%2."/>
      <w:lvlJc w:val="left"/>
      <w:pPr>
        <w:ind w:left="1440" w:hanging="360"/>
      </w:pPr>
    </w:lvl>
    <w:lvl w:ilvl="2" w:tplc="D1380FAE">
      <w:start w:val="1"/>
      <w:numFmt w:val="lowerRoman"/>
      <w:lvlText w:val="%3."/>
      <w:lvlJc w:val="right"/>
      <w:pPr>
        <w:ind w:left="2160" w:hanging="180"/>
      </w:pPr>
    </w:lvl>
    <w:lvl w:ilvl="3" w:tplc="C930D93A">
      <w:start w:val="1"/>
      <w:numFmt w:val="decimal"/>
      <w:lvlText w:val="%4."/>
      <w:lvlJc w:val="left"/>
      <w:pPr>
        <w:ind w:left="2880" w:hanging="360"/>
      </w:pPr>
    </w:lvl>
    <w:lvl w:ilvl="4" w:tplc="23EEE2E2">
      <w:start w:val="1"/>
      <w:numFmt w:val="lowerLetter"/>
      <w:lvlText w:val="%5."/>
      <w:lvlJc w:val="left"/>
      <w:pPr>
        <w:ind w:left="3600" w:hanging="360"/>
      </w:pPr>
    </w:lvl>
    <w:lvl w:ilvl="5" w:tplc="95BCF3A0">
      <w:start w:val="1"/>
      <w:numFmt w:val="lowerRoman"/>
      <w:lvlText w:val="%6."/>
      <w:lvlJc w:val="right"/>
      <w:pPr>
        <w:ind w:left="4320" w:hanging="180"/>
      </w:pPr>
    </w:lvl>
    <w:lvl w:ilvl="6" w:tplc="DCC88696">
      <w:start w:val="1"/>
      <w:numFmt w:val="decimal"/>
      <w:lvlText w:val="%7."/>
      <w:lvlJc w:val="left"/>
      <w:pPr>
        <w:ind w:left="5040" w:hanging="360"/>
      </w:pPr>
    </w:lvl>
    <w:lvl w:ilvl="7" w:tplc="8C981DAC">
      <w:start w:val="1"/>
      <w:numFmt w:val="lowerLetter"/>
      <w:lvlText w:val="%8."/>
      <w:lvlJc w:val="left"/>
      <w:pPr>
        <w:ind w:left="5760" w:hanging="360"/>
      </w:pPr>
    </w:lvl>
    <w:lvl w:ilvl="8" w:tplc="A568F968">
      <w:start w:val="1"/>
      <w:numFmt w:val="lowerRoman"/>
      <w:lvlText w:val="%9."/>
      <w:lvlJc w:val="right"/>
      <w:pPr>
        <w:ind w:left="6480" w:hanging="180"/>
      </w:pPr>
    </w:lvl>
  </w:abstractNum>
  <w:abstractNum w:abstractNumId="6" w15:restartNumberingAfterBreak="0">
    <w:nsid w:val="2DBE7052"/>
    <w:multiLevelType w:val="hybridMultilevel"/>
    <w:tmpl w:val="2402E7FC"/>
    <w:lvl w:ilvl="0" w:tplc="71DC6BDE">
      <w:start w:val="1"/>
      <w:numFmt w:val="bullet"/>
      <w:lvlText w:val=""/>
      <w:lvlJc w:val="left"/>
      <w:pPr>
        <w:ind w:left="720" w:hanging="360"/>
      </w:pPr>
      <w:rPr>
        <w:rFonts w:ascii="Symbol" w:hAnsi="Symbol" w:hint="default"/>
      </w:rPr>
    </w:lvl>
    <w:lvl w:ilvl="1" w:tplc="B1E40A8C">
      <w:start w:val="1"/>
      <w:numFmt w:val="bullet"/>
      <w:lvlText w:val="o"/>
      <w:lvlJc w:val="left"/>
      <w:pPr>
        <w:ind w:left="1440" w:hanging="360"/>
      </w:pPr>
      <w:rPr>
        <w:rFonts w:ascii="Courier New" w:hAnsi="Courier New" w:hint="default"/>
      </w:rPr>
    </w:lvl>
    <w:lvl w:ilvl="2" w:tplc="1DC691CC">
      <w:start w:val="1"/>
      <w:numFmt w:val="bullet"/>
      <w:lvlText w:val=""/>
      <w:lvlJc w:val="left"/>
      <w:pPr>
        <w:ind w:left="2160" w:hanging="360"/>
      </w:pPr>
      <w:rPr>
        <w:rFonts w:ascii="Wingdings" w:hAnsi="Wingdings" w:hint="default"/>
      </w:rPr>
    </w:lvl>
    <w:lvl w:ilvl="3" w:tplc="E7183956">
      <w:start w:val="1"/>
      <w:numFmt w:val="bullet"/>
      <w:lvlText w:val=""/>
      <w:lvlJc w:val="left"/>
      <w:pPr>
        <w:ind w:left="2880" w:hanging="360"/>
      </w:pPr>
      <w:rPr>
        <w:rFonts w:ascii="Symbol" w:hAnsi="Symbol" w:hint="default"/>
      </w:rPr>
    </w:lvl>
    <w:lvl w:ilvl="4" w:tplc="F76CA614">
      <w:start w:val="1"/>
      <w:numFmt w:val="bullet"/>
      <w:lvlText w:val="o"/>
      <w:lvlJc w:val="left"/>
      <w:pPr>
        <w:ind w:left="3600" w:hanging="360"/>
      </w:pPr>
      <w:rPr>
        <w:rFonts w:ascii="Courier New" w:hAnsi="Courier New" w:hint="default"/>
      </w:rPr>
    </w:lvl>
    <w:lvl w:ilvl="5" w:tplc="FBDE1A02">
      <w:start w:val="1"/>
      <w:numFmt w:val="bullet"/>
      <w:lvlText w:val=""/>
      <w:lvlJc w:val="left"/>
      <w:pPr>
        <w:ind w:left="4320" w:hanging="360"/>
      </w:pPr>
      <w:rPr>
        <w:rFonts w:ascii="Wingdings" w:hAnsi="Wingdings" w:hint="default"/>
      </w:rPr>
    </w:lvl>
    <w:lvl w:ilvl="6" w:tplc="0E960672">
      <w:start w:val="1"/>
      <w:numFmt w:val="bullet"/>
      <w:lvlText w:val=""/>
      <w:lvlJc w:val="left"/>
      <w:pPr>
        <w:ind w:left="5040" w:hanging="360"/>
      </w:pPr>
      <w:rPr>
        <w:rFonts w:ascii="Symbol" w:hAnsi="Symbol" w:hint="default"/>
      </w:rPr>
    </w:lvl>
    <w:lvl w:ilvl="7" w:tplc="7EE0DE9A">
      <w:start w:val="1"/>
      <w:numFmt w:val="bullet"/>
      <w:lvlText w:val="o"/>
      <w:lvlJc w:val="left"/>
      <w:pPr>
        <w:ind w:left="5760" w:hanging="360"/>
      </w:pPr>
      <w:rPr>
        <w:rFonts w:ascii="Courier New" w:hAnsi="Courier New" w:hint="default"/>
      </w:rPr>
    </w:lvl>
    <w:lvl w:ilvl="8" w:tplc="3D2665E6">
      <w:start w:val="1"/>
      <w:numFmt w:val="bullet"/>
      <w:lvlText w:val=""/>
      <w:lvlJc w:val="left"/>
      <w:pPr>
        <w:ind w:left="6480" w:hanging="360"/>
      </w:pPr>
      <w:rPr>
        <w:rFonts w:ascii="Wingdings" w:hAnsi="Wingdings" w:hint="default"/>
      </w:rPr>
    </w:lvl>
  </w:abstractNum>
  <w:abstractNum w:abstractNumId="7" w15:restartNumberingAfterBreak="0">
    <w:nsid w:val="3BAE6E8E"/>
    <w:multiLevelType w:val="hybridMultilevel"/>
    <w:tmpl w:val="EA626092"/>
    <w:lvl w:ilvl="0" w:tplc="327637A8">
      <w:start w:val="1"/>
      <w:numFmt w:val="bullet"/>
      <w:lvlText w:val="♦"/>
      <w:lvlJc w:val="left"/>
      <w:pPr>
        <w:ind w:left="720" w:hanging="360"/>
      </w:pPr>
      <w:rPr>
        <w:rFonts w:ascii="Courier New" w:hAnsi="Courier New" w:hint="default"/>
      </w:rPr>
    </w:lvl>
    <w:lvl w:ilvl="1" w:tplc="BB58ADDA">
      <w:start w:val="1"/>
      <w:numFmt w:val="bullet"/>
      <w:lvlText w:val="o"/>
      <w:lvlJc w:val="left"/>
      <w:pPr>
        <w:ind w:left="1440" w:hanging="360"/>
      </w:pPr>
      <w:rPr>
        <w:rFonts w:ascii="Courier New" w:hAnsi="Courier New" w:hint="default"/>
      </w:rPr>
    </w:lvl>
    <w:lvl w:ilvl="2" w:tplc="2E8E8CD0">
      <w:start w:val="1"/>
      <w:numFmt w:val="bullet"/>
      <w:lvlText w:val=""/>
      <w:lvlJc w:val="left"/>
      <w:pPr>
        <w:ind w:left="2160" w:hanging="360"/>
      </w:pPr>
      <w:rPr>
        <w:rFonts w:ascii="Wingdings" w:hAnsi="Wingdings" w:hint="default"/>
      </w:rPr>
    </w:lvl>
    <w:lvl w:ilvl="3" w:tplc="698450D6">
      <w:start w:val="1"/>
      <w:numFmt w:val="bullet"/>
      <w:lvlText w:val=""/>
      <w:lvlJc w:val="left"/>
      <w:pPr>
        <w:ind w:left="2880" w:hanging="360"/>
      </w:pPr>
      <w:rPr>
        <w:rFonts w:ascii="Symbol" w:hAnsi="Symbol" w:hint="default"/>
      </w:rPr>
    </w:lvl>
    <w:lvl w:ilvl="4" w:tplc="96D84B30">
      <w:start w:val="1"/>
      <w:numFmt w:val="bullet"/>
      <w:lvlText w:val="o"/>
      <w:lvlJc w:val="left"/>
      <w:pPr>
        <w:ind w:left="3600" w:hanging="360"/>
      </w:pPr>
      <w:rPr>
        <w:rFonts w:ascii="Courier New" w:hAnsi="Courier New" w:hint="default"/>
      </w:rPr>
    </w:lvl>
    <w:lvl w:ilvl="5" w:tplc="EC923C92">
      <w:start w:val="1"/>
      <w:numFmt w:val="bullet"/>
      <w:lvlText w:val=""/>
      <w:lvlJc w:val="left"/>
      <w:pPr>
        <w:ind w:left="4320" w:hanging="360"/>
      </w:pPr>
      <w:rPr>
        <w:rFonts w:ascii="Wingdings" w:hAnsi="Wingdings" w:hint="default"/>
      </w:rPr>
    </w:lvl>
    <w:lvl w:ilvl="6" w:tplc="3CD4FA02">
      <w:start w:val="1"/>
      <w:numFmt w:val="bullet"/>
      <w:lvlText w:val=""/>
      <w:lvlJc w:val="left"/>
      <w:pPr>
        <w:ind w:left="5040" w:hanging="360"/>
      </w:pPr>
      <w:rPr>
        <w:rFonts w:ascii="Symbol" w:hAnsi="Symbol" w:hint="default"/>
      </w:rPr>
    </w:lvl>
    <w:lvl w:ilvl="7" w:tplc="CB1A22F2">
      <w:start w:val="1"/>
      <w:numFmt w:val="bullet"/>
      <w:lvlText w:val="o"/>
      <w:lvlJc w:val="left"/>
      <w:pPr>
        <w:ind w:left="5760" w:hanging="360"/>
      </w:pPr>
      <w:rPr>
        <w:rFonts w:ascii="Courier New" w:hAnsi="Courier New" w:hint="default"/>
      </w:rPr>
    </w:lvl>
    <w:lvl w:ilvl="8" w:tplc="F208E3EA">
      <w:start w:val="1"/>
      <w:numFmt w:val="bullet"/>
      <w:lvlText w:val=""/>
      <w:lvlJc w:val="left"/>
      <w:pPr>
        <w:ind w:left="6480" w:hanging="360"/>
      </w:pPr>
      <w:rPr>
        <w:rFonts w:ascii="Wingdings" w:hAnsi="Wingdings" w:hint="default"/>
      </w:rPr>
    </w:lvl>
  </w:abstractNum>
  <w:abstractNum w:abstractNumId="8" w15:restartNumberingAfterBreak="0">
    <w:nsid w:val="3DB3A05F"/>
    <w:multiLevelType w:val="hybridMultilevel"/>
    <w:tmpl w:val="02AA947E"/>
    <w:lvl w:ilvl="0" w:tplc="38B27F4C">
      <w:start w:val="1"/>
      <w:numFmt w:val="bullet"/>
      <w:lvlText w:val="♦"/>
      <w:lvlJc w:val="left"/>
      <w:pPr>
        <w:ind w:left="720" w:hanging="360"/>
      </w:pPr>
      <w:rPr>
        <w:rFonts w:ascii="Courier New" w:hAnsi="Courier New" w:hint="default"/>
      </w:rPr>
    </w:lvl>
    <w:lvl w:ilvl="1" w:tplc="FB46577C">
      <w:start w:val="1"/>
      <w:numFmt w:val="bullet"/>
      <w:lvlText w:val="o"/>
      <w:lvlJc w:val="left"/>
      <w:pPr>
        <w:ind w:left="1440" w:hanging="360"/>
      </w:pPr>
      <w:rPr>
        <w:rFonts w:ascii="Courier New" w:hAnsi="Courier New" w:hint="default"/>
      </w:rPr>
    </w:lvl>
    <w:lvl w:ilvl="2" w:tplc="9322FE6C">
      <w:start w:val="1"/>
      <w:numFmt w:val="bullet"/>
      <w:lvlText w:val=""/>
      <w:lvlJc w:val="left"/>
      <w:pPr>
        <w:ind w:left="2160" w:hanging="360"/>
      </w:pPr>
      <w:rPr>
        <w:rFonts w:ascii="Wingdings" w:hAnsi="Wingdings" w:hint="default"/>
      </w:rPr>
    </w:lvl>
    <w:lvl w:ilvl="3" w:tplc="2D020412">
      <w:start w:val="1"/>
      <w:numFmt w:val="bullet"/>
      <w:lvlText w:val=""/>
      <w:lvlJc w:val="left"/>
      <w:pPr>
        <w:ind w:left="2880" w:hanging="360"/>
      </w:pPr>
      <w:rPr>
        <w:rFonts w:ascii="Symbol" w:hAnsi="Symbol" w:hint="default"/>
      </w:rPr>
    </w:lvl>
    <w:lvl w:ilvl="4" w:tplc="7A601866">
      <w:start w:val="1"/>
      <w:numFmt w:val="bullet"/>
      <w:lvlText w:val="o"/>
      <w:lvlJc w:val="left"/>
      <w:pPr>
        <w:ind w:left="3600" w:hanging="360"/>
      </w:pPr>
      <w:rPr>
        <w:rFonts w:ascii="Courier New" w:hAnsi="Courier New" w:hint="default"/>
      </w:rPr>
    </w:lvl>
    <w:lvl w:ilvl="5" w:tplc="504E5282">
      <w:start w:val="1"/>
      <w:numFmt w:val="bullet"/>
      <w:lvlText w:val=""/>
      <w:lvlJc w:val="left"/>
      <w:pPr>
        <w:ind w:left="4320" w:hanging="360"/>
      </w:pPr>
      <w:rPr>
        <w:rFonts w:ascii="Wingdings" w:hAnsi="Wingdings" w:hint="default"/>
      </w:rPr>
    </w:lvl>
    <w:lvl w:ilvl="6" w:tplc="B9AC8FFC">
      <w:start w:val="1"/>
      <w:numFmt w:val="bullet"/>
      <w:lvlText w:val=""/>
      <w:lvlJc w:val="left"/>
      <w:pPr>
        <w:ind w:left="5040" w:hanging="360"/>
      </w:pPr>
      <w:rPr>
        <w:rFonts w:ascii="Symbol" w:hAnsi="Symbol" w:hint="default"/>
      </w:rPr>
    </w:lvl>
    <w:lvl w:ilvl="7" w:tplc="3CF057AA">
      <w:start w:val="1"/>
      <w:numFmt w:val="bullet"/>
      <w:lvlText w:val="o"/>
      <w:lvlJc w:val="left"/>
      <w:pPr>
        <w:ind w:left="5760" w:hanging="360"/>
      </w:pPr>
      <w:rPr>
        <w:rFonts w:ascii="Courier New" w:hAnsi="Courier New" w:hint="default"/>
      </w:rPr>
    </w:lvl>
    <w:lvl w:ilvl="8" w:tplc="A5D67F40">
      <w:start w:val="1"/>
      <w:numFmt w:val="bullet"/>
      <w:lvlText w:val=""/>
      <w:lvlJc w:val="left"/>
      <w:pPr>
        <w:ind w:left="6480" w:hanging="360"/>
      </w:pPr>
      <w:rPr>
        <w:rFonts w:ascii="Wingdings" w:hAnsi="Wingdings" w:hint="default"/>
      </w:rPr>
    </w:lvl>
  </w:abstractNum>
  <w:abstractNum w:abstractNumId="9" w15:restartNumberingAfterBreak="0">
    <w:nsid w:val="4757568B"/>
    <w:multiLevelType w:val="hybridMultilevel"/>
    <w:tmpl w:val="3F424B8A"/>
    <w:lvl w:ilvl="0" w:tplc="46E079C2">
      <w:start w:val="1"/>
      <w:numFmt w:val="bullet"/>
      <w:lvlText w:val=""/>
      <w:lvlJc w:val="left"/>
      <w:pPr>
        <w:ind w:left="720" w:hanging="360"/>
      </w:pPr>
      <w:rPr>
        <w:rFonts w:ascii="Symbol" w:hAnsi="Symbol" w:hint="default"/>
      </w:rPr>
    </w:lvl>
    <w:lvl w:ilvl="1" w:tplc="87507816">
      <w:start w:val="1"/>
      <w:numFmt w:val="bullet"/>
      <w:lvlText w:val="o"/>
      <w:lvlJc w:val="left"/>
      <w:pPr>
        <w:ind w:left="1440" w:hanging="360"/>
      </w:pPr>
      <w:rPr>
        <w:rFonts w:ascii="Courier New" w:hAnsi="Courier New" w:hint="default"/>
      </w:rPr>
    </w:lvl>
    <w:lvl w:ilvl="2" w:tplc="661E192E">
      <w:start w:val="1"/>
      <w:numFmt w:val="bullet"/>
      <w:lvlText w:val=""/>
      <w:lvlJc w:val="left"/>
      <w:pPr>
        <w:ind w:left="2160" w:hanging="360"/>
      </w:pPr>
      <w:rPr>
        <w:rFonts w:ascii="Wingdings" w:hAnsi="Wingdings" w:hint="default"/>
      </w:rPr>
    </w:lvl>
    <w:lvl w:ilvl="3" w:tplc="4DA2C1B8">
      <w:start w:val="1"/>
      <w:numFmt w:val="bullet"/>
      <w:lvlText w:val=""/>
      <w:lvlJc w:val="left"/>
      <w:pPr>
        <w:ind w:left="2880" w:hanging="360"/>
      </w:pPr>
      <w:rPr>
        <w:rFonts w:ascii="Symbol" w:hAnsi="Symbol" w:hint="default"/>
      </w:rPr>
    </w:lvl>
    <w:lvl w:ilvl="4" w:tplc="2BB4FBD4">
      <w:start w:val="1"/>
      <w:numFmt w:val="bullet"/>
      <w:lvlText w:val="o"/>
      <w:lvlJc w:val="left"/>
      <w:pPr>
        <w:ind w:left="3600" w:hanging="360"/>
      </w:pPr>
      <w:rPr>
        <w:rFonts w:ascii="Courier New" w:hAnsi="Courier New" w:hint="default"/>
      </w:rPr>
    </w:lvl>
    <w:lvl w:ilvl="5" w:tplc="7B1C57B8">
      <w:start w:val="1"/>
      <w:numFmt w:val="bullet"/>
      <w:lvlText w:val=""/>
      <w:lvlJc w:val="left"/>
      <w:pPr>
        <w:ind w:left="4320" w:hanging="360"/>
      </w:pPr>
      <w:rPr>
        <w:rFonts w:ascii="Wingdings" w:hAnsi="Wingdings" w:hint="default"/>
      </w:rPr>
    </w:lvl>
    <w:lvl w:ilvl="6" w:tplc="8244D626">
      <w:start w:val="1"/>
      <w:numFmt w:val="bullet"/>
      <w:lvlText w:val=""/>
      <w:lvlJc w:val="left"/>
      <w:pPr>
        <w:ind w:left="5040" w:hanging="360"/>
      </w:pPr>
      <w:rPr>
        <w:rFonts w:ascii="Symbol" w:hAnsi="Symbol" w:hint="default"/>
      </w:rPr>
    </w:lvl>
    <w:lvl w:ilvl="7" w:tplc="EEC8FB3E">
      <w:start w:val="1"/>
      <w:numFmt w:val="bullet"/>
      <w:lvlText w:val="o"/>
      <w:lvlJc w:val="left"/>
      <w:pPr>
        <w:ind w:left="5760" w:hanging="360"/>
      </w:pPr>
      <w:rPr>
        <w:rFonts w:ascii="Courier New" w:hAnsi="Courier New" w:hint="default"/>
      </w:rPr>
    </w:lvl>
    <w:lvl w:ilvl="8" w:tplc="1F7ADAA4">
      <w:start w:val="1"/>
      <w:numFmt w:val="bullet"/>
      <w:lvlText w:val=""/>
      <w:lvlJc w:val="left"/>
      <w:pPr>
        <w:ind w:left="6480" w:hanging="360"/>
      </w:pPr>
      <w:rPr>
        <w:rFonts w:ascii="Wingdings" w:hAnsi="Wingdings" w:hint="default"/>
      </w:rPr>
    </w:lvl>
  </w:abstractNum>
  <w:abstractNum w:abstractNumId="10" w15:restartNumberingAfterBreak="0">
    <w:nsid w:val="4A85A20E"/>
    <w:multiLevelType w:val="hybridMultilevel"/>
    <w:tmpl w:val="51DA9B88"/>
    <w:lvl w:ilvl="0" w:tplc="3EA84470">
      <w:start w:val="1"/>
      <w:numFmt w:val="bullet"/>
      <w:lvlText w:val=""/>
      <w:lvlJc w:val="left"/>
      <w:pPr>
        <w:ind w:left="720" w:hanging="360"/>
      </w:pPr>
      <w:rPr>
        <w:rFonts w:ascii="Symbol" w:hAnsi="Symbol" w:hint="default"/>
      </w:rPr>
    </w:lvl>
    <w:lvl w:ilvl="1" w:tplc="DB5867A0">
      <w:start w:val="1"/>
      <w:numFmt w:val="bullet"/>
      <w:lvlText w:val="o"/>
      <w:lvlJc w:val="left"/>
      <w:pPr>
        <w:ind w:left="1440" w:hanging="360"/>
      </w:pPr>
      <w:rPr>
        <w:rFonts w:ascii="Courier New" w:hAnsi="Courier New" w:hint="default"/>
      </w:rPr>
    </w:lvl>
    <w:lvl w:ilvl="2" w:tplc="C30C5BB8">
      <w:start w:val="1"/>
      <w:numFmt w:val="bullet"/>
      <w:lvlText w:val=""/>
      <w:lvlJc w:val="left"/>
      <w:pPr>
        <w:ind w:left="2160" w:hanging="360"/>
      </w:pPr>
      <w:rPr>
        <w:rFonts w:ascii="Wingdings" w:hAnsi="Wingdings" w:hint="default"/>
      </w:rPr>
    </w:lvl>
    <w:lvl w:ilvl="3" w:tplc="274E45D0">
      <w:start w:val="1"/>
      <w:numFmt w:val="bullet"/>
      <w:lvlText w:val=""/>
      <w:lvlJc w:val="left"/>
      <w:pPr>
        <w:ind w:left="2880" w:hanging="360"/>
      </w:pPr>
      <w:rPr>
        <w:rFonts w:ascii="Symbol" w:hAnsi="Symbol" w:hint="default"/>
      </w:rPr>
    </w:lvl>
    <w:lvl w:ilvl="4" w:tplc="87B24938">
      <w:start w:val="1"/>
      <w:numFmt w:val="bullet"/>
      <w:lvlText w:val="o"/>
      <w:lvlJc w:val="left"/>
      <w:pPr>
        <w:ind w:left="3600" w:hanging="360"/>
      </w:pPr>
      <w:rPr>
        <w:rFonts w:ascii="Courier New" w:hAnsi="Courier New" w:hint="default"/>
      </w:rPr>
    </w:lvl>
    <w:lvl w:ilvl="5" w:tplc="4024EE70">
      <w:start w:val="1"/>
      <w:numFmt w:val="bullet"/>
      <w:lvlText w:val=""/>
      <w:lvlJc w:val="left"/>
      <w:pPr>
        <w:ind w:left="4320" w:hanging="360"/>
      </w:pPr>
      <w:rPr>
        <w:rFonts w:ascii="Wingdings" w:hAnsi="Wingdings" w:hint="default"/>
      </w:rPr>
    </w:lvl>
    <w:lvl w:ilvl="6" w:tplc="05B8B890">
      <w:start w:val="1"/>
      <w:numFmt w:val="bullet"/>
      <w:lvlText w:val=""/>
      <w:lvlJc w:val="left"/>
      <w:pPr>
        <w:ind w:left="5040" w:hanging="360"/>
      </w:pPr>
      <w:rPr>
        <w:rFonts w:ascii="Symbol" w:hAnsi="Symbol" w:hint="default"/>
      </w:rPr>
    </w:lvl>
    <w:lvl w:ilvl="7" w:tplc="DAD0007C">
      <w:start w:val="1"/>
      <w:numFmt w:val="bullet"/>
      <w:lvlText w:val="o"/>
      <w:lvlJc w:val="left"/>
      <w:pPr>
        <w:ind w:left="5760" w:hanging="360"/>
      </w:pPr>
      <w:rPr>
        <w:rFonts w:ascii="Courier New" w:hAnsi="Courier New" w:hint="default"/>
      </w:rPr>
    </w:lvl>
    <w:lvl w:ilvl="8" w:tplc="D826D75C">
      <w:start w:val="1"/>
      <w:numFmt w:val="bullet"/>
      <w:lvlText w:val=""/>
      <w:lvlJc w:val="left"/>
      <w:pPr>
        <w:ind w:left="6480" w:hanging="360"/>
      </w:pPr>
      <w:rPr>
        <w:rFonts w:ascii="Wingdings" w:hAnsi="Wingdings" w:hint="default"/>
      </w:rPr>
    </w:lvl>
  </w:abstractNum>
  <w:abstractNum w:abstractNumId="11" w15:restartNumberingAfterBreak="0">
    <w:nsid w:val="50FCBF06"/>
    <w:multiLevelType w:val="hybridMultilevel"/>
    <w:tmpl w:val="D9427A58"/>
    <w:lvl w:ilvl="0" w:tplc="1D5241E2">
      <w:start w:val="1"/>
      <w:numFmt w:val="decimal"/>
      <w:lvlText w:val="%1."/>
      <w:lvlJc w:val="left"/>
      <w:pPr>
        <w:ind w:left="720" w:hanging="360"/>
      </w:pPr>
      <w:rPr>
        <w:rFonts w:ascii="Arial" w:hAnsi="Arial" w:hint="default"/>
      </w:rPr>
    </w:lvl>
    <w:lvl w:ilvl="1" w:tplc="F8A8C76E">
      <w:start w:val="1"/>
      <w:numFmt w:val="lowerLetter"/>
      <w:lvlText w:val="%2."/>
      <w:lvlJc w:val="left"/>
      <w:pPr>
        <w:ind w:left="1440" w:hanging="360"/>
      </w:pPr>
    </w:lvl>
    <w:lvl w:ilvl="2" w:tplc="589CAA40">
      <w:start w:val="1"/>
      <w:numFmt w:val="lowerRoman"/>
      <w:lvlText w:val="%3."/>
      <w:lvlJc w:val="right"/>
      <w:pPr>
        <w:ind w:left="2160" w:hanging="180"/>
      </w:pPr>
    </w:lvl>
    <w:lvl w:ilvl="3" w:tplc="CB4E1D64">
      <w:start w:val="1"/>
      <w:numFmt w:val="decimal"/>
      <w:lvlText w:val="%4."/>
      <w:lvlJc w:val="left"/>
      <w:pPr>
        <w:ind w:left="2880" w:hanging="360"/>
      </w:pPr>
    </w:lvl>
    <w:lvl w:ilvl="4" w:tplc="D84C7D98">
      <w:start w:val="1"/>
      <w:numFmt w:val="lowerLetter"/>
      <w:lvlText w:val="%5."/>
      <w:lvlJc w:val="left"/>
      <w:pPr>
        <w:ind w:left="3600" w:hanging="360"/>
      </w:pPr>
    </w:lvl>
    <w:lvl w:ilvl="5" w:tplc="BD40EA74">
      <w:start w:val="1"/>
      <w:numFmt w:val="lowerRoman"/>
      <w:lvlText w:val="%6."/>
      <w:lvlJc w:val="right"/>
      <w:pPr>
        <w:ind w:left="4320" w:hanging="180"/>
      </w:pPr>
    </w:lvl>
    <w:lvl w:ilvl="6" w:tplc="2840A420">
      <w:start w:val="1"/>
      <w:numFmt w:val="decimal"/>
      <w:lvlText w:val="%7."/>
      <w:lvlJc w:val="left"/>
      <w:pPr>
        <w:ind w:left="5040" w:hanging="360"/>
      </w:pPr>
    </w:lvl>
    <w:lvl w:ilvl="7" w:tplc="EFCC17F0">
      <w:start w:val="1"/>
      <w:numFmt w:val="lowerLetter"/>
      <w:lvlText w:val="%8."/>
      <w:lvlJc w:val="left"/>
      <w:pPr>
        <w:ind w:left="5760" w:hanging="360"/>
      </w:pPr>
    </w:lvl>
    <w:lvl w:ilvl="8" w:tplc="BC9C296C">
      <w:start w:val="1"/>
      <w:numFmt w:val="lowerRoman"/>
      <w:lvlText w:val="%9."/>
      <w:lvlJc w:val="right"/>
      <w:pPr>
        <w:ind w:left="6480" w:hanging="180"/>
      </w:pPr>
    </w:lvl>
  </w:abstractNum>
  <w:abstractNum w:abstractNumId="12" w15:restartNumberingAfterBreak="0">
    <w:nsid w:val="58122CAE"/>
    <w:multiLevelType w:val="hybridMultilevel"/>
    <w:tmpl w:val="CFC8CF08"/>
    <w:lvl w:ilvl="0" w:tplc="F9469D00">
      <w:start w:val="1"/>
      <w:numFmt w:val="bullet"/>
      <w:lvlText w:val=""/>
      <w:lvlJc w:val="left"/>
      <w:pPr>
        <w:ind w:left="720" w:hanging="360"/>
      </w:pPr>
      <w:rPr>
        <w:rFonts w:ascii="Symbol" w:hAnsi="Symbol" w:hint="default"/>
      </w:rPr>
    </w:lvl>
    <w:lvl w:ilvl="1" w:tplc="9A10C1FA">
      <w:start w:val="1"/>
      <w:numFmt w:val="bullet"/>
      <w:lvlText w:val="o"/>
      <w:lvlJc w:val="left"/>
      <w:pPr>
        <w:ind w:left="1440" w:hanging="360"/>
      </w:pPr>
      <w:rPr>
        <w:rFonts w:ascii="Courier New" w:hAnsi="Courier New" w:hint="default"/>
      </w:rPr>
    </w:lvl>
    <w:lvl w:ilvl="2" w:tplc="377CEBC2">
      <w:start w:val="1"/>
      <w:numFmt w:val="bullet"/>
      <w:lvlText w:val=""/>
      <w:lvlJc w:val="left"/>
      <w:pPr>
        <w:ind w:left="2160" w:hanging="360"/>
      </w:pPr>
      <w:rPr>
        <w:rFonts w:ascii="Wingdings" w:hAnsi="Wingdings" w:hint="default"/>
      </w:rPr>
    </w:lvl>
    <w:lvl w:ilvl="3" w:tplc="39FCD53A">
      <w:start w:val="1"/>
      <w:numFmt w:val="bullet"/>
      <w:lvlText w:val=""/>
      <w:lvlJc w:val="left"/>
      <w:pPr>
        <w:ind w:left="2880" w:hanging="360"/>
      </w:pPr>
      <w:rPr>
        <w:rFonts w:ascii="Symbol" w:hAnsi="Symbol" w:hint="default"/>
      </w:rPr>
    </w:lvl>
    <w:lvl w:ilvl="4" w:tplc="88D844EC">
      <w:start w:val="1"/>
      <w:numFmt w:val="bullet"/>
      <w:lvlText w:val="o"/>
      <w:lvlJc w:val="left"/>
      <w:pPr>
        <w:ind w:left="3600" w:hanging="360"/>
      </w:pPr>
      <w:rPr>
        <w:rFonts w:ascii="Courier New" w:hAnsi="Courier New" w:hint="default"/>
      </w:rPr>
    </w:lvl>
    <w:lvl w:ilvl="5" w:tplc="73A4C536">
      <w:start w:val="1"/>
      <w:numFmt w:val="bullet"/>
      <w:lvlText w:val=""/>
      <w:lvlJc w:val="left"/>
      <w:pPr>
        <w:ind w:left="4320" w:hanging="360"/>
      </w:pPr>
      <w:rPr>
        <w:rFonts w:ascii="Wingdings" w:hAnsi="Wingdings" w:hint="default"/>
      </w:rPr>
    </w:lvl>
    <w:lvl w:ilvl="6" w:tplc="23CA6974">
      <w:start w:val="1"/>
      <w:numFmt w:val="bullet"/>
      <w:lvlText w:val=""/>
      <w:lvlJc w:val="left"/>
      <w:pPr>
        <w:ind w:left="5040" w:hanging="360"/>
      </w:pPr>
      <w:rPr>
        <w:rFonts w:ascii="Symbol" w:hAnsi="Symbol" w:hint="default"/>
      </w:rPr>
    </w:lvl>
    <w:lvl w:ilvl="7" w:tplc="F4FCFDFC">
      <w:start w:val="1"/>
      <w:numFmt w:val="bullet"/>
      <w:lvlText w:val="o"/>
      <w:lvlJc w:val="left"/>
      <w:pPr>
        <w:ind w:left="5760" w:hanging="360"/>
      </w:pPr>
      <w:rPr>
        <w:rFonts w:ascii="Courier New" w:hAnsi="Courier New" w:hint="default"/>
      </w:rPr>
    </w:lvl>
    <w:lvl w:ilvl="8" w:tplc="36965FFC">
      <w:start w:val="1"/>
      <w:numFmt w:val="bullet"/>
      <w:lvlText w:val=""/>
      <w:lvlJc w:val="left"/>
      <w:pPr>
        <w:ind w:left="6480" w:hanging="360"/>
      </w:pPr>
      <w:rPr>
        <w:rFonts w:ascii="Wingdings" w:hAnsi="Wingdings" w:hint="default"/>
      </w:rPr>
    </w:lvl>
  </w:abstractNum>
  <w:abstractNum w:abstractNumId="13" w15:restartNumberingAfterBreak="0">
    <w:nsid w:val="5B305C6A"/>
    <w:multiLevelType w:val="hybridMultilevel"/>
    <w:tmpl w:val="89E467B8"/>
    <w:lvl w:ilvl="0" w:tplc="67EE8BC2">
      <w:start w:val="1"/>
      <w:numFmt w:val="bullet"/>
      <w:lvlText w:val=""/>
      <w:lvlJc w:val="left"/>
      <w:pPr>
        <w:ind w:left="720" w:hanging="360"/>
      </w:pPr>
      <w:rPr>
        <w:rFonts w:ascii="Symbol" w:hAnsi="Symbol" w:hint="default"/>
      </w:rPr>
    </w:lvl>
    <w:lvl w:ilvl="1" w:tplc="15E65622">
      <w:start w:val="1"/>
      <w:numFmt w:val="bullet"/>
      <w:lvlText w:val="o"/>
      <w:lvlJc w:val="left"/>
      <w:pPr>
        <w:ind w:left="1440" w:hanging="360"/>
      </w:pPr>
      <w:rPr>
        <w:rFonts w:ascii="Courier New" w:hAnsi="Courier New" w:hint="default"/>
      </w:rPr>
    </w:lvl>
    <w:lvl w:ilvl="2" w:tplc="C36C90A0">
      <w:start w:val="1"/>
      <w:numFmt w:val="bullet"/>
      <w:lvlText w:val=""/>
      <w:lvlJc w:val="left"/>
      <w:pPr>
        <w:ind w:left="2160" w:hanging="360"/>
      </w:pPr>
      <w:rPr>
        <w:rFonts w:ascii="Wingdings" w:hAnsi="Wingdings" w:hint="default"/>
      </w:rPr>
    </w:lvl>
    <w:lvl w:ilvl="3" w:tplc="B8E47830">
      <w:start w:val="1"/>
      <w:numFmt w:val="bullet"/>
      <w:lvlText w:val=""/>
      <w:lvlJc w:val="left"/>
      <w:pPr>
        <w:ind w:left="2880" w:hanging="360"/>
      </w:pPr>
      <w:rPr>
        <w:rFonts w:ascii="Symbol" w:hAnsi="Symbol" w:hint="default"/>
      </w:rPr>
    </w:lvl>
    <w:lvl w:ilvl="4" w:tplc="6C880F1C">
      <w:start w:val="1"/>
      <w:numFmt w:val="bullet"/>
      <w:lvlText w:val="o"/>
      <w:lvlJc w:val="left"/>
      <w:pPr>
        <w:ind w:left="3600" w:hanging="360"/>
      </w:pPr>
      <w:rPr>
        <w:rFonts w:ascii="Courier New" w:hAnsi="Courier New" w:hint="default"/>
      </w:rPr>
    </w:lvl>
    <w:lvl w:ilvl="5" w:tplc="046C1828">
      <w:start w:val="1"/>
      <w:numFmt w:val="bullet"/>
      <w:lvlText w:val=""/>
      <w:lvlJc w:val="left"/>
      <w:pPr>
        <w:ind w:left="4320" w:hanging="360"/>
      </w:pPr>
      <w:rPr>
        <w:rFonts w:ascii="Wingdings" w:hAnsi="Wingdings" w:hint="default"/>
      </w:rPr>
    </w:lvl>
    <w:lvl w:ilvl="6" w:tplc="26BA3658">
      <w:start w:val="1"/>
      <w:numFmt w:val="bullet"/>
      <w:lvlText w:val=""/>
      <w:lvlJc w:val="left"/>
      <w:pPr>
        <w:ind w:left="5040" w:hanging="360"/>
      </w:pPr>
      <w:rPr>
        <w:rFonts w:ascii="Symbol" w:hAnsi="Symbol" w:hint="default"/>
      </w:rPr>
    </w:lvl>
    <w:lvl w:ilvl="7" w:tplc="27E032F6">
      <w:start w:val="1"/>
      <w:numFmt w:val="bullet"/>
      <w:lvlText w:val="o"/>
      <w:lvlJc w:val="left"/>
      <w:pPr>
        <w:ind w:left="5760" w:hanging="360"/>
      </w:pPr>
      <w:rPr>
        <w:rFonts w:ascii="Courier New" w:hAnsi="Courier New" w:hint="default"/>
      </w:rPr>
    </w:lvl>
    <w:lvl w:ilvl="8" w:tplc="7FB0E4CA">
      <w:start w:val="1"/>
      <w:numFmt w:val="bullet"/>
      <w:lvlText w:val=""/>
      <w:lvlJc w:val="left"/>
      <w:pPr>
        <w:ind w:left="6480" w:hanging="360"/>
      </w:pPr>
      <w:rPr>
        <w:rFonts w:ascii="Wingdings" w:hAnsi="Wingdings" w:hint="default"/>
      </w:rPr>
    </w:lvl>
  </w:abstractNum>
  <w:abstractNum w:abstractNumId="14" w15:restartNumberingAfterBreak="0">
    <w:nsid w:val="5C235030"/>
    <w:multiLevelType w:val="hybridMultilevel"/>
    <w:tmpl w:val="01C678D4"/>
    <w:lvl w:ilvl="0" w:tplc="E4846162">
      <w:start w:val="13"/>
      <w:numFmt w:val="decimal"/>
      <w:lvlText w:val="%1."/>
      <w:lvlJc w:val="left"/>
      <w:pPr>
        <w:ind w:left="720" w:hanging="360"/>
      </w:pPr>
    </w:lvl>
    <w:lvl w:ilvl="1" w:tplc="68C23AF4">
      <w:start w:val="1"/>
      <w:numFmt w:val="lowerLetter"/>
      <w:lvlText w:val="%2."/>
      <w:lvlJc w:val="left"/>
      <w:pPr>
        <w:ind w:left="1440" w:hanging="360"/>
      </w:pPr>
    </w:lvl>
    <w:lvl w:ilvl="2" w:tplc="31B2F7BC">
      <w:start w:val="1"/>
      <w:numFmt w:val="lowerRoman"/>
      <w:lvlText w:val="%3."/>
      <w:lvlJc w:val="right"/>
      <w:pPr>
        <w:ind w:left="2160" w:hanging="180"/>
      </w:pPr>
    </w:lvl>
    <w:lvl w:ilvl="3" w:tplc="6ECE475E">
      <w:start w:val="1"/>
      <w:numFmt w:val="decimal"/>
      <w:lvlText w:val="%4."/>
      <w:lvlJc w:val="left"/>
      <w:pPr>
        <w:ind w:left="2880" w:hanging="360"/>
      </w:pPr>
    </w:lvl>
    <w:lvl w:ilvl="4" w:tplc="349824C0">
      <w:start w:val="1"/>
      <w:numFmt w:val="lowerLetter"/>
      <w:lvlText w:val="%5."/>
      <w:lvlJc w:val="left"/>
      <w:pPr>
        <w:ind w:left="3600" w:hanging="360"/>
      </w:pPr>
    </w:lvl>
    <w:lvl w:ilvl="5" w:tplc="2D326480">
      <w:start w:val="1"/>
      <w:numFmt w:val="lowerRoman"/>
      <w:lvlText w:val="%6."/>
      <w:lvlJc w:val="right"/>
      <w:pPr>
        <w:ind w:left="4320" w:hanging="180"/>
      </w:pPr>
    </w:lvl>
    <w:lvl w:ilvl="6" w:tplc="ED4E495A">
      <w:start w:val="1"/>
      <w:numFmt w:val="decimal"/>
      <w:lvlText w:val="%7."/>
      <w:lvlJc w:val="left"/>
      <w:pPr>
        <w:ind w:left="5040" w:hanging="360"/>
      </w:pPr>
    </w:lvl>
    <w:lvl w:ilvl="7" w:tplc="85546896">
      <w:start w:val="1"/>
      <w:numFmt w:val="lowerLetter"/>
      <w:lvlText w:val="%8."/>
      <w:lvlJc w:val="left"/>
      <w:pPr>
        <w:ind w:left="5760" w:hanging="360"/>
      </w:pPr>
    </w:lvl>
    <w:lvl w:ilvl="8" w:tplc="E3E691D0">
      <w:start w:val="1"/>
      <w:numFmt w:val="lowerRoman"/>
      <w:lvlText w:val="%9."/>
      <w:lvlJc w:val="right"/>
      <w:pPr>
        <w:ind w:left="6480" w:hanging="180"/>
      </w:pPr>
    </w:lvl>
  </w:abstractNum>
  <w:abstractNum w:abstractNumId="15" w15:restartNumberingAfterBreak="0">
    <w:nsid w:val="607469AB"/>
    <w:multiLevelType w:val="hybridMultilevel"/>
    <w:tmpl w:val="58226B58"/>
    <w:lvl w:ilvl="0" w:tplc="A732AC68">
      <w:start w:val="1"/>
      <w:numFmt w:val="bullet"/>
      <w:lvlText w:val="♦"/>
      <w:lvlJc w:val="left"/>
      <w:pPr>
        <w:ind w:left="720" w:hanging="360"/>
      </w:pPr>
      <w:rPr>
        <w:rFonts w:ascii="Courier New" w:hAnsi="Courier New" w:hint="default"/>
      </w:rPr>
    </w:lvl>
    <w:lvl w:ilvl="1" w:tplc="818441BE">
      <w:start w:val="1"/>
      <w:numFmt w:val="bullet"/>
      <w:lvlText w:val="o"/>
      <w:lvlJc w:val="left"/>
      <w:pPr>
        <w:ind w:left="1440" w:hanging="360"/>
      </w:pPr>
      <w:rPr>
        <w:rFonts w:ascii="Courier New" w:hAnsi="Courier New" w:hint="default"/>
      </w:rPr>
    </w:lvl>
    <w:lvl w:ilvl="2" w:tplc="86749830">
      <w:start w:val="1"/>
      <w:numFmt w:val="bullet"/>
      <w:lvlText w:val=""/>
      <w:lvlJc w:val="left"/>
      <w:pPr>
        <w:ind w:left="2160" w:hanging="360"/>
      </w:pPr>
      <w:rPr>
        <w:rFonts w:ascii="Wingdings" w:hAnsi="Wingdings" w:hint="default"/>
      </w:rPr>
    </w:lvl>
    <w:lvl w:ilvl="3" w:tplc="08224D16">
      <w:start w:val="1"/>
      <w:numFmt w:val="bullet"/>
      <w:lvlText w:val=""/>
      <w:lvlJc w:val="left"/>
      <w:pPr>
        <w:ind w:left="2880" w:hanging="360"/>
      </w:pPr>
      <w:rPr>
        <w:rFonts w:ascii="Symbol" w:hAnsi="Symbol" w:hint="default"/>
      </w:rPr>
    </w:lvl>
    <w:lvl w:ilvl="4" w:tplc="CFBCF550">
      <w:start w:val="1"/>
      <w:numFmt w:val="bullet"/>
      <w:lvlText w:val="o"/>
      <w:lvlJc w:val="left"/>
      <w:pPr>
        <w:ind w:left="3600" w:hanging="360"/>
      </w:pPr>
      <w:rPr>
        <w:rFonts w:ascii="Courier New" w:hAnsi="Courier New" w:hint="default"/>
      </w:rPr>
    </w:lvl>
    <w:lvl w:ilvl="5" w:tplc="9F54C210">
      <w:start w:val="1"/>
      <w:numFmt w:val="bullet"/>
      <w:lvlText w:val=""/>
      <w:lvlJc w:val="left"/>
      <w:pPr>
        <w:ind w:left="4320" w:hanging="360"/>
      </w:pPr>
      <w:rPr>
        <w:rFonts w:ascii="Wingdings" w:hAnsi="Wingdings" w:hint="default"/>
      </w:rPr>
    </w:lvl>
    <w:lvl w:ilvl="6" w:tplc="6C4882B2">
      <w:start w:val="1"/>
      <w:numFmt w:val="bullet"/>
      <w:lvlText w:val=""/>
      <w:lvlJc w:val="left"/>
      <w:pPr>
        <w:ind w:left="5040" w:hanging="360"/>
      </w:pPr>
      <w:rPr>
        <w:rFonts w:ascii="Symbol" w:hAnsi="Symbol" w:hint="default"/>
      </w:rPr>
    </w:lvl>
    <w:lvl w:ilvl="7" w:tplc="583A01CE">
      <w:start w:val="1"/>
      <w:numFmt w:val="bullet"/>
      <w:lvlText w:val="o"/>
      <w:lvlJc w:val="left"/>
      <w:pPr>
        <w:ind w:left="5760" w:hanging="360"/>
      </w:pPr>
      <w:rPr>
        <w:rFonts w:ascii="Courier New" w:hAnsi="Courier New" w:hint="default"/>
      </w:rPr>
    </w:lvl>
    <w:lvl w:ilvl="8" w:tplc="A4701092">
      <w:start w:val="1"/>
      <w:numFmt w:val="bullet"/>
      <w:lvlText w:val=""/>
      <w:lvlJc w:val="left"/>
      <w:pPr>
        <w:ind w:left="6480" w:hanging="360"/>
      </w:pPr>
      <w:rPr>
        <w:rFonts w:ascii="Wingdings" w:hAnsi="Wingdings" w:hint="default"/>
      </w:rPr>
    </w:lvl>
  </w:abstractNum>
  <w:abstractNum w:abstractNumId="16" w15:restartNumberingAfterBreak="0">
    <w:nsid w:val="7330A499"/>
    <w:multiLevelType w:val="hybridMultilevel"/>
    <w:tmpl w:val="8352643C"/>
    <w:lvl w:ilvl="0" w:tplc="CEB44BCA">
      <w:start w:val="1"/>
      <w:numFmt w:val="bullet"/>
      <w:lvlText w:val=""/>
      <w:lvlJc w:val="left"/>
      <w:pPr>
        <w:ind w:left="720" w:hanging="360"/>
      </w:pPr>
      <w:rPr>
        <w:rFonts w:ascii="Symbol" w:hAnsi="Symbol" w:hint="default"/>
      </w:rPr>
    </w:lvl>
    <w:lvl w:ilvl="1" w:tplc="17604206">
      <w:start w:val="1"/>
      <w:numFmt w:val="bullet"/>
      <w:lvlText w:val="o"/>
      <w:lvlJc w:val="left"/>
      <w:pPr>
        <w:ind w:left="1440" w:hanging="360"/>
      </w:pPr>
      <w:rPr>
        <w:rFonts w:ascii="Courier New" w:hAnsi="Courier New" w:hint="default"/>
      </w:rPr>
    </w:lvl>
    <w:lvl w:ilvl="2" w:tplc="34CCF7A0">
      <w:start w:val="1"/>
      <w:numFmt w:val="bullet"/>
      <w:lvlText w:val=""/>
      <w:lvlJc w:val="left"/>
      <w:pPr>
        <w:ind w:left="2160" w:hanging="360"/>
      </w:pPr>
      <w:rPr>
        <w:rFonts w:ascii="Wingdings" w:hAnsi="Wingdings" w:hint="default"/>
      </w:rPr>
    </w:lvl>
    <w:lvl w:ilvl="3" w:tplc="626AD134">
      <w:start w:val="1"/>
      <w:numFmt w:val="bullet"/>
      <w:lvlText w:val=""/>
      <w:lvlJc w:val="left"/>
      <w:pPr>
        <w:ind w:left="2880" w:hanging="360"/>
      </w:pPr>
      <w:rPr>
        <w:rFonts w:ascii="Symbol" w:hAnsi="Symbol" w:hint="default"/>
      </w:rPr>
    </w:lvl>
    <w:lvl w:ilvl="4" w:tplc="4F165628">
      <w:start w:val="1"/>
      <w:numFmt w:val="bullet"/>
      <w:lvlText w:val="o"/>
      <w:lvlJc w:val="left"/>
      <w:pPr>
        <w:ind w:left="3600" w:hanging="360"/>
      </w:pPr>
      <w:rPr>
        <w:rFonts w:ascii="Courier New" w:hAnsi="Courier New" w:hint="default"/>
      </w:rPr>
    </w:lvl>
    <w:lvl w:ilvl="5" w:tplc="B1DCF042">
      <w:start w:val="1"/>
      <w:numFmt w:val="bullet"/>
      <w:lvlText w:val=""/>
      <w:lvlJc w:val="left"/>
      <w:pPr>
        <w:ind w:left="4320" w:hanging="360"/>
      </w:pPr>
      <w:rPr>
        <w:rFonts w:ascii="Wingdings" w:hAnsi="Wingdings" w:hint="default"/>
      </w:rPr>
    </w:lvl>
    <w:lvl w:ilvl="6" w:tplc="D9901A1C">
      <w:start w:val="1"/>
      <w:numFmt w:val="bullet"/>
      <w:lvlText w:val=""/>
      <w:lvlJc w:val="left"/>
      <w:pPr>
        <w:ind w:left="5040" w:hanging="360"/>
      </w:pPr>
      <w:rPr>
        <w:rFonts w:ascii="Symbol" w:hAnsi="Symbol" w:hint="default"/>
      </w:rPr>
    </w:lvl>
    <w:lvl w:ilvl="7" w:tplc="F4FE4AB2">
      <w:start w:val="1"/>
      <w:numFmt w:val="bullet"/>
      <w:lvlText w:val="o"/>
      <w:lvlJc w:val="left"/>
      <w:pPr>
        <w:ind w:left="5760" w:hanging="360"/>
      </w:pPr>
      <w:rPr>
        <w:rFonts w:ascii="Courier New" w:hAnsi="Courier New" w:hint="default"/>
      </w:rPr>
    </w:lvl>
    <w:lvl w:ilvl="8" w:tplc="14B6CB3E">
      <w:start w:val="1"/>
      <w:numFmt w:val="bullet"/>
      <w:lvlText w:val=""/>
      <w:lvlJc w:val="left"/>
      <w:pPr>
        <w:ind w:left="6480" w:hanging="360"/>
      </w:pPr>
      <w:rPr>
        <w:rFonts w:ascii="Wingdings" w:hAnsi="Wingdings" w:hint="default"/>
      </w:rPr>
    </w:lvl>
  </w:abstractNum>
  <w:abstractNum w:abstractNumId="17" w15:restartNumberingAfterBreak="0">
    <w:nsid w:val="7E935D8C"/>
    <w:multiLevelType w:val="hybridMultilevel"/>
    <w:tmpl w:val="42AE919C"/>
    <w:lvl w:ilvl="0" w:tplc="9C2E0608">
      <w:start w:val="1"/>
      <w:numFmt w:val="bullet"/>
      <w:lvlText w:val=""/>
      <w:lvlJc w:val="left"/>
      <w:pPr>
        <w:ind w:left="720" w:hanging="360"/>
      </w:pPr>
      <w:rPr>
        <w:rFonts w:ascii="Symbol" w:hAnsi="Symbol" w:hint="default"/>
      </w:rPr>
    </w:lvl>
    <w:lvl w:ilvl="1" w:tplc="9CF63A32">
      <w:start w:val="1"/>
      <w:numFmt w:val="bullet"/>
      <w:lvlText w:val="o"/>
      <w:lvlJc w:val="left"/>
      <w:pPr>
        <w:ind w:left="1440" w:hanging="360"/>
      </w:pPr>
      <w:rPr>
        <w:rFonts w:ascii="Courier New" w:hAnsi="Courier New" w:hint="default"/>
      </w:rPr>
    </w:lvl>
    <w:lvl w:ilvl="2" w:tplc="F7A2AF60">
      <w:start w:val="1"/>
      <w:numFmt w:val="bullet"/>
      <w:lvlText w:val=""/>
      <w:lvlJc w:val="left"/>
      <w:pPr>
        <w:ind w:left="2160" w:hanging="360"/>
      </w:pPr>
      <w:rPr>
        <w:rFonts w:ascii="Wingdings" w:hAnsi="Wingdings" w:hint="default"/>
      </w:rPr>
    </w:lvl>
    <w:lvl w:ilvl="3" w:tplc="6482674A">
      <w:start w:val="1"/>
      <w:numFmt w:val="bullet"/>
      <w:lvlText w:val=""/>
      <w:lvlJc w:val="left"/>
      <w:pPr>
        <w:ind w:left="2880" w:hanging="360"/>
      </w:pPr>
      <w:rPr>
        <w:rFonts w:ascii="Symbol" w:hAnsi="Symbol" w:hint="default"/>
      </w:rPr>
    </w:lvl>
    <w:lvl w:ilvl="4" w:tplc="0CEAA8A2">
      <w:start w:val="1"/>
      <w:numFmt w:val="bullet"/>
      <w:lvlText w:val="o"/>
      <w:lvlJc w:val="left"/>
      <w:pPr>
        <w:ind w:left="3600" w:hanging="360"/>
      </w:pPr>
      <w:rPr>
        <w:rFonts w:ascii="Courier New" w:hAnsi="Courier New" w:hint="default"/>
      </w:rPr>
    </w:lvl>
    <w:lvl w:ilvl="5" w:tplc="CD54988C">
      <w:start w:val="1"/>
      <w:numFmt w:val="bullet"/>
      <w:lvlText w:val=""/>
      <w:lvlJc w:val="left"/>
      <w:pPr>
        <w:ind w:left="4320" w:hanging="360"/>
      </w:pPr>
      <w:rPr>
        <w:rFonts w:ascii="Wingdings" w:hAnsi="Wingdings" w:hint="default"/>
      </w:rPr>
    </w:lvl>
    <w:lvl w:ilvl="6" w:tplc="99085B4E">
      <w:start w:val="1"/>
      <w:numFmt w:val="bullet"/>
      <w:lvlText w:val=""/>
      <w:lvlJc w:val="left"/>
      <w:pPr>
        <w:ind w:left="5040" w:hanging="360"/>
      </w:pPr>
      <w:rPr>
        <w:rFonts w:ascii="Symbol" w:hAnsi="Symbol" w:hint="default"/>
      </w:rPr>
    </w:lvl>
    <w:lvl w:ilvl="7" w:tplc="2C481C54">
      <w:start w:val="1"/>
      <w:numFmt w:val="bullet"/>
      <w:lvlText w:val="o"/>
      <w:lvlJc w:val="left"/>
      <w:pPr>
        <w:ind w:left="5760" w:hanging="360"/>
      </w:pPr>
      <w:rPr>
        <w:rFonts w:ascii="Courier New" w:hAnsi="Courier New" w:hint="default"/>
      </w:rPr>
    </w:lvl>
    <w:lvl w:ilvl="8" w:tplc="17A2F136">
      <w:start w:val="1"/>
      <w:numFmt w:val="bullet"/>
      <w:lvlText w:val=""/>
      <w:lvlJc w:val="left"/>
      <w:pPr>
        <w:ind w:left="6480" w:hanging="360"/>
      </w:pPr>
      <w:rPr>
        <w:rFonts w:ascii="Wingdings" w:hAnsi="Wingdings" w:hint="default"/>
      </w:rPr>
    </w:lvl>
  </w:abstractNum>
  <w:num w:numId="1" w16cid:durableId="1308629945">
    <w:abstractNumId w:val="17"/>
  </w:num>
  <w:num w:numId="2" w16cid:durableId="477303595">
    <w:abstractNumId w:val="6"/>
  </w:num>
  <w:num w:numId="3" w16cid:durableId="1090663259">
    <w:abstractNumId w:val="5"/>
  </w:num>
  <w:num w:numId="4" w16cid:durableId="477770833">
    <w:abstractNumId w:val="0"/>
  </w:num>
  <w:num w:numId="5" w16cid:durableId="1584946922">
    <w:abstractNumId w:val="14"/>
  </w:num>
  <w:num w:numId="6" w16cid:durableId="1445491189">
    <w:abstractNumId w:val="2"/>
  </w:num>
  <w:num w:numId="7" w16cid:durableId="1404837112">
    <w:abstractNumId w:val="3"/>
  </w:num>
  <w:num w:numId="8" w16cid:durableId="344326924">
    <w:abstractNumId w:val="13"/>
  </w:num>
  <w:num w:numId="9" w16cid:durableId="1519932240">
    <w:abstractNumId w:val="10"/>
  </w:num>
  <w:num w:numId="10" w16cid:durableId="1449158325">
    <w:abstractNumId w:val="12"/>
  </w:num>
  <w:num w:numId="11" w16cid:durableId="1448502472">
    <w:abstractNumId w:val="1"/>
  </w:num>
  <w:num w:numId="12" w16cid:durableId="1536502957">
    <w:abstractNumId w:val="9"/>
  </w:num>
  <w:num w:numId="13" w16cid:durableId="589004301">
    <w:abstractNumId w:val="16"/>
  </w:num>
  <w:num w:numId="14" w16cid:durableId="1383753032">
    <w:abstractNumId w:val="8"/>
  </w:num>
  <w:num w:numId="15" w16cid:durableId="1475366947">
    <w:abstractNumId w:val="4"/>
  </w:num>
  <w:num w:numId="16" w16cid:durableId="200483217">
    <w:abstractNumId w:val="15"/>
  </w:num>
  <w:num w:numId="17" w16cid:durableId="763577097">
    <w:abstractNumId w:val="7"/>
  </w:num>
  <w:num w:numId="18" w16cid:durableId="17610280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D9C0E3"/>
    <w:rsid w:val="00016ACA"/>
    <w:rsid w:val="001B2811"/>
    <w:rsid w:val="003027E3"/>
    <w:rsid w:val="004C4F17"/>
    <w:rsid w:val="00515FA3"/>
    <w:rsid w:val="005473CF"/>
    <w:rsid w:val="00783609"/>
    <w:rsid w:val="0088E737"/>
    <w:rsid w:val="00A8528E"/>
    <w:rsid w:val="00B17E72"/>
    <w:rsid w:val="00E96753"/>
    <w:rsid w:val="00FE967B"/>
    <w:rsid w:val="01168190"/>
    <w:rsid w:val="013140A8"/>
    <w:rsid w:val="01455D0F"/>
    <w:rsid w:val="016AEF98"/>
    <w:rsid w:val="01AE0FCE"/>
    <w:rsid w:val="025591CA"/>
    <w:rsid w:val="02902D56"/>
    <w:rsid w:val="0315C326"/>
    <w:rsid w:val="03B3FA53"/>
    <w:rsid w:val="03B44782"/>
    <w:rsid w:val="03C92CC9"/>
    <w:rsid w:val="03DD33B9"/>
    <w:rsid w:val="0406CD09"/>
    <w:rsid w:val="0407C32D"/>
    <w:rsid w:val="0441E81B"/>
    <w:rsid w:val="044B1899"/>
    <w:rsid w:val="046E27EE"/>
    <w:rsid w:val="057BAB59"/>
    <w:rsid w:val="05D38724"/>
    <w:rsid w:val="05E6C937"/>
    <w:rsid w:val="0608F123"/>
    <w:rsid w:val="06B298C1"/>
    <w:rsid w:val="06D3AFD1"/>
    <w:rsid w:val="0781D0A1"/>
    <w:rsid w:val="07A4B08B"/>
    <w:rsid w:val="07B0E7F5"/>
    <w:rsid w:val="07E1ED59"/>
    <w:rsid w:val="08384F27"/>
    <w:rsid w:val="08597EE2"/>
    <w:rsid w:val="089302D2"/>
    <w:rsid w:val="08EB6ABA"/>
    <w:rsid w:val="091CA872"/>
    <w:rsid w:val="091F5084"/>
    <w:rsid w:val="0973081D"/>
    <w:rsid w:val="099CDD90"/>
    <w:rsid w:val="09CCFB76"/>
    <w:rsid w:val="09D36B59"/>
    <w:rsid w:val="09ED353C"/>
    <w:rsid w:val="09F9F9B8"/>
    <w:rsid w:val="0A44E84B"/>
    <w:rsid w:val="0B2AF5D7"/>
    <w:rsid w:val="0B630908"/>
    <w:rsid w:val="0BD4E1B7"/>
    <w:rsid w:val="0C323747"/>
    <w:rsid w:val="0C48E2C3"/>
    <w:rsid w:val="0C5F8A42"/>
    <w:rsid w:val="0C608460"/>
    <w:rsid w:val="0CAEE542"/>
    <w:rsid w:val="0CE9B788"/>
    <w:rsid w:val="0D06F853"/>
    <w:rsid w:val="0D081B47"/>
    <w:rsid w:val="0D3D3994"/>
    <w:rsid w:val="0D7C422B"/>
    <w:rsid w:val="0DA131E6"/>
    <w:rsid w:val="0E2A1BE8"/>
    <w:rsid w:val="0E8BF50E"/>
    <w:rsid w:val="0E8FF6FC"/>
    <w:rsid w:val="0F2F09FD"/>
    <w:rsid w:val="0F60F6E5"/>
    <w:rsid w:val="0F9321ED"/>
    <w:rsid w:val="0FC1D787"/>
    <w:rsid w:val="102D47FC"/>
    <w:rsid w:val="10D78D16"/>
    <w:rsid w:val="10D9C0E3"/>
    <w:rsid w:val="11033FA1"/>
    <w:rsid w:val="11257363"/>
    <w:rsid w:val="115FBF49"/>
    <w:rsid w:val="118A6FE7"/>
    <w:rsid w:val="1200EB9F"/>
    <w:rsid w:val="12247630"/>
    <w:rsid w:val="12484A25"/>
    <w:rsid w:val="1250F1B3"/>
    <w:rsid w:val="12879520"/>
    <w:rsid w:val="12AECA4C"/>
    <w:rsid w:val="13E84638"/>
    <w:rsid w:val="149CF7DC"/>
    <w:rsid w:val="1582E8DD"/>
    <w:rsid w:val="15986F86"/>
    <w:rsid w:val="15ED80AB"/>
    <w:rsid w:val="15F5FB7A"/>
    <w:rsid w:val="1624FD0C"/>
    <w:rsid w:val="16399CD1"/>
    <w:rsid w:val="16612A73"/>
    <w:rsid w:val="16C8D1AA"/>
    <w:rsid w:val="17418BFC"/>
    <w:rsid w:val="1745E71A"/>
    <w:rsid w:val="1747AFB8"/>
    <w:rsid w:val="17664C1C"/>
    <w:rsid w:val="176D7E2F"/>
    <w:rsid w:val="1783F536"/>
    <w:rsid w:val="17890649"/>
    <w:rsid w:val="17A96459"/>
    <w:rsid w:val="17E02FE6"/>
    <w:rsid w:val="180C70DB"/>
    <w:rsid w:val="187126AD"/>
    <w:rsid w:val="1998D8C6"/>
    <w:rsid w:val="19A09E68"/>
    <w:rsid w:val="19CA25EE"/>
    <w:rsid w:val="19CA9DF6"/>
    <w:rsid w:val="19F23A90"/>
    <w:rsid w:val="1A249335"/>
    <w:rsid w:val="1A5CF16B"/>
    <w:rsid w:val="1A7C934B"/>
    <w:rsid w:val="1A802677"/>
    <w:rsid w:val="1ABF4120"/>
    <w:rsid w:val="1AC05867"/>
    <w:rsid w:val="1AC6C7E2"/>
    <w:rsid w:val="1BCBD797"/>
    <w:rsid w:val="1BCC5A03"/>
    <w:rsid w:val="1C893CE5"/>
    <w:rsid w:val="1D13706E"/>
    <w:rsid w:val="1D322537"/>
    <w:rsid w:val="1D586702"/>
    <w:rsid w:val="1DC8AB4B"/>
    <w:rsid w:val="1E549B25"/>
    <w:rsid w:val="1E7BCD59"/>
    <w:rsid w:val="1EB8B6A6"/>
    <w:rsid w:val="1ECAA387"/>
    <w:rsid w:val="1F7338CA"/>
    <w:rsid w:val="1FA32346"/>
    <w:rsid w:val="1FB90C3B"/>
    <w:rsid w:val="2009CCFB"/>
    <w:rsid w:val="202C8673"/>
    <w:rsid w:val="207E8C9A"/>
    <w:rsid w:val="20987EBA"/>
    <w:rsid w:val="20D35FD4"/>
    <w:rsid w:val="20E72E14"/>
    <w:rsid w:val="21874843"/>
    <w:rsid w:val="21CE15FA"/>
    <w:rsid w:val="21E49625"/>
    <w:rsid w:val="21EF34B7"/>
    <w:rsid w:val="2221BB9C"/>
    <w:rsid w:val="22AE7437"/>
    <w:rsid w:val="22D2988E"/>
    <w:rsid w:val="22F8E5B9"/>
    <w:rsid w:val="23425D49"/>
    <w:rsid w:val="2393E743"/>
    <w:rsid w:val="239564A9"/>
    <w:rsid w:val="23CAB571"/>
    <w:rsid w:val="23EE548F"/>
    <w:rsid w:val="24158F67"/>
    <w:rsid w:val="24965EC0"/>
    <w:rsid w:val="24E4FD5E"/>
    <w:rsid w:val="25139845"/>
    <w:rsid w:val="25A3767B"/>
    <w:rsid w:val="25C5503C"/>
    <w:rsid w:val="25EDEFF1"/>
    <w:rsid w:val="262E30CC"/>
    <w:rsid w:val="2671D57C"/>
    <w:rsid w:val="267AF881"/>
    <w:rsid w:val="26B5A401"/>
    <w:rsid w:val="26C9E2A3"/>
    <w:rsid w:val="26D884F8"/>
    <w:rsid w:val="2871AE37"/>
    <w:rsid w:val="28D9B84F"/>
    <w:rsid w:val="295CA3E0"/>
    <w:rsid w:val="296F21F0"/>
    <w:rsid w:val="299D6D59"/>
    <w:rsid w:val="2A4916C0"/>
    <w:rsid w:val="2A9E2535"/>
    <w:rsid w:val="2AAC250D"/>
    <w:rsid w:val="2ACC4A9A"/>
    <w:rsid w:val="2B0C60E4"/>
    <w:rsid w:val="2B6B8CCC"/>
    <w:rsid w:val="2B7250A5"/>
    <w:rsid w:val="2B73AC3B"/>
    <w:rsid w:val="2C6825E8"/>
    <w:rsid w:val="2C746F18"/>
    <w:rsid w:val="2CF76D89"/>
    <w:rsid w:val="2D80CE9D"/>
    <w:rsid w:val="2D846489"/>
    <w:rsid w:val="2DA56EE0"/>
    <w:rsid w:val="2DC36ED5"/>
    <w:rsid w:val="2E064E7D"/>
    <w:rsid w:val="2E2D9DEE"/>
    <w:rsid w:val="2E78A5EE"/>
    <w:rsid w:val="2E878845"/>
    <w:rsid w:val="2F55497A"/>
    <w:rsid w:val="2FA60AA3"/>
    <w:rsid w:val="2FBA291A"/>
    <w:rsid w:val="2FBB2874"/>
    <w:rsid w:val="2FD5C31E"/>
    <w:rsid w:val="302B7D7F"/>
    <w:rsid w:val="3057CCDB"/>
    <w:rsid w:val="30D5A495"/>
    <w:rsid w:val="3170C861"/>
    <w:rsid w:val="31D57E6A"/>
    <w:rsid w:val="329F8BE7"/>
    <w:rsid w:val="32B7FD1A"/>
    <w:rsid w:val="32C00CD3"/>
    <w:rsid w:val="3331FBFD"/>
    <w:rsid w:val="34A3A203"/>
    <w:rsid w:val="34BE117B"/>
    <w:rsid w:val="34C30384"/>
    <w:rsid w:val="34CE292B"/>
    <w:rsid w:val="34E4FA2C"/>
    <w:rsid w:val="35480FBE"/>
    <w:rsid w:val="359AE677"/>
    <w:rsid w:val="35ECB452"/>
    <w:rsid w:val="36B0222D"/>
    <w:rsid w:val="3705E22D"/>
    <w:rsid w:val="3715470A"/>
    <w:rsid w:val="37178260"/>
    <w:rsid w:val="37B9AE0B"/>
    <w:rsid w:val="38342CD2"/>
    <w:rsid w:val="38376207"/>
    <w:rsid w:val="384725CA"/>
    <w:rsid w:val="38EC90DF"/>
    <w:rsid w:val="3911DF08"/>
    <w:rsid w:val="3994BB07"/>
    <w:rsid w:val="39C69F7A"/>
    <w:rsid w:val="3A8A5042"/>
    <w:rsid w:val="3AA0B9D6"/>
    <w:rsid w:val="3AB47D81"/>
    <w:rsid w:val="3B3B941E"/>
    <w:rsid w:val="3B3D9EA4"/>
    <w:rsid w:val="3BE53E6D"/>
    <w:rsid w:val="3C28170D"/>
    <w:rsid w:val="3C306AA7"/>
    <w:rsid w:val="3C366189"/>
    <w:rsid w:val="3C4BE74F"/>
    <w:rsid w:val="3C78304A"/>
    <w:rsid w:val="3D267760"/>
    <w:rsid w:val="3D449833"/>
    <w:rsid w:val="3D8DB18D"/>
    <w:rsid w:val="3E4C9287"/>
    <w:rsid w:val="3E8AA633"/>
    <w:rsid w:val="3EF49F67"/>
    <w:rsid w:val="3F903BDB"/>
    <w:rsid w:val="3FA9985A"/>
    <w:rsid w:val="3FF36C74"/>
    <w:rsid w:val="40814FA3"/>
    <w:rsid w:val="40A2DF67"/>
    <w:rsid w:val="40EA17C2"/>
    <w:rsid w:val="41389C40"/>
    <w:rsid w:val="413AD5C7"/>
    <w:rsid w:val="41845EE9"/>
    <w:rsid w:val="41955E88"/>
    <w:rsid w:val="41AB3126"/>
    <w:rsid w:val="426CC8F0"/>
    <w:rsid w:val="43258BE3"/>
    <w:rsid w:val="434EB929"/>
    <w:rsid w:val="4368B455"/>
    <w:rsid w:val="43A3570D"/>
    <w:rsid w:val="43BB5717"/>
    <w:rsid w:val="43E6F7A1"/>
    <w:rsid w:val="43FD9DCD"/>
    <w:rsid w:val="4429424D"/>
    <w:rsid w:val="44CCA636"/>
    <w:rsid w:val="45261C7B"/>
    <w:rsid w:val="4570AFF5"/>
    <w:rsid w:val="4590112F"/>
    <w:rsid w:val="4591D7F9"/>
    <w:rsid w:val="462E993B"/>
    <w:rsid w:val="463BF0F2"/>
    <w:rsid w:val="465A69B4"/>
    <w:rsid w:val="4679D6F6"/>
    <w:rsid w:val="46946869"/>
    <w:rsid w:val="46A7E01F"/>
    <w:rsid w:val="46E82F22"/>
    <w:rsid w:val="46ECB4CE"/>
    <w:rsid w:val="46F1E9C6"/>
    <w:rsid w:val="46F72F4D"/>
    <w:rsid w:val="477915C1"/>
    <w:rsid w:val="47F8EE27"/>
    <w:rsid w:val="4813C0F4"/>
    <w:rsid w:val="485E2CFB"/>
    <w:rsid w:val="487916EC"/>
    <w:rsid w:val="48AA87D9"/>
    <w:rsid w:val="492CC98C"/>
    <w:rsid w:val="49F2FD18"/>
    <w:rsid w:val="49F4E9CE"/>
    <w:rsid w:val="4A5FAB40"/>
    <w:rsid w:val="4ABEF78B"/>
    <w:rsid w:val="4B03C2A8"/>
    <w:rsid w:val="4B0A871E"/>
    <w:rsid w:val="4B1CF8BC"/>
    <w:rsid w:val="4BA7B989"/>
    <w:rsid w:val="4C09EEBC"/>
    <w:rsid w:val="4C788E4E"/>
    <w:rsid w:val="4CFFF22F"/>
    <w:rsid w:val="4D36273F"/>
    <w:rsid w:val="4D3FE27E"/>
    <w:rsid w:val="4D9558F8"/>
    <w:rsid w:val="4DE88436"/>
    <w:rsid w:val="4E07E8BD"/>
    <w:rsid w:val="4E28C97B"/>
    <w:rsid w:val="4E392B6E"/>
    <w:rsid w:val="4E49CFE2"/>
    <w:rsid w:val="4E57964E"/>
    <w:rsid w:val="4E61203A"/>
    <w:rsid w:val="4E6B34B6"/>
    <w:rsid w:val="4E78107C"/>
    <w:rsid w:val="4E85C36B"/>
    <w:rsid w:val="4EAD58D6"/>
    <w:rsid w:val="4EAE5FB4"/>
    <w:rsid w:val="4EB2EBC5"/>
    <w:rsid w:val="4EF4EC80"/>
    <w:rsid w:val="4F5D0E7A"/>
    <w:rsid w:val="4FBFEEE5"/>
    <w:rsid w:val="4FD16F5A"/>
    <w:rsid w:val="50DD88C8"/>
    <w:rsid w:val="50FD4C4F"/>
    <w:rsid w:val="51C4DC20"/>
    <w:rsid w:val="51D1FAC8"/>
    <w:rsid w:val="5289E1E7"/>
    <w:rsid w:val="52E12CC7"/>
    <w:rsid w:val="536F151B"/>
    <w:rsid w:val="5387DC51"/>
    <w:rsid w:val="539AAF62"/>
    <w:rsid w:val="53FC1252"/>
    <w:rsid w:val="541FCBDB"/>
    <w:rsid w:val="544E2B8C"/>
    <w:rsid w:val="54E71E45"/>
    <w:rsid w:val="5515F38D"/>
    <w:rsid w:val="55C1D2B9"/>
    <w:rsid w:val="561BFE45"/>
    <w:rsid w:val="563611F3"/>
    <w:rsid w:val="5678B48C"/>
    <w:rsid w:val="56A35BEA"/>
    <w:rsid w:val="56A4D8EC"/>
    <w:rsid w:val="57045DCF"/>
    <w:rsid w:val="5719457D"/>
    <w:rsid w:val="5735D975"/>
    <w:rsid w:val="573BA1E6"/>
    <w:rsid w:val="5794366A"/>
    <w:rsid w:val="579E39B1"/>
    <w:rsid w:val="57E9B9C6"/>
    <w:rsid w:val="581D2082"/>
    <w:rsid w:val="58E088EF"/>
    <w:rsid w:val="590D8C71"/>
    <w:rsid w:val="59245649"/>
    <w:rsid w:val="592A5455"/>
    <w:rsid w:val="598E8E78"/>
    <w:rsid w:val="59CD5B36"/>
    <w:rsid w:val="59FEDB46"/>
    <w:rsid w:val="5A14802B"/>
    <w:rsid w:val="5A480003"/>
    <w:rsid w:val="5A740515"/>
    <w:rsid w:val="5A92CD64"/>
    <w:rsid w:val="5B00313E"/>
    <w:rsid w:val="5B8800F3"/>
    <w:rsid w:val="5C69F568"/>
    <w:rsid w:val="5CBF87D2"/>
    <w:rsid w:val="5CD5595E"/>
    <w:rsid w:val="5D4D6EE6"/>
    <w:rsid w:val="5D75DEEF"/>
    <w:rsid w:val="5D9E95CC"/>
    <w:rsid w:val="5DC95B38"/>
    <w:rsid w:val="5E02D602"/>
    <w:rsid w:val="5E80DAE5"/>
    <w:rsid w:val="5E8643E1"/>
    <w:rsid w:val="5F098FF8"/>
    <w:rsid w:val="5F222678"/>
    <w:rsid w:val="5FA32F6A"/>
    <w:rsid w:val="5FE58A62"/>
    <w:rsid w:val="5FE9CE50"/>
    <w:rsid w:val="6007EDB0"/>
    <w:rsid w:val="604641C7"/>
    <w:rsid w:val="607585FF"/>
    <w:rsid w:val="60E9F044"/>
    <w:rsid w:val="61271495"/>
    <w:rsid w:val="61713083"/>
    <w:rsid w:val="618E3974"/>
    <w:rsid w:val="61C45EF3"/>
    <w:rsid w:val="6258ED7C"/>
    <w:rsid w:val="62D7B325"/>
    <w:rsid w:val="6317D0BD"/>
    <w:rsid w:val="636BED9D"/>
    <w:rsid w:val="63B80AD3"/>
    <w:rsid w:val="642FB2FA"/>
    <w:rsid w:val="64645C55"/>
    <w:rsid w:val="6499D9A3"/>
    <w:rsid w:val="64DD5B07"/>
    <w:rsid w:val="6573A02D"/>
    <w:rsid w:val="659DC706"/>
    <w:rsid w:val="65CB0153"/>
    <w:rsid w:val="668D8C9B"/>
    <w:rsid w:val="66E48B47"/>
    <w:rsid w:val="672C1CD2"/>
    <w:rsid w:val="673FA51C"/>
    <w:rsid w:val="678159E5"/>
    <w:rsid w:val="67F25C93"/>
    <w:rsid w:val="685DA632"/>
    <w:rsid w:val="68B345BE"/>
    <w:rsid w:val="6953036A"/>
    <w:rsid w:val="6969BCD4"/>
    <w:rsid w:val="69EB898D"/>
    <w:rsid w:val="6A28E1AA"/>
    <w:rsid w:val="6A9EF939"/>
    <w:rsid w:val="6AACA05D"/>
    <w:rsid w:val="6B029E81"/>
    <w:rsid w:val="6B4D6E4E"/>
    <w:rsid w:val="6B6348E2"/>
    <w:rsid w:val="6B8C106E"/>
    <w:rsid w:val="6BB681C7"/>
    <w:rsid w:val="6C2F0916"/>
    <w:rsid w:val="6C43ADDF"/>
    <w:rsid w:val="6CAE1F2F"/>
    <w:rsid w:val="6CD8BA75"/>
    <w:rsid w:val="6CDBFE3E"/>
    <w:rsid w:val="6D308A48"/>
    <w:rsid w:val="6DB22620"/>
    <w:rsid w:val="6DDFE085"/>
    <w:rsid w:val="6E315FAE"/>
    <w:rsid w:val="6EC152E5"/>
    <w:rsid w:val="6F235710"/>
    <w:rsid w:val="6F7EA98D"/>
    <w:rsid w:val="6FCE0225"/>
    <w:rsid w:val="713D6A3E"/>
    <w:rsid w:val="71854AD0"/>
    <w:rsid w:val="718DFFAF"/>
    <w:rsid w:val="71B9D588"/>
    <w:rsid w:val="71DE3712"/>
    <w:rsid w:val="7266DAD6"/>
    <w:rsid w:val="72ACF0F6"/>
    <w:rsid w:val="734DBE69"/>
    <w:rsid w:val="735EA398"/>
    <w:rsid w:val="7369C5A8"/>
    <w:rsid w:val="73C11606"/>
    <w:rsid w:val="73CF0C3B"/>
    <w:rsid w:val="73E9B14C"/>
    <w:rsid w:val="74203F8B"/>
    <w:rsid w:val="74DD47C0"/>
    <w:rsid w:val="75415CA3"/>
    <w:rsid w:val="758D0E82"/>
    <w:rsid w:val="75921903"/>
    <w:rsid w:val="7595881E"/>
    <w:rsid w:val="75F9F4B9"/>
    <w:rsid w:val="76370CC5"/>
    <w:rsid w:val="763DA459"/>
    <w:rsid w:val="76FBCF99"/>
    <w:rsid w:val="770A5C65"/>
    <w:rsid w:val="77A9CA5D"/>
    <w:rsid w:val="77C7B9DF"/>
    <w:rsid w:val="780DC231"/>
    <w:rsid w:val="78311BBC"/>
    <w:rsid w:val="78621D84"/>
    <w:rsid w:val="78659953"/>
    <w:rsid w:val="788D6EC1"/>
    <w:rsid w:val="790462B7"/>
    <w:rsid w:val="79E35A0B"/>
    <w:rsid w:val="79E594E0"/>
    <w:rsid w:val="7A224AAF"/>
    <w:rsid w:val="7A91DF52"/>
    <w:rsid w:val="7AEC6ADD"/>
    <w:rsid w:val="7B8F59AD"/>
    <w:rsid w:val="7BA3E533"/>
    <w:rsid w:val="7BE13E05"/>
    <w:rsid w:val="7C82C09A"/>
    <w:rsid w:val="7CDAE24F"/>
    <w:rsid w:val="7D479D08"/>
    <w:rsid w:val="7D73D4D7"/>
    <w:rsid w:val="7D845AAA"/>
    <w:rsid w:val="7D8D049E"/>
    <w:rsid w:val="7DB0E4DA"/>
    <w:rsid w:val="7E6D1C6D"/>
    <w:rsid w:val="7EB0DA80"/>
    <w:rsid w:val="7EB1BACA"/>
    <w:rsid w:val="7EDBDA32"/>
    <w:rsid w:val="7EFE1471"/>
    <w:rsid w:val="7FDB5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C0E3"/>
  <w15:chartTrackingRefBased/>
  <w15:docId w15:val="{4A418BED-23F5-4621-B1E8-521AD02CB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5A740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A740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5A740515"/>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A740515"/>
    <w:pPr>
      <w:ind w:left="720"/>
      <w:contextualSpacing/>
    </w:pPr>
  </w:style>
  <w:style w:type="character" w:styleId="Hyperlink">
    <w:name w:val="Hyperlink"/>
    <w:basedOn w:val="DefaultParagraphFont"/>
    <w:uiPriority w:val="99"/>
    <w:unhideWhenUsed/>
    <w:rsid w:val="5A740515"/>
    <w:rPr>
      <w:color w:val="467886"/>
      <w:u w:val="single"/>
    </w:rPr>
  </w:style>
  <w:style w:type="paragraph" w:styleId="TOC3">
    <w:name w:val="toc 3"/>
    <w:basedOn w:val="Normal"/>
    <w:next w:val="Normal"/>
    <w:uiPriority w:val="39"/>
    <w:unhideWhenUsed/>
    <w:rsid w:val="5A740515"/>
    <w:pPr>
      <w:spacing w:after="100"/>
      <w:ind w:left="440"/>
    </w:pPr>
  </w:style>
  <w:style w:type="paragraph" w:styleId="TOC4">
    <w:name w:val="toc 4"/>
    <w:basedOn w:val="Normal"/>
    <w:next w:val="Normal"/>
    <w:uiPriority w:val="39"/>
    <w:unhideWhenUsed/>
    <w:rsid w:val="5A740515"/>
    <w:pPr>
      <w:spacing w:after="100"/>
      <w:ind w:left="66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uiPriority w:val="39"/>
    <w:unhideWhenUsed/>
    <w:rsid w:val="4590112F"/>
    <w:pPr>
      <w:spacing w:after="100"/>
      <w:ind w:left="220"/>
    </w:pPr>
  </w:style>
  <w:style w:type="paragraph" w:styleId="Header">
    <w:name w:val="header"/>
    <w:basedOn w:val="Normal"/>
    <w:uiPriority w:val="99"/>
    <w:unhideWhenUsed/>
    <w:rsid w:val="24965EC0"/>
    <w:pPr>
      <w:tabs>
        <w:tab w:val="center" w:pos="4680"/>
        <w:tab w:val="right" w:pos="9360"/>
      </w:tabs>
      <w:spacing w:after="0" w:line="240" w:lineRule="auto"/>
    </w:pPr>
  </w:style>
  <w:style w:type="paragraph" w:styleId="Footer">
    <w:name w:val="footer"/>
    <w:basedOn w:val="Normal"/>
    <w:uiPriority w:val="99"/>
    <w:unhideWhenUsed/>
    <w:rsid w:val="24965EC0"/>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07/s11747-016-0495-4" TargetMode="External"/><Relationship Id="rId18" Type="http://schemas.openxmlformats.org/officeDocument/2006/relationships/hyperlink" Target="https://theses.lib.polyu.edu.hk/handle/200/1347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ihgplc.com/en/investors/annual-report" TargetMode="External"/><Relationship Id="rId17" Type="http://schemas.openxmlformats.org/officeDocument/2006/relationships/hyperlink" Target="https://www.linkedin.com/pulse/2026-hospitality-outlook-year-segmentation-2l5lc" TargetMode="External"/><Relationship Id="rId2" Type="http://schemas.openxmlformats.org/officeDocument/2006/relationships/styles" Target="styles.xml"/><Relationship Id="rId16" Type="http://schemas.openxmlformats.org/officeDocument/2006/relationships/hyperlink" Target="https://doi.org/10.1016/j.tmp.2022.10096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egate.co.uk/announcement/rns/intercontinental-hotels-group--ihg/statement-re-shareholder-engagement-and-outcome/9066286" TargetMode="External"/><Relationship Id="rId5" Type="http://schemas.openxmlformats.org/officeDocument/2006/relationships/footnotes" Target="footnotes.xml"/><Relationship Id="rId15" Type="http://schemas.openxmlformats.org/officeDocument/2006/relationships/hyperlink" Target="https://visme.co/blog/stakeholder-engagement-plan/" TargetMode="External"/><Relationship Id="rId10" Type="http://schemas.openxmlformats.org/officeDocument/2006/relationships/hyperlink" Target="https://gdpr-info.e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80/09669582.2018.1488856" TargetMode="External"/><Relationship Id="rId14" Type="http://schemas.openxmlformats.org/officeDocument/2006/relationships/hyperlink" Target="https://www.storyinc.co.nz/blog/the-4-cs-connection-consultation-collaboration-amp-co-cre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5489</Words>
  <Characters>31290</Characters>
  <Application>Microsoft Office Word</Application>
  <DocSecurity>0</DocSecurity>
  <Lines>260</Lines>
  <Paragraphs>73</Paragraphs>
  <ScaleCrop>false</ScaleCrop>
  <Company/>
  <LinksUpToDate>false</LinksUpToDate>
  <CharactersWithSpaces>36706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Amisculesei (2411946)</dc:creator>
  <cp:keywords/>
  <dc:description/>
  <cp:lastModifiedBy>Mihaela Amisculesei</cp:lastModifiedBy>
  <cp:revision>14</cp:revision>
  <dcterms:created xsi:type="dcterms:W3CDTF">2026-03-07T11:37:00Z</dcterms:created>
  <dcterms:modified xsi:type="dcterms:W3CDTF">2026-03-17T20:59:00Z</dcterms:modified>
</cp:coreProperties>
</file>