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spacing w:line="240" w:lineRule="auto"/>
        <w:rPr>
          <w:sz w:val="28"/>
          <w:szCs w:val="28"/>
        </w:rPr>
      </w:pPr>
      <w:r w:rsidDel="00000000" w:rsidR="00000000" w:rsidRPr="00000000">
        <w:rPr>
          <w:sz w:val="28"/>
          <w:szCs w:val="28"/>
          <w:rtl w:val="0"/>
        </w:rPr>
        <w:t xml:space="preserve">Student Name: Cristina Marin</w:t>
      </w:r>
    </w:p>
    <w:p w:rsidR="00000000" w:rsidDel="00000000" w:rsidP="00000000" w:rsidRDefault="00000000" w:rsidRPr="00000000" w14:paraId="00000002">
      <w:pPr>
        <w:widowControl w:val="0"/>
        <w:spacing w:before="200" w:line="240" w:lineRule="auto"/>
        <w:rPr>
          <w:sz w:val="28"/>
          <w:szCs w:val="28"/>
        </w:rPr>
      </w:pPr>
      <w:r w:rsidDel="00000000" w:rsidR="00000000" w:rsidRPr="00000000">
        <w:rPr>
          <w:sz w:val="28"/>
          <w:szCs w:val="28"/>
          <w:rtl w:val="0"/>
        </w:rPr>
        <w:t xml:space="preserve">Student Id: 2213202</w:t>
      </w:r>
    </w:p>
    <w:p w:rsidR="00000000" w:rsidDel="00000000" w:rsidP="00000000" w:rsidRDefault="00000000" w:rsidRPr="00000000" w14:paraId="00000003">
      <w:pPr>
        <w:widowControl w:val="0"/>
        <w:spacing w:before="200" w:line="240" w:lineRule="auto"/>
        <w:rPr>
          <w:sz w:val="28"/>
          <w:szCs w:val="28"/>
        </w:rPr>
      </w:pPr>
      <w:r w:rsidDel="00000000" w:rsidR="00000000" w:rsidRPr="00000000">
        <w:rPr>
          <w:sz w:val="28"/>
          <w:szCs w:val="28"/>
          <w:rtl w:val="0"/>
        </w:rPr>
        <w:t xml:space="preserve">Module: LCBB5004_BIRM</w:t>
      </w:r>
    </w:p>
    <w:p w:rsidR="00000000" w:rsidDel="00000000" w:rsidP="00000000" w:rsidRDefault="00000000" w:rsidRPr="00000000" w14:paraId="00000004">
      <w:pPr>
        <w:widowControl w:val="0"/>
        <w:spacing w:before="200" w:line="240" w:lineRule="auto"/>
        <w:rPr>
          <w:sz w:val="40"/>
          <w:szCs w:val="40"/>
        </w:rPr>
      </w:pPr>
      <w:r w:rsidDel="00000000" w:rsidR="00000000" w:rsidRPr="00000000">
        <w:rPr>
          <w:sz w:val="28"/>
          <w:szCs w:val="28"/>
          <w:rtl w:val="0"/>
        </w:rPr>
        <w:t xml:space="preserve">Lecturer: </w:t>
      </w:r>
      <w:r w:rsidDel="00000000" w:rsidR="00000000" w:rsidRPr="00000000">
        <w:rPr>
          <w:sz w:val="28"/>
          <w:szCs w:val="28"/>
          <w:highlight w:val="white"/>
          <w:rtl w:val="0"/>
        </w:rPr>
        <w:t xml:space="preserve">Dr Dennis Pepple</w:t>
      </w:r>
      <w:r w:rsidDel="00000000" w:rsidR="00000000" w:rsidRPr="00000000">
        <w:rPr>
          <w:sz w:val="40"/>
          <w:szCs w:val="40"/>
          <w:rtl w:val="0"/>
        </w:rPr>
        <w:br w:type="textWrapping"/>
      </w:r>
    </w:p>
    <w:p w:rsidR="00000000" w:rsidDel="00000000" w:rsidP="00000000" w:rsidRDefault="00000000" w:rsidRPr="00000000" w14:paraId="00000005">
      <w:pPr>
        <w:widowControl w:val="0"/>
        <w:spacing w:before="200" w:line="240" w:lineRule="auto"/>
        <w:rPr>
          <w:sz w:val="40"/>
          <w:szCs w:val="40"/>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6">
          <w:pPr>
            <w:widowControl w:val="0"/>
            <w:tabs>
              <w:tab w:val="right" w:leader="dot" w:pos="12000"/>
            </w:tabs>
            <w:spacing w:before="60" w:line="24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4cr96leovd6r">
            <w:r w:rsidDel="00000000" w:rsidR="00000000" w:rsidRPr="00000000">
              <w:rPr>
                <w:b w:val="1"/>
                <w:color w:val="000000"/>
                <w:u w:val="none"/>
                <w:rtl w:val="0"/>
              </w:rPr>
              <w:t xml:space="preserve">Introduction</w:t>
              <w:tab/>
              <w:t xml:space="preserve">1</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rPr>
              <w:b w:val="1"/>
              <w:color w:val="000000"/>
              <w:u w:val="none"/>
            </w:rPr>
          </w:pPr>
          <w:hyperlink w:anchor="_u8qwwhhq39t7">
            <w:r w:rsidDel="00000000" w:rsidR="00000000" w:rsidRPr="00000000">
              <w:rPr>
                <w:b w:val="1"/>
                <w:color w:val="000000"/>
                <w:u w:val="none"/>
                <w:rtl w:val="0"/>
              </w:rPr>
              <w:t xml:space="preserve">Benefit of Implementing Flexible Working</w:t>
              <w:tab/>
              <w:t xml:space="preserve">2</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rPr>
              <w:b w:val="1"/>
              <w:color w:val="000000"/>
              <w:u w:val="none"/>
            </w:rPr>
          </w:pPr>
          <w:hyperlink w:anchor="_y9n9s1q1dyuc">
            <w:r w:rsidDel="00000000" w:rsidR="00000000" w:rsidRPr="00000000">
              <w:rPr>
                <w:b w:val="1"/>
                <w:color w:val="000000"/>
                <w:u w:val="none"/>
                <w:rtl w:val="0"/>
              </w:rPr>
              <w:t xml:space="preserve">Considerations For Flexible Working</w:t>
              <w:tab/>
              <w:t xml:space="preserve">2</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ind w:left="360" w:firstLine="0"/>
            <w:rPr>
              <w:color w:val="000000"/>
              <w:u w:val="none"/>
            </w:rPr>
          </w:pPr>
          <w:hyperlink w:anchor="_vcnppgr3wbi1">
            <w:r w:rsidDel="00000000" w:rsidR="00000000" w:rsidRPr="00000000">
              <w:rPr>
                <w:color w:val="000000"/>
                <w:u w:val="none"/>
                <w:rtl w:val="0"/>
              </w:rPr>
              <w:t xml:space="preserve">Employee Needs and Expectations</w:t>
              <w:tab/>
              <w:t xml:space="preserve">3</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40" w:lineRule="auto"/>
            <w:ind w:left="360" w:firstLine="0"/>
            <w:rPr>
              <w:color w:val="000000"/>
              <w:u w:val="none"/>
            </w:rPr>
          </w:pPr>
          <w:hyperlink w:anchor="_1szkbl2ig791">
            <w:r w:rsidDel="00000000" w:rsidR="00000000" w:rsidRPr="00000000">
              <w:rPr>
                <w:color w:val="000000"/>
                <w:u w:val="none"/>
                <w:rtl w:val="0"/>
              </w:rPr>
              <w:t xml:space="preserve">Technology and Infrastructure</w:t>
              <w:tab/>
              <w:t xml:space="preserve">3</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40" w:lineRule="auto"/>
            <w:ind w:left="360" w:firstLine="0"/>
            <w:rPr>
              <w:color w:val="000000"/>
              <w:u w:val="none"/>
            </w:rPr>
          </w:pPr>
          <w:hyperlink w:anchor="_uqyxxod8u947">
            <w:r w:rsidDel="00000000" w:rsidR="00000000" w:rsidRPr="00000000">
              <w:rPr>
                <w:color w:val="000000"/>
                <w:u w:val="none"/>
                <w:rtl w:val="0"/>
              </w:rPr>
              <w:t xml:space="preserve">Policy Development and Legal Compliance</w:t>
              <w:tab/>
              <w:t xml:space="preserve">3</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before="60" w:line="240" w:lineRule="auto"/>
            <w:ind w:left="360" w:firstLine="0"/>
            <w:rPr>
              <w:color w:val="000000"/>
              <w:u w:val="none"/>
            </w:rPr>
          </w:pPr>
          <w:hyperlink w:anchor="_iau6q7r51fn0">
            <w:r w:rsidDel="00000000" w:rsidR="00000000" w:rsidRPr="00000000">
              <w:rPr>
                <w:color w:val="000000"/>
                <w:u w:val="none"/>
                <w:rtl w:val="0"/>
              </w:rPr>
              <w:t xml:space="preserve">Managing Performance and Productivity</w:t>
              <w:tab/>
              <w:t xml:space="preserve">3</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before="60" w:line="240" w:lineRule="auto"/>
            <w:ind w:left="360" w:firstLine="0"/>
            <w:rPr>
              <w:color w:val="000000"/>
              <w:u w:val="none"/>
            </w:rPr>
          </w:pPr>
          <w:hyperlink w:anchor="_yxa1itspb5wq">
            <w:r w:rsidDel="00000000" w:rsidR="00000000" w:rsidRPr="00000000">
              <w:rPr>
                <w:color w:val="000000"/>
                <w:u w:val="none"/>
                <w:rtl w:val="0"/>
              </w:rPr>
              <w:t xml:space="preserve">Communication and Culture</w:t>
              <w:tab/>
              <w:t xml:space="preserve">4</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240" w:lineRule="auto"/>
            <w:ind w:left="360" w:firstLine="0"/>
            <w:rPr>
              <w:color w:val="000000"/>
              <w:u w:val="none"/>
            </w:rPr>
          </w:pPr>
          <w:hyperlink w:anchor="_q5m5mfq6f98t">
            <w:r w:rsidDel="00000000" w:rsidR="00000000" w:rsidRPr="00000000">
              <w:rPr>
                <w:color w:val="000000"/>
                <w:u w:val="none"/>
                <w:rtl w:val="0"/>
              </w:rPr>
              <w:t xml:space="preserve">Trial Period and Feedback</w:t>
              <w:tab/>
              <w:t xml:space="preserve">4</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240" w:lineRule="auto"/>
            <w:rPr>
              <w:b w:val="1"/>
              <w:color w:val="000000"/>
              <w:u w:val="none"/>
            </w:rPr>
          </w:pPr>
          <w:hyperlink w:anchor="_7r00wdkk5n17">
            <w:r w:rsidDel="00000000" w:rsidR="00000000" w:rsidRPr="00000000">
              <w:rPr>
                <w:b w:val="1"/>
                <w:color w:val="000000"/>
                <w:u w:val="none"/>
                <w:rtl w:val="0"/>
              </w:rPr>
              <w:t xml:space="preserve">Pay Structure</w:t>
              <w:tab/>
              <w:t xml:space="preserve">4</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before="60" w:line="240" w:lineRule="auto"/>
            <w:rPr>
              <w:b w:val="1"/>
              <w:color w:val="000000"/>
              <w:u w:val="none"/>
            </w:rPr>
          </w:pPr>
          <w:hyperlink w:anchor="_hjpiqnh1sjx0">
            <w:r w:rsidDel="00000000" w:rsidR="00000000" w:rsidRPr="00000000">
              <w:rPr>
                <w:b w:val="1"/>
                <w:color w:val="000000"/>
                <w:u w:val="none"/>
                <w:rtl w:val="0"/>
              </w:rPr>
              <w:t xml:space="preserve">Strategies for Promoting Employee Engagement</w:t>
              <w:tab/>
              <w:t xml:space="preserve">5</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240" w:lineRule="auto"/>
            <w:ind w:left="360" w:firstLine="0"/>
            <w:rPr>
              <w:color w:val="000000"/>
              <w:u w:val="none"/>
            </w:rPr>
          </w:pPr>
          <w:hyperlink w:anchor="_p0k2gbzavzik">
            <w:r w:rsidDel="00000000" w:rsidR="00000000" w:rsidRPr="00000000">
              <w:rPr>
                <w:color w:val="000000"/>
                <w:u w:val="none"/>
                <w:rtl w:val="0"/>
              </w:rPr>
              <w:t xml:space="preserve">Effective Communication</w:t>
              <w:tab/>
              <w:t xml:space="preserve">5</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before="60" w:line="240" w:lineRule="auto"/>
            <w:ind w:left="360" w:firstLine="0"/>
            <w:rPr>
              <w:color w:val="000000"/>
              <w:u w:val="none"/>
            </w:rPr>
          </w:pPr>
          <w:hyperlink w:anchor="_z5tv6jxo1r30">
            <w:r w:rsidDel="00000000" w:rsidR="00000000" w:rsidRPr="00000000">
              <w:rPr>
                <w:color w:val="000000"/>
                <w:u w:val="none"/>
                <w:rtl w:val="0"/>
              </w:rPr>
              <w:t xml:space="preserve">Recognition and Feedback:</w:t>
              <w:tab/>
              <w:t xml:space="preserve">5</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240" w:lineRule="auto"/>
            <w:ind w:left="360" w:firstLine="0"/>
            <w:rPr>
              <w:color w:val="000000"/>
              <w:u w:val="none"/>
            </w:rPr>
          </w:pPr>
          <w:hyperlink w:anchor="_2gn1q5ufcfv1">
            <w:r w:rsidDel="00000000" w:rsidR="00000000" w:rsidRPr="00000000">
              <w:rPr>
                <w:color w:val="000000"/>
                <w:u w:val="none"/>
                <w:rtl w:val="0"/>
              </w:rPr>
              <w:t xml:space="preserve">Professional Development Opportunities:</w:t>
              <w:tab/>
              <w:t xml:space="preserve">6</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before="60" w:line="240" w:lineRule="auto"/>
            <w:ind w:left="360" w:firstLine="0"/>
            <w:rPr>
              <w:color w:val="000000"/>
              <w:u w:val="none"/>
            </w:rPr>
          </w:pPr>
          <w:hyperlink w:anchor="_xwpfn2yb9zcd">
            <w:r w:rsidDel="00000000" w:rsidR="00000000" w:rsidRPr="00000000">
              <w:rPr>
                <w:color w:val="000000"/>
                <w:u w:val="none"/>
                <w:rtl w:val="0"/>
              </w:rPr>
              <w:t xml:space="preserve">Support Systems and Resources:</w:t>
              <w:tab/>
              <w:t xml:space="preserve">6</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before="60" w:line="240" w:lineRule="auto"/>
            <w:ind w:left="360" w:firstLine="0"/>
            <w:rPr>
              <w:color w:val="000000"/>
              <w:u w:val="none"/>
            </w:rPr>
          </w:pPr>
          <w:hyperlink w:anchor="_jtjkit8iz8ef">
            <w:r w:rsidDel="00000000" w:rsidR="00000000" w:rsidRPr="00000000">
              <w:rPr>
                <w:color w:val="000000"/>
                <w:u w:val="none"/>
                <w:rtl w:val="0"/>
              </w:rPr>
              <w:t xml:space="preserve">Inclusion and Equity:</w:t>
              <w:tab/>
              <w:t xml:space="preserve">6</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before="60" w:line="240" w:lineRule="auto"/>
            <w:ind w:left="360" w:firstLine="0"/>
            <w:rPr>
              <w:color w:val="000000"/>
              <w:u w:val="none"/>
            </w:rPr>
          </w:pPr>
          <w:hyperlink w:anchor="_lyln243j1m53">
            <w:r w:rsidDel="00000000" w:rsidR="00000000" w:rsidRPr="00000000">
              <w:rPr>
                <w:color w:val="000000"/>
                <w:u w:val="none"/>
                <w:rtl w:val="0"/>
              </w:rPr>
              <w:t xml:space="preserve">Feedback Loop</w:t>
              <w:tab/>
              <w:t xml:space="preserve">6</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240" w:lineRule="auto"/>
            <w:rPr>
              <w:b w:val="1"/>
              <w:color w:val="000000"/>
              <w:u w:val="none"/>
            </w:rPr>
          </w:pPr>
          <w:hyperlink w:anchor="_7s6q911x7zwc">
            <w:r w:rsidDel="00000000" w:rsidR="00000000" w:rsidRPr="00000000">
              <w:rPr>
                <w:b w:val="1"/>
                <w:color w:val="000000"/>
                <w:u w:val="none"/>
                <w:rtl w:val="0"/>
              </w:rPr>
              <w:t xml:space="preserve">Conclusion</w:t>
              <w:tab/>
              <w:t xml:space="preserve">6</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before="60" w:line="240" w:lineRule="auto"/>
            <w:rPr>
              <w:b w:val="1"/>
              <w:color w:val="000000"/>
              <w:u w:val="none"/>
            </w:rPr>
          </w:pPr>
          <w:hyperlink w:anchor="_re3plbiglt8l">
            <w:r w:rsidDel="00000000" w:rsidR="00000000" w:rsidRPr="00000000">
              <w:rPr>
                <w:b w:val="1"/>
                <w:color w:val="000000"/>
                <w:u w:val="none"/>
                <w:rtl w:val="0"/>
              </w:rPr>
              <w:t xml:space="preserve">Reference List</w:t>
              <w:tab/>
              <w:t xml:space="preserve">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pStyle w:val="Heading2"/>
        <w:rPr/>
      </w:pPr>
      <w:bookmarkStart w:colFirst="0" w:colLast="0" w:name="_npctdmcm7my4" w:id="0"/>
      <w:bookmarkEnd w:id="0"/>
      <w:r w:rsidDel="00000000" w:rsidR="00000000" w:rsidRPr="00000000">
        <w:rPr>
          <w:rtl w:val="0"/>
        </w:rPr>
      </w:r>
    </w:p>
    <w:p w:rsidR="00000000" w:rsidDel="00000000" w:rsidP="00000000" w:rsidRDefault="00000000" w:rsidRPr="00000000" w14:paraId="0000001A">
      <w:pPr>
        <w:pStyle w:val="Heading2"/>
        <w:rPr/>
      </w:pPr>
      <w:bookmarkStart w:colFirst="0" w:colLast="0" w:name="_4cr96leovd6r" w:id="1"/>
      <w:bookmarkEnd w:id="1"/>
      <w:r w:rsidDel="00000000" w:rsidR="00000000" w:rsidRPr="00000000">
        <w:rPr>
          <w:rtl w:val="0"/>
        </w:rPr>
        <w:t xml:space="preserve">Introduction</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In the wake of the global pandemic, the landscape of the workplace has experienced transformative changes, utilising new flexible working models emerging as new norms across various industries. This report aims to provide a comprehensive overview of the benefits and considerations associated with the implementation of flexible working strategies. It will specifically focus on their impact on the organisation, the role of the Human Resources (HR) department in this transition, the implications for pay structure, and strategies to maintain employee engagement during this significant shift.</w:t>
      </w:r>
    </w:p>
    <w:p w:rsidR="00000000" w:rsidDel="00000000" w:rsidP="00000000" w:rsidRDefault="00000000" w:rsidRPr="00000000" w14:paraId="0000001D">
      <w:pPr>
        <w:rPr>
          <w:rFonts w:ascii="Roboto" w:cs="Roboto" w:eastAsia="Roboto" w:hAnsi="Roboto"/>
          <w:color w:val="0f0f0f"/>
          <w:sz w:val="24"/>
          <w:szCs w:val="24"/>
        </w:rPr>
      </w:pPr>
      <w:r w:rsidDel="00000000" w:rsidR="00000000" w:rsidRPr="00000000">
        <w:rPr>
          <w:rtl w:val="0"/>
        </w:rPr>
      </w:r>
    </w:p>
    <w:p w:rsidR="00000000" w:rsidDel="00000000" w:rsidP="00000000" w:rsidRDefault="00000000" w:rsidRPr="00000000" w14:paraId="0000001E">
      <w:pPr>
        <w:pStyle w:val="Heading2"/>
        <w:rPr/>
      </w:pPr>
      <w:bookmarkStart w:colFirst="0" w:colLast="0" w:name="_u8qwwhhq39t7" w:id="2"/>
      <w:bookmarkEnd w:id="2"/>
      <w:r w:rsidDel="00000000" w:rsidR="00000000" w:rsidRPr="00000000">
        <w:rPr>
          <w:rtl w:val="0"/>
        </w:rPr>
        <w:t xml:space="preserve">Benefit of Implementing Flexible Working </w:t>
      </w:r>
      <w:r w:rsidDel="00000000" w:rsidR="00000000" w:rsidRPr="00000000">
        <w:rPr>
          <w:rtl w:val="0"/>
        </w:rPr>
      </w:r>
    </w:p>
    <w:p w:rsidR="00000000" w:rsidDel="00000000" w:rsidP="00000000" w:rsidRDefault="00000000" w:rsidRPr="00000000" w14:paraId="0000001F">
      <w:pPr>
        <w:rPr>
          <w:rFonts w:ascii="Roboto" w:cs="Roboto" w:eastAsia="Roboto" w:hAnsi="Roboto"/>
          <w:color w:val="0f0f0f"/>
          <w:sz w:val="24"/>
          <w:szCs w:val="24"/>
        </w:rPr>
      </w:pPr>
      <w:r w:rsidDel="00000000" w:rsidR="00000000" w:rsidRPr="00000000">
        <w:rPr>
          <w:rtl w:val="0"/>
        </w:rPr>
      </w:r>
    </w:p>
    <w:p w:rsidR="00000000" w:rsidDel="00000000" w:rsidP="00000000" w:rsidRDefault="00000000" w:rsidRPr="00000000" w14:paraId="00000020">
      <w:pPr>
        <w:pBdr>
          <w:top w:color="d9d9e3" w:space="0" w:sz="0" w:val="none"/>
          <w:left w:color="d9d9e3" w:space="0" w:sz="0" w:val="none"/>
          <w:bottom w:color="d9d9e3" w:space="0" w:sz="0" w:val="none"/>
          <w:right w:color="d9d9e3" w:space="0" w:sz="0" w:val="none"/>
          <w:between w:color="d9d9e3" w:space="0" w:sz="0" w:val="none"/>
        </w:pBdr>
        <w:spacing w:after="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Implementing flexible working strategies in an organisation offers a multitude of benefits, impacting both employees and employers positively.</w:t>
      </w:r>
    </w:p>
    <w:p w:rsidR="00000000" w:rsidDel="00000000" w:rsidP="00000000" w:rsidRDefault="00000000" w:rsidRPr="00000000" w14:paraId="00000021">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According to a study by the International Workplace Group (IWG), flexible working not only reduces commuting time but also enhances productivity, with 85% of businesses confirming an increase in productivity due to greater flexibility (IWG, 2019). This is primarily because employees are able to work in environments where they feel most comfortable and effective, whether at home or in a shared workspace.</w:t>
      </w:r>
    </w:p>
    <w:p w:rsidR="00000000" w:rsidDel="00000000" w:rsidP="00000000" w:rsidRDefault="00000000" w:rsidRPr="00000000" w14:paraId="00000022">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Based on research conducted by FlexJobs, flexible work arrangements significantly contribute to employee well-being and job satisfaction. The study revealed that 97% of workers desire some form of flexible working, with 78% citing it as a way to achieve a healthier work-life balance (FlexJobs, 2020). This is crucial as work-life balance is directly linked to reduced stress and burnout, leading to happier, more engaged,even  more productive employees.</w:t>
      </w:r>
    </w:p>
    <w:p w:rsidR="00000000" w:rsidDel="00000000" w:rsidP="00000000" w:rsidRDefault="00000000" w:rsidRPr="00000000" w14:paraId="00000023">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In terms of organisational benefits, flexible working strategies can lead to cost savings. A report by Global Workplace Analytics and FlexJobs highlighted that a typical employer can save around $11,000 per year for every person who works remotely half of the time. These savings stem from reduced overheads, real estate costs, absenteeism, and turnover (Global Workplace Analytics, 2021).</w:t>
      </w:r>
    </w:p>
    <w:p w:rsidR="00000000" w:rsidDel="00000000" w:rsidP="00000000" w:rsidRDefault="00000000" w:rsidRPr="00000000" w14:paraId="00000024">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Furthermore, embracing flexible working can enhance an organisation's ability to attract and retain top talent. A survey by Deloitte found that 30% of respondents had left a job because it did not offer flexible work options, with 16% actively looking for new opportunities that provide such flexibility (Deloitte, 2020). Offering flexible working options can thus be a significant differentiator in competitive job markets.</w:t>
      </w:r>
    </w:p>
    <w:p w:rsidR="00000000" w:rsidDel="00000000" w:rsidP="00000000" w:rsidRDefault="00000000" w:rsidRPr="00000000" w14:paraId="00000025">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These advantages highlight the importance of integrating flexible work arrangements into organisational policies to stay competitive and responsive to the evolving demands of the modern workforce.</w:t>
      </w:r>
    </w:p>
    <w:p w:rsidR="00000000" w:rsidDel="00000000" w:rsidP="00000000" w:rsidRDefault="00000000" w:rsidRPr="00000000" w14:paraId="00000026">
      <w:pPr>
        <w:pStyle w:val="Heading2"/>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0f0f0f"/>
          <w:sz w:val="24"/>
          <w:szCs w:val="24"/>
        </w:rPr>
      </w:pPr>
      <w:bookmarkStart w:colFirst="0" w:colLast="0" w:name="_y9n9s1q1dyuc" w:id="3"/>
      <w:bookmarkEnd w:id="3"/>
      <w:r w:rsidDel="00000000" w:rsidR="00000000" w:rsidRPr="00000000">
        <w:rPr>
          <w:rtl w:val="0"/>
        </w:rPr>
        <w:t xml:space="preserve">Considerations For Flexible Working</w:t>
      </w:r>
      <w:r w:rsidDel="00000000" w:rsidR="00000000" w:rsidRPr="00000000">
        <w:rPr>
          <w:rtl w:val="0"/>
        </w:rPr>
      </w:r>
    </w:p>
    <w:p w:rsidR="00000000" w:rsidDel="00000000" w:rsidP="00000000" w:rsidRDefault="00000000" w:rsidRPr="00000000" w14:paraId="00000027">
      <w:pPr>
        <w:pBdr>
          <w:top w:color="d9d9e3" w:space="0" w:sz="0" w:val="none"/>
          <w:left w:color="d9d9e3" w:space="0" w:sz="0" w:val="none"/>
          <w:bottom w:color="d9d9e3" w:space="0" w:sz="0" w:val="none"/>
          <w:right w:color="d9d9e3" w:space="0" w:sz="0" w:val="none"/>
          <w:between w:color="d9d9e3" w:space="0" w:sz="0" w:val="none"/>
        </w:pBdr>
        <w:spacing w:after="300" w:lineRule="auto"/>
        <w:rPr/>
      </w:pPr>
      <w:r w:rsidDel="00000000" w:rsidR="00000000" w:rsidRPr="00000000">
        <w:rPr>
          <w:rFonts w:ascii="Roboto" w:cs="Roboto" w:eastAsia="Roboto" w:hAnsi="Roboto"/>
          <w:color w:val="0f0f0f"/>
          <w:sz w:val="24"/>
          <w:szCs w:val="24"/>
          <w:rtl w:val="0"/>
        </w:rPr>
        <w:t xml:space="preserve">Implementing flexible working arrangements in a firm, particularly through its Human Resources (HR) department, requires a thoughtful and comprehensive approach. </w:t>
      </w:r>
      <w:r w:rsidDel="00000000" w:rsidR="00000000" w:rsidRPr="00000000">
        <w:rPr>
          <w:rtl w:val="0"/>
        </w:rPr>
      </w:r>
    </w:p>
    <w:p w:rsidR="00000000" w:rsidDel="00000000" w:rsidP="00000000" w:rsidRDefault="00000000" w:rsidRPr="00000000" w14:paraId="00000028">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Before implementing flexible working, it is essential for the HR department to understand the firm's operational needs and capabilities. This involves assessing the nature of the work, the degree of collaboration required, and the feasibility of remote or flexible schedules. Some roles may inherently require physical presence or fixed hours, while others may be more amenable to flexibility. The HR team must balance the needs of the organisation with the potential benefits of flexible working to ensure business continuity and performance standards.</w:t>
      </w:r>
    </w:p>
    <w:p w:rsidR="00000000" w:rsidDel="00000000" w:rsidP="00000000" w:rsidRDefault="00000000" w:rsidRPr="00000000" w14:paraId="00000029">
      <w:pPr>
        <w:pStyle w:val="Heading3"/>
        <w:pBdr>
          <w:top w:color="d9d9e3" w:space="0" w:sz="0" w:val="none"/>
          <w:left w:color="d9d9e3" w:space="0" w:sz="0" w:val="none"/>
          <w:bottom w:color="d9d9e3" w:space="0" w:sz="0" w:val="none"/>
          <w:right w:color="d9d9e3" w:space="0" w:sz="0" w:val="none"/>
          <w:between w:color="d9d9e3" w:space="0" w:sz="0" w:val="none"/>
        </w:pBdr>
        <w:spacing w:before="300" w:lineRule="auto"/>
        <w:rPr/>
      </w:pPr>
      <w:bookmarkStart w:colFirst="0" w:colLast="0" w:name="_vcnppgr3wbi1" w:id="4"/>
      <w:bookmarkEnd w:id="4"/>
      <w:r w:rsidDel="00000000" w:rsidR="00000000" w:rsidRPr="00000000">
        <w:rPr>
          <w:rtl w:val="0"/>
        </w:rPr>
        <w:t xml:space="preserve">Employee Needs and Expectations</w:t>
      </w:r>
    </w:p>
    <w:p w:rsidR="00000000" w:rsidDel="00000000" w:rsidP="00000000" w:rsidRDefault="00000000" w:rsidRPr="00000000" w14:paraId="0000002A">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Flexible working should be tailored to meet the diverse needs of the workforce. The HR department must consider employee preferences, life commitments, and work styles. This can be achieved through surveys or focus groups to understand what forms of flexibility such as flexible hours, or compressed workweeks are most desired and practical. It is crucial to ensure that the flexible working policy is inclusive, catering to the needs of different demographics within the workforce, including parents, caregivers, and those with long commutes.</w:t>
      </w:r>
    </w:p>
    <w:p w:rsidR="00000000" w:rsidDel="00000000" w:rsidP="00000000" w:rsidRDefault="00000000" w:rsidRPr="00000000" w14:paraId="0000002B">
      <w:pPr>
        <w:pStyle w:val="Heading3"/>
        <w:pBdr>
          <w:top w:color="d9d9e3" w:space="0" w:sz="0" w:val="none"/>
          <w:left w:color="d9d9e3" w:space="0" w:sz="0" w:val="none"/>
          <w:bottom w:color="d9d9e3" w:space="0" w:sz="0" w:val="none"/>
          <w:right w:color="d9d9e3" w:space="0" w:sz="0" w:val="none"/>
          <w:between w:color="d9d9e3" w:space="0" w:sz="0" w:val="none"/>
        </w:pBdr>
        <w:spacing w:before="300" w:lineRule="auto"/>
        <w:rPr/>
      </w:pPr>
      <w:bookmarkStart w:colFirst="0" w:colLast="0" w:name="_1szkbl2ig791" w:id="5"/>
      <w:bookmarkEnd w:id="5"/>
      <w:r w:rsidDel="00000000" w:rsidR="00000000" w:rsidRPr="00000000">
        <w:rPr>
          <w:rtl w:val="0"/>
        </w:rPr>
        <w:t xml:space="preserve">Technology and Infrastructure</w:t>
      </w:r>
    </w:p>
    <w:p w:rsidR="00000000" w:rsidDel="00000000" w:rsidP="00000000" w:rsidRDefault="00000000" w:rsidRPr="00000000" w14:paraId="0000002C">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A successful transition to flexible working heavily relies on the right technology and infrastructure. The HR department must collaborate with IT to ensure that employees have access to necessary tools and resources, such as reliable internet connections, laptops, and collaborative software. This also includes cybersecurity measures to protect company data when accessed remotely. Training and support should be provided to ensure all employees are comfortable and proficient with the technology used.</w:t>
      </w:r>
    </w:p>
    <w:p w:rsidR="00000000" w:rsidDel="00000000" w:rsidP="00000000" w:rsidRDefault="00000000" w:rsidRPr="00000000" w14:paraId="0000002D">
      <w:pPr>
        <w:pStyle w:val="Heading3"/>
        <w:pBdr>
          <w:top w:color="d9d9e3" w:space="0" w:sz="0" w:val="none"/>
          <w:left w:color="d9d9e3" w:space="0" w:sz="0" w:val="none"/>
          <w:bottom w:color="d9d9e3" w:space="0" w:sz="0" w:val="none"/>
          <w:right w:color="d9d9e3" w:space="0" w:sz="0" w:val="none"/>
          <w:between w:color="d9d9e3" w:space="0" w:sz="0" w:val="none"/>
        </w:pBdr>
        <w:spacing w:before="300" w:lineRule="auto"/>
        <w:rPr/>
      </w:pPr>
      <w:bookmarkStart w:colFirst="0" w:colLast="0" w:name="_uqyxxod8u947" w:id="6"/>
      <w:bookmarkEnd w:id="6"/>
      <w:r w:rsidDel="00000000" w:rsidR="00000000" w:rsidRPr="00000000">
        <w:rPr>
          <w:rtl w:val="0"/>
        </w:rPr>
        <w:t xml:space="preserve">Policy Development and Legal Compliance</w:t>
      </w:r>
    </w:p>
    <w:p w:rsidR="00000000" w:rsidDel="00000000" w:rsidP="00000000" w:rsidRDefault="00000000" w:rsidRPr="00000000" w14:paraId="0000002E">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The HR team must develop clear and comprehensive policies regarding flexible working. These policies should outline eligibility, procedures for requesting flexible arrangements, expectations for availability and communication, and guidelines for performance evaluation. It is also vital to ensure these policies comply with employment laws and regulations, including overtime, minimum wage,  health and safety standards.</w:t>
      </w:r>
    </w:p>
    <w:p w:rsidR="00000000" w:rsidDel="00000000" w:rsidP="00000000" w:rsidRDefault="00000000" w:rsidRPr="00000000" w14:paraId="0000002F">
      <w:pPr>
        <w:pStyle w:val="Heading3"/>
        <w:pBdr>
          <w:top w:color="d9d9e3" w:space="0" w:sz="0" w:val="none"/>
          <w:left w:color="d9d9e3" w:space="0" w:sz="0" w:val="none"/>
          <w:bottom w:color="d9d9e3" w:space="0" w:sz="0" w:val="none"/>
          <w:right w:color="d9d9e3" w:space="0" w:sz="0" w:val="none"/>
          <w:between w:color="d9d9e3" w:space="0" w:sz="0" w:val="none"/>
        </w:pBdr>
        <w:spacing w:before="300" w:lineRule="auto"/>
        <w:rPr/>
      </w:pPr>
      <w:bookmarkStart w:colFirst="0" w:colLast="0" w:name="_iau6q7r51fn0" w:id="7"/>
      <w:bookmarkEnd w:id="7"/>
      <w:r w:rsidDel="00000000" w:rsidR="00000000" w:rsidRPr="00000000">
        <w:rPr>
          <w:rtl w:val="0"/>
        </w:rPr>
        <w:t xml:space="preserve">Managing Performance and Productivity</w:t>
      </w:r>
    </w:p>
    <w:p w:rsidR="00000000" w:rsidDel="00000000" w:rsidP="00000000" w:rsidRDefault="00000000" w:rsidRPr="00000000" w14:paraId="00000030">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One of the primary concerns with flexible working is maintaining employee performance and productivity. HR should establish clear performance metrics and regular check-ins to ensure that employees remain productive and engaged. This may also involve training managers on how to effectively lead remote or flexibly scheduled teams, including fostering a culture of trust and accountability.</w:t>
      </w:r>
    </w:p>
    <w:p w:rsidR="00000000" w:rsidDel="00000000" w:rsidP="00000000" w:rsidRDefault="00000000" w:rsidRPr="00000000" w14:paraId="00000031">
      <w:pPr>
        <w:pStyle w:val="Heading3"/>
        <w:pBdr>
          <w:top w:color="d9d9e3" w:space="0" w:sz="0" w:val="none"/>
          <w:left w:color="d9d9e3" w:space="0" w:sz="0" w:val="none"/>
          <w:bottom w:color="d9d9e3" w:space="0" w:sz="0" w:val="none"/>
          <w:right w:color="d9d9e3" w:space="0" w:sz="0" w:val="none"/>
          <w:between w:color="d9d9e3" w:space="0" w:sz="0" w:val="none"/>
        </w:pBdr>
        <w:spacing w:before="300" w:lineRule="auto"/>
        <w:rPr/>
      </w:pPr>
      <w:bookmarkStart w:colFirst="0" w:colLast="0" w:name="_yxa1itspb5wq" w:id="8"/>
      <w:bookmarkEnd w:id="8"/>
      <w:r w:rsidDel="00000000" w:rsidR="00000000" w:rsidRPr="00000000">
        <w:rPr>
          <w:rtl w:val="0"/>
        </w:rPr>
        <w:t xml:space="preserve">Communication and Culture</w:t>
      </w:r>
    </w:p>
    <w:p w:rsidR="00000000" w:rsidDel="00000000" w:rsidP="00000000" w:rsidRDefault="00000000" w:rsidRPr="00000000" w14:paraId="00000032">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Effective communication is key in a flexible working environment. HR should facilitate regular updates, team meetings, and one-on-ones, even if conducted virtually, to maintain a sense of connection and collaboration. It's also important to foster a company culture that supports flexibility, emphasising outcomes over hours worked and encouraging a healthy work-life balance.</w:t>
      </w:r>
    </w:p>
    <w:p w:rsidR="00000000" w:rsidDel="00000000" w:rsidP="00000000" w:rsidRDefault="00000000" w:rsidRPr="00000000" w14:paraId="00000033">
      <w:pPr>
        <w:pStyle w:val="Heading3"/>
        <w:pBdr>
          <w:top w:color="d9d9e3" w:space="0" w:sz="0" w:val="none"/>
          <w:left w:color="d9d9e3" w:space="0" w:sz="0" w:val="none"/>
          <w:bottom w:color="d9d9e3" w:space="0" w:sz="0" w:val="none"/>
          <w:right w:color="d9d9e3" w:space="0" w:sz="0" w:val="none"/>
          <w:between w:color="d9d9e3" w:space="0" w:sz="0" w:val="none"/>
        </w:pBdr>
        <w:spacing w:before="300" w:lineRule="auto"/>
        <w:rPr/>
      </w:pPr>
      <w:bookmarkStart w:colFirst="0" w:colLast="0" w:name="_q5m5mfq6f98t" w:id="9"/>
      <w:bookmarkEnd w:id="9"/>
      <w:r w:rsidDel="00000000" w:rsidR="00000000" w:rsidRPr="00000000">
        <w:rPr>
          <w:rtl w:val="0"/>
        </w:rPr>
        <w:t xml:space="preserve">Trial Period and Feedback</w:t>
      </w:r>
    </w:p>
    <w:p w:rsidR="00000000" w:rsidDel="00000000" w:rsidP="00000000" w:rsidRDefault="00000000" w:rsidRPr="00000000" w14:paraId="00000034">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Before fully implementing a flexible working model, HR may consider a trial period to identify and address any challenges or areas for improvement. Gathering feedback from employees and managers during this period will be crucial to fine-tuning the approach and ensuring that the flexible working arrangements meet the needs of both the organisation and its employees.</w:t>
      </w:r>
    </w:p>
    <w:p w:rsidR="00000000" w:rsidDel="00000000" w:rsidP="00000000" w:rsidRDefault="00000000" w:rsidRPr="00000000" w14:paraId="00000035">
      <w:pPr>
        <w:pStyle w:val="Heading2"/>
        <w:pBdr>
          <w:top w:color="d9d9e3" w:space="0" w:sz="0" w:val="none"/>
          <w:left w:color="d9d9e3" w:space="0" w:sz="0" w:val="none"/>
          <w:bottom w:color="d9d9e3" w:space="0" w:sz="0" w:val="none"/>
          <w:right w:color="d9d9e3" w:space="0" w:sz="0" w:val="none"/>
          <w:between w:color="d9d9e3" w:space="0" w:sz="0" w:val="none"/>
        </w:pBdr>
        <w:spacing w:after="300" w:lineRule="auto"/>
        <w:rPr>
          <w:rFonts w:ascii="Roboto" w:cs="Roboto" w:eastAsia="Roboto" w:hAnsi="Roboto"/>
          <w:color w:val="0f0f0f"/>
          <w:sz w:val="24"/>
          <w:szCs w:val="24"/>
        </w:rPr>
      </w:pPr>
      <w:bookmarkStart w:colFirst="0" w:colLast="0" w:name="_7r00wdkk5n17" w:id="10"/>
      <w:bookmarkEnd w:id="10"/>
      <w:r w:rsidDel="00000000" w:rsidR="00000000" w:rsidRPr="00000000">
        <w:rPr>
          <w:rtl w:val="0"/>
        </w:rPr>
        <w:t xml:space="preserve">Pay Structure</w:t>
      </w:r>
      <w:r w:rsidDel="00000000" w:rsidR="00000000" w:rsidRPr="00000000">
        <w:rPr>
          <w:rtl w:val="0"/>
        </w:rPr>
      </w:r>
    </w:p>
    <w:p w:rsidR="00000000" w:rsidDel="00000000" w:rsidP="00000000" w:rsidRDefault="00000000" w:rsidRPr="00000000" w14:paraId="00000036">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A primary consideration is the geographic variation in living costs. Traditional office-based roles typically align their compensation with the cost of living near the office.</w:t>
      </w:r>
    </w:p>
    <w:p w:rsidR="00000000" w:rsidDel="00000000" w:rsidP="00000000" w:rsidRDefault="00000000" w:rsidRPr="00000000" w14:paraId="00000037">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Remote work allows employees to reside in areas with vastly contrasting  living expenses. Location-based salary adjustments could lead to cost efficiencies for the organisation and perceived fairness among employees in less expensive areas. However, this approach might also cause discontent among those residing in pricier regions who receive the same pay as colleagues in more affordable areas.</w:t>
      </w:r>
    </w:p>
    <w:p w:rsidR="00000000" w:rsidDel="00000000" w:rsidP="00000000" w:rsidRDefault="00000000" w:rsidRPr="00000000" w14:paraId="00000038">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Harvard Business Review in 2022 discusses the complexity of location-based salary adjustments in the era of remote work. The report suggests that while such adjustments can make fiscal sense for companies, they can also lead to challenges in maintaining equity and transparency among a distributed workforce.</w:t>
      </w:r>
    </w:p>
    <w:p w:rsidR="00000000" w:rsidDel="00000000" w:rsidP="00000000" w:rsidRDefault="00000000" w:rsidRPr="00000000" w14:paraId="00000039">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Furthermore, the shift to remote work often alters job functions and demands new skill sets, such as heightened digital literacy and self-management. This evolution may require a reassessment of job valuations, leading to adjusted pay scales that reflect these updated role requirements.</w:t>
      </w:r>
    </w:p>
    <w:p w:rsidR="00000000" w:rsidDel="00000000" w:rsidP="00000000" w:rsidRDefault="00000000" w:rsidRPr="00000000" w14:paraId="0000003A">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Another aspect to consider is additional compensation forms. Employees must be compensated for using personal resources, like home utilities, to facilitate their work.</w:t>
      </w:r>
    </w:p>
    <w:p w:rsidR="00000000" w:rsidDel="00000000" w:rsidP="00000000" w:rsidRDefault="00000000" w:rsidRPr="00000000" w14:paraId="0000003B">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Performance evaluation systems may also need modification. In a remote work environment, assessments may focus more on deliverables and results rather than physical office presence, potentially leading to changes in performance-based compensation, including bonuses and incentives.</w:t>
      </w:r>
    </w:p>
    <w:p w:rsidR="00000000" w:rsidDel="00000000" w:rsidP="00000000" w:rsidRDefault="00000000" w:rsidRPr="00000000" w14:paraId="0000003C">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The transition to remote work might necessitate changes in benefits packages. Rewards previously centred on office life, such as gym memberships, may become less relevant. Organisations might need to explore alternative benefits suitable for remote workers, like home office subsidies or flexible scheduling. These changes could indirectly influence the overall compensation structure.</w:t>
      </w:r>
    </w:p>
    <w:p w:rsidR="00000000" w:rsidDel="00000000" w:rsidP="00000000" w:rsidRDefault="00000000" w:rsidRPr="00000000" w14:paraId="0000003D">
      <w:pPr>
        <w:pStyle w:val="Heading2"/>
        <w:pBdr>
          <w:top w:color="d9d9e3" w:space="0" w:sz="0" w:val="none"/>
          <w:left w:color="d9d9e3" w:space="0" w:sz="0" w:val="none"/>
          <w:bottom w:color="d9d9e3" w:space="0" w:sz="0" w:val="none"/>
          <w:right w:color="d9d9e3" w:space="0" w:sz="0" w:val="none"/>
          <w:between w:color="d9d9e3" w:space="0" w:sz="0" w:val="none"/>
        </w:pBdr>
        <w:spacing w:after="300" w:lineRule="auto"/>
        <w:rPr/>
      </w:pPr>
      <w:bookmarkStart w:colFirst="0" w:colLast="0" w:name="_hjpiqnh1sjx0" w:id="11"/>
      <w:bookmarkEnd w:id="11"/>
      <w:r w:rsidDel="00000000" w:rsidR="00000000" w:rsidRPr="00000000">
        <w:rPr>
          <w:rtl w:val="0"/>
        </w:rPr>
        <w:t xml:space="preserve">S</w:t>
      </w:r>
      <w:r w:rsidDel="00000000" w:rsidR="00000000" w:rsidRPr="00000000">
        <w:rPr>
          <w:rtl w:val="0"/>
        </w:rPr>
        <w:t xml:space="preserve">trategies for Promoting Employee Engagement</w:t>
      </w:r>
    </w:p>
    <w:p w:rsidR="00000000" w:rsidDel="00000000" w:rsidP="00000000" w:rsidRDefault="00000000" w:rsidRPr="00000000" w14:paraId="0000003E">
      <w:pPr>
        <w:pBdr>
          <w:top w:color="d9d9e3" w:space="0" w:sz="0" w:val="none"/>
          <w:left w:color="d9d9e3" w:space="0" w:sz="0" w:val="none"/>
          <w:bottom w:color="d9d9e3" w:space="0" w:sz="0" w:val="none"/>
          <w:right w:color="d9d9e3" w:space="0" w:sz="0" w:val="none"/>
          <w:between w:color="d9d9e3" w:space="0" w:sz="0" w:val="none"/>
        </w:pBd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To evaluate strategies for promoting employee engagement during the implementation of flexible working arrangements, it is essential to consider various aspects that contribute to employee satisfaction, productivity, and overall organisational success.</w:t>
      </w:r>
    </w:p>
    <w:p w:rsidR="00000000" w:rsidDel="00000000" w:rsidP="00000000" w:rsidRDefault="00000000" w:rsidRPr="00000000" w14:paraId="0000003F">
      <w:pPr>
        <w:pStyle w:val="Heading3"/>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p0k2gbzavzik" w:id="12"/>
      <w:bookmarkEnd w:id="12"/>
      <w:r w:rsidDel="00000000" w:rsidR="00000000" w:rsidRPr="00000000">
        <w:rPr>
          <w:rtl w:val="0"/>
        </w:rPr>
        <w:t xml:space="preserve">E</w:t>
      </w:r>
      <w:r w:rsidDel="00000000" w:rsidR="00000000" w:rsidRPr="00000000">
        <w:rPr>
          <w:rtl w:val="0"/>
        </w:rPr>
        <w:t xml:space="preserve">ffective Communication </w:t>
      </w:r>
    </w:p>
    <w:p w:rsidR="00000000" w:rsidDel="00000000" w:rsidP="00000000" w:rsidRDefault="00000000" w:rsidRPr="00000000" w14:paraId="00000040">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One of the key strategies is establishing clear and effective communication channels. When employees work flexibly, which often includes remote work, the lack of physical presence in the office can lead to feelings of isolation and disconnection from the team. To combat this, it’s vital to ensure regular, structured communication. This can include scheduled one-on-one meetings, team meetings, and access to collaborative online platforms. Regular communication not only keeps team members aligned with their tasks and goals but also helps in maintaining a sense of community and belonging, which is important for engagement.</w:t>
      </w:r>
    </w:p>
    <w:p w:rsidR="00000000" w:rsidDel="00000000" w:rsidP="00000000" w:rsidRDefault="00000000" w:rsidRPr="00000000" w14:paraId="00000041">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While flexible working inherently suggests autonomy over one’s schedule, it’s important to balance this with some structured elements. This might involve having core hours during which everyone is available, or designated days for team interactions. This approach ensures that while employees enjoy the benefits of flexibility, they also have predictable times for collaboration and interaction, which can enhance teamwork and reduce feelings of isolation.</w:t>
      </w:r>
    </w:p>
    <w:p w:rsidR="00000000" w:rsidDel="00000000" w:rsidP="00000000" w:rsidRDefault="00000000" w:rsidRPr="00000000" w14:paraId="00000042">
      <w:pPr>
        <w:pStyle w:val="Heading3"/>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z5tv6jxo1r30" w:id="13"/>
      <w:bookmarkEnd w:id="13"/>
      <w:r w:rsidDel="00000000" w:rsidR="00000000" w:rsidRPr="00000000">
        <w:rPr>
          <w:rtl w:val="0"/>
        </w:rPr>
        <w:t xml:space="preserve">Recognition and Feedback: </w:t>
      </w:r>
    </w:p>
    <w:p w:rsidR="00000000" w:rsidDel="00000000" w:rsidP="00000000" w:rsidRDefault="00000000" w:rsidRPr="00000000" w14:paraId="00000043">
      <w:pPr>
        <w:pBdr>
          <w:top w:color="d9d9e3" w:space="0" w:sz="0" w:val="none"/>
          <w:left w:color="d9d9e3" w:space="0" w:sz="0" w:val="none"/>
          <w:bottom w:color="d9d9e3" w:space="0" w:sz="0" w:val="none"/>
          <w:right w:color="d9d9e3" w:space="0" w:sz="0" w:val="none"/>
          <w:between w:color="d9d9e3" w:space="0" w:sz="0" w:val="none"/>
        </w:pBdr>
        <w:spacing w:after="300" w:before="300" w:lineRule="auto"/>
        <w:rPr/>
      </w:pPr>
      <w:r w:rsidDel="00000000" w:rsidR="00000000" w:rsidRPr="00000000">
        <w:rPr>
          <w:rtl w:val="0"/>
        </w:rPr>
        <w:t xml:space="preserve">Employee recognition is a powerful tool for engagement. In a flexible work environment, recognizing the efforts and achievements of employees can be even more impactful. This recognition should be regular and meaningful, involving both formal and informal feedback. Managers should be encouraged to recognize not just the outcomes but also the effort and adaptability of employees as they navigate the flexible working arrangement. According to a Gallup study, organizations with high employee engagement levels see 21% higher productivity.</w:t>
      </w:r>
    </w:p>
    <w:p w:rsidR="00000000" w:rsidDel="00000000" w:rsidP="00000000" w:rsidRDefault="00000000" w:rsidRPr="00000000" w14:paraId="00000044">
      <w:pPr>
        <w:pBdr>
          <w:top w:color="d9d9e3" w:space="0" w:sz="0" w:val="none"/>
          <w:left w:color="d9d9e3" w:space="0" w:sz="0" w:val="none"/>
          <w:bottom w:color="d9d9e3" w:space="0" w:sz="0" w:val="none"/>
          <w:right w:color="d9d9e3" w:space="0" w:sz="0" w:val="none"/>
          <w:between w:color="d9d9e3" w:space="0" w:sz="0" w:val="none"/>
        </w:pBdr>
        <w:spacing w:after="300" w:before="300" w:lineRule="auto"/>
        <w:rPr/>
      </w:pPr>
      <w:r w:rsidDel="00000000" w:rsidR="00000000" w:rsidRPr="00000000">
        <w:rPr>
          <w:rtl w:val="0"/>
        </w:rPr>
      </w:r>
    </w:p>
    <w:p w:rsidR="00000000" w:rsidDel="00000000" w:rsidP="00000000" w:rsidRDefault="00000000" w:rsidRPr="00000000" w14:paraId="00000045">
      <w:pPr>
        <w:pStyle w:val="Heading3"/>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2gn1q5ufcfv1" w:id="14"/>
      <w:bookmarkEnd w:id="14"/>
      <w:r w:rsidDel="00000000" w:rsidR="00000000" w:rsidRPr="00000000">
        <w:rPr>
          <w:rtl w:val="0"/>
        </w:rPr>
        <w:t xml:space="preserve">Professional Development Opportunities:</w:t>
      </w:r>
    </w:p>
    <w:p w:rsidR="00000000" w:rsidDel="00000000" w:rsidP="00000000" w:rsidRDefault="00000000" w:rsidRPr="00000000" w14:paraId="00000046">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Offering opportunities for growth and development is another critical strategy. Flexible working should not impede an employee’s career progression or access to learning opportunities. Providing virtual training sessions, e-learning modules, and opportunities for virtual networking can help employees feel that they are still growing and advancing in their careers, despite not being physically present in the office.</w:t>
      </w:r>
    </w:p>
    <w:p w:rsidR="00000000" w:rsidDel="00000000" w:rsidP="00000000" w:rsidRDefault="00000000" w:rsidRPr="00000000" w14:paraId="00000047">
      <w:pPr>
        <w:pStyle w:val="Heading3"/>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xwpfn2yb9zcd" w:id="15"/>
      <w:bookmarkEnd w:id="15"/>
      <w:r w:rsidDel="00000000" w:rsidR="00000000" w:rsidRPr="00000000">
        <w:rPr>
          <w:rtl w:val="0"/>
        </w:rPr>
        <w:t xml:space="preserve">Support Systems and Resources: </w:t>
      </w:r>
    </w:p>
    <w:p w:rsidR="00000000" w:rsidDel="00000000" w:rsidP="00000000" w:rsidRDefault="00000000" w:rsidRPr="00000000" w14:paraId="00000048">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Providing adequate support and resources is essential. This includes technological support, like access to the necessary tools and software, emotional , mental health support, such as counselling services or stress management workshops. Employees should feel that the organisation cares about their well-being in all aspects.</w:t>
      </w:r>
    </w:p>
    <w:p w:rsidR="00000000" w:rsidDel="00000000" w:rsidP="00000000" w:rsidRDefault="00000000" w:rsidRPr="00000000" w14:paraId="00000049">
      <w:pPr>
        <w:pStyle w:val="Heading3"/>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jtjkit8iz8ef" w:id="16"/>
      <w:bookmarkEnd w:id="16"/>
      <w:r w:rsidDel="00000000" w:rsidR="00000000" w:rsidRPr="00000000">
        <w:rPr>
          <w:rtl w:val="0"/>
        </w:rPr>
        <w:t xml:space="preserve">Inclusion and Equity: </w:t>
      </w:r>
    </w:p>
    <w:p w:rsidR="00000000" w:rsidDel="00000000" w:rsidP="00000000" w:rsidRDefault="00000000" w:rsidRPr="00000000" w14:paraId="0000004A">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It’s crucial to ensure that all employees, regardless of their working arrangements, have equal access to information, opportunities, and resources. This includes considering time zone differences for global teams and ensuring that remote workers are not overlooked in decisions or discussions that could affect their work or career.</w:t>
      </w:r>
    </w:p>
    <w:p w:rsidR="00000000" w:rsidDel="00000000" w:rsidP="00000000" w:rsidRDefault="00000000" w:rsidRPr="00000000" w14:paraId="0000004B">
      <w:pPr>
        <w:pStyle w:val="Heading3"/>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lyln243j1m53" w:id="17"/>
      <w:bookmarkEnd w:id="17"/>
      <w:r w:rsidDel="00000000" w:rsidR="00000000" w:rsidRPr="00000000">
        <w:rPr>
          <w:rtl w:val="0"/>
        </w:rPr>
        <w:t xml:space="preserve">Feedback Loop</w:t>
      </w:r>
    </w:p>
    <w:p w:rsidR="00000000" w:rsidDel="00000000" w:rsidP="00000000" w:rsidRDefault="00000000" w:rsidRPr="00000000" w14:paraId="0000004C">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Maintaining a feedback loop where employees can share their experiences and suggestions regarding the flexible working model is vital. This feedback should be actively sought, and changes should be implemented where possible to continuously improve the working experience.</w:t>
      </w:r>
    </w:p>
    <w:p w:rsidR="00000000" w:rsidDel="00000000" w:rsidP="00000000" w:rsidRDefault="00000000" w:rsidRPr="00000000" w14:paraId="0000004D">
      <w:pPr>
        <w:pStyle w:val="Heading2"/>
        <w:rPr/>
      </w:pPr>
      <w:bookmarkStart w:colFirst="0" w:colLast="0" w:name="_7s6q911x7zwc" w:id="18"/>
      <w:bookmarkEnd w:id="18"/>
      <w:r w:rsidDel="00000000" w:rsidR="00000000" w:rsidRPr="00000000">
        <w:rPr>
          <w:rtl w:val="0"/>
        </w:rPr>
        <w:t xml:space="preserve">Conclusion</w:t>
      </w:r>
    </w:p>
    <w:p w:rsidR="00000000" w:rsidDel="00000000" w:rsidP="00000000" w:rsidRDefault="00000000" w:rsidRPr="00000000" w14:paraId="0000004E">
      <w:pPr>
        <w:pBdr>
          <w:top w:color="d9d9e3" w:space="0" w:sz="0" w:val="none"/>
          <w:left w:color="d9d9e3" w:space="0" w:sz="0" w:val="none"/>
          <w:bottom w:color="d9d9e3" w:space="0" w:sz="0" w:val="none"/>
          <w:right w:color="d9d9e3" w:space="0" w:sz="0" w:val="none"/>
          <w:between w:color="d9d9e3" w:space="0" w:sz="0" w:val="none"/>
        </w:pBdr>
        <w:spacing w:after="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In conclusion, this report shows that flexible working strategies are really important in today's changing work environment. They offer a lot of benefits namely better productivity, cost savings, and happier employees. It's crucial for Human Resources to carefully plan and introduce these flexible work options, taking into account what the company needs and what employees want.</w:t>
      </w:r>
    </w:p>
    <w:p w:rsidR="00000000" w:rsidDel="00000000" w:rsidP="00000000" w:rsidRDefault="00000000" w:rsidRPr="00000000" w14:paraId="0000004F">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Also, companies have to think about how they pay their employees, especially when people work from different places with different living costs. They need to find a fair and effective way to handle this.</w:t>
      </w:r>
    </w:p>
    <w:p w:rsidR="00000000" w:rsidDel="00000000" w:rsidP="00000000" w:rsidRDefault="00000000" w:rsidRPr="00000000" w14:paraId="00000050">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The report also suggests ways to keep employees involved and happy with their work. This includes good communication, recognizing their hard work, offering chances for learning and growth, and making sure everyone has the same opportunities, no matter where they work.</w:t>
      </w:r>
    </w:p>
    <w:p w:rsidR="00000000" w:rsidDel="00000000" w:rsidP="00000000" w:rsidRDefault="00000000" w:rsidRPr="00000000" w14:paraId="00000051">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0f0f0f"/>
          <w:sz w:val="24"/>
          <w:szCs w:val="24"/>
        </w:rPr>
      </w:pPr>
      <w:r w:rsidDel="00000000" w:rsidR="00000000" w:rsidRPr="00000000">
        <w:rPr>
          <w:rFonts w:ascii="Roboto" w:cs="Roboto" w:eastAsia="Roboto" w:hAnsi="Roboto"/>
          <w:color w:val="0f0f0f"/>
          <w:sz w:val="24"/>
          <w:szCs w:val="24"/>
          <w:rtl w:val="0"/>
        </w:rPr>
        <w:t xml:space="preserve">Overall, using flexible work strategies is not just about keeping up with changes; it's a smart move for businesses to be more adaptable, strong, and innovative in today's fast-moving world.</w:t>
      </w:r>
    </w:p>
    <w:p w:rsidR="00000000" w:rsidDel="00000000" w:rsidP="00000000" w:rsidRDefault="00000000" w:rsidRPr="00000000" w14:paraId="00000052">
      <w:pPr>
        <w:pBdr>
          <w:top w:color="000000" w:space="0" w:sz="0" w:val="none"/>
          <w:left w:color="000000" w:space="0" w:sz="0" w:val="none"/>
          <w:bottom w:color="000000" w:space="0" w:sz="0" w:val="none"/>
          <w:right w:color="000000" w:space="0" w:sz="0" w:val="none"/>
          <w:between w:color="000000" w:space="0" w:sz="0" w:val="none"/>
        </w:pBdr>
        <w:shd w:fill="ffffff" w:val="clear"/>
        <w:spacing w:after="360" w:line="360" w:lineRule="auto"/>
        <w:rPr>
          <w:sz w:val="36"/>
          <w:szCs w:val="36"/>
        </w:rPr>
      </w:pPr>
      <w:r w:rsidDel="00000000" w:rsidR="00000000" w:rsidRPr="00000000">
        <w:rPr>
          <w:rtl w:val="0"/>
        </w:rPr>
      </w:r>
    </w:p>
    <w:p w:rsidR="00000000" w:rsidDel="00000000" w:rsidP="00000000" w:rsidRDefault="00000000" w:rsidRPr="00000000" w14:paraId="00000053">
      <w:pPr>
        <w:pBdr>
          <w:top w:color="000000" w:space="0" w:sz="0" w:val="none"/>
          <w:left w:color="000000" w:space="0" w:sz="0" w:val="none"/>
          <w:bottom w:color="000000" w:space="0" w:sz="0" w:val="none"/>
          <w:right w:color="000000" w:space="0" w:sz="0" w:val="none"/>
          <w:between w:color="000000" w:space="0" w:sz="0" w:val="none"/>
        </w:pBdr>
        <w:shd w:fill="ffffff" w:val="clear"/>
        <w:spacing w:after="360" w:line="360" w:lineRule="auto"/>
        <w:rPr>
          <w:sz w:val="36"/>
          <w:szCs w:val="36"/>
        </w:rPr>
      </w:pPr>
      <w:r w:rsidDel="00000000" w:rsidR="00000000" w:rsidRPr="00000000">
        <w:rPr>
          <w:rtl w:val="0"/>
        </w:rPr>
      </w:r>
    </w:p>
    <w:p w:rsidR="00000000" w:rsidDel="00000000" w:rsidP="00000000" w:rsidRDefault="00000000" w:rsidRPr="00000000" w14:paraId="00000054">
      <w:pPr>
        <w:pBdr>
          <w:top w:color="000000" w:space="0" w:sz="0" w:val="none"/>
          <w:left w:color="000000" w:space="0" w:sz="0" w:val="none"/>
          <w:bottom w:color="000000" w:space="0" w:sz="0" w:val="none"/>
          <w:right w:color="000000" w:space="0" w:sz="0" w:val="none"/>
          <w:between w:color="000000" w:space="0" w:sz="0" w:val="none"/>
        </w:pBdr>
        <w:shd w:fill="ffffff" w:val="clear"/>
        <w:spacing w:after="360" w:line="360" w:lineRule="auto"/>
        <w:rPr>
          <w:sz w:val="36"/>
          <w:szCs w:val="36"/>
        </w:rPr>
      </w:pPr>
      <w:r w:rsidDel="00000000" w:rsidR="00000000" w:rsidRPr="00000000">
        <w:rPr>
          <w:rtl w:val="0"/>
        </w:rPr>
      </w:r>
    </w:p>
    <w:p w:rsidR="00000000" w:rsidDel="00000000" w:rsidP="00000000" w:rsidRDefault="00000000" w:rsidRPr="00000000" w14:paraId="00000055">
      <w:pPr>
        <w:pBdr>
          <w:top w:color="000000" w:space="0" w:sz="0" w:val="none"/>
          <w:left w:color="000000" w:space="0" w:sz="0" w:val="none"/>
          <w:bottom w:color="000000" w:space="0" w:sz="0" w:val="none"/>
          <w:right w:color="000000" w:space="0" w:sz="0" w:val="none"/>
          <w:between w:color="000000" w:space="0" w:sz="0" w:val="none"/>
        </w:pBdr>
        <w:shd w:fill="ffffff" w:val="clear"/>
        <w:spacing w:after="360" w:line="360" w:lineRule="auto"/>
        <w:rPr>
          <w:sz w:val="36"/>
          <w:szCs w:val="36"/>
        </w:rPr>
      </w:pPr>
      <w:r w:rsidDel="00000000" w:rsidR="00000000" w:rsidRPr="00000000">
        <w:rPr>
          <w:rtl w:val="0"/>
        </w:rPr>
      </w:r>
    </w:p>
    <w:p w:rsidR="00000000" w:rsidDel="00000000" w:rsidP="00000000" w:rsidRDefault="00000000" w:rsidRPr="00000000" w14:paraId="00000056">
      <w:pPr>
        <w:pBdr>
          <w:top w:color="000000" w:space="0" w:sz="0" w:val="none"/>
          <w:left w:color="000000" w:space="0" w:sz="0" w:val="none"/>
          <w:bottom w:color="000000" w:space="0" w:sz="0" w:val="none"/>
          <w:right w:color="000000" w:space="0" w:sz="0" w:val="none"/>
          <w:between w:color="000000" w:space="0" w:sz="0" w:val="none"/>
        </w:pBdr>
        <w:shd w:fill="ffffff" w:val="clear"/>
        <w:spacing w:after="360" w:line="360" w:lineRule="auto"/>
        <w:rPr>
          <w:sz w:val="36"/>
          <w:szCs w:val="36"/>
        </w:rPr>
      </w:pPr>
      <w:r w:rsidDel="00000000" w:rsidR="00000000" w:rsidRPr="00000000">
        <w:rPr>
          <w:rtl w:val="0"/>
        </w:rPr>
      </w:r>
    </w:p>
    <w:p w:rsidR="00000000" w:rsidDel="00000000" w:rsidP="00000000" w:rsidRDefault="00000000" w:rsidRPr="00000000" w14:paraId="00000057">
      <w:pPr>
        <w:pBdr>
          <w:top w:color="000000" w:space="0" w:sz="0" w:val="none"/>
          <w:left w:color="000000" w:space="0" w:sz="0" w:val="none"/>
          <w:bottom w:color="000000" w:space="0" w:sz="0" w:val="none"/>
          <w:right w:color="000000" w:space="0" w:sz="0" w:val="none"/>
          <w:between w:color="000000" w:space="0" w:sz="0" w:val="none"/>
        </w:pBdr>
        <w:shd w:fill="ffffff" w:val="clear"/>
        <w:spacing w:after="360" w:line="360" w:lineRule="auto"/>
        <w:rPr>
          <w:sz w:val="36"/>
          <w:szCs w:val="36"/>
        </w:rPr>
      </w:pPr>
      <w:r w:rsidDel="00000000" w:rsidR="00000000" w:rsidRPr="00000000">
        <w:rPr>
          <w:rtl w:val="0"/>
        </w:rPr>
      </w:r>
    </w:p>
    <w:p w:rsidR="00000000" w:rsidDel="00000000" w:rsidP="00000000" w:rsidRDefault="00000000" w:rsidRPr="00000000" w14:paraId="00000058">
      <w:pPr>
        <w:pBdr>
          <w:top w:color="000000" w:space="0" w:sz="0" w:val="none"/>
          <w:left w:color="000000" w:space="0" w:sz="0" w:val="none"/>
          <w:bottom w:color="000000" w:space="0" w:sz="0" w:val="none"/>
          <w:right w:color="000000" w:space="0" w:sz="0" w:val="none"/>
          <w:between w:color="000000" w:space="0" w:sz="0" w:val="none"/>
        </w:pBdr>
        <w:shd w:fill="ffffff" w:val="clear"/>
        <w:spacing w:after="360" w:line="360" w:lineRule="auto"/>
        <w:rPr>
          <w:sz w:val="36"/>
          <w:szCs w:val="36"/>
        </w:rPr>
      </w:pPr>
      <w:r w:rsidDel="00000000" w:rsidR="00000000" w:rsidRPr="00000000">
        <w:rPr>
          <w:rtl w:val="0"/>
        </w:rPr>
      </w:r>
    </w:p>
    <w:p w:rsidR="00000000" w:rsidDel="00000000" w:rsidP="00000000" w:rsidRDefault="00000000" w:rsidRPr="00000000" w14:paraId="00000059">
      <w:pPr>
        <w:pBdr>
          <w:top w:color="000000" w:space="0" w:sz="0" w:val="none"/>
          <w:left w:color="000000" w:space="0" w:sz="0" w:val="none"/>
          <w:bottom w:color="000000" w:space="0" w:sz="0" w:val="none"/>
          <w:right w:color="000000" w:space="0" w:sz="0" w:val="none"/>
          <w:between w:color="000000" w:space="0" w:sz="0" w:val="none"/>
        </w:pBdr>
        <w:shd w:fill="ffffff" w:val="clear"/>
        <w:spacing w:after="360" w:line="360" w:lineRule="auto"/>
        <w:rPr>
          <w:sz w:val="36"/>
          <w:szCs w:val="36"/>
        </w:rPr>
      </w:pPr>
      <w:r w:rsidDel="00000000" w:rsidR="00000000" w:rsidRPr="00000000">
        <w:rPr>
          <w:rtl w:val="0"/>
        </w:rPr>
      </w:r>
    </w:p>
    <w:p w:rsidR="00000000" w:rsidDel="00000000" w:rsidP="00000000" w:rsidRDefault="00000000" w:rsidRPr="00000000" w14:paraId="0000005A">
      <w:pPr>
        <w:pBdr>
          <w:top w:color="000000" w:space="0" w:sz="0" w:val="none"/>
          <w:left w:color="000000" w:space="0" w:sz="0" w:val="none"/>
          <w:bottom w:color="000000" w:space="0" w:sz="0" w:val="none"/>
          <w:right w:color="000000" w:space="0" w:sz="0" w:val="none"/>
          <w:between w:color="000000" w:space="0" w:sz="0" w:val="none"/>
        </w:pBdr>
        <w:shd w:fill="ffffff" w:val="clear"/>
        <w:spacing w:after="360" w:line="360" w:lineRule="auto"/>
        <w:rPr>
          <w:sz w:val="36"/>
          <w:szCs w:val="36"/>
        </w:rPr>
      </w:pPr>
      <w:r w:rsidDel="00000000" w:rsidR="00000000" w:rsidRPr="00000000">
        <w:rPr>
          <w:rtl w:val="0"/>
        </w:rPr>
      </w:r>
    </w:p>
    <w:p w:rsidR="00000000" w:rsidDel="00000000" w:rsidP="00000000" w:rsidRDefault="00000000" w:rsidRPr="00000000" w14:paraId="0000005B">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360" w:line="360" w:lineRule="auto"/>
        <w:rPr/>
      </w:pPr>
      <w:bookmarkStart w:colFirst="0" w:colLast="0" w:name="_a17cv8ogpi4m" w:id="19"/>
      <w:bookmarkEnd w:id="19"/>
      <w:r w:rsidDel="00000000" w:rsidR="00000000" w:rsidRPr="00000000">
        <w:rPr>
          <w:rtl w:val="0"/>
        </w:rPr>
        <w:t xml:space="preserve">Reference list</w:t>
      </w:r>
    </w:p>
    <w:p w:rsidR="00000000" w:rsidDel="00000000" w:rsidP="00000000" w:rsidRDefault="00000000" w:rsidRPr="00000000" w14:paraId="0000005C">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Choudhury, P. (2020). </w:t>
      </w:r>
      <w:r w:rsidDel="00000000" w:rsidR="00000000" w:rsidRPr="00000000">
        <w:rPr>
          <w:i w:val="1"/>
          <w:sz w:val="24"/>
          <w:szCs w:val="24"/>
          <w:rtl w:val="0"/>
        </w:rPr>
        <w:t xml:space="preserve">Our Work-from-Anywhere Future</w:t>
      </w:r>
      <w:r w:rsidDel="00000000" w:rsidR="00000000" w:rsidRPr="00000000">
        <w:rPr>
          <w:sz w:val="24"/>
          <w:szCs w:val="24"/>
          <w:rtl w:val="0"/>
        </w:rPr>
        <w:t xml:space="preserve">. [online] Harvard Business Review. Available at: https://hbr.org/2020/11/our-work-from-anywhere-future.</w:t>
      </w:r>
    </w:p>
    <w:p w:rsidR="00000000" w:rsidDel="00000000" w:rsidP="00000000" w:rsidRDefault="00000000" w:rsidRPr="00000000" w14:paraId="0000005D">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Courtney, E. (2019). </w:t>
      </w:r>
      <w:r w:rsidDel="00000000" w:rsidR="00000000" w:rsidRPr="00000000">
        <w:rPr>
          <w:i w:val="1"/>
          <w:sz w:val="24"/>
          <w:szCs w:val="24"/>
          <w:rtl w:val="0"/>
        </w:rPr>
        <w:t xml:space="preserve">Remote Work Statistics for 2019: Shifting Norms and Expectations</w:t>
      </w:r>
      <w:r w:rsidDel="00000000" w:rsidR="00000000" w:rsidRPr="00000000">
        <w:rPr>
          <w:sz w:val="24"/>
          <w:szCs w:val="24"/>
          <w:rtl w:val="0"/>
        </w:rPr>
        <w:t xml:space="preserve">. [online] FlexJobs Job Search Tips and Blog. Available at: https://www.flexjobs.com/blog/post/remote-work-statistics/.</w:t>
      </w:r>
    </w:p>
    <w:p w:rsidR="00000000" w:rsidDel="00000000" w:rsidP="00000000" w:rsidRDefault="00000000" w:rsidRPr="00000000" w14:paraId="0000005E">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Courtney, E. (2022). </w:t>
      </w:r>
      <w:r w:rsidDel="00000000" w:rsidR="00000000" w:rsidRPr="00000000">
        <w:rPr>
          <w:i w:val="1"/>
          <w:sz w:val="24"/>
          <w:szCs w:val="24"/>
          <w:rtl w:val="0"/>
        </w:rPr>
        <w:t xml:space="preserve">The Benefits of Remote Work</w:t>
      </w:r>
      <w:r w:rsidDel="00000000" w:rsidR="00000000" w:rsidRPr="00000000">
        <w:rPr>
          <w:sz w:val="24"/>
          <w:szCs w:val="24"/>
          <w:rtl w:val="0"/>
        </w:rPr>
        <w:t xml:space="preserve">. [online] FlexJobs Job Search Tips and Blog. Available at: https://www.flexjobs.com/blog/post/benefits-of-remote-work/.</w:t>
      </w:r>
    </w:p>
    <w:p w:rsidR="00000000" w:rsidDel="00000000" w:rsidP="00000000" w:rsidRDefault="00000000" w:rsidRPr="00000000" w14:paraId="0000005F">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Gallup, I. (2019). </w:t>
      </w:r>
      <w:r w:rsidDel="00000000" w:rsidR="00000000" w:rsidRPr="00000000">
        <w:rPr>
          <w:i w:val="1"/>
          <w:sz w:val="24"/>
          <w:szCs w:val="24"/>
          <w:rtl w:val="0"/>
        </w:rPr>
        <w:t xml:space="preserve">Access Crucial Data for Your Research</w:t>
      </w:r>
      <w:r w:rsidDel="00000000" w:rsidR="00000000" w:rsidRPr="00000000">
        <w:rPr>
          <w:sz w:val="24"/>
          <w:szCs w:val="24"/>
          <w:rtl w:val="0"/>
        </w:rPr>
        <w:t xml:space="preserve">. [online] Gallup.com. Available at: https://www.gallup.com/analytics/213617/gallup-analytics.aspx.</w:t>
      </w:r>
    </w:p>
    <w:p w:rsidR="00000000" w:rsidDel="00000000" w:rsidP="00000000" w:rsidRDefault="00000000" w:rsidRPr="00000000" w14:paraId="00000060">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Kropp, B. and Mcrae, E.R. (2022). 11 Trends that Will Shape Work in 2022 and Beyond. </w:t>
      </w:r>
      <w:r w:rsidDel="00000000" w:rsidR="00000000" w:rsidRPr="00000000">
        <w:rPr>
          <w:i w:val="1"/>
          <w:sz w:val="24"/>
          <w:szCs w:val="24"/>
          <w:rtl w:val="0"/>
        </w:rPr>
        <w:t xml:space="preserve">Harvard Business Review</w:t>
      </w:r>
      <w:r w:rsidDel="00000000" w:rsidR="00000000" w:rsidRPr="00000000">
        <w:rPr>
          <w:sz w:val="24"/>
          <w:szCs w:val="24"/>
          <w:rtl w:val="0"/>
        </w:rPr>
        <w:t xml:space="preserve">. [online] 13 Jan. Available at: https://hbr.org/2022/01/11-trends-that-will-shape-work-in-2022-and-beyond.</w:t>
      </w:r>
    </w:p>
    <w:p w:rsidR="00000000" w:rsidDel="00000000" w:rsidP="00000000" w:rsidRDefault="00000000" w:rsidRPr="00000000" w14:paraId="00000061">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Nast, C. (n.d.). </w:t>
      </w:r>
      <w:r w:rsidDel="00000000" w:rsidR="00000000" w:rsidRPr="00000000">
        <w:rPr>
          <w:i w:val="1"/>
          <w:sz w:val="24"/>
          <w:szCs w:val="24"/>
          <w:rtl w:val="0"/>
        </w:rPr>
        <w:t xml:space="preserve">The Argument for Location-Based Salaries Is Falling Apart</w:t>
      </w:r>
      <w:r w:rsidDel="00000000" w:rsidR="00000000" w:rsidRPr="00000000">
        <w:rPr>
          <w:sz w:val="24"/>
          <w:szCs w:val="24"/>
          <w:rtl w:val="0"/>
        </w:rPr>
        <w:t xml:space="preserve">. [online] Wired UK. Available at: https://www.wired.co.uk/article/location-based-salary-discrepancy.</w:t>
      </w:r>
    </w:p>
    <w:p w:rsidR="00000000" w:rsidDel="00000000" w:rsidP="00000000" w:rsidRDefault="00000000" w:rsidRPr="00000000" w14:paraId="00000062">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NI Business Info (2020). </w:t>
      </w:r>
      <w:r w:rsidDel="00000000" w:rsidR="00000000" w:rsidRPr="00000000">
        <w:rPr>
          <w:i w:val="1"/>
          <w:sz w:val="24"/>
          <w:szCs w:val="24"/>
          <w:rtl w:val="0"/>
        </w:rPr>
        <w:t xml:space="preserve">Advantages and disadvantages of employees working at home</w:t>
      </w:r>
      <w:r w:rsidDel="00000000" w:rsidR="00000000" w:rsidRPr="00000000">
        <w:rPr>
          <w:sz w:val="24"/>
          <w:szCs w:val="24"/>
          <w:rtl w:val="0"/>
        </w:rPr>
        <w:t xml:space="preserve">. [online] nibusinessinfo.co.uk. Available at: https://www.nibusinessinfo.co.uk/content/advantages-and-disadvantages-employees-working-home.</w:t>
      </w:r>
    </w:p>
    <w:p w:rsidR="00000000" w:rsidDel="00000000" w:rsidP="00000000" w:rsidRDefault="00000000" w:rsidRPr="00000000" w14:paraId="00000063">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Payscale - Salary Comparison, Salary Survey, Search Wages. (n.d.). </w:t>
      </w:r>
      <w:r w:rsidDel="00000000" w:rsidR="00000000" w:rsidRPr="00000000">
        <w:rPr>
          <w:i w:val="1"/>
          <w:sz w:val="24"/>
          <w:szCs w:val="24"/>
          <w:rtl w:val="0"/>
        </w:rPr>
        <w:t xml:space="preserve">If you don’t have a compensation strategy for remote work, here’s where to start</w:t>
      </w:r>
      <w:r w:rsidDel="00000000" w:rsidR="00000000" w:rsidRPr="00000000">
        <w:rPr>
          <w:sz w:val="24"/>
          <w:szCs w:val="24"/>
          <w:rtl w:val="0"/>
        </w:rPr>
        <w:t xml:space="preserve">. [online] Available at: https://www.payscale.com/compensation-trends/if-you-dont-have-a-compensation-strategy-for-remote-work-heres-where-to-start/.</w:t>
      </w:r>
    </w:p>
    <w:p w:rsidR="00000000" w:rsidDel="00000000" w:rsidP="00000000" w:rsidRDefault="00000000" w:rsidRPr="00000000" w14:paraId="00000064">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Silvermann, B. (2020). </w:t>
      </w:r>
      <w:r w:rsidDel="00000000" w:rsidR="00000000" w:rsidRPr="00000000">
        <w:rPr>
          <w:i w:val="1"/>
          <w:sz w:val="24"/>
          <w:szCs w:val="24"/>
          <w:rtl w:val="0"/>
        </w:rPr>
        <w:t xml:space="preserve">How Working From Home Can Save Companies Money</w:t>
      </w:r>
      <w:r w:rsidDel="00000000" w:rsidR="00000000" w:rsidRPr="00000000">
        <w:rPr>
          <w:sz w:val="24"/>
          <w:szCs w:val="24"/>
          <w:rtl w:val="0"/>
        </w:rPr>
        <w:t xml:space="preserve">. [online] business.com. Available at: https://www.business.com/articles/working-from-home-save-money/.</w:t>
      </w:r>
    </w:p>
    <w:p w:rsidR="00000000" w:rsidDel="00000000" w:rsidP="00000000" w:rsidRDefault="00000000" w:rsidRPr="00000000" w14:paraId="00000065">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Women @ Work 2023 A Global Outlook. (n.d.). Available at: https://www2.deloitte.com/content/dam/Deloitte/mt/Documents/about-deloitte/deloitte-women-at-work-2023-a-global-outlook.pdf.</w:t>
      </w:r>
    </w:p>
    <w:p w:rsidR="00000000" w:rsidDel="00000000" w:rsidP="00000000" w:rsidRDefault="00000000" w:rsidRPr="00000000" w14:paraId="00000066">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sz w:val="24"/>
          <w:szCs w:val="24"/>
          <w:rtl w:val="0"/>
        </w:rPr>
        <w:t xml:space="preserve">work.iwgplc.com. (n.d.). </w:t>
      </w:r>
      <w:r w:rsidDel="00000000" w:rsidR="00000000" w:rsidRPr="00000000">
        <w:rPr>
          <w:i w:val="1"/>
          <w:sz w:val="24"/>
          <w:szCs w:val="24"/>
          <w:rtl w:val="0"/>
        </w:rPr>
        <w:t xml:space="preserve">IWG Global Workspace Survey - Flexible Working - IWG plc</w:t>
      </w:r>
      <w:r w:rsidDel="00000000" w:rsidR="00000000" w:rsidRPr="00000000">
        <w:rPr>
          <w:sz w:val="24"/>
          <w:szCs w:val="24"/>
          <w:rtl w:val="0"/>
        </w:rPr>
        <w:t xml:space="preserve">. [online] Available at: https://work.iwgplc.com/global-workspace-survey-2019.</w:t>
      </w:r>
    </w:p>
    <w:p w:rsidR="00000000" w:rsidDel="00000000" w:rsidP="00000000" w:rsidRDefault="00000000" w:rsidRPr="00000000" w14:paraId="00000067">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sz w:val="24"/>
          <w:szCs w:val="24"/>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