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E4F4E" w14:textId="1FB43794" w:rsidR="00A42E1B" w:rsidRDefault="00FA7A1E">
      <w:pPr>
        <w:spacing w:line="259" w:lineRule="auto"/>
        <w:jc w:val="left"/>
      </w:pPr>
      <w:r>
        <w:rPr>
          <w:noProof/>
        </w:rPr>
        <w:drawing>
          <wp:anchor distT="0" distB="0" distL="114300" distR="114300" simplePos="0" relativeHeight="251659264" behindDoc="0" locked="0" layoutInCell="1" allowOverlap="1" wp14:anchorId="5FC4E6BB" wp14:editId="333BA267">
            <wp:simplePos x="0" y="0"/>
            <wp:positionH relativeFrom="column">
              <wp:posOffset>382270</wp:posOffset>
            </wp:positionH>
            <wp:positionV relativeFrom="paragraph">
              <wp:posOffset>53975</wp:posOffset>
            </wp:positionV>
            <wp:extent cx="5196205" cy="1802130"/>
            <wp:effectExtent l="0" t="0" r="4445" b="7620"/>
            <wp:wrapTopAndBottom/>
            <wp:docPr id="120959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93944" name="Picture 1209593944"/>
                    <pic:cNvPicPr/>
                  </pic:nvPicPr>
                  <pic:blipFill>
                    <a:blip r:embed="rId7">
                      <a:extLst>
                        <a:ext uri="{28A0092B-C50C-407E-A947-70E740481C1C}">
                          <a14:useLocalDpi xmlns:a14="http://schemas.microsoft.com/office/drawing/2010/main" val="0"/>
                        </a:ext>
                      </a:extLst>
                    </a:blip>
                    <a:stretch>
                      <a:fillRect/>
                    </a:stretch>
                  </pic:blipFill>
                  <pic:spPr>
                    <a:xfrm>
                      <a:off x="0" y="0"/>
                      <a:ext cx="5196205" cy="1802130"/>
                    </a:xfrm>
                    <a:prstGeom prst="rect">
                      <a:avLst/>
                    </a:prstGeom>
                  </pic:spPr>
                </pic:pic>
              </a:graphicData>
            </a:graphic>
            <wp14:sizeRelH relativeFrom="margin">
              <wp14:pctWidth>0</wp14:pctWidth>
            </wp14:sizeRelH>
            <wp14:sizeRelV relativeFrom="margin">
              <wp14:pctHeight>0</wp14:pctHeight>
            </wp14:sizeRelV>
          </wp:anchor>
        </w:drawing>
      </w:r>
    </w:p>
    <w:p w14:paraId="62351E61" w14:textId="77777777" w:rsidR="00A42E1B" w:rsidRDefault="00A42E1B">
      <w:pPr>
        <w:spacing w:line="259" w:lineRule="auto"/>
        <w:jc w:val="left"/>
      </w:pPr>
    </w:p>
    <w:p w14:paraId="2ADB4E2D" w14:textId="77777777" w:rsidR="00A42E1B" w:rsidRDefault="00A42E1B">
      <w:pPr>
        <w:spacing w:line="259" w:lineRule="auto"/>
        <w:jc w:val="left"/>
      </w:pPr>
    </w:p>
    <w:p w14:paraId="3A52CD25" w14:textId="77777777" w:rsidR="00A42E1B" w:rsidRDefault="00A42E1B">
      <w:pPr>
        <w:spacing w:line="259" w:lineRule="auto"/>
        <w:jc w:val="left"/>
      </w:pPr>
    </w:p>
    <w:p w14:paraId="1594D225" w14:textId="77777777" w:rsidR="00A42E1B" w:rsidRDefault="00A42E1B">
      <w:pPr>
        <w:spacing w:line="259" w:lineRule="auto"/>
        <w:jc w:val="left"/>
      </w:pPr>
    </w:p>
    <w:p w14:paraId="094E96C8" w14:textId="77777777" w:rsidR="00A42E1B" w:rsidRDefault="00A42E1B">
      <w:pPr>
        <w:spacing w:line="259" w:lineRule="auto"/>
        <w:jc w:val="left"/>
      </w:pPr>
    </w:p>
    <w:p w14:paraId="26FB391F" w14:textId="77777777" w:rsidR="00A42E1B" w:rsidRDefault="00A42E1B">
      <w:pPr>
        <w:spacing w:line="259" w:lineRule="auto"/>
        <w:jc w:val="left"/>
      </w:pPr>
    </w:p>
    <w:p w14:paraId="0ECB1229" w14:textId="77777777" w:rsidR="00A42E1B" w:rsidRDefault="00A42E1B">
      <w:pPr>
        <w:spacing w:line="259" w:lineRule="auto"/>
        <w:jc w:val="left"/>
      </w:pPr>
    </w:p>
    <w:p w14:paraId="1F8475B4" w14:textId="77777777" w:rsidR="00A42E1B" w:rsidRDefault="00A42E1B">
      <w:pPr>
        <w:spacing w:line="259" w:lineRule="auto"/>
        <w:jc w:val="left"/>
      </w:pPr>
    </w:p>
    <w:p w14:paraId="37A446D1" w14:textId="77777777" w:rsidR="00A42E1B" w:rsidRPr="00CF589D" w:rsidRDefault="00CF589D" w:rsidP="00A42E1B">
      <w:pPr>
        <w:jc w:val="center"/>
        <w:rPr>
          <w:b/>
        </w:rPr>
      </w:pPr>
      <w:r w:rsidRPr="00CF589D">
        <w:rPr>
          <w:b/>
        </w:rPr>
        <w:t>Comparing National COVID-19 Leadership Responses</w:t>
      </w:r>
    </w:p>
    <w:p w14:paraId="343DA441" w14:textId="476D48C3" w:rsidR="00A42E1B" w:rsidRDefault="00A42E1B" w:rsidP="00A42E1B">
      <w:pPr>
        <w:jc w:val="center"/>
      </w:pPr>
      <w:r>
        <w:t>Student Name</w:t>
      </w:r>
      <w:r w:rsidR="00FA7A1E">
        <w:t xml:space="preserve"> : </w:t>
      </w:r>
      <w:proofErr w:type="spellStart"/>
      <w:r w:rsidR="00FA7A1E">
        <w:t>Meetkumar</w:t>
      </w:r>
      <w:proofErr w:type="spellEnd"/>
      <w:r w:rsidR="00FA7A1E">
        <w:t xml:space="preserve"> </w:t>
      </w:r>
      <w:proofErr w:type="spellStart"/>
      <w:r w:rsidR="00FA7A1E">
        <w:t>Vinodray</w:t>
      </w:r>
      <w:proofErr w:type="spellEnd"/>
      <w:r w:rsidR="00FA7A1E">
        <w:t xml:space="preserve"> </w:t>
      </w:r>
      <w:proofErr w:type="spellStart"/>
      <w:r w:rsidR="00FA7A1E">
        <w:t>Sangani</w:t>
      </w:r>
      <w:proofErr w:type="spellEnd"/>
      <w:r w:rsidR="00FA7A1E">
        <w:t xml:space="preserve"> </w:t>
      </w:r>
    </w:p>
    <w:p w14:paraId="3BD333C5" w14:textId="2B9CD186" w:rsidR="00A42E1B" w:rsidRDefault="00A42E1B" w:rsidP="00A42E1B">
      <w:pPr>
        <w:jc w:val="center"/>
      </w:pPr>
      <w:r>
        <w:t>Student ID</w:t>
      </w:r>
      <w:r w:rsidR="00FA7A1E">
        <w:t xml:space="preserve"> : 2435003</w:t>
      </w:r>
    </w:p>
    <w:p w14:paraId="12EA292B" w14:textId="3377FF0E" w:rsidR="00440A3F" w:rsidRDefault="00440A3F" w:rsidP="00440A3F">
      <w:pPr>
        <w:jc w:val="center"/>
      </w:pPr>
      <w:r>
        <w:t>Module code : LCHS7002</w:t>
      </w:r>
    </w:p>
    <w:p w14:paraId="1DB5A3D0" w14:textId="04F39FA2" w:rsidR="00440A3F" w:rsidRDefault="00440A3F" w:rsidP="00440A3F">
      <w:pPr>
        <w:jc w:val="center"/>
      </w:pPr>
      <w:r>
        <w:t>Module Title : Health Care System Organisation and Leadership</w:t>
      </w:r>
    </w:p>
    <w:p w14:paraId="3075E475" w14:textId="5C5A15D0" w:rsidR="00A42E1B" w:rsidRDefault="00440A3F" w:rsidP="00A42E1B">
      <w:pPr>
        <w:jc w:val="center"/>
      </w:pPr>
      <w:r>
        <w:t xml:space="preserve">Lecturer name : Shepherd </w:t>
      </w:r>
      <w:proofErr w:type="spellStart"/>
      <w:r>
        <w:t>Ziko</w:t>
      </w:r>
      <w:proofErr w:type="spellEnd"/>
    </w:p>
    <w:p w14:paraId="29F27B60" w14:textId="22E98E9F" w:rsidR="00A42E1B" w:rsidRPr="00FA7A1E" w:rsidRDefault="00A42E1B" w:rsidP="00FA7A1E">
      <w:r>
        <w:br w:type="page"/>
      </w:r>
    </w:p>
    <w:sdt>
      <w:sdtPr>
        <w:rPr>
          <w:rFonts w:ascii="Times New Roman" w:eastAsiaTheme="minorHAnsi" w:hAnsi="Times New Roman" w:cstheme="minorBidi"/>
          <w:color w:val="auto"/>
          <w:sz w:val="24"/>
          <w:szCs w:val="22"/>
          <w:lang w:val="en-IN"/>
        </w:rPr>
        <w:id w:val="125448078"/>
        <w:docPartObj>
          <w:docPartGallery w:val="Table of Contents"/>
          <w:docPartUnique/>
        </w:docPartObj>
      </w:sdtPr>
      <w:sdtEndPr>
        <w:rPr>
          <w:rFonts w:cs="Times New Roman"/>
          <w:b/>
          <w:bCs/>
          <w:noProof/>
          <w:szCs w:val="24"/>
        </w:rPr>
      </w:sdtEndPr>
      <w:sdtContent>
        <w:p w14:paraId="5673D65C" w14:textId="77777777" w:rsidR="00CF589D" w:rsidRPr="00CF589D" w:rsidRDefault="00CF589D" w:rsidP="00CF589D">
          <w:pPr>
            <w:pStyle w:val="TOCHeading"/>
            <w:spacing w:line="360" w:lineRule="auto"/>
            <w:jc w:val="center"/>
            <w:rPr>
              <w:rFonts w:ascii="Times New Roman" w:hAnsi="Times New Roman" w:cs="Times New Roman"/>
              <w:b/>
              <w:sz w:val="24"/>
              <w:szCs w:val="24"/>
            </w:rPr>
          </w:pPr>
          <w:r w:rsidRPr="00CF589D">
            <w:rPr>
              <w:rFonts w:ascii="Times New Roman" w:hAnsi="Times New Roman" w:cs="Times New Roman"/>
              <w:b/>
              <w:sz w:val="24"/>
              <w:szCs w:val="24"/>
            </w:rPr>
            <w:t>Table of Contents</w:t>
          </w:r>
        </w:p>
        <w:p w14:paraId="34F36203" w14:textId="77777777" w:rsidR="00CB00D6" w:rsidRDefault="00AB5977">
          <w:pPr>
            <w:pStyle w:val="TOC1"/>
            <w:tabs>
              <w:tab w:val="right" w:leader="dot" w:pos="9350"/>
            </w:tabs>
            <w:rPr>
              <w:rFonts w:asciiTheme="minorHAnsi" w:eastAsiaTheme="minorEastAsia" w:hAnsiTheme="minorHAnsi"/>
              <w:noProof/>
              <w:sz w:val="22"/>
              <w:lang w:val="en-US"/>
            </w:rPr>
          </w:pPr>
          <w:r w:rsidRPr="00CF589D">
            <w:rPr>
              <w:rFonts w:cs="Times New Roman"/>
              <w:szCs w:val="24"/>
            </w:rPr>
            <w:fldChar w:fldCharType="begin"/>
          </w:r>
          <w:r w:rsidR="00CF589D" w:rsidRPr="00CF589D">
            <w:rPr>
              <w:rFonts w:cs="Times New Roman"/>
              <w:szCs w:val="24"/>
            </w:rPr>
            <w:instrText xml:space="preserve"> TOC \o "1-3" \h \z \u </w:instrText>
          </w:r>
          <w:r w:rsidRPr="00CF589D">
            <w:rPr>
              <w:rFonts w:cs="Times New Roman"/>
              <w:szCs w:val="24"/>
            </w:rPr>
            <w:fldChar w:fldCharType="separate"/>
          </w:r>
          <w:hyperlink w:anchor="_Toc216004937" w:history="1">
            <w:r w:rsidR="00CB00D6" w:rsidRPr="00E61D58">
              <w:rPr>
                <w:rStyle w:val="Hyperlink"/>
                <w:noProof/>
              </w:rPr>
              <w:t>1. INTRODUCTION</w:t>
            </w:r>
            <w:r w:rsidR="00CB00D6">
              <w:rPr>
                <w:noProof/>
                <w:webHidden/>
              </w:rPr>
              <w:tab/>
            </w:r>
            <w:r w:rsidR="00CB00D6">
              <w:rPr>
                <w:noProof/>
                <w:webHidden/>
              </w:rPr>
              <w:fldChar w:fldCharType="begin"/>
            </w:r>
            <w:r w:rsidR="00CB00D6">
              <w:rPr>
                <w:noProof/>
                <w:webHidden/>
              </w:rPr>
              <w:instrText xml:space="preserve"> PAGEREF _Toc216004937 \h </w:instrText>
            </w:r>
            <w:r w:rsidR="00CB00D6">
              <w:rPr>
                <w:noProof/>
                <w:webHidden/>
              </w:rPr>
            </w:r>
            <w:r w:rsidR="00CB00D6">
              <w:rPr>
                <w:noProof/>
                <w:webHidden/>
              </w:rPr>
              <w:fldChar w:fldCharType="separate"/>
            </w:r>
            <w:r w:rsidR="00CB00D6">
              <w:rPr>
                <w:noProof/>
                <w:webHidden/>
              </w:rPr>
              <w:t>4</w:t>
            </w:r>
            <w:r w:rsidR="00CB00D6">
              <w:rPr>
                <w:noProof/>
                <w:webHidden/>
              </w:rPr>
              <w:fldChar w:fldCharType="end"/>
            </w:r>
          </w:hyperlink>
        </w:p>
        <w:p w14:paraId="7803D7B7"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38" w:history="1">
            <w:r w:rsidRPr="00E61D58">
              <w:rPr>
                <w:rStyle w:val="Hyperlink"/>
                <w:noProof/>
              </w:rPr>
              <w:t>1.1 Context of the COVID-19 Pandemic</w:t>
            </w:r>
            <w:r>
              <w:rPr>
                <w:noProof/>
                <w:webHidden/>
              </w:rPr>
              <w:tab/>
            </w:r>
            <w:r>
              <w:rPr>
                <w:noProof/>
                <w:webHidden/>
              </w:rPr>
              <w:fldChar w:fldCharType="begin"/>
            </w:r>
            <w:r>
              <w:rPr>
                <w:noProof/>
                <w:webHidden/>
              </w:rPr>
              <w:instrText xml:space="preserve"> PAGEREF _Toc216004938 \h </w:instrText>
            </w:r>
            <w:r>
              <w:rPr>
                <w:noProof/>
                <w:webHidden/>
              </w:rPr>
            </w:r>
            <w:r>
              <w:rPr>
                <w:noProof/>
                <w:webHidden/>
              </w:rPr>
              <w:fldChar w:fldCharType="separate"/>
            </w:r>
            <w:r>
              <w:rPr>
                <w:noProof/>
                <w:webHidden/>
              </w:rPr>
              <w:t>4</w:t>
            </w:r>
            <w:r>
              <w:rPr>
                <w:noProof/>
                <w:webHidden/>
              </w:rPr>
              <w:fldChar w:fldCharType="end"/>
            </w:r>
          </w:hyperlink>
        </w:p>
        <w:p w14:paraId="46778463"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39" w:history="1">
            <w:r w:rsidRPr="00E61D58">
              <w:rPr>
                <w:rStyle w:val="Hyperlink"/>
                <w:noProof/>
              </w:rPr>
              <w:t>1.2 Aim and Focus of the Report</w:t>
            </w:r>
            <w:r>
              <w:rPr>
                <w:noProof/>
                <w:webHidden/>
              </w:rPr>
              <w:tab/>
            </w:r>
            <w:r>
              <w:rPr>
                <w:noProof/>
                <w:webHidden/>
              </w:rPr>
              <w:fldChar w:fldCharType="begin"/>
            </w:r>
            <w:r>
              <w:rPr>
                <w:noProof/>
                <w:webHidden/>
              </w:rPr>
              <w:instrText xml:space="preserve"> PAGEREF _Toc216004939 \h </w:instrText>
            </w:r>
            <w:r>
              <w:rPr>
                <w:noProof/>
                <w:webHidden/>
              </w:rPr>
            </w:r>
            <w:r>
              <w:rPr>
                <w:noProof/>
                <w:webHidden/>
              </w:rPr>
              <w:fldChar w:fldCharType="separate"/>
            </w:r>
            <w:r>
              <w:rPr>
                <w:noProof/>
                <w:webHidden/>
              </w:rPr>
              <w:t>4</w:t>
            </w:r>
            <w:r>
              <w:rPr>
                <w:noProof/>
                <w:webHidden/>
              </w:rPr>
              <w:fldChar w:fldCharType="end"/>
            </w:r>
          </w:hyperlink>
        </w:p>
        <w:p w14:paraId="721E9C02"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0" w:history="1">
            <w:r w:rsidRPr="00E61D58">
              <w:rPr>
                <w:rStyle w:val="Hyperlink"/>
                <w:noProof/>
              </w:rPr>
              <w:t>1.3 Organisation of the Report</w:t>
            </w:r>
            <w:r>
              <w:rPr>
                <w:noProof/>
                <w:webHidden/>
              </w:rPr>
              <w:tab/>
            </w:r>
            <w:r>
              <w:rPr>
                <w:noProof/>
                <w:webHidden/>
              </w:rPr>
              <w:fldChar w:fldCharType="begin"/>
            </w:r>
            <w:r>
              <w:rPr>
                <w:noProof/>
                <w:webHidden/>
              </w:rPr>
              <w:instrText xml:space="preserve"> PAGEREF _Toc216004940 \h </w:instrText>
            </w:r>
            <w:r>
              <w:rPr>
                <w:noProof/>
                <w:webHidden/>
              </w:rPr>
            </w:r>
            <w:r>
              <w:rPr>
                <w:noProof/>
                <w:webHidden/>
              </w:rPr>
              <w:fldChar w:fldCharType="separate"/>
            </w:r>
            <w:r>
              <w:rPr>
                <w:noProof/>
                <w:webHidden/>
              </w:rPr>
              <w:t>4</w:t>
            </w:r>
            <w:r>
              <w:rPr>
                <w:noProof/>
                <w:webHidden/>
              </w:rPr>
              <w:fldChar w:fldCharType="end"/>
            </w:r>
          </w:hyperlink>
        </w:p>
        <w:p w14:paraId="1B53F4F6" w14:textId="77777777" w:rsidR="00CB00D6" w:rsidRDefault="00CB00D6">
          <w:pPr>
            <w:pStyle w:val="TOC1"/>
            <w:tabs>
              <w:tab w:val="right" w:leader="dot" w:pos="9350"/>
            </w:tabs>
            <w:rPr>
              <w:rFonts w:asciiTheme="minorHAnsi" w:eastAsiaTheme="minorEastAsia" w:hAnsiTheme="minorHAnsi"/>
              <w:noProof/>
              <w:sz w:val="22"/>
              <w:lang w:val="en-US"/>
            </w:rPr>
          </w:pPr>
          <w:hyperlink w:anchor="_Toc216004941" w:history="1">
            <w:r w:rsidRPr="00E61D58">
              <w:rPr>
                <w:rStyle w:val="Hyperlink"/>
                <w:noProof/>
              </w:rPr>
              <w:t>2. HEALTH-SYSTEM STRUCTURE &amp; CENTRALISATION ANALYSIS</w:t>
            </w:r>
            <w:r>
              <w:rPr>
                <w:noProof/>
                <w:webHidden/>
              </w:rPr>
              <w:tab/>
            </w:r>
            <w:r>
              <w:rPr>
                <w:noProof/>
                <w:webHidden/>
              </w:rPr>
              <w:fldChar w:fldCharType="begin"/>
            </w:r>
            <w:r>
              <w:rPr>
                <w:noProof/>
                <w:webHidden/>
              </w:rPr>
              <w:instrText xml:space="preserve"> PAGEREF _Toc216004941 \h </w:instrText>
            </w:r>
            <w:r>
              <w:rPr>
                <w:noProof/>
                <w:webHidden/>
              </w:rPr>
            </w:r>
            <w:r>
              <w:rPr>
                <w:noProof/>
                <w:webHidden/>
              </w:rPr>
              <w:fldChar w:fldCharType="separate"/>
            </w:r>
            <w:r>
              <w:rPr>
                <w:noProof/>
                <w:webHidden/>
              </w:rPr>
              <w:t>5</w:t>
            </w:r>
            <w:r>
              <w:rPr>
                <w:noProof/>
                <w:webHidden/>
              </w:rPr>
              <w:fldChar w:fldCharType="end"/>
            </w:r>
          </w:hyperlink>
        </w:p>
        <w:p w14:paraId="7EE93AFC"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2" w:history="1">
            <w:r w:rsidRPr="00E61D58">
              <w:rPr>
                <w:rStyle w:val="Hyperlink"/>
                <w:noProof/>
              </w:rPr>
              <w:t>2.1 Key Concepts and Analytical Framework</w:t>
            </w:r>
            <w:r>
              <w:rPr>
                <w:noProof/>
                <w:webHidden/>
              </w:rPr>
              <w:tab/>
            </w:r>
            <w:r>
              <w:rPr>
                <w:noProof/>
                <w:webHidden/>
              </w:rPr>
              <w:fldChar w:fldCharType="begin"/>
            </w:r>
            <w:r>
              <w:rPr>
                <w:noProof/>
                <w:webHidden/>
              </w:rPr>
              <w:instrText xml:space="preserve"> PAGEREF _Toc216004942 \h </w:instrText>
            </w:r>
            <w:r>
              <w:rPr>
                <w:noProof/>
                <w:webHidden/>
              </w:rPr>
            </w:r>
            <w:r>
              <w:rPr>
                <w:noProof/>
                <w:webHidden/>
              </w:rPr>
              <w:fldChar w:fldCharType="separate"/>
            </w:r>
            <w:r>
              <w:rPr>
                <w:noProof/>
                <w:webHidden/>
              </w:rPr>
              <w:t>5</w:t>
            </w:r>
            <w:r>
              <w:rPr>
                <w:noProof/>
                <w:webHidden/>
              </w:rPr>
              <w:fldChar w:fldCharType="end"/>
            </w:r>
          </w:hyperlink>
        </w:p>
        <w:p w14:paraId="5488C989"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3" w:history="1">
            <w:r w:rsidRPr="00E61D58">
              <w:rPr>
                <w:rStyle w:val="Hyperlink"/>
                <w:noProof/>
              </w:rPr>
              <w:t>2.2 Spain – Structural Analysis and COVID-19 Response</w:t>
            </w:r>
            <w:r>
              <w:rPr>
                <w:noProof/>
                <w:webHidden/>
              </w:rPr>
              <w:tab/>
            </w:r>
            <w:r>
              <w:rPr>
                <w:noProof/>
                <w:webHidden/>
              </w:rPr>
              <w:fldChar w:fldCharType="begin"/>
            </w:r>
            <w:r>
              <w:rPr>
                <w:noProof/>
                <w:webHidden/>
              </w:rPr>
              <w:instrText xml:space="preserve"> PAGEREF _Toc216004943 \h </w:instrText>
            </w:r>
            <w:r>
              <w:rPr>
                <w:noProof/>
                <w:webHidden/>
              </w:rPr>
            </w:r>
            <w:r>
              <w:rPr>
                <w:noProof/>
                <w:webHidden/>
              </w:rPr>
              <w:fldChar w:fldCharType="separate"/>
            </w:r>
            <w:r>
              <w:rPr>
                <w:noProof/>
                <w:webHidden/>
              </w:rPr>
              <w:t>6</w:t>
            </w:r>
            <w:r>
              <w:rPr>
                <w:noProof/>
                <w:webHidden/>
              </w:rPr>
              <w:fldChar w:fldCharType="end"/>
            </w:r>
          </w:hyperlink>
        </w:p>
        <w:p w14:paraId="1EA86D81"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4" w:history="1">
            <w:r w:rsidRPr="00E61D58">
              <w:rPr>
                <w:rStyle w:val="Hyperlink"/>
                <w:noProof/>
              </w:rPr>
              <w:t>2.3 South Korea – Structural Analysis and COVID-19 Response</w:t>
            </w:r>
            <w:r>
              <w:rPr>
                <w:noProof/>
                <w:webHidden/>
              </w:rPr>
              <w:tab/>
            </w:r>
            <w:r>
              <w:rPr>
                <w:noProof/>
                <w:webHidden/>
              </w:rPr>
              <w:fldChar w:fldCharType="begin"/>
            </w:r>
            <w:r>
              <w:rPr>
                <w:noProof/>
                <w:webHidden/>
              </w:rPr>
              <w:instrText xml:space="preserve"> PAGEREF _Toc216004944 \h </w:instrText>
            </w:r>
            <w:r>
              <w:rPr>
                <w:noProof/>
                <w:webHidden/>
              </w:rPr>
            </w:r>
            <w:r>
              <w:rPr>
                <w:noProof/>
                <w:webHidden/>
              </w:rPr>
              <w:fldChar w:fldCharType="separate"/>
            </w:r>
            <w:r>
              <w:rPr>
                <w:noProof/>
                <w:webHidden/>
              </w:rPr>
              <w:t>9</w:t>
            </w:r>
            <w:r>
              <w:rPr>
                <w:noProof/>
                <w:webHidden/>
              </w:rPr>
              <w:fldChar w:fldCharType="end"/>
            </w:r>
          </w:hyperlink>
        </w:p>
        <w:p w14:paraId="3E7DB472"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5" w:history="1">
            <w:r w:rsidRPr="00E61D58">
              <w:rPr>
                <w:rStyle w:val="Hyperlink"/>
                <w:noProof/>
              </w:rPr>
              <w:t>2.4 Canada – Structural Analysis and COVID-19 Response</w:t>
            </w:r>
            <w:r>
              <w:rPr>
                <w:noProof/>
                <w:webHidden/>
              </w:rPr>
              <w:tab/>
            </w:r>
            <w:r>
              <w:rPr>
                <w:noProof/>
                <w:webHidden/>
              </w:rPr>
              <w:fldChar w:fldCharType="begin"/>
            </w:r>
            <w:r>
              <w:rPr>
                <w:noProof/>
                <w:webHidden/>
              </w:rPr>
              <w:instrText xml:space="preserve"> PAGEREF _Toc216004945 \h </w:instrText>
            </w:r>
            <w:r>
              <w:rPr>
                <w:noProof/>
                <w:webHidden/>
              </w:rPr>
            </w:r>
            <w:r>
              <w:rPr>
                <w:noProof/>
                <w:webHidden/>
              </w:rPr>
              <w:fldChar w:fldCharType="separate"/>
            </w:r>
            <w:r>
              <w:rPr>
                <w:noProof/>
                <w:webHidden/>
              </w:rPr>
              <w:t>12</w:t>
            </w:r>
            <w:r>
              <w:rPr>
                <w:noProof/>
                <w:webHidden/>
              </w:rPr>
              <w:fldChar w:fldCharType="end"/>
            </w:r>
          </w:hyperlink>
        </w:p>
        <w:p w14:paraId="7780574C"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6" w:history="1">
            <w:r w:rsidRPr="00E61D58">
              <w:rPr>
                <w:rStyle w:val="Hyperlink"/>
                <w:noProof/>
              </w:rPr>
              <w:t>2.5 Cross-Country Structural Comparison</w:t>
            </w:r>
            <w:r>
              <w:rPr>
                <w:noProof/>
                <w:webHidden/>
              </w:rPr>
              <w:tab/>
            </w:r>
            <w:r>
              <w:rPr>
                <w:noProof/>
                <w:webHidden/>
              </w:rPr>
              <w:fldChar w:fldCharType="begin"/>
            </w:r>
            <w:r>
              <w:rPr>
                <w:noProof/>
                <w:webHidden/>
              </w:rPr>
              <w:instrText xml:space="preserve"> PAGEREF _Toc216004946 \h </w:instrText>
            </w:r>
            <w:r>
              <w:rPr>
                <w:noProof/>
                <w:webHidden/>
              </w:rPr>
            </w:r>
            <w:r>
              <w:rPr>
                <w:noProof/>
                <w:webHidden/>
              </w:rPr>
              <w:fldChar w:fldCharType="separate"/>
            </w:r>
            <w:r>
              <w:rPr>
                <w:noProof/>
                <w:webHidden/>
              </w:rPr>
              <w:t>14</w:t>
            </w:r>
            <w:r>
              <w:rPr>
                <w:noProof/>
                <w:webHidden/>
              </w:rPr>
              <w:fldChar w:fldCharType="end"/>
            </w:r>
          </w:hyperlink>
        </w:p>
        <w:p w14:paraId="11A1EF4E" w14:textId="77777777" w:rsidR="00CB00D6" w:rsidRDefault="00CB00D6">
          <w:pPr>
            <w:pStyle w:val="TOC1"/>
            <w:tabs>
              <w:tab w:val="right" w:leader="dot" w:pos="9350"/>
            </w:tabs>
            <w:rPr>
              <w:rFonts w:asciiTheme="minorHAnsi" w:eastAsiaTheme="minorEastAsia" w:hAnsiTheme="minorHAnsi"/>
              <w:noProof/>
              <w:sz w:val="22"/>
              <w:lang w:val="en-US"/>
            </w:rPr>
          </w:pPr>
          <w:hyperlink w:anchor="_Toc216004947" w:history="1">
            <w:r w:rsidRPr="00E61D58">
              <w:rPr>
                <w:rStyle w:val="Hyperlink"/>
                <w:noProof/>
              </w:rPr>
              <w:t>3. LEADERSHIP APPROACHES DURING COVID-19</w:t>
            </w:r>
            <w:r>
              <w:rPr>
                <w:noProof/>
                <w:webHidden/>
              </w:rPr>
              <w:tab/>
            </w:r>
            <w:r>
              <w:rPr>
                <w:noProof/>
                <w:webHidden/>
              </w:rPr>
              <w:fldChar w:fldCharType="begin"/>
            </w:r>
            <w:r>
              <w:rPr>
                <w:noProof/>
                <w:webHidden/>
              </w:rPr>
              <w:instrText xml:space="preserve"> PAGEREF _Toc216004947 \h </w:instrText>
            </w:r>
            <w:r>
              <w:rPr>
                <w:noProof/>
                <w:webHidden/>
              </w:rPr>
            </w:r>
            <w:r>
              <w:rPr>
                <w:noProof/>
                <w:webHidden/>
              </w:rPr>
              <w:fldChar w:fldCharType="separate"/>
            </w:r>
            <w:r>
              <w:rPr>
                <w:noProof/>
                <w:webHidden/>
              </w:rPr>
              <w:t>16</w:t>
            </w:r>
            <w:r>
              <w:rPr>
                <w:noProof/>
                <w:webHidden/>
              </w:rPr>
              <w:fldChar w:fldCharType="end"/>
            </w:r>
          </w:hyperlink>
        </w:p>
        <w:p w14:paraId="0C663E02"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8" w:history="1">
            <w:r w:rsidRPr="00E61D58">
              <w:rPr>
                <w:rStyle w:val="Hyperlink"/>
                <w:noProof/>
              </w:rPr>
              <w:t>3.1 Leadership Theoretical Background</w:t>
            </w:r>
            <w:r>
              <w:rPr>
                <w:noProof/>
                <w:webHidden/>
              </w:rPr>
              <w:tab/>
            </w:r>
            <w:r>
              <w:rPr>
                <w:noProof/>
                <w:webHidden/>
              </w:rPr>
              <w:fldChar w:fldCharType="begin"/>
            </w:r>
            <w:r>
              <w:rPr>
                <w:noProof/>
                <w:webHidden/>
              </w:rPr>
              <w:instrText xml:space="preserve"> PAGEREF _Toc216004948 \h </w:instrText>
            </w:r>
            <w:r>
              <w:rPr>
                <w:noProof/>
                <w:webHidden/>
              </w:rPr>
            </w:r>
            <w:r>
              <w:rPr>
                <w:noProof/>
                <w:webHidden/>
              </w:rPr>
              <w:fldChar w:fldCharType="separate"/>
            </w:r>
            <w:r>
              <w:rPr>
                <w:noProof/>
                <w:webHidden/>
              </w:rPr>
              <w:t>16</w:t>
            </w:r>
            <w:r>
              <w:rPr>
                <w:noProof/>
                <w:webHidden/>
              </w:rPr>
              <w:fldChar w:fldCharType="end"/>
            </w:r>
          </w:hyperlink>
        </w:p>
        <w:p w14:paraId="49658ED2"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49" w:history="1">
            <w:r w:rsidRPr="00E61D58">
              <w:rPr>
                <w:rStyle w:val="Hyperlink"/>
                <w:noProof/>
              </w:rPr>
              <w:t>3.2 Leadership in Spain – Analysis</w:t>
            </w:r>
            <w:r>
              <w:rPr>
                <w:noProof/>
                <w:webHidden/>
              </w:rPr>
              <w:tab/>
            </w:r>
            <w:r>
              <w:rPr>
                <w:noProof/>
                <w:webHidden/>
              </w:rPr>
              <w:fldChar w:fldCharType="begin"/>
            </w:r>
            <w:r>
              <w:rPr>
                <w:noProof/>
                <w:webHidden/>
              </w:rPr>
              <w:instrText xml:space="preserve"> PAGEREF _Toc216004949 \h </w:instrText>
            </w:r>
            <w:r>
              <w:rPr>
                <w:noProof/>
                <w:webHidden/>
              </w:rPr>
            </w:r>
            <w:r>
              <w:rPr>
                <w:noProof/>
                <w:webHidden/>
              </w:rPr>
              <w:fldChar w:fldCharType="separate"/>
            </w:r>
            <w:r>
              <w:rPr>
                <w:noProof/>
                <w:webHidden/>
              </w:rPr>
              <w:t>18</w:t>
            </w:r>
            <w:r>
              <w:rPr>
                <w:noProof/>
                <w:webHidden/>
              </w:rPr>
              <w:fldChar w:fldCharType="end"/>
            </w:r>
          </w:hyperlink>
        </w:p>
        <w:p w14:paraId="5824DBB0"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50" w:history="1">
            <w:r w:rsidRPr="00E61D58">
              <w:rPr>
                <w:rStyle w:val="Hyperlink"/>
                <w:noProof/>
              </w:rPr>
              <w:t>3.3 Leadership in South Korea – Analysis</w:t>
            </w:r>
            <w:r>
              <w:rPr>
                <w:noProof/>
                <w:webHidden/>
              </w:rPr>
              <w:tab/>
            </w:r>
            <w:r>
              <w:rPr>
                <w:noProof/>
                <w:webHidden/>
              </w:rPr>
              <w:fldChar w:fldCharType="begin"/>
            </w:r>
            <w:r>
              <w:rPr>
                <w:noProof/>
                <w:webHidden/>
              </w:rPr>
              <w:instrText xml:space="preserve"> PAGEREF _Toc216004950 \h </w:instrText>
            </w:r>
            <w:r>
              <w:rPr>
                <w:noProof/>
                <w:webHidden/>
              </w:rPr>
            </w:r>
            <w:r>
              <w:rPr>
                <w:noProof/>
                <w:webHidden/>
              </w:rPr>
              <w:fldChar w:fldCharType="separate"/>
            </w:r>
            <w:r>
              <w:rPr>
                <w:noProof/>
                <w:webHidden/>
              </w:rPr>
              <w:t>21</w:t>
            </w:r>
            <w:r>
              <w:rPr>
                <w:noProof/>
                <w:webHidden/>
              </w:rPr>
              <w:fldChar w:fldCharType="end"/>
            </w:r>
          </w:hyperlink>
        </w:p>
        <w:p w14:paraId="190CE122"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51" w:history="1">
            <w:r w:rsidRPr="00E61D58">
              <w:rPr>
                <w:rStyle w:val="Hyperlink"/>
                <w:noProof/>
              </w:rPr>
              <w:t>3.4 Leadership in Canada – Analysis</w:t>
            </w:r>
            <w:r>
              <w:rPr>
                <w:noProof/>
                <w:webHidden/>
              </w:rPr>
              <w:tab/>
            </w:r>
            <w:r>
              <w:rPr>
                <w:noProof/>
                <w:webHidden/>
              </w:rPr>
              <w:fldChar w:fldCharType="begin"/>
            </w:r>
            <w:r>
              <w:rPr>
                <w:noProof/>
                <w:webHidden/>
              </w:rPr>
              <w:instrText xml:space="preserve"> PAGEREF _Toc216004951 \h </w:instrText>
            </w:r>
            <w:r>
              <w:rPr>
                <w:noProof/>
                <w:webHidden/>
              </w:rPr>
            </w:r>
            <w:r>
              <w:rPr>
                <w:noProof/>
                <w:webHidden/>
              </w:rPr>
              <w:fldChar w:fldCharType="separate"/>
            </w:r>
            <w:r>
              <w:rPr>
                <w:noProof/>
                <w:webHidden/>
              </w:rPr>
              <w:t>24</w:t>
            </w:r>
            <w:r>
              <w:rPr>
                <w:noProof/>
                <w:webHidden/>
              </w:rPr>
              <w:fldChar w:fldCharType="end"/>
            </w:r>
          </w:hyperlink>
        </w:p>
        <w:p w14:paraId="1E2581F0" w14:textId="77777777" w:rsidR="00CB00D6" w:rsidRDefault="00CB00D6">
          <w:pPr>
            <w:pStyle w:val="TOC1"/>
            <w:tabs>
              <w:tab w:val="right" w:leader="dot" w:pos="9350"/>
            </w:tabs>
            <w:rPr>
              <w:rFonts w:asciiTheme="minorHAnsi" w:eastAsiaTheme="minorEastAsia" w:hAnsiTheme="minorHAnsi"/>
              <w:noProof/>
              <w:sz w:val="22"/>
              <w:lang w:val="en-US"/>
            </w:rPr>
          </w:pPr>
          <w:hyperlink w:anchor="_Toc216004952" w:history="1">
            <w:r w:rsidRPr="00E61D58">
              <w:rPr>
                <w:rStyle w:val="Hyperlink"/>
                <w:noProof/>
              </w:rPr>
              <w:t>4. CONCLUSION</w:t>
            </w:r>
            <w:r>
              <w:rPr>
                <w:noProof/>
                <w:webHidden/>
              </w:rPr>
              <w:tab/>
            </w:r>
            <w:r>
              <w:rPr>
                <w:noProof/>
                <w:webHidden/>
              </w:rPr>
              <w:fldChar w:fldCharType="begin"/>
            </w:r>
            <w:r>
              <w:rPr>
                <w:noProof/>
                <w:webHidden/>
              </w:rPr>
              <w:instrText xml:space="preserve"> PAGEREF _Toc216004952 \h </w:instrText>
            </w:r>
            <w:r>
              <w:rPr>
                <w:noProof/>
                <w:webHidden/>
              </w:rPr>
            </w:r>
            <w:r>
              <w:rPr>
                <w:noProof/>
                <w:webHidden/>
              </w:rPr>
              <w:fldChar w:fldCharType="separate"/>
            </w:r>
            <w:r>
              <w:rPr>
                <w:noProof/>
                <w:webHidden/>
              </w:rPr>
              <w:t>27</w:t>
            </w:r>
            <w:r>
              <w:rPr>
                <w:noProof/>
                <w:webHidden/>
              </w:rPr>
              <w:fldChar w:fldCharType="end"/>
            </w:r>
          </w:hyperlink>
        </w:p>
        <w:p w14:paraId="1FF68A96"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53" w:history="1">
            <w:r w:rsidRPr="00E61D58">
              <w:rPr>
                <w:rStyle w:val="Hyperlink"/>
                <w:noProof/>
              </w:rPr>
              <w:t>4.1 Core Insights</w:t>
            </w:r>
            <w:r>
              <w:rPr>
                <w:noProof/>
                <w:webHidden/>
              </w:rPr>
              <w:tab/>
            </w:r>
            <w:r>
              <w:rPr>
                <w:noProof/>
                <w:webHidden/>
              </w:rPr>
              <w:fldChar w:fldCharType="begin"/>
            </w:r>
            <w:r>
              <w:rPr>
                <w:noProof/>
                <w:webHidden/>
              </w:rPr>
              <w:instrText xml:space="preserve"> PAGEREF _Toc216004953 \h </w:instrText>
            </w:r>
            <w:r>
              <w:rPr>
                <w:noProof/>
                <w:webHidden/>
              </w:rPr>
            </w:r>
            <w:r>
              <w:rPr>
                <w:noProof/>
                <w:webHidden/>
              </w:rPr>
              <w:fldChar w:fldCharType="separate"/>
            </w:r>
            <w:r>
              <w:rPr>
                <w:noProof/>
                <w:webHidden/>
              </w:rPr>
              <w:t>27</w:t>
            </w:r>
            <w:r>
              <w:rPr>
                <w:noProof/>
                <w:webHidden/>
              </w:rPr>
              <w:fldChar w:fldCharType="end"/>
            </w:r>
          </w:hyperlink>
        </w:p>
        <w:p w14:paraId="502F7163" w14:textId="77777777" w:rsidR="00CB00D6" w:rsidRDefault="00CB00D6">
          <w:pPr>
            <w:pStyle w:val="TOC2"/>
            <w:tabs>
              <w:tab w:val="right" w:leader="dot" w:pos="9350"/>
            </w:tabs>
            <w:rPr>
              <w:rFonts w:asciiTheme="minorHAnsi" w:eastAsiaTheme="minorEastAsia" w:hAnsiTheme="minorHAnsi"/>
              <w:noProof/>
              <w:sz w:val="22"/>
              <w:lang w:val="en-US"/>
            </w:rPr>
          </w:pPr>
          <w:hyperlink w:anchor="_Toc216004954" w:history="1">
            <w:r w:rsidRPr="00E61D58">
              <w:rPr>
                <w:rStyle w:val="Hyperlink"/>
                <w:noProof/>
              </w:rPr>
              <w:t>4.2 Recommendations</w:t>
            </w:r>
            <w:r>
              <w:rPr>
                <w:noProof/>
                <w:webHidden/>
              </w:rPr>
              <w:tab/>
            </w:r>
            <w:r>
              <w:rPr>
                <w:noProof/>
                <w:webHidden/>
              </w:rPr>
              <w:fldChar w:fldCharType="begin"/>
            </w:r>
            <w:r>
              <w:rPr>
                <w:noProof/>
                <w:webHidden/>
              </w:rPr>
              <w:instrText xml:space="preserve"> PAGEREF _Toc216004954 \h </w:instrText>
            </w:r>
            <w:r>
              <w:rPr>
                <w:noProof/>
                <w:webHidden/>
              </w:rPr>
            </w:r>
            <w:r>
              <w:rPr>
                <w:noProof/>
                <w:webHidden/>
              </w:rPr>
              <w:fldChar w:fldCharType="separate"/>
            </w:r>
            <w:r>
              <w:rPr>
                <w:noProof/>
                <w:webHidden/>
              </w:rPr>
              <w:t>28</w:t>
            </w:r>
            <w:r>
              <w:rPr>
                <w:noProof/>
                <w:webHidden/>
              </w:rPr>
              <w:fldChar w:fldCharType="end"/>
            </w:r>
          </w:hyperlink>
        </w:p>
        <w:p w14:paraId="471DB516" w14:textId="77777777" w:rsidR="00CB00D6" w:rsidRDefault="00CB00D6">
          <w:pPr>
            <w:pStyle w:val="TOC1"/>
            <w:tabs>
              <w:tab w:val="right" w:leader="dot" w:pos="9350"/>
            </w:tabs>
            <w:rPr>
              <w:rFonts w:asciiTheme="minorHAnsi" w:eastAsiaTheme="minorEastAsia" w:hAnsiTheme="minorHAnsi"/>
              <w:noProof/>
              <w:sz w:val="22"/>
              <w:lang w:val="en-US"/>
            </w:rPr>
          </w:pPr>
          <w:hyperlink w:anchor="_Toc216004955" w:history="1">
            <w:r w:rsidRPr="00E61D58">
              <w:rPr>
                <w:rStyle w:val="Hyperlink"/>
                <w:noProof/>
              </w:rPr>
              <w:t>References List</w:t>
            </w:r>
            <w:r>
              <w:rPr>
                <w:noProof/>
                <w:webHidden/>
              </w:rPr>
              <w:tab/>
            </w:r>
            <w:r>
              <w:rPr>
                <w:noProof/>
                <w:webHidden/>
              </w:rPr>
              <w:fldChar w:fldCharType="begin"/>
            </w:r>
            <w:r>
              <w:rPr>
                <w:noProof/>
                <w:webHidden/>
              </w:rPr>
              <w:instrText xml:space="preserve"> PAGEREF _Toc216004955 \h </w:instrText>
            </w:r>
            <w:r>
              <w:rPr>
                <w:noProof/>
                <w:webHidden/>
              </w:rPr>
            </w:r>
            <w:r>
              <w:rPr>
                <w:noProof/>
                <w:webHidden/>
              </w:rPr>
              <w:fldChar w:fldCharType="separate"/>
            </w:r>
            <w:r>
              <w:rPr>
                <w:noProof/>
                <w:webHidden/>
              </w:rPr>
              <w:t>29</w:t>
            </w:r>
            <w:r>
              <w:rPr>
                <w:noProof/>
                <w:webHidden/>
              </w:rPr>
              <w:fldChar w:fldCharType="end"/>
            </w:r>
          </w:hyperlink>
        </w:p>
        <w:p w14:paraId="59B8E9D4" w14:textId="77777777" w:rsidR="00CB00D6" w:rsidRDefault="00CB00D6">
          <w:pPr>
            <w:pStyle w:val="TOC1"/>
            <w:tabs>
              <w:tab w:val="right" w:leader="dot" w:pos="9350"/>
            </w:tabs>
            <w:rPr>
              <w:rFonts w:asciiTheme="minorHAnsi" w:eastAsiaTheme="minorEastAsia" w:hAnsiTheme="minorHAnsi"/>
              <w:noProof/>
              <w:sz w:val="22"/>
              <w:lang w:val="en-US"/>
            </w:rPr>
          </w:pPr>
          <w:hyperlink w:anchor="_Toc216004956" w:history="1">
            <w:r w:rsidRPr="00E61D58">
              <w:rPr>
                <w:rStyle w:val="Hyperlink"/>
                <w:noProof/>
              </w:rPr>
              <w:t>Reference of Images</w:t>
            </w:r>
            <w:r>
              <w:rPr>
                <w:noProof/>
                <w:webHidden/>
              </w:rPr>
              <w:tab/>
            </w:r>
            <w:r>
              <w:rPr>
                <w:noProof/>
                <w:webHidden/>
              </w:rPr>
              <w:fldChar w:fldCharType="begin"/>
            </w:r>
            <w:r>
              <w:rPr>
                <w:noProof/>
                <w:webHidden/>
              </w:rPr>
              <w:instrText xml:space="preserve"> PAGEREF _Toc216004956 \h </w:instrText>
            </w:r>
            <w:r>
              <w:rPr>
                <w:noProof/>
                <w:webHidden/>
              </w:rPr>
            </w:r>
            <w:r>
              <w:rPr>
                <w:noProof/>
                <w:webHidden/>
              </w:rPr>
              <w:fldChar w:fldCharType="separate"/>
            </w:r>
            <w:r>
              <w:rPr>
                <w:noProof/>
                <w:webHidden/>
              </w:rPr>
              <w:t>34</w:t>
            </w:r>
            <w:r>
              <w:rPr>
                <w:noProof/>
                <w:webHidden/>
              </w:rPr>
              <w:fldChar w:fldCharType="end"/>
            </w:r>
          </w:hyperlink>
        </w:p>
        <w:p w14:paraId="25EF45E1" w14:textId="77777777" w:rsidR="00CF589D" w:rsidRPr="00CF589D" w:rsidRDefault="00AB5977" w:rsidP="00CF589D">
          <w:pPr>
            <w:spacing w:line="360" w:lineRule="auto"/>
            <w:rPr>
              <w:rFonts w:cs="Times New Roman"/>
              <w:szCs w:val="24"/>
            </w:rPr>
          </w:pPr>
          <w:r w:rsidRPr="00CF589D">
            <w:rPr>
              <w:rFonts w:cs="Times New Roman"/>
              <w:b/>
              <w:bCs/>
              <w:noProof/>
              <w:szCs w:val="24"/>
            </w:rPr>
            <w:fldChar w:fldCharType="end"/>
          </w:r>
        </w:p>
      </w:sdtContent>
    </w:sdt>
    <w:p w14:paraId="675896BD" w14:textId="77777777" w:rsidR="00A42E1B" w:rsidRDefault="00A42E1B">
      <w:pPr>
        <w:spacing w:line="259" w:lineRule="auto"/>
        <w:jc w:val="left"/>
        <w:rPr>
          <w:rFonts w:eastAsiaTheme="majorEastAsia" w:cstheme="majorBidi"/>
          <w:b/>
          <w:szCs w:val="32"/>
        </w:rPr>
      </w:pPr>
      <w:r>
        <w:br w:type="page"/>
      </w:r>
    </w:p>
    <w:p w14:paraId="4C9BADDF" w14:textId="77777777" w:rsidR="00A42E1B" w:rsidRPr="00A42E1B" w:rsidRDefault="00A42E1B" w:rsidP="00A42E1B">
      <w:pPr>
        <w:pStyle w:val="Heading1"/>
      </w:pPr>
      <w:bookmarkStart w:id="0" w:name="_Toc216004937"/>
      <w:r w:rsidRPr="00A42E1B">
        <w:t>1. INTRODUCTION</w:t>
      </w:r>
      <w:bookmarkEnd w:id="0"/>
    </w:p>
    <w:p w14:paraId="0B6A1C5B" w14:textId="77777777" w:rsidR="00A42E1B" w:rsidRPr="00A42E1B" w:rsidRDefault="00A42E1B" w:rsidP="00A42E1B">
      <w:pPr>
        <w:pStyle w:val="Heading2"/>
      </w:pPr>
      <w:bookmarkStart w:id="1" w:name="_Toc216004938"/>
      <w:r w:rsidRPr="00A42E1B">
        <w:t>1.1 Context of the COVID-19 Pandemic</w:t>
      </w:r>
      <w:bookmarkEnd w:id="1"/>
    </w:p>
    <w:p w14:paraId="00CE8875" w14:textId="77777777" w:rsidR="00A42E1B" w:rsidRPr="00A42E1B" w:rsidRDefault="006D6E38" w:rsidP="006D6E38">
      <w:r>
        <w:t xml:space="preserve">COVID-19 became an international health crisis that affects all states and burdens health systems. National leadership was of great importance during the crisis. Leaders were forced to make decisions with haste, to give instructions to people on what to do and arrange health services. The response of a country was also dictated by the manner in which each health system was established. Comparing Spain, South Korea and Canada is beneficial since the systems and the leadership styles are very different </w:t>
      </w:r>
      <w:r w:rsidR="00FB6FCC" w:rsidRPr="00FB6FCC">
        <w:t>(</w:t>
      </w:r>
      <w:proofErr w:type="spellStart"/>
      <w:r w:rsidR="00FB6FCC" w:rsidRPr="00FB6FCC">
        <w:t>Assefa</w:t>
      </w:r>
      <w:proofErr w:type="spellEnd"/>
      <w:r w:rsidR="00FB6FCC" w:rsidRPr="00FB6FCC">
        <w:t xml:space="preserve"> et al., 2022)</w:t>
      </w:r>
      <w:r w:rsidR="00FB6FCC">
        <w:t>.</w:t>
      </w:r>
    </w:p>
    <w:p w14:paraId="0E55A93A" w14:textId="77777777" w:rsidR="00A42E1B" w:rsidRPr="00A42E1B" w:rsidRDefault="00A42E1B" w:rsidP="00A42E1B">
      <w:pPr>
        <w:pStyle w:val="Heading2"/>
      </w:pPr>
      <w:bookmarkStart w:id="2" w:name="_Toc216004939"/>
      <w:r w:rsidRPr="00A42E1B">
        <w:t>1.2 Aim and Focus of the Report</w:t>
      </w:r>
      <w:bookmarkEnd w:id="2"/>
    </w:p>
    <w:p w14:paraId="0749DCCF" w14:textId="77777777" w:rsidR="00A42E1B" w:rsidRPr="00A42E1B" w:rsidRDefault="002A024C" w:rsidP="00A42E1B">
      <w:r w:rsidRPr="002A024C">
        <w:t>In this report, the author focuses on the impact of the organization and leaders of health systems on the COVID-19 response in Spain, South Korea, and Canada. It discusses how each health system was based either in a centralised or decentralised manner and what the leaders had done throughout the crisis. These concepts are also related to the report to such issues as governance, systems thinking, and the effectiveness of leadership in a case of a p</w:t>
      </w:r>
      <w:r>
        <w:t xml:space="preserve">ublic health emergency </w:t>
      </w:r>
      <w:r w:rsidR="00FB6FCC" w:rsidRPr="00FB6FCC">
        <w:t xml:space="preserve">(Glenn, Chaumont and Villalobos </w:t>
      </w:r>
      <w:proofErr w:type="spellStart"/>
      <w:r w:rsidR="00FB6FCC" w:rsidRPr="00FB6FCC">
        <w:t>Dintrans</w:t>
      </w:r>
      <w:proofErr w:type="spellEnd"/>
      <w:r w:rsidR="00FB6FCC" w:rsidRPr="00FB6FCC">
        <w:t>, 2020)</w:t>
      </w:r>
      <w:r w:rsidR="00FB6FCC">
        <w:t>.</w:t>
      </w:r>
    </w:p>
    <w:p w14:paraId="37A89BCC" w14:textId="77777777" w:rsidR="00A42E1B" w:rsidRPr="00A42E1B" w:rsidRDefault="00A42E1B" w:rsidP="00A42E1B">
      <w:pPr>
        <w:pStyle w:val="Heading2"/>
      </w:pPr>
      <w:bookmarkStart w:id="3" w:name="_Toc216004940"/>
      <w:r w:rsidRPr="00A42E1B">
        <w:t>1.3 Organisation of the Report</w:t>
      </w:r>
      <w:bookmarkEnd w:id="3"/>
    </w:p>
    <w:p w14:paraId="5A6DB1D8" w14:textId="77777777" w:rsidR="00A42E1B" w:rsidRPr="00A42E1B" w:rsidRDefault="002A024C" w:rsidP="002A024C">
      <w:r>
        <w:t>Section 2 examines the way the health system of each country is organized and how the top-down (centralisation) or bottom-up (decentralisation) decisions influenced how this country coped during the pandemic. Section 3 discusses how leaders of various countries responded to the crisis and how the decisions that they made contributed or contributed negatively to the outcome of their countries. Section 4 provides the major highlights that emerged during the review and recommends on how future responses to pandemic can be improved</w:t>
      </w:r>
      <w:r w:rsidR="00A42E1B" w:rsidRPr="00A42E1B">
        <w:t>.</w:t>
      </w:r>
    </w:p>
    <w:p w14:paraId="3D4C8DB3" w14:textId="77777777" w:rsidR="00A42E1B" w:rsidRPr="00A42E1B" w:rsidRDefault="00A42E1B" w:rsidP="00A42E1B">
      <w:pPr>
        <w:pStyle w:val="Heading1"/>
      </w:pPr>
      <w:bookmarkStart w:id="4" w:name="_Toc216004941"/>
      <w:r w:rsidRPr="00A42E1B">
        <w:t>2</w:t>
      </w:r>
      <w:r>
        <w:t xml:space="preserve">. </w:t>
      </w:r>
      <w:r w:rsidRPr="00A42E1B">
        <w:t>HEALTH-SYSTEM STRUCTURE &amp; CENTRALISATION ANALYSIS</w:t>
      </w:r>
      <w:bookmarkEnd w:id="4"/>
    </w:p>
    <w:p w14:paraId="3CE4EAE3" w14:textId="77777777" w:rsidR="00A42E1B" w:rsidRPr="00A42E1B" w:rsidRDefault="00A42E1B" w:rsidP="00A42E1B">
      <w:pPr>
        <w:pStyle w:val="Heading2"/>
      </w:pPr>
      <w:bookmarkStart w:id="5" w:name="_Toc216004942"/>
      <w:r w:rsidRPr="00A42E1B">
        <w:t>2.1 Key Concepts and Analytical Framework</w:t>
      </w:r>
      <w:bookmarkEnd w:id="5"/>
    </w:p>
    <w:p w14:paraId="3513DEA8" w14:textId="77777777" w:rsidR="00A42E1B" w:rsidRPr="00A42E1B" w:rsidRDefault="002A024C" w:rsidP="002A024C">
      <w:r>
        <w:t>The systems of health in the world are established differently. A significant difference exists in terms of whether centralised or decentralised. On a centralised model, most health decisions are controlled by the national government therefore creating regulations that guide the entire nation and conducting various public health actions. The situation is typically the same policies and the national agencies are at the forefront of emergency responses. Decentralised system is one in which the power of regional or local authorities is increased. They operate hospitals, make public-health decisions and are also able</w:t>
      </w:r>
      <w:r w:rsidR="002A393F">
        <w:t xml:space="preserve"> to make their own regulations </w:t>
      </w:r>
      <w:r w:rsidR="00FB6FCC" w:rsidRPr="00FB6FCC">
        <w:t xml:space="preserve">(Sujata </w:t>
      </w:r>
      <w:proofErr w:type="spellStart"/>
      <w:r w:rsidR="00FB6FCC" w:rsidRPr="00FB6FCC">
        <w:t>Sapkota</w:t>
      </w:r>
      <w:proofErr w:type="spellEnd"/>
      <w:r w:rsidR="00FB6FCC" w:rsidRPr="00FB6FCC">
        <w:t xml:space="preserve"> et al., 2023)</w:t>
      </w:r>
      <w:r w:rsidR="00FB6FCC">
        <w:t>.</w:t>
      </w:r>
    </w:p>
    <w:p w14:paraId="5651A4DA" w14:textId="77777777" w:rsidR="00A42E1B" w:rsidRDefault="002A024C" w:rsidP="002A024C">
      <w:r>
        <w:t>The manner in which a health system is organized is important. Consider it as numerous components, which are interrelated. Testing, hospitals, data reporting, emergency laws, supply chains and leadership are all interdependent during a pandemic. The better these parts have been, the quicker is the response. In case of ineffective communication or coordination, the response is slow or unclear. Feedback loops also matter. When the information concerning additional infections is provided to the leaders in a timely manner he or she will be able to take an early action. In the event of delayed data, the virus propagates more rapidly.</w:t>
      </w:r>
      <w:r w:rsidR="002A393F">
        <w:t xml:space="preserve"> </w:t>
      </w:r>
      <w:r>
        <w:t xml:space="preserve">Their health system structure created more or less challenges to plan resources, inform and respond to action. Consideration of Spain, South Korea and Canada allows </w:t>
      </w:r>
      <w:r w:rsidR="00447725">
        <w:t>them</w:t>
      </w:r>
      <w:r>
        <w:t xml:space="preserve"> to observe how other structures resulted in other processes </w:t>
      </w:r>
      <w:r w:rsidR="00B32ED0" w:rsidRPr="00B32ED0">
        <w:t>(</w:t>
      </w:r>
      <w:proofErr w:type="spellStart"/>
      <w:r w:rsidR="00B32ED0" w:rsidRPr="00B32ED0">
        <w:t>Assefa</w:t>
      </w:r>
      <w:proofErr w:type="spellEnd"/>
      <w:r w:rsidR="00B32ED0" w:rsidRPr="00B32ED0">
        <w:t xml:space="preserve"> et al., 2022)</w:t>
      </w:r>
      <w:r w:rsidR="00B32ED0">
        <w:t>.</w:t>
      </w:r>
    </w:p>
    <w:p w14:paraId="152E2686" w14:textId="77777777" w:rsidR="003F1588" w:rsidRDefault="003F1588" w:rsidP="003F1588">
      <w:pPr>
        <w:jc w:val="center"/>
      </w:pPr>
      <w:r>
        <w:rPr>
          <w:noProof/>
          <w:lang w:val="en-US"/>
        </w:rPr>
        <w:drawing>
          <wp:inline distT="0" distB="0" distL="0" distR="0" wp14:anchorId="14366439" wp14:editId="05AF8EAA">
            <wp:extent cx="3937022" cy="3562350"/>
            <wp:effectExtent l="0" t="0" r="6350" b="0"/>
            <wp:docPr id="2" name="Picture 2" descr="Analytical framework of four asp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alytical framework of four aspec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4719" cy="3569315"/>
                    </a:xfrm>
                    <a:prstGeom prst="rect">
                      <a:avLst/>
                    </a:prstGeom>
                    <a:noFill/>
                    <a:ln>
                      <a:noFill/>
                    </a:ln>
                  </pic:spPr>
                </pic:pic>
              </a:graphicData>
            </a:graphic>
          </wp:inline>
        </w:drawing>
      </w:r>
    </w:p>
    <w:p w14:paraId="2688A8AA" w14:textId="77777777" w:rsidR="003F1588" w:rsidRPr="003F1588" w:rsidRDefault="003F1588" w:rsidP="003F1588">
      <w:pPr>
        <w:spacing w:line="240" w:lineRule="auto"/>
        <w:jc w:val="center"/>
        <w:rPr>
          <w:rFonts w:eastAsia="Times New Roman" w:cs="Times New Roman"/>
          <w:b/>
          <w:szCs w:val="24"/>
          <w:lang w:eastAsia="en-IN"/>
        </w:rPr>
      </w:pPr>
      <w:r w:rsidRPr="003F1588">
        <w:rPr>
          <w:b/>
        </w:rPr>
        <w:t>Figure 1: Analytical Framework</w:t>
      </w:r>
      <w:r w:rsidR="002A393F">
        <w:rPr>
          <w:b/>
        </w:rPr>
        <w:t xml:space="preserve"> </w:t>
      </w:r>
      <w:r w:rsidRPr="003F1588">
        <w:rPr>
          <w:rFonts w:eastAsia="Times New Roman" w:cs="Times New Roman"/>
          <w:b/>
          <w:szCs w:val="24"/>
          <w:lang w:eastAsia="en-IN"/>
        </w:rPr>
        <w:t>(</w:t>
      </w:r>
      <w:proofErr w:type="spellStart"/>
      <w:r w:rsidRPr="003F1588">
        <w:rPr>
          <w:rFonts w:eastAsia="Times New Roman" w:cs="Times New Roman"/>
          <w:b/>
          <w:szCs w:val="24"/>
          <w:lang w:eastAsia="en-IN"/>
        </w:rPr>
        <w:t>Ebrary</w:t>
      </w:r>
      <w:proofErr w:type="spellEnd"/>
      <w:r w:rsidRPr="003F1588">
        <w:rPr>
          <w:rFonts w:eastAsia="Times New Roman" w:cs="Times New Roman"/>
          <w:b/>
          <w:szCs w:val="24"/>
          <w:lang w:eastAsia="en-IN"/>
        </w:rPr>
        <w:t>, 2017)</w:t>
      </w:r>
    </w:p>
    <w:p w14:paraId="63BB4E42" w14:textId="77777777" w:rsidR="00A42E1B" w:rsidRPr="00A42E1B" w:rsidRDefault="00A42E1B" w:rsidP="00A42E1B">
      <w:pPr>
        <w:pStyle w:val="Heading2"/>
      </w:pPr>
      <w:bookmarkStart w:id="6" w:name="_Toc216004943"/>
      <w:r w:rsidRPr="00A42E1B">
        <w:t>2.2 Spain – Structural Analysis and COVID-19 Response</w:t>
      </w:r>
      <w:bookmarkEnd w:id="6"/>
    </w:p>
    <w:p w14:paraId="23B62547" w14:textId="77777777" w:rsidR="00A42E1B" w:rsidRPr="00A42E1B" w:rsidRDefault="00A42E1B" w:rsidP="00A42E1B">
      <w:pPr>
        <w:rPr>
          <w:b/>
          <w:bCs/>
        </w:rPr>
      </w:pPr>
      <w:r w:rsidRPr="00A42E1B">
        <w:rPr>
          <w:b/>
          <w:bCs/>
        </w:rPr>
        <w:t xml:space="preserve">2.2.1 Governance Structure Before COVID-19 </w:t>
      </w:r>
    </w:p>
    <w:p w14:paraId="1DC0CC78" w14:textId="77777777" w:rsidR="00A42E1B" w:rsidRPr="00A42E1B" w:rsidRDefault="000E7B24" w:rsidP="00A42E1B">
      <w:r w:rsidRPr="000E7B24">
        <w:t>Prior to the COVID-19, the Spanish health system was highly decentralized. Spain is split into 17 autonomous regions and every autonomous region holds a strong dominance on health care, functioning of hospitals, and the work of public health, and health budgets. The national Ministry of Health is an important participant, but it primarily provides directions, coordinates national po</w:t>
      </w:r>
      <w:r w:rsidR="002A393F">
        <w:t xml:space="preserve">licies and assists in planning </w:t>
      </w:r>
      <w:r w:rsidR="00B32ED0" w:rsidRPr="00B32ED0">
        <w:t>(Peña-Ramos et al., 2021)</w:t>
      </w:r>
      <w:r w:rsidR="00B32ED0">
        <w:t>.</w:t>
      </w:r>
    </w:p>
    <w:p w14:paraId="0870C980" w14:textId="77777777" w:rsidR="000E7B24" w:rsidRDefault="000E7B24" w:rsidP="000E7B24">
      <w:r>
        <w:t>This building was advantageous in normal times. Areas were able to develop health services that were in line with the population demands. As an illustration, they might determine the number of hospitals, the way to run local health programs, as well as the manner in which they would structure care in the community. This flexibility provided innovativeness and local solutions.</w:t>
      </w:r>
    </w:p>
    <w:p w14:paraId="69EEE5ED" w14:textId="77777777" w:rsidR="00A42E1B" w:rsidRPr="00A42E1B" w:rsidRDefault="000E7B24" w:rsidP="000E7B24">
      <w:r>
        <w:t xml:space="preserve">The decentralisation, however, brought in its own vulnerabilities. Due to the variance in the digital systems, hospital resource, disease surveillance and public health staffing, each region had its own system to manage. There was no consistency in data reporting and the national planning was occasionally complicated by the differentiation between regions. No powerful national mechanism existed so that the coordination in all regions is made. </w:t>
      </w:r>
    </w:p>
    <w:p w14:paraId="0CF7984E" w14:textId="77777777" w:rsidR="00A42E1B" w:rsidRPr="00A42E1B" w:rsidRDefault="00A42E1B" w:rsidP="00A42E1B">
      <w:pPr>
        <w:rPr>
          <w:b/>
          <w:bCs/>
        </w:rPr>
      </w:pPr>
      <w:r w:rsidRPr="00A42E1B">
        <w:rPr>
          <w:b/>
          <w:bCs/>
        </w:rPr>
        <w:t xml:space="preserve">2.2.2 Shift </w:t>
      </w:r>
      <w:r w:rsidR="00804AC1" w:rsidRPr="00A42E1B">
        <w:rPr>
          <w:b/>
          <w:bCs/>
        </w:rPr>
        <w:t>toward</w:t>
      </w:r>
      <w:r w:rsidRPr="00A42E1B">
        <w:rPr>
          <w:b/>
          <w:bCs/>
        </w:rPr>
        <w:t xml:space="preserve"> Centralised Control During COVID-19 </w:t>
      </w:r>
    </w:p>
    <w:p w14:paraId="119AAEB2" w14:textId="77777777" w:rsidR="00A42E1B" w:rsidRPr="00A42E1B" w:rsidRDefault="00804AC1" w:rsidP="00804AC1">
      <w:r>
        <w:t xml:space="preserve">During the early months of 2020, when the pandemic hit Spain, a large number of individuals became ill. Every region was making its own decisions and this became confusing. To address this, the national government was in March 2020 declared to be in an emergency. This was a big change. It returned the authority to the regions to the national government. All significant decisions were suddenly put under the jurisdiction of the Ministry of Health </w:t>
      </w:r>
      <w:r w:rsidR="00B32ED0" w:rsidRPr="00B32ED0">
        <w:t>(</w:t>
      </w:r>
      <w:proofErr w:type="spellStart"/>
      <w:r w:rsidR="00B32ED0" w:rsidRPr="00B32ED0">
        <w:t>Hegele</w:t>
      </w:r>
      <w:proofErr w:type="spellEnd"/>
      <w:r w:rsidR="00B32ED0" w:rsidRPr="00B32ED0">
        <w:t xml:space="preserve"> and Schnabel, 2021)</w:t>
      </w:r>
      <w:r w:rsidR="00B32ED0">
        <w:t>.</w:t>
      </w:r>
    </w:p>
    <w:p w14:paraId="762CABA4" w14:textId="77777777" w:rsidR="00A42E1B" w:rsidRPr="00A42E1B" w:rsidRDefault="003A1F82" w:rsidP="003A1F82">
      <w:r>
        <w:t xml:space="preserve">This action had Spain temporarily running out of the </w:t>
      </w:r>
      <w:proofErr w:type="spellStart"/>
      <w:r>
        <w:t>center</w:t>
      </w:r>
      <w:proofErr w:type="spellEnd"/>
      <w:r>
        <w:t xml:space="preserve">. In the case of Spain, the national government established the same rules to all. The regulations included: the citizens were required to remain in their position, unessential shops and services were to close, all people were wearing masks, and hospitals were subject to special rules. The government had the opportunity to transfer supplies and manpower to another region such as medical equipment, ventilation apparatus and physicians. This was important since there were places that were overcrowded and those that were not. The same rules were required to be used in hospitals in order to provide care and day-to-day work. They increased intensive-care units, established temporary hospitals, and made decisions in common regarding how to test people. They reported all the information into a single central system to understand the movement of the virus </w:t>
      </w:r>
      <w:r w:rsidR="00B32ED0" w:rsidRPr="00B32ED0">
        <w:t>(Borges de Oliveira et al., 2021)</w:t>
      </w:r>
      <w:r w:rsidR="00B32ED0">
        <w:t>.</w:t>
      </w:r>
    </w:p>
    <w:p w14:paraId="2AC1AFA3" w14:textId="77777777" w:rsidR="00A42E1B" w:rsidRPr="00A42E1B" w:rsidRDefault="003A1F82" w:rsidP="00A42E1B">
      <w:r w:rsidRPr="003A1F82">
        <w:t xml:space="preserve">The vicious national lockdown was difficult to individuals, yet it reduced the virus. The initial centralisation aided Spain in reconquering the first disorderly weeks. </w:t>
      </w:r>
    </w:p>
    <w:p w14:paraId="637BB9D5" w14:textId="77777777" w:rsidR="00A42E1B" w:rsidRPr="00A42E1B" w:rsidRDefault="00A42E1B" w:rsidP="00A42E1B">
      <w:pPr>
        <w:rPr>
          <w:b/>
          <w:bCs/>
        </w:rPr>
      </w:pPr>
      <w:r w:rsidRPr="00A42E1B">
        <w:rPr>
          <w:b/>
          <w:bCs/>
        </w:rPr>
        <w:t xml:space="preserve">2.2.3 Outcomes and Structural Performance </w:t>
      </w:r>
    </w:p>
    <w:p w14:paraId="1C95145F" w14:textId="77777777" w:rsidR="00A42E1B" w:rsidRPr="00A42E1B" w:rsidRDefault="00772B9F" w:rsidP="00A42E1B">
      <w:r w:rsidRPr="00772B9F">
        <w:t>The Spanish grand strategy had its positive and negative results. One of the good things was that the concentrated power contributed to the health system not collapsing as the stress was experienced in the hospitals. The most affected regions could receive aid by the national government. This resulted in a more stable system, which was unlikely to go wrong. Subsequently, the immunization campaign was successful. A lot of individuals in every region across the nation received vaccinations, and this was partly due to the efforts of the national</w:t>
      </w:r>
      <w:r>
        <w:t xml:space="preserve"> team to simplify the process </w:t>
      </w:r>
      <w:r w:rsidR="00B32ED0" w:rsidRPr="00B32ED0">
        <w:t>(</w:t>
      </w:r>
      <w:proofErr w:type="spellStart"/>
      <w:r w:rsidR="00B32ED0" w:rsidRPr="00B32ED0">
        <w:t>Winkelmann</w:t>
      </w:r>
      <w:proofErr w:type="spellEnd"/>
      <w:r w:rsidR="00B32ED0" w:rsidRPr="00B32ED0">
        <w:t xml:space="preserve"> et al., 2021)</w:t>
      </w:r>
      <w:r w:rsidR="00B32ED0">
        <w:t>.</w:t>
      </w:r>
    </w:p>
    <w:p w14:paraId="1E3B3AE2" w14:textId="77777777" w:rsidR="00A42E1B" w:rsidRPr="00A42E1B" w:rsidRDefault="009E41F0" w:rsidP="00A42E1B">
      <w:r w:rsidRPr="009E41F0">
        <w:t>But bad results were also present. The delay in response was the primary issue. The spread of the virus was significantly high before the national government intervened because regions were left to decide first. Hospitals, more so in Madrid and Catalonia were crowded with the late action. The first wave was one of the deadliest in the whole of Europe. It diminished the confidence of people as the messages were not clear, and citizens were not aware of which rules existed when r</w:t>
      </w:r>
      <w:r>
        <w:t>egional powers were altered</w:t>
      </w:r>
      <w:r w:rsidR="00A42E1B" w:rsidRPr="00A42E1B">
        <w:t>.</w:t>
      </w:r>
    </w:p>
    <w:p w14:paraId="614EB6AF" w14:textId="77777777" w:rsidR="00A42E1B" w:rsidRDefault="009E41F0" w:rsidP="009E41F0">
      <w:r>
        <w:t>Regional differences were also a problem even when power was centralised. There were parts in which the national rules were adhered to more than in other areas which resulted in uneven outcomes. Subsequently, it was disputed when to open up and travel restrictions</w:t>
      </w:r>
      <w:r w:rsidR="002A393F">
        <w:t xml:space="preserve"> </w:t>
      </w:r>
      <w:r w:rsidR="00B32ED0" w:rsidRPr="00B32ED0">
        <w:t>(</w:t>
      </w:r>
      <w:proofErr w:type="spellStart"/>
      <w:r w:rsidR="00B32ED0" w:rsidRPr="00B32ED0">
        <w:t>Hernes</w:t>
      </w:r>
      <w:proofErr w:type="spellEnd"/>
      <w:r w:rsidR="00B32ED0" w:rsidRPr="00B32ED0">
        <w:t>, 2021)</w:t>
      </w:r>
      <w:r w:rsidR="00B32ED0">
        <w:t>.</w:t>
      </w:r>
    </w:p>
    <w:p w14:paraId="23C33576" w14:textId="77777777" w:rsidR="003F1588" w:rsidRDefault="003F1588" w:rsidP="003F1588">
      <w:pPr>
        <w:jc w:val="center"/>
      </w:pPr>
      <w:r>
        <w:rPr>
          <w:noProof/>
          <w:lang w:val="en-US"/>
        </w:rPr>
        <w:drawing>
          <wp:inline distT="0" distB="0" distL="0" distR="0" wp14:anchorId="3B00CCD3" wp14:editId="28BE95EB">
            <wp:extent cx="5238750" cy="3448050"/>
            <wp:effectExtent l="0" t="0" r="0" b="0"/>
            <wp:docPr id="4" name="Picture 4" descr="Urbansci 09 00008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rbansci 09 00008 g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448050"/>
                    </a:xfrm>
                    <a:prstGeom prst="rect">
                      <a:avLst/>
                    </a:prstGeom>
                    <a:noFill/>
                    <a:ln>
                      <a:noFill/>
                    </a:ln>
                  </pic:spPr>
                </pic:pic>
              </a:graphicData>
            </a:graphic>
          </wp:inline>
        </w:drawing>
      </w:r>
    </w:p>
    <w:p w14:paraId="12E6BA33" w14:textId="77777777" w:rsidR="003F1588" w:rsidRPr="003F1588" w:rsidRDefault="003F1588" w:rsidP="003F1588">
      <w:pPr>
        <w:jc w:val="center"/>
        <w:rPr>
          <w:b/>
        </w:rPr>
      </w:pPr>
      <w:r w:rsidRPr="003F1588">
        <w:rPr>
          <w:b/>
        </w:rPr>
        <w:t>Figure 2: Spain Structural Analysis (</w:t>
      </w:r>
      <w:proofErr w:type="spellStart"/>
      <w:r w:rsidRPr="003F1588">
        <w:rPr>
          <w:b/>
        </w:rPr>
        <w:t>Buceta-Albillos</w:t>
      </w:r>
      <w:proofErr w:type="spellEnd"/>
      <w:r w:rsidRPr="003F1588">
        <w:rPr>
          <w:b/>
        </w:rPr>
        <w:t xml:space="preserve"> and </w:t>
      </w:r>
      <w:proofErr w:type="spellStart"/>
      <w:r w:rsidRPr="003F1588">
        <w:rPr>
          <w:b/>
        </w:rPr>
        <w:t>Ayuga-Téllez</w:t>
      </w:r>
      <w:proofErr w:type="spellEnd"/>
      <w:r w:rsidRPr="003F1588">
        <w:rPr>
          <w:b/>
        </w:rPr>
        <w:t>, 2025)</w:t>
      </w:r>
    </w:p>
    <w:p w14:paraId="3881F132" w14:textId="77777777" w:rsidR="00A42E1B" w:rsidRDefault="00A42E1B" w:rsidP="00A42E1B">
      <w:pPr>
        <w:pStyle w:val="Heading2"/>
      </w:pPr>
      <w:bookmarkStart w:id="7" w:name="_Toc216004944"/>
      <w:r w:rsidRPr="00A42E1B">
        <w:t>2.3 South Korea – Structural Analysis and COVID-19 Response</w:t>
      </w:r>
      <w:bookmarkEnd w:id="7"/>
    </w:p>
    <w:p w14:paraId="6C0EED9E" w14:textId="77777777" w:rsidR="00A42E1B" w:rsidRPr="00A42E1B" w:rsidRDefault="00A42E1B" w:rsidP="00A42E1B">
      <w:pPr>
        <w:rPr>
          <w:b/>
          <w:bCs/>
        </w:rPr>
      </w:pPr>
      <w:r w:rsidRPr="00A42E1B">
        <w:rPr>
          <w:b/>
          <w:bCs/>
        </w:rPr>
        <w:t xml:space="preserve">2.3.1 Pre-existing National Health Governance </w:t>
      </w:r>
    </w:p>
    <w:p w14:paraId="13BEBA2A" w14:textId="77777777" w:rsidR="00A42E1B" w:rsidRPr="00A42E1B" w:rsidRDefault="009E41F0" w:rsidP="00A42E1B">
      <w:r w:rsidRPr="009E41F0">
        <w:t>South Korea entered the pandemic with a centralized health system. The Korea Disease Control and Prevention Agency (KDCA, formerly KCDC) served a distinct national purpose, which was monitoring diseases, conducting surveillance, gathering information, and influencing the decisions of citizens in terms of their health. The result of this central authority was that even prior to COVID-19, South Korea had good instruments of earl</w:t>
      </w:r>
      <w:r>
        <w:t xml:space="preserve">y detection and prompt response </w:t>
      </w:r>
      <w:r w:rsidR="00B32ED0" w:rsidRPr="00B32ED0">
        <w:t>(Jang, Lee and Park, 2025)</w:t>
      </w:r>
      <w:r w:rsidR="00B32ED0">
        <w:t>.</w:t>
      </w:r>
    </w:p>
    <w:p w14:paraId="16F8A92A" w14:textId="77777777" w:rsidR="009E41F0" w:rsidRDefault="009E41F0" w:rsidP="009E41F0">
      <w:r>
        <w:t>The national data systems of the South Korea were interconnected. Their infrastructure was also good to share information. The electronic health records were stored in hospitals and the information obtained over phones and laboratories was all linked together. This enabled the government to receive the current information real-time.</w:t>
      </w:r>
    </w:p>
    <w:p w14:paraId="5C7E63CF" w14:textId="77777777" w:rsidR="00A42E1B" w:rsidRPr="00A42E1B" w:rsidRDefault="009E41F0" w:rsidP="009E41F0">
      <w:r>
        <w:t>The second reason as to why South Korea was prepared is the MERS outbreak in 2015. The issues of that outbreak demonstrated that the government could do better in terms of law, more tests, and emergency planning. The country was able to react swiftly and systematically in case of COVID due to those lessons</w:t>
      </w:r>
      <w:r w:rsidR="00A42E1B" w:rsidRPr="00A42E1B">
        <w:t>.</w:t>
      </w:r>
    </w:p>
    <w:p w14:paraId="77C7D4D6" w14:textId="77777777" w:rsidR="00A42E1B" w:rsidRPr="00A42E1B" w:rsidRDefault="00A42E1B" w:rsidP="00A42E1B">
      <w:pPr>
        <w:rPr>
          <w:b/>
          <w:bCs/>
        </w:rPr>
      </w:pPr>
      <w:r w:rsidRPr="00A42E1B">
        <w:rPr>
          <w:b/>
          <w:bCs/>
        </w:rPr>
        <w:t xml:space="preserve">2.3.2 Centralised and Technology-Driven Response </w:t>
      </w:r>
    </w:p>
    <w:p w14:paraId="483D1160" w14:textId="77777777" w:rsidR="00A42E1B" w:rsidRPr="00A42E1B" w:rsidRDefault="00EC3C4B" w:rsidP="00A42E1B">
      <w:r w:rsidRPr="00EC3C4B">
        <w:t>South Korea did not take long to respond to the emergence of COVID-19. The government established swift border inspections and extra watching at the entry points. Meanwhile, the KDCA collaborated with the private firms to expedite the test kits, thus the country began mass testing sooner tha</w:t>
      </w:r>
      <w:r>
        <w:t xml:space="preserve">n the majority of other nations </w:t>
      </w:r>
      <w:r w:rsidR="00B32ED0" w:rsidRPr="00B32ED0">
        <w:t>(Wagner, 2022)</w:t>
      </w:r>
      <w:r w:rsidR="00B32ED0">
        <w:t>.</w:t>
      </w:r>
    </w:p>
    <w:p w14:paraId="69D05E79" w14:textId="77777777" w:rsidR="00EC3C4B" w:rsidRDefault="00EC3C4B" w:rsidP="00EC3C4B">
      <w:r>
        <w:t>Many testing stations in the country were established in South Korea. They also possessed drive-through and walk-through locations. Exams were either free or very inexpensive, and the outcome was very prompt. Due to the centralization of all the processes, it was possible to detect cases in the early stages and prevent the spread.</w:t>
      </w:r>
    </w:p>
    <w:p w14:paraId="79C5368C" w14:textId="77777777" w:rsidR="00A42E1B" w:rsidRPr="00A42E1B" w:rsidRDefault="00EC3C4B" w:rsidP="00EC3C4B">
      <w:r>
        <w:t xml:space="preserve">The national officials were eloquent in their speech. KDCA officials provided press briefings and updates related to the situation on a daily basis with their rules and clear instructions. People tended to know what to do since the messages were the same throughout the country </w:t>
      </w:r>
      <w:r w:rsidR="00B32ED0" w:rsidRPr="00B32ED0">
        <w:t>(Molina Rodríguez-</w:t>
      </w:r>
      <w:proofErr w:type="spellStart"/>
      <w:r w:rsidR="00B32ED0" w:rsidRPr="00B32ED0">
        <w:t>Navas</w:t>
      </w:r>
      <w:proofErr w:type="spellEnd"/>
      <w:r w:rsidR="00B32ED0" w:rsidRPr="00B32ED0">
        <w:t xml:space="preserve">, </w:t>
      </w:r>
      <w:proofErr w:type="spellStart"/>
      <w:r w:rsidR="00B32ED0" w:rsidRPr="00B32ED0">
        <w:t>Medranda</w:t>
      </w:r>
      <w:proofErr w:type="spellEnd"/>
      <w:r w:rsidR="00B32ED0" w:rsidRPr="00B32ED0">
        <w:t xml:space="preserve"> Morales and Muñoz </w:t>
      </w:r>
      <w:proofErr w:type="spellStart"/>
      <w:r w:rsidR="00B32ED0" w:rsidRPr="00B32ED0">
        <w:t>Lalinde</w:t>
      </w:r>
      <w:proofErr w:type="spellEnd"/>
      <w:r w:rsidR="00B32ED0" w:rsidRPr="00B32ED0">
        <w:t>, 2021)</w:t>
      </w:r>
      <w:r w:rsidR="00B32ED0">
        <w:t>.</w:t>
      </w:r>
    </w:p>
    <w:p w14:paraId="1DCA9CF6" w14:textId="77777777" w:rsidR="00A42E1B" w:rsidRPr="00A42E1B" w:rsidRDefault="00A42E1B" w:rsidP="00A42E1B">
      <w:pPr>
        <w:rPr>
          <w:b/>
          <w:bCs/>
        </w:rPr>
      </w:pPr>
      <w:r w:rsidRPr="00A42E1B">
        <w:rPr>
          <w:b/>
          <w:bCs/>
        </w:rPr>
        <w:t xml:space="preserve">2.3.3 System Performance and Public Outcomes </w:t>
      </w:r>
    </w:p>
    <w:p w14:paraId="00F445D7" w14:textId="77777777" w:rsidR="00A42E1B" w:rsidRPr="00A42E1B" w:rsidRDefault="00EC3C4B" w:rsidP="00A42E1B">
      <w:r w:rsidRPr="00EC3C4B">
        <w:t xml:space="preserve">The health system of South Korea did not go wrong during COVID-19. The resources were used promptly by the government with the help of centralization. The number of hospitals was enhanced, quarantine </w:t>
      </w:r>
      <w:proofErr w:type="spellStart"/>
      <w:r w:rsidRPr="00EC3C4B">
        <w:t>centers</w:t>
      </w:r>
      <w:proofErr w:type="spellEnd"/>
      <w:r w:rsidRPr="00EC3C4B">
        <w:t xml:space="preserve"> were arranged effectively, and data systems aided in quick tracing. In the early waves, there were relatively low death rates as com</w:t>
      </w:r>
      <w:r>
        <w:t xml:space="preserve">pared to most western countries </w:t>
      </w:r>
      <w:r w:rsidR="00116A67" w:rsidRPr="00116A67">
        <w:t>(</w:t>
      </w:r>
      <w:proofErr w:type="spellStart"/>
      <w:r w:rsidR="00116A67" w:rsidRPr="00116A67">
        <w:t>Yoo</w:t>
      </w:r>
      <w:proofErr w:type="spellEnd"/>
      <w:r w:rsidR="00116A67" w:rsidRPr="00116A67">
        <w:t xml:space="preserve"> et al., 2021)</w:t>
      </w:r>
      <w:r w:rsidR="00A42E1B" w:rsidRPr="00A42E1B">
        <w:t>.</w:t>
      </w:r>
    </w:p>
    <w:p w14:paraId="3627EC9F" w14:textId="77777777" w:rsidR="00A42E1B" w:rsidRDefault="00EC3C4B" w:rsidP="00EC3C4B">
      <w:r>
        <w:t xml:space="preserve">The centralised system had the chief advantage as it was able to respond early and similarly in all places. The national government provided policies, and therefore, no actions were different in any location. The information was credible since it was provided by the authorities, particularly, the Korean Disease Control and Prevention Agency (KDCA). But the program had problems. The people were concerned with privacy in the digital tracing system. Certain parties claimed that the surveillance was excessive. Health workers were working too much, particularly when the new variants propagated rapidly in subsequent waves. The outcomes were successful due to high level of cooperation by the citizens, effective leadership by the country and effective systems. A combination of a central authority and technology made South Korea a good model of how to manage a pandemic </w:t>
      </w:r>
      <w:r w:rsidR="00116A67" w:rsidRPr="00116A67">
        <w:t>(Kim, 2020)</w:t>
      </w:r>
      <w:r w:rsidR="00116A67">
        <w:t>.</w:t>
      </w:r>
    </w:p>
    <w:p w14:paraId="34AD6D59" w14:textId="77777777" w:rsidR="003F1588" w:rsidRDefault="003F1588" w:rsidP="003F1588">
      <w:pPr>
        <w:jc w:val="center"/>
      </w:pPr>
      <w:r>
        <w:rPr>
          <w:noProof/>
          <w:lang w:val="en-US"/>
        </w:rPr>
        <w:drawing>
          <wp:inline distT="0" distB="0" distL="0" distR="0" wp14:anchorId="328A14FD" wp14:editId="765405B9">
            <wp:extent cx="4704546" cy="3362496"/>
            <wp:effectExtent l="0" t="0" r="1270" b="0"/>
            <wp:docPr id="5" name="Picture 5" descr="Frontiers | Uneven Use of Remote Work to Prevent the Spread of COVID-19 in  South Korea's Stratified Labor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rontiers | Uneven Use of Remote Work to Prevent the Spread of COVID-19 in  South Korea's Stratified Labor Mar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3934" cy="3369206"/>
                    </a:xfrm>
                    <a:prstGeom prst="rect">
                      <a:avLst/>
                    </a:prstGeom>
                    <a:noFill/>
                    <a:ln>
                      <a:noFill/>
                    </a:ln>
                  </pic:spPr>
                </pic:pic>
              </a:graphicData>
            </a:graphic>
          </wp:inline>
        </w:drawing>
      </w:r>
    </w:p>
    <w:p w14:paraId="7C48CF9D" w14:textId="77777777" w:rsidR="003F1588" w:rsidRPr="003F1588" w:rsidRDefault="003F1588" w:rsidP="003F1588">
      <w:pPr>
        <w:jc w:val="center"/>
        <w:rPr>
          <w:b/>
        </w:rPr>
      </w:pPr>
      <w:r w:rsidRPr="003F1588">
        <w:rPr>
          <w:b/>
        </w:rPr>
        <w:t>Figure 3: South Korea Structural Analysis (Park, Lee and Cho, 2021)</w:t>
      </w:r>
    </w:p>
    <w:p w14:paraId="1051A38A" w14:textId="77777777" w:rsidR="00A42E1B" w:rsidRPr="00A42E1B" w:rsidRDefault="00A42E1B" w:rsidP="00A42E1B">
      <w:pPr>
        <w:pStyle w:val="Heading2"/>
      </w:pPr>
      <w:bookmarkStart w:id="8" w:name="_Toc216004945"/>
      <w:r w:rsidRPr="00A42E1B">
        <w:t>2.4 Canada – Structural Analysis and COVID-19 Response</w:t>
      </w:r>
      <w:bookmarkEnd w:id="8"/>
    </w:p>
    <w:p w14:paraId="26FB8F05" w14:textId="77777777" w:rsidR="00A42E1B" w:rsidRPr="00A42E1B" w:rsidRDefault="00A42E1B" w:rsidP="00A42E1B">
      <w:pPr>
        <w:rPr>
          <w:b/>
          <w:bCs/>
        </w:rPr>
      </w:pPr>
      <w:r w:rsidRPr="00A42E1B">
        <w:rPr>
          <w:b/>
          <w:bCs/>
        </w:rPr>
        <w:t xml:space="preserve">2.4.1 Canadian Health System Architecture </w:t>
      </w:r>
    </w:p>
    <w:p w14:paraId="1BAA7AE6" w14:textId="77777777" w:rsidR="00A42E1B" w:rsidRPr="00A42E1B" w:rsidRDefault="00EC3C4B" w:rsidP="00A42E1B">
      <w:r w:rsidRPr="00EC3C4B">
        <w:t>The Canadian health system is very local. The federal government allocates funds, issues national regulations and regulates borders. Most health services are carried out by the provinces and the territories which determine the way hospitals should operate, the way the public health programs are administered and the time t</w:t>
      </w:r>
      <w:r>
        <w:t xml:space="preserve">he emergency measures are taken </w:t>
      </w:r>
      <w:r w:rsidR="00116A67" w:rsidRPr="00116A67">
        <w:t>(</w:t>
      </w:r>
      <w:proofErr w:type="spellStart"/>
      <w:r w:rsidR="00116A67" w:rsidRPr="00116A67">
        <w:t>Scarffe</w:t>
      </w:r>
      <w:proofErr w:type="spellEnd"/>
      <w:r w:rsidR="00116A67" w:rsidRPr="00116A67">
        <w:t xml:space="preserve"> et al., 2022)</w:t>
      </w:r>
      <w:r w:rsidR="00116A67">
        <w:t>.</w:t>
      </w:r>
    </w:p>
    <w:p w14:paraId="7639995A" w14:textId="77777777" w:rsidR="00A42E1B" w:rsidRPr="00A42E1B" w:rsidRDefault="00EC3C4B" w:rsidP="00EC3C4B">
      <w:r>
        <w:t>There is no single health system in Canada. In its place every province operates on its own system which is based on a national framework. Each province has its health agency, its own rules and its own resources. Prior to COVID -19, some of the provinces did a good job of monitoring sickness and emergency preparedness, whereas others had limited resources or archaic systems. This structure allows the provinces to be relaxed in regular times, but in case of a pandemic it leads to issues. Coordination nationally is difficult when the various provinces make various decisions</w:t>
      </w:r>
      <w:r w:rsidR="00A42E1B" w:rsidRPr="00A42E1B">
        <w:t>.</w:t>
      </w:r>
    </w:p>
    <w:p w14:paraId="1ABCFCB2" w14:textId="77777777" w:rsidR="00A42E1B" w:rsidRPr="00A42E1B" w:rsidRDefault="00A42E1B" w:rsidP="00A42E1B">
      <w:pPr>
        <w:rPr>
          <w:b/>
          <w:bCs/>
        </w:rPr>
      </w:pPr>
      <w:r w:rsidRPr="00A42E1B">
        <w:rPr>
          <w:b/>
          <w:bCs/>
        </w:rPr>
        <w:t xml:space="preserve">2.4.2 Decentralised Response Dynamics </w:t>
      </w:r>
    </w:p>
    <w:p w14:paraId="5F36FAD3" w14:textId="77777777" w:rsidR="00A42E1B" w:rsidRPr="00A42E1B" w:rsidRDefault="00045F5B" w:rsidP="00A42E1B">
      <w:r w:rsidRPr="00045F5B">
        <w:t>Border closures, financial aid programs, and vaccine purchases were handled by the federal government during COVID-19. Nevertheless, the provincial governments dictated almost all the restrictions in the field of health, including the use of masks, business shutdowns, school shutdowns and maximum gatherings. Consequently, Ca</w:t>
      </w:r>
      <w:r>
        <w:t xml:space="preserve">nada lacked homogenous policies </w:t>
      </w:r>
      <w:r w:rsidR="00116A67" w:rsidRPr="00116A67">
        <w:t>(</w:t>
      </w:r>
      <w:proofErr w:type="spellStart"/>
      <w:r w:rsidR="00116A67" w:rsidRPr="00116A67">
        <w:t>Tewarson</w:t>
      </w:r>
      <w:proofErr w:type="spellEnd"/>
      <w:r w:rsidR="00116A67" w:rsidRPr="00116A67">
        <w:t>, Greene and Fraser, 2021)</w:t>
      </w:r>
      <w:r w:rsidR="00116A67">
        <w:t>.</w:t>
      </w:r>
    </w:p>
    <w:p w14:paraId="5B415967" w14:textId="77777777" w:rsidR="00045F5B" w:rsidRDefault="00045F5B" w:rsidP="00045F5B">
      <w:r>
        <w:t>There were those provinces who responded promptly, and they imposed restrictions early. Some took a longer time and this led to additional cases. One of the major problems was in homes of long-term care. The province operates LTC, such that safety regulations varied and most of the facilities lacked sufficient personnel and care preparation. This resulted in severe outbreaks and loss of lives of many elderly citizens.</w:t>
      </w:r>
    </w:p>
    <w:p w14:paraId="750F9BB5" w14:textId="77777777" w:rsidR="00045F5B" w:rsidRDefault="00045F5B" w:rsidP="00045F5B">
      <w:r>
        <w:t xml:space="preserve">Work in testing and vaccination were different as well. There were busy, well-organized vaccination </w:t>
      </w:r>
      <w:proofErr w:type="spellStart"/>
      <w:r>
        <w:t>centers</w:t>
      </w:r>
      <w:proofErr w:type="spellEnd"/>
      <w:r>
        <w:t xml:space="preserve"> established in some provinces; and some provinces had difficulty in the details. The manner in which the federal and provincial leaders addressed one another was also not always coherent and this confused people at times.</w:t>
      </w:r>
    </w:p>
    <w:p w14:paraId="72D5600B" w14:textId="77777777" w:rsidR="00A42E1B" w:rsidRPr="00A42E1B" w:rsidRDefault="00A42E1B" w:rsidP="00A42E1B">
      <w:pPr>
        <w:rPr>
          <w:b/>
          <w:bCs/>
        </w:rPr>
      </w:pPr>
      <w:r w:rsidRPr="00A42E1B">
        <w:rPr>
          <w:b/>
          <w:bCs/>
        </w:rPr>
        <w:t xml:space="preserve">2.4.3 Pandemic Outcomes and Structural Effects </w:t>
      </w:r>
    </w:p>
    <w:p w14:paraId="7ED27868" w14:textId="77777777" w:rsidR="00A42E1B" w:rsidRPr="00A42E1B" w:rsidRDefault="00045F5B" w:rsidP="00A42E1B">
      <w:r w:rsidRPr="00045F5B">
        <w:t>The Canadian system of decentralization had its positive and negative aspects. The positive aspect was that every province was able to come up with rules that suited them. Areas with lower population may have weaker rules whereas crowded areas had stronger rules. The national government provided serious financial assistance and received vaccines in time, and this made subsequent waves more effec</w:t>
      </w:r>
      <w:r>
        <w:t xml:space="preserve">tive </w:t>
      </w:r>
      <w:r w:rsidR="00116A67" w:rsidRPr="00116A67">
        <w:t>(</w:t>
      </w:r>
      <w:proofErr w:type="spellStart"/>
      <w:r w:rsidR="00116A67" w:rsidRPr="00116A67">
        <w:t>Chassé</w:t>
      </w:r>
      <w:proofErr w:type="spellEnd"/>
      <w:r w:rsidR="00116A67" w:rsidRPr="00116A67">
        <w:t>, Jacques and Scott, 2024)</w:t>
      </w:r>
      <w:r w:rsidR="00116A67">
        <w:t>.</w:t>
      </w:r>
    </w:p>
    <w:p w14:paraId="6B623C11" w14:textId="77777777" w:rsidR="00A42E1B" w:rsidRPr="00A42E1B" w:rsidRDefault="00045F5B" w:rsidP="00A42E1B">
      <w:r w:rsidRPr="00045F5B">
        <w:t>Nevertheless, the issues were uncovered. Due to lack of national regulations in relation to long-term care, many individuals were killed. There was no agreement between provinces on how to assist people and at various times their rules varied. This made communication more difficult and it was more difficult to communicate with one another. There was a lot of pressure on the hospitals of some provinces whereas, in other provinces, ho</w:t>
      </w:r>
      <w:r>
        <w:t xml:space="preserve">spitals could be managed easily </w:t>
      </w:r>
      <w:r w:rsidR="00116A67" w:rsidRPr="00116A67">
        <w:t>(Ma and Liu, 2021)</w:t>
      </w:r>
      <w:r w:rsidR="00116A67">
        <w:t>.</w:t>
      </w:r>
    </w:p>
    <w:p w14:paraId="32A755FB" w14:textId="77777777" w:rsidR="003F1588" w:rsidRDefault="003F1588" w:rsidP="003F1588">
      <w:pPr>
        <w:jc w:val="center"/>
      </w:pPr>
      <w:r>
        <w:rPr>
          <w:noProof/>
          <w:lang w:val="en-US"/>
        </w:rPr>
        <w:drawing>
          <wp:inline distT="0" distB="0" distL="0" distR="0" wp14:anchorId="106C85EB" wp14:editId="2E5A37A7">
            <wp:extent cx="5943600" cy="3220541"/>
            <wp:effectExtent l="0" t="0" r="0" b="0"/>
            <wp:docPr id="7" name="Picture 7" descr="Number of police-reported hate crimes, by type of motivation, Canada, 2017 to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Number of police-reported hate crimes, by type of motivation, Canada, 2017 to 20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20541"/>
                    </a:xfrm>
                    <a:prstGeom prst="rect">
                      <a:avLst/>
                    </a:prstGeom>
                    <a:noFill/>
                    <a:ln>
                      <a:noFill/>
                    </a:ln>
                  </pic:spPr>
                </pic:pic>
              </a:graphicData>
            </a:graphic>
          </wp:inline>
        </w:drawing>
      </w:r>
    </w:p>
    <w:p w14:paraId="589A571F" w14:textId="77777777" w:rsidR="003F1588" w:rsidRPr="003F1588" w:rsidRDefault="003F1588" w:rsidP="003F1588">
      <w:pPr>
        <w:jc w:val="center"/>
        <w:rPr>
          <w:b/>
        </w:rPr>
      </w:pPr>
      <w:r w:rsidRPr="003F1588">
        <w:rPr>
          <w:b/>
        </w:rPr>
        <w:t>Figure 4: Canada Structural Analysis (Statistics Canada, 2022)</w:t>
      </w:r>
    </w:p>
    <w:p w14:paraId="340D3168" w14:textId="77777777" w:rsidR="00A42E1B" w:rsidRPr="00A42E1B" w:rsidRDefault="00A42E1B" w:rsidP="00A42E1B">
      <w:pPr>
        <w:pStyle w:val="Heading2"/>
      </w:pPr>
      <w:bookmarkStart w:id="9" w:name="_Toc216004946"/>
      <w:r w:rsidRPr="00A42E1B">
        <w:t>2.5 Cross-Country Structural Comparison</w:t>
      </w:r>
      <w:bookmarkEnd w:id="9"/>
    </w:p>
    <w:p w14:paraId="792D20E5" w14:textId="77777777" w:rsidR="00A42E1B" w:rsidRPr="00A42E1B" w:rsidRDefault="00A42E1B" w:rsidP="00A42E1B">
      <w:pPr>
        <w:rPr>
          <w:b/>
          <w:bCs/>
        </w:rPr>
      </w:pPr>
      <w:r w:rsidRPr="00A42E1B">
        <w:rPr>
          <w:b/>
          <w:bCs/>
        </w:rPr>
        <w:t xml:space="preserve">2.5.1 Effects of Centralisation vs Decentralisation </w:t>
      </w:r>
    </w:p>
    <w:p w14:paraId="5353E149" w14:textId="77777777" w:rsidR="00A42E1B" w:rsidRPr="00A42E1B" w:rsidRDefault="00045F5B" w:rsidP="00A42E1B">
      <w:r w:rsidRPr="00045F5B">
        <w:t>Spain, South Korea and Canada illustrate how organization of a country may influence the way they handle a pandemic. In Spain, the government was decentralized and had many regions hence it was difficult to take immediate action. Areas took up their own decision, which allowed infections to spread rapidly. In response the situation improved when the national government assumed power. This indicates that the dispersal of power can be an issue d</w:t>
      </w:r>
      <w:r>
        <w:t xml:space="preserve">uring the onset of an emergency </w:t>
      </w:r>
      <w:r w:rsidR="00116A67" w:rsidRPr="00116A67">
        <w:t>(Chen et al., 2021)</w:t>
      </w:r>
      <w:r w:rsidR="00116A67">
        <w:t>.</w:t>
      </w:r>
    </w:p>
    <w:p w14:paraId="53F67D2B" w14:textId="77777777" w:rsidR="00045F5B" w:rsidRDefault="00045F5B" w:rsidP="00045F5B">
      <w:r>
        <w:t>The same story is not true in South Korea. It had a powerful central government, thus decisions were reached quickly, early trials in the company, maintained rules unchanged and spoke with clarity. The fact that the agencies in the country were well-monitored and authorized to stop the virus helped the country to stop it better.</w:t>
      </w:r>
    </w:p>
    <w:p w14:paraId="322CB7AF" w14:textId="77777777" w:rsidR="00045F5B" w:rsidRDefault="00045F5B" w:rsidP="00045F5B">
      <w:r>
        <w:t xml:space="preserve">The local system of Canada scored </w:t>
      </w:r>
      <w:proofErr w:type="spellStart"/>
      <w:r>
        <w:t>mixedly</w:t>
      </w:r>
      <w:proofErr w:type="spellEnd"/>
      <w:r>
        <w:t>. In certain provinces, there were good results and some were problematic. There were no general national regulations particularly in long-term care that contributed to enormous outbreaks. This demonstrates that in a decentralized system, the outcomes may be unequal.</w:t>
      </w:r>
    </w:p>
    <w:p w14:paraId="788F7EFA" w14:textId="77777777" w:rsidR="00A42E1B" w:rsidRPr="00A42E1B" w:rsidRDefault="00A42E1B" w:rsidP="00A42E1B">
      <w:pPr>
        <w:rPr>
          <w:b/>
          <w:bCs/>
        </w:rPr>
      </w:pPr>
      <w:r w:rsidRPr="00A42E1B">
        <w:rPr>
          <w:b/>
          <w:bCs/>
        </w:rPr>
        <w:t xml:space="preserve">2.5.2 Systems Thinking Insights </w:t>
      </w:r>
    </w:p>
    <w:p w14:paraId="340724D2" w14:textId="77777777" w:rsidR="00A42E1B" w:rsidRPr="00A42E1B" w:rsidRDefault="00045F5B" w:rsidP="00045F5B">
      <w:r>
        <w:t>System thinking can be used to describe the variation in outcomes. In South Korea, all that was connected: data, testing, tracing and talking to people. Due to such connection, actions might be taken within a short period of time and in a predictable manner. Spain did not initially relate well with regions. Hence news and information were slow in flow and individuals in various regi</w:t>
      </w:r>
      <w:r w:rsidR="005A6F42">
        <w:t xml:space="preserve">ons took independent judgments </w:t>
      </w:r>
      <w:r w:rsidR="00116A67" w:rsidRPr="00116A67">
        <w:t>(Yang, 2022)</w:t>
      </w:r>
      <w:r w:rsidR="00116A67">
        <w:t>.</w:t>
      </w:r>
    </w:p>
    <w:p w14:paraId="111C6AA1" w14:textId="77777777" w:rsidR="00A42E1B" w:rsidRPr="00A42E1B" w:rsidRDefault="00A42E1B" w:rsidP="00A42E1B">
      <w:pPr>
        <w:rPr>
          <w:b/>
          <w:bCs/>
        </w:rPr>
      </w:pPr>
      <w:r w:rsidRPr="00A42E1B">
        <w:rPr>
          <w:b/>
          <w:bCs/>
        </w:rPr>
        <w:t xml:space="preserve">2.5.3 Lessons for Future Crises </w:t>
      </w:r>
    </w:p>
    <w:p w14:paraId="0A3349E7" w14:textId="77777777" w:rsidR="00A42E1B" w:rsidRDefault="00045F5B" w:rsidP="00045F5B">
      <w:r>
        <w:t xml:space="preserve">The experience of Spain, South Korea and Canada teaches a number of lessons about the future health crises. Local-based countries require national emergency plans to be settled beforehand to have rapidity of coordination and automaticity. It would be easier to share information and early warnings in case the one common digital system is invested in. An improved supply chain planning would eliminate shortages in case the demand is suddenly increased. Governments should also strike a balance between local instructions and national framework in order to </w:t>
      </w:r>
      <w:r w:rsidR="005A6F42">
        <w:t xml:space="preserve">develop a better response plan </w:t>
      </w:r>
      <w:r w:rsidR="00116A67" w:rsidRPr="00116A67">
        <w:t>(</w:t>
      </w:r>
      <w:proofErr w:type="spellStart"/>
      <w:r w:rsidR="00116A67" w:rsidRPr="00116A67">
        <w:t>Nikolaeva</w:t>
      </w:r>
      <w:proofErr w:type="spellEnd"/>
      <w:r w:rsidR="00116A67" w:rsidRPr="00116A67">
        <w:t xml:space="preserve"> and </w:t>
      </w:r>
      <w:proofErr w:type="spellStart"/>
      <w:r w:rsidR="00116A67" w:rsidRPr="00116A67">
        <w:t>Versnel</w:t>
      </w:r>
      <w:proofErr w:type="spellEnd"/>
      <w:r w:rsidR="00116A67" w:rsidRPr="00116A67">
        <w:t>, 2022)</w:t>
      </w:r>
      <w:r w:rsidR="00116A67">
        <w:t>.</w:t>
      </w:r>
    </w:p>
    <w:p w14:paraId="6CA6EB39" w14:textId="77777777" w:rsidR="003F1588" w:rsidRDefault="003F1588" w:rsidP="003F1588">
      <w:pPr>
        <w:jc w:val="center"/>
      </w:pPr>
      <w:r>
        <w:rPr>
          <w:noProof/>
          <w:lang w:val="en-US"/>
        </w:rPr>
        <w:drawing>
          <wp:inline distT="0" distB="0" distL="0" distR="0" wp14:anchorId="5615CCBF" wp14:editId="1D5C9561">
            <wp:extent cx="5943600" cy="3426311"/>
            <wp:effectExtent l="0" t="0" r="0" b="3175"/>
            <wp:docPr id="9" name="Picture 9" descr="Cross Country Comparison 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ross Country Comparison 1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26311"/>
                    </a:xfrm>
                    <a:prstGeom prst="rect">
                      <a:avLst/>
                    </a:prstGeom>
                    <a:noFill/>
                    <a:ln>
                      <a:noFill/>
                    </a:ln>
                  </pic:spPr>
                </pic:pic>
              </a:graphicData>
            </a:graphic>
          </wp:inline>
        </w:drawing>
      </w:r>
    </w:p>
    <w:p w14:paraId="5A9ACE69" w14:textId="77777777" w:rsidR="003F1588" w:rsidRPr="003F1588" w:rsidRDefault="003F1588" w:rsidP="003F1588">
      <w:pPr>
        <w:jc w:val="center"/>
        <w:rPr>
          <w:b/>
        </w:rPr>
      </w:pPr>
      <w:r w:rsidRPr="003F1588">
        <w:rPr>
          <w:b/>
        </w:rPr>
        <w:t>Figure 5: Cross-Country Structural Comparison</w:t>
      </w:r>
    </w:p>
    <w:p w14:paraId="7FED70C6" w14:textId="77777777" w:rsidR="00A42E1B" w:rsidRPr="00A42E1B" w:rsidRDefault="00A42E1B" w:rsidP="00A42E1B">
      <w:pPr>
        <w:pStyle w:val="Heading1"/>
      </w:pPr>
      <w:bookmarkStart w:id="10" w:name="_Toc216004947"/>
      <w:r w:rsidRPr="00A42E1B">
        <w:t>3. LEADERSHIP APPROACHES DURING COVID-19</w:t>
      </w:r>
      <w:bookmarkEnd w:id="10"/>
    </w:p>
    <w:p w14:paraId="530C6BF1" w14:textId="77777777" w:rsidR="00A42E1B" w:rsidRPr="00A42E1B" w:rsidRDefault="00A42E1B" w:rsidP="00A42E1B">
      <w:pPr>
        <w:pStyle w:val="Heading2"/>
      </w:pPr>
      <w:bookmarkStart w:id="11" w:name="_Toc216004948"/>
      <w:r w:rsidRPr="00A42E1B">
        <w:t>3.1 Leadership Theoretical Background</w:t>
      </w:r>
      <w:bookmarkEnd w:id="11"/>
    </w:p>
    <w:p w14:paraId="1E95DABD" w14:textId="77777777" w:rsidR="00A42E1B" w:rsidRPr="00A42E1B" w:rsidRDefault="00045F5B" w:rsidP="00045F5B">
      <w:r>
        <w:t xml:space="preserve">In handling a health crisis such as the COVID-19, good leadership plays a significant role. The crisis leader must be able to make prompt decisions, maintain the communication line, and make prompt decisions to ensure the system is not congested. He or she should have the capacity to survey a situation swiftly and act properly even when he/she is not aware of all that. Adaptive leadership is referred to as flexible leadership. It is an ability to learn new facts, alter plans when everything changes, and cope with the problems of uncertainty and surprise among the leaders. Such kind of leadership is particularly applicable when a pandemic evolves rapidly </w:t>
      </w:r>
      <w:r w:rsidR="00116A67" w:rsidRPr="00116A67">
        <w:t>(Kane, Egan and Chung, 2021)</w:t>
      </w:r>
      <w:r w:rsidR="00116A67">
        <w:t>.</w:t>
      </w:r>
    </w:p>
    <w:p w14:paraId="75F5447F" w14:textId="77777777" w:rsidR="00A42E1B" w:rsidRPr="00045F5B" w:rsidRDefault="00045F5B" w:rsidP="00045F5B">
      <w:pPr>
        <w:rPr>
          <w:bCs/>
        </w:rPr>
      </w:pPr>
      <w:r w:rsidRPr="00045F5B">
        <w:rPr>
          <w:bCs/>
        </w:rPr>
        <w:t xml:space="preserve">Transformational leadership deals with inspiration and motivation. The leaders who apply this approach establish a common purpose, trust and promote collaboration between staff and the masses. It improves morale and assists individuals in adhering to rules laid down by the public health. Distributed or shared leadership implies that the process of decisions can be decentralized to a great number of stakeholders, such as experts in the field of public health, agencies, and local government. Such a strategy allows specialised knowledge to inform key decisions and ensure the distribution of responsibilities throughout the system </w:t>
      </w:r>
      <w:r w:rsidR="00116A67" w:rsidRPr="00045F5B">
        <w:t>(Crooks et al., 2021).</w:t>
      </w:r>
    </w:p>
    <w:p w14:paraId="5D51B30C" w14:textId="77777777" w:rsidR="00A42E1B" w:rsidRDefault="00045F5B" w:rsidP="00A42E1B">
      <w:r w:rsidRPr="00045F5B">
        <w:t>These concepts of leadership are directly connected with the performance of health systems. The good leadership assists in making teams to work, share messages clearly, quick decisions and effectively utilize resources. Poor or erratic leadership may lead to confusion, lack of promptness, breach of rules by people, and increased morbidity and mortality. It is noteworthy that knowledge of these concepts is central to the investigation of how Spain, South Korea, an</w:t>
      </w:r>
      <w:r>
        <w:t>d Canada addressed the pandemic</w:t>
      </w:r>
      <w:r w:rsidR="00A42E1B" w:rsidRPr="00A42E1B">
        <w:t>.</w:t>
      </w:r>
    </w:p>
    <w:p w14:paraId="224EB764" w14:textId="77777777" w:rsidR="00E83012" w:rsidRDefault="00E83012" w:rsidP="00E83012">
      <w:pPr>
        <w:jc w:val="center"/>
      </w:pPr>
      <w:r>
        <w:rPr>
          <w:noProof/>
          <w:lang w:val="en-US"/>
        </w:rPr>
        <w:drawing>
          <wp:inline distT="0" distB="0" distL="0" distR="0" wp14:anchorId="03DB637D" wp14:editId="12845D33">
            <wp:extent cx="4628798" cy="2535604"/>
            <wp:effectExtent l="0" t="0" r="635" b="0"/>
            <wp:docPr id="10" name="Picture 10" descr="Leadership Theories - Learn About Key Leadership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Leadership Theories - Learn About Key Leadership Theor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36243" cy="2539683"/>
                    </a:xfrm>
                    <a:prstGeom prst="rect">
                      <a:avLst/>
                    </a:prstGeom>
                    <a:noFill/>
                    <a:ln>
                      <a:noFill/>
                    </a:ln>
                  </pic:spPr>
                </pic:pic>
              </a:graphicData>
            </a:graphic>
          </wp:inline>
        </w:drawing>
      </w:r>
    </w:p>
    <w:p w14:paraId="40DE3D9C" w14:textId="77777777" w:rsidR="00E83012" w:rsidRPr="00E83012" w:rsidRDefault="00E83012" w:rsidP="00E83012">
      <w:pPr>
        <w:jc w:val="center"/>
        <w:rPr>
          <w:b/>
        </w:rPr>
      </w:pPr>
      <w:r w:rsidRPr="00E83012">
        <w:rPr>
          <w:b/>
        </w:rPr>
        <w:t>Figure 6: Leadership Theoretical (CFI, 2022)</w:t>
      </w:r>
    </w:p>
    <w:p w14:paraId="28EE720C" w14:textId="77777777" w:rsidR="00A42E1B" w:rsidRDefault="00A42E1B" w:rsidP="00A42E1B">
      <w:pPr>
        <w:pStyle w:val="Heading2"/>
      </w:pPr>
      <w:bookmarkStart w:id="12" w:name="_Toc216004949"/>
      <w:r w:rsidRPr="00A42E1B">
        <w:t>3.2 Leadership in Spain – Analysis</w:t>
      </w:r>
      <w:bookmarkEnd w:id="12"/>
    </w:p>
    <w:p w14:paraId="5E9A112C" w14:textId="77777777" w:rsidR="00A42E1B" w:rsidRPr="00A42E1B" w:rsidRDefault="00A42E1B" w:rsidP="00A42E1B">
      <w:pPr>
        <w:rPr>
          <w:b/>
          <w:bCs/>
        </w:rPr>
      </w:pPr>
      <w:r w:rsidRPr="00A42E1B">
        <w:rPr>
          <w:b/>
          <w:bCs/>
        </w:rPr>
        <w:t xml:space="preserve">3.2.1 Key Leaders and Decisions </w:t>
      </w:r>
    </w:p>
    <w:p w14:paraId="5791A484" w14:textId="77777777" w:rsidR="00A42E1B" w:rsidRPr="00A42E1B" w:rsidRDefault="00045F5B" w:rsidP="00A42E1B">
      <w:r w:rsidRPr="00045F5B">
        <w:t xml:space="preserve">Pedro Sánchez and Health Minister, Salvador </w:t>
      </w:r>
      <w:proofErr w:type="spellStart"/>
      <w:r w:rsidRPr="00045F5B">
        <w:t>Illa</w:t>
      </w:r>
      <w:proofErr w:type="spellEnd"/>
      <w:r w:rsidRPr="00045F5B">
        <w:t xml:space="preserve"> were the two leaders of the response to COVID-19 in Spain. The first wave in early 2020 led to an astronomical increase in the number of infections, and hospitals started to become short of supplies. To address the crisis, the Spanish government proclaimed a national state of emergency in March 2020, temporarily giving the central power in</w:t>
      </w:r>
      <w:r>
        <w:t xml:space="preserve"> making public health decisions </w:t>
      </w:r>
      <w:r w:rsidR="00116A67" w:rsidRPr="00116A67">
        <w:t>(</w:t>
      </w:r>
      <w:proofErr w:type="spellStart"/>
      <w:r w:rsidR="00116A67" w:rsidRPr="00116A67">
        <w:t>Rebolledo</w:t>
      </w:r>
      <w:proofErr w:type="spellEnd"/>
      <w:r w:rsidR="00116A67" w:rsidRPr="00116A67">
        <w:t xml:space="preserve"> and Jordi Rodríguez-</w:t>
      </w:r>
      <w:proofErr w:type="spellStart"/>
      <w:r w:rsidR="00116A67" w:rsidRPr="00116A67">
        <w:t>Virgili</w:t>
      </w:r>
      <w:proofErr w:type="spellEnd"/>
      <w:r w:rsidR="00116A67" w:rsidRPr="00116A67">
        <w:t>, 2022)</w:t>
      </w:r>
      <w:r w:rsidR="00116A67">
        <w:t>.</w:t>
      </w:r>
    </w:p>
    <w:p w14:paraId="09614C80" w14:textId="77777777" w:rsidR="00A42E1B" w:rsidRPr="00A42E1B" w:rsidRDefault="00045F5B" w:rsidP="00045F5B">
      <w:r>
        <w:t xml:space="preserve">In this arrangement, the Ministry of Health made all the critical decisions in Spain, including lockdowns, hospital directives, and movement restrictions. Salvador </w:t>
      </w:r>
      <w:proofErr w:type="spellStart"/>
      <w:r>
        <w:t>Illa</w:t>
      </w:r>
      <w:proofErr w:type="spellEnd"/>
      <w:r>
        <w:t xml:space="preserve"> coordinated medical equipment such as ICU beds, protective equipment and the placement of staff ensuring that the regulations were grounded in science and expert recommendations. Prime Minister Sánchez addressed the nation frequently and emphasized that the crisis was severe and people should comply with the government regulations. They both desired to unite the response of Spain, and relieve pressure on the hospital </w:t>
      </w:r>
      <w:r w:rsidR="00116A67" w:rsidRPr="00116A67">
        <w:t>(Bermejo-</w:t>
      </w:r>
      <w:proofErr w:type="spellStart"/>
      <w:r w:rsidR="00116A67" w:rsidRPr="00116A67">
        <w:t>Casado</w:t>
      </w:r>
      <w:proofErr w:type="spellEnd"/>
      <w:r w:rsidR="00116A67" w:rsidRPr="00116A67">
        <w:t>, 2024)</w:t>
      </w:r>
      <w:r w:rsidR="00116A67">
        <w:t>.</w:t>
      </w:r>
    </w:p>
    <w:p w14:paraId="74C0773B" w14:textId="77777777" w:rsidR="00A42E1B" w:rsidRPr="00A42E1B" w:rsidRDefault="00F56F1B" w:rsidP="00A42E1B">
      <w:r w:rsidRPr="00F56F1B">
        <w:t xml:space="preserve">The major decisions were to adopt one of the strictest lockdowns in Europe, halt non-essential </w:t>
      </w:r>
      <w:proofErr w:type="spellStart"/>
      <w:r w:rsidRPr="00F56F1B">
        <w:t>labor</w:t>
      </w:r>
      <w:proofErr w:type="spellEnd"/>
      <w:r w:rsidRPr="00F56F1B">
        <w:t>, and to restrict traveling. All these were aimed at decelerating the spread, ensuring that hospitals do not become overcrowded, and allow the health system to increase capacity. Collusion between the regional leaders and the central government was very crucial as the nation normally left regions to make their own decisions. Although the emergency rules were able to enable people to collaborate, the fact that the regions began to resume their powers followin</w:t>
      </w:r>
      <w:r>
        <w:t>g the first wave caused tension</w:t>
      </w:r>
      <w:r w:rsidR="00A42E1B" w:rsidRPr="00A42E1B">
        <w:t>.</w:t>
      </w:r>
    </w:p>
    <w:p w14:paraId="16AAFD22" w14:textId="77777777" w:rsidR="00A42E1B" w:rsidRPr="00A42E1B" w:rsidRDefault="00A42E1B" w:rsidP="00A42E1B">
      <w:pPr>
        <w:rPr>
          <w:b/>
          <w:bCs/>
        </w:rPr>
      </w:pPr>
      <w:r w:rsidRPr="00A42E1B">
        <w:rPr>
          <w:b/>
          <w:bCs/>
        </w:rPr>
        <w:t xml:space="preserve">3.2.2 Leadership Style Assessment </w:t>
      </w:r>
    </w:p>
    <w:p w14:paraId="38BDCE01" w14:textId="77777777" w:rsidR="00A42E1B" w:rsidRPr="00A42E1B" w:rsidRDefault="00F56F1B" w:rsidP="00A42E1B">
      <w:r w:rsidRPr="00F56F1B">
        <w:t>The leaders of Spain responded rather than taking the initiative when it came to the crisis. Their response was not as effective because they took decisions when a significant number of people were already infected. As emergency was announced they established clear guidelines in the entire country and this indicated that they were capable of acting with boldness and di</w:t>
      </w:r>
      <w:r>
        <w:t xml:space="preserve">splaying strong national powers </w:t>
      </w:r>
      <w:r w:rsidR="00116A67" w:rsidRPr="00116A67">
        <w:t>(</w:t>
      </w:r>
      <w:proofErr w:type="spellStart"/>
      <w:r w:rsidR="00116A67" w:rsidRPr="00116A67">
        <w:t>Olmo</w:t>
      </w:r>
      <w:proofErr w:type="spellEnd"/>
      <w:r w:rsidR="00116A67" w:rsidRPr="00116A67">
        <w:t xml:space="preserve">- </w:t>
      </w:r>
      <w:proofErr w:type="spellStart"/>
      <w:r w:rsidR="00116A67" w:rsidRPr="00116A67">
        <w:t>Extremera</w:t>
      </w:r>
      <w:proofErr w:type="spellEnd"/>
      <w:r w:rsidR="00116A67" w:rsidRPr="00116A67">
        <w:t>, Townsend and Domingo Segovia, 2022)</w:t>
      </w:r>
      <w:r w:rsidR="00116A67">
        <w:t>.</w:t>
      </w:r>
    </w:p>
    <w:p w14:paraId="6494CF3B" w14:textId="77777777" w:rsidR="00F56F1B" w:rsidRDefault="00F56F1B" w:rsidP="00F56F1B">
      <w:r>
        <w:t xml:space="preserve">Transformational leadership was also present in sections of the talks before the people. Prime Minister Sánchez was desiring to establish solidarity and Health Minister </w:t>
      </w:r>
      <w:proofErr w:type="spellStart"/>
      <w:r>
        <w:t>Illa</w:t>
      </w:r>
      <w:proofErr w:type="spellEnd"/>
      <w:r>
        <w:t xml:space="preserve"> continued to update with the aim of maintaining the confidence of the public. However, it was difficult to work with the 17 autonomous communities. The national orders were known in the regions differently sometimes, and therefore, things were not so clear and people did not follow them better.</w:t>
      </w:r>
    </w:p>
    <w:p w14:paraId="3BDF0697" w14:textId="77777777" w:rsidR="00A42E1B" w:rsidRPr="00A42E1B" w:rsidRDefault="00F56F1B" w:rsidP="00F56F1B">
      <w:r>
        <w:t xml:space="preserve">There were greater issues in communication. The national and the regional authorities did not always send the same messages at the initial stages and this led to some confusion. This damaged popular confidence, particularly where regulations were modified or local governments possessed their personal views. Adaptation to new information was also slow, which demonstrated that the leaders were not fast to adapt at the beginning of the pandemic. Politics and the health of the population had to be balanced by the leaders, which led to the delay in decisions </w:t>
      </w:r>
      <w:r w:rsidR="00116A67" w:rsidRPr="00116A67">
        <w:t xml:space="preserve">(Liu, Shahab and </w:t>
      </w:r>
      <w:proofErr w:type="spellStart"/>
      <w:r w:rsidR="00116A67" w:rsidRPr="00116A67">
        <w:t>Hoque</w:t>
      </w:r>
      <w:proofErr w:type="spellEnd"/>
      <w:r w:rsidR="00116A67" w:rsidRPr="00116A67">
        <w:t>, 2021)</w:t>
      </w:r>
      <w:r w:rsidR="00116A67">
        <w:t>.</w:t>
      </w:r>
    </w:p>
    <w:p w14:paraId="760CA7DE" w14:textId="77777777" w:rsidR="00A42E1B" w:rsidRPr="00A42E1B" w:rsidRDefault="00F56F1B" w:rsidP="00A42E1B">
      <w:r w:rsidRPr="00F56F1B">
        <w:t>Nevertheless, the leadership approach was transformed. Later waves made the national government stronger, hence the response was better coordinated. It became more clear in terms of public messages and the national vaccination plan became more efficient, as the central leadership was stronger. As the experience in Spain demonstrates, quick and effective reaction of the leaders, combined with effective communication can help to mitigate some of the risks, but initial slowness and the disparity between areas continues to play a significant role in the outcom</w:t>
      </w:r>
      <w:r>
        <w:t>es of fast emergencies</w:t>
      </w:r>
      <w:r w:rsidR="00A42E1B" w:rsidRPr="00A42E1B">
        <w:t>.</w:t>
      </w:r>
    </w:p>
    <w:p w14:paraId="5E90E7C2" w14:textId="77777777" w:rsidR="00A42E1B" w:rsidRPr="00A42E1B" w:rsidRDefault="00A42E1B" w:rsidP="00A42E1B">
      <w:pPr>
        <w:rPr>
          <w:b/>
          <w:bCs/>
        </w:rPr>
      </w:pPr>
      <w:r w:rsidRPr="00A42E1B">
        <w:rPr>
          <w:b/>
          <w:bCs/>
        </w:rPr>
        <w:t xml:space="preserve">3.2.3 Leadership Impact on System Functioning </w:t>
      </w:r>
    </w:p>
    <w:p w14:paraId="7817DDE8" w14:textId="77777777" w:rsidR="00A42E1B" w:rsidRPr="00A42E1B" w:rsidRDefault="00C56238" w:rsidP="00A42E1B">
      <w:r w:rsidRPr="00C56238">
        <w:t xml:space="preserve">The emergency and national leadership decisions aided in the improvement of the cooperation between the central government and the local authorities. The hospitals organized better and delivered supplies to the locations where they were most in demand. The crisis enabled uniform lockdown and testing and provision of medical supplies. This assisted in stabilizing healthcare facilities </w:t>
      </w:r>
      <w:r>
        <w:t xml:space="preserve">when put under intense pressure </w:t>
      </w:r>
      <w:r w:rsidR="00116A67" w:rsidRPr="00116A67">
        <w:t>(Gooding et al., 2022)</w:t>
      </w:r>
      <w:r w:rsidR="00116A67">
        <w:t>.</w:t>
      </w:r>
    </w:p>
    <w:p w14:paraId="46A904B8" w14:textId="77777777" w:rsidR="00A42E1B" w:rsidRDefault="00C56238" w:rsidP="00A42E1B">
      <w:r w:rsidRPr="00C56238">
        <w:t>Nonetheless, the initial lag and discrepancy among areas enhanced fatalities and overcrowded hospitals. The attitude that people had towards leaders was altered; some believed that the leaders were ambiguous or conflicting. Subsequently, more coordinated nationally ensured that vaccination implementation took a shorter period, demonstrating that effective leadership can enhance future outcomes. In brief, the centralized emergency authorities of Spain assisted the system temporarily, whereas the initial response revealed issues with prompt crisis re</w:t>
      </w:r>
      <w:r>
        <w:t>sponse</w:t>
      </w:r>
      <w:r w:rsidR="00A42E1B" w:rsidRPr="00A42E1B">
        <w:t>.</w:t>
      </w:r>
    </w:p>
    <w:p w14:paraId="5D26CED9" w14:textId="77777777" w:rsidR="00E83012" w:rsidRDefault="00E83012" w:rsidP="00E83012">
      <w:pPr>
        <w:jc w:val="center"/>
      </w:pPr>
      <w:r>
        <w:rPr>
          <w:noProof/>
          <w:lang w:val="en-US"/>
        </w:rPr>
        <w:drawing>
          <wp:inline distT="0" distB="0" distL="0" distR="0" wp14:anchorId="7AF81623" wp14:editId="1A7627CA">
            <wp:extent cx="5943600" cy="4202311"/>
            <wp:effectExtent l="0" t="0" r="0" b="8255"/>
            <wp:docPr id="11" name="Picture 11" descr="The C.R.I.S.I.S. Model for Managing Crises and Disruption – Disruptive  Leadership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he C.R.I.S.I.S. Model for Managing Crises and Disruption – Disruptive  Leadership Institu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202311"/>
                    </a:xfrm>
                    <a:prstGeom prst="rect">
                      <a:avLst/>
                    </a:prstGeom>
                    <a:noFill/>
                    <a:ln>
                      <a:noFill/>
                    </a:ln>
                  </pic:spPr>
                </pic:pic>
              </a:graphicData>
            </a:graphic>
          </wp:inline>
        </w:drawing>
      </w:r>
    </w:p>
    <w:p w14:paraId="34DA4A07" w14:textId="77777777" w:rsidR="00E83012" w:rsidRPr="00E83012" w:rsidRDefault="00E83012" w:rsidP="00E83012">
      <w:pPr>
        <w:jc w:val="center"/>
        <w:rPr>
          <w:b/>
        </w:rPr>
      </w:pPr>
      <w:r w:rsidRPr="00E83012">
        <w:rPr>
          <w:b/>
        </w:rPr>
        <w:t xml:space="preserve">Figure 7: Crisis leadership (Disruptive Leadership Institute, </w:t>
      </w:r>
      <w:proofErr w:type="spellStart"/>
      <w:r w:rsidRPr="00E83012">
        <w:rPr>
          <w:b/>
        </w:rPr>
        <w:t>n.d.</w:t>
      </w:r>
      <w:proofErr w:type="spellEnd"/>
      <w:r w:rsidRPr="00E83012">
        <w:rPr>
          <w:b/>
        </w:rPr>
        <w:t>)</w:t>
      </w:r>
    </w:p>
    <w:p w14:paraId="3556B74D" w14:textId="77777777" w:rsidR="00A42E1B" w:rsidRPr="00A42E1B" w:rsidRDefault="00A42E1B" w:rsidP="00A42E1B">
      <w:pPr>
        <w:pStyle w:val="Heading2"/>
      </w:pPr>
      <w:bookmarkStart w:id="13" w:name="_Toc216004950"/>
      <w:r w:rsidRPr="00A42E1B">
        <w:t>3.3 Leadership in South Korea – Analysis</w:t>
      </w:r>
      <w:bookmarkEnd w:id="13"/>
    </w:p>
    <w:p w14:paraId="5AC2C6C2" w14:textId="77777777" w:rsidR="00A42E1B" w:rsidRPr="00A42E1B" w:rsidRDefault="00A42E1B" w:rsidP="00A42E1B">
      <w:pPr>
        <w:rPr>
          <w:b/>
          <w:bCs/>
        </w:rPr>
      </w:pPr>
      <w:r w:rsidRPr="00A42E1B">
        <w:rPr>
          <w:b/>
          <w:bCs/>
        </w:rPr>
        <w:t xml:space="preserve">3.3.1 Key Leaders and Decisions </w:t>
      </w:r>
    </w:p>
    <w:p w14:paraId="7D4FECBF" w14:textId="77777777" w:rsidR="00A42E1B" w:rsidRPr="00A42E1B" w:rsidRDefault="00C56238" w:rsidP="00A42E1B">
      <w:r w:rsidRPr="00C56238">
        <w:t xml:space="preserve">The management of the COVID-19 in South Korea was primarily done under KDCA Director </w:t>
      </w:r>
      <w:proofErr w:type="spellStart"/>
      <w:r w:rsidRPr="00C56238">
        <w:t>Jeong</w:t>
      </w:r>
      <w:proofErr w:type="spellEnd"/>
      <w:r w:rsidRPr="00C56238">
        <w:t xml:space="preserve"> </w:t>
      </w:r>
      <w:proofErr w:type="spellStart"/>
      <w:r w:rsidRPr="00C56238">
        <w:t>Eun-Kyeong</w:t>
      </w:r>
      <w:proofErr w:type="spellEnd"/>
      <w:r w:rsidRPr="00C56238">
        <w:t xml:space="preserve"> and Prime Minister Chung. </w:t>
      </w:r>
      <w:proofErr w:type="spellStart"/>
      <w:r w:rsidRPr="00C56238">
        <w:t>Jeong</w:t>
      </w:r>
      <w:proofErr w:type="spellEnd"/>
      <w:r w:rsidRPr="00C56238">
        <w:t xml:space="preserve"> was a distinguished social personality. She did briefings on a daily basis and clarified the reason why the policies were developed. Her style was science-oriented, expert-driven, which empl</w:t>
      </w:r>
      <w:r>
        <w:t xml:space="preserve">oyed evidence as the first step </w:t>
      </w:r>
      <w:r w:rsidR="00116A67" w:rsidRPr="00116A67">
        <w:t>(Mao, 2024)</w:t>
      </w:r>
      <w:r w:rsidR="00116A67">
        <w:t>.</w:t>
      </w:r>
    </w:p>
    <w:p w14:paraId="7E3A4748" w14:textId="77777777" w:rsidR="00C56238" w:rsidRDefault="00C56238" w:rsidP="00C56238">
      <w:r>
        <w:t xml:space="preserve">Prime Minister Chung organized the entire government in an effort to ensure that testing, tracing, quarantine, hospitals, and supplies performed well in all locations. The government moved fast. They implemented early border addictions, quarantined </w:t>
      </w:r>
      <w:proofErr w:type="spellStart"/>
      <w:r>
        <w:t>travelers</w:t>
      </w:r>
      <w:proofErr w:type="spellEnd"/>
      <w:r>
        <w:t xml:space="preserve"> and rapidly expanded testing. They establish mass testing facilities such as drive-</w:t>
      </w:r>
      <w:proofErr w:type="spellStart"/>
      <w:r>
        <w:t>throughs</w:t>
      </w:r>
      <w:proofErr w:type="spellEnd"/>
      <w:r>
        <w:t xml:space="preserve"> and walk-in facilities. Digital contact tracing, based on mobile information and credit-card data, allows the government to monitor and manage exposure rapidly.</w:t>
      </w:r>
    </w:p>
    <w:p w14:paraId="1CCD8494" w14:textId="77777777" w:rsidR="00A42E1B" w:rsidRPr="00A42E1B" w:rsidRDefault="00C56238" w:rsidP="00C56238">
      <w:r>
        <w:t xml:space="preserve">The leaders of South Korea paid attention to their openness, frequent communication, and closely cooperation of the national agencies, local governments, and private hospitals. These measures allowed the nation to contain the virus without the need to go into a complete lockdown and allowed normal people to live their lives as usual and secure their health </w:t>
      </w:r>
      <w:r w:rsidR="00116A67" w:rsidRPr="00116A67">
        <w:t>(Shin Ae Hong, 2024)</w:t>
      </w:r>
      <w:r w:rsidR="00116A67">
        <w:t>.</w:t>
      </w:r>
    </w:p>
    <w:p w14:paraId="1363D924" w14:textId="77777777" w:rsidR="00A42E1B" w:rsidRPr="00A42E1B" w:rsidRDefault="00A42E1B" w:rsidP="00A42E1B">
      <w:pPr>
        <w:rPr>
          <w:b/>
          <w:bCs/>
        </w:rPr>
      </w:pPr>
      <w:r w:rsidRPr="00A42E1B">
        <w:rPr>
          <w:b/>
          <w:bCs/>
        </w:rPr>
        <w:t xml:space="preserve">3.3.2 Leadership Style Assessment </w:t>
      </w:r>
    </w:p>
    <w:p w14:paraId="788DF678" w14:textId="77777777" w:rsidR="00A42E1B" w:rsidRPr="00A42E1B" w:rsidRDefault="00C56238" w:rsidP="00A42E1B">
      <w:r w:rsidRPr="00C56238">
        <w:t>The leaders in South Korea demonstrated adaptable leadership and altered plans with the emerging information. As an example, they altered the location of testing people, the way quarantine was implemented and what they reported to people when the number of cases increased and the virus was different. The leaders relied on experiences in previous outbreaks such as the MERS and responded</w:t>
      </w:r>
      <w:r>
        <w:t xml:space="preserve"> with speed to avoid the spread </w:t>
      </w:r>
      <w:r w:rsidR="00756431" w:rsidRPr="00756431">
        <w:t>(Jung, 2025)</w:t>
      </w:r>
      <w:r w:rsidR="00756431">
        <w:t>.</w:t>
      </w:r>
    </w:p>
    <w:p w14:paraId="793542DD" w14:textId="77777777" w:rsidR="00A42E1B" w:rsidRPr="00A42E1B" w:rsidRDefault="00C56238" w:rsidP="00C56238">
      <w:r>
        <w:t>Data and technology were a</w:t>
      </w:r>
      <w:r w:rsidR="00DE3C78">
        <w:t xml:space="preserve">lso utilised by the leadership. </w:t>
      </w:r>
      <w:r>
        <w:t>Scientists dominated and decisions were primarily made through analysis of real-time data.</w:t>
      </w:r>
      <w:r w:rsidR="00DE3C78">
        <w:t xml:space="preserve"> </w:t>
      </w:r>
      <w:proofErr w:type="spellStart"/>
      <w:r>
        <w:t>Jeong</w:t>
      </w:r>
      <w:proofErr w:type="spellEnd"/>
      <w:r>
        <w:t xml:space="preserve"> </w:t>
      </w:r>
      <w:proofErr w:type="spellStart"/>
      <w:r>
        <w:t>Eun</w:t>
      </w:r>
      <w:proofErr w:type="spellEnd"/>
      <w:r>
        <w:t xml:space="preserve"> -</w:t>
      </w:r>
      <w:proofErr w:type="spellStart"/>
      <w:r>
        <w:t>Kyeong</w:t>
      </w:r>
      <w:proofErr w:type="spellEnd"/>
      <w:r>
        <w:t xml:space="preserve"> was an eloquent speaker and this made people believe the government more, and the government ensured that the polic</w:t>
      </w:r>
      <w:r w:rsidR="00DE3C78">
        <w:t xml:space="preserve">ies it had were evidence-based. </w:t>
      </w:r>
      <w:r>
        <w:t>The leadership was decentralized such that the experts were able to lead the health plan, with the authority shared with the national</w:t>
      </w:r>
      <w:r w:rsidR="00DE3C78">
        <w:t xml:space="preserve"> agencies and local governments</w:t>
      </w:r>
      <w:r w:rsidR="00A42E1B" w:rsidRPr="00A42E1B">
        <w:t>.</w:t>
      </w:r>
    </w:p>
    <w:p w14:paraId="0B53206F" w14:textId="77777777" w:rsidR="00DE3C78" w:rsidRDefault="00DE3C78" w:rsidP="00DE3C78">
      <w:r>
        <w:t>The government promoted social responsibility in a manner that indicated transformational leadership. The leaders emphasized that individuals must collaborate and behave as a community to reduce the transmission. The majority of the population obeyed the regulations due to their trust to the leaders.</w:t>
      </w:r>
    </w:p>
    <w:p w14:paraId="0F0FF774" w14:textId="77777777" w:rsidR="00A42E1B" w:rsidRPr="00A42E1B" w:rsidRDefault="00DE3C78" w:rsidP="00DE3C78">
      <w:r>
        <w:t xml:space="preserve">Not all went well, as concerns arose regarding privacy to digital tracking and high work pressures to health workers due to the heavy workload. However, the style of leadership assisted in the implementation of policies in a quick, reliable, and quality manner. This demonstrated the value of leaders changing, opening up, and making use of expert advice throughout a pandemic </w:t>
      </w:r>
      <w:r w:rsidR="00756431" w:rsidRPr="00756431">
        <w:t>(Kremer et al., 2022)</w:t>
      </w:r>
      <w:r w:rsidR="00756431">
        <w:t>.</w:t>
      </w:r>
    </w:p>
    <w:p w14:paraId="7294C84C" w14:textId="77777777" w:rsidR="00A42E1B" w:rsidRPr="00A42E1B" w:rsidRDefault="00A42E1B" w:rsidP="00A42E1B">
      <w:pPr>
        <w:rPr>
          <w:b/>
          <w:bCs/>
        </w:rPr>
      </w:pPr>
      <w:r w:rsidRPr="00A42E1B">
        <w:rPr>
          <w:b/>
          <w:bCs/>
        </w:rPr>
        <w:t xml:space="preserve">3.3.3 Leadership Impact on System Functioning </w:t>
      </w:r>
    </w:p>
    <w:p w14:paraId="50D4FD6D" w14:textId="77777777" w:rsidR="00A42E1B" w:rsidRPr="00A42E1B" w:rsidRDefault="00DE3C78" w:rsidP="00A42E1B">
      <w:r w:rsidRPr="00DE3C78">
        <w:t>The leadership of South Korea contributed to the health system of this country amid COVID-19. It brought mass testing on board. It employed contact tracing and quarantine of a digital nature. These actions ensured that hospitals were not overcharged. The coordinated and centralized strategy placed hospital beds, ventilators, and staff in the right places. The commanders and medical workers spoke comprehensibly and regularly, this made the population obey instructions like mask-wearing and social distancing. The mortality rates remained at minimal levels and hospitals could manage a patient surge without collapsing. New information continued to come to the leaders who continued to make decisions and the science-</w:t>
      </w:r>
      <w:proofErr w:type="spellStart"/>
      <w:r w:rsidRPr="00DE3C78">
        <w:t>mindset</w:t>
      </w:r>
      <w:proofErr w:type="spellEnd"/>
      <w:r w:rsidRPr="00DE3C78">
        <w:t xml:space="preserve"> continued to make people believe what was being told to them by the authorities. Concisely, effective leadership has transformed the health system to become more efficient, responsive, and tough. It demonstrated the ability of professional, adaptabl</w:t>
      </w:r>
      <w:r>
        <w:t xml:space="preserve">e plans to deal with a pandemic </w:t>
      </w:r>
      <w:r w:rsidR="00756431" w:rsidRPr="00756431">
        <w:t>(Dar et al., 2021)</w:t>
      </w:r>
      <w:r w:rsidR="00756431">
        <w:t>.</w:t>
      </w:r>
    </w:p>
    <w:p w14:paraId="160B1525" w14:textId="77777777" w:rsidR="00A42E1B" w:rsidRPr="00A42E1B" w:rsidRDefault="00A42E1B" w:rsidP="00A42E1B">
      <w:pPr>
        <w:pStyle w:val="Heading2"/>
      </w:pPr>
      <w:bookmarkStart w:id="14" w:name="_Toc216004951"/>
      <w:r w:rsidRPr="00A42E1B">
        <w:t>3.4 Leadership in Canada – Analysis</w:t>
      </w:r>
      <w:bookmarkEnd w:id="14"/>
    </w:p>
    <w:p w14:paraId="4236D80D" w14:textId="77777777" w:rsidR="00A42E1B" w:rsidRPr="00A42E1B" w:rsidRDefault="00A42E1B" w:rsidP="00A42E1B">
      <w:pPr>
        <w:rPr>
          <w:b/>
          <w:bCs/>
        </w:rPr>
      </w:pPr>
      <w:r w:rsidRPr="00A42E1B">
        <w:rPr>
          <w:b/>
          <w:bCs/>
        </w:rPr>
        <w:t xml:space="preserve">3.4.1 Key Leaders and Decisions </w:t>
      </w:r>
    </w:p>
    <w:p w14:paraId="4D0B399F" w14:textId="77777777" w:rsidR="00A42E1B" w:rsidRPr="00A42E1B" w:rsidRDefault="00DE3C78" w:rsidP="00A42E1B">
      <w:r w:rsidRPr="00DE3C78">
        <w:t xml:space="preserve">Canada had multiple layers of leaders in dealing with the pandemic. On a national level, the Prime Minister Justin Trudeau established the general plan, vaccination, border closing and economic assistance. On the provincial level, provincial leaders such as Doug Ford in Ontario and Francois </w:t>
      </w:r>
      <w:proofErr w:type="spellStart"/>
      <w:r w:rsidRPr="00DE3C78">
        <w:t>Legault</w:t>
      </w:r>
      <w:proofErr w:type="spellEnd"/>
      <w:r w:rsidRPr="00DE3C78">
        <w:t xml:space="preserve"> in Quebec were in charge of running the rules of public health, hospitals, and even closing schools. Testing and vaccine distribution was also substantia</w:t>
      </w:r>
      <w:r>
        <w:t xml:space="preserve">lly in the control of provinces </w:t>
      </w:r>
      <w:r w:rsidR="00756431" w:rsidRPr="00756431">
        <w:t>(Brown, 2021)</w:t>
      </w:r>
      <w:r w:rsidR="00756431">
        <w:t>.</w:t>
      </w:r>
    </w:p>
    <w:p w14:paraId="42AE6CDE" w14:textId="77777777" w:rsidR="00DE3C78" w:rsidRDefault="00DE3C78" w:rsidP="00DE3C78">
      <w:r>
        <w:t>The federal government received doses of the vaccine on time, offered national guidance, and funded assistance to health services. Local rules were made by provincial leaders depending on the way infections were evolving, who was at risk, and their available resources. This provided flexibility, but also created disparities between provinces in terms of when they shut, when they requested masks, and what they discussed health.</w:t>
      </w:r>
    </w:p>
    <w:p w14:paraId="38934DE6" w14:textId="77777777" w:rsidR="00A42E1B" w:rsidRPr="00A42E1B" w:rsidRDefault="00DE3C78" w:rsidP="00DE3C78">
      <w:r>
        <w:t>Another strategy was the decision-making of long-term care by the Canadian leaders, which was not easy due to the distribution of the responsibility. The federal and provincial governments were forced to coordinate the continued maintenance of the vaccination regulations and supplies, which had to be equal, yet operational and political disputes occasionally timid slowed down the process</w:t>
      </w:r>
      <w:r w:rsidR="00A42E1B" w:rsidRPr="00A42E1B">
        <w:t>.</w:t>
      </w:r>
    </w:p>
    <w:p w14:paraId="062054D0" w14:textId="77777777" w:rsidR="00A42E1B" w:rsidRPr="00A42E1B" w:rsidRDefault="00A42E1B" w:rsidP="00A42E1B">
      <w:pPr>
        <w:rPr>
          <w:b/>
          <w:bCs/>
        </w:rPr>
      </w:pPr>
      <w:r w:rsidRPr="00A42E1B">
        <w:rPr>
          <w:b/>
          <w:bCs/>
        </w:rPr>
        <w:t xml:space="preserve">3.4.2 Leadership Style Assessment </w:t>
      </w:r>
    </w:p>
    <w:p w14:paraId="21626464" w14:textId="77777777" w:rsidR="00A42E1B" w:rsidRPr="00A42E1B" w:rsidRDefault="00DE3C78" w:rsidP="00A42E1B">
      <w:r w:rsidRPr="00DE3C78">
        <w:t xml:space="preserve">Trudeau was a leader who was a team player and a </w:t>
      </w:r>
      <w:proofErr w:type="spellStart"/>
      <w:r w:rsidRPr="00DE3C78">
        <w:t>nurturant</w:t>
      </w:r>
      <w:proofErr w:type="spellEnd"/>
      <w:r w:rsidRPr="00DE3C78">
        <w:t>. He frequently engaged in communication with people emphasizing empathy and solidarity throughout the restrictions. This displays the transformational leadership, which creates a trust and mot</w:t>
      </w:r>
      <w:r>
        <w:t xml:space="preserve">ivates people to work as a team </w:t>
      </w:r>
      <w:r w:rsidR="00756431" w:rsidRPr="00756431">
        <w:t>(Farhan, 2021)</w:t>
      </w:r>
      <w:r w:rsidR="00756431">
        <w:t>.</w:t>
      </w:r>
    </w:p>
    <w:p w14:paraId="56B205FA" w14:textId="77777777" w:rsidR="00DE3C78" w:rsidRDefault="00DE3C78" w:rsidP="00DE3C78">
      <w:r>
        <w:t>The provincial leaders did not behave in the same manner. Others were also proactive and speedy in responding whereas others responded slowly. Such disparities demonstrate why it is difficult to have local leaders within a federal system. Difficulties arose when the federal and provincial turned to collaboration and this resulted in confusion and mixed messages.</w:t>
      </w:r>
    </w:p>
    <w:p w14:paraId="069C23C3" w14:textId="77777777" w:rsidR="00A42E1B" w:rsidRPr="00A42E1B" w:rsidRDefault="00DE3C78" w:rsidP="00DE3C78">
      <w:r>
        <w:t xml:space="preserve">The presence of shared leadership could be explained by the fact that the role of the public health officials in decision-making was significant. Other notable experts such as the Chief Public Health Officer, </w:t>
      </w:r>
      <w:proofErr w:type="spellStart"/>
      <w:r>
        <w:t>Dr.</w:t>
      </w:r>
      <w:proofErr w:type="spellEnd"/>
      <w:r>
        <w:t xml:space="preserve"> Theresa Tam played a major role in advising on policy, demonstrating how shared leadership can be useful. Nevertheless, in some instances, political strains postponed the convergence of policies and effective communication to the masses </w:t>
      </w:r>
      <w:r w:rsidR="00756431" w:rsidRPr="00756431">
        <w:t xml:space="preserve">(Zia </w:t>
      </w:r>
      <w:proofErr w:type="spellStart"/>
      <w:r w:rsidR="00756431" w:rsidRPr="00756431">
        <w:t>ud</w:t>
      </w:r>
      <w:proofErr w:type="spellEnd"/>
      <w:r w:rsidR="00756431" w:rsidRPr="00756431">
        <w:t xml:space="preserve"> din et al., 2024)</w:t>
      </w:r>
      <w:r w:rsidR="00756431">
        <w:t>.</w:t>
      </w:r>
    </w:p>
    <w:p w14:paraId="2F149E72" w14:textId="77777777" w:rsidR="00A42E1B" w:rsidRPr="00A42E1B" w:rsidRDefault="00DE3C78" w:rsidP="00A42E1B">
      <w:r w:rsidRPr="00DE3C78">
        <w:t xml:space="preserve">The rollout of the vaccine was successful due to the leaders on different levels, yet at times, people lost confidence due to the differences in local regulations. Collaborating, transforming and nurturing were fine, but the fragmented system exhibited issues in </w:t>
      </w:r>
      <w:r>
        <w:t>integrating in time of a crisis</w:t>
      </w:r>
      <w:r w:rsidR="00A42E1B" w:rsidRPr="00A42E1B">
        <w:t>.</w:t>
      </w:r>
    </w:p>
    <w:p w14:paraId="450F5481" w14:textId="77777777" w:rsidR="00A42E1B" w:rsidRPr="00A42E1B" w:rsidRDefault="00A42E1B" w:rsidP="00A42E1B">
      <w:pPr>
        <w:rPr>
          <w:b/>
          <w:bCs/>
        </w:rPr>
      </w:pPr>
      <w:r w:rsidRPr="00A42E1B">
        <w:rPr>
          <w:b/>
          <w:bCs/>
        </w:rPr>
        <w:t xml:space="preserve">3.4.3 Leadership Impact on System Functioning </w:t>
      </w:r>
    </w:p>
    <w:p w14:paraId="7829B193" w14:textId="77777777" w:rsidR="00A42E1B" w:rsidRDefault="00DE3C78" w:rsidP="00DE3C78">
      <w:r>
        <w:t xml:space="preserve">The role of leadership helped make the response of Canada to COVID-19 a success. On the federal level, Prime Minister Justin Trudeau and national health officials received early supplies of vaccines, provided national advice, and provided money to assist health systems across all provinces. This top management ensured that supplies were available and that no people could pass without listening to basic health messages. On provincial scales, the leaders of Ontario and Quebec implemented local regulations, such as lockdowns, order of masks, and school closings, which suited their local situations. This was flexible and assisted each region react, yet it equally led to a variation in the beginning of rules, the quantity of people adhering to them, and the end result generally. The rollout of vaccines was successful, and a large portion of the population was vaccinated but the amount of deaths in nursing homes and other long-term care facilities was very high due to structural issues and lack of coordination. The combination of leadership and ambiguous messages complicated the work of the hospital management, slowed down decision-making, and to some extent, people lost trust. Concisely, Canada has demonstrated that the involvement of steady, flexible, and working-together leadership can help in improving the health system and overcoming emergencies </w:t>
      </w:r>
      <w:r w:rsidR="00756431" w:rsidRPr="00756431">
        <w:t>(Hale et al., 2021)</w:t>
      </w:r>
      <w:r w:rsidR="00756431">
        <w:t>.</w:t>
      </w:r>
    </w:p>
    <w:p w14:paraId="728E5700" w14:textId="77777777" w:rsidR="00E83012" w:rsidRDefault="00E83012" w:rsidP="00E83012">
      <w:pPr>
        <w:jc w:val="center"/>
      </w:pPr>
      <w:r>
        <w:rPr>
          <w:noProof/>
          <w:lang w:val="en-US"/>
        </w:rPr>
        <w:drawing>
          <wp:inline distT="0" distB="0" distL="0" distR="0" wp14:anchorId="41E13997" wp14:editId="786B1B16">
            <wp:extent cx="4262130" cy="43910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65640" cy="4394641"/>
                    </a:xfrm>
                    <a:prstGeom prst="rect">
                      <a:avLst/>
                    </a:prstGeom>
                  </pic:spPr>
                </pic:pic>
              </a:graphicData>
            </a:graphic>
          </wp:inline>
        </w:drawing>
      </w:r>
    </w:p>
    <w:p w14:paraId="59AC8BEA" w14:textId="77777777" w:rsidR="00E83012" w:rsidRPr="00E83012" w:rsidRDefault="00E83012" w:rsidP="00E83012">
      <w:pPr>
        <w:spacing w:after="0" w:line="240" w:lineRule="auto"/>
        <w:jc w:val="center"/>
        <w:rPr>
          <w:rFonts w:eastAsia="Times New Roman" w:cs="Times New Roman"/>
          <w:b/>
          <w:szCs w:val="24"/>
          <w:lang w:eastAsia="en-IN"/>
        </w:rPr>
      </w:pPr>
      <w:r w:rsidRPr="00E83012">
        <w:rPr>
          <w:rFonts w:eastAsia="Times New Roman" w:cs="Times New Roman"/>
          <w:b/>
          <w:szCs w:val="24"/>
          <w:lang w:eastAsia="en-IN"/>
        </w:rPr>
        <w:t>Figure</w:t>
      </w:r>
      <w:r>
        <w:rPr>
          <w:rFonts w:eastAsia="Times New Roman" w:cs="Times New Roman"/>
          <w:b/>
          <w:szCs w:val="24"/>
          <w:lang w:eastAsia="en-IN"/>
        </w:rPr>
        <w:t xml:space="preserve"> 8</w:t>
      </w:r>
      <w:r w:rsidRPr="00E83012">
        <w:rPr>
          <w:rFonts w:eastAsia="Times New Roman" w:cs="Times New Roman"/>
          <w:b/>
          <w:szCs w:val="24"/>
          <w:lang w:eastAsia="en-IN"/>
        </w:rPr>
        <w:t>:Adaptive leadership (Ferris, 2019)</w:t>
      </w:r>
    </w:p>
    <w:p w14:paraId="4B808605" w14:textId="77777777" w:rsidR="00E83012" w:rsidRPr="00A42E1B" w:rsidRDefault="00E83012" w:rsidP="00A42E1B"/>
    <w:p w14:paraId="1CA24AE1" w14:textId="77777777" w:rsidR="00A42E1B" w:rsidRPr="00A42E1B" w:rsidRDefault="00A42E1B" w:rsidP="00A42E1B">
      <w:pPr>
        <w:pStyle w:val="Heading1"/>
      </w:pPr>
      <w:bookmarkStart w:id="15" w:name="_Toc216004952"/>
      <w:r w:rsidRPr="00A42E1B">
        <w:t>4. CONCLUSION</w:t>
      </w:r>
      <w:bookmarkEnd w:id="15"/>
    </w:p>
    <w:p w14:paraId="191F6425" w14:textId="77777777" w:rsidR="00A42E1B" w:rsidRPr="00A42E1B" w:rsidRDefault="00A42E1B" w:rsidP="00A42E1B">
      <w:pPr>
        <w:pStyle w:val="Heading2"/>
      </w:pPr>
      <w:bookmarkStart w:id="16" w:name="_Toc216004953"/>
      <w:r w:rsidRPr="00A42E1B">
        <w:t>4.1 Core Insights</w:t>
      </w:r>
      <w:bookmarkEnd w:id="16"/>
    </w:p>
    <w:p w14:paraId="6451A114" w14:textId="77777777" w:rsidR="00A42E1B" w:rsidRPr="00A42E1B" w:rsidRDefault="00DE3C78" w:rsidP="00DE3C78">
      <w:r>
        <w:t>The examples of Spain, South Korea, and Canada indicate that the process of establishing health systems and their leadership had a significant influence on the COVID-19 outcome. The centralised system of South Korea allowed the government to respond fast, coordinate and deliver clear messages. This assisted in minimizing the number of infections and securing hospitals. The system of decentralisation in Spain initially had its problems due to the ability of each region to make their own decisions. Subsequently, centralised emergency powers were granted by the government and this enhanced coordination. The highly decentralised system in Canada provided flexibility to the provinces but due to the varied behaviours, there was a great disparity in the outcomes, particularly in long-term care. An important point was the leadership style. The South Korean leaders were clear, flexible, and scientific and had the ability to make fast decisions and win</w:t>
      </w:r>
      <w:r w:rsidR="00DC35E4">
        <w:t xml:space="preserve"> the trust of the people </w:t>
      </w:r>
      <w:r w:rsidR="00756431" w:rsidRPr="00756431">
        <w:t>(Smith et al., 2022)</w:t>
      </w:r>
      <w:r w:rsidR="00756431">
        <w:t>.</w:t>
      </w:r>
    </w:p>
    <w:p w14:paraId="2A9D5A9A" w14:textId="77777777" w:rsidR="00A42E1B" w:rsidRPr="00A42E1B" w:rsidRDefault="00A42E1B" w:rsidP="00A42E1B">
      <w:pPr>
        <w:pStyle w:val="Heading2"/>
      </w:pPr>
      <w:bookmarkStart w:id="17" w:name="_Toc216004954"/>
      <w:r w:rsidRPr="00A42E1B">
        <w:t>4.2 Recommendations</w:t>
      </w:r>
      <w:bookmarkEnd w:id="17"/>
    </w:p>
    <w:p w14:paraId="71A993B8" w14:textId="77777777" w:rsidR="00A42E1B" w:rsidRPr="00A42E1B" w:rsidRDefault="00DE3C78" w:rsidP="00A42E1B">
      <w:r w:rsidRPr="00DE3C78">
        <w:t xml:space="preserve">An improved coordination system between nations and regions should be made in future responses to pandemics in order to bring about responses in a coordinated manner and faster. The governments ought to invest in combined data systems that allow </w:t>
      </w:r>
      <w:r w:rsidR="00447725">
        <w:t>them</w:t>
      </w:r>
      <w:r w:rsidRPr="00DE3C78">
        <w:t xml:space="preserve"> to view and respond in real times, in order to make better decisions. Leaders can be stronger with training programs on crisis leadership, adaptable skill, good communication, and collaboration to find solutions to a problem. Understanding of authority between national and local governments, open communication and professional suggestions will assist individuals to trust au</w:t>
      </w:r>
      <w:r w:rsidR="00DC35E4">
        <w:t xml:space="preserve">thorities and become resilient </w:t>
      </w:r>
      <w:r w:rsidR="00756431" w:rsidRPr="00756431">
        <w:t>(Al‐</w:t>
      </w:r>
      <w:proofErr w:type="spellStart"/>
      <w:r w:rsidR="00756431" w:rsidRPr="00756431">
        <w:t>Atawi</w:t>
      </w:r>
      <w:proofErr w:type="spellEnd"/>
      <w:r w:rsidR="00756431" w:rsidRPr="00756431">
        <w:t>, 2024)</w:t>
      </w:r>
      <w:r w:rsidR="00756431">
        <w:t>.</w:t>
      </w:r>
    </w:p>
    <w:p w14:paraId="1194E884" w14:textId="77777777" w:rsidR="00CF589D" w:rsidRDefault="00CF589D">
      <w:pPr>
        <w:spacing w:line="259" w:lineRule="auto"/>
        <w:jc w:val="left"/>
      </w:pPr>
      <w:r>
        <w:br w:type="page"/>
      </w:r>
    </w:p>
    <w:p w14:paraId="18A8CE5F" w14:textId="77777777" w:rsidR="00323453" w:rsidRDefault="00CF589D" w:rsidP="00CF589D">
      <w:pPr>
        <w:pStyle w:val="Heading1"/>
      </w:pPr>
      <w:bookmarkStart w:id="18" w:name="_Toc216004955"/>
      <w:r>
        <w:t>References List</w:t>
      </w:r>
      <w:bookmarkEnd w:id="18"/>
    </w:p>
    <w:p w14:paraId="1F01D1C1" w14:textId="77777777" w:rsidR="00756431" w:rsidRDefault="00756431" w:rsidP="00756431">
      <w:pPr>
        <w:pStyle w:val="NormalWeb"/>
        <w:spacing w:before="0" w:beforeAutospacing="0" w:after="240" w:afterAutospacing="0" w:line="360" w:lineRule="auto"/>
      </w:pPr>
      <w:r>
        <w:t>Al‐</w:t>
      </w:r>
      <w:proofErr w:type="spellStart"/>
      <w:r>
        <w:t>Atawi</w:t>
      </w:r>
      <w:proofErr w:type="spellEnd"/>
      <w:r>
        <w:t xml:space="preserve">, A.A. (2024). Enhancing data management and real‐time decision making with </w:t>
      </w:r>
      <w:proofErr w:type="spellStart"/>
      <w:r>
        <w:t>IoT</w:t>
      </w:r>
      <w:proofErr w:type="spellEnd"/>
      <w:r>
        <w:t xml:space="preserve">, cloud, and fog computing. </w:t>
      </w:r>
      <w:r>
        <w:rPr>
          <w:i/>
          <w:iCs/>
        </w:rPr>
        <w:t>IET Wireless Sensor Systems</w:t>
      </w:r>
      <w:r>
        <w:t xml:space="preserve">. </w:t>
      </w:r>
      <w:proofErr w:type="spellStart"/>
      <w:r>
        <w:t>doi</w:t>
      </w:r>
      <w:proofErr w:type="spellEnd"/>
      <w:r>
        <w:t xml:space="preserve">: </w:t>
      </w:r>
      <w:hyperlink r:id="rId16" w:history="1">
        <w:r w:rsidR="006A50DB" w:rsidRPr="00A43E2D">
          <w:rPr>
            <w:rStyle w:val="Hyperlink"/>
          </w:rPr>
          <w:t>https://doi.org/10.1049/wss2.12099</w:t>
        </w:r>
      </w:hyperlink>
      <w:r>
        <w:t>.</w:t>
      </w:r>
    </w:p>
    <w:p w14:paraId="23D89848" w14:textId="77777777" w:rsidR="00756431" w:rsidRDefault="00756431" w:rsidP="00756431">
      <w:pPr>
        <w:pStyle w:val="NormalWeb"/>
        <w:spacing w:before="0" w:beforeAutospacing="0" w:after="240" w:afterAutospacing="0" w:line="360" w:lineRule="auto"/>
      </w:pPr>
      <w:proofErr w:type="spellStart"/>
      <w:r>
        <w:t>Assefa</w:t>
      </w:r>
      <w:proofErr w:type="spellEnd"/>
      <w:r>
        <w:t xml:space="preserve">, Y., </w:t>
      </w:r>
      <w:proofErr w:type="spellStart"/>
      <w:r>
        <w:t>Gilks</w:t>
      </w:r>
      <w:proofErr w:type="spellEnd"/>
      <w:r>
        <w:t xml:space="preserve">, C.F., Reid, S., van de Pas, R., </w:t>
      </w:r>
      <w:proofErr w:type="spellStart"/>
      <w:r>
        <w:t>Gete</w:t>
      </w:r>
      <w:proofErr w:type="spellEnd"/>
      <w:r>
        <w:t xml:space="preserve">, D.G. and Van </w:t>
      </w:r>
      <w:proofErr w:type="spellStart"/>
      <w:r>
        <w:t>Damme</w:t>
      </w:r>
      <w:proofErr w:type="spellEnd"/>
      <w:r>
        <w:t xml:space="preserve">, W. (2022). Analysis of the COVID-19 pandemic: lessons towards a more effective response to public health emergencies. </w:t>
      </w:r>
      <w:r>
        <w:rPr>
          <w:i/>
          <w:iCs/>
        </w:rPr>
        <w:t>Globalization and Health</w:t>
      </w:r>
      <w:r>
        <w:t xml:space="preserve">, 18(1). </w:t>
      </w:r>
      <w:proofErr w:type="spellStart"/>
      <w:r>
        <w:t>doi</w:t>
      </w:r>
      <w:proofErr w:type="spellEnd"/>
      <w:r>
        <w:t xml:space="preserve">: </w:t>
      </w:r>
      <w:hyperlink r:id="rId17" w:history="1">
        <w:r w:rsidR="006A50DB" w:rsidRPr="00A43E2D">
          <w:rPr>
            <w:rStyle w:val="Hyperlink"/>
          </w:rPr>
          <w:t>https://doi.org/10.1186/s12992-022-00805-9</w:t>
        </w:r>
      </w:hyperlink>
      <w:r>
        <w:t>.</w:t>
      </w:r>
    </w:p>
    <w:p w14:paraId="4756BA5A" w14:textId="77777777" w:rsidR="00756431" w:rsidRDefault="00756431" w:rsidP="00756431">
      <w:pPr>
        <w:pStyle w:val="NormalWeb"/>
        <w:spacing w:before="0" w:beforeAutospacing="0" w:after="240" w:afterAutospacing="0" w:line="360" w:lineRule="auto"/>
      </w:pPr>
      <w:r>
        <w:t>Bermejo-</w:t>
      </w:r>
      <w:proofErr w:type="spellStart"/>
      <w:r>
        <w:t>Casado</w:t>
      </w:r>
      <w:proofErr w:type="spellEnd"/>
      <w:r>
        <w:t xml:space="preserve">, R. (2024). Spain, between its waves and experts – Navigating through a complex network of advisory committees in a context of political confrontation. </w:t>
      </w:r>
      <w:r>
        <w:rPr>
          <w:i/>
          <w:iCs/>
        </w:rPr>
        <w:t>Comparing the place of experts during the first waves of the COVID-19 pandemic</w:t>
      </w:r>
      <w:r>
        <w:t xml:space="preserve">, [online] pp.339–384. </w:t>
      </w:r>
      <w:proofErr w:type="spellStart"/>
      <w:r>
        <w:t>doi</w:t>
      </w:r>
      <w:proofErr w:type="spellEnd"/>
      <w:r>
        <w:t xml:space="preserve">: </w:t>
      </w:r>
      <w:hyperlink r:id="rId18" w:history="1">
        <w:r w:rsidR="006A50DB" w:rsidRPr="00A43E2D">
          <w:rPr>
            <w:rStyle w:val="Hyperlink"/>
          </w:rPr>
          <w:t>https://doi.org/10.16993/bco.h</w:t>
        </w:r>
      </w:hyperlink>
      <w:r>
        <w:t>.</w:t>
      </w:r>
    </w:p>
    <w:p w14:paraId="6537F160" w14:textId="77777777" w:rsidR="00756431" w:rsidRDefault="00756431" w:rsidP="00756431">
      <w:pPr>
        <w:pStyle w:val="NormalWeb"/>
        <w:spacing w:before="0" w:beforeAutospacing="0" w:after="240" w:afterAutospacing="0" w:line="360" w:lineRule="auto"/>
      </w:pPr>
      <w:r>
        <w:t xml:space="preserve">Borges de Oliveira, K., dos Santos, E.F., </w:t>
      </w:r>
      <w:proofErr w:type="spellStart"/>
      <w:r>
        <w:t>Neto</w:t>
      </w:r>
      <w:proofErr w:type="spellEnd"/>
      <w:r>
        <w:t xml:space="preserve">, A.F., de Mello Santos, V.H. and de Oliveira, O.J. (2021). Guidelines for efficient and sustainable energy management in hospital buildings. </w:t>
      </w:r>
      <w:r>
        <w:rPr>
          <w:i/>
          <w:iCs/>
        </w:rPr>
        <w:t>Journal of Cleaner Production</w:t>
      </w:r>
      <w:r>
        <w:t xml:space="preserve">, 329, p.129644. </w:t>
      </w:r>
      <w:proofErr w:type="spellStart"/>
      <w:r>
        <w:t>doi</w:t>
      </w:r>
      <w:proofErr w:type="spellEnd"/>
      <w:r>
        <w:t xml:space="preserve">: </w:t>
      </w:r>
      <w:hyperlink r:id="rId19" w:history="1">
        <w:r w:rsidR="006A50DB" w:rsidRPr="00A43E2D">
          <w:rPr>
            <w:rStyle w:val="Hyperlink"/>
          </w:rPr>
          <w:t>https://doi.org/10.1016/j.jclepro.2021.129644</w:t>
        </w:r>
      </w:hyperlink>
      <w:r>
        <w:t>.</w:t>
      </w:r>
    </w:p>
    <w:p w14:paraId="2E33D22F" w14:textId="77777777" w:rsidR="00756431" w:rsidRDefault="00756431" w:rsidP="00756431">
      <w:pPr>
        <w:pStyle w:val="NormalWeb"/>
        <w:spacing w:before="0" w:beforeAutospacing="0" w:after="240" w:afterAutospacing="0" w:line="360" w:lineRule="auto"/>
      </w:pPr>
      <w:r>
        <w:t xml:space="preserve">Brown, S. (2021). Going Viral: Development Assistance Under the Trudeau Minority Government. </w:t>
      </w:r>
      <w:r>
        <w:rPr>
          <w:i/>
          <w:iCs/>
        </w:rPr>
        <w:t>Canada and international affairs</w:t>
      </w:r>
      <w:r>
        <w:t xml:space="preserve">, pp.251–272. </w:t>
      </w:r>
      <w:proofErr w:type="spellStart"/>
      <w:r>
        <w:t>doi:</w:t>
      </w:r>
      <w:hyperlink r:id="rId20" w:history="1">
        <w:r w:rsidR="006A50DB" w:rsidRPr="00A43E2D">
          <w:rPr>
            <w:rStyle w:val="Hyperlink"/>
          </w:rPr>
          <w:t>https</w:t>
        </w:r>
        <w:proofErr w:type="spellEnd"/>
        <w:r w:rsidR="006A50DB" w:rsidRPr="00A43E2D">
          <w:rPr>
            <w:rStyle w:val="Hyperlink"/>
          </w:rPr>
          <w:t>://doi.org/10.1007/978-3-030-70686-9_12</w:t>
        </w:r>
      </w:hyperlink>
      <w:r>
        <w:t>.</w:t>
      </w:r>
    </w:p>
    <w:p w14:paraId="1513148B" w14:textId="77777777" w:rsidR="00756431" w:rsidRDefault="00756431" w:rsidP="00756431">
      <w:pPr>
        <w:pStyle w:val="NormalWeb"/>
        <w:spacing w:before="0" w:beforeAutospacing="0" w:after="240" w:afterAutospacing="0" w:line="360" w:lineRule="auto"/>
      </w:pPr>
      <w:proofErr w:type="spellStart"/>
      <w:r>
        <w:t>Chassé</w:t>
      </w:r>
      <w:proofErr w:type="spellEnd"/>
      <w:r>
        <w:t xml:space="preserve">, P., Jacques, O. and Scott, C. (2024). Between Decentralization and Asymmetry: Explaining Preferences toward the Division of Power in Canada. </w:t>
      </w:r>
      <w:proofErr w:type="spellStart"/>
      <w:r>
        <w:rPr>
          <w:i/>
          <w:iCs/>
        </w:rPr>
        <w:t>Publius</w:t>
      </w:r>
      <w:proofErr w:type="spellEnd"/>
      <w:r>
        <w:rPr>
          <w:i/>
          <w:iCs/>
        </w:rPr>
        <w:t>: The Journal of Federalism</w:t>
      </w:r>
      <w:r>
        <w:t xml:space="preserve">, 55(1), pp.147–173. </w:t>
      </w:r>
      <w:proofErr w:type="spellStart"/>
      <w:r>
        <w:t>doi:</w:t>
      </w:r>
      <w:hyperlink r:id="rId21" w:history="1">
        <w:r w:rsidR="006A50DB" w:rsidRPr="00A43E2D">
          <w:rPr>
            <w:rStyle w:val="Hyperlink"/>
          </w:rPr>
          <w:t>https</w:t>
        </w:r>
        <w:proofErr w:type="spellEnd"/>
        <w:r w:rsidR="006A50DB" w:rsidRPr="00A43E2D">
          <w:rPr>
            <w:rStyle w:val="Hyperlink"/>
          </w:rPr>
          <w:t>://doi.org/10.1093/publius/pjae034</w:t>
        </w:r>
      </w:hyperlink>
      <w:r>
        <w:t>.</w:t>
      </w:r>
    </w:p>
    <w:p w14:paraId="1807C635" w14:textId="77777777" w:rsidR="00756431" w:rsidRDefault="00756431" w:rsidP="00756431">
      <w:pPr>
        <w:pStyle w:val="NormalWeb"/>
        <w:spacing w:before="0" w:beforeAutospacing="0" w:after="240" w:afterAutospacing="0" w:line="360" w:lineRule="auto"/>
      </w:pPr>
      <w:r>
        <w:t xml:space="preserve">Chen, H., Shi, L., Zhang, Y., Wang, X., Jiao, J., Yang, M. and Sun, G. (2021). Response to the COVID-19 Pandemic: Comparison of Strategies in Six Countries. </w:t>
      </w:r>
      <w:r>
        <w:rPr>
          <w:i/>
          <w:iCs/>
        </w:rPr>
        <w:t>Frontiers in Public Health</w:t>
      </w:r>
      <w:r>
        <w:t xml:space="preserve">, [online] 9(708496). </w:t>
      </w:r>
      <w:proofErr w:type="spellStart"/>
      <w:r>
        <w:t>doi:</w:t>
      </w:r>
      <w:hyperlink r:id="rId22" w:history="1">
        <w:r w:rsidR="006A50DB" w:rsidRPr="00A43E2D">
          <w:rPr>
            <w:rStyle w:val="Hyperlink"/>
          </w:rPr>
          <w:t>https</w:t>
        </w:r>
        <w:proofErr w:type="spellEnd"/>
        <w:r w:rsidR="006A50DB" w:rsidRPr="00A43E2D">
          <w:rPr>
            <w:rStyle w:val="Hyperlink"/>
          </w:rPr>
          <w:t>://doi.org/10.3389/fpubh.2021.708496</w:t>
        </w:r>
      </w:hyperlink>
      <w:r>
        <w:t>.</w:t>
      </w:r>
    </w:p>
    <w:p w14:paraId="7D4B8B15" w14:textId="77777777" w:rsidR="00756431" w:rsidRDefault="00756431" w:rsidP="00756431">
      <w:pPr>
        <w:pStyle w:val="NormalWeb"/>
        <w:spacing w:before="0" w:beforeAutospacing="0" w:after="240" w:afterAutospacing="0" w:line="360" w:lineRule="auto"/>
      </w:pPr>
      <w:r>
        <w:t xml:space="preserve">Crooks, K., Tully, B., Allan, L., Gillham, K., </w:t>
      </w:r>
      <w:proofErr w:type="spellStart"/>
      <w:r>
        <w:t>Durrheim</w:t>
      </w:r>
      <w:proofErr w:type="spellEnd"/>
      <w:r>
        <w:t xml:space="preserve">, D. and </w:t>
      </w:r>
      <w:proofErr w:type="spellStart"/>
      <w:r>
        <w:t>Wiggers</w:t>
      </w:r>
      <w:proofErr w:type="spellEnd"/>
      <w:r>
        <w:t xml:space="preserve">, J. (2021). Development and implementation of a shared governance model in a mainstream health unit: a case study of embedding Aboriginal voices in organisational decision making. </w:t>
      </w:r>
      <w:r>
        <w:rPr>
          <w:i/>
          <w:iCs/>
        </w:rPr>
        <w:t>Australian Health Review</w:t>
      </w:r>
      <w:r>
        <w:t xml:space="preserve">, 46(2). </w:t>
      </w:r>
      <w:proofErr w:type="spellStart"/>
      <w:r>
        <w:t>doi:</w:t>
      </w:r>
      <w:hyperlink r:id="rId23" w:history="1">
        <w:r w:rsidR="006A50DB" w:rsidRPr="00A43E2D">
          <w:rPr>
            <w:rStyle w:val="Hyperlink"/>
          </w:rPr>
          <w:t>https</w:t>
        </w:r>
        <w:proofErr w:type="spellEnd"/>
        <w:r w:rsidR="006A50DB" w:rsidRPr="00A43E2D">
          <w:rPr>
            <w:rStyle w:val="Hyperlink"/>
          </w:rPr>
          <w:t>://doi.org/10.1071/ah20369</w:t>
        </w:r>
      </w:hyperlink>
      <w:r>
        <w:t>.</w:t>
      </w:r>
    </w:p>
    <w:p w14:paraId="5623AECC" w14:textId="77777777" w:rsidR="00756431" w:rsidRDefault="00756431" w:rsidP="00756431">
      <w:pPr>
        <w:pStyle w:val="NormalWeb"/>
        <w:spacing w:before="0" w:beforeAutospacing="0" w:after="240" w:afterAutospacing="0" w:line="360" w:lineRule="auto"/>
      </w:pPr>
      <w:r>
        <w:t xml:space="preserve">Dar, M., </w:t>
      </w:r>
      <w:proofErr w:type="spellStart"/>
      <w:r>
        <w:t>Swamy</w:t>
      </w:r>
      <w:proofErr w:type="spellEnd"/>
      <w:r>
        <w:t xml:space="preserve">, L., Gavin, D. and Theodore, A. (2021). Mechanical-Ventilation Supply and Options for the COVID-19 Pandemic. Leveraging All Available Resources for a Limited Resource in a Crisis. </w:t>
      </w:r>
      <w:r>
        <w:rPr>
          <w:i/>
          <w:iCs/>
        </w:rPr>
        <w:t>Annals of the American Thoracic Society</w:t>
      </w:r>
      <w:r>
        <w:t xml:space="preserve">, 18(3), pp.408–416. </w:t>
      </w:r>
      <w:proofErr w:type="spellStart"/>
      <w:r>
        <w:t>doi:</w:t>
      </w:r>
      <w:hyperlink r:id="rId24" w:history="1">
        <w:r w:rsidR="006A50DB" w:rsidRPr="00A43E2D">
          <w:rPr>
            <w:rStyle w:val="Hyperlink"/>
          </w:rPr>
          <w:t>https</w:t>
        </w:r>
        <w:proofErr w:type="spellEnd"/>
        <w:r w:rsidR="006A50DB" w:rsidRPr="00A43E2D">
          <w:rPr>
            <w:rStyle w:val="Hyperlink"/>
          </w:rPr>
          <w:t>://doi.org/10.1513/annalsats.202004-317cme</w:t>
        </w:r>
      </w:hyperlink>
      <w:r>
        <w:t>.</w:t>
      </w:r>
    </w:p>
    <w:p w14:paraId="31F59FDA" w14:textId="77777777" w:rsidR="00756431" w:rsidRDefault="00756431" w:rsidP="00756431">
      <w:pPr>
        <w:pStyle w:val="NormalWeb"/>
        <w:spacing w:before="0" w:beforeAutospacing="0" w:after="240" w:afterAutospacing="0" w:line="360" w:lineRule="auto"/>
      </w:pPr>
      <w:r>
        <w:t xml:space="preserve">Farhan, B. (2021). A new strategic leadership model for surviving and coping: Lessons from Canada’s leadership approach to COVID-19. </w:t>
      </w:r>
      <w:r>
        <w:rPr>
          <w:i/>
          <w:iCs/>
        </w:rPr>
        <w:t>Cogent Business &amp; Management</w:t>
      </w:r>
      <w:r>
        <w:t xml:space="preserve">, 8(1), p.1883221. </w:t>
      </w:r>
      <w:proofErr w:type="spellStart"/>
      <w:r>
        <w:t>doi:</w:t>
      </w:r>
      <w:hyperlink r:id="rId25" w:history="1">
        <w:r w:rsidR="006A50DB" w:rsidRPr="00A43E2D">
          <w:rPr>
            <w:rStyle w:val="Hyperlink"/>
          </w:rPr>
          <w:t>https</w:t>
        </w:r>
        <w:proofErr w:type="spellEnd"/>
        <w:r w:rsidR="006A50DB" w:rsidRPr="00A43E2D">
          <w:rPr>
            <w:rStyle w:val="Hyperlink"/>
          </w:rPr>
          <w:t>://doi.org/10.1080/23311975.2021.1883221</w:t>
        </w:r>
      </w:hyperlink>
      <w:r>
        <w:t>.</w:t>
      </w:r>
    </w:p>
    <w:p w14:paraId="37023C92" w14:textId="77777777" w:rsidR="00756431" w:rsidRDefault="00756431" w:rsidP="00756431">
      <w:pPr>
        <w:pStyle w:val="NormalWeb"/>
        <w:spacing w:before="0" w:beforeAutospacing="0" w:after="240" w:afterAutospacing="0" w:line="360" w:lineRule="auto"/>
      </w:pPr>
      <w:r>
        <w:t xml:space="preserve">Glenn, J., Chaumont, C. and Villalobos </w:t>
      </w:r>
      <w:proofErr w:type="spellStart"/>
      <w:r>
        <w:t>Dintrans</w:t>
      </w:r>
      <w:proofErr w:type="spellEnd"/>
      <w:r>
        <w:t xml:space="preserve">, P. (2020). Public health leadership in the times of COVID-19: a comparative case study of three countries. </w:t>
      </w:r>
      <w:r>
        <w:rPr>
          <w:i/>
          <w:iCs/>
        </w:rPr>
        <w:t>International Journal of Public Leadership</w:t>
      </w:r>
      <w:r>
        <w:t xml:space="preserve">, 17(1), pp.81–94. </w:t>
      </w:r>
      <w:proofErr w:type="spellStart"/>
      <w:r>
        <w:t>doi:</w:t>
      </w:r>
      <w:hyperlink r:id="rId26" w:history="1">
        <w:r w:rsidR="006A50DB" w:rsidRPr="00A43E2D">
          <w:rPr>
            <w:rStyle w:val="Hyperlink"/>
          </w:rPr>
          <w:t>https</w:t>
        </w:r>
        <w:proofErr w:type="spellEnd"/>
        <w:r w:rsidR="006A50DB" w:rsidRPr="00A43E2D">
          <w:rPr>
            <w:rStyle w:val="Hyperlink"/>
          </w:rPr>
          <w:t>://doi.org/10.1108/ijpl-08-2020-0082</w:t>
        </w:r>
      </w:hyperlink>
      <w:r>
        <w:t>.</w:t>
      </w:r>
    </w:p>
    <w:p w14:paraId="6BDA86BA" w14:textId="77777777" w:rsidR="00756431" w:rsidRDefault="00756431" w:rsidP="00756431">
      <w:pPr>
        <w:pStyle w:val="NormalWeb"/>
        <w:spacing w:before="0" w:beforeAutospacing="0" w:after="240" w:afterAutospacing="0" w:line="360" w:lineRule="auto"/>
      </w:pPr>
      <w:r>
        <w:t xml:space="preserve">Gooding, K., Bertone, M.P., </w:t>
      </w:r>
      <w:proofErr w:type="spellStart"/>
      <w:r>
        <w:t>Loffreda</w:t>
      </w:r>
      <w:proofErr w:type="spellEnd"/>
      <w:r>
        <w:t xml:space="preserve">, G. and Witter, S. (2022). How can we strengthen partnership and coordination for health system emergency preparedness and response? Findings from a synthesis of experience across countries facing shocks. </w:t>
      </w:r>
      <w:r>
        <w:rPr>
          <w:i/>
          <w:iCs/>
        </w:rPr>
        <w:t>BMC Health Services Research</w:t>
      </w:r>
      <w:r>
        <w:t xml:space="preserve">, [online] 22(1), pp.1–19. </w:t>
      </w:r>
      <w:proofErr w:type="spellStart"/>
      <w:r>
        <w:t>doi:</w:t>
      </w:r>
      <w:hyperlink r:id="rId27" w:history="1">
        <w:r w:rsidR="006A50DB" w:rsidRPr="00A43E2D">
          <w:rPr>
            <w:rStyle w:val="Hyperlink"/>
          </w:rPr>
          <w:t>https</w:t>
        </w:r>
        <w:proofErr w:type="spellEnd"/>
        <w:r w:rsidR="006A50DB" w:rsidRPr="00A43E2D">
          <w:rPr>
            <w:rStyle w:val="Hyperlink"/>
          </w:rPr>
          <w:t>://doi.org/10.1186/s12913-022-08859-6</w:t>
        </w:r>
      </w:hyperlink>
      <w:r>
        <w:t>.</w:t>
      </w:r>
    </w:p>
    <w:p w14:paraId="396F77AB" w14:textId="77777777" w:rsidR="00756431" w:rsidRDefault="00756431" w:rsidP="00756431">
      <w:pPr>
        <w:pStyle w:val="NormalWeb"/>
        <w:spacing w:before="0" w:beforeAutospacing="0" w:after="240" w:afterAutospacing="0" w:line="360" w:lineRule="auto"/>
      </w:pPr>
      <w:r>
        <w:t xml:space="preserve">Hale, T., </w:t>
      </w:r>
      <w:proofErr w:type="spellStart"/>
      <w:r>
        <w:t>Angrist</w:t>
      </w:r>
      <w:proofErr w:type="spellEnd"/>
      <w:r>
        <w:t xml:space="preserve">, N., </w:t>
      </w:r>
      <w:proofErr w:type="spellStart"/>
      <w:r>
        <w:t>Goldszmidt</w:t>
      </w:r>
      <w:proofErr w:type="spellEnd"/>
      <w:r>
        <w:t xml:space="preserve">, R., Kira, B., Petherick, A., Phillips, T., Webster, S., Cameron-Blake, E., Hallas, L., </w:t>
      </w:r>
      <w:proofErr w:type="spellStart"/>
      <w:r>
        <w:t>Majumdar</w:t>
      </w:r>
      <w:proofErr w:type="spellEnd"/>
      <w:r>
        <w:t xml:space="preserve">, S. and </w:t>
      </w:r>
      <w:proofErr w:type="spellStart"/>
      <w:r>
        <w:t>Tatlow</w:t>
      </w:r>
      <w:proofErr w:type="spellEnd"/>
      <w:r>
        <w:t xml:space="preserve">, H. (2021). A global panel database of pandemic policies (Oxford COVID-19 Government Response Tracker). </w:t>
      </w:r>
      <w:r>
        <w:rPr>
          <w:i/>
          <w:iCs/>
        </w:rPr>
        <w:t>Nature Human Behaviour</w:t>
      </w:r>
      <w:r>
        <w:t xml:space="preserve">, [online] 5(4), pp.529–538. </w:t>
      </w:r>
      <w:proofErr w:type="spellStart"/>
      <w:r>
        <w:t>doi:</w:t>
      </w:r>
      <w:hyperlink r:id="rId28" w:history="1">
        <w:r w:rsidR="006A50DB" w:rsidRPr="00A43E2D">
          <w:rPr>
            <w:rStyle w:val="Hyperlink"/>
          </w:rPr>
          <w:t>https</w:t>
        </w:r>
        <w:proofErr w:type="spellEnd"/>
        <w:r w:rsidR="006A50DB" w:rsidRPr="00A43E2D">
          <w:rPr>
            <w:rStyle w:val="Hyperlink"/>
          </w:rPr>
          <w:t>://doi.org/10.1038/s41562-021-01079-8</w:t>
        </w:r>
      </w:hyperlink>
      <w:r>
        <w:t>.</w:t>
      </w:r>
    </w:p>
    <w:p w14:paraId="044EBCC2" w14:textId="77777777" w:rsidR="00756431" w:rsidRDefault="00756431" w:rsidP="00756431">
      <w:pPr>
        <w:pStyle w:val="NormalWeb"/>
        <w:spacing w:before="0" w:beforeAutospacing="0" w:after="240" w:afterAutospacing="0" w:line="360" w:lineRule="auto"/>
      </w:pPr>
      <w:proofErr w:type="spellStart"/>
      <w:r>
        <w:t>Hegele</w:t>
      </w:r>
      <w:proofErr w:type="spellEnd"/>
      <w:r>
        <w:t xml:space="preserve">, Y. and Schnabel, J. (2021). Federalism and the management of the COVID-19 crisis: centralisation, decentralisation and (non-)coordination. </w:t>
      </w:r>
      <w:r>
        <w:rPr>
          <w:i/>
          <w:iCs/>
        </w:rPr>
        <w:t>West European Politics</w:t>
      </w:r>
      <w:r>
        <w:t xml:space="preserve">, 44(5-6), pp.1–20. </w:t>
      </w:r>
      <w:proofErr w:type="spellStart"/>
      <w:r>
        <w:t>doi:</w:t>
      </w:r>
      <w:hyperlink r:id="rId29" w:history="1">
        <w:r w:rsidR="006A50DB" w:rsidRPr="00A43E2D">
          <w:rPr>
            <w:rStyle w:val="Hyperlink"/>
          </w:rPr>
          <w:t>https</w:t>
        </w:r>
        <w:proofErr w:type="spellEnd"/>
        <w:r w:rsidR="006A50DB" w:rsidRPr="00A43E2D">
          <w:rPr>
            <w:rStyle w:val="Hyperlink"/>
          </w:rPr>
          <w:t>://doi.org/10.1080/01402382.2021.1873529</w:t>
        </w:r>
      </w:hyperlink>
      <w:r>
        <w:t>.</w:t>
      </w:r>
    </w:p>
    <w:p w14:paraId="5BAC0596" w14:textId="77777777" w:rsidR="00756431" w:rsidRDefault="00756431" w:rsidP="00756431">
      <w:pPr>
        <w:pStyle w:val="NormalWeb"/>
        <w:spacing w:before="0" w:beforeAutospacing="0" w:after="240" w:afterAutospacing="0" w:line="360" w:lineRule="auto"/>
      </w:pPr>
      <w:proofErr w:type="spellStart"/>
      <w:r>
        <w:t>Hernes</w:t>
      </w:r>
      <w:proofErr w:type="spellEnd"/>
      <w:r>
        <w:t xml:space="preserve">, V. (2021). The case for increased centralization in integration governance: the neglected perspective. </w:t>
      </w:r>
      <w:r>
        <w:rPr>
          <w:i/>
          <w:iCs/>
        </w:rPr>
        <w:t>Comparative Migration Studies</w:t>
      </w:r>
      <w:r>
        <w:t xml:space="preserve">, 9(1). </w:t>
      </w:r>
      <w:proofErr w:type="spellStart"/>
      <w:r>
        <w:t>doi:</w:t>
      </w:r>
      <w:hyperlink r:id="rId30" w:history="1">
        <w:r w:rsidR="006A50DB" w:rsidRPr="00A43E2D">
          <w:rPr>
            <w:rStyle w:val="Hyperlink"/>
          </w:rPr>
          <w:t>https</w:t>
        </w:r>
        <w:proofErr w:type="spellEnd"/>
        <w:r w:rsidR="006A50DB" w:rsidRPr="00A43E2D">
          <w:rPr>
            <w:rStyle w:val="Hyperlink"/>
          </w:rPr>
          <w:t>://doi.org/10.1186/s40878-021-00247-z</w:t>
        </w:r>
      </w:hyperlink>
      <w:r>
        <w:t>.</w:t>
      </w:r>
    </w:p>
    <w:p w14:paraId="715F44A6" w14:textId="77777777" w:rsidR="00756431" w:rsidRDefault="00756431" w:rsidP="00756431">
      <w:pPr>
        <w:pStyle w:val="NormalWeb"/>
        <w:spacing w:before="0" w:beforeAutospacing="0" w:after="240" w:afterAutospacing="0" w:line="360" w:lineRule="auto"/>
      </w:pPr>
      <w:r>
        <w:t xml:space="preserve">Jang, Y., Lee, H. and Park, H. (2025). Surveillance System for Infectious Disease Prevention and Management: Direction of Korea’s Infectious Disease Surveillance System. </w:t>
      </w:r>
      <w:r>
        <w:rPr>
          <w:i/>
          <w:iCs/>
        </w:rPr>
        <w:t>Journal of Korean Medical Science</w:t>
      </w:r>
      <w:r>
        <w:t xml:space="preserve">, [online] 40(8). </w:t>
      </w:r>
      <w:proofErr w:type="spellStart"/>
      <w:r>
        <w:t>doi:</w:t>
      </w:r>
      <w:hyperlink r:id="rId31" w:history="1">
        <w:r w:rsidR="006A50DB" w:rsidRPr="00A43E2D">
          <w:rPr>
            <w:rStyle w:val="Hyperlink"/>
          </w:rPr>
          <w:t>https</w:t>
        </w:r>
        <w:proofErr w:type="spellEnd"/>
        <w:r w:rsidR="006A50DB" w:rsidRPr="00A43E2D">
          <w:rPr>
            <w:rStyle w:val="Hyperlink"/>
          </w:rPr>
          <w:t>://doi.org/10.3346/jkms.2025.40.e108</w:t>
        </w:r>
      </w:hyperlink>
      <w:r>
        <w:t>.</w:t>
      </w:r>
    </w:p>
    <w:p w14:paraId="6ED9897D" w14:textId="77777777" w:rsidR="00756431" w:rsidRDefault="00756431" w:rsidP="00756431">
      <w:pPr>
        <w:pStyle w:val="NormalWeb"/>
        <w:spacing w:before="0" w:beforeAutospacing="0" w:after="240" w:afterAutospacing="0" w:line="360" w:lineRule="auto"/>
      </w:pPr>
      <w:r>
        <w:t xml:space="preserve">Jung, K.Y. (2025). Navigating Generational Dynamics: The Potential of Adaptive Leadership in Cultivating Stronger Relationships with the MZ Generation in Korea. </w:t>
      </w:r>
      <w:r>
        <w:rPr>
          <w:i/>
          <w:iCs/>
        </w:rPr>
        <w:t>Contributions to management science</w:t>
      </w:r>
      <w:r>
        <w:t xml:space="preserve">, pp.289–305. </w:t>
      </w:r>
      <w:proofErr w:type="spellStart"/>
      <w:r>
        <w:t>doi:</w:t>
      </w:r>
      <w:hyperlink r:id="rId32" w:history="1">
        <w:r w:rsidR="006A50DB" w:rsidRPr="00A43E2D">
          <w:rPr>
            <w:rStyle w:val="Hyperlink"/>
          </w:rPr>
          <w:t>https</w:t>
        </w:r>
        <w:proofErr w:type="spellEnd"/>
        <w:r w:rsidR="006A50DB" w:rsidRPr="00A43E2D">
          <w:rPr>
            <w:rStyle w:val="Hyperlink"/>
          </w:rPr>
          <w:t>://doi.org/10.1007/978-3-031-80422-9_18</w:t>
        </w:r>
      </w:hyperlink>
      <w:r>
        <w:t>.</w:t>
      </w:r>
    </w:p>
    <w:p w14:paraId="2A7C83E9" w14:textId="77777777" w:rsidR="00756431" w:rsidRDefault="00756431" w:rsidP="00756431">
      <w:pPr>
        <w:pStyle w:val="NormalWeb"/>
        <w:spacing w:before="0" w:beforeAutospacing="0" w:after="240" w:afterAutospacing="0" w:line="360" w:lineRule="auto"/>
      </w:pPr>
      <w:r>
        <w:t xml:space="preserve">Kane, R.L., Egan, J.M. and Chung, K.C. (2021). Leadership in Times of Crisis. </w:t>
      </w:r>
      <w:r>
        <w:rPr>
          <w:i/>
          <w:iCs/>
        </w:rPr>
        <w:t>Plastic &amp; Reconstructive Surgery</w:t>
      </w:r>
      <w:r>
        <w:t xml:space="preserve">, [online] Publish Ahead of Print(4). </w:t>
      </w:r>
      <w:proofErr w:type="spellStart"/>
      <w:r>
        <w:t>doi:</w:t>
      </w:r>
      <w:hyperlink r:id="rId33" w:history="1">
        <w:r w:rsidR="006A50DB" w:rsidRPr="00A43E2D">
          <w:rPr>
            <w:rStyle w:val="Hyperlink"/>
          </w:rPr>
          <w:t>https</w:t>
        </w:r>
        <w:proofErr w:type="spellEnd"/>
        <w:r w:rsidR="006A50DB" w:rsidRPr="00A43E2D">
          <w:rPr>
            <w:rStyle w:val="Hyperlink"/>
          </w:rPr>
          <w:t>://doi.org/10.1097/prs.0000000000008357</w:t>
        </w:r>
      </w:hyperlink>
      <w:r>
        <w:t>.</w:t>
      </w:r>
    </w:p>
    <w:p w14:paraId="05DD5318" w14:textId="77777777" w:rsidR="00756431" w:rsidRDefault="00756431" w:rsidP="00756431">
      <w:pPr>
        <w:pStyle w:val="NormalWeb"/>
        <w:spacing w:before="0" w:beforeAutospacing="0" w:after="240" w:afterAutospacing="0" w:line="360" w:lineRule="auto"/>
      </w:pPr>
      <w:r>
        <w:t xml:space="preserve">Kim, P.S. (2020). South Korea’s fast response to coronavirus disease: implications on public policy and public management theory. </w:t>
      </w:r>
      <w:r>
        <w:rPr>
          <w:i/>
          <w:iCs/>
        </w:rPr>
        <w:t>Public Management Review</w:t>
      </w:r>
      <w:r>
        <w:t xml:space="preserve">, 23(12), pp.1–12. </w:t>
      </w:r>
      <w:proofErr w:type="spellStart"/>
      <w:r>
        <w:t>doi:</w:t>
      </w:r>
      <w:hyperlink r:id="rId34" w:history="1">
        <w:r w:rsidR="006A50DB" w:rsidRPr="00A43E2D">
          <w:rPr>
            <w:rStyle w:val="Hyperlink"/>
          </w:rPr>
          <w:t>https</w:t>
        </w:r>
        <w:proofErr w:type="spellEnd"/>
        <w:r w:rsidR="006A50DB" w:rsidRPr="00A43E2D">
          <w:rPr>
            <w:rStyle w:val="Hyperlink"/>
          </w:rPr>
          <w:t>://doi.org/10.1080/14719037.2020.1766266</w:t>
        </w:r>
      </w:hyperlink>
      <w:r>
        <w:t>.</w:t>
      </w:r>
    </w:p>
    <w:p w14:paraId="16C98435" w14:textId="77777777" w:rsidR="00756431" w:rsidRDefault="00756431" w:rsidP="00756431">
      <w:pPr>
        <w:pStyle w:val="NormalWeb"/>
        <w:spacing w:before="0" w:beforeAutospacing="0" w:after="240" w:afterAutospacing="0" w:line="360" w:lineRule="auto"/>
      </w:pPr>
      <w:r>
        <w:t xml:space="preserve">Kremer, L., </w:t>
      </w:r>
      <w:proofErr w:type="spellStart"/>
      <w:r>
        <w:t>Lipprandt</w:t>
      </w:r>
      <w:proofErr w:type="spellEnd"/>
      <w:r>
        <w:t xml:space="preserve">, M., </w:t>
      </w:r>
      <w:proofErr w:type="spellStart"/>
      <w:r>
        <w:t>Röhrig</w:t>
      </w:r>
      <w:proofErr w:type="spellEnd"/>
      <w:r>
        <w:t xml:space="preserve">, R. and </w:t>
      </w:r>
      <w:proofErr w:type="spellStart"/>
      <w:r>
        <w:t>Breil</w:t>
      </w:r>
      <w:proofErr w:type="spellEnd"/>
      <w:r>
        <w:t xml:space="preserve">, B. (2022). Examining Mental Workload Relating to Digital Health Technologies in Health Care: Systematic Review. </w:t>
      </w:r>
      <w:r>
        <w:rPr>
          <w:i/>
          <w:iCs/>
        </w:rPr>
        <w:t>Journal of Medical Internet Research</w:t>
      </w:r>
      <w:r>
        <w:t xml:space="preserve">, 24(10), p.e40946. </w:t>
      </w:r>
      <w:proofErr w:type="spellStart"/>
      <w:r>
        <w:t>doi:</w:t>
      </w:r>
      <w:hyperlink r:id="rId35" w:history="1">
        <w:r w:rsidR="006A50DB" w:rsidRPr="00A43E2D">
          <w:rPr>
            <w:rStyle w:val="Hyperlink"/>
          </w:rPr>
          <w:t>https</w:t>
        </w:r>
        <w:proofErr w:type="spellEnd"/>
        <w:r w:rsidR="006A50DB" w:rsidRPr="00A43E2D">
          <w:rPr>
            <w:rStyle w:val="Hyperlink"/>
          </w:rPr>
          <w:t>://doi.org/10.2196/40946</w:t>
        </w:r>
      </w:hyperlink>
      <w:r>
        <w:t>.</w:t>
      </w:r>
    </w:p>
    <w:p w14:paraId="4BE1997B" w14:textId="77777777" w:rsidR="00756431" w:rsidRDefault="00756431" w:rsidP="00756431">
      <w:pPr>
        <w:pStyle w:val="NormalWeb"/>
        <w:spacing w:before="0" w:beforeAutospacing="0" w:after="240" w:afterAutospacing="0" w:line="360" w:lineRule="auto"/>
      </w:pPr>
      <w:r>
        <w:t xml:space="preserve">Liu, J., Shahab, Y. and </w:t>
      </w:r>
      <w:proofErr w:type="spellStart"/>
      <w:r>
        <w:t>Hoque</w:t>
      </w:r>
      <w:proofErr w:type="spellEnd"/>
      <w:r>
        <w:t xml:space="preserve">, H. (2021). Government Response Measures and Public Trust during the COVID‐19 Pandemic: Evidence from Around the World. </w:t>
      </w:r>
      <w:r>
        <w:rPr>
          <w:i/>
          <w:iCs/>
        </w:rPr>
        <w:t>British Journal of Management</w:t>
      </w:r>
      <w:r>
        <w:t xml:space="preserve">, 33(2). </w:t>
      </w:r>
      <w:proofErr w:type="spellStart"/>
      <w:r>
        <w:t>doi:</w:t>
      </w:r>
      <w:hyperlink r:id="rId36" w:history="1">
        <w:r w:rsidR="006A50DB" w:rsidRPr="00A43E2D">
          <w:rPr>
            <w:rStyle w:val="Hyperlink"/>
          </w:rPr>
          <w:t>https</w:t>
        </w:r>
        <w:proofErr w:type="spellEnd"/>
        <w:r w:rsidR="006A50DB" w:rsidRPr="00A43E2D">
          <w:rPr>
            <w:rStyle w:val="Hyperlink"/>
          </w:rPr>
          <w:t>://doi.org/10.1111/1467-8551.12577</w:t>
        </w:r>
      </w:hyperlink>
      <w:r>
        <w:t>.</w:t>
      </w:r>
    </w:p>
    <w:p w14:paraId="28C9CE50" w14:textId="77777777" w:rsidR="00756431" w:rsidRDefault="00756431" w:rsidP="00756431">
      <w:pPr>
        <w:pStyle w:val="NormalWeb"/>
        <w:spacing w:before="0" w:beforeAutospacing="0" w:after="240" w:afterAutospacing="0" w:line="360" w:lineRule="auto"/>
      </w:pPr>
      <w:r>
        <w:t xml:space="preserve">Ma, Y. and Liu, C. (2021). The Politics of Policy Reformulation: Implementing Social Policy in Provincial China. </w:t>
      </w:r>
      <w:r>
        <w:rPr>
          <w:i/>
          <w:iCs/>
        </w:rPr>
        <w:t>Journal of Contemporary China</w:t>
      </w:r>
      <w:r>
        <w:t xml:space="preserve">, pp.1–18. </w:t>
      </w:r>
      <w:proofErr w:type="spellStart"/>
      <w:r>
        <w:t>doi:</w:t>
      </w:r>
      <w:hyperlink r:id="rId37" w:history="1">
        <w:r w:rsidR="006A50DB" w:rsidRPr="00A43E2D">
          <w:rPr>
            <w:rStyle w:val="Hyperlink"/>
          </w:rPr>
          <w:t>https</w:t>
        </w:r>
        <w:proofErr w:type="spellEnd"/>
        <w:r w:rsidR="006A50DB" w:rsidRPr="00A43E2D">
          <w:rPr>
            <w:rStyle w:val="Hyperlink"/>
          </w:rPr>
          <w:t>://doi.org/10.1080/10670564.2021.1945741</w:t>
        </w:r>
      </w:hyperlink>
      <w:r>
        <w:t>.</w:t>
      </w:r>
    </w:p>
    <w:p w14:paraId="60FCA99A" w14:textId="77777777" w:rsidR="00756431" w:rsidRDefault="00756431" w:rsidP="00756431">
      <w:pPr>
        <w:pStyle w:val="NormalWeb"/>
        <w:spacing w:before="0" w:beforeAutospacing="0" w:after="240" w:afterAutospacing="0" w:line="360" w:lineRule="auto"/>
      </w:pPr>
      <w:r>
        <w:t xml:space="preserve">Mao, Y. (2024). Why do democracies respond differently to COVID-19? A comparison of the United States and South Korea. </w:t>
      </w:r>
      <w:r>
        <w:rPr>
          <w:i/>
          <w:iCs/>
        </w:rPr>
        <w:t>Frontiers in public health</w:t>
      </w:r>
      <w:r>
        <w:t xml:space="preserve">, 11. </w:t>
      </w:r>
      <w:proofErr w:type="spellStart"/>
      <w:r>
        <w:t>doi:</w:t>
      </w:r>
      <w:hyperlink r:id="rId38" w:history="1">
        <w:r w:rsidR="006A50DB" w:rsidRPr="00A43E2D">
          <w:rPr>
            <w:rStyle w:val="Hyperlink"/>
          </w:rPr>
          <w:t>https</w:t>
        </w:r>
        <w:proofErr w:type="spellEnd"/>
        <w:r w:rsidR="006A50DB" w:rsidRPr="00A43E2D">
          <w:rPr>
            <w:rStyle w:val="Hyperlink"/>
          </w:rPr>
          <w:t>://doi.org/10.3389/fpubh.2023.1285552</w:t>
        </w:r>
      </w:hyperlink>
      <w:r>
        <w:t>.</w:t>
      </w:r>
    </w:p>
    <w:p w14:paraId="58037147" w14:textId="77777777" w:rsidR="00756431" w:rsidRDefault="00756431" w:rsidP="00756431">
      <w:pPr>
        <w:pStyle w:val="NormalWeb"/>
        <w:spacing w:before="0" w:beforeAutospacing="0" w:after="240" w:afterAutospacing="0" w:line="360" w:lineRule="auto"/>
      </w:pPr>
      <w:r>
        <w:t>Molina Rodríguez-</w:t>
      </w:r>
      <w:proofErr w:type="spellStart"/>
      <w:r>
        <w:t>Navas</w:t>
      </w:r>
      <w:proofErr w:type="spellEnd"/>
      <w:r>
        <w:t xml:space="preserve">, P., </w:t>
      </w:r>
      <w:proofErr w:type="spellStart"/>
      <w:r>
        <w:t>Medranda</w:t>
      </w:r>
      <w:proofErr w:type="spellEnd"/>
      <w:r>
        <w:t xml:space="preserve"> Morales, N. and Muñoz </w:t>
      </w:r>
      <w:proofErr w:type="spellStart"/>
      <w:r>
        <w:t>Lalinde</w:t>
      </w:r>
      <w:proofErr w:type="spellEnd"/>
      <w:r>
        <w:t xml:space="preserve">, J. (2021). Transparency for Participation through the Communication Approach. </w:t>
      </w:r>
      <w:r>
        <w:rPr>
          <w:i/>
          <w:iCs/>
        </w:rPr>
        <w:t>ISPRS International Journal of Geo-Information</w:t>
      </w:r>
      <w:r>
        <w:t xml:space="preserve">, [online] 10(9), p.586. </w:t>
      </w:r>
      <w:proofErr w:type="spellStart"/>
      <w:r>
        <w:t>doi:</w:t>
      </w:r>
      <w:hyperlink r:id="rId39" w:history="1">
        <w:r w:rsidR="006A50DB" w:rsidRPr="00A43E2D">
          <w:rPr>
            <w:rStyle w:val="Hyperlink"/>
          </w:rPr>
          <w:t>https</w:t>
        </w:r>
        <w:proofErr w:type="spellEnd"/>
        <w:r w:rsidR="006A50DB" w:rsidRPr="00A43E2D">
          <w:rPr>
            <w:rStyle w:val="Hyperlink"/>
          </w:rPr>
          <w:t>://doi.org/10.3390/ijgi10090586</w:t>
        </w:r>
      </w:hyperlink>
      <w:r>
        <w:t>.</w:t>
      </w:r>
    </w:p>
    <w:p w14:paraId="171DA60F" w14:textId="77777777" w:rsidR="00756431" w:rsidRDefault="00756431" w:rsidP="00756431">
      <w:pPr>
        <w:pStyle w:val="NormalWeb"/>
        <w:spacing w:before="0" w:beforeAutospacing="0" w:after="240" w:afterAutospacing="0" w:line="360" w:lineRule="auto"/>
      </w:pPr>
      <w:proofErr w:type="spellStart"/>
      <w:r>
        <w:t>Nikolaeva</w:t>
      </w:r>
      <w:proofErr w:type="spellEnd"/>
      <w:r>
        <w:t xml:space="preserve">, A. and </w:t>
      </w:r>
      <w:proofErr w:type="spellStart"/>
      <w:r>
        <w:t>Versnel</w:t>
      </w:r>
      <w:proofErr w:type="spellEnd"/>
      <w:r>
        <w:t xml:space="preserve">, J. (2022). Analytical observational study evaluating global pandemic preparedness and the effectiveness of early COVID-19 responses in Ethiopia, Nigeria, Singapore, South Korea, Sweden, Taiwan, UK and USA. </w:t>
      </w:r>
      <w:r>
        <w:rPr>
          <w:i/>
          <w:iCs/>
        </w:rPr>
        <w:t>BMJ Open</w:t>
      </w:r>
      <w:r>
        <w:t xml:space="preserve">, 12(2), p.e053374. </w:t>
      </w:r>
      <w:proofErr w:type="spellStart"/>
      <w:r>
        <w:t>doi:</w:t>
      </w:r>
      <w:hyperlink r:id="rId40" w:history="1">
        <w:r w:rsidR="006A50DB" w:rsidRPr="00A43E2D">
          <w:rPr>
            <w:rStyle w:val="Hyperlink"/>
          </w:rPr>
          <w:t>https</w:t>
        </w:r>
        <w:proofErr w:type="spellEnd"/>
        <w:r w:rsidR="006A50DB" w:rsidRPr="00A43E2D">
          <w:rPr>
            <w:rStyle w:val="Hyperlink"/>
          </w:rPr>
          <w:t>://doi.org/10.1136/bmjopen-2021-053374</w:t>
        </w:r>
      </w:hyperlink>
      <w:r>
        <w:t>.</w:t>
      </w:r>
    </w:p>
    <w:p w14:paraId="67784B30" w14:textId="77777777" w:rsidR="00756431" w:rsidRDefault="00756431" w:rsidP="00756431">
      <w:pPr>
        <w:pStyle w:val="NormalWeb"/>
        <w:spacing w:before="0" w:beforeAutospacing="0" w:after="240" w:afterAutospacing="0" w:line="360" w:lineRule="auto"/>
      </w:pPr>
      <w:proofErr w:type="spellStart"/>
      <w:r>
        <w:t>Olmo</w:t>
      </w:r>
      <w:proofErr w:type="spellEnd"/>
      <w:r>
        <w:t xml:space="preserve">- </w:t>
      </w:r>
      <w:proofErr w:type="spellStart"/>
      <w:r>
        <w:t>Extremera</w:t>
      </w:r>
      <w:proofErr w:type="spellEnd"/>
      <w:r>
        <w:t xml:space="preserve">, M., Townsend, A. and Domingo Segovia, J. (2022). Resilient leadership in principals: case studies of challenged schools in Spain. </w:t>
      </w:r>
      <w:r>
        <w:rPr>
          <w:i/>
          <w:iCs/>
        </w:rPr>
        <w:t>International Journal of Leadership in Education</w:t>
      </w:r>
      <w:r>
        <w:t xml:space="preserve">, pp.1–20. </w:t>
      </w:r>
      <w:proofErr w:type="spellStart"/>
      <w:r>
        <w:t>doi:</w:t>
      </w:r>
      <w:hyperlink r:id="rId41" w:history="1">
        <w:r w:rsidR="006A50DB" w:rsidRPr="00A43E2D">
          <w:rPr>
            <w:rStyle w:val="Hyperlink"/>
          </w:rPr>
          <w:t>https</w:t>
        </w:r>
        <w:proofErr w:type="spellEnd"/>
        <w:r w:rsidR="006A50DB" w:rsidRPr="00A43E2D">
          <w:rPr>
            <w:rStyle w:val="Hyperlink"/>
          </w:rPr>
          <w:t>://doi.org/10.1080/13603124.2022.2052758</w:t>
        </w:r>
      </w:hyperlink>
      <w:r>
        <w:t>.</w:t>
      </w:r>
    </w:p>
    <w:p w14:paraId="0CE9640E" w14:textId="77777777" w:rsidR="00756431" w:rsidRDefault="00756431" w:rsidP="00756431">
      <w:pPr>
        <w:pStyle w:val="NormalWeb"/>
        <w:spacing w:before="0" w:beforeAutospacing="0" w:after="240" w:afterAutospacing="0" w:line="360" w:lineRule="auto"/>
      </w:pPr>
      <w:r>
        <w:t xml:space="preserve">Peña-Ramos, J.A., </w:t>
      </w:r>
      <w:proofErr w:type="spellStart"/>
      <w:r>
        <w:t>Recuero-López</w:t>
      </w:r>
      <w:proofErr w:type="spellEnd"/>
      <w:r>
        <w:t>, F., Sánchez-</w:t>
      </w:r>
      <w:proofErr w:type="spellStart"/>
      <w:r>
        <w:t>Bayón</w:t>
      </w:r>
      <w:proofErr w:type="spellEnd"/>
      <w:r>
        <w:t xml:space="preserve">, A. and </w:t>
      </w:r>
      <w:proofErr w:type="spellStart"/>
      <w:r>
        <w:t>Sastre</w:t>
      </w:r>
      <w:proofErr w:type="spellEnd"/>
      <w:r>
        <w:t xml:space="preserve">, F.J. (2021). Evaluation of Spanish Health System during the COVID-19 Pandemic: Accountability and Wellbeing Results. </w:t>
      </w:r>
      <w:r>
        <w:rPr>
          <w:i/>
          <w:iCs/>
        </w:rPr>
        <w:t>International Journal of Environmental Research and Public Health</w:t>
      </w:r>
      <w:r>
        <w:t xml:space="preserve">, 18(24), p.12907. </w:t>
      </w:r>
      <w:proofErr w:type="spellStart"/>
      <w:r>
        <w:t>doi:</w:t>
      </w:r>
      <w:hyperlink r:id="rId42" w:history="1">
        <w:r w:rsidR="006A50DB" w:rsidRPr="00A43E2D">
          <w:rPr>
            <w:rStyle w:val="Hyperlink"/>
          </w:rPr>
          <w:t>https</w:t>
        </w:r>
        <w:proofErr w:type="spellEnd"/>
        <w:r w:rsidR="006A50DB" w:rsidRPr="00A43E2D">
          <w:rPr>
            <w:rStyle w:val="Hyperlink"/>
          </w:rPr>
          <w:t>://doi.org/10.3390/ijerph182412907</w:t>
        </w:r>
      </w:hyperlink>
      <w:r>
        <w:t>.</w:t>
      </w:r>
    </w:p>
    <w:p w14:paraId="70B02AF9" w14:textId="77777777" w:rsidR="00756431" w:rsidRDefault="00756431" w:rsidP="00756431">
      <w:pPr>
        <w:pStyle w:val="NormalWeb"/>
        <w:spacing w:before="0" w:beforeAutospacing="0" w:after="240" w:afterAutospacing="0" w:line="360" w:lineRule="auto"/>
      </w:pPr>
      <w:proofErr w:type="spellStart"/>
      <w:r>
        <w:t>Rebolledo</w:t>
      </w:r>
      <w:proofErr w:type="spellEnd"/>
      <w:r>
        <w:t>, M. and Jordi Rodríguez-</w:t>
      </w:r>
      <w:proofErr w:type="spellStart"/>
      <w:r>
        <w:t>Virgili</w:t>
      </w:r>
      <w:proofErr w:type="spellEnd"/>
      <w:r>
        <w:t xml:space="preserve"> (2022). National Leadership Versus Regional Command: The Case of the Spanish COVID-19 Crisis. </w:t>
      </w:r>
      <w:r>
        <w:rPr>
          <w:i/>
          <w:iCs/>
        </w:rPr>
        <w:t>Springer eBooks</w:t>
      </w:r>
      <w:r>
        <w:t xml:space="preserve">, pp.125–145. </w:t>
      </w:r>
      <w:proofErr w:type="spellStart"/>
      <w:r>
        <w:t>doi:</w:t>
      </w:r>
      <w:hyperlink r:id="rId43" w:history="1">
        <w:r w:rsidR="006A50DB" w:rsidRPr="00A43E2D">
          <w:rPr>
            <w:rStyle w:val="Hyperlink"/>
          </w:rPr>
          <w:t>https</w:t>
        </w:r>
        <w:proofErr w:type="spellEnd"/>
        <w:r w:rsidR="006A50DB" w:rsidRPr="00A43E2D">
          <w:rPr>
            <w:rStyle w:val="Hyperlink"/>
          </w:rPr>
          <w:t>://doi.org/10.1007/978-3-031-09230-5_7</w:t>
        </w:r>
      </w:hyperlink>
      <w:r>
        <w:t>.</w:t>
      </w:r>
    </w:p>
    <w:p w14:paraId="316D9402" w14:textId="77777777" w:rsidR="00756431" w:rsidRDefault="00756431" w:rsidP="00756431">
      <w:pPr>
        <w:pStyle w:val="NormalWeb"/>
        <w:spacing w:before="0" w:beforeAutospacing="0" w:after="240" w:afterAutospacing="0" w:line="360" w:lineRule="auto"/>
      </w:pPr>
      <w:proofErr w:type="spellStart"/>
      <w:r>
        <w:t>Scarffe</w:t>
      </w:r>
      <w:proofErr w:type="spellEnd"/>
      <w:r>
        <w:t xml:space="preserve">, A.D., Coates, A., Evans, J.M. and </w:t>
      </w:r>
      <w:proofErr w:type="spellStart"/>
      <w:r>
        <w:t>Grudniewicz</w:t>
      </w:r>
      <w:proofErr w:type="spellEnd"/>
      <w:r>
        <w:t xml:space="preserve">, A. (2022). Centralization and innovation: Competing priorities for health systems? </w:t>
      </w:r>
      <w:r>
        <w:rPr>
          <w:i/>
          <w:iCs/>
        </w:rPr>
        <w:t>The International Journal of Health Planning and Management</w:t>
      </w:r>
      <w:r>
        <w:t xml:space="preserve">, [online] 37(5), pp.2534–2541. </w:t>
      </w:r>
      <w:proofErr w:type="spellStart"/>
      <w:r>
        <w:t>doi:</w:t>
      </w:r>
      <w:hyperlink r:id="rId44" w:history="1">
        <w:r w:rsidR="006A50DB" w:rsidRPr="00A43E2D">
          <w:rPr>
            <w:rStyle w:val="Hyperlink"/>
          </w:rPr>
          <w:t>https</w:t>
        </w:r>
        <w:proofErr w:type="spellEnd"/>
        <w:r w:rsidR="006A50DB" w:rsidRPr="00A43E2D">
          <w:rPr>
            <w:rStyle w:val="Hyperlink"/>
          </w:rPr>
          <w:t>://doi.org/10.1002/hpm.3531</w:t>
        </w:r>
      </w:hyperlink>
      <w:r>
        <w:t>.</w:t>
      </w:r>
    </w:p>
    <w:p w14:paraId="53D3ECD0" w14:textId="77777777" w:rsidR="00756431" w:rsidRDefault="00756431" w:rsidP="00756431">
      <w:pPr>
        <w:pStyle w:val="NormalWeb"/>
        <w:spacing w:before="0" w:beforeAutospacing="0" w:after="240" w:afterAutospacing="0" w:line="360" w:lineRule="auto"/>
      </w:pPr>
      <w:r>
        <w:t xml:space="preserve">Shin Ae Hong (2024). Toward better pandemic governance and preparedness: South Korea’s whole-of-nation approach to COVID-19. </w:t>
      </w:r>
      <w:r>
        <w:rPr>
          <w:i/>
          <w:iCs/>
        </w:rPr>
        <w:t>BMC Public Health</w:t>
      </w:r>
      <w:r>
        <w:t xml:space="preserve">, [online] 24(1). </w:t>
      </w:r>
      <w:proofErr w:type="spellStart"/>
      <w:r>
        <w:t>doi:</w:t>
      </w:r>
      <w:hyperlink r:id="rId45" w:history="1">
        <w:r w:rsidR="006A50DB" w:rsidRPr="00A43E2D">
          <w:rPr>
            <w:rStyle w:val="Hyperlink"/>
          </w:rPr>
          <w:t>https</w:t>
        </w:r>
        <w:proofErr w:type="spellEnd"/>
        <w:r w:rsidR="006A50DB" w:rsidRPr="00A43E2D">
          <w:rPr>
            <w:rStyle w:val="Hyperlink"/>
          </w:rPr>
          <w:t>://doi.org/10.1186/s12889-024-19655-8</w:t>
        </w:r>
      </w:hyperlink>
      <w:r>
        <w:t>.</w:t>
      </w:r>
    </w:p>
    <w:p w14:paraId="0430CA79" w14:textId="77777777" w:rsidR="00756431" w:rsidRDefault="00756431" w:rsidP="00756431">
      <w:pPr>
        <w:pStyle w:val="NormalWeb"/>
        <w:spacing w:before="0" w:beforeAutospacing="0" w:after="240" w:afterAutospacing="0" w:line="360" w:lineRule="auto"/>
      </w:pPr>
      <w:r>
        <w:t xml:space="preserve">Smith, R.W., Jarvis, T., Sandhu, H.S., Pinto, A.D., O’Neill, M., Di Ruggiero, E., </w:t>
      </w:r>
      <w:proofErr w:type="spellStart"/>
      <w:r>
        <w:t>Pawa</w:t>
      </w:r>
      <w:proofErr w:type="spellEnd"/>
      <w:r>
        <w:t xml:space="preserve">, J., Rosella, L. and </w:t>
      </w:r>
      <w:proofErr w:type="spellStart"/>
      <w:r>
        <w:t>Allin</w:t>
      </w:r>
      <w:proofErr w:type="spellEnd"/>
      <w:r>
        <w:t xml:space="preserve">, S. (2022). Centralization and integration of public health systems: Perspectives of public health leaders on factors facilitating and impeding COVID-19 responses in three Canadian provinces. </w:t>
      </w:r>
      <w:r>
        <w:rPr>
          <w:i/>
          <w:iCs/>
        </w:rPr>
        <w:t>Health Policy</w:t>
      </w:r>
      <w:r>
        <w:t xml:space="preserve">, [online] 127, pp.19–28. </w:t>
      </w:r>
      <w:proofErr w:type="spellStart"/>
      <w:r>
        <w:t>doi:</w:t>
      </w:r>
      <w:hyperlink r:id="rId46" w:history="1">
        <w:r w:rsidR="006A50DB" w:rsidRPr="00A43E2D">
          <w:rPr>
            <w:rStyle w:val="Hyperlink"/>
          </w:rPr>
          <w:t>https</w:t>
        </w:r>
        <w:proofErr w:type="spellEnd"/>
        <w:r w:rsidR="006A50DB" w:rsidRPr="00A43E2D">
          <w:rPr>
            <w:rStyle w:val="Hyperlink"/>
          </w:rPr>
          <w:t>://doi.org/10.1016/j.healthpol.2022.11.011</w:t>
        </w:r>
      </w:hyperlink>
      <w:r>
        <w:t>.</w:t>
      </w:r>
    </w:p>
    <w:p w14:paraId="5ED42E71" w14:textId="77777777" w:rsidR="00756431" w:rsidRDefault="00756431" w:rsidP="00756431">
      <w:pPr>
        <w:pStyle w:val="NormalWeb"/>
        <w:spacing w:before="0" w:beforeAutospacing="0" w:after="240" w:afterAutospacing="0" w:line="360" w:lineRule="auto"/>
      </w:pPr>
      <w:r>
        <w:t xml:space="preserve">Sujata </w:t>
      </w:r>
      <w:proofErr w:type="spellStart"/>
      <w:r>
        <w:t>Sapkota</w:t>
      </w:r>
      <w:proofErr w:type="spellEnd"/>
      <w:r>
        <w:t xml:space="preserve">, </w:t>
      </w:r>
      <w:proofErr w:type="spellStart"/>
      <w:r>
        <w:t>Amshu</w:t>
      </w:r>
      <w:proofErr w:type="spellEnd"/>
      <w:r>
        <w:t xml:space="preserve"> </w:t>
      </w:r>
      <w:proofErr w:type="spellStart"/>
      <w:r>
        <w:t>Dhakal</w:t>
      </w:r>
      <w:proofErr w:type="spellEnd"/>
      <w:r>
        <w:t xml:space="preserve">, Rushton, S., Edwin van </w:t>
      </w:r>
      <w:proofErr w:type="spellStart"/>
      <w:r>
        <w:t>Teijlingen</w:t>
      </w:r>
      <w:proofErr w:type="spellEnd"/>
      <w:r>
        <w:t xml:space="preserve">, </w:t>
      </w:r>
      <w:proofErr w:type="spellStart"/>
      <w:r>
        <w:t>Marahatta</w:t>
      </w:r>
      <w:proofErr w:type="spellEnd"/>
      <w:r>
        <w:t xml:space="preserve">, S.B., </w:t>
      </w:r>
      <w:proofErr w:type="spellStart"/>
      <w:r>
        <w:t>Balen</w:t>
      </w:r>
      <w:proofErr w:type="spellEnd"/>
      <w:r>
        <w:t xml:space="preserve">, J. and Andrew CK Lee (2023). The impact of decentralisation on health systems: a systematic review of reviews. </w:t>
      </w:r>
      <w:r>
        <w:rPr>
          <w:i/>
          <w:iCs/>
        </w:rPr>
        <w:t>BMJ Global Health</w:t>
      </w:r>
      <w:r>
        <w:t xml:space="preserve">, 8(12), pp.e013317–e013317. </w:t>
      </w:r>
      <w:proofErr w:type="spellStart"/>
      <w:r>
        <w:t>doi:</w:t>
      </w:r>
      <w:hyperlink r:id="rId47" w:history="1">
        <w:r w:rsidR="006A50DB" w:rsidRPr="00A43E2D">
          <w:rPr>
            <w:rStyle w:val="Hyperlink"/>
          </w:rPr>
          <w:t>https</w:t>
        </w:r>
        <w:proofErr w:type="spellEnd"/>
        <w:r w:rsidR="006A50DB" w:rsidRPr="00A43E2D">
          <w:rPr>
            <w:rStyle w:val="Hyperlink"/>
          </w:rPr>
          <w:t>://doi.org/10.1136/bmjgh-2023-013317</w:t>
        </w:r>
      </w:hyperlink>
      <w:r>
        <w:t>.</w:t>
      </w:r>
    </w:p>
    <w:p w14:paraId="0D067E85" w14:textId="77777777" w:rsidR="00756431" w:rsidRDefault="00756431" w:rsidP="00756431">
      <w:pPr>
        <w:pStyle w:val="NormalWeb"/>
        <w:spacing w:before="0" w:beforeAutospacing="0" w:after="240" w:afterAutospacing="0" w:line="360" w:lineRule="auto"/>
      </w:pPr>
      <w:proofErr w:type="spellStart"/>
      <w:r>
        <w:t>Tewarson</w:t>
      </w:r>
      <w:proofErr w:type="spellEnd"/>
      <w:r>
        <w:t xml:space="preserve">, H., Greene, K. and Fraser, M.R. (2021). State Strategies for Addressing Barriers During the Early US COVID-19 Vaccination Campaign. </w:t>
      </w:r>
      <w:r>
        <w:rPr>
          <w:i/>
          <w:iCs/>
        </w:rPr>
        <w:t>American Journal of Public Health</w:t>
      </w:r>
      <w:r>
        <w:t xml:space="preserve">, 111(6), pp.1073–1077. </w:t>
      </w:r>
      <w:proofErr w:type="spellStart"/>
      <w:r>
        <w:t>doi:</w:t>
      </w:r>
      <w:hyperlink r:id="rId48" w:history="1">
        <w:r w:rsidR="006A50DB" w:rsidRPr="00A43E2D">
          <w:rPr>
            <w:rStyle w:val="Hyperlink"/>
          </w:rPr>
          <w:t>https</w:t>
        </w:r>
        <w:proofErr w:type="spellEnd"/>
        <w:r w:rsidR="006A50DB" w:rsidRPr="00A43E2D">
          <w:rPr>
            <w:rStyle w:val="Hyperlink"/>
          </w:rPr>
          <w:t>://doi.org/10.2105/ajph.2021.306241</w:t>
        </w:r>
      </w:hyperlink>
      <w:r>
        <w:t>.</w:t>
      </w:r>
    </w:p>
    <w:p w14:paraId="4D306325" w14:textId="77777777" w:rsidR="00756431" w:rsidRDefault="00756431" w:rsidP="00756431">
      <w:pPr>
        <w:pStyle w:val="NormalWeb"/>
        <w:spacing w:before="0" w:beforeAutospacing="0" w:after="240" w:afterAutospacing="0" w:line="360" w:lineRule="auto"/>
      </w:pPr>
      <w:r>
        <w:t xml:space="preserve">Wagner, J. (2022). The European Union’s model of Integrated Border Management: preventing transnational threats, cross-border crime and irregular migration in the context of the EU’s security policies and strategies. </w:t>
      </w:r>
      <w:r>
        <w:rPr>
          <w:i/>
          <w:iCs/>
        </w:rPr>
        <w:t>Routledge eBooks</w:t>
      </w:r>
      <w:r>
        <w:t xml:space="preserve">, pp.76–100. </w:t>
      </w:r>
      <w:proofErr w:type="spellStart"/>
      <w:r>
        <w:t>doi:</w:t>
      </w:r>
      <w:hyperlink r:id="rId49" w:history="1">
        <w:r w:rsidR="006A50DB" w:rsidRPr="00A43E2D">
          <w:rPr>
            <w:rStyle w:val="Hyperlink"/>
          </w:rPr>
          <w:t>https</w:t>
        </w:r>
        <w:proofErr w:type="spellEnd"/>
        <w:r w:rsidR="006A50DB" w:rsidRPr="00A43E2D">
          <w:rPr>
            <w:rStyle w:val="Hyperlink"/>
          </w:rPr>
          <w:t>://doi.org/10.4324/9781003216926-5</w:t>
        </w:r>
      </w:hyperlink>
      <w:r>
        <w:t>.</w:t>
      </w:r>
    </w:p>
    <w:p w14:paraId="5458706F" w14:textId="77777777" w:rsidR="00756431" w:rsidRDefault="00756431" w:rsidP="00756431">
      <w:pPr>
        <w:pStyle w:val="NormalWeb"/>
        <w:spacing w:before="0" w:beforeAutospacing="0" w:after="240" w:afterAutospacing="0" w:line="360" w:lineRule="auto"/>
      </w:pPr>
      <w:proofErr w:type="spellStart"/>
      <w:r>
        <w:t>Winkelmann</w:t>
      </w:r>
      <w:proofErr w:type="spellEnd"/>
      <w:r>
        <w:t>, J., Webb, E., Williams, G.A., Hernández-</w:t>
      </w:r>
      <w:proofErr w:type="spellStart"/>
      <w:r>
        <w:t>Quevedo</w:t>
      </w:r>
      <w:proofErr w:type="spellEnd"/>
      <w:r>
        <w:t xml:space="preserve">, C., Maier, C.B. and </w:t>
      </w:r>
      <w:proofErr w:type="spellStart"/>
      <w:r>
        <w:t>Panteli</w:t>
      </w:r>
      <w:proofErr w:type="spellEnd"/>
      <w:r>
        <w:t xml:space="preserve">, D. (2021). European countries’ Responses in Ensuring Sufficient Physical Infrastructure and Workforce Capacity during the First COVID-19 Wave. </w:t>
      </w:r>
      <w:r>
        <w:rPr>
          <w:i/>
          <w:iCs/>
        </w:rPr>
        <w:t>Health Policy</w:t>
      </w:r>
      <w:r>
        <w:t xml:space="preserve">, 126(5). </w:t>
      </w:r>
      <w:proofErr w:type="spellStart"/>
      <w:r>
        <w:t>doi:</w:t>
      </w:r>
      <w:hyperlink r:id="rId50" w:history="1">
        <w:r w:rsidR="006A50DB" w:rsidRPr="00A43E2D">
          <w:rPr>
            <w:rStyle w:val="Hyperlink"/>
          </w:rPr>
          <w:t>https</w:t>
        </w:r>
        <w:proofErr w:type="spellEnd"/>
        <w:r w:rsidR="006A50DB" w:rsidRPr="00A43E2D">
          <w:rPr>
            <w:rStyle w:val="Hyperlink"/>
          </w:rPr>
          <w:t>://doi.org/10.1016/j.healthpol.2021.06.015</w:t>
        </w:r>
      </w:hyperlink>
      <w:r>
        <w:t>.</w:t>
      </w:r>
    </w:p>
    <w:p w14:paraId="5FDE450A" w14:textId="77777777" w:rsidR="00756431" w:rsidRDefault="00756431" w:rsidP="00756431">
      <w:pPr>
        <w:pStyle w:val="NormalWeb"/>
        <w:spacing w:before="0" w:beforeAutospacing="0" w:after="240" w:afterAutospacing="0" w:line="360" w:lineRule="auto"/>
      </w:pPr>
      <w:r>
        <w:t xml:space="preserve">Yang, C. (2022). Digital contact tracing in the pandemic cities: Problematizing the regime of traceability in South Korea. </w:t>
      </w:r>
      <w:r>
        <w:rPr>
          <w:i/>
          <w:iCs/>
        </w:rPr>
        <w:t>Big Data &amp; Society</w:t>
      </w:r>
      <w:r>
        <w:t xml:space="preserve">, 9(1), p.205395172210892. </w:t>
      </w:r>
      <w:proofErr w:type="spellStart"/>
      <w:r>
        <w:t>doi:</w:t>
      </w:r>
      <w:hyperlink r:id="rId51" w:history="1">
        <w:r w:rsidR="006A50DB" w:rsidRPr="00A43E2D">
          <w:rPr>
            <w:rStyle w:val="Hyperlink"/>
          </w:rPr>
          <w:t>https</w:t>
        </w:r>
        <w:proofErr w:type="spellEnd"/>
        <w:r w:rsidR="006A50DB" w:rsidRPr="00A43E2D">
          <w:rPr>
            <w:rStyle w:val="Hyperlink"/>
          </w:rPr>
          <w:t>://doi.org/10.1177/20539517221089294</w:t>
        </w:r>
      </w:hyperlink>
      <w:r>
        <w:t>.</w:t>
      </w:r>
    </w:p>
    <w:p w14:paraId="6D0B6DFE" w14:textId="77777777" w:rsidR="00756431" w:rsidRDefault="00756431" w:rsidP="00756431">
      <w:pPr>
        <w:pStyle w:val="NormalWeb"/>
        <w:spacing w:before="0" w:beforeAutospacing="0" w:after="240" w:afterAutospacing="0" w:line="360" w:lineRule="auto"/>
      </w:pPr>
      <w:proofErr w:type="spellStart"/>
      <w:r>
        <w:t>Yoo</w:t>
      </w:r>
      <w:proofErr w:type="spellEnd"/>
      <w:r>
        <w:t xml:space="preserve">, K.J., Kwon, S., Choi, Y. and </w:t>
      </w:r>
      <w:proofErr w:type="spellStart"/>
      <w:r>
        <w:t>Bishai</w:t>
      </w:r>
      <w:proofErr w:type="spellEnd"/>
      <w:r>
        <w:t xml:space="preserve">, D.M. (2021). Systematic assessment of South Korea’s capabilities to control COVID-19. </w:t>
      </w:r>
      <w:r>
        <w:rPr>
          <w:i/>
          <w:iCs/>
        </w:rPr>
        <w:t>Health Policy</w:t>
      </w:r>
      <w:r>
        <w:t xml:space="preserve">, 125(5). </w:t>
      </w:r>
      <w:proofErr w:type="spellStart"/>
      <w:r>
        <w:t>doi:</w:t>
      </w:r>
      <w:hyperlink r:id="rId52" w:history="1">
        <w:r w:rsidR="006A50DB" w:rsidRPr="00A43E2D">
          <w:rPr>
            <w:rStyle w:val="Hyperlink"/>
          </w:rPr>
          <w:t>https</w:t>
        </w:r>
        <w:proofErr w:type="spellEnd"/>
        <w:r w:rsidR="006A50DB" w:rsidRPr="00A43E2D">
          <w:rPr>
            <w:rStyle w:val="Hyperlink"/>
          </w:rPr>
          <w:t>://doi.org/10.1016/j.healthpol.2021.02.011</w:t>
        </w:r>
      </w:hyperlink>
      <w:r>
        <w:t>.</w:t>
      </w:r>
    </w:p>
    <w:p w14:paraId="6A878F8C" w14:textId="77777777" w:rsidR="00756431" w:rsidRDefault="00756431" w:rsidP="00756431">
      <w:pPr>
        <w:pStyle w:val="NormalWeb"/>
        <w:spacing w:before="0" w:beforeAutospacing="0" w:after="240" w:afterAutospacing="0" w:line="360" w:lineRule="auto"/>
      </w:pPr>
      <w:r>
        <w:t xml:space="preserve">Zia </w:t>
      </w:r>
      <w:proofErr w:type="spellStart"/>
      <w:r>
        <w:t>ud</w:t>
      </w:r>
      <w:proofErr w:type="spellEnd"/>
      <w:r>
        <w:t xml:space="preserve"> din, M., Yuan, X., Khan, N.U. and </w:t>
      </w:r>
      <w:proofErr w:type="spellStart"/>
      <w:r>
        <w:t>Estay</w:t>
      </w:r>
      <w:proofErr w:type="spellEnd"/>
      <w:r>
        <w:t xml:space="preserve">, C. (2024). The impact of public leadership on collaborative administration and public health delivery. </w:t>
      </w:r>
      <w:r>
        <w:rPr>
          <w:i/>
          <w:iCs/>
        </w:rPr>
        <w:t>BMC Health Services Research</w:t>
      </w:r>
      <w:r>
        <w:t xml:space="preserve">, 24(1). </w:t>
      </w:r>
      <w:proofErr w:type="spellStart"/>
      <w:r>
        <w:t>doi:</w:t>
      </w:r>
      <w:hyperlink r:id="rId53" w:history="1">
        <w:r w:rsidR="006A50DB" w:rsidRPr="00A43E2D">
          <w:rPr>
            <w:rStyle w:val="Hyperlink"/>
          </w:rPr>
          <w:t>https</w:t>
        </w:r>
        <w:proofErr w:type="spellEnd"/>
        <w:r w:rsidR="006A50DB" w:rsidRPr="00A43E2D">
          <w:rPr>
            <w:rStyle w:val="Hyperlink"/>
          </w:rPr>
          <w:t>://doi.org/10.1186/s12913-023-10537-0</w:t>
        </w:r>
      </w:hyperlink>
      <w:r>
        <w:t>.</w:t>
      </w:r>
    </w:p>
    <w:p w14:paraId="6D9AEBD0" w14:textId="77777777" w:rsidR="00CF589D" w:rsidRDefault="00E83012" w:rsidP="00CF589D">
      <w:r>
        <w:br/>
      </w:r>
    </w:p>
    <w:p w14:paraId="6B55715D" w14:textId="77777777" w:rsidR="00E83012" w:rsidRDefault="00E83012" w:rsidP="00E83012">
      <w:pPr>
        <w:pStyle w:val="Heading1"/>
      </w:pPr>
      <w:bookmarkStart w:id="19" w:name="_Toc216004956"/>
      <w:r>
        <w:t>Reference of Images</w:t>
      </w:r>
      <w:bookmarkEnd w:id="19"/>
    </w:p>
    <w:p w14:paraId="47EADEB7" w14:textId="77777777" w:rsidR="00E83012" w:rsidRPr="00E83012" w:rsidRDefault="00E83012" w:rsidP="00E83012">
      <w:pPr>
        <w:pStyle w:val="BodyText"/>
        <w:rPr>
          <w:lang w:eastAsia="en-IN"/>
        </w:rPr>
      </w:pPr>
      <w:proofErr w:type="spellStart"/>
      <w:r w:rsidRPr="00E83012">
        <w:rPr>
          <w:lang w:eastAsia="en-IN"/>
        </w:rPr>
        <w:t>Buceta-Albillos</w:t>
      </w:r>
      <w:proofErr w:type="spellEnd"/>
      <w:r w:rsidRPr="00E83012">
        <w:rPr>
          <w:lang w:eastAsia="en-IN"/>
        </w:rPr>
        <w:t xml:space="preserve">, N. and </w:t>
      </w:r>
      <w:proofErr w:type="spellStart"/>
      <w:r w:rsidRPr="00E83012">
        <w:rPr>
          <w:lang w:eastAsia="en-IN"/>
        </w:rPr>
        <w:t>Ayuga-Téllez</w:t>
      </w:r>
      <w:proofErr w:type="spellEnd"/>
      <w:r w:rsidRPr="00E83012">
        <w:rPr>
          <w:lang w:eastAsia="en-IN"/>
        </w:rPr>
        <w:t xml:space="preserve">, E. (2025). The Opportunity for a Sustainable Social Economy in Vacant Spain: An Empirical Analysis in COVID-19 Confinement. </w:t>
      </w:r>
      <w:r w:rsidRPr="00E83012">
        <w:rPr>
          <w:i/>
          <w:iCs/>
          <w:lang w:eastAsia="en-IN"/>
        </w:rPr>
        <w:t>Urban Science</w:t>
      </w:r>
      <w:r w:rsidRPr="00E83012">
        <w:rPr>
          <w:lang w:eastAsia="en-IN"/>
        </w:rPr>
        <w:t xml:space="preserve">, [online] 9(1), p.8. </w:t>
      </w:r>
      <w:proofErr w:type="spellStart"/>
      <w:r w:rsidRPr="00E83012">
        <w:rPr>
          <w:lang w:eastAsia="en-IN"/>
        </w:rPr>
        <w:t>doi:</w:t>
      </w:r>
      <w:hyperlink r:id="rId54" w:history="1">
        <w:r w:rsidRPr="00236115">
          <w:rPr>
            <w:rStyle w:val="Hyperlink"/>
            <w:rFonts w:eastAsia="Times New Roman" w:cs="Times New Roman"/>
            <w:szCs w:val="24"/>
            <w:lang w:eastAsia="en-IN"/>
          </w:rPr>
          <w:t>https</w:t>
        </w:r>
        <w:proofErr w:type="spellEnd"/>
        <w:r w:rsidRPr="00236115">
          <w:rPr>
            <w:rStyle w:val="Hyperlink"/>
            <w:rFonts w:eastAsia="Times New Roman" w:cs="Times New Roman"/>
            <w:szCs w:val="24"/>
            <w:lang w:eastAsia="en-IN"/>
          </w:rPr>
          <w:t>://doi.org/10.3390/urbansci9010008</w:t>
        </w:r>
      </w:hyperlink>
      <w:r w:rsidRPr="00E83012">
        <w:rPr>
          <w:lang w:eastAsia="en-IN"/>
        </w:rPr>
        <w:t>.</w:t>
      </w:r>
    </w:p>
    <w:p w14:paraId="186EFBE8" w14:textId="77777777" w:rsidR="00E83012" w:rsidRPr="00E83012" w:rsidRDefault="00E83012" w:rsidP="00E83012">
      <w:pPr>
        <w:pStyle w:val="BodyText"/>
        <w:rPr>
          <w:lang w:eastAsia="en-IN"/>
        </w:rPr>
      </w:pPr>
      <w:r w:rsidRPr="00E83012">
        <w:rPr>
          <w:lang w:eastAsia="en-IN"/>
        </w:rPr>
        <w:t xml:space="preserve">CFI (2022). </w:t>
      </w:r>
      <w:r w:rsidRPr="00E83012">
        <w:rPr>
          <w:i/>
          <w:iCs/>
          <w:lang w:eastAsia="en-IN"/>
        </w:rPr>
        <w:t>Leadership Theories</w:t>
      </w:r>
      <w:r w:rsidRPr="00E83012">
        <w:rPr>
          <w:lang w:eastAsia="en-IN"/>
        </w:rPr>
        <w:t xml:space="preserve">. [online] Corporate Finance Institute. Available at: </w:t>
      </w:r>
      <w:hyperlink r:id="rId55" w:history="1">
        <w:r w:rsidRPr="00236115">
          <w:rPr>
            <w:rStyle w:val="Hyperlink"/>
            <w:rFonts w:eastAsia="Times New Roman" w:cs="Times New Roman"/>
            <w:szCs w:val="24"/>
            <w:lang w:eastAsia="en-IN"/>
          </w:rPr>
          <w:t>https://corporatefinanceinstitute.com/resources/management/leadership-theories/</w:t>
        </w:r>
      </w:hyperlink>
      <w:r w:rsidRPr="00E83012">
        <w:rPr>
          <w:lang w:eastAsia="en-IN"/>
        </w:rPr>
        <w:t>.</w:t>
      </w:r>
    </w:p>
    <w:p w14:paraId="74C2BC8F" w14:textId="77777777" w:rsidR="00E83012" w:rsidRPr="00E83012" w:rsidRDefault="00E83012" w:rsidP="00E83012">
      <w:pPr>
        <w:pStyle w:val="BodyText"/>
        <w:rPr>
          <w:lang w:eastAsia="en-IN"/>
        </w:rPr>
      </w:pPr>
      <w:r w:rsidRPr="00E83012">
        <w:rPr>
          <w:lang w:eastAsia="en-IN"/>
        </w:rPr>
        <w:t>Disruptive Leadership Institute. (</w:t>
      </w:r>
      <w:proofErr w:type="spellStart"/>
      <w:r w:rsidRPr="00E83012">
        <w:rPr>
          <w:lang w:eastAsia="en-IN"/>
        </w:rPr>
        <w:t>n.d.</w:t>
      </w:r>
      <w:proofErr w:type="spellEnd"/>
      <w:r w:rsidRPr="00E83012">
        <w:rPr>
          <w:lang w:eastAsia="en-IN"/>
        </w:rPr>
        <w:t xml:space="preserve">). </w:t>
      </w:r>
      <w:r w:rsidRPr="00E83012">
        <w:rPr>
          <w:i/>
          <w:iCs/>
          <w:lang w:eastAsia="en-IN"/>
        </w:rPr>
        <w:t>Disruptive Leadership Institute</w:t>
      </w:r>
      <w:r w:rsidRPr="00E83012">
        <w:rPr>
          <w:lang w:eastAsia="en-IN"/>
        </w:rPr>
        <w:t xml:space="preserve">. [online] Available at: </w:t>
      </w:r>
      <w:hyperlink r:id="rId56" w:history="1">
        <w:r w:rsidRPr="00236115">
          <w:rPr>
            <w:rStyle w:val="Hyperlink"/>
            <w:rFonts w:eastAsia="Times New Roman" w:cs="Times New Roman"/>
            <w:szCs w:val="24"/>
            <w:lang w:eastAsia="en-IN"/>
          </w:rPr>
          <w:t>https://www.disruptiveleadership.institute/crisis_model/</w:t>
        </w:r>
      </w:hyperlink>
      <w:r w:rsidRPr="00E83012">
        <w:rPr>
          <w:lang w:eastAsia="en-IN"/>
        </w:rPr>
        <w:t>.</w:t>
      </w:r>
    </w:p>
    <w:p w14:paraId="6DC8AC83" w14:textId="77777777" w:rsidR="00E83012" w:rsidRPr="00E83012" w:rsidRDefault="00E83012" w:rsidP="00E83012">
      <w:pPr>
        <w:pStyle w:val="BodyText"/>
        <w:rPr>
          <w:lang w:eastAsia="en-IN"/>
        </w:rPr>
      </w:pPr>
      <w:proofErr w:type="spellStart"/>
      <w:r w:rsidRPr="00E83012">
        <w:rPr>
          <w:lang w:eastAsia="en-IN"/>
        </w:rPr>
        <w:t>Ebrary</w:t>
      </w:r>
      <w:proofErr w:type="spellEnd"/>
      <w:r w:rsidRPr="00E83012">
        <w:rPr>
          <w:lang w:eastAsia="en-IN"/>
        </w:rPr>
        <w:t xml:space="preserve">. (2017). </w:t>
      </w:r>
      <w:r w:rsidRPr="00E83012">
        <w:rPr>
          <w:i/>
          <w:iCs/>
          <w:lang w:eastAsia="en-IN"/>
        </w:rPr>
        <w:t>Analytical framework of four aspects</w:t>
      </w:r>
      <w:r w:rsidRPr="00E83012">
        <w:rPr>
          <w:lang w:eastAsia="en-IN"/>
        </w:rPr>
        <w:t xml:space="preserve">. [online] Available at: </w:t>
      </w:r>
      <w:hyperlink r:id="rId57" w:history="1">
        <w:r w:rsidRPr="00236115">
          <w:rPr>
            <w:rStyle w:val="Hyperlink"/>
            <w:rFonts w:eastAsia="Times New Roman" w:cs="Times New Roman"/>
            <w:szCs w:val="24"/>
            <w:lang w:eastAsia="en-IN"/>
          </w:rPr>
          <w:t>https://ebrary.net/176654/education/analytical_framework_aspects</w:t>
        </w:r>
      </w:hyperlink>
      <w:r w:rsidRPr="00E83012">
        <w:rPr>
          <w:lang w:eastAsia="en-IN"/>
        </w:rPr>
        <w:t>.</w:t>
      </w:r>
    </w:p>
    <w:p w14:paraId="468F1374" w14:textId="77777777" w:rsidR="00E83012" w:rsidRPr="00E83012" w:rsidRDefault="00E83012" w:rsidP="00E83012">
      <w:pPr>
        <w:pStyle w:val="BodyText"/>
        <w:rPr>
          <w:lang w:eastAsia="en-IN"/>
        </w:rPr>
      </w:pPr>
      <w:r w:rsidRPr="00E83012">
        <w:rPr>
          <w:lang w:eastAsia="en-IN"/>
        </w:rPr>
        <w:t xml:space="preserve">Ferris, K. (2019). </w:t>
      </w:r>
      <w:r w:rsidRPr="00E83012">
        <w:rPr>
          <w:i/>
          <w:iCs/>
          <w:lang w:eastAsia="en-IN"/>
        </w:rPr>
        <w:t>Karen Ferris</w:t>
      </w:r>
      <w:r w:rsidRPr="00E83012">
        <w:rPr>
          <w:lang w:eastAsia="en-IN"/>
        </w:rPr>
        <w:t xml:space="preserve">. [online] Karen Ferris. Available at: </w:t>
      </w:r>
      <w:hyperlink r:id="rId58" w:history="1">
        <w:r w:rsidRPr="00236115">
          <w:rPr>
            <w:rStyle w:val="Hyperlink"/>
            <w:rFonts w:eastAsia="Times New Roman" w:cs="Times New Roman"/>
            <w:szCs w:val="24"/>
            <w:lang w:eastAsia="en-IN"/>
          </w:rPr>
          <w:t>https://karenferris.com/blog/2019/7/2/adaptive-leadership-diversity</w:t>
        </w:r>
      </w:hyperlink>
      <w:r w:rsidRPr="00E83012">
        <w:rPr>
          <w:lang w:eastAsia="en-IN"/>
        </w:rPr>
        <w:t>.</w:t>
      </w:r>
    </w:p>
    <w:p w14:paraId="79EA1856" w14:textId="77777777" w:rsidR="00E83012" w:rsidRPr="00E83012" w:rsidRDefault="00E83012" w:rsidP="00E83012">
      <w:pPr>
        <w:pStyle w:val="BodyText"/>
        <w:rPr>
          <w:lang w:eastAsia="en-IN"/>
        </w:rPr>
      </w:pPr>
      <w:r w:rsidRPr="00E83012">
        <w:rPr>
          <w:lang w:eastAsia="en-IN"/>
        </w:rPr>
        <w:t xml:space="preserve">Park, S., Lee, S. and Cho, J. (2021). Uneven Use of Remote Work to Prevent the Spread of COVID-19 in South Korea’s Stratified </w:t>
      </w:r>
      <w:proofErr w:type="spellStart"/>
      <w:r w:rsidRPr="00E83012">
        <w:rPr>
          <w:lang w:eastAsia="en-IN"/>
        </w:rPr>
        <w:t>Labor</w:t>
      </w:r>
      <w:proofErr w:type="spellEnd"/>
      <w:r w:rsidRPr="00E83012">
        <w:rPr>
          <w:lang w:eastAsia="en-IN"/>
        </w:rPr>
        <w:t xml:space="preserve"> Market. </w:t>
      </w:r>
      <w:r w:rsidRPr="00E83012">
        <w:rPr>
          <w:i/>
          <w:iCs/>
          <w:lang w:eastAsia="en-IN"/>
        </w:rPr>
        <w:t>Frontiers in Public Health</w:t>
      </w:r>
      <w:r w:rsidRPr="00E83012">
        <w:rPr>
          <w:lang w:eastAsia="en-IN"/>
        </w:rPr>
        <w:t xml:space="preserve">, 9. </w:t>
      </w:r>
      <w:proofErr w:type="spellStart"/>
      <w:r w:rsidRPr="00E83012">
        <w:rPr>
          <w:lang w:eastAsia="en-IN"/>
        </w:rPr>
        <w:t>doi:</w:t>
      </w:r>
      <w:hyperlink r:id="rId59" w:history="1">
        <w:r w:rsidRPr="00236115">
          <w:rPr>
            <w:rStyle w:val="Hyperlink"/>
            <w:rFonts w:eastAsia="Times New Roman" w:cs="Times New Roman"/>
            <w:szCs w:val="24"/>
            <w:lang w:eastAsia="en-IN"/>
          </w:rPr>
          <w:t>https</w:t>
        </w:r>
        <w:proofErr w:type="spellEnd"/>
        <w:r w:rsidRPr="00236115">
          <w:rPr>
            <w:rStyle w:val="Hyperlink"/>
            <w:rFonts w:eastAsia="Times New Roman" w:cs="Times New Roman"/>
            <w:szCs w:val="24"/>
            <w:lang w:eastAsia="en-IN"/>
          </w:rPr>
          <w:t>://doi.org/10.3389/fpubh.2021.726885</w:t>
        </w:r>
      </w:hyperlink>
      <w:r w:rsidRPr="00E83012">
        <w:rPr>
          <w:lang w:eastAsia="en-IN"/>
        </w:rPr>
        <w:t>.</w:t>
      </w:r>
    </w:p>
    <w:p w14:paraId="24B49B39" w14:textId="77777777" w:rsidR="00E83012" w:rsidRPr="00E83012" w:rsidRDefault="00E83012" w:rsidP="00E83012">
      <w:pPr>
        <w:pStyle w:val="BodyText"/>
        <w:rPr>
          <w:lang w:eastAsia="en-IN"/>
        </w:rPr>
      </w:pPr>
      <w:r w:rsidRPr="00E83012">
        <w:rPr>
          <w:lang w:eastAsia="en-IN"/>
        </w:rPr>
        <w:t xml:space="preserve">Statistics Canada (2022). </w:t>
      </w:r>
      <w:r w:rsidRPr="00E83012">
        <w:rPr>
          <w:i/>
          <w:iCs/>
          <w:lang w:eastAsia="en-IN"/>
        </w:rPr>
        <w:t>COVID-19 in Canada: A Two-year Update on Social and Economic Impacts</w:t>
      </w:r>
      <w:r w:rsidRPr="00E83012">
        <w:rPr>
          <w:lang w:eastAsia="en-IN"/>
        </w:rPr>
        <w:t xml:space="preserve">. [online] www150.statcan.gc.ca. Available at: </w:t>
      </w:r>
      <w:hyperlink r:id="rId60" w:history="1">
        <w:r w:rsidRPr="00236115">
          <w:rPr>
            <w:rStyle w:val="Hyperlink"/>
            <w:rFonts w:eastAsia="Times New Roman" w:cs="Times New Roman"/>
            <w:szCs w:val="24"/>
            <w:lang w:eastAsia="en-IN"/>
          </w:rPr>
          <w:t>https://www150.statcan.gc.ca/n1/pub/11-631-x/11-631-x2022001-eng.htm</w:t>
        </w:r>
      </w:hyperlink>
      <w:r w:rsidRPr="00E83012">
        <w:rPr>
          <w:lang w:eastAsia="en-IN"/>
        </w:rPr>
        <w:t>.</w:t>
      </w:r>
    </w:p>
    <w:p w14:paraId="3FB39679" w14:textId="77777777" w:rsidR="00E83012" w:rsidRPr="00E83012" w:rsidRDefault="00E83012" w:rsidP="00E83012"/>
    <w:p w14:paraId="67A085B5" w14:textId="77777777" w:rsidR="00E83012" w:rsidRPr="00CF589D" w:rsidRDefault="00E83012" w:rsidP="00CF589D"/>
    <w:sectPr w:rsidR="00E83012" w:rsidRPr="00CF589D" w:rsidSect="00AB5977">
      <w:headerReference w:type="even" r:id="rId61"/>
      <w:headerReference w:type="default" r:id="rId62"/>
      <w:footerReference w:type="even" r:id="rId63"/>
      <w:footerReference w:type="default" r:id="rId64"/>
      <w:headerReference w:type="first" r:id="rId65"/>
      <w:footerReference w:type="first" r:id="rId6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1BC96" w14:textId="77777777" w:rsidR="007948A0" w:rsidRDefault="007948A0" w:rsidP="00A42E1B">
      <w:pPr>
        <w:spacing w:after="0" w:line="240" w:lineRule="auto"/>
      </w:pPr>
      <w:r>
        <w:separator/>
      </w:r>
    </w:p>
  </w:endnote>
  <w:endnote w:type="continuationSeparator" w:id="0">
    <w:p w14:paraId="007DCD98" w14:textId="77777777" w:rsidR="007948A0" w:rsidRDefault="007948A0" w:rsidP="00A42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32DD8" w14:textId="77777777" w:rsidR="006B1B66" w:rsidRDefault="006B1B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7205A6" w14:textId="77777777" w:rsidR="006B1B66" w:rsidRDefault="006B1B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73FD2" w14:textId="77777777" w:rsidR="006B1B66" w:rsidRDefault="006B1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4003A" w14:textId="77777777" w:rsidR="007948A0" w:rsidRDefault="007948A0" w:rsidP="00A42E1B">
      <w:pPr>
        <w:spacing w:after="0" w:line="240" w:lineRule="auto"/>
      </w:pPr>
      <w:r>
        <w:separator/>
      </w:r>
    </w:p>
  </w:footnote>
  <w:footnote w:type="continuationSeparator" w:id="0">
    <w:p w14:paraId="4F655CC4" w14:textId="77777777" w:rsidR="007948A0" w:rsidRDefault="007948A0" w:rsidP="00A42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4804E" w14:textId="77777777" w:rsidR="006B1B66" w:rsidRDefault="006B1B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669546"/>
      <w:docPartObj>
        <w:docPartGallery w:val="Page Numbers (Top of Page)"/>
        <w:docPartUnique/>
      </w:docPartObj>
    </w:sdtPr>
    <w:sdtEndPr>
      <w:rPr>
        <w:noProof/>
      </w:rPr>
    </w:sdtEndPr>
    <w:sdtContent>
      <w:p w14:paraId="4566003F" w14:textId="77777777" w:rsidR="00A42E1B" w:rsidRDefault="00AB5977">
        <w:pPr>
          <w:pStyle w:val="Header"/>
          <w:jc w:val="right"/>
        </w:pPr>
        <w:r>
          <w:fldChar w:fldCharType="begin"/>
        </w:r>
        <w:r w:rsidR="00A42E1B">
          <w:instrText xml:space="preserve"> PAGE   \* MERGEFORMAT </w:instrText>
        </w:r>
        <w:r>
          <w:fldChar w:fldCharType="separate"/>
        </w:r>
        <w:r w:rsidR="006B1B66">
          <w:rPr>
            <w:noProof/>
          </w:rPr>
          <w:t>2</w:t>
        </w:r>
        <w:r>
          <w:rPr>
            <w:noProof/>
          </w:rPr>
          <w:fldChar w:fldCharType="end"/>
        </w:r>
      </w:p>
    </w:sdtContent>
  </w:sdt>
  <w:p w14:paraId="7524433B" w14:textId="77777777" w:rsidR="00A42E1B" w:rsidRDefault="00A42E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F44D6" w14:textId="77777777" w:rsidR="006B1B66" w:rsidRDefault="006B1B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E1B"/>
    <w:rsid w:val="00045F5B"/>
    <w:rsid w:val="000E7B24"/>
    <w:rsid w:val="00116A67"/>
    <w:rsid w:val="002558D2"/>
    <w:rsid w:val="002A024C"/>
    <w:rsid w:val="002A393F"/>
    <w:rsid w:val="002B22F7"/>
    <w:rsid w:val="00323453"/>
    <w:rsid w:val="00394647"/>
    <w:rsid w:val="003A1F82"/>
    <w:rsid w:val="003F1588"/>
    <w:rsid w:val="00401FF3"/>
    <w:rsid w:val="00440A3F"/>
    <w:rsid w:val="00447725"/>
    <w:rsid w:val="00537A6E"/>
    <w:rsid w:val="005A6F42"/>
    <w:rsid w:val="006A50DB"/>
    <w:rsid w:val="006B1B66"/>
    <w:rsid w:val="006D6E38"/>
    <w:rsid w:val="00756431"/>
    <w:rsid w:val="00772B9F"/>
    <w:rsid w:val="007948A0"/>
    <w:rsid w:val="00796408"/>
    <w:rsid w:val="00804AC1"/>
    <w:rsid w:val="00837EA0"/>
    <w:rsid w:val="00982C99"/>
    <w:rsid w:val="009E41F0"/>
    <w:rsid w:val="00A42E1B"/>
    <w:rsid w:val="00AB5977"/>
    <w:rsid w:val="00B32ED0"/>
    <w:rsid w:val="00C56238"/>
    <w:rsid w:val="00CB00D6"/>
    <w:rsid w:val="00CF589D"/>
    <w:rsid w:val="00D2670A"/>
    <w:rsid w:val="00DC35E4"/>
    <w:rsid w:val="00DE3C78"/>
    <w:rsid w:val="00E83012"/>
    <w:rsid w:val="00E97B96"/>
    <w:rsid w:val="00EC3C4B"/>
    <w:rsid w:val="00F56F1B"/>
    <w:rsid w:val="00FA7A1E"/>
    <w:rsid w:val="00FB6F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760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70A"/>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2670A"/>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D2670A"/>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42E1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E830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670A"/>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267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2670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A42E1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42E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2E1B"/>
    <w:rPr>
      <w:rFonts w:ascii="Times New Roman" w:hAnsi="Times New Roman"/>
      <w:sz w:val="24"/>
    </w:rPr>
  </w:style>
  <w:style w:type="paragraph" w:styleId="Footer">
    <w:name w:val="footer"/>
    <w:basedOn w:val="Normal"/>
    <w:link w:val="FooterChar"/>
    <w:uiPriority w:val="99"/>
    <w:unhideWhenUsed/>
    <w:rsid w:val="00A42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2E1B"/>
    <w:rPr>
      <w:rFonts w:ascii="Times New Roman" w:hAnsi="Times New Roman"/>
      <w:sz w:val="24"/>
    </w:rPr>
  </w:style>
  <w:style w:type="paragraph" w:styleId="TOCHeading">
    <w:name w:val="TOC Heading"/>
    <w:basedOn w:val="Heading1"/>
    <w:next w:val="Normal"/>
    <w:uiPriority w:val="39"/>
    <w:unhideWhenUsed/>
    <w:qFormat/>
    <w:rsid w:val="00CF589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589D"/>
    <w:pPr>
      <w:spacing w:after="100"/>
    </w:pPr>
  </w:style>
  <w:style w:type="paragraph" w:styleId="TOC2">
    <w:name w:val="toc 2"/>
    <w:basedOn w:val="Normal"/>
    <w:next w:val="Normal"/>
    <w:autoRedefine/>
    <w:uiPriority w:val="39"/>
    <w:unhideWhenUsed/>
    <w:rsid w:val="00CF589D"/>
    <w:pPr>
      <w:spacing w:after="100"/>
      <w:ind w:left="240"/>
    </w:pPr>
  </w:style>
  <w:style w:type="character" w:styleId="Hyperlink">
    <w:name w:val="Hyperlink"/>
    <w:basedOn w:val="DefaultParagraphFont"/>
    <w:uiPriority w:val="99"/>
    <w:unhideWhenUsed/>
    <w:rsid w:val="00CF589D"/>
    <w:rPr>
      <w:color w:val="0563C1" w:themeColor="hyperlink"/>
      <w:u w:val="single"/>
    </w:rPr>
  </w:style>
  <w:style w:type="paragraph" w:styleId="NormalWeb">
    <w:name w:val="Normal (Web)"/>
    <w:basedOn w:val="Normal"/>
    <w:uiPriority w:val="99"/>
    <w:semiHidden/>
    <w:unhideWhenUsed/>
    <w:rsid w:val="00756431"/>
    <w:pPr>
      <w:spacing w:before="100" w:beforeAutospacing="1" w:after="100" w:afterAutospacing="1" w:line="240" w:lineRule="auto"/>
      <w:jc w:val="left"/>
    </w:pPr>
    <w:rPr>
      <w:rFonts w:eastAsia="Times New Roman" w:cs="Times New Roman"/>
      <w:szCs w:val="24"/>
      <w:lang w:eastAsia="en-IN"/>
    </w:rPr>
  </w:style>
  <w:style w:type="character" w:customStyle="1" w:styleId="UnresolvedMention1">
    <w:name w:val="Unresolved Mention1"/>
    <w:basedOn w:val="DefaultParagraphFont"/>
    <w:uiPriority w:val="99"/>
    <w:semiHidden/>
    <w:unhideWhenUsed/>
    <w:rsid w:val="006A50DB"/>
    <w:rPr>
      <w:color w:val="605E5C"/>
      <w:shd w:val="clear" w:color="auto" w:fill="E1DFDD"/>
    </w:rPr>
  </w:style>
  <w:style w:type="character" w:customStyle="1" w:styleId="Heading5Char">
    <w:name w:val="Heading 5 Char"/>
    <w:basedOn w:val="DefaultParagraphFont"/>
    <w:link w:val="Heading5"/>
    <w:uiPriority w:val="9"/>
    <w:semiHidden/>
    <w:rsid w:val="00E83012"/>
    <w:rPr>
      <w:rFonts w:asciiTheme="majorHAnsi" w:eastAsiaTheme="majorEastAsia" w:hAnsiTheme="majorHAnsi" w:cstheme="majorBidi"/>
      <w:color w:val="2F5496" w:themeColor="accent1" w:themeShade="BF"/>
      <w:sz w:val="24"/>
    </w:rPr>
  </w:style>
  <w:style w:type="paragraph" w:styleId="BodyText">
    <w:name w:val="Body Text"/>
    <w:basedOn w:val="Normal"/>
    <w:link w:val="BodyTextChar"/>
    <w:uiPriority w:val="99"/>
    <w:unhideWhenUsed/>
    <w:rsid w:val="00E83012"/>
    <w:pPr>
      <w:spacing w:after="120"/>
    </w:pPr>
  </w:style>
  <w:style w:type="character" w:customStyle="1" w:styleId="BodyTextChar">
    <w:name w:val="Body Text Char"/>
    <w:basedOn w:val="DefaultParagraphFont"/>
    <w:link w:val="BodyText"/>
    <w:uiPriority w:val="99"/>
    <w:rsid w:val="00E83012"/>
    <w:rPr>
      <w:rFonts w:ascii="Times New Roman" w:hAnsi="Times New Roman"/>
      <w:sz w:val="24"/>
    </w:rPr>
  </w:style>
  <w:style w:type="paragraph" w:styleId="BalloonText">
    <w:name w:val="Balloon Text"/>
    <w:basedOn w:val="Normal"/>
    <w:link w:val="BalloonTextChar"/>
    <w:uiPriority w:val="99"/>
    <w:semiHidden/>
    <w:unhideWhenUsed/>
    <w:rsid w:val="006D6E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E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8897">
      <w:bodyDiv w:val="1"/>
      <w:marLeft w:val="0"/>
      <w:marRight w:val="0"/>
      <w:marTop w:val="0"/>
      <w:marBottom w:val="0"/>
      <w:divBdr>
        <w:top w:val="none" w:sz="0" w:space="0" w:color="auto"/>
        <w:left w:val="none" w:sz="0" w:space="0" w:color="auto"/>
        <w:bottom w:val="none" w:sz="0" w:space="0" w:color="auto"/>
        <w:right w:val="none" w:sz="0" w:space="0" w:color="auto"/>
      </w:divBdr>
    </w:div>
    <w:div w:id="14968465">
      <w:bodyDiv w:val="1"/>
      <w:marLeft w:val="0"/>
      <w:marRight w:val="0"/>
      <w:marTop w:val="0"/>
      <w:marBottom w:val="0"/>
      <w:divBdr>
        <w:top w:val="none" w:sz="0" w:space="0" w:color="auto"/>
        <w:left w:val="none" w:sz="0" w:space="0" w:color="auto"/>
        <w:bottom w:val="none" w:sz="0" w:space="0" w:color="auto"/>
        <w:right w:val="none" w:sz="0" w:space="0" w:color="auto"/>
      </w:divBdr>
    </w:div>
    <w:div w:id="36316271">
      <w:bodyDiv w:val="1"/>
      <w:marLeft w:val="0"/>
      <w:marRight w:val="0"/>
      <w:marTop w:val="0"/>
      <w:marBottom w:val="0"/>
      <w:divBdr>
        <w:top w:val="none" w:sz="0" w:space="0" w:color="auto"/>
        <w:left w:val="none" w:sz="0" w:space="0" w:color="auto"/>
        <w:bottom w:val="none" w:sz="0" w:space="0" w:color="auto"/>
        <w:right w:val="none" w:sz="0" w:space="0" w:color="auto"/>
      </w:divBdr>
    </w:div>
    <w:div w:id="54931940">
      <w:bodyDiv w:val="1"/>
      <w:marLeft w:val="0"/>
      <w:marRight w:val="0"/>
      <w:marTop w:val="0"/>
      <w:marBottom w:val="0"/>
      <w:divBdr>
        <w:top w:val="none" w:sz="0" w:space="0" w:color="auto"/>
        <w:left w:val="none" w:sz="0" w:space="0" w:color="auto"/>
        <w:bottom w:val="none" w:sz="0" w:space="0" w:color="auto"/>
        <w:right w:val="none" w:sz="0" w:space="0" w:color="auto"/>
      </w:divBdr>
    </w:div>
    <w:div w:id="75902171">
      <w:bodyDiv w:val="1"/>
      <w:marLeft w:val="0"/>
      <w:marRight w:val="0"/>
      <w:marTop w:val="0"/>
      <w:marBottom w:val="0"/>
      <w:divBdr>
        <w:top w:val="none" w:sz="0" w:space="0" w:color="auto"/>
        <w:left w:val="none" w:sz="0" w:space="0" w:color="auto"/>
        <w:bottom w:val="none" w:sz="0" w:space="0" w:color="auto"/>
        <w:right w:val="none" w:sz="0" w:space="0" w:color="auto"/>
      </w:divBdr>
    </w:div>
    <w:div w:id="95449325">
      <w:bodyDiv w:val="1"/>
      <w:marLeft w:val="0"/>
      <w:marRight w:val="0"/>
      <w:marTop w:val="0"/>
      <w:marBottom w:val="0"/>
      <w:divBdr>
        <w:top w:val="none" w:sz="0" w:space="0" w:color="auto"/>
        <w:left w:val="none" w:sz="0" w:space="0" w:color="auto"/>
        <w:bottom w:val="none" w:sz="0" w:space="0" w:color="auto"/>
        <w:right w:val="none" w:sz="0" w:space="0" w:color="auto"/>
      </w:divBdr>
    </w:div>
    <w:div w:id="100226995">
      <w:bodyDiv w:val="1"/>
      <w:marLeft w:val="0"/>
      <w:marRight w:val="0"/>
      <w:marTop w:val="0"/>
      <w:marBottom w:val="0"/>
      <w:divBdr>
        <w:top w:val="none" w:sz="0" w:space="0" w:color="auto"/>
        <w:left w:val="none" w:sz="0" w:space="0" w:color="auto"/>
        <w:bottom w:val="none" w:sz="0" w:space="0" w:color="auto"/>
        <w:right w:val="none" w:sz="0" w:space="0" w:color="auto"/>
      </w:divBdr>
    </w:div>
    <w:div w:id="100495827">
      <w:bodyDiv w:val="1"/>
      <w:marLeft w:val="0"/>
      <w:marRight w:val="0"/>
      <w:marTop w:val="0"/>
      <w:marBottom w:val="0"/>
      <w:divBdr>
        <w:top w:val="none" w:sz="0" w:space="0" w:color="auto"/>
        <w:left w:val="none" w:sz="0" w:space="0" w:color="auto"/>
        <w:bottom w:val="none" w:sz="0" w:space="0" w:color="auto"/>
        <w:right w:val="none" w:sz="0" w:space="0" w:color="auto"/>
      </w:divBdr>
    </w:div>
    <w:div w:id="118652531">
      <w:bodyDiv w:val="1"/>
      <w:marLeft w:val="0"/>
      <w:marRight w:val="0"/>
      <w:marTop w:val="0"/>
      <w:marBottom w:val="0"/>
      <w:divBdr>
        <w:top w:val="none" w:sz="0" w:space="0" w:color="auto"/>
        <w:left w:val="none" w:sz="0" w:space="0" w:color="auto"/>
        <w:bottom w:val="none" w:sz="0" w:space="0" w:color="auto"/>
        <w:right w:val="none" w:sz="0" w:space="0" w:color="auto"/>
      </w:divBdr>
    </w:div>
    <w:div w:id="140344976">
      <w:bodyDiv w:val="1"/>
      <w:marLeft w:val="0"/>
      <w:marRight w:val="0"/>
      <w:marTop w:val="0"/>
      <w:marBottom w:val="0"/>
      <w:divBdr>
        <w:top w:val="none" w:sz="0" w:space="0" w:color="auto"/>
        <w:left w:val="none" w:sz="0" w:space="0" w:color="auto"/>
        <w:bottom w:val="none" w:sz="0" w:space="0" w:color="auto"/>
        <w:right w:val="none" w:sz="0" w:space="0" w:color="auto"/>
      </w:divBdr>
    </w:div>
    <w:div w:id="154075441">
      <w:bodyDiv w:val="1"/>
      <w:marLeft w:val="0"/>
      <w:marRight w:val="0"/>
      <w:marTop w:val="0"/>
      <w:marBottom w:val="0"/>
      <w:divBdr>
        <w:top w:val="none" w:sz="0" w:space="0" w:color="auto"/>
        <w:left w:val="none" w:sz="0" w:space="0" w:color="auto"/>
        <w:bottom w:val="none" w:sz="0" w:space="0" w:color="auto"/>
        <w:right w:val="none" w:sz="0" w:space="0" w:color="auto"/>
      </w:divBdr>
      <w:divsChild>
        <w:div w:id="503394875">
          <w:marLeft w:val="0"/>
          <w:marRight w:val="0"/>
          <w:marTop w:val="0"/>
          <w:marBottom w:val="0"/>
          <w:divBdr>
            <w:top w:val="single" w:sz="2" w:space="0" w:color="auto"/>
            <w:left w:val="single" w:sz="2" w:space="0" w:color="auto"/>
            <w:bottom w:val="single" w:sz="2" w:space="0" w:color="auto"/>
            <w:right w:val="single" w:sz="2" w:space="0" w:color="auto"/>
          </w:divBdr>
        </w:div>
      </w:divsChild>
    </w:div>
    <w:div w:id="168722147">
      <w:bodyDiv w:val="1"/>
      <w:marLeft w:val="0"/>
      <w:marRight w:val="0"/>
      <w:marTop w:val="0"/>
      <w:marBottom w:val="0"/>
      <w:divBdr>
        <w:top w:val="none" w:sz="0" w:space="0" w:color="auto"/>
        <w:left w:val="none" w:sz="0" w:space="0" w:color="auto"/>
        <w:bottom w:val="none" w:sz="0" w:space="0" w:color="auto"/>
        <w:right w:val="none" w:sz="0" w:space="0" w:color="auto"/>
      </w:divBdr>
    </w:div>
    <w:div w:id="213738427">
      <w:bodyDiv w:val="1"/>
      <w:marLeft w:val="0"/>
      <w:marRight w:val="0"/>
      <w:marTop w:val="0"/>
      <w:marBottom w:val="0"/>
      <w:divBdr>
        <w:top w:val="none" w:sz="0" w:space="0" w:color="auto"/>
        <w:left w:val="none" w:sz="0" w:space="0" w:color="auto"/>
        <w:bottom w:val="none" w:sz="0" w:space="0" w:color="auto"/>
        <w:right w:val="none" w:sz="0" w:space="0" w:color="auto"/>
      </w:divBdr>
    </w:div>
    <w:div w:id="277757547">
      <w:bodyDiv w:val="1"/>
      <w:marLeft w:val="0"/>
      <w:marRight w:val="0"/>
      <w:marTop w:val="0"/>
      <w:marBottom w:val="0"/>
      <w:divBdr>
        <w:top w:val="none" w:sz="0" w:space="0" w:color="auto"/>
        <w:left w:val="none" w:sz="0" w:space="0" w:color="auto"/>
        <w:bottom w:val="none" w:sz="0" w:space="0" w:color="auto"/>
        <w:right w:val="none" w:sz="0" w:space="0" w:color="auto"/>
      </w:divBdr>
      <w:divsChild>
        <w:div w:id="409042229">
          <w:marLeft w:val="0"/>
          <w:marRight w:val="0"/>
          <w:marTop w:val="0"/>
          <w:marBottom w:val="0"/>
          <w:divBdr>
            <w:top w:val="single" w:sz="2" w:space="0" w:color="auto"/>
            <w:left w:val="single" w:sz="2" w:space="0" w:color="auto"/>
            <w:bottom w:val="single" w:sz="2" w:space="0" w:color="auto"/>
            <w:right w:val="single" w:sz="2" w:space="0" w:color="auto"/>
          </w:divBdr>
        </w:div>
      </w:divsChild>
    </w:div>
    <w:div w:id="278221552">
      <w:bodyDiv w:val="1"/>
      <w:marLeft w:val="0"/>
      <w:marRight w:val="0"/>
      <w:marTop w:val="0"/>
      <w:marBottom w:val="0"/>
      <w:divBdr>
        <w:top w:val="none" w:sz="0" w:space="0" w:color="auto"/>
        <w:left w:val="none" w:sz="0" w:space="0" w:color="auto"/>
        <w:bottom w:val="none" w:sz="0" w:space="0" w:color="auto"/>
        <w:right w:val="none" w:sz="0" w:space="0" w:color="auto"/>
      </w:divBdr>
    </w:div>
    <w:div w:id="313727108">
      <w:bodyDiv w:val="1"/>
      <w:marLeft w:val="0"/>
      <w:marRight w:val="0"/>
      <w:marTop w:val="0"/>
      <w:marBottom w:val="0"/>
      <w:divBdr>
        <w:top w:val="none" w:sz="0" w:space="0" w:color="auto"/>
        <w:left w:val="none" w:sz="0" w:space="0" w:color="auto"/>
        <w:bottom w:val="none" w:sz="0" w:space="0" w:color="auto"/>
        <w:right w:val="none" w:sz="0" w:space="0" w:color="auto"/>
      </w:divBdr>
    </w:div>
    <w:div w:id="335572931">
      <w:bodyDiv w:val="1"/>
      <w:marLeft w:val="0"/>
      <w:marRight w:val="0"/>
      <w:marTop w:val="0"/>
      <w:marBottom w:val="0"/>
      <w:divBdr>
        <w:top w:val="none" w:sz="0" w:space="0" w:color="auto"/>
        <w:left w:val="none" w:sz="0" w:space="0" w:color="auto"/>
        <w:bottom w:val="none" w:sz="0" w:space="0" w:color="auto"/>
        <w:right w:val="none" w:sz="0" w:space="0" w:color="auto"/>
      </w:divBdr>
    </w:div>
    <w:div w:id="347409981">
      <w:bodyDiv w:val="1"/>
      <w:marLeft w:val="0"/>
      <w:marRight w:val="0"/>
      <w:marTop w:val="0"/>
      <w:marBottom w:val="0"/>
      <w:divBdr>
        <w:top w:val="none" w:sz="0" w:space="0" w:color="auto"/>
        <w:left w:val="none" w:sz="0" w:space="0" w:color="auto"/>
        <w:bottom w:val="none" w:sz="0" w:space="0" w:color="auto"/>
        <w:right w:val="none" w:sz="0" w:space="0" w:color="auto"/>
      </w:divBdr>
    </w:div>
    <w:div w:id="375784030">
      <w:bodyDiv w:val="1"/>
      <w:marLeft w:val="0"/>
      <w:marRight w:val="0"/>
      <w:marTop w:val="0"/>
      <w:marBottom w:val="0"/>
      <w:divBdr>
        <w:top w:val="none" w:sz="0" w:space="0" w:color="auto"/>
        <w:left w:val="none" w:sz="0" w:space="0" w:color="auto"/>
        <w:bottom w:val="none" w:sz="0" w:space="0" w:color="auto"/>
        <w:right w:val="none" w:sz="0" w:space="0" w:color="auto"/>
      </w:divBdr>
    </w:div>
    <w:div w:id="458836610">
      <w:bodyDiv w:val="1"/>
      <w:marLeft w:val="0"/>
      <w:marRight w:val="0"/>
      <w:marTop w:val="0"/>
      <w:marBottom w:val="0"/>
      <w:divBdr>
        <w:top w:val="none" w:sz="0" w:space="0" w:color="auto"/>
        <w:left w:val="none" w:sz="0" w:space="0" w:color="auto"/>
        <w:bottom w:val="none" w:sz="0" w:space="0" w:color="auto"/>
        <w:right w:val="none" w:sz="0" w:space="0" w:color="auto"/>
      </w:divBdr>
    </w:div>
    <w:div w:id="458915056">
      <w:bodyDiv w:val="1"/>
      <w:marLeft w:val="0"/>
      <w:marRight w:val="0"/>
      <w:marTop w:val="0"/>
      <w:marBottom w:val="0"/>
      <w:divBdr>
        <w:top w:val="none" w:sz="0" w:space="0" w:color="auto"/>
        <w:left w:val="none" w:sz="0" w:space="0" w:color="auto"/>
        <w:bottom w:val="none" w:sz="0" w:space="0" w:color="auto"/>
        <w:right w:val="none" w:sz="0" w:space="0" w:color="auto"/>
      </w:divBdr>
    </w:div>
    <w:div w:id="461313281">
      <w:bodyDiv w:val="1"/>
      <w:marLeft w:val="0"/>
      <w:marRight w:val="0"/>
      <w:marTop w:val="0"/>
      <w:marBottom w:val="0"/>
      <w:divBdr>
        <w:top w:val="none" w:sz="0" w:space="0" w:color="auto"/>
        <w:left w:val="none" w:sz="0" w:space="0" w:color="auto"/>
        <w:bottom w:val="none" w:sz="0" w:space="0" w:color="auto"/>
        <w:right w:val="none" w:sz="0" w:space="0" w:color="auto"/>
      </w:divBdr>
    </w:div>
    <w:div w:id="461727685">
      <w:bodyDiv w:val="1"/>
      <w:marLeft w:val="0"/>
      <w:marRight w:val="0"/>
      <w:marTop w:val="0"/>
      <w:marBottom w:val="0"/>
      <w:divBdr>
        <w:top w:val="none" w:sz="0" w:space="0" w:color="auto"/>
        <w:left w:val="none" w:sz="0" w:space="0" w:color="auto"/>
        <w:bottom w:val="none" w:sz="0" w:space="0" w:color="auto"/>
        <w:right w:val="none" w:sz="0" w:space="0" w:color="auto"/>
      </w:divBdr>
    </w:div>
    <w:div w:id="472405324">
      <w:bodyDiv w:val="1"/>
      <w:marLeft w:val="0"/>
      <w:marRight w:val="0"/>
      <w:marTop w:val="0"/>
      <w:marBottom w:val="0"/>
      <w:divBdr>
        <w:top w:val="none" w:sz="0" w:space="0" w:color="auto"/>
        <w:left w:val="none" w:sz="0" w:space="0" w:color="auto"/>
        <w:bottom w:val="none" w:sz="0" w:space="0" w:color="auto"/>
        <w:right w:val="none" w:sz="0" w:space="0" w:color="auto"/>
      </w:divBdr>
    </w:div>
    <w:div w:id="478108562">
      <w:bodyDiv w:val="1"/>
      <w:marLeft w:val="0"/>
      <w:marRight w:val="0"/>
      <w:marTop w:val="0"/>
      <w:marBottom w:val="0"/>
      <w:divBdr>
        <w:top w:val="none" w:sz="0" w:space="0" w:color="auto"/>
        <w:left w:val="none" w:sz="0" w:space="0" w:color="auto"/>
        <w:bottom w:val="none" w:sz="0" w:space="0" w:color="auto"/>
        <w:right w:val="none" w:sz="0" w:space="0" w:color="auto"/>
      </w:divBdr>
      <w:divsChild>
        <w:div w:id="1228107858">
          <w:marLeft w:val="0"/>
          <w:marRight w:val="0"/>
          <w:marTop w:val="0"/>
          <w:marBottom w:val="0"/>
          <w:divBdr>
            <w:top w:val="single" w:sz="2" w:space="0" w:color="auto"/>
            <w:left w:val="single" w:sz="2" w:space="0" w:color="auto"/>
            <w:bottom w:val="single" w:sz="2" w:space="0" w:color="auto"/>
            <w:right w:val="single" w:sz="2" w:space="0" w:color="auto"/>
          </w:divBdr>
        </w:div>
      </w:divsChild>
    </w:div>
    <w:div w:id="526338393">
      <w:bodyDiv w:val="1"/>
      <w:marLeft w:val="0"/>
      <w:marRight w:val="0"/>
      <w:marTop w:val="0"/>
      <w:marBottom w:val="0"/>
      <w:divBdr>
        <w:top w:val="none" w:sz="0" w:space="0" w:color="auto"/>
        <w:left w:val="none" w:sz="0" w:space="0" w:color="auto"/>
        <w:bottom w:val="none" w:sz="0" w:space="0" w:color="auto"/>
        <w:right w:val="none" w:sz="0" w:space="0" w:color="auto"/>
      </w:divBdr>
    </w:div>
    <w:div w:id="528838551">
      <w:bodyDiv w:val="1"/>
      <w:marLeft w:val="0"/>
      <w:marRight w:val="0"/>
      <w:marTop w:val="0"/>
      <w:marBottom w:val="0"/>
      <w:divBdr>
        <w:top w:val="none" w:sz="0" w:space="0" w:color="auto"/>
        <w:left w:val="none" w:sz="0" w:space="0" w:color="auto"/>
        <w:bottom w:val="none" w:sz="0" w:space="0" w:color="auto"/>
        <w:right w:val="none" w:sz="0" w:space="0" w:color="auto"/>
      </w:divBdr>
    </w:div>
    <w:div w:id="557522317">
      <w:bodyDiv w:val="1"/>
      <w:marLeft w:val="0"/>
      <w:marRight w:val="0"/>
      <w:marTop w:val="0"/>
      <w:marBottom w:val="0"/>
      <w:divBdr>
        <w:top w:val="none" w:sz="0" w:space="0" w:color="auto"/>
        <w:left w:val="none" w:sz="0" w:space="0" w:color="auto"/>
        <w:bottom w:val="none" w:sz="0" w:space="0" w:color="auto"/>
        <w:right w:val="none" w:sz="0" w:space="0" w:color="auto"/>
      </w:divBdr>
    </w:div>
    <w:div w:id="588462302">
      <w:bodyDiv w:val="1"/>
      <w:marLeft w:val="0"/>
      <w:marRight w:val="0"/>
      <w:marTop w:val="0"/>
      <w:marBottom w:val="0"/>
      <w:divBdr>
        <w:top w:val="none" w:sz="0" w:space="0" w:color="auto"/>
        <w:left w:val="none" w:sz="0" w:space="0" w:color="auto"/>
        <w:bottom w:val="none" w:sz="0" w:space="0" w:color="auto"/>
        <w:right w:val="none" w:sz="0" w:space="0" w:color="auto"/>
      </w:divBdr>
    </w:div>
    <w:div w:id="635599270">
      <w:bodyDiv w:val="1"/>
      <w:marLeft w:val="0"/>
      <w:marRight w:val="0"/>
      <w:marTop w:val="0"/>
      <w:marBottom w:val="0"/>
      <w:divBdr>
        <w:top w:val="none" w:sz="0" w:space="0" w:color="auto"/>
        <w:left w:val="none" w:sz="0" w:space="0" w:color="auto"/>
        <w:bottom w:val="none" w:sz="0" w:space="0" w:color="auto"/>
        <w:right w:val="none" w:sz="0" w:space="0" w:color="auto"/>
      </w:divBdr>
    </w:div>
    <w:div w:id="635839556">
      <w:bodyDiv w:val="1"/>
      <w:marLeft w:val="0"/>
      <w:marRight w:val="0"/>
      <w:marTop w:val="0"/>
      <w:marBottom w:val="0"/>
      <w:divBdr>
        <w:top w:val="none" w:sz="0" w:space="0" w:color="auto"/>
        <w:left w:val="none" w:sz="0" w:space="0" w:color="auto"/>
        <w:bottom w:val="none" w:sz="0" w:space="0" w:color="auto"/>
        <w:right w:val="none" w:sz="0" w:space="0" w:color="auto"/>
      </w:divBdr>
    </w:div>
    <w:div w:id="659117034">
      <w:bodyDiv w:val="1"/>
      <w:marLeft w:val="0"/>
      <w:marRight w:val="0"/>
      <w:marTop w:val="0"/>
      <w:marBottom w:val="0"/>
      <w:divBdr>
        <w:top w:val="none" w:sz="0" w:space="0" w:color="auto"/>
        <w:left w:val="none" w:sz="0" w:space="0" w:color="auto"/>
        <w:bottom w:val="none" w:sz="0" w:space="0" w:color="auto"/>
        <w:right w:val="none" w:sz="0" w:space="0" w:color="auto"/>
      </w:divBdr>
    </w:div>
    <w:div w:id="665479357">
      <w:bodyDiv w:val="1"/>
      <w:marLeft w:val="0"/>
      <w:marRight w:val="0"/>
      <w:marTop w:val="0"/>
      <w:marBottom w:val="0"/>
      <w:divBdr>
        <w:top w:val="none" w:sz="0" w:space="0" w:color="auto"/>
        <w:left w:val="none" w:sz="0" w:space="0" w:color="auto"/>
        <w:bottom w:val="none" w:sz="0" w:space="0" w:color="auto"/>
        <w:right w:val="none" w:sz="0" w:space="0" w:color="auto"/>
      </w:divBdr>
    </w:div>
    <w:div w:id="685059149">
      <w:bodyDiv w:val="1"/>
      <w:marLeft w:val="0"/>
      <w:marRight w:val="0"/>
      <w:marTop w:val="0"/>
      <w:marBottom w:val="0"/>
      <w:divBdr>
        <w:top w:val="none" w:sz="0" w:space="0" w:color="auto"/>
        <w:left w:val="none" w:sz="0" w:space="0" w:color="auto"/>
        <w:bottom w:val="none" w:sz="0" w:space="0" w:color="auto"/>
        <w:right w:val="none" w:sz="0" w:space="0" w:color="auto"/>
      </w:divBdr>
    </w:div>
    <w:div w:id="718826426">
      <w:bodyDiv w:val="1"/>
      <w:marLeft w:val="0"/>
      <w:marRight w:val="0"/>
      <w:marTop w:val="0"/>
      <w:marBottom w:val="0"/>
      <w:divBdr>
        <w:top w:val="none" w:sz="0" w:space="0" w:color="auto"/>
        <w:left w:val="none" w:sz="0" w:space="0" w:color="auto"/>
        <w:bottom w:val="none" w:sz="0" w:space="0" w:color="auto"/>
        <w:right w:val="none" w:sz="0" w:space="0" w:color="auto"/>
      </w:divBdr>
    </w:div>
    <w:div w:id="721516287">
      <w:bodyDiv w:val="1"/>
      <w:marLeft w:val="0"/>
      <w:marRight w:val="0"/>
      <w:marTop w:val="0"/>
      <w:marBottom w:val="0"/>
      <w:divBdr>
        <w:top w:val="none" w:sz="0" w:space="0" w:color="auto"/>
        <w:left w:val="none" w:sz="0" w:space="0" w:color="auto"/>
        <w:bottom w:val="none" w:sz="0" w:space="0" w:color="auto"/>
        <w:right w:val="none" w:sz="0" w:space="0" w:color="auto"/>
      </w:divBdr>
    </w:div>
    <w:div w:id="728115149">
      <w:bodyDiv w:val="1"/>
      <w:marLeft w:val="0"/>
      <w:marRight w:val="0"/>
      <w:marTop w:val="0"/>
      <w:marBottom w:val="0"/>
      <w:divBdr>
        <w:top w:val="none" w:sz="0" w:space="0" w:color="auto"/>
        <w:left w:val="none" w:sz="0" w:space="0" w:color="auto"/>
        <w:bottom w:val="none" w:sz="0" w:space="0" w:color="auto"/>
        <w:right w:val="none" w:sz="0" w:space="0" w:color="auto"/>
      </w:divBdr>
    </w:div>
    <w:div w:id="767627341">
      <w:bodyDiv w:val="1"/>
      <w:marLeft w:val="0"/>
      <w:marRight w:val="0"/>
      <w:marTop w:val="0"/>
      <w:marBottom w:val="0"/>
      <w:divBdr>
        <w:top w:val="none" w:sz="0" w:space="0" w:color="auto"/>
        <w:left w:val="none" w:sz="0" w:space="0" w:color="auto"/>
        <w:bottom w:val="none" w:sz="0" w:space="0" w:color="auto"/>
        <w:right w:val="none" w:sz="0" w:space="0" w:color="auto"/>
      </w:divBdr>
    </w:div>
    <w:div w:id="815607791">
      <w:bodyDiv w:val="1"/>
      <w:marLeft w:val="0"/>
      <w:marRight w:val="0"/>
      <w:marTop w:val="0"/>
      <w:marBottom w:val="0"/>
      <w:divBdr>
        <w:top w:val="none" w:sz="0" w:space="0" w:color="auto"/>
        <w:left w:val="none" w:sz="0" w:space="0" w:color="auto"/>
        <w:bottom w:val="none" w:sz="0" w:space="0" w:color="auto"/>
        <w:right w:val="none" w:sz="0" w:space="0" w:color="auto"/>
      </w:divBdr>
    </w:div>
    <w:div w:id="827328516">
      <w:bodyDiv w:val="1"/>
      <w:marLeft w:val="0"/>
      <w:marRight w:val="0"/>
      <w:marTop w:val="0"/>
      <w:marBottom w:val="0"/>
      <w:divBdr>
        <w:top w:val="none" w:sz="0" w:space="0" w:color="auto"/>
        <w:left w:val="none" w:sz="0" w:space="0" w:color="auto"/>
        <w:bottom w:val="none" w:sz="0" w:space="0" w:color="auto"/>
        <w:right w:val="none" w:sz="0" w:space="0" w:color="auto"/>
      </w:divBdr>
      <w:divsChild>
        <w:div w:id="1280642380">
          <w:marLeft w:val="0"/>
          <w:marRight w:val="0"/>
          <w:marTop w:val="0"/>
          <w:marBottom w:val="0"/>
          <w:divBdr>
            <w:top w:val="single" w:sz="2" w:space="0" w:color="auto"/>
            <w:left w:val="single" w:sz="2" w:space="0" w:color="auto"/>
            <w:bottom w:val="single" w:sz="2" w:space="0" w:color="auto"/>
            <w:right w:val="single" w:sz="2" w:space="0" w:color="auto"/>
          </w:divBdr>
        </w:div>
      </w:divsChild>
    </w:div>
    <w:div w:id="850877880">
      <w:bodyDiv w:val="1"/>
      <w:marLeft w:val="0"/>
      <w:marRight w:val="0"/>
      <w:marTop w:val="0"/>
      <w:marBottom w:val="0"/>
      <w:divBdr>
        <w:top w:val="none" w:sz="0" w:space="0" w:color="auto"/>
        <w:left w:val="none" w:sz="0" w:space="0" w:color="auto"/>
        <w:bottom w:val="none" w:sz="0" w:space="0" w:color="auto"/>
        <w:right w:val="none" w:sz="0" w:space="0" w:color="auto"/>
      </w:divBdr>
    </w:div>
    <w:div w:id="885919679">
      <w:bodyDiv w:val="1"/>
      <w:marLeft w:val="0"/>
      <w:marRight w:val="0"/>
      <w:marTop w:val="0"/>
      <w:marBottom w:val="0"/>
      <w:divBdr>
        <w:top w:val="none" w:sz="0" w:space="0" w:color="auto"/>
        <w:left w:val="none" w:sz="0" w:space="0" w:color="auto"/>
        <w:bottom w:val="none" w:sz="0" w:space="0" w:color="auto"/>
        <w:right w:val="none" w:sz="0" w:space="0" w:color="auto"/>
      </w:divBdr>
    </w:div>
    <w:div w:id="923994086">
      <w:bodyDiv w:val="1"/>
      <w:marLeft w:val="0"/>
      <w:marRight w:val="0"/>
      <w:marTop w:val="0"/>
      <w:marBottom w:val="0"/>
      <w:divBdr>
        <w:top w:val="none" w:sz="0" w:space="0" w:color="auto"/>
        <w:left w:val="none" w:sz="0" w:space="0" w:color="auto"/>
        <w:bottom w:val="none" w:sz="0" w:space="0" w:color="auto"/>
        <w:right w:val="none" w:sz="0" w:space="0" w:color="auto"/>
      </w:divBdr>
    </w:div>
    <w:div w:id="947129044">
      <w:bodyDiv w:val="1"/>
      <w:marLeft w:val="0"/>
      <w:marRight w:val="0"/>
      <w:marTop w:val="0"/>
      <w:marBottom w:val="0"/>
      <w:divBdr>
        <w:top w:val="none" w:sz="0" w:space="0" w:color="auto"/>
        <w:left w:val="none" w:sz="0" w:space="0" w:color="auto"/>
        <w:bottom w:val="none" w:sz="0" w:space="0" w:color="auto"/>
        <w:right w:val="none" w:sz="0" w:space="0" w:color="auto"/>
      </w:divBdr>
    </w:div>
    <w:div w:id="992684636">
      <w:bodyDiv w:val="1"/>
      <w:marLeft w:val="0"/>
      <w:marRight w:val="0"/>
      <w:marTop w:val="0"/>
      <w:marBottom w:val="0"/>
      <w:divBdr>
        <w:top w:val="none" w:sz="0" w:space="0" w:color="auto"/>
        <w:left w:val="none" w:sz="0" w:space="0" w:color="auto"/>
        <w:bottom w:val="none" w:sz="0" w:space="0" w:color="auto"/>
        <w:right w:val="none" w:sz="0" w:space="0" w:color="auto"/>
      </w:divBdr>
    </w:div>
    <w:div w:id="994920588">
      <w:bodyDiv w:val="1"/>
      <w:marLeft w:val="0"/>
      <w:marRight w:val="0"/>
      <w:marTop w:val="0"/>
      <w:marBottom w:val="0"/>
      <w:divBdr>
        <w:top w:val="none" w:sz="0" w:space="0" w:color="auto"/>
        <w:left w:val="none" w:sz="0" w:space="0" w:color="auto"/>
        <w:bottom w:val="none" w:sz="0" w:space="0" w:color="auto"/>
        <w:right w:val="none" w:sz="0" w:space="0" w:color="auto"/>
      </w:divBdr>
    </w:div>
    <w:div w:id="1009217162">
      <w:bodyDiv w:val="1"/>
      <w:marLeft w:val="0"/>
      <w:marRight w:val="0"/>
      <w:marTop w:val="0"/>
      <w:marBottom w:val="0"/>
      <w:divBdr>
        <w:top w:val="none" w:sz="0" w:space="0" w:color="auto"/>
        <w:left w:val="none" w:sz="0" w:space="0" w:color="auto"/>
        <w:bottom w:val="none" w:sz="0" w:space="0" w:color="auto"/>
        <w:right w:val="none" w:sz="0" w:space="0" w:color="auto"/>
      </w:divBdr>
    </w:div>
    <w:div w:id="1059018751">
      <w:bodyDiv w:val="1"/>
      <w:marLeft w:val="0"/>
      <w:marRight w:val="0"/>
      <w:marTop w:val="0"/>
      <w:marBottom w:val="0"/>
      <w:divBdr>
        <w:top w:val="none" w:sz="0" w:space="0" w:color="auto"/>
        <w:left w:val="none" w:sz="0" w:space="0" w:color="auto"/>
        <w:bottom w:val="none" w:sz="0" w:space="0" w:color="auto"/>
        <w:right w:val="none" w:sz="0" w:space="0" w:color="auto"/>
      </w:divBdr>
    </w:div>
    <w:div w:id="1069579346">
      <w:bodyDiv w:val="1"/>
      <w:marLeft w:val="0"/>
      <w:marRight w:val="0"/>
      <w:marTop w:val="0"/>
      <w:marBottom w:val="0"/>
      <w:divBdr>
        <w:top w:val="none" w:sz="0" w:space="0" w:color="auto"/>
        <w:left w:val="none" w:sz="0" w:space="0" w:color="auto"/>
        <w:bottom w:val="none" w:sz="0" w:space="0" w:color="auto"/>
        <w:right w:val="none" w:sz="0" w:space="0" w:color="auto"/>
      </w:divBdr>
    </w:div>
    <w:div w:id="1082678247">
      <w:bodyDiv w:val="1"/>
      <w:marLeft w:val="0"/>
      <w:marRight w:val="0"/>
      <w:marTop w:val="0"/>
      <w:marBottom w:val="0"/>
      <w:divBdr>
        <w:top w:val="none" w:sz="0" w:space="0" w:color="auto"/>
        <w:left w:val="none" w:sz="0" w:space="0" w:color="auto"/>
        <w:bottom w:val="none" w:sz="0" w:space="0" w:color="auto"/>
        <w:right w:val="none" w:sz="0" w:space="0" w:color="auto"/>
      </w:divBdr>
    </w:div>
    <w:div w:id="1085764681">
      <w:bodyDiv w:val="1"/>
      <w:marLeft w:val="0"/>
      <w:marRight w:val="0"/>
      <w:marTop w:val="0"/>
      <w:marBottom w:val="0"/>
      <w:divBdr>
        <w:top w:val="none" w:sz="0" w:space="0" w:color="auto"/>
        <w:left w:val="none" w:sz="0" w:space="0" w:color="auto"/>
        <w:bottom w:val="none" w:sz="0" w:space="0" w:color="auto"/>
        <w:right w:val="none" w:sz="0" w:space="0" w:color="auto"/>
      </w:divBdr>
    </w:div>
    <w:div w:id="1148935663">
      <w:bodyDiv w:val="1"/>
      <w:marLeft w:val="0"/>
      <w:marRight w:val="0"/>
      <w:marTop w:val="0"/>
      <w:marBottom w:val="0"/>
      <w:divBdr>
        <w:top w:val="none" w:sz="0" w:space="0" w:color="auto"/>
        <w:left w:val="none" w:sz="0" w:space="0" w:color="auto"/>
        <w:bottom w:val="none" w:sz="0" w:space="0" w:color="auto"/>
        <w:right w:val="none" w:sz="0" w:space="0" w:color="auto"/>
      </w:divBdr>
    </w:div>
    <w:div w:id="1170681920">
      <w:bodyDiv w:val="1"/>
      <w:marLeft w:val="0"/>
      <w:marRight w:val="0"/>
      <w:marTop w:val="0"/>
      <w:marBottom w:val="0"/>
      <w:divBdr>
        <w:top w:val="none" w:sz="0" w:space="0" w:color="auto"/>
        <w:left w:val="none" w:sz="0" w:space="0" w:color="auto"/>
        <w:bottom w:val="none" w:sz="0" w:space="0" w:color="auto"/>
        <w:right w:val="none" w:sz="0" w:space="0" w:color="auto"/>
      </w:divBdr>
    </w:div>
    <w:div w:id="1175151310">
      <w:bodyDiv w:val="1"/>
      <w:marLeft w:val="0"/>
      <w:marRight w:val="0"/>
      <w:marTop w:val="0"/>
      <w:marBottom w:val="0"/>
      <w:divBdr>
        <w:top w:val="none" w:sz="0" w:space="0" w:color="auto"/>
        <w:left w:val="none" w:sz="0" w:space="0" w:color="auto"/>
        <w:bottom w:val="none" w:sz="0" w:space="0" w:color="auto"/>
        <w:right w:val="none" w:sz="0" w:space="0" w:color="auto"/>
      </w:divBdr>
    </w:div>
    <w:div w:id="1188179200">
      <w:bodyDiv w:val="1"/>
      <w:marLeft w:val="0"/>
      <w:marRight w:val="0"/>
      <w:marTop w:val="0"/>
      <w:marBottom w:val="0"/>
      <w:divBdr>
        <w:top w:val="none" w:sz="0" w:space="0" w:color="auto"/>
        <w:left w:val="none" w:sz="0" w:space="0" w:color="auto"/>
        <w:bottom w:val="none" w:sz="0" w:space="0" w:color="auto"/>
        <w:right w:val="none" w:sz="0" w:space="0" w:color="auto"/>
      </w:divBdr>
    </w:div>
    <w:div w:id="1191534347">
      <w:bodyDiv w:val="1"/>
      <w:marLeft w:val="0"/>
      <w:marRight w:val="0"/>
      <w:marTop w:val="0"/>
      <w:marBottom w:val="0"/>
      <w:divBdr>
        <w:top w:val="none" w:sz="0" w:space="0" w:color="auto"/>
        <w:left w:val="none" w:sz="0" w:space="0" w:color="auto"/>
        <w:bottom w:val="none" w:sz="0" w:space="0" w:color="auto"/>
        <w:right w:val="none" w:sz="0" w:space="0" w:color="auto"/>
      </w:divBdr>
    </w:div>
    <w:div w:id="1193499542">
      <w:bodyDiv w:val="1"/>
      <w:marLeft w:val="0"/>
      <w:marRight w:val="0"/>
      <w:marTop w:val="0"/>
      <w:marBottom w:val="0"/>
      <w:divBdr>
        <w:top w:val="none" w:sz="0" w:space="0" w:color="auto"/>
        <w:left w:val="none" w:sz="0" w:space="0" w:color="auto"/>
        <w:bottom w:val="none" w:sz="0" w:space="0" w:color="auto"/>
        <w:right w:val="none" w:sz="0" w:space="0" w:color="auto"/>
      </w:divBdr>
      <w:divsChild>
        <w:div w:id="1787505549">
          <w:marLeft w:val="0"/>
          <w:marRight w:val="0"/>
          <w:marTop w:val="0"/>
          <w:marBottom w:val="0"/>
          <w:divBdr>
            <w:top w:val="single" w:sz="2" w:space="0" w:color="auto"/>
            <w:left w:val="single" w:sz="2" w:space="0" w:color="auto"/>
            <w:bottom w:val="single" w:sz="2" w:space="0" w:color="auto"/>
            <w:right w:val="single" w:sz="2" w:space="0" w:color="auto"/>
          </w:divBdr>
        </w:div>
      </w:divsChild>
    </w:div>
    <w:div w:id="1211379970">
      <w:bodyDiv w:val="1"/>
      <w:marLeft w:val="0"/>
      <w:marRight w:val="0"/>
      <w:marTop w:val="0"/>
      <w:marBottom w:val="0"/>
      <w:divBdr>
        <w:top w:val="none" w:sz="0" w:space="0" w:color="auto"/>
        <w:left w:val="none" w:sz="0" w:space="0" w:color="auto"/>
        <w:bottom w:val="none" w:sz="0" w:space="0" w:color="auto"/>
        <w:right w:val="none" w:sz="0" w:space="0" w:color="auto"/>
      </w:divBdr>
    </w:div>
    <w:div w:id="1258560497">
      <w:bodyDiv w:val="1"/>
      <w:marLeft w:val="0"/>
      <w:marRight w:val="0"/>
      <w:marTop w:val="0"/>
      <w:marBottom w:val="0"/>
      <w:divBdr>
        <w:top w:val="none" w:sz="0" w:space="0" w:color="auto"/>
        <w:left w:val="none" w:sz="0" w:space="0" w:color="auto"/>
        <w:bottom w:val="none" w:sz="0" w:space="0" w:color="auto"/>
        <w:right w:val="none" w:sz="0" w:space="0" w:color="auto"/>
      </w:divBdr>
    </w:div>
    <w:div w:id="1274241824">
      <w:bodyDiv w:val="1"/>
      <w:marLeft w:val="0"/>
      <w:marRight w:val="0"/>
      <w:marTop w:val="0"/>
      <w:marBottom w:val="0"/>
      <w:divBdr>
        <w:top w:val="none" w:sz="0" w:space="0" w:color="auto"/>
        <w:left w:val="none" w:sz="0" w:space="0" w:color="auto"/>
        <w:bottom w:val="none" w:sz="0" w:space="0" w:color="auto"/>
        <w:right w:val="none" w:sz="0" w:space="0" w:color="auto"/>
      </w:divBdr>
    </w:div>
    <w:div w:id="1321038882">
      <w:bodyDiv w:val="1"/>
      <w:marLeft w:val="0"/>
      <w:marRight w:val="0"/>
      <w:marTop w:val="0"/>
      <w:marBottom w:val="0"/>
      <w:divBdr>
        <w:top w:val="none" w:sz="0" w:space="0" w:color="auto"/>
        <w:left w:val="none" w:sz="0" w:space="0" w:color="auto"/>
        <w:bottom w:val="none" w:sz="0" w:space="0" w:color="auto"/>
        <w:right w:val="none" w:sz="0" w:space="0" w:color="auto"/>
      </w:divBdr>
    </w:div>
    <w:div w:id="1331984567">
      <w:bodyDiv w:val="1"/>
      <w:marLeft w:val="0"/>
      <w:marRight w:val="0"/>
      <w:marTop w:val="0"/>
      <w:marBottom w:val="0"/>
      <w:divBdr>
        <w:top w:val="none" w:sz="0" w:space="0" w:color="auto"/>
        <w:left w:val="none" w:sz="0" w:space="0" w:color="auto"/>
        <w:bottom w:val="none" w:sz="0" w:space="0" w:color="auto"/>
        <w:right w:val="none" w:sz="0" w:space="0" w:color="auto"/>
      </w:divBdr>
    </w:div>
    <w:div w:id="1344086460">
      <w:bodyDiv w:val="1"/>
      <w:marLeft w:val="0"/>
      <w:marRight w:val="0"/>
      <w:marTop w:val="0"/>
      <w:marBottom w:val="0"/>
      <w:divBdr>
        <w:top w:val="none" w:sz="0" w:space="0" w:color="auto"/>
        <w:left w:val="none" w:sz="0" w:space="0" w:color="auto"/>
        <w:bottom w:val="none" w:sz="0" w:space="0" w:color="auto"/>
        <w:right w:val="none" w:sz="0" w:space="0" w:color="auto"/>
      </w:divBdr>
    </w:div>
    <w:div w:id="1366298321">
      <w:bodyDiv w:val="1"/>
      <w:marLeft w:val="0"/>
      <w:marRight w:val="0"/>
      <w:marTop w:val="0"/>
      <w:marBottom w:val="0"/>
      <w:divBdr>
        <w:top w:val="none" w:sz="0" w:space="0" w:color="auto"/>
        <w:left w:val="none" w:sz="0" w:space="0" w:color="auto"/>
        <w:bottom w:val="none" w:sz="0" w:space="0" w:color="auto"/>
        <w:right w:val="none" w:sz="0" w:space="0" w:color="auto"/>
      </w:divBdr>
    </w:div>
    <w:div w:id="1382173840">
      <w:bodyDiv w:val="1"/>
      <w:marLeft w:val="0"/>
      <w:marRight w:val="0"/>
      <w:marTop w:val="0"/>
      <w:marBottom w:val="0"/>
      <w:divBdr>
        <w:top w:val="none" w:sz="0" w:space="0" w:color="auto"/>
        <w:left w:val="none" w:sz="0" w:space="0" w:color="auto"/>
        <w:bottom w:val="none" w:sz="0" w:space="0" w:color="auto"/>
        <w:right w:val="none" w:sz="0" w:space="0" w:color="auto"/>
      </w:divBdr>
    </w:div>
    <w:div w:id="1407725733">
      <w:bodyDiv w:val="1"/>
      <w:marLeft w:val="0"/>
      <w:marRight w:val="0"/>
      <w:marTop w:val="0"/>
      <w:marBottom w:val="0"/>
      <w:divBdr>
        <w:top w:val="none" w:sz="0" w:space="0" w:color="auto"/>
        <w:left w:val="none" w:sz="0" w:space="0" w:color="auto"/>
        <w:bottom w:val="none" w:sz="0" w:space="0" w:color="auto"/>
        <w:right w:val="none" w:sz="0" w:space="0" w:color="auto"/>
      </w:divBdr>
    </w:div>
    <w:div w:id="1421297163">
      <w:bodyDiv w:val="1"/>
      <w:marLeft w:val="0"/>
      <w:marRight w:val="0"/>
      <w:marTop w:val="0"/>
      <w:marBottom w:val="0"/>
      <w:divBdr>
        <w:top w:val="none" w:sz="0" w:space="0" w:color="auto"/>
        <w:left w:val="none" w:sz="0" w:space="0" w:color="auto"/>
        <w:bottom w:val="none" w:sz="0" w:space="0" w:color="auto"/>
        <w:right w:val="none" w:sz="0" w:space="0" w:color="auto"/>
      </w:divBdr>
      <w:divsChild>
        <w:div w:id="948584021">
          <w:marLeft w:val="0"/>
          <w:marRight w:val="0"/>
          <w:marTop w:val="0"/>
          <w:marBottom w:val="0"/>
          <w:divBdr>
            <w:top w:val="single" w:sz="2" w:space="0" w:color="auto"/>
            <w:left w:val="single" w:sz="2" w:space="0" w:color="auto"/>
            <w:bottom w:val="single" w:sz="2" w:space="0" w:color="auto"/>
            <w:right w:val="single" w:sz="2" w:space="0" w:color="auto"/>
          </w:divBdr>
        </w:div>
      </w:divsChild>
    </w:div>
    <w:div w:id="1463305114">
      <w:bodyDiv w:val="1"/>
      <w:marLeft w:val="0"/>
      <w:marRight w:val="0"/>
      <w:marTop w:val="0"/>
      <w:marBottom w:val="0"/>
      <w:divBdr>
        <w:top w:val="none" w:sz="0" w:space="0" w:color="auto"/>
        <w:left w:val="none" w:sz="0" w:space="0" w:color="auto"/>
        <w:bottom w:val="none" w:sz="0" w:space="0" w:color="auto"/>
        <w:right w:val="none" w:sz="0" w:space="0" w:color="auto"/>
      </w:divBdr>
    </w:div>
    <w:div w:id="1523519551">
      <w:bodyDiv w:val="1"/>
      <w:marLeft w:val="0"/>
      <w:marRight w:val="0"/>
      <w:marTop w:val="0"/>
      <w:marBottom w:val="0"/>
      <w:divBdr>
        <w:top w:val="none" w:sz="0" w:space="0" w:color="auto"/>
        <w:left w:val="none" w:sz="0" w:space="0" w:color="auto"/>
        <w:bottom w:val="none" w:sz="0" w:space="0" w:color="auto"/>
        <w:right w:val="none" w:sz="0" w:space="0" w:color="auto"/>
      </w:divBdr>
    </w:div>
    <w:div w:id="1643077721">
      <w:bodyDiv w:val="1"/>
      <w:marLeft w:val="0"/>
      <w:marRight w:val="0"/>
      <w:marTop w:val="0"/>
      <w:marBottom w:val="0"/>
      <w:divBdr>
        <w:top w:val="none" w:sz="0" w:space="0" w:color="auto"/>
        <w:left w:val="none" w:sz="0" w:space="0" w:color="auto"/>
        <w:bottom w:val="none" w:sz="0" w:space="0" w:color="auto"/>
        <w:right w:val="none" w:sz="0" w:space="0" w:color="auto"/>
      </w:divBdr>
    </w:div>
    <w:div w:id="1656762754">
      <w:bodyDiv w:val="1"/>
      <w:marLeft w:val="0"/>
      <w:marRight w:val="0"/>
      <w:marTop w:val="0"/>
      <w:marBottom w:val="0"/>
      <w:divBdr>
        <w:top w:val="none" w:sz="0" w:space="0" w:color="auto"/>
        <w:left w:val="none" w:sz="0" w:space="0" w:color="auto"/>
        <w:bottom w:val="none" w:sz="0" w:space="0" w:color="auto"/>
        <w:right w:val="none" w:sz="0" w:space="0" w:color="auto"/>
      </w:divBdr>
      <w:divsChild>
        <w:div w:id="1348092144">
          <w:marLeft w:val="0"/>
          <w:marRight w:val="0"/>
          <w:marTop w:val="0"/>
          <w:marBottom w:val="0"/>
          <w:divBdr>
            <w:top w:val="none" w:sz="0" w:space="0" w:color="auto"/>
            <w:left w:val="none" w:sz="0" w:space="0" w:color="auto"/>
            <w:bottom w:val="none" w:sz="0" w:space="0" w:color="auto"/>
            <w:right w:val="none" w:sz="0" w:space="0" w:color="auto"/>
          </w:divBdr>
        </w:div>
      </w:divsChild>
    </w:div>
    <w:div w:id="1669089348">
      <w:bodyDiv w:val="1"/>
      <w:marLeft w:val="0"/>
      <w:marRight w:val="0"/>
      <w:marTop w:val="0"/>
      <w:marBottom w:val="0"/>
      <w:divBdr>
        <w:top w:val="none" w:sz="0" w:space="0" w:color="auto"/>
        <w:left w:val="none" w:sz="0" w:space="0" w:color="auto"/>
        <w:bottom w:val="none" w:sz="0" w:space="0" w:color="auto"/>
        <w:right w:val="none" w:sz="0" w:space="0" w:color="auto"/>
      </w:divBdr>
    </w:div>
    <w:div w:id="1707870757">
      <w:bodyDiv w:val="1"/>
      <w:marLeft w:val="0"/>
      <w:marRight w:val="0"/>
      <w:marTop w:val="0"/>
      <w:marBottom w:val="0"/>
      <w:divBdr>
        <w:top w:val="none" w:sz="0" w:space="0" w:color="auto"/>
        <w:left w:val="none" w:sz="0" w:space="0" w:color="auto"/>
        <w:bottom w:val="none" w:sz="0" w:space="0" w:color="auto"/>
        <w:right w:val="none" w:sz="0" w:space="0" w:color="auto"/>
      </w:divBdr>
    </w:div>
    <w:div w:id="1708142497">
      <w:bodyDiv w:val="1"/>
      <w:marLeft w:val="0"/>
      <w:marRight w:val="0"/>
      <w:marTop w:val="0"/>
      <w:marBottom w:val="0"/>
      <w:divBdr>
        <w:top w:val="none" w:sz="0" w:space="0" w:color="auto"/>
        <w:left w:val="none" w:sz="0" w:space="0" w:color="auto"/>
        <w:bottom w:val="none" w:sz="0" w:space="0" w:color="auto"/>
        <w:right w:val="none" w:sz="0" w:space="0" w:color="auto"/>
      </w:divBdr>
    </w:div>
    <w:div w:id="1749886478">
      <w:bodyDiv w:val="1"/>
      <w:marLeft w:val="0"/>
      <w:marRight w:val="0"/>
      <w:marTop w:val="0"/>
      <w:marBottom w:val="0"/>
      <w:divBdr>
        <w:top w:val="none" w:sz="0" w:space="0" w:color="auto"/>
        <w:left w:val="none" w:sz="0" w:space="0" w:color="auto"/>
        <w:bottom w:val="none" w:sz="0" w:space="0" w:color="auto"/>
        <w:right w:val="none" w:sz="0" w:space="0" w:color="auto"/>
      </w:divBdr>
    </w:div>
    <w:div w:id="1780952070">
      <w:bodyDiv w:val="1"/>
      <w:marLeft w:val="0"/>
      <w:marRight w:val="0"/>
      <w:marTop w:val="0"/>
      <w:marBottom w:val="0"/>
      <w:divBdr>
        <w:top w:val="none" w:sz="0" w:space="0" w:color="auto"/>
        <w:left w:val="none" w:sz="0" w:space="0" w:color="auto"/>
        <w:bottom w:val="none" w:sz="0" w:space="0" w:color="auto"/>
        <w:right w:val="none" w:sz="0" w:space="0" w:color="auto"/>
      </w:divBdr>
    </w:div>
    <w:div w:id="1840346901">
      <w:bodyDiv w:val="1"/>
      <w:marLeft w:val="0"/>
      <w:marRight w:val="0"/>
      <w:marTop w:val="0"/>
      <w:marBottom w:val="0"/>
      <w:divBdr>
        <w:top w:val="none" w:sz="0" w:space="0" w:color="auto"/>
        <w:left w:val="none" w:sz="0" w:space="0" w:color="auto"/>
        <w:bottom w:val="none" w:sz="0" w:space="0" w:color="auto"/>
        <w:right w:val="none" w:sz="0" w:space="0" w:color="auto"/>
      </w:divBdr>
    </w:div>
    <w:div w:id="1840535444">
      <w:bodyDiv w:val="1"/>
      <w:marLeft w:val="0"/>
      <w:marRight w:val="0"/>
      <w:marTop w:val="0"/>
      <w:marBottom w:val="0"/>
      <w:divBdr>
        <w:top w:val="none" w:sz="0" w:space="0" w:color="auto"/>
        <w:left w:val="none" w:sz="0" w:space="0" w:color="auto"/>
        <w:bottom w:val="none" w:sz="0" w:space="0" w:color="auto"/>
        <w:right w:val="none" w:sz="0" w:space="0" w:color="auto"/>
      </w:divBdr>
    </w:div>
    <w:div w:id="1841383629">
      <w:bodyDiv w:val="1"/>
      <w:marLeft w:val="0"/>
      <w:marRight w:val="0"/>
      <w:marTop w:val="0"/>
      <w:marBottom w:val="0"/>
      <w:divBdr>
        <w:top w:val="none" w:sz="0" w:space="0" w:color="auto"/>
        <w:left w:val="none" w:sz="0" w:space="0" w:color="auto"/>
        <w:bottom w:val="none" w:sz="0" w:space="0" w:color="auto"/>
        <w:right w:val="none" w:sz="0" w:space="0" w:color="auto"/>
      </w:divBdr>
    </w:div>
    <w:div w:id="1894542040">
      <w:bodyDiv w:val="1"/>
      <w:marLeft w:val="0"/>
      <w:marRight w:val="0"/>
      <w:marTop w:val="0"/>
      <w:marBottom w:val="0"/>
      <w:divBdr>
        <w:top w:val="none" w:sz="0" w:space="0" w:color="auto"/>
        <w:left w:val="none" w:sz="0" w:space="0" w:color="auto"/>
        <w:bottom w:val="none" w:sz="0" w:space="0" w:color="auto"/>
        <w:right w:val="none" w:sz="0" w:space="0" w:color="auto"/>
      </w:divBdr>
    </w:div>
    <w:div w:id="1902061776">
      <w:bodyDiv w:val="1"/>
      <w:marLeft w:val="0"/>
      <w:marRight w:val="0"/>
      <w:marTop w:val="0"/>
      <w:marBottom w:val="0"/>
      <w:divBdr>
        <w:top w:val="none" w:sz="0" w:space="0" w:color="auto"/>
        <w:left w:val="none" w:sz="0" w:space="0" w:color="auto"/>
        <w:bottom w:val="none" w:sz="0" w:space="0" w:color="auto"/>
        <w:right w:val="none" w:sz="0" w:space="0" w:color="auto"/>
      </w:divBdr>
    </w:div>
    <w:div w:id="1939674718">
      <w:bodyDiv w:val="1"/>
      <w:marLeft w:val="0"/>
      <w:marRight w:val="0"/>
      <w:marTop w:val="0"/>
      <w:marBottom w:val="0"/>
      <w:divBdr>
        <w:top w:val="none" w:sz="0" w:space="0" w:color="auto"/>
        <w:left w:val="none" w:sz="0" w:space="0" w:color="auto"/>
        <w:bottom w:val="none" w:sz="0" w:space="0" w:color="auto"/>
        <w:right w:val="none" w:sz="0" w:space="0" w:color="auto"/>
      </w:divBdr>
    </w:div>
    <w:div w:id="1941329825">
      <w:bodyDiv w:val="1"/>
      <w:marLeft w:val="0"/>
      <w:marRight w:val="0"/>
      <w:marTop w:val="0"/>
      <w:marBottom w:val="0"/>
      <w:divBdr>
        <w:top w:val="none" w:sz="0" w:space="0" w:color="auto"/>
        <w:left w:val="none" w:sz="0" w:space="0" w:color="auto"/>
        <w:bottom w:val="none" w:sz="0" w:space="0" w:color="auto"/>
        <w:right w:val="none" w:sz="0" w:space="0" w:color="auto"/>
      </w:divBdr>
    </w:div>
    <w:div w:id="1974360463">
      <w:bodyDiv w:val="1"/>
      <w:marLeft w:val="0"/>
      <w:marRight w:val="0"/>
      <w:marTop w:val="0"/>
      <w:marBottom w:val="0"/>
      <w:divBdr>
        <w:top w:val="none" w:sz="0" w:space="0" w:color="auto"/>
        <w:left w:val="none" w:sz="0" w:space="0" w:color="auto"/>
        <w:bottom w:val="none" w:sz="0" w:space="0" w:color="auto"/>
        <w:right w:val="none" w:sz="0" w:space="0" w:color="auto"/>
      </w:divBdr>
    </w:div>
    <w:div w:id="1991517476">
      <w:bodyDiv w:val="1"/>
      <w:marLeft w:val="0"/>
      <w:marRight w:val="0"/>
      <w:marTop w:val="0"/>
      <w:marBottom w:val="0"/>
      <w:divBdr>
        <w:top w:val="none" w:sz="0" w:space="0" w:color="auto"/>
        <w:left w:val="none" w:sz="0" w:space="0" w:color="auto"/>
        <w:bottom w:val="none" w:sz="0" w:space="0" w:color="auto"/>
        <w:right w:val="none" w:sz="0" w:space="0" w:color="auto"/>
      </w:divBdr>
    </w:div>
    <w:div w:id="2001687939">
      <w:bodyDiv w:val="1"/>
      <w:marLeft w:val="0"/>
      <w:marRight w:val="0"/>
      <w:marTop w:val="0"/>
      <w:marBottom w:val="0"/>
      <w:divBdr>
        <w:top w:val="none" w:sz="0" w:space="0" w:color="auto"/>
        <w:left w:val="none" w:sz="0" w:space="0" w:color="auto"/>
        <w:bottom w:val="none" w:sz="0" w:space="0" w:color="auto"/>
        <w:right w:val="none" w:sz="0" w:space="0" w:color="auto"/>
      </w:divBdr>
    </w:div>
    <w:div w:id="2008625967">
      <w:bodyDiv w:val="1"/>
      <w:marLeft w:val="0"/>
      <w:marRight w:val="0"/>
      <w:marTop w:val="0"/>
      <w:marBottom w:val="0"/>
      <w:divBdr>
        <w:top w:val="none" w:sz="0" w:space="0" w:color="auto"/>
        <w:left w:val="none" w:sz="0" w:space="0" w:color="auto"/>
        <w:bottom w:val="none" w:sz="0" w:space="0" w:color="auto"/>
        <w:right w:val="none" w:sz="0" w:space="0" w:color="auto"/>
      </w:divBdr>
    </w:div>
    <w:div w:id="2026324027">
      <w:bodyDiv w:val="1"/>
      <w:marLeft w:val="0"/>
      <w:marRight w:val="0"/>
      <w:marTop w:val="0"/>
      <w:marBottom w:val="0"/>
      <w:divBdr>
        <w:top w:val="none" w:sz="0" w:space="0" w:color="auto"/>
        <w:left w:val="none" w:sz="0" w:space="0" w:color="auto"/>
        <w:bottom w:val="none" w:sz="0" w:space="0" w:color="auto"/>
        <w:right w:val="none" w:sz="0" w:space="0" w:color="auto"/>
      </w:divBdr>
      <w:divsChild>
        <w:div w:id="289290641">
          <w:marLeft w:val="0"/>
          <w:marRight w:val="0"/>
          <w:marTop w:val="0"/>
          <w:marBottom w:val="0"/>
          <w:divBdr>
            <w:top w:val="single" w:sz="2" w:space="0" w:color="auto"/>
            <w:left w:val="single" w:sz="2" w:space="0" w:color="auto"/>
            <w:bottom w:val="single" w:sz="2" w:space="0" w:color="auto"/>
            <w:right w:val="single" w:sz="2" w:space="0" w:color="auto"/>
          </w:divBdr>
        </w:div>
      </w:divsChild>
    </w:div>
    <w:div w:id="2028097092">
      <w:bodyDiv w:val="1"/>
      <w:marLeft w:val="0"/>
      <w:marRight w:val="0"/>
      <w:marTop w:val="0"/>
      <w:marBottom w:val="0"/>
      <w:divBdr>
        <w:top w:val="none" w:sz="0" w:space="0" w:color="auto"/>
        <w:left w:val="none" w:sz="0" w:space="0" w:color="auto"/>
        <w:bottom w:val="none" w:sz="0" w:space="0" w:color="auto"/>
        <w:right w:val="none" w:sz="0" w:space="0" w:color="auto"/>
      </w:divBdr>
    </w:div>
    <w:div w:id="2049601495">
      <w:bodyDiv w:val="1"/>
      <w:marLeft w:val="0"/>
      <w:marRight w:val="0"/>
      <w:marTop w:val="0"/>
      <w:marBottom w:val="0"/>
      <w:divBdr>
        <w:top w:val="none" w:sz="0" w:space="0" w:color="auto"/>
        <w:left w:val="none" w:sz="0" w:space="0" w:color="auto"/>
        <w:bottom w:val="none" w:sz="0" w:space="0" w:color="auto"/>
        <w:right w:val="none" w:sz="0" w:space="0" w:color="auto"/>
      </w:divBdr>
    </w:div>
    <w:div w:id="2062484048">
      <w:bodyDiv w:val="1"/>
      <w:marLeft w:val="0"/>
      <w:marRight w:val="0"/>
      <w:marTop w:val="0"/>
      <w:marBottom w:val="0"/>
      <w:divBdr>
        <w:top w:val="none" w:sz="0" w:space="0" w:color="auto"/>
        <w:left w:val="none" w:sz="0" w:space="0" w:color="auto"/>
        <w:bottom w:val="none" w:sz="0" w:space="0" w:color="auto"/>
        <w:right w:val="none" w:sz="0" w:space="0" w:color="auto"/>
      </w:divBdr>
    </w:div>
    <w:div w:id="2078936019">
      <w:bodyDiv w:val="1"/>
      <w:marLeft w:val="0"/>
      <w:marRight w:val="0"/>
      <w:marTop w:val="0"/>
      <w:marBottom w:val="0"/>
      <w:divBdr>
        <w:top w:val="none" w:sz="0" w:space="0" w:color="auto"/>
        <w:left w:val="none" w:sz="0" w:space="0" w:color="auto"/>
        <w:bottom w:val="none" w:sz="0" w:space="0" w:color="auto"/>
        <w:right w:val="none" w:sz="0" w:space="0" w:color="auto"/>
      </w:divBdr>
      <w:divsChild>
        <w:div w:id="575869856">
          <w:marLeft w:val="0"/>
          <w:marRight w:val="0"/>
          <w:marTop w:val="0"/>
          <w:marBottom w:val="0"/>
          <w:divBdr>
            <w:top w:val="none" w:sz="0" w:space="0" w:color="auto"/>
            <w:left w:val="none" w:sz="0" w:space="0" w:color="auto"/>
            <w:bottom w:val="none" w:sz="0" w:space="0" w:color="auto"/>
            <w:right w:val="none" w:sz="0" w:space="0" w:color="auto"/>
          </w:divBdr>
        </w:div>
      </w:divsChild>
    </w:div>
    <w:div w:id="2080394573">
      <w:bodyDiv w:val="1"/>
      <w:marLeft w:val="0"/>
      <w:marRight w:val="0"/>
      <w:marTop w:val="0"/>
      <w:marBottom w:val="0"/>
      <w:divBdr>
        <w:top w:val="none" w:sz="0" w:space="0" w:color="auto"/>
        <w:left w:val="none" w:sz="0" w:space="0" w:color="auto"/>
        <w:bottom w:val="none" w:sz="0" w:space="0" w:color="auto"/>
        <w:right w:val="none" w:sz="0" w:space="0" w:color="auto"/>
      </w:divBdr>
    </w:div>
    <w:div w:id="2110421266">
      <w:bodyDiv w:val="1"/>
      <w:marLeft w:val="0"/>
      <w:marRight w:val="0"/>
      <w:marTop w:val="0"/>
      <w:marBottom w:val="0"/>
      <w:divBdr>
        <w:top w:val="none" w:sz="0" w:space="0" w:color="auto"/>
        <w:left w:val="none" w:sz="0" w:space="0" w:color="auto"/>
        <w:bottom w:val="none" w:sz="0" w:space="0" w:color="auto"/>
        <w:right w:val="none" w:sz="0" w:space="0" w:color="auto"/>
      </w:divBdr>
    </w:div>
    <w:div w:id="2119638620">
      <w:bodyDiv w:val="1"/>
      <w:marLeft w:val="0"/>
      <w:marRight w:val="0"/>
      <w:marTop w:val="0"/>
      <w:marBottom w:val="0"/>
      <w:divBdr>
        <w:top w:val="none" w:sz="0" w:space="0" w:color="auto"/>
        <w:left w:val="none" w:sz="0" w:space="0" w:color="auto"/>
        <w:bottom w:val="none" w:sz="0" w:space="0" w:color="auto"/>
        <w:right w:val="none" w:sz="0" w:space="0" w:color="auto"/>
      </w:divBdr>
    </w:div>
    <w:div w:id="2124112183">
      <w:bodyDiv w:val="1"/>
      <w:marLeft w:val="0"/>
      <w:marRight w:val="0"/>
      <w:marTop w:val="0"/>
      <w:marBottom w:val="0"/>
      <w:divBdr>
        <w:top w:val="none" w:sz="0" w:space="0" w:color="auto"/>
        <w:left w:val="none" w:sz="0" w:space="0" w:color="auto"/>
        <w:bottom w:val="none" w:sz="0" w:space="0" w:color="auto"/>
        <w:right w:val="none" w:sz="0" w:space="0" w:color="auto"/>
      </w:divBdr>
    </w:div>
    <w:div w:id="2125418625">
      <w:bodyDiv w:val="1"/>
      <w:marLeft w:val="0"/>
      <w:marRight w:val="0"/>
      <w:marTop w:val="0"/>
      <w:marBottom w:val="0"/>
      <w:divBdr>
        <w:top w:val="none" w:sz="0" w:space="0" w:color="auto"/>
        <w:left w:val="none" w:sz="0" w:space="0" w:color="auto"/>
        <w:bottom w:val="none" w:sz="0" w:space="0" w:color="auto"/>
        <w:right w:val="none" w:sz="0" w:space="0" w:color="auto"/>
      </w:divBdr>
      <w:divsChild>
        <w:div w:id="1483540931">
          <w:marLeft w:val="0"/>
          <w:marRight w:val="0"/>
          <w:marTop w:val="0"/>
          <w:marBottom w:val="0"/>
          <w:divBdr>
            <w:top w:val="single" w:sz="2" w:space="0" w:color="auto"/>
            <w:left w:val="single" w:sz="2" w:space="0" w:color="auto"/>
            <w:bottom w:val="single" w:sz="2" w:space="0" w:color="auto"/>
            <w:right w:val="single" w:sz="2" w:space="0" w:color="auto"/>
          </w:divBdr>
        </w:div>
      </w:divsChild>
    </w:div>
    <w:div w:id="213525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hyperlink" Target="https://doi.org/10.16993/bco.h" TargetMode="External" /><Relationship Id="rId26" Type="http://schemas.openxmlformats.org/officeDocument/2006/relationships/hyperlink" Target="https://doi.org/10.1108/ijpl-08-2020-0082" TargetMode="External" /><Relationship Id="rId39" Type="http://schemas.openxmlformats.org/officeDocument/2006/relationships/hyperlink" Target="https://doi.org/10.3390/ijgi10090586" TargetMode="External" /><Relationship Id="rId21" Type="http://schemas.openxmlformats.org/officeDocument/2006/relationships/hyperlink" Target="https://doi.org/10.1093/publius/pjae034" TargetMode="External" /><Relationship Id="rId34" Type="http://schemas.openxmlformats.org/officeDocument/2006/relationships/hyperlink" Target="https://doi.org/10.1080/14719037.2020.1766266" TargetMode="External" /><Relationship Id="rId42" Type="http://schemas.openxmlformats.org/officeDocument/2006/relationships/hyperlink" Target="https://doi.org/10.3390/ijerph182412907" TargetMode="External" /><Relationship Id="rId47" Type="http://schemas.openxmlformats.org/officeDocument/2006/relationships/hyperlink" Target="https://doi.org/10.1136/bmjgh-2023-013317" TargetMode="External" /><Relationship Id="rId50" Type="http://schemas.openxmlformats.org/officeDocument/2006/relationships/hyperlink" Target="https://doi.org/10.1016/j.healthpol.2021.06.015" TargetMode="External" /><Relationship Id="rId55" Type="http://schemas.openxmlformats.org/officeDocument/2006/relationships/hyperlink" Target="https://corporatefinanceinstitute.com/resources/management/leadership-theories/" TargetMode="External" /><Relationship Id="rId63" Type="http://schemas.openxmlformats.org/officeDocument/2006/relationships/footer" Target="footer1.xml" /><Relationship Id="rId68" Type="http://schemas.openxmlformats.org/officeDocument/2006/relationships/theme" Target="theme/theme1.xml" /><Relationship Id="rId7" Type="http://schemas.openxmlformats.org/officeDocument/2006/relationships/image" Target="media/image1.jpeg" /><Relationship Id="rId2" Type="http://schemas.openxmlformats.org/officeDocument/2006/relationships/styles" Target="styles.xml" /><Relationship Id="rId16" Type="http://schemas.openxmlformats.org/officeDocument/2006/relationships/hyperlink" Target="https://doi.org/10.1049/wss2.12099" TargetMode="External" /><Relationship Id="rId29" Type="http://schemas.openxmlformats.org/officeDocument/2006/relationships/hyperlink" Target="https://doi.org/10.1080/01402382.2021.1873529"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513/annalsats.202004-317cme" TargetMode="External" /><Relationship Id="rId32" Type="http://schemas.openxmlformats.org/officeDocument/2006/relationships/hyperlink" Target="https://doi.org/10.1007/978-3-031-80422-9_18" TargetMode="External" /><Relationship Id="rId37" Type="http://schemas.openxmlformats.org/officeDocument/2006/relationships/hyperlink" Target="https://doi.org/10.1080/10670564.2021.1945741" TargetMode="External" /><Relationship Id="rId40" Type="http://schemas.openxmlformats.org/officeDocument/2006/relationships/hyperlink" Target="https://doi.org/10.1136/bmjopen-2021-053374" TargetMode="External" /><Relationship Id="rId45" Type="http://schemas.openxmlformats.org/officeDocument/2006/relationships/hyperlink" Target="https://doi.org/10.1186/s12889-024-19655-8" TargetMode="External" /><Relationship Id="rId53" Type="http://schemas.openxmlformats.org/officeDocument/2006/relationships/hyperlink" Target="https://doi.org/10.1186/s12913-023-10537-0" TargetMode="External" /><Relationship Id="rId58" Type="http://schemas.openxmlformats.org/officeDocument/2006/relationships/hyperlink" Target="https://karenferris.com/blog/2019/7/2/adaptive-leadership-diversity" TargetMode="External" /><Relationship Id="rId66"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doi.org/10.1071/ah20369" TargetMode="External" /><Relationship Id="rId28" Type="http://schemas.openxmlformats.org/officeDocument/2006/relationships/hyperlink" Target="https://doi.org/10.1038/s41562-021-01079-8" TargetMode="External" /><Relationship Id="rId36" Type="http://schemas.openxmlformats.org/officeDocument/2006/relationships/hyperlink" Target="https://doi.org/10.1111/1467-8551.12577" TargetMode="External" /><Relationship Id="rId49" Type="http://schemas.openxmlformats.org/officeDocument/2006/relationships/hyperlink" Target="https://doi.org/10.4324/9781003216926-5" TargetMode="External" /><Relationship Id="rId57" Type="http://schemas.openxmlformats.org/officeDocument/2006/relationships/hyperlink" Target="https://ebrary.net/176654/education/analytical_framework_aspects" TargetMode="External" /><Relationship Id="rId61" Type="http://schemas.openxmlformats.org/officeDocument/2006/relationships/header" Target="header1.xml" /><Relationship Id="rId10" Type="http://schemas.openxmlformats.org/officeDocument/2006/relationships/image" Target="media/image4.jpeg" /><Relationship Id="rId19" Type="http://schemas.openxmlformats.org/officeDocument/2006/relationships/hyperlink" Target="https://doi.org/10.1016/j.jclepro.2021.129644" TargetMode="External" /><Relationship Id="rId31" Type="http://schemas.openxmlformats.org/officeDocument/2006/relationships/hyperlink" Target="https://doi.org/10.3346/jkms.2025.40.e108" TargetMode="External" /><Relationship Id="rId44" Type="http://schemas.openxmlformats.org/officeDocument/2006/relationships/hyperlink" Target="https://doi.org/10.1002/hpm.3531" TargetMode="External" /><Relationship Id="rId52" Type="http://schemas.openxmlformats.org/officeDocument/2006/relationships/hyperlink" Target="https://doi.org/10.1016/j.healthpol.2021.02.011" TargetMode="External" /><Relationship Id="rId60" Type="http://schemas.openxmlformats.org/officeDocument/2006/relationships/hyperlink" Target="https://www150.statcan.gc.ca/n1/pub/11-631-x/11-631-x2022001-eng.htm" TargetMode="External" /><Relationship Id="rId65"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yperlink" Target="https://doi.org/10.3389/fpubh.2021.708496" TargetMode="External" /><Relationship Id="rId27" Type="http://schemas.openxmlformats.org/officeDocument/2006/relationships/hyperlink" Target="https://doi.org/10.1186/s12913-022-08859-6" TargetMode="External" /><Relationship Id="rId30" Type="http://schemas.openxmlformats.org/officeDocument/2006/relationships/hyperlink" Target="https://doi.org/10.1186/s40878-021-00247-z" TargetMode="External" /><Relationship Id="rId35" Type="http://schemas.openxmlformats.org/officeDocument/2006/relationships/hyperlink" Target="https://doi.org/10.2196/40946" TargetMode="External" /><Relationship Id="rId43" Type="http://schemas.openxmlformats.org/officeDocument/2006/relationships/hyperlink" Target="https://doi.org/10.1007/978-3-031-09230-5_7" TargetMode="External" /><Relationship Id="rId48" Type="http://schemas.openxmlformats.org/officeDocument/2006/relationships/hyperlink" Target="https://doi.org/10.2105/ajph.2021.306241" TargetMode="External" /><Relationship Id="rId56" Type="http://schemas.openxmlformats.org/officeDocument/2006/relationships/hyperlink" Target="https://www.disruptiveleadership.institute/crisis_model/" TargetMode="External" /><Relationship Id="rId64" Type="http://schemas.openxmlformats.org/officeDocument/2006/relationships/footer" Target="footer2.xml" /><Relationship Id="rId8" Type="http://schemas.openxmlformats.org/officeDocument/2006/relationships/image" Target="media/image2.png" /><Relationship Id="rId51" Type="http://schemas.openxmlformats.org/officeDocument/2006/relationships/hyperlink" Target="https://doi.org/10.1177/20539517221089294" TargetMode="External" /><Relationship Id="rId3" Type="http://schemas.openxmlformats.org/officeDocument/2006/relationships/settings" Target="settings.xml" /><Relationship Id="rId12" Type="http://schemas.openxmlformats.org/officeDocument/2006/relationships/image" Target="media/image6.png" /><Relationship Id="rId17" Type="http://schemas.openxmlformats.org/officeDocument/2006/relationships/hyperlink" Target="https://doi.org/10.1186/s12992-022-00805-9" TargetMode="External" /><Relationship Id="rId25" Type="http://schemas.openxmlformats.org/officeDocument/2006/relationships/hyperlink" Target="https://doi.org/10.1080/23311975.2021.1883221" TargetMode="External" /><Relationship Id="rId33" Type="http://schemas.openxmlformats.org/officeDocument/2006/relationships/hyperlink" Target="https://doi.org/10.1097/prs.0000000000008357" TargetMode="External" /><Relationship Id="rId38" Type="http://schemas.openxmlformats.org/officeDocument/2006/relationships/hyperlink" Target="https://doi.org/10.3389/fpubh.2023.1285552" TargetMode="External" /><Relationship Id="rId46" Type="http://schemas.openxmlformats.org/officeDocument/2006/relationships/hyperlink" Target="https://doi.org/10.1016/j.healthpol.2022.11.011" TargetMode="External" /><Relationship Id="rId59" Type="http://schemas.openxmlformats.org/officeDocument/2006/relationships/hyperlink" Target="https://doi.org/10.3389/fpubh.2021.726885" TargetMode="External" /><Relationship Id="rId67" Type="http://schemas.openxmlformats.org/officeDocument/2006/relationships/fontTable" Target="fontTable.xml" /><Relationship Id="rId20" Type="http://schemas.openxmlformats.org/officeDocument/2006/relationships/hyperlink" Target="https://doi.org/10.1007/978-3-030-70686-9_12" TargetMode="External" /><Relationship Id="rId41" Type="http://schemas.openxmlformats.org/officeDocument/2006/relationships/hyperlink" Target="https://doi.org/10.1080/13603124.2022.2052758" TargetMode="External" /><Relationship Id="rId54" Type="http://schemas.openxmlformats.org/officeDocument/2006/relationships/hyperlink" Target="https://doi.org/10.3390/urbansci9010008" TargetMode="External" /><Relationship Id="rId62"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C71FA-6240-4EF2-AA7D-430EABFE95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7554</Words>
  <Characters>43064</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2025-12-15T21:21:00Z</dcterms:created>
  <dcterms:modified xsi:type="dcterms:W3CDTF">2025-12-15T21:24:00Z</dcterms:modified>
</cp:coreProperties>
</file>