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5EBD4" w14:textId="2FD16345" w:rsidR="009F0756" w:rsidRDefault="009F0756" w:rsidP="009F0756">
      <w:pPr>
        <w:rPr>
          <w:rFonts w:ascii="Arial" w:hAnsi="Arial" w:cs="Arial"/>
          <w:b/>
          <w:bCs/>
        </w:rPr>
      </w:pPr>
      <w:r>
        <w:rPr>
          <w:rFonts w:ascii="Arial" w:hAnsi="Arial" w:cs="Arial"/>
          <w:b/>
          <w:bCs/>
        </w:rPr>
        <w:t>Critical literature review</w:t>
      </w:r>
    </w:p>
    <w:p w14:paraId="36F4D46C" w14:textId="77777777" w:rsidR="009F0756" w:rsidRPr="008759E3" w:rsidRDefault="009F0756" w:rsidP="009F0756">
      <w:pPr>
        <w:rPr>
          <w:rFonts w:ascii="Arial" w:hAnsi="Arial" w:cs="Arial"/>
        </w:rPr>
      </w:pPr>
      <w:r w:rsidRPr="008759E3">
        <w:rPr>
          <w:rFonts w:ascii="Arial" w:hAnsi="Arial" w:cs="Arial"/>
          <w:b/>
          <w:bCs/>
        </w:rPr>
        <w:t>Basic Acknowledgement format of AI tool use:</w:t>
      </w:r>
    </w:p>
    <w:p w14:paraId="6985F3BF" w14:textId="77777777" w:rsidR="009F0756" w:rsidRPr="008759E3" w:rsidRDefault="009F0756" w:rsidP="009F0756">
      <w:pPr>
        <w:rPr>
          <w:rFonts w:ascii="Arial" w:hAnsi="Arial" w:cs="Arial"/>
        </w:rPr>
      </w:pPr>
      <w:r w:rsidRPr="008759E3">
        <w:rPr>
          <w:rFonts w:ascii="Arial" w:hAnsi="Arial" w:cs="Arial"/>
        </w:rPr>
        <w:br/>
        <w:t xml:space="preserve">I acknowledge the use of </w:t>
      </w:r>
      <w:r>
        <w:rPr>
          <w:rFonts w:ascii="Arial" w:hAnsi="Arial" w:cs="Arial"/>
        </w:rPr>
        <w:t>copilot</w:t>
      </w:r>
      <w:r w:rsidRPr="008759E3">
        <w:rPr>
          <w:rFonts w:ascii="Arial" w:hAnsi="Arial" w:cs="Arial"/>
        </w:rPr>
        <w:t xml:space="preserve"> </w:t>
      </w:r>
      <w:r>
        <w:rPr>
          <w:rFonts w:ascii="Arial" w:hAnsi="Arial" w:cs="Arial"/>
        </w:rPr>
        <w:t xml:space="preserve">which is available at </w:t>
      </w:r>
      <w:r w:rsidRPr="0033303B">
        <w:rPr>
          <w:rFonts w:ascii="Arial" w:hAnsi="Arial" w:cs="Arial"/>
        </w:rPr>
        <w:t>https://copilot.cloud.microsoft/</w:t>
      </w:r>
      <w:r w:rsidRPr="008759E3">
        <w:rPr>
          <w:rFonts w:ascii="Arial" w:hAnsi="Arial" w:cs="Arial"/>
        </w:rPr>
        <w:t xml:space="preserve"> to </w:t>
      </w:r>
      <w:r>
        <w:rPr>
          <w:rFonts w:ascii="Arial" w:hAnsi="Arial" w:cs="Arial"/>
        </w:rPr>
        <w:t>proofread my reference list</w:t>
      </w:r>
      <w:r w:rsidRPr="008759E3">
        <w:rPr>
          <w:rFonts w:ascii="Arial" w:hAnsi="Arial" w:cs="Arial"/>
        </w:rPr>
        <w:t>. </w:t>
      </w:r>
    </w:p>
    <w:p w14:paraId="52E4CF49" w14:textId="77777777" w:rsidR="009F0756" w:rsidRPr="008759E3" w:rsidRDefault="009F0756" w:rsidP="009F0756">
      <w:pPr>
        <w:rPr>
          <w:rFonts w:ascii="Arial" w:hAnsi="Arial" w:cs="Arial"/>
        </w:rPr>
      </w:pPr>
      <w:r w:rsidRPr="008759E3">
        <w:rPr>
          <w:rFonts w:ascii="Arial" w:hAnsi="Arial" w:cs="Arial"/>
        </w:rPr>
        <w:t>I used the prompt(s): </w:t>
      </w:r>
    </w:p>
    <w:p w14:paraId="2EF108C0" w14:textId="1CD3B880" w:rsidR="009F0756" w:rsidRDefault="009F0756" w:rsidP="009F0756">
      <w:pPr>
        <w:rPr>
          <w:rFonts w:ascii="Arial" w:hAnsi="Arial" w:cs="Arial"/>
        </w:rPr>
      </w:pPr>
      <w:r w:rsidRPr="008759E3">
        <w:rPr>
          <w:rFonts w:ascii="Arial" w:hAnsi="Arial" w:cs="Arial"/>
        </w:rPr>
        <w:br/>
        <w:t> 1. P</w:t>
      </w:r>
      <w:r>
        <w:rPr>
          <w:rFonts w:ascii="Arial" w:hAnsi="Arial" w:cs="Arial"/>
        </w:rPr>
        <w:t>lease put this reference list in alphabetical order</w:t>
      </w:r>
    </w:p>
    <w:p w14:paraId="2678AFBA" w14:textId="77777777" w:rsidR="0028217D" w:rsidRDefault="0028217D" w:rsidP="009F0756">
      <w:pPr>
        <w:rPr>
          <w:rFonts w:ascii="Arial" w:hAnsi="Arial" w:cs="Arial"/>
        </w:rPr>
      </w:pPr>
    </w:p>
    <w:p w14:paraId="218639AF" w14:textId="0F1151B8" w:rsidR="00CB644E" w:rsidRDefault="0028217D" w:rsidP="009F0756">
      <w:pPr>
        <w:rPr>
          <w:rFonts w:ascii="Arial" w:hAnsi="Arial" w:cs="Arial"/>
        </w:rPr>
      </w:pPr>
      <w:r w:rsidRPr="008759E3">
        <w:rPr>
          <w:rFonts w:ascii="Arial" w:hAnsi="Arial" w:cs="Arial"/>
        </w:rPr>
        <w:t xml:space="preserve">I acknowledge the use of </w:t>
      </w:r>
      <w:r>
        <w:rPr>
          <w:rFonts w:ascii="Arial" w:hAnsi="Arial" w:cs="Arial"/>
        </w:rPr>
        <w:t>copilot</w:t>
      </w:r>
      <w:r w:rsidRPr="008759E3">
        <w:rPr>
          <w:rFonts w:ascii="Arial" w:hAnsi="Arial" w:cs="Arial"/>
        </w:rPr>
        <w:t xml:space="preserve"> </w:t>
      </w:r>
      <w:r>
        <w:rPr>
          <w:rFonts w:ascii="Arial" w:hAnsi="Arial" w:cs="Arial"/>
        </w:rPr>
        <w:t xml:space="preserve">which is available at </w:t>
      </w:r>
      <w:r w:rsidRPr="0033303B">
        <w:rPr>
          <w:rFonts w:ascii="Arial" w:hAnsi="Arial" w:cs="Arial"/>
        </w:rPr>
        <w:t>https://copilot.cloud.microsoft/</w:t>
      </w:r>
      <w:r w:rsidRPr="008759E3">
        <w:rPr>
          <w:rFonts w:ascii="Arial" w:hAnsi="Arial" w:cs="Arial"/>
        </w:rPr>
        <w:t xml:space="preserve"> to </w:t>
      </w:r>
      <w:r>
        <w:rPr>
          <w:rFonts w:ascii="Arial" w:hAnsi="Arial" w:cs="Arial"/>
        </w:rPr>
        <w:t>proofread my positionality statement</w:t>
      </w:r>
    </w:p>
    <w:p w14:paraId="0E4D5183" w14:textId="77777777" w:rsidR="007B2B1B" w:rsidRPr="008759E3" w:rsidRDefault="007B2B1B" w:rsidP="007B2B1B">
      <w:pPr>
        <w:rPr>
          <w:rFonts w:ascii="Arial" w:hAnsi="Arial" w:cs="Arial"/>
        </w:rPr>
      </w:pPr>
      <w:r w:rsidRPr="008759E3">
        <w:rPr>
          <w:rFonts w:ascii="Arial" w:hAnsi="Arial" w:cs="Arial"/>
        </w:rPr>
        <w:t>I used the prompt(s): </w:t>
      </w:r>
    </w:p>
    <w:p w14:paraId="0C9A1611" w14:textId="666D3D7E" w:rsidR="007B2B1B" w:rsidRDefault="007B2B1B" w:rsidP="007B2B1B">
      <w:pPr>
        <w:pStyle w:val="ListParagraph"/>
        <w:numPr>
          <w:ilvl w:val="0"/>
          <w:numId w:val="1"/>
        </w:numPr>
        <w:rPr>
          <w:rFonts w:ascii="Arial" w:hAnsi="Arial" w:cs="Arial"/>
        </w:rPr>
      </w:pPr>
      <w:r>
        <w:rPr>
          <w:rFonts w:ascii="Arial" w:hAnsi="Arial" w:cs="Arial"/>
        </w:rPr>
        <w:t>Help me with this positionality statement</w:t>
      </w:r>
      <w:r w:rsidR="00AD17C9">
        <w:rPr>
          <w:rFonts w:ascii="Arial" w:hAnsi="Arial" w:cs="Arial"/>
        </w:rPr>
        <w:t>. It’s for a critical literature review.</w:t>
      </w:r>
    </w:p>
    <w:p w14:paraId="737AEE2F" w14:textId="77777777" w:rsidR="00C54E50" w:rsidRDefault="00C54E50" w:rsidP="00AD17C9">
      <w:pPr>
        <w:rPr>
          <w:rFonts w:ascii="Arial" w:hAnsi="Arial" w:cs="Arial"/>
        </w:rPr>
      </w:pPr>
    </w:p>
    <w:p w14:paraId="4559F1BC" w14:textId="2CBD4132" w:rsidR="00AD17C9" w:rsidRPr="00AD17C9" w:rsidRDefault="00AD17C9" w:rsidP="00AD17C9">
      <w:pPr>
        <w:rPr>
          <w:rFonts w:ascii="Arial" w:hAnsi="Arial" w:cs="Arial"/>
        </w:rPr>
      </w:pPr>
      <w:r>
        <w:rPr>
          <w:rFonts w:ascii="Arial" w:hAnsi="Arial" w:cs="Arial"/>
        </w:rPr>
        <w:t xml:space="preserve">I used </w:t>
      </w:r>
      <w:r w:rsidR="004A718D">
        <w:rPr>
          <w:rFonts w:ascii="Arial" w:hAnsi="Arial" w:cs="Arial"/>
        </w:rPr>
        <w:t>the free version of ‘grammarly’ which is installed on my laptop</w:t>
      </w:r>
      <w:r w:rsidR="00C54E50">
        <w:rPr>
          <w:rFonts w:ascii="Arial" w:hAnsi="Arial" w:cs="Arial"/>
        </w:rPr>
        <w:t xml:space="preserve"> to help identify any spelling errors</w:t>
      </w:r>
    </w:p>
    <w:p w14:paraId="6FE9706F" w14:textId="77777777" w:rsidR="009F0756" w:rsidRPr="008759E3" w:rsidRDefault="009F0756" w:rsidP="009F0756">
      <w:pPr>
        <w:rPr>
          <w:rFonts w:ascii="Arial" w:hAnsi="Arial" w:cs="Arial"/>
        </w:rPr>
      </w:pPr>
      <w:r w:rsidRPr="008759E3">
        <w:rPr>
          <w:rFonts w:ascii="Arial" w:hAnsi="Arial" w:cs="Arial"/>
        </w:rPr>
        <w:br/>
        <w:t>I confirm that I have not presented any AI generated text as my own work</w:t>
      </w:r>
    </w:p>
    <w:p w14:paraId="698B457D" w14:textId="77777777" w:rsidR="009F0756" w:rsidRDefault="009F0756" w:rsidP="009F0756">
      <w:pPr>
        <w:rPr>
          <w:rFonts w:ascii="Arial" w:hAnsi="Arial" w:cs="Arial"/>
        </w:rPr>
      </w:pPr>
      <w:r w:rsidRPr="008759E3">
        <w:rPr>
          <w:rFonts w:ascii="Arial" w:hAnsi="Arial" w:cs="Arial"/>
        </w:rPr>
        <w:br/>
        <w:t>I confirm I have copies of my drafts, notes, and other resources I used before, and after the use of AI tools which I may be asked to provide in evidence</w:t>
      </w:r>
    </w:p>
    <w:p w14:paraId="1EF5AD4B" w14:textId="77777777" w:rsidR="009F0756" w:rsidRDefault="009F0756" w:rsidP="009F0756">
      <w:pPr>
        <w:rPr>
          <w:rFonts w:ascii="Arial" w:hAnsi="Arial" w:cs="Arial"/>
        </w:rPr>
      </w:pPr>
    </w:p>
    <w:p w14:paraId="5205EAC4" w14:textId="52C6B320" w:rsidR="009F0756" w:rsidRPr="00F6151C" w:rsidRDefault="009F0756" w:rsidP="009F0756">
      <w:pPr>
        <w:rPr>
          <w:rFonts w:ascii="Arial" w:hAnsi="Arial" w:cs="Arial"/>
          <w:b/>
          <w:bCs/>
        </w:rPr>
      </w:pPr>
      <w:r w:rsidRPr="00F6151C">
        <w:rPr>
          <w:rFonts w:ascii="Arial" w:hAnsi="Arial" w:cs="Arial"/>
          <w:b/>
          <w:bCs/>
        </w:rPr>
        <w:t>P</w:t>
      </w:r>
      <w:r w:rsidR="0028217D">
        <w:rPr>
          <w:rFonts w:ascii="Arial" w:hAnsi="Arial" w:cs="Arial"/>
          <w:b/>
          <w:bCs/>
        </w:rPr>
        <w:t>oster</w:t>
      </w:r>
    </w:p>
    <w:p w14:paraId="480C36D9" w14:textId="3A6A8029" w:rsidR="009F0756" w:rsidRPr="008759E3" w:rsidRDefault="009F0756" w:rsidP="009F0756">
      <w:pPr>
        <w:rPr>
          <w:rFonts w:ascii="Arial" w:hAnsi="Arial" w:cs="Arial"/>
        </w:rPr>
      </w:pPr>
      <w:r>
        <w:rPr>
          <w:rFonts w:ascii="Arial" w:hAnsi="Arial" w:cs="Arial"/>
        </w:rPr>
        <w:t>I did not use AI for this work</w:t>
      </w:r>
      <w:r w:rsidR="0028217D">
        <w:rPr>
          <w:rFonts w:ascii="Arial" w:hAnsi="Arial" w:cs="Arial"/>
        </w:rPr>
        <w:t xml:space="preserve"> other than a </w:t>
      </w:r>
      <w:r w:rsidR="007B2B1B">
        <w:rPr>
          <w:rFonts w:ascii="Arial" w:hAnsi="Arial" w:cs="Arial"/>
        </w:rPr>
        <w:t>template</w:t>
      </w:r>
    </w:p>
    <w:p w14:paraId="17A0EDEA" w14:textId="77777777" w:rsidR="009F0756" w:rsidRDefault="009F0756" w:rsidP="009F0756">
      <w:pPr>
        <w:rPr>
          <w:rFonts w:ascii="Arial" w:hAnsi="Arial" w:cs="Arial"/>
        </w:rPr>
      </w:pPr>
    </w:p>
    <w:p w14:paraId="4C959F79" w14:textId="77777777" w:rsidR="00D45615" w:rsidRPr="0066192D" w:rsidRDefault="00D45615" w:rsidP="00D45615">
      <w:pPr>
        <w:rPr>
          <w:rFonts w:ascii="Arial" w:hAnsi="Arial" w:cs="Arial"/>
          <w:b/>
          <w:bCs/>
          <w:sz w:val="24"/>
          <w:szCs w:val="24"/>
          <w:u w:val="single"/>
        </w:rPr>
      </w:pPr>
      <w:r w:rsidRPr="0066192D">
        <w:rPr>
          <w:rFonts w:ascii="Arial" w:hAnsi="Arial" w:cs="Arial"/>
          <w:b/>
          <w:bCs/>
          <w:sz w:val="24"/>
          <w:szCs w:val="24"/>
          <w:u w:val="single"/>
        </w:rPr>
        <w:t>A critical literature review: Supporting young children to be capable through the lens of the curriculum for funded non-maintained nursery settings</w:t>
      </w:r>
    </w:p>
    <w:p w14:paraId="2313B25C" w14:textId="77777777" w:rsidR="00D45615" w:rsidRPr="0066192D" w:rsidRDefault="00D45615" w:rsidP="00D45615">
      <w:pPr>
        <w:rPr>
          <w:rFonts w:ascii="Arial" w:hAnsi="Arial" w:cs="Arial"/>
          <w:b/>
          <w:bCs/>
          <w:sz w:val="24"/>
          <w:szCs w:val="24"/>
          <w:u w:val="single"/>
        </w:rPr>
      </w:pPr>
      <w:r w:rsidRPr="0066192D">
        <w:rPr>
          <w:rFonts w:ascii="Arial" w:hAnsi="Arial" w:cs="Arial"/>
          <w:b/>
          <w:bCs/>
          <w:sz w:val="24"/>
          <w:szCs w:val="24"/>
          <w:u w:val="single"/>
        </w:rPr>
        <w:t>Positionality</w:t>
      </w:r>
    </w:p>
    <w:p w14:paraId="45AE3F40" w14:textId="77777777" w:rsidR="00D45615" w:rsidRPr="0066192D" w:rsidRDefault="00D45615" w:rsidP="00D45615">
      <w:pPr>
        <w:rPr>
          <w:rFonts w:ascii="Arial" w:hAnsi="Arial" w:cs="Arial"/>
          <w:sz w:val="24"/>
          <w:szCs w:val="24"/>
        </w:rPr>
      </w:pPr>
      <w:r w:rsidRPr="0066192D">
        <w:rPr>
          <w:rFonts w:ascii="Arial" w:hAnsi="Arial" w:cs="Arial"/>
          <w:sz w:val="24"/>
          <w:szCs w:val="24"/>
        </w:rPr>
        <w:t>My professional and personal journey has been deeply rooted in early childhood education, social equity, and child-centred pedagogies. As a resident of a socioeconomically deprived area, I bring a lived understanding of the challenges faced by communities that experience marginalisation, limited access to resources, and systemic disadvantage. This lived experience significantly shaped my awareness of social justice issues and fuels my commitment to ensuring equitable access to high-quality early years provision for all children, regardless of background or circumstance.</w:t>
      </w:r>
    </w:p>
    <w:p w14:paraId="48BD4D32" w14:textId="77777777" w:rsidR="00D45615" w:rsidRPr="0066192D" w:rsidRDefault="00D45615" w:rsidP="00D45615">
      <w:pPr>
        <w:rPr>
          <w:rFonts w:ascii="Arial" w:hAnsi="Arial" w:cs="Arial"/>
          <w:sz w:val="24"/>
          <w:szCs w:val="24"/>
        </w:rPr>
      </w:pPr>
      <w:r w:rsidRPr="0066192D">
        <w:rPr>
          <w:rFonts w:ascii="Arial" w:hAnsi="Arial" w:cs="Arial"/>
          <w:sz w:val="24"/>
          <w:szCs w:val="24"/>
        </w:rPr>
        <w:t xml:space="preserve">Professionally, I work as a Flying Start Advisory Teacher and support the childcare practitioners in Blaenau Gwent to provide high-quality provision so that children can </w:t>
      </w:r>
      <w:r w:rsidRPr="0066192D">
        <w:rPr>
          <w:rFonts w:ascii="Arial" w:hAnsi="Arial" w:cs="Arial"/>
          <w:sz w:val="24"/>
          <w:szCs w:val="24"/>
        </w:rPr>
        <w:lastRenderedPageBreak/>
        <w:t>have the best start in life. I also serve as a registered nursery inspector with Estyn, Wales's education and training inspectorate. This role affords me a comprehensive overview of educational practice across diverse settings and communities, as well as a deep appreciation for the policies and standards that govern quality and equity in early years education. My role requires a critical yet compassionate lens, balancing accountability with a recognition of the contextual factors influencing provision.</w:t>
      </w:r>
    </w:p>
    <w:p w14:paraId="214753ED" w14:textId="77777777" w:rsidR="00D45615" w:rsidRPr="0066192D" w:rsidRDefault="00D45615" w:rsidP="00D45615">
      <w:pPr>
        <w:rPr>
          <w:rFonts w:ascii="Arial" w:hAnsi="Arial" w:cs="Arial"/>
          <w:sz w:val="24"/>
          <w:szCs w:val="24"/>
        </w:rPr>
      </w:pPr>
      <w:r w:rsidRPr="0066192D">
        <w:rPr>
          <w:rFonts w:ascii="Arial" w:hAnsi="Arial" w:cs="Arial"/>
          <w:sz w:val="24"/>
          <w:szCs w:val="24"/>
        </w:rPr>
        <w:t>My practice is underpinned by Froebelian principles, particularly the belief in the holistic development of the child, the importance of play, and the value of relationships and community. As a Froebelian practitioner, I see children as competent, curious, and capable individuals whose rights, voices, and agency must be honoured. I believe that education should nurture children's potential through respectful environments, enabling, and rooted in trust.</w:t>
      </w:r>
    </w:p>
    <w:p w14:paraId="486B7FFE" w14:textId="3DEA05CC" w:rsidR="00D45615" w:rsidRPr="0066192D" w:rsidRDefault="00D45615" w:rsidP="00D45615">
      <w:pPr>
        <w:rPr>
          <w:rFonts w:ascii="Arial" w:hAnsi="Arial" w:cs="Arial"/>
          <w:sz w:val="24"/>
          <w:szCs w:val="24"/>
        </w:rPr>
      </w:pPr>
      <w:r w:rsidRPr="0066192D">
        <w:rPr>
          <w:rFonts w:ascii="Arial" w:hAnsi="Arial" w:cs="Arial"/>
          <w:sz w:val="24"/>
          <w:szCs w:val="24"/>
        </w:rPr>
        <w:t xml:space="preserve">During my secondment to the Welsh Government, I had the privilege of co-authoring the </w:t>
      </w:r>
      <w:r w:rsidR="00BD3B31" w:rsidRPr="0066192D">
        <w:rPr>
          <w:rFonts w:ascii="Arial" w:hAnsi="Arial" w:cs="Arial"/>
          <w:sz w:val="24"/>
          <w:szCs w:val="24"/>
        </w:rPr>
        <w:t>C</w:t>
      </w:r>
      <w:r w:rsidRPr="0066192D">
        <w:rPr>
          <w:rFonts w:ascii="Arial" w:hAnsi="Arial" w:cs="Arial"/>
          <w:sz w:val="24"/>
          <w:szCs w:val="24"/>
        </w:rPr>
        <w:t>urriculum for Funded Non-Maintained Nursery Settings (</w:t>
      </w:r>
      <w:r w:rsidR="00BD3B31" w:rsidRPr="0066192D">
        <w:rPr>
          <w:rFonts w:ascii="Arial" w:hAnsi="Arial" w:cs="Arial"/>
          <w:sz w:val="24"/>
          <w:szCs w:val="24"/>
        </w:rPr>
        <w:t>the curriculum</w:t>
      </w:r>
      <w:r w:rsidRPr="0066192D">
        <w:rPr>
          <w:rFonts w:ascii="Arial" w:hAnsi="Arial" w:cs="Arial"/>
          <w:sz w:val="24"/>
          <w:szCs w:val="24"/>
        </w:rPr>
        <w:t>) and the associated assessment arrangements. This experience broadened my perspective on national policymaking and deepened my resolve to advocate for pedagogical approaches that are inclusive, developmentally appropriate, and reflective of children's diverse contexts. It also strengthened my belief in the importance of a practitioner's voice in policy development and implementation.</w:t>
      </w:r>
    </w:p>
    <w:p w14:paraId="5F1A0565" w14:textId="77777777" w:rsidR="00D45615" w:rsidRPr="0066192D" w:rsidRDefault="00D45615" w:rsidP="00D45615">
      <w:pPr>
        <w:rPr>
          <w:rFonts w:ascii="Arial" w:hAnsi="Arial" w:cs="Arial"/>
          <w:sz w:val="24"/>
          <w:szCs w:val="24"/>
        </w:rPr>
      </w:pPr>
      <w:r w:rsidRPr="0066192D">
        <w:rPr>
          <w:rFonts w:ascii="Arial" w:hAnsi="Arial" w:cs="Arial"/>
          <w:sz w:val="24"/>
          <w:szCs w:val="24"/>
        </w:rPr>
        <w:t>A core belief that informs my practice is that children should be trusted. This fundamental value is reflected in every aspect of my work—from how I interact with children, to how I support practitioners, to how I contribute to policy. Trusting children means believing in their capabilities, respecting their choices, and providing them with the emotional security and relational consistency they need to thrive.</w:t>
      </w:r>
    </w:p>
    <w:p w14:paraId="044DD088" w14:textId="77777777" w:rsidR="00D45615" w:rsidRPr="0066192D" w:rsidRDefault="00D45615" w:rsidP="00D45615">
      <w:pPr>
        <w:rPr>
          <w:rFonts w:ascii="Arial" w:hAnsi="Arial" w:cs="Arial"/>
          <w:sz w:val="24"/>
          <w:szCs w:val="24"/>
        </w:rPr>
      </w:pPr>
      <w:r w:rsidRPr="0066192D">
        <w:rPr>
          <w:rFonts w:ascii="Arial" w:hAnsi="Arial" w:cs="Arial"/>
          <w:sz w:val="24"/>
          <w:szCs w:val="24"/>
        </w:rPr>
        <w:t>As a certified Circle of Security practitioner, I am committed to supporting secure attachment relationships and promoting emotional well-being in early years settings. I understand that children's behaviours are meaningful expressions of need, and I strive to help caregivers and educators respond with sensitivity, reflection, and care. This aligns with my broader belief that nurturing relationships form the foundation of all effective pedagogy and that educators must be emotionally available and attuned to each child's needs.</w:t>
      </w:r>
    </w:p>
    <w:p w14:paraId="3845A6E8" w14:textId="77777777" w:rsidR="00D45615" w:rsidRPr="0066192D" w:rsidRDefault="00D45615" w:rsidP="00D45615">
      <w:pPr>
        <w:rPr>
          <w:rFonts w:ascii="Arial" w:hAnsi="Arial" w:cs="Arial"/>
          <w:sz w:val="24"/>
          <w:szCs w:val="24"/>
        </w:rPr>
      </w:pPr>
      <w:r w:rsidRPr="0066192D">
        <w:rPr>
          <w:rFonts w:ascii="Arial" w:hAnsi="Arial" w:cs="Arial"/>
          <w:sz w:val="24"/>
          <w:szCs w:val="24"/>
        </w:rPr>
        <w:t>In all my roles—inspector, practitioner, policy contributor, and community member—I approach issues with a relational, child-centred, and equity-driven lens. I am guided by a belief in dignity, trust, respect, and the inherent value of every child. My positionality, informed by both personal and professional experience, compels me to challenge deficit narratives, advocate for inclusive practices, and work toward systems that empower children, families, and educators alike.</w:t>
      </w:r>
    </w:p>
    <w:p w14:paraId="573AB8C6" w14:textId="03A82782" w:rsidR="000B7833" w:rsidRPr="000B7833" w:rsidRDefault="000B7833" w:rsidP="000B7833">
      <w:pPr>
        <w:rPr>
          <w:rFonts w:ascii="Arial" w:hAnsi="Arial" w:cs="Arial"/>
          <w:sz w:val="24"/>
          <w:szCs w:val="24"/>
        </w:rPr>
      </w:pPr>
      <w:r w:rsidRPr="000B7833">
        <w:rPr>
          <w:rFonts w:ascii="Arial" w:hAnsi="Arial" w:cs="Arial"/>
          <w:b/>
          <w:bCs/>
          <w:sz w:val="24"/>
          <w:szCs w:val="24"/>
        </w:rPr>
        <w:t>Context</w:t>
      </w:r>
      <w:r w:rsidRPr="000B7833">
        <w:rPr>
          <w:rFonts w:ascii="Arial" w:hAnsi="Arial" w:cs="Arial"/>
          <w:sz w:val="24"/>
          <w:szCs w:val="24"/>
        </w:rPr>
        <w:br/>
        <w:t xml:space="preserve">This literature review will use the lens of </w:t>
      </w:r>
      <w:r w:rsidRPr="000B7833">
        <w:rPr>
          <w:rFonts w:ascii="Arial" w:hAnsi="Arial" w:cs="Arial"/>
          <w:i/>
          <w:iCs/>
          <w:sz w:val="24"/>
          <w:szCs w:val="24"/>
        </w:rPr>
        <w:t>A Curriculum for Funded Non-Maintained Nursery Settings</w:t>
      </w:r>
      <w:r w:rsidRPr="000B7833">
        <w:rPr>
          <w:rFonts w:ascii="Arial" w:hAnsi="Arial" w:cs="Arial"/>
          <w:sz w:val="24"/>
          <w:szCs w:val="24"/>
        </w:rPr>
        <w:t xml:space="preserve"> (Welsh Government, 2022) to evaluate literature relating to the support of young children, particularly in viewing them as capable and fully capable of learning. The review focuses on three approaches to early education and care: the Reggio Emilia approach, the Froebelian principles, and Forest Schools. These three </w:t>
      </w:r>
      <w:r w:rsidRPr="000B7833">
        <w:rPr>
          <w:rFonts w:ascii="Arial" w:hAnsi="Arial" w:cs="Arial"/>
          <w:sz w:val="24"/>
          <w:szCs w:val="24"/>
        </w:rPr>
        <w:lastRenderedPageBreak/>
        <w:t>approaches were chosen because they share many overlaps. Tina Bruce describes Friedrich Froebel as the inventor of kindergarten, and Ryan (2025) suggests that Froebel's work—</w:t>
      </w:r>
      <w:r w:rsidRPr="000B7833">
        <w:rPr>
          <w:rFonts w:ascii="Arial" w:hAnsi="Arial" w:cs="Arial"/>
          <w:i/>
          <w:iCs/>
          <w:sz w:val="24"/>
          <w:szCs w:val="24"/>
        </w:rPr>
        <w:t>The Pioneer of Early Childhood Education</w:t>
      </w:r>
      <w:r w:rsidRPr="000B7833">
        <w:rPr>
          <w:rFonts w:ascii="Arial" w:hAnsi="Arial" w:cs="Arial"/>
          <w:sz w:val="24"/>
          <w:szCs w:val="24"/>
        </w:rPr>
        <w:t xml:space="preserve">—had a significant influence on Loris Malaguzzi, who established the progressive educational approach in Reggio Emilia. While the Forest School approach and the Froebelian approach differ in some </w:t>
      </w:r>
      <w:r w:rsidR="00682C61" w:rsidRPr="0066192D">
        <w:rPr>
          <w:rFonts w:ascii="Arial" w:hAnsi="Arial" w:cs="Arial"/>
          <w:sz w:val="24"/>
          <w:szCs w:val="24"/>
        </w:rPr>
        <w:t>respects</w:t>
      </w:r>
      <w:r w:rsidRPr="000B7833">
        <w:rPr>
          <w:rFonts w:ascii="Arial" w:hAnsi="Arial" w:cs="Arial"/>
          <w:sz w:val="24"/>
          <w:szCs w:val="24"/>
        </w:rPr>
        <w:t>, they share many similarities, particularly in valuing principle-led pedagogy, with a focus on children’s freedom to learn, play, and build connections with nature (Bullard, 2022).</w:t>
      </w:r>
    </w:p>
    <w:p w14:paraId="02CF5681" w14:textId="23CE5818" w:rsidR="000B7833" w:rsidRPr="000B7833" w:rsidRDefault="000B7833" w:rsidP="000B7833">
      <w:pPr>
        <w:rPr>
          <w:rFonts w:ascii="Arial" w:hAnsi="Arial" w:cs="Arial"/>
          <w:sz w:val="24"/>
          <w:szCs w:val="24"/>
        </w:rPr>
      </w:pPr>
      <w:r w:rsidRPr="000B7833">
        <w:rPr>
          <w:rFonts w:ascii="Arial" w:hAnsi="Arial" w:cs="Arial"/>
          <w:sz w:val="24"/>
          <w:szCs w:val="24"/>
        </w:rPr>
        <w:t xml:space="preserve">The parameters used for this review are ‘the environment’, ‘experiences, namely play’, and ‘adult </w:t>
      </w:r>
      <w:r w:rsidR="00682C61" w:rsidRPr="0066192D">
        <w:rPr>
          <w:rFonts w:ascii="Arial" w:hAnsi="Arial" w:cs="Arial"/>
          <w:sz w:val="24"/>
          <w:szCs w:val="24"/>
        </w:rPr>
        <w:t>perceptions’</w:t>
      </w:r>
      <w:r w:rsidRPr="000B7833">
        <w:rPr>
          <w:rFonts w:ascii="Arial" w:hAnsi="Arial" w:cs="Arial"/>
          <w:sz w:val="24"/>
          <w:szCs w:val="24"/>
        </w:rPr>
        <w:t>. These parameters were chosen because they align with current messaging in the suite of documents published by the Welsh Government to support effective early years practice and pedagogy.</w:t>
      </w:r>
      <w:r w:rsidRPr="000B7833">
        <w:rPr>
          <w:rFonts w:ascii="Arial" w:hAnsi="Arial" w:cs="Arial"/>
          <w:sz w:val="24"/>
          <w:szCs w:val="24"/>
        </w:rPr>
        <w:br/>
        <w:t>The review does not engage with other approaches that also view the child as capable, such as the Leonardo Effect, The Curiosity Approach, Anji Play, and Montessori. This was beyond the scope of the word count and would have resulted in a review that is too broad, lacking depth and criticality.</w:t>
      </w:r>
    </w:p>
    <w:p w14:paraId="67364CC8" w14:textId="5BEFBFE6" w:rsidR="000B7833" w:rsidRPr="000B7833" w:rsidRDefault="000B7833" w:rsidP="000B7833">
      <w:pPr>
        <w:rPr>
          <w:rFonts w:ascii="Arial" w:hAnsi="Arial" w:cs="Arial"/>
          <w:sz w:val="24"/>
          <w:szCs w:val="24"/>
        </w:rPr>
      </w:pPr>
      <w:r w:rsidRPr="000B7833">
        <w:rPr>
          <w:rFonts w:ascii="Arial" w:hAnsi="Arial" w:cs="Arial"/>
          <w:sz w:val="24"/>
          <w:szCs w:val="24"/>
        </w:rPr>
        <w:t xml:space="preserve">In the future, I hope to explore the feminist argument that much of the workforce in early years education is made up of working-class women, and how childcare is often not regarded as ‘real work’. This idea was first raised by McMahon (2016) in her thesis </w:t>
      </w:r>
      <w:r w:rsidRPr="000B7833">
        <w:rPr>
          <w:rFonts w:ascii="Arial" w:hAnsi="Arial" w:cs="Arial"/>
          <w:i/>
          <w:iCs/>
          <w:sz w:val="24"/>
          <w:szCs w:val="24"/>
        </w:rPr>
        <w:t>Early Years Professional Status: A Narrative Study of Leadership and Contradictory Professionalism</w:t>
      </w:r>
      <w:r w:rsidRPr="000B7833">
        <w:rPr>
          <w:rFonts w:ascii="Arial" w:hAnsi="Arial" w:cs="Arial"/>
          <w:sz w:val="24"/>
          <w:szCs w:val="24"/>
        </w:rPr>
        <w:t>, where she explores arguments that women have historically been positioned to hold domestic and childcare duties. As a result, working in childcare settings for low pay is often seen as women’s work. This concept deeply resonated with me and provided a new lens through which to view the current issues faced by the childcare sector</w:t>
      </w:r>
      <w:r w:rsidR="007D0CFA" w:rsidRPr="0066192D">
        <w:rPr>
          <w:rFonts w:ascii="Arial" w:hAnsi="Arial" w:cs="Arial"/>
          <w:sz w:val="24"/>
          <w:szCs w:val="24"/>
        </w:rPr>
        <w:t xml:space="preserve"> </w:t>
      </w:r>
      <w:r w:rsidR="007D0CFA" w:rsidRPr="000B7833">
        <w:rPr>
          <w:rFonts w:ascii="Arial" w:hAnsi="Arial" w:cs="Arial"/>
          <w:sz w:val="24"/>
          <w:szCs w:val="24"/>
        </w:rPr>
        <w:t>including recruitment and retention, as well as sector funding</w:t>
      </w:r>
      <w:r w:rsidRPr="000B7833">
        <w:rPr>
          <w:rFonts w:ascii="Arial" w:hAnsi="Arial" w:cs="Arial"/>
          <w:sz w:val="24"/>
          <w:szCs w:val="24"/>
        </w:rPr>
        <w:t>. However, these discussions, while related, are beyond the scope of this review.</w:t>
      </w:r>
    </w:p>
    <w:p w14:paraId="292C7E29" w14:textId="5ECC9764" w:rsidR="000B7833" w:rsidRPr="000B7833" w:rsidRDefault="000B7833" w:rsidP="000B7833">
      <w:pPr>
        <w:rPr>
          <w:rFonts w:ascii="Arial" w:hAnsi="Arial" w:cs="Arial"/>
          <w:sz w:val="24"/>
          <w:szCs w:val="24"/>
        </w:rPr>
      </w:pPr>
      <w:r w:rsidRPr="000B7833">
        <w:rPr>
          <w:rFonts w:ascii="Arial" w:hAnsi="Arial" w:cs="Arial"/>
          <w:sz w:val="24"/>
          <w:szCs w:val="24"/>
        </w:rPr>
        <w:t>The review is organized into four main themes, following a brief introduction. The first theme considers the effective environment, as outlined in the C</w:t>
      </w:r>
      <w:r w:rsidR="00C90F0D">
        <w:rPr>
          <w:rFonts w:ascii="Arial" w:hAnsi="Arial" w:cs="Arial"/>
          <w:sz w:val="24"/>
          <w:szCs w:val="24"/>
        </w:rPr>
        <w:t>urricu</w:t>
      </w:r>
      <w:r w:rsidR="0059528F">
        <w:rPr>
          <w:rFonts w:ascii="Arial" w:hAnsi="Arial" w:cs="Arial"/>
          <w:sz w:val="24"/>
          <w:szCs w:val="24"/>
        </w:rPr>
        <w:t xml:space="preserve">lum for </w:t>
      </w:r>
      <w:r w:rsidRPr="000B7833">
        <w:rPr>
          <w:rFonts w:ascii="Arial" w:hAnsi="Arial" w:cs="Arial"/>
          <w:sz w:val="24"/>
          <w:szCs w:val="24"/>
        </w:rPr>
        <w:t>F</w:t>
      </w:r>
      <w:r w:rsidR="0059528F">
        <w:rPr>
          <w:rFonts w:ascii="Arial" w:hAnsi="Arial" w:cs="Arial"/>
          <w:sz w:val="24"/>
          <w:szCs w:val="24"/>
        </w:rPr>
        <w:t xml:space="preserve">unded </w:t>
      </w:r>
      <w:r w:rsidR="005C5D94" w:rsidRPr="000B7833">
        <w:rPr>
          <w:rFonts w:ascii="Arial" w:hAnsi="Arial" w:cs="Arial"/>
          <w:sz w:val="24"/>
          <w:szCs w:val="24"/>
        </w:rPr>
        <w:t>N</w:t>
      </w:r>
      <w:r w:rsidR="005C5D94">
        <w:rPr>
          <w:rFonts w:ascii="Arial" w:hAnsi="Arial" w:cs="Arial"/>
          <w:sz w:val="24"/>
          <w:szCs w:val="24"/>
        </w:rPr>
        <w:t>on-Maintained</w:t>
      </w:r>
      <w:r w:rsidR="0059528F">
        <w:rPr>
          <w:rFonts w:ascii="Arial" w:hAnsi="Arial" w:cs="Arial"/>
          <w:sz w:val="24"/>
          <w:szCs w:val="24"/>
        </w:rPr>
        <w:t xml:space="preserve"> Nursery </w:t>
      </w:r>
      <w:r w:rsidRPr="000B7833">
        <w:rPr>
          <w:rFonts w:ascii="Arial" w:hAnsi="Arial" w:cs="Arial"/>
          <w:sz w:val="24"/>
          <w:szCs w:val="24"/>
        </w:rPr>
        <w:t>S</w:t>
      </w:r>
      <w:r w:rsidR="0059528F">
        <w:rPr>
          <w:rFonts w:ascii="Arial" w:hAnsi="Arial" w:cs="Arial"/>
          <w:sz w:val="24"/>
          <w:szCs w:val="24"/>
        </w:rPr>
        <w:t>ettings</w:t>
      </w:r>
      <w:r w:rsidRPr="000B7833">
        <w:rPr>
          <w:rFonts w:ascii="Arial" w:hAnsi="Arial" w:cs="Arial"/>
          <w:sz w:val="24"/>
          <w:szCs w:val="24"/>
        </w:rPr>
        <w:t xml:space="preserve">, and how this is interpreted and implemented in practice. The second theme reviews engaging experiences, particularly play. The third theme focuses on the enabling adult and how their perceptions of children’s capabilities shape their interactions with children. The final chapter </w:t>
      </w:r>
      <w:r w:rsidR="00682C61" w:rsidRPr="0066192D">
        <w:rPr>
          <w:rFonts w:ascii="Arial" w:hAnsi="Arial" w:cs="Arial"/>
          <w:sz w:val="24"/>
          <w:szCs w:val="24"/>
        </w:rPr>
        <w:t>analyses</w:t>
      </w:r>
      <w:r w:rsidRPr="000B7833">
        <w:rPr>
          <w:rFonts w:ascii="Arial" w:hAnsi="Arial" w:cs="Arial"/>
          <w:sz w:val="24"/>
          <w:szCs w:val="24"/>
        </w:rPr>
        <w:t xml:space="preserve"> how these enablers may not always translate into practice and the implications of this. It also considers the barriers to effective research in the Flying Start context. These main themes—environment, experiences, and adults—emerged throughout the literature as consistent threads in all three approaches considered. This strongly correlates with more recently co-constructed publications from the Welsh Government, where the three enablers of effective practice and pedagogy are described as: the enabling adult, effective environments, and engaging experiences.</w:t>
      </w:r>
      <w:r w:rsidR="00682C61" w:rsidRPr="0066192D">
        <w:rPr>
          <w:rFonts w:ascii="Arial" w:hAnsi="Arial" w:cs="Arial"/>
          <w:sz w:val="24"/>
          <w:szCs w:val="24"/>
        </w:rPr>
        <w:t xml:space="preserve"> </w:t>
      </w:r>
      <w:r w:rsidR="00682C61" w:rsidRPr="000B7833">
        <w:rPr>
          <w:rFonts w:ascii="Arial" w:hAnsi="Arial" w:cs="Arial"/>
          <w:sz w:val="24"/>
          <w:szCs w:val="24"/>
        </w:rPr>
        <w:t>Finally, the conclusion synthesi</w:t>
      </w:r>
      <w:r w:rsidR="00682C61" w:rsidRPr="0066192D">
        <w:rPr>
          <w:rFonts w:ascii="Arial" w:hAnsi="Arial" w:cs="Arial"/>
          <w:sz w:val="24"/>
          <w:szCs w:val="24"/>
        </w:rPr>
        <w:t>s</w:t>
      </w:r>
      <w:r w:rsidR="00682C61" w:rsidRPr="000B7833">
        <w:rPr>
          <w:rFonts w:ascii="Arial" w:hAnsi="Arial" w:cs="Arial"/>
          <w:sz w:val="24"/>
          <w:szCs w:val="24"/>
        </w:rPr>
        <w:t>es the reviewed literature and identifies areas for potential future research.</w:t>
      </w:r>
    </w:p>
    <w:p w14:paraId="2AF0ABC9" w14:textId="25CE82AC" w:rsidR="000B7833" w:rsidRPr="000B7833" w:rsidRDefault="000B7833" w:rsidP="000B7833">
      <w:pPr>
        <w:rPr>
          <w:rFonts w:ascii="Arial" w:hAnsi="Arial" w:cs="Arial"/>
          <w:sz w:val="24"/>
          <w:szCs w:val="24"/>
        </w:rPr>
      </w:pPr>
      <w:r w:rsidRPr="000B7833">
        <w:rPr>
          <w:rFonts w:ascii="Arial" w:hAnsi="Arial" w:cs="Arial"/>
          <w:sz w:val="24"/>
          <w:szCs w:val="24"/>
        </w:rPr>
        <w:lastRenderedPageBreak/>
        <w:t>A note here: both my colleague, who led on th</w:t>
      </w:r>
      <w:r w:rsidR="008A510E" w:rsidRPr="0066192D">
        <w:rPr>
          <w:rFonts w:ascii="Arial" w:hAnsi="Arial" w:cs="Arial"/>
          <w:sz w:val="24"/>
          <w:szCs w:val="24"/>
        </w:rPr>
        <w:t xml:space="preserve">e </w:t>
      </w:r>
      <w:r w:rsidR="00476E54" w:rsidRPr="0066192D">
        <w:rPr>
          <w:rFonts w:ascii="Arial" w:hAnsi="Arial" w:cs="Arial"/>
          <w:sz w:val="24"/>
          <w:szCs w:val="24"/>
        </w:rPr>
        <w:t xml:space="preserve">publication of the curriculum </w:t>
      </w:r>
      <w:r w:rsidRPr="000B7833">
        <w:rPr>
          <w:rFonts w:ascii="Arial" w:hAnsi="Arial" w:cs="Arial"/>
          <w:sz w:val="24"/>
          <w:szCs w:val="24"/>
        </w:rPr>
        <w:t xml:space="preserve">for the Welsh Government, and I are both Froebelian practitioners. I acknowledge the influence this positionality had on the documents produced and published. </w:t>
      </w:r>
    </w:p>
    <w:p w14:paraId="6DFAFD08" w14:textId="77777777" w:rsidR="000B7833" w:rsidRPr="000B7833" w:rsidRDefault="000B7833" w:rsidP="000B7833">
      <w:pPr>
        <w:rPr>
          <w:rFonts w:ascii="Arial" w:hAnsi="Arial" w:cs="Arial"/>
          <w:sz w:val="24"/>
          <w:szCs w:val="24"/>
        </w:rPr>
      </w:pPr>
      <w:r w:rsidRPr="000B7833">
        <w:rPr>
          <w:rFonts w:ascii="Arial" w:hAnsi="Arial" w:cs="Arial"/>
          <w:sz w:val="24"/>
          <w:szCs w:val="24"/>
        </w:rPr>
        <w:t>Throughout this review, the term ‘the curriculum’ will refer to the Curriculum for Funded Non-Maintained Nursery Settings, while ‘the guidance’ will refer to Flying Start childcare guidance</w:t>
      </w:r>
    </w:p>
    <w:p w14:paraId="6E1E8EA1" w14:textId="77777777" w:rsidR="008E4EF6" w:rsidRPr="0066192D" w:rsidRDefault="008E4EF6">
      <w:pPr>
        <w:rPr>
          <w:rFonts w:ascii="Arial" w:hAnsi="Arial" w:cs="Arial"/>
          <w:sz w:val="24"/>
          <w:szCs w:val="24"/>
        </w:rPr>
      </w:pPr>
    </w:p>
    <w:p w14:paraId="1AD72A45" w14:textId="77777777" w:rsidR="00D45615" w:rsidRPr="0066192D" w:rsidRDefault="00D45615" w:rsidP="00D45615">
      <w:pPr>
        <w:rPr>
          <w:rFonts w:ascii="Arial" w:hAnsi="Arial" w:cs="Arial"/>
          <w:b/>
          <w:bCs/>
          <w:sz w:val="24"/>
          <w:szCs w:val="24"/>
          <w:u w:val="single"/>
        </w:rPr>
      </w:pPr>
      <w:r w:rsidRPr="0066192D">
        <w:rPr>
          <w:rFonts w:ascii="Arial" w:hAnsi="Arial" w:cs="Arial"/>
          <w:b/>
          <w:bCs/>
          <w:sz w:val="24"/>
          <w:szCs w:val="24"/>
          <w:u w:val="single"/>
        </w:rPr>
        <w:t>Introduction</w:t>
      </w:r>
    </w:p>
    <w:p w14:paraId="4B7D55AF" w14:textId="7EA9D283" w:rsidR="00D45615" w:rsidRPr="0066192D" w:rsidRDefault="00D45615" w:rsidP="00D45615">
      <w:pPr>
        <w:rPr>
          <w:rFonts w:ascii="Arial" w:hAnsi="Arial" w:cs="Arial"/>
          <w:sz w:val="24"/>
          <w:szCs w:val="24"/>
        </w:rPr>
      </w:pPr>
      <w:r w:rsidRPr="0066192D">
        <w:rPr>
          <w:rFonts w:ascii="Arial" w:hAnsi="Arial" w:cs="Arial"/>
          <w:sz w:val="24"/>
          <w:szCs w:val="24"/>
        </w:rPr>
        <w:t xml:space="preserve">'Flying Start is the Welsh Government's targeted Early Years programme for families with children under 4 years of age in some of the most disadvantaged areas of Wales. The core elements of the programme have been shown to influence positive outcomes for children and their families and include funded quality, part-time childcare for 2–3-year-olds' (Welsh Government, 2023). The programme aims to address some of the inequalities faced by children who grow up in poverty. Several research papers have concluded that children growing up in poverty may have poorer health outcomes (WG,2024); be at risk of child abuse and neglect (Bywaters et al, 2022); have a speech and language need (Stats Wales, 2023); </w:t>
      </w:r>
      <w:r w:rsidR="00D12868">
        <w:rPr>
          <w:rFonts w:ascii="Arial" w:hAnsi="Arial" w:cs="Arial"/>
          <w:sz w:val="24"/>
          <w:szCs w:val="24"/>
        </w:rPr>
        <w:t xml:space="preserve">and </w:t>
      </w:r>
      <w:r w:rsidRPr="0066192D">
        <w:rPr>
          <w:rFonts w:ascii="Arial" w:hAnsi="Arial" w:cs="Arial"/>
          <w:sz w:val="24"/>
          <w:szCs w:val="24"/>
        </w:rPr>
        <w:t>be less successful academically than children from families with more resources (Mayo and Siraj, 2015</w:t>
      </w:r>
      <w:r w:rsidR="00D12868">
        <w:rPr>
          <w:rFonts w:ascii="Arial" w:hAnsi="Arial" w:cs="Arial"/>
          <w:sz w:val="24"/>
          <w:szCs w:val="24"/>
        </w:rPr>
        <w:t>)</w:t>
      </w:r>
      <w:r w:rsidRPr="0066192D">
        <w:rPr>
          <w:rFonts w:ascii="Arial" w:hAnsi="Arial" w:cs="Arial"/>
          <w:sz w:val="24"/>
          <w:szCs w:val="24"/>
        </w:rPr>
        <w:t xml:space="preserve">. There is also the study by the Welsh Government (2023) which shows that there is a strong correlation between children living and growing up in poverty and lower attainment levels, and another previous study commissioned by the Welsh Government in 2017 concluded that children living in Flying Start areas were achieving lower levels of attainment at the end of Foundation Phase than those children in non-Flying Start areas. </w:t>
      </w:r>
    </w:p>
    <w:p w14:paraId="224CF264" w14:textId="53FDF648" w:rsidR="00D45615" w:rsidRPr="0066192D" w:rsidRDefault="00D45615" w:rsidP="00D45615">
      <w:pPr>
        <w:rPr>
          <w:rFonts w:ascii="Arial" w:hAnsi="Arial" w:cs="Arial"/>
          <w:sz w:val="24"/>
          <w:szCs w:val="24"/>
        </w:rPr>
      </w:pPr>
      <w:r w:rsidRPr="0066192D">
        <w:rPr>
          <w:rFonts w:ascii="Arial" w:hAnsi="Arial" w:cs="Arial"/>
          <w:sz w:val="24"/>
          <w:szCs w:val="24"/>
        </w:rPr>
        <w:t xml:space="preserve">Recent research into the attitudes of Flying Start Practitioners towards young children's capabilities by Waters-Davies and Macdonald (2022) found that a minority of practitioners continue to hold deficit views of children's capabilities based on risk factors and a consequence of this is that those practitioners may not routinely use a pedagogical approach which includes strategies (Sylva, 2004) which afford children autonomy or opportunities to develop and deepen their thinking skills. Waters-Davies and MacDonald (2022) pose the question 'Does a well-intentioned professional position mean that some children are restricted from access to play and pedagogy that might serve to support curiosity and conceptual thinking?' </w:t>
      </w:r>
    </w:p>
    <w:p w14:paraId="151F395D" w14:textId="2D011931" w:rsidR="00476E54" w:rsidRPr="0066192D" w:rsidRDefault="00D45615" w:rsidP="00D45615">
      <w:pPr>
        <w:rPr>
          <w:rFonts w:ascii="Arial" w:hAnsi="Arial" w:cs="Arial"/>
          <w:sz w:val="24"/>
          <w:szCs w:val="24"/>
        </w:rPr>
      </w:pPr>
      <w:r w:rsidRPr="0066192D">
        <w:rPr>
          <w:rFonts w:ascii="Arial" w:hAnsi="Arial" w:cs="Arial"/>
          <w:sz w:val="24"/>
          <w:szCs w:val="24"/>
        </w:rPr>
        <w:t xml:space="preserve">My main reason for choosing this topic is personal interest. I became interested in how practitioners view children and perceive their capabilities or conversely, incapability during my time working for the Welsh Government when writing the </w:t>
      </w:r>
      <w:r w:rsidR="00E435FB">
        <w:rPr>
          <w:rFonts w:ascii="Arial" w:hAnsi="Arial" w:cs="Arial"/>
          <w:sz w:val="24"/>
          <w:szCs w:val="24"/>
        </w:rPr>
        <w:t>curriculum</w:t>
      </w:r>
      <w:r w:rsidRPr="0066192D">
        <w:rPr>
          <w:rFonts w:ascii="Arial" w:hAnsi="Arial" w:cs="Arial"/>
          <w:sz w:val="24"/>
          <w:szCs w:val="24"/>
        </w:rPr>
        <w:t xml:space="preserve">. It is my experience of working with children in Flying Start that has driven this interest as children in deprived communities are often positioned as lacking or deficient and in need of catching up which correlates with the findings of Waters-Davies and MacDonald (2022). Given that Flying Start Childcare (WG, 2023) is an intervention to support children to overcome against the odds (WG,2024; Bywaters et al, 2022; Stats Wales, 2023; Mayo and Siraj, 2015) a policy which positions the </w:t>
      </w:r>
      <w:r w:rsidRPr="0066192D">
        <w:rPr>
          <w:rFonts w:ascii="Arial" w:hAnsi="Arial" w:cs="Arial"/>
          <w:sz w:val="24"/>
          <w:szCs w:val="24"/>
        </w:rPr>
        <w:lastRenderedPageBreak/>
        <w:t xml:space="preserve">child as incapable and the role of the adult is to help the child become 'less deficit' (Waters-Davies and MacDonald, 2022) may not be helpful. </w:t>
      </w:r>
    </w:p>
    <w:p w14:paraId="32F25C59" w14:textId="521F4823" w:rsidR="00D45615" w:rsidRPr="0066192D" w:rsidRDefault="00D45615" w:rsidP="00D45615">
      <w:pPr>
        <w:rPr>
          <w:rFonts w:ascii="Arial" w:hAnsi="Arial" w:cs="Arial"/>
          <w:sz w:val="24"/>
          <w:szCs w:val="24"/>
        </w:rPr>
      </w:pPr>
      <w:r w:rsidRPr="0066192D">
        <w:rPr>
          <w:rFonts w:ascii="Arial" w:hAnsi="Arial" w:cs="Arial"/>
          <w:b/>
          <w:bCs/>
          <w:sz w:val="24"/>
          <w:szCs w:val="24"/>
          <w:u w:val="single"/>
        </w:rPr>
        <w:t>Theme One ~ An environment that enables.</w:t>
      </w:r>
    </w:p>
    <w:p w14:paraId="16CD8805" w14:textId="77777777" w:rsidR="00D45615" w:rsidRPr="0066192D" w:rsidRDefault="00D45615" w:rsidP="00D45615">
      <w:pPr>
        <w:rPr>
          <w:rFonts w:ascii="Arial" w:hAnsi="Arial" w:cs="Arial"/>
          <w:sz w:val="24"/>
          <w:szCs w:val="24"/>
        </w:rPr>
      </w:pPr>
      <w:r w:rsidRPr="0066192D">
        <w:rPr>
          <w:rFonts w:ascii="Arial" w:hAnsi="Arial" w:cs="Arial"/>
          <w:sz w:val="24"/>
          <w:szCs w:val="24"/>
        </w:rPr>
        <w:t xml:space="preserve">Welsh Government (2022) describe the effective environment for 'the curriculum' as flexible, offering risk and challenge, and supporting children to develop confidence, independence and resilience. This section will examine the literature and research concerned with the environment both indoors and outdoors in childcare and early education settings. </w:t>
      </w:r>
    </w:p>
    <w:p w14:paraId="65E7D871" w14:textId="77777777" w:rsidR="00D45615" w:rsidRPr="0066192D" w:rsidRDefault="00D45615" w:rsidP="00D45615">
      <w:pPr>
        <w:rPr>
          <w:rFonts w:ascii="Arial" w:hAnsi="Arial" w:cs="Arial"/>
          <w:sz w:val="24"/>
          <w:szCs w:val="24"/>
        </w:rPr>
      </w:pPr>
      <w:r w:rsidRPr="0066192D">
        <w:rPr>
          <w:rFonts w:ascii="Arial" w:hAnsi="Arial" w:cs="Arial"/>
          <w:sz w:val="24"/>
          <w:szCs w:val="24"/>
        </w:rPr>
        <w:t xml:space="preserve">Several authors of literature which advocate for the Reggio Emilia Approach (Thornton and Brunton,2005; McNally and Slutsky, 2026; Arseven, 2014) including the founder Loris Malaguzzi, describe the environment in the nursery setting as the 'third teacher' alongside the teacher and the child. Strong-Willis and Ellis (2009) argue that by seeing the environment as an educator, as the Reggio Emilia approach does, practitioners notice how the 'surroundings can take on a life of their own that contributes to children's learning.' Manera (2022) also explores the importance of the aesthetic dimension of the environment in fostering the inclusive perspective of the Reggio Emilia approach to early education. </w:t>
      </w:r>
    </w:p>
    <w:p w14:paraId="0A6762D6" w14:textId="77777777" w:rsidR="00D45615" w:rsidRPr="0066192D" w:rsidRDefault="00D45615" w:rsidP="00D45615">
      <w:pPr>
        <w:rPr>
          <w:rFonts w:ascii="Arial" w:hAnsi="Arial" w:cs="Arial"/>
          <w:sz w:val="24"/>
          <w:szCs w:val="24"/>
        </w:rPr>
      </w:pPr>
      <w:r w:rsidRPr="0066192D">
        <w:rPr>
          <w:rFonts w:ascii="Arial" w:hAnsi="Arial" w:cs="Arial"/>
          <w:sz w:val="24"/>
          <w:szCs w:val="24"/>
        </w:rPr>
        <w:t xml:space="preserve">Guo and Rouse (2024) argue that while evidence is promising that the Reggio Emilia pedagogical approach positively contributes to children's learning, questions have been raised about how the features found in the schools and infant-toddler programmes within the Reggio Emilia region might manifest themselves in other contexts, and the implications of doing so. In their qualitative meta-synthesis of research regarding Reggio Emilia's practice in early years settings in Australia, they note that it is accepted that environment fosters children's exploration, discovery, and the construction of knowledge, where children can interact with their surroundings and engage in meaningful experiences. They (Guo and Rouse, 2024) draw on research by Baxter (2007) and Hall (2013) which found that teachers modified their environments to enhance natural and aesthetic elements and make resources more accessible to children alongside creating areas conducive to creativity and interaction, they surprisingly did not report making changes to the outdoor environment. Both studies also concluded that there were instances of conflict with colleagues regarding the changes made to the learning environment. </w:t>
      </w:r>
    </w:p>
    <w:p w14:paraId="3B4761EA" w14:textId="06FD325A" w:rsidR="00D45615" w:rsidRPr="0066192D" w:rsidRDefault="00D45615" w:rsidP="00D45615">
      <w:pPr>
        <w:rPr>
          <w:rFonts w:ascii="Arial" w:hAnsi="Arial" w:cs="Arial"/>
          <w:sz w:val="24"/>
          <w:szCs w:val="24"/>
        </w:rPr>
      </w:pPr>
      <w:r w:rsidRPr="0066192D">
        <w:rPr>
          <w:rFonts w:ascii="Arial" w:hAnsi="Arial" w:cs="Arial"/>
          <w:sz w:val="24"/>
          <w:szCs w:val="24"/>
        </w:rPr>
        <w:t xml:space="preserve">Chicken (2022) explores the complexity of curriculum migration and implementation of the Reggio Emilia approach in the early years setting in England. She draws on a Foucauldian discourse to outline that curriculum is underpinned by social discourse while there is also the discourse of school readiness which has a 'stranglehold' on early years policy in England. Chicken (2022) argues that regimes of truth govern practice towards 'desirable norms' such as school readiness and then deems what is appropriate within pedagogical practice if children are to achieve these desirable norms. She argues that the social discourse in Italy (Reggio Emilia) is for a deep trust in children's desire to learn and questions whether this social discourse exists in England and whether this idea can co-exist with a pre-defined set of outcomes. Similarly, Garden (2024) also uses Foucault's ideas on power as a lens for her study which examined the Forest School approach in early years settings. She argues that </w:t>
      </w:r>
      <w:r w:rsidRPr="0066192D">
        <w:rPr>
          <w:rFonts w:ascii="Arial" w:hAnsi="Arial" w:cs="Arial"/>
          <w:sz w:val="24"/>
          <w:szCs w:val="24"/>
        </w:rPr>
        <w:lastRenderedPageBreak/>
        <w:t>it is crucial to challenge educators to reassess traditional notions of knowledge and learning environments, questioning hierarchical structures and exploring how alternative approaches inspired by Foucauldian principles could cultivate more egalitarian and empowering learning environments. Both studies use the Foucauldian discourse of social construct and power to provide a useful lens to frame the research questions. This is a possible lens I would consider for future research. This chimes with the idea of a threshold concept and might be useful in supporting practitioners to reach the threshold concept as the young child is capable and competent (Water</w:t>
      </w:r>
      <w:r w:rsidR="00E952E8">
        <w:rPr>
          <w:rFonts w:ascii="Arial" w:hAnsi="Arial" w:cs="Arial"/>
          <w:sz w:val="24"/>
          <w:szCs w:val="24"/>
        </w:rPr>
        <w:t>s</w:t>
      </w:r>
      <w:r w:rsidRPr="0066192D">
        <w:rPr>
          <w:rFonts w:ascii="Arial" w:hAnsi="Arial" w:cs="Arial"/>
          <w:sz w:val="24"/>
          <w:szCs w:val="24"/>
        </w:rPr>
        <w:t>-Davies and MacDonald, 2022)</w:t>
      </w:r>
    </w:p>
    <w:p w14:paraId="3C84345C" w14:textId="77777777" w:rsidR="00D45615" w:rsidRPr="0066192D" w:rsidRDefault="00D45615" w:rsidP="00D45615">
      <w:pPr>
        <w:rPr>
          <w:rFonts w:ascii="Arial" w:hAnsi="Arial" w:cs="Arial"/>
          <w:b/>
          <w:bCs/>
          <w:sz w:val="24"/>
          <w:szCs w:val="24"/>
          <w:u w:val="single"/>
        </w:rPr>
      </w:pPr>
      <w:r w:rsidRPr="0066192D">
        <w:rPr>
          <w:rFonts w:ascii="Arial" w:hAnsi="Arial" w:cs="Arial"/>
          <w:b/>
          <w:bCs/>
          <w:sz w:val="24"/>
          <w:szCs w:val="24"/>
          <w:u w:val="single"/>
        </w:rPr>
        <w:t>Theme Two ~ Enabling experiences</w:t>
      </w:r>
    </w:p>
    <w:p w14:paraId="36D98BE8" w14:textId="13D3AB0C" w:rsidR="00D45615" w:rsidRPr="0066192D" w:rsidRDefault="00D45615" w:rsidP="00D45615">
      <w:pPr>
        <w:rPr>
          <w:rFonts w:ascii="Arial" w:hAnsi="Arial" w:cs="Arial"/>
          <w:sz w:val="24"/>
          <w:szCs w:val="24"/>
        </w:rPr>
      </w:pPr>
      <w:r w:rsidRPr="0066192D">
        <w:rPr>
          <w:rFonts w:ascii="Arial" w:hAnsi="Arial" w:cs="Arial"/>
          <w:sz w:val="24"/>
          <w:szCs w:val="24"/>
        </w:rPr>
        <w:t xml:space="preserve">'The curriculum' describes the engaging experiences that should be offered in early years as hands-on, purposeful and meaningful to the child. It reminds the reader that children have a strong intrinsic need to play, and that play should be valued, as an end to itself and something which can be observed closely so that learning can be enhanced. </w:t>
      </w:r>
      <w:r w:rsidR="004F4417" w:rsidRPr="0066192D">
        <w:rPr>
          <w:rFonts w:ascii="Arial" w:hAnsi="Arial" w:cs="Arial"/>
          <w:sz w:val="24"/>
          <w:szCs w:val="24"/>
        </w:rPr>
        <w:t>Considering</w:t>
      </w:r>
      <w:r w:rsidRPr="0066192D">
        <w:rPr>
          <w:rFonts w:ascii="Arial" w:hAnsi="Arial" w:cs="Arial"/>
          <w:sz w:val="24"/>
          <w:szCs w:val="24"/>
        </w:rPr>
        <w:t xml:space="preserve"> this, I will use 'play' as the focus for the literature to be reviewed for this theme.</w:t>
      </w:r>
    </w:p>
    <w:p w14:paraId="57A04E18" w14:textId="425EE827" w:rsidR="00D45615" w:rsidRPr="0066192D" w:rsidRDefault="00D45615" w:rsidP="00D45615">
      <w:pPr>
        <w:rPr>
          <w:rFonts w:ascii="Arial" w:hAnsi="Arial" w:cs="Arial"/>
          <w:sz w:val="24"/>
          <w:szCs w:val="24"/>
        </w:rPr>
      </w:pPr>
      <w:r w:rsidRPr="0066192D">
        <w:rPr>
          <w:rFonts w:ascii="Arial" w:hAnsi="Arial" w:cs="Arial"/>
          <w:sz w:val="24"/>
          <w:szCs w:val="24"/>
        </w:rPr>
        <w:t>The central importance of play is one of the Froebelian principles. In her seminal publication in 1991, Bruce outlines the twelve features of play</w:t>
      </w:r>
      <w:r w:rsidRPr="0066192D">
        <w:rPr>
          <w:rStyle w:val="FootnoteReference"/>
          <w:rFonts w:ascii="Arial" w:hAnsi="Arial" w:cs="Arial"/>
          <w:sz w:val="24"/>
          <w:szCs w:val="24"/>
        </w:rPr>
        <w:footnoteReference w:id="1"/>
      </w:r>
      <w:r w:rsidRPr="0066192D">
        <w:rPr>
          <w:rFonts w:ascii="Arial" w:hAnsi="Arial" w:cs="Arial"/>
          <w:sz w:val="24"/>
          <w:szCs w:val="24"/>
        </w:rPr>
        <w:t xml:space="preserve">. These features have been used as the foundation for many subsequent publications over the past 30 years by White (2019), Else (2009), Moyles (2010) and Waters-Davies (2022) to name but a few. The central importance of play, the features of play and the importance of play for child development have simply become 'known'. Sutton-Smith (1997) argues that the relationship between play and development has been so influential that people take it for granted. However, despite this 'knowing' that play is crucial Estyn (2024) reports that in schools 'where knowledge of child development was less robust, many well-intentioned but misinformed leaders introduced children to formal aspects of learning too soon to 'narrow the gap'. This premature focus on formal learning often did not align with the developmental needs of young children. Smedley and Hoskins (2018) carried out interviews with thirty-three practitioners across six settings who work with children aged two to four years old about their understanding of Froebel's concept of learning through play. They concluded that there are concerns that opportunities for play, self-directed and adult-initiated, are impacted by the academic pressures created by the English government's demands for young children to achieve school readiness, which can dominate and determine the activities on offer in early years settings. Gramling (2015) suggests that there is a tension in the early years between what practitioners know to be developmentally </w:t>
      </w:r>
      <w:r w:rsidRPr="0066192D">
        <w:rPr>
          <w:rFonts w:ascii="Arial" w:hAnsi="Arial" w:cs="Arial"/>
          <w:sz w:val="24"/>
          <w:szCs w:val="24"/>
        </w:rPr>
        <w:lastRenderedPageBreak/>
        <w:t xml:space="preserve">appropriate practice and pedagogy versus the reality of what they do. He discusses where policy negatively influences the practice and the pedagogy, for example, the overuse of teaching methods which are too formal and this chimes with the findings of Estyn. </w:t>
      </w:r>
    </w:p>
    <w:p w14:paraId="3BE0CE07" w14:textId="77777777" w:rsidR="00D45615" w:rsidRPr="0066192D" w:rsidRDefault="00D45615" w:rsidP="00D45615">
      <w:pPr>
        <w:rPr>
          <w:rFonts w:ascii="Arial" w:hAnsi="Arial" w:cs="Arial"/>
          <w:sz w:val="24"/>
          <w:szCs w:val="24"/>
        </w:rPr>
      </w:pPr>
      <w:r w:rsidRPr="0066192D">
        <w:rPr>
          <w:rFonts w:ascii="Arial" w:hAnsi="Arial" w:cs="Arial"/>
          <w:sz w:val="24"/>
          <w:szCs w:val="24"/>
        </w:rPr>
        <w:t xml:space="preserve">This view is also supported by Pyle and Daniels (2016). They carried out research in Ontario, Canada where they used qualitative methodology which included observations in the kindergarten classrooms of 15 teachers across 3 school districts. They carried out these observations alongside in-depth interviews to explore the use of play and play-based learning which is an approach supported by Patton (2002). The researchers collected data in two phases over three years. They explain that this was to capture the enactment of the full-day kindergarten program. Pyle and Daniels (2016) reported that whilst there is general agreement that play belongs in the kindergarten classroom, the role of play in the classroom is often discussed in terms of its relationship to educational purpose. Free play is advocated when the focus of the kindergarten is to support social skills. However, teachers consider more structured play to be preferred when the purpose of schooling is the introduction of a targeted set of skills (Kuschner, 2015). This research paper offers some important insights into the perspectives of practitioners who work in early years settings and their understanding of the role of play in supporting young children to make progress in their learning. </w:t>
      </w:r>
    </w:p>
    <w:p w14:paraId="3A4CBE2E" w14:textId="72BD61DB" w:rsidR="00D45615" w:rsidRPr="0066192D" w:rsidRDefault="00D45615" w:rsidP="00D45615">
      <w:pPr>
        <w:rPr>
          <w:rFonts w:ascii="Arial" w:hAnsi="Arial" w:cs="Arial"/>
          <w:sz w:val="24"/>
          <w:szCs w:val="24"/>
        </w:rPr>
      </w:pPr>
      <w:r w:rsidRPr="0066192D">
        <w:rPr>
          <w:rFonts w:ascii="Arial" w:hAnsi="Arial" w:cs="Arial"/>
          <w:sz w:val="24"/>
          <w:szCs w:val="24"/>
        </w:rPr>
        <w:t xml:space="preserve">However, Grieshaber and McArdle (2010) suggest that there are some ideas about play in early childhood that are accepted almost without question, and they argue that play in the early years is not always innocent and fun, and not always the best way for children to learn. The methodology used to gather evidence was observations of children playing where the researcher does not interact, interrupt or disturb the play. Brodie (no date) reveals that when these real situations are witnessed some fascinating and sometimes disturbing play behaviours are observed. Roberts-Homes (2023) acknowledges that one of the most frequently used methods of collecting first-hand evidence in early years research projects is observation. It appears that in their study, Grieshaber and McArdle (2010) engaged in critical observation of play by making the everyday familiar events into 'unfamiliar' events (Roberts-Holmes, 2023) which means they were 'see' the familiar and routine events in the early </w:t>
      </w:r>
      <w:r w:rsidR="00EE037F" w:rsidRPr="0066192D">
        <w:rPr>
          <w:rFonts w:ascii="Arial" w:hAnsi="Arial" w:cs="Arial"/>
          <w:sz w:val="24"/>
          <w:szCs w:val="24"/>
        </w:rPr>
        <w:t>years’</w:t>
      </w:r>
      <w:r w:rsidRPr="0066192D">
        <w:rPr>
          <w:rFonts w:ascii="Arial" w:hAnsi="Arial" w:cs="Arial"/>
          <w:sz w:val="24"/>
          <w:szCs w:val="24"/>
        </w:rPr>
        <w:t xml:space="preserve"> childcare setting in a new way (Clough and Nutbrown, 2007). By carrying out their observations with this lens, Grieshaber and McArdle (2010) saw play in a way that differed from the 'play' we have grown to accept and not challenge (Sutton-Smith, 1997).</w:t>
      </w:r>
    </w:p>
    <w:p w14:paraId="2D28CA2C" w14:textId="7BE4F7FE" w:rsidR="00D45615" w:rsidRPr="0066192D" w:rsidRDefault="00D45615" w:rsidP="00D45615">
      <w:pPr>
        <w:rPr>
          <w:rFonts w:ascii="Arial" w:hAnsi="Arial" w:cs="Arial"/>
          <w:sz w:val="24"/>
          <w:szCs w:val="24"/>
        </w:rPr>
      </w:pPr>
      <w:r w:rsidRPr="0066192D">
        <w:rPr>
          <w:rFonts w:ascii="Arial" w:hAnsi="Arial" w:cs="Arial"/>
          <w:sz w:val="24"/>
          <w:szCs w:val="24"/>
        </w:rPr>
        <w:t>This seemingly outlying argument holds some congruence with the published toolkit by the Education Endowment Foundation (</w:t>
      </w:r>
      <w:r w:rsidR="00426D6F" w:rsidRPr="0066192D">
        <w:rPr>
          <w:rFonts w:ascii="Arial" w:hAnsi="Arial" w:cs="Arial"/>
          <w:sz w:val="24"/>
          <w:szCs w:val="24"/>
        </w:rPr>
        <w:t>2023</w:t>
      </w:r>
      <w:r w:rsidRPr="0066192D">
        <w:rPr>
          <w:rFonts w:ascii="Arial" w:hAnsi="Arial" w:cs="Arial"/>
          <w:sz w:val="24"/>
          <w:szCs w:val="24"/>
        </w:rPr>
        <w:t xml:space="preserve">) where it is stated that the evidence base for play-based learning is not strong or consistent. However, the toolkit establishes that low security of evidence is not the same as evidence of no impact and many approaches may have low evidence, not because they are ineffective but because high-quality research has not yet taken place. The </w:t>
      </w:r>
      <w:r w:rsidR="00426D6F" w:rsidRPr="0066192D">
        <w:rPr>
          <w:rFonts w:ascii="Arial" w:hAnsi="Arial" w:cs="Arial"/>
          <w:sz w:val="24"/>
          <w:szCs w:val="24"/>
        </w:rPr>
        <w:t>Education Endowment Foundation (2023)</w:t>
      </w:r>
      <w:r w:rsidRPr="0066192D">
        <w:rPr>
          <w:rFonts w:ascii="Arial" w:hAnsi="Arial" w:cs="Arial"/>
          <w:sz w:val="24"/>
          <w:szCs w:val="24"/>
        </w:rPr>
        <w:t xml:space="preserve"> acknowledge that this does not mean play isn't crucial for learning, more that further research which is independently evaluated is needed. They point out that there are examples of studies that have been successful in </w:t>
      </w:r>
      <w:r w:rsidRPr="0066192D">
        <w:rPr>
          <w:rFonts w:ascii="Arial" w:hAnsi="Arial" w:cs="Arial"/>
          <w:sz w:val="24"/>
          <w:szCs w:val="24"/>
        </w:rPr>
        <w:lastRenderedPageBreak/>
        <w:t xml:space="preserve">improving educational outcomes in settings with a high proportion of children experiencing socio-economic disadvantage, however, there were not enough studies to explore the relationship between play-based learning and disadvantage. This is a significant gap in the research and literature for something so widely accepted as a pedagogical fact. At this point in my studies, further research would be beyond my scope and capabilities. </w:t>
      </w:r>
    </w:p>
    <w:p w14:paraId="10E0BD33" w14:textId="3153341F" w:rsidR="00D45615" w:rsidRPr="0066192D" w:rsidRDefault="00D45615" w:rsidP="00D45615">
      <w:pPr>
        <w:rPr>
          <w:rFonts w:ascii="Arial" w:hAnsi="Arial" w:cs="Arial"/>
          <w:sz w:val="24"/>
          <w:szCs w:val="24"/>
        </w:rPr>
      </w:pPr>
      <w:r w:rsidRPr="0066192D">
        <w:rPr>
          <w:rFonts w:ascii="Arial" w:hAnsi="Arial" w:cs="Arial"/>
          <w:sz w:val="24"/>
          <w:szCs w:val="24"/>
        </w:rPr>
        <w:t>Tovey (</w:t>
      </w:r>
      <w:r w:rsidR="00780461" w:rsidRPr="0066192D">
        <w:rPr>
          <w:rFonts w:ascii="Arial" w:hAnsi="Arial" w:cs="Arial"/>
          <w:sz w:val="24"/>
          <w:szCs w:val="24"/>
        </w:rPr>
        <w:t>20</w:t>
      </w:r>
      <w:r w:rsidR="009D2E6C" w:rsidRPr="0066192D">
        <w:rPr>
          <w:rFonts w:ascii="Arial" w:hAnsi="Arial" w:cs="Arial"/>
          <w:sz w:val="24"/>
          <w:szCs w:val="24"/>
        </w:rPr>
        <w:t>20</w:t>
      </w:r>
      <w:r w:rsidRPr="0066192D">
        <w:rPr>
          <w:rFonts w:ascii="Arial" w:hAnsi="Arial" w:cs="Arial"/>
          <w:sz w:val="24"/>
          <w:szCs w:val="24"/>
        </w:rPr>
        <w:t xml:space="preserve">) argues that while few deny the value of play, in practice it can be misunderstood, marginalised, reduced to occupying, superficial activities or replaced by adult-directed tasks disguised as 'playful learning'. This appears to be congruent with my own experiences however it is not clear which research findings Tovey is drawing on to be able to make this statement. This literature review has led to some realisations that are somewhat uncomfortable in the realisation that my positionality as a Froebelian practitioner is wreathed in affinity bias (National School of Healthcare Science, 2022). The literature available to support the Froebelian approach 'makes sense' however a closer look reveals that most of the research is action research in Froebelian settings. Whilst action research is a valued methodology (McAteer, 2013) the important point to consider is that it is likely (this is conjecture here) that the practitioners in the settings where the action research is being carried out have reached the threshold concept of a capable child. The researcher, by nature of action research, would be an insider, however, there might also be power at play where the employees want to give the researcher 'what they want to see' to mitigate repercussions for their employment (Bera, 2024). It might be beneficial to the field if action research was carried out in settings that had not necessarily reached the threshold concept of the capable child. This research would then be useful in effecting change in other childcare settings where practitioners persist in holding a deficit view of the young child. </w:t>
      </w:r>
    </w:p>
    <w:p w14:paraId="18C6FE62" w14:textId="77777777" w:rsidR="00D45615" w:rsidRPr="0066192D" w:rsidRDefault="00D45615" w:rsidP="00D45615">
      <w:pPr>
        <w:rPr>
          <w:rFonts w:ascii="Arial" w:hAnsi="Arial" w:cs="Arial"/>
          <w:sz w:val="24"/>
          <w:szCs w:val="24"/>
        </w:rPr>
      </w:pPr>
    </w:p>
    <w:p w14:paraId="66F0997C" w14:textId="4D249C2C" w:rsidR="00D45615" w:rsidRPr="0066192D" w:rsidRDefault="00D45615" w:rsidP="00D45615">
      <w:pPr>
        <w:rPr>
          <w:rFonts w:ascii="Arial" w:hAnsi="Arial" w:cs="Arial"/>
          <w:b/>
          <w:bCs/>
          <w:sz w:val="24"/>
          <w:szCs w:val="24"/>
          <w:u w:val="single"/>
        </w:rPr>
      </w:pPr>
      <w:r w:rsidRPr="0066192D">
        <w:rPr>
          <w:rFonts w:ascii="Arial" w:hAnsi="Arial" w:cs="Arial"/>
          <w:b/>
          <w:bCs/>
          <w:sz w:val="24"/>
          <w:szCs w:val="24"/>
          <w:u w:val="single"/>
        </w:rPr>
        <w:t xml:space="preserve">Theme 3 ~ The enabling adult </w:t>
      </w:r>
    </w:p>
    <w:p w14:paraId="373D1186" w14:textId="12483DA5" w:rsidR="00D45615" w:rsidRPr="0066192D" w:rsidRDefault="00D45615" w:rsidP="00D45615">
      <w:pPr>
        <w:rPr>
          <w:rFonts w:ascii="Arial" w:hAnsi="Arial" w:cs="Arial"/>
          <w:sz w:val="24"/>
          <w:szCs w:val="24"/>
        </w:rPr>
      </w:pPr>
      <w:r w:rsidRPr="0066192D">
        <w:rPr>
          <w:rFonts w:ascii="Arial" w:hAnsi="Arial" w:cs="Arial"/>
          <w:sz w:val="24"/>
          <w:szCs w:val="24"/>
        </w:rPr>
        <w:t xml:space="preserve">Welsh Government (2022) outlines that the enabling adult should have thorough knowledge and understanding of child development, and should support children to develop resilience, independence and confidence while perceiving them as a capable learner. This theme will consider that while there is a growing body of literature which seeks to frame the role of the adult as crucial within the early </w:t>
      </w:r>
      <w:r w:rsidR="00EE037F" w:rsidRPr="0066192D">
        <w:rPr>
          <w:rFonts w:ascii="Arial" w:hAnsi="Arial" w:cs="Arial"/>
          <w:sz w:val="24"/>
          <w:szCs w:val="24"/>
        </w:rPr>
        <w:t>years’</w:t>
      </w:r>
      <w:r w:rsidRPr="0066192D">
        <w:rPr>
          <w:rFonts w:ascii="Arial" w:hAnsi="Arial" w:cs="Arial"/>
          <w:sz w:val="24"/>
          <w:szCs w:val="24"/>
        </w:rPr>
        <w:t xml:space="preserve"> nursery setting, the reality is that this doesn't always translate into practice. </w:t>
      </w:r>
    </w:p>
    <w:p w14:paraId="3CD6159A" w14:textId="3D253E1D" w:rsidR="00D45615" w:rsidRPr="0066192D" w:rsidRDefault="00D45615" w:rsidP="00D45615">
      <w:pPr>
        <w:rPr>
          <w:rFonts w:ascii="Arial" w:hAnsi="Arial" w:cs="Arial"/>
          <w:sz w:val="24"/>
          <w:szCs w:val="24"/>
        </w:rPr>
      </w:pPr>
      <w:r w:rsidRPr="0066192D">
        <w:rPr>
          <w:rFonts w:ascii="Arial" w:hAnsi="Arial" w:cs="Arial"/>
          <w:sz w:val="24"/>
          <w:szCs w:val="24"/>
        </w:rPr>
        <w:t xml:space="preserve">A study in 2022 by Waters-Davies and Macdonald </w:t>
      </w:r>
      <w:r w:rsidR="00FF0448" w:rsidRPr="0066192D">
        <w:rPr>
          <w:rFonts w:ascii="Arial" w:hAnsi="Arial" w:cs="Arial"/>
          <w:sz w:val="24"/>
          <w:szCs w:val="24"/>
        </w:rPr>
        <w:t>catalysed</w:t>
      </w:r>
      <w:r w:rsidRPr="0066192D">
        <w:rPr>
          <w:rFonts w:ascii="Arial" w:hAnsi="Arial" w:cs="Arial"/>
          <w:sz w:val="24"/>
          <w:szCs w:val="24"/>
        </w:rPr>
        <w:t xml:space="preserve"> me to become interested in how the way we view young children might shape the pedagogy offered within the settings. In my own experience of working within Flying Start, when children in deprived areas are framed as 'lacking' and in need of 'catching up', then practitioners begin to see their role as supporting the child to become a less deficit version. The minor drawback to this study is that the researchers are not insider researchers. Lahman (2022) argues that oftentimes children of lower classes are being researched by adults who are socially, legally, physically and perhaps mentally more powerful. Whilst I am not attempting to suggest that the researchers would have 'othered' the children that they studied, I am merely noting that a possible </w:t>
      </w:r>
      <w:r w:rsidRPr="0066192D">
        <w:rPr>
          <w:rFonts w:ascii="Arial" w:hAnsi="Arial" w:cs="Arial"/>
          <w:sz w:val="24"/>
          <w:szCs w:val="24"/>
        </w:rPr>
        <w:lastRenderedPageBreak/>
        <w:t xml:space="preserve">extension of this study would be for an 'insider' perspective who understands that the notions of a competent, yet vulnerable child can be held simultaneously as a way of considering the unique position of children (Lahman, 2022) </w:t>
      </w:r>
    </w:p>
    <w:p w14:paraId="31EDED55" w14:textId="38E395B3" w:rsidR="00D45615" w:rsidRPr="0066192D" w:rsidRDefault="00D45615" w:rsidP="00D45615">
      <w:pPr>
        <w:rPr>
          <w:rFonts w:ascii="Arial" w:hAnsi="Arial" w:cs="Arial"/>
          <w:sz w:val="24"/>
          <w:szCs w:val="24"/>
        </w:rPr>
      </w:pPr>
      <w:r w:rsidRPr="0066192D">
        <w:rPr>
          <w:rFonts w:ascii="Arial" w:hAnsi="Arial" w:cs="Arial"/>
          <w:sz w:val="24"/>
          <w:szCs w:val="24"/>
        </w:rPr>
        <w:t xml:space="preserve">Alderson (2007 and van Rooyen et al (2015) both put forward the argument that children are as capable and competent as an adult allows them to be. Salamon and Harrison (2015) also found that the beliefs that practitioners hold about infants can guide their pedagogical practices in ways that can enable and constrain infants' experiences. With this in mind, the next research paper I will consider highlights how the role of the adult can limit the participation in research of some children who they see as less capable. Tyrie et al (2023) through competitive tender undertook research which was commissioned by the Welsh government to elicit children's experiences of the covid-19 lockdowns. The pragmatic design used purposive sampling to select 30 children across four schools in South Wales with criteria that the children had to be aged 3 to 6 years during the pandemic and be enrolled in a primary school in Wales at the time of the study. Campbell et al (2020) note that purposive sampling can lead to the better matching of the sample to the aims and objectives of the research, which in this case was to fill a 'gap' in knowledge about how children viewed the lockdowns. However, the authors (Tyrie et al, 2023) explain that some children with perceived 'poor behaviour' were not allowed to engage as participants and some voices were 'heavily monitored and censored by settings when they said things that adults found problematic.' Wall and Robinson (2022) acknowledge that during research they 'hear of children's voices being filtered by adults, often well-meaning adults, but their messages are nonetheless filtered' This would suggest that allowing the schools the opportunity to select the children who would participate to fulfil the purposive sample excluded the learners who voices need to be amplified, as the practices do not support children to air their views (Wall and Robinson, 2022). A gap in research is emerging here where there is a need to encourage participation and elicit the views and hear the voices of those children who might be previously excluded from participating due to their perceived capability to participate meaningfully. This approach is advocated by Clark and Flewitt (2020) who critique normative discourses of 'competency' and consider how assumptions about competency in early childhood education can support or hinder young children's learning. They pose the question of how competent </w:t>
      </w:r>
      <w:r w:rsidR="00EE037F" w:rsidRPr="0066192D">
        <w:rPr>
          <w:rFonts w:ascii="Arial" w:hAnsi="Arial" w:cs="Arial"/>
          <w:sz w:val="24"/>
          <w:szCs w:val="24"/>
        </w:rPr>
        <w:t>researchers and educators are</w:t>
      </w:r>
      <w:r w:rsidRPr="0066192D">
        <w:rPr>
          <w:rFonts w:ascii="Arial" w:hAnsi="Arial" w:cs="Arial"/>
          <w:sz w:val="24"/>
          <w:szCs w:val="24"/>
        </w:rPr>
        <w:t>, in recognising and valuing young children's perspectives particularly those children who may be considered 'less competent' than others,</w:t>
      </w:r>
    </w:p>
    <w:p w14:paraId="0FB692E0" w14:textId="77777777" w:rsidR="00D45615" w:rsidRPr="0066192D" w:rsidRDefault="00D45615" w:rsidP="00D45615">
      <w:pPr>
        <w:rPr>
          <w:rFonts w:ascii="Arial" w:hAnsi="Arial" w:cs="Arial"/>
          <w:sz w:val="24"/>
          <w:szCs w:val="24"/>
        </w:rPr>
      </w:pPr>
      <w:r w:rsidRPr="0066192D">
        <w:rPr>
          <w:rFonts w:ascii="Arial" w:hAnsi="Arial" w:cs="Arial"/>
          <w:sz w:val="24"/>
          <w:szCs w:val="24"/>
        </w:rPr>
        <w:t xml:space="preserve">As outlined in my positionality statement I view myself as a practitioner with strong alignment with the Froebelian approach and incorporate many of the principles and practices into my pedagogical approach. This review has highlighted that there is a lack of research which is peer-reviewed into the effectiveness of the Froebel Approach in terms of supporting young children to make progress and close the disadvantage gap. The review has uncovered a plethora of writings (Tovey, 2017, Bruce 1987, 1991 and 2021, Louis 2016) around how to use the principles today and how they relate to current practice. However, these all stop short of providing any findings to demonstrate that the approaches being advised are effective at supporting young children with their progress. </w:t>
      </w:r>
    </w:p>
    <w:p w14:paraId="6A2D494E" w14:textId="44A0EAF9" w:rsidR="00D45615" w:rsidRPr="0066192D" w:rsidRDefault="005C5D94" w:rsidP="00D45615">
      <w:pPr>
        <w:rPr>
          <w:rFonts w:ascii="Arial" w:hAnsi="Arial" w:cs="Arial"/>
          <w:b/>
          <w:bCs/>
          <w:sz w:val="24"/>
          <w:szCs w:val="24"/>
          <w:u w:val="single"/>
        </w:rPr>
      </w:pPr>
      <w:r>
        <w:rPr>
          <w:rFonts w:ascii="Arial" w:hAnsi="Arial" w:cs="Arial"/>
          <w:b/>
          <w:bCs/>
          <w:sz w:val="24"/>
          <w:szCs w:val="24"/>
          <w:u w:val="single"/>
        </w:rPr>
        <w:lastRenderedPageBreak/>
        <w:t xml:space="preserve">Theme Four </w:t>
      </w:r>
      <w:r w:rsidR="00FE75FE">
        <w:rPr>
          <w:rFonts w:ascii="Arial" w:hAnsi="Arial" w:cs="Arial"/>
          <w:b/>
          <w:bCs/>
          <w:sz w:val="24"/>
          <w:szCs w:val="24"/>
          <w:u w:val="single"/>
        </w:rPr>
        <w:t xml:space="preserve">~ </w:t>
      </w:r>
      <w:r w:rsidR="00D45615" w:rsidRPr="0066192D">
        <w:rPr>
          <w:rFonts w:ascii="Arial" w:hAnsi="Arial" w:cs="Arial"/>
          <w:b/>
          <w:bCs/>
          <w:sz w:val="24"/>
          <w:szCs w:val="24"/>
          <w:u w:val="single"/>
        </w:rPr>
        <w:t>Controversies ~ The implementation gap</w:t>
      </w:r>
    </w:p>
    <w:p w14:paraId="66621C6F" w14:textId="69AE5100" w:rsidR="00D45615" w:rsidRPr="0066192D" w:rsidRDefault="008B344C" w:rsidP="00D45615">
      <w:pPr>
        <w:rPr>
          <w:rFonts w:ascii="Arial" w:hAnsi="Arial" w:cs="Arial"/>
          <w:sz w:val="24"/>
          <w:szCs w:val="24"/>
        </w:rPr>
      </w:pPr>
      <w:r w:rsidRPr="0066192D">
        <w:rPr>
          <w:rFonts w:ascii="Arial" w:hAnsi="Arial" w:cs="Arial"/>
          <w:sz w:val="24"/>
          <w:szCs w:val="24"/>
        </w:rPr>
        <w:t xml:space="preserve">This section will examine the literature which focuses on the implementation gap (Whitters, 2017). </w:t>
      </w:r>
      <w:r w:rsidR="00D45615" w:rsidRPr="0066192D">
        <w:rPr>
          <w:rFonts w:ascii="Arial" w:hAnsi="Arial" w:cs="Arial"/>
          <w:sz w:val="24"/>
          <w:szCs w:val="24"/>
        </w:rPr>
        <w:t xml:space="preserve">There is a growing body of research (Tovey, 2017, Athey 2007, Bruce 1987, 1991 and 2021, Brodie 2014) that challenges the traditionally held view of a 'deficit child'. This evidence frames the child as capable of making choices and developing their thinking skills. More recent studies (Waters-Davies and MacDonald, 2022) have illustrated that children living in deprived areas and with language delay can also be capable of exploring, extending their learning and applying their knowledge when supported by an adult who uses terms such as 'I wonder…' and 'what would happen if…?'. However, an important gap between research findings and practice has been highlighted by Estyn and CIW in the most recent report of findings (2024) where just over 13% of settings inspected in 2022-23 were found to have pedagogy and practice which did not support children to become capable and competent. </w:t>
      </w:r>
    </w:p>
    <w:p w14:paraId="5CE9CC21" w14:textId="4547AB2C" w:rsidR="00D45615" w:rsidRPr="0066192D" w:rsidRDefault="00D45615" w:rsidP="00D45615">
      <w:pPr>
        <w:rPr>
          <w:rFonts w:ascii="Arial" w:hAnsi="Arial" w:cs="Arial"/>
          <w:sz w:val="24"/>
          <w:szCs w:val="24"/>
        </w:rPr>
      </w:pPr>
      <w:r w:rsidRPr="0066192D">
        <w:rPr>
          <w:rFonts w:ascii="Arial" w:hAnsi="Arial" w:cs="Arial"/>
          <w:sz w:val="24"/>
          <w:szCs w:val="24"/>
        </w:rPr>
        <w:t xml:space="preserve">Harper and Obee (2020) undertook research in Canada with a group of Forest School practitioners to explore how the practitioners articulate the benefits of outdoor risky play for child development. This study had ten participants who were recruited using snowball sampling and needed to have worked in forest school or nature school settings for at least one year. A semi-structured interview method was used for data collection, and these were carried out over the telephone. The findings of the study were analysed, and four main themes emerged including 'the child is competent'. The participants (8/10) identified that watching children playing had been the main way that they had developed their pedagogy and practice around risky </w:t>
      </w:r>
      <w:r w:rsidR="00EE037F" w:rsidRPr="0066192D">
        <w:rPr>
          <w:rFonts w:ascii="Arial" w:hAnsi="Arial" w:cs="Arial"/>
          <w:sz w:val="24"/>
          <w:szCs w:val="24"/>
        </w:rPr>
        <w:t>play,</w:t>
      </w:r>
      <w:r w:rsidRPr="0066192D">
        <w:rPr>
          <w:rFonts w:ascii="Arial" w:hAnsi="Arial" w:cs="Arial"/>
          <w:sz w:val="24"/>
          <w:szCs w:val="24"/>
        </w:rPr>
        <w:t xml:space="preserve"> and the observation of children revealed how competent and capable children are at managing their own safety. This idea holds congruence with the findings of Little (2022) and Little (2010). It seems to me as if the practitioners in this study had reached the threshold concept of the capable child through opportunities to work in forest schools and observe children carefully for at least one year. This limitation is recognised by the researchers as they note that selection may be a response bias. The challenge of navigating the tension between minimising injury and supporting child development was overcome in innovative ways, with the researchers noting that participants cited their own resilience as a factor. This is in contradiction to the findings of Jerebine et al (2022). In this research paper, the participants described children as 'precious cargo' and in his systematic review of children's voices regarding safety and risk (Jerebine, 2022a) he reports that children comment that all the fun stuff is too dangerous. Both studies concluded that there is a disparity between the play children want in schools and what they are allowed to do, and the constraining factors of the risk-averse practitioners stemmed from fears for children's safety and that they might be blamed if there was an injury. These findings suggest to me that the practitioners did not trust the children to be safe, unlike the participants in the study by Harper and Obee (2020). They are yet to see the child as capable of managing their own risk.</w:t>
      </w:r>
    </w:p>
    <w:p w14:paraId="1048E6DB" w14:textId="77777777" w:rsidR="00D45615" w:rsidRPr="0066192D" w:rsidRDefault="00D45615" w:rsidP="00D45615">
      <w:pPr>
        <w:rPr>
          <w:rFonts w:ascii="Arial" w:hAnsi="Arial" w:cs="Arial"/>
          <w:sz w:val="24"/>
          <w:szCs w:val="24"/>
        </w:rPr>
      </w:pPr>
      <w:r w:rsidRPr="0066192D">
        <w:rPr>
          <w:rFonts w:ascii="Arial" w:hAnsi="Arial" w:cs="Arial"/>
          <w:sz w:val="24"/>
          <w:szCs w:val="24"/>
        </w:rPr>
        <w:t xml:space="preserve">It would appear that a common thread within the implementation gap theme is that of the threshold concept of the competent and capable child. Farah (2023) suggests that the deficit views of young children persist as the screening and assessment </w:t>
      </w:r>
      <w:r w:rsidRPr="0066192D">
        <w:rPr>
          <w:rFonts w:ascii="Arial" w:hAnsi="Arial" w:cs="Arial"/>
          <w:sz w:val="24"/>
          <w:szCs w:val="24"/>
        </w:rPr>
        <w:lastRenderedPageBreak/>
        <w:t xml:space="preserve">tools used by early years practitioners position the child against a list of capacities that they don't have. Archer (2017) argues that the use of such assessments may result in the absence of care ethics and can shape a practitioner's frame of reference and possibly limit the language used to describe children's experiences. Murphy, Greenway and Conn (2024) found that often practitioners struggle to embrace new ways of working and thinking and transpose new ideas onto old ways of working. Whilst the findings of Murphy, Greenway and Conn (2024) are useful and can likely be generalised for those practitioners working in early years settings, it is important to note that this research was carried out with Additional Learning Needs Co-ordinators in schools in South Wales. It would be pertinent to extend this research to those practitioners with similar responsibilities working in early years childcare settings to glean whether the findings are similar. </w:t>
      </w:r>
    </w:p>
    <w:p w14:paraId="57CD235E" w14:textId="00459A3B" w:rsidR="00D45615" w:rsidRPr="0066192D" w:rsidRDefault="00D45615" w:rsidP="00D45615">
      <w:pPr>
        <w:rPr>
          <w:rFonts w:ascii="Arial" w:hAnsi="Arial" w:cs="Arial"/>
          <w:sz w:val="24"/>
          <w:szCs w:val="24"/>
        </w:rPr>
      </w:pPr>
      <w:r w:rsidRPr="0066192D">
        <w:rPr>
          <w:rFonts w:ascii="Arial" w:hAnsi="Arial" w:cs="Arial"/>
          <w:sz w:val="24"/>
          <w:szCs w:val="24"/>
        </w:rPr>
        <w:t xml:space="preserve">Slightly outside the search parameters of this literature review, but pertinent to the implementation gap is the attachment-informed approach to pedagogy and practice in childcare settings. Care Inspectorate Wales published a case study (2025) which showcased the work of a Flying Start setting in South Wales where the practitioners in the setting have improved their approach to supporting relationships and attachments, alongside encouraging children to explore whilst being mindful not to interfere. The showcase reports that practitioners stay close so that they can support them if needed and children know that they can turn to the adults for help if required. In her forthcoming paper, Pepper (forthcoming) acknowledges the importance of a whole-setting approach to professional learning so that attachment-informed approaches can be most effectively implemented, so that children benefit most. Similar conclusions were drawn by Greenhalgh et al., (2020) in their study which evaluated the perceptions of practitioners working in pupil referral units </w:t>
      </w:r>
      <w:r w:rsidR="004F4417" w:rsidRPr="0066192D">
        <w:rPr>
          <w:rFonts w:ascii="Arial" w:hAnsi="Arial" w:cs="Arial"/>
          <w:sz w:val="24"/>
          <w:szCs w:val="24"/>
        </w:rPr>
        <w:t>and</w:t>
      </w:r>
      <w:r w:rsidRPr="0066192D">
        <w:rPr>
          <w:rFonts w:ascii="Arial" w:hAnsi="Arial" w:cs="Arial"/>
          <w:sz w:val="24"/>
          <w:szCs w:val="24"/>
        </w:rPr>
        <w:t xml:space="preserve"> by Roberts et al. in their 2023 research paper which studied the perceived barriers of those in social care settings, to working in a trauma-informed way. Both studies correlated with the research findings of Pepper (forthcoming) that whole systems approach to attachment and trauma is needed, in which there is an awareness of the impact of trauma, structures are in place to best support staff in their work, and everyone has a shared understanding and approach to working with these children.</w:t>
      </w:r>
    </w:p>
    <w:p w14:paraId="73D2B5BF" w14:textId="77777777" w:rsidR="00D45615" w:rsidRPr="0066192D" w:rsidRDefault="00D45615" w:rsidP="00D45615">
      <w:pPr>
        <w:rPr>
          <w:rFonts w:ascii="Arial" w:hAnsi="Arial" w:cs="Arial"/>
          <w:sz w:val="24"/>
          <w:szCs w:val="24"/>
        </w:rPr>
      </w:pPr>
      <w:r w:rsidRPr="0066192D">
        <w:rPr>
          <w:rFonts w:ascii="Arial" w:hAnsi="Arial" w:cs="Arial"/>
          <w:sz w:val="24"/>
          <w:szCs w:val="24"/>
        </w:rPr>
        <w:t xml:space="preserve">It is important to note here however that the research carried out by Greenhalgh et al., (2020) and Roberts et al. (2023) does not focus on practitioners working with children in the early years. This presents a gap in the research in this field and as a result attachment-informed practice, in particular Circle of Security, could provide the lens for the action research which is proposed in the conclusion. </w:t>
      </w:r>
    </w:p>
    <w:p w14:paraId="7593501A" w14:textId="77777777" w:rsidR="00D45615" w:rsidRPr="0066192D" w:rsidRDefault="00D45615" w:rsidP="00D45615">
      <w:pPr>
        <w:rPr>
          <w:rFonts w:ascii="Arial" w:hAnsi="Arial" w:cs="Arial"/>
          <w:sz w:val="24"/>
          <w:szCs w:val="24"/>
        </w:rPr>
      </w:pPr>
      <w:r w:rsidRPr="0066192D">
        <w:rPr>
          <w:rFonts w:ascii="Arial" w:hAnsi="Arial" w:cs="Arial"/>
          <w:sz w:val="24"/>
          <w:szCs w:val="24"/>
        </w:rPr>
        <w:t xml:space="preserve">In my own experience, I would argue that the implementation gap can also be attributed to the local interpretation of the approaches discussed in the previous themes. Whilst acknowledging this, however, the scope of this review does not allow for further exploration of this argument at this point. </w:t>
      </w:r>
    </w:p>
    <w:p w14:paraId="2F74EF0E" w14:textId="1485657F" w:rsidR="00D45615" w:rsidRPr="0066192D" w:rsidRDefault="00D45615" w:rsidP="00D45615">
      <w:pPr>
        <w:rPr>
          <w:rFonts w:ascii="Arial" w:hAnsi="Arial" w:cs="Arial"/>
          <w:sz w:val="24"/>
          <w:szCs w:val="24"/>
        </w:rPr>
      </w:pPr>
      <w:r w:rsidRPr="0066192D">
        <w:rPr>
          <w:rFonts w:ascii="Arial" w:hAnsi="Arial" w:cs="Arial"/>
          <w:sz w:val="24"/>
          <w:szCs w:val="24"/>
        </w:rPr>
        <w:t>The Curriculum was designed to be authentically Welsh and genuine co-construction (Sinnema, Nieveen and Priestley, 2020) with practitioners attempt</w:t>
      </w:r>
      <w:r w:rsidR="007A1613">
        <w:rPr>
          <w:rFonts w:ascii="Arial" w:hAnsi="Arial" w:cs="Arial"/>
          <w:sz w:val="24"/>
          <w:szCs w:val="24"/>
        </w:rPr>
        <w:t>ed</w:t>
      </w:r>
      <w:r w:rsidRPr="0066192D">
        <w:rPr>
          <w:rFonts w:ascii="Arial" w:hAnsi="Arial" w:cs="Arial"/>
          <w:sz w:val="24"/>
          <w:szCs w:val="24"/>
        </w:rPr>
        <w:t xml:space="preserve"> to overcome these factors described in the previous paragraph. The curriculum (Welsh Government, 2022) tells practitioners that they need to perceive children as capable </w:t>
      </w:r>
      <w:r w:rsidRPr="0066192D">
        <w:rPr>
          <w:rFonts w:ascii="Arial" w:hAnsi="Arial" w:cs="Arial"/>
          <w:sz w:val="24"/>
          <w:szCs w:val="24"/>
        </w:rPr>
        <w:lastRenderedPageBreak/>
        <w:t xml:space="preserve">learners. However, as Cousin (2015) points out this process of challenging the 'common sense' understanding is troublesome because the reversal of the 'understanding' can involve an uncomfortable, emotional repositioning. Moreover, practitioners can only reconstruct their thinking for themselves. They must discard all notions that they hold that a child is </w:t>
      </w:r>
      <w:r w:rsidR="00EE037F" w:rsidRPr="0066192D">
        <w:rPr>
          <w:rFonts w:ascii="Arial" w:hAnsi="Arial" w:cs="Arial"/>
          <w:sz w:val="24"/>
          <w:szCs w:val="24"/>
        </w:rPr>
        <w:t>incapable,</w:t>
      </w:r>
      <w:r w:rsidRPr="0066192D">
        <w:rPr>
          <w:rFonts w:ascii="Arial" w:hAnsi="Arial" w:cs="Arial"/>
          <w:sz w:val="24"/>
          <w:szCs w:val="24"/>
        </w:rPr>
        <w:t xml:space="preserve"> and that the adult role is to support them to become less deficient. (Neaum, 2016, Meyer &amp; Land, 2003, Kurt, 2022). There does appear to be a gap in the research in this field which determines the obstacles to the conjecture of the capable child and supports practitioners to get to the point where they can no longer 'unsee' children as capable.  </w:t>
      </w:r>
    </w:p>
    <w:p w14:paraId="3403BE6F" w14:textId="77777777" w:rsidR="00D45615" w:rsidRPr="0066192D" w:rsidRDefault="00D45615" w:rsidP="00D45615">
      <w:pPr>
        <w:rPr>
          <w:rFonts w:ascii="Arial" w:hAnsi="Arial" w:cs="Arial"/>
          <w:b/>
          <w:bCs/>
          <w:sz w:val="24"/>
          <w:szCs w:val="24"/>
          <w:u w:val="single"/>
        </w:rPr>
      </w:pPr>
      <w:r w:rsidRPr="0066192D">
        <w:rPr>
          <w:rFonts w:ascii="Arial" w:hAnsi="Arial" w:cs="Arial"/>
          <w:b/>
          <w:bCs/>
          <w:sz w:val="24"/>
          <w:szCs w:val="24"/>
          <w:u w:val="single"/>
        </w:rPr>
        <w:t>Conclusion</w:t>
      </w:r>
    </w:p>
    <w:p w14:paraId="0EAD73B5" w14:textId="2391CB6C" w:rsidR="00D45615" w:rsidRPr="0066192D" w:rsidRDefault="00D45615" w:rsidP="00D45615">
      <w:pPr>
        <w:rPr>
          <w:rFonts w:ascii="Arial" w:hAnsi="Arial" w:cs="Arial"/>
          <w:sz w:val="24"/>
          <w:szCs w:val="24"/>
        </w:rPr>
      </w:pPr>
      <w:r w:rsidRPr="0066192D">
        <w:rPr>
          <w:rFonts w:ascii="Arial" w:hAnsi="Arial" w:cs="Arial"/>
          <w:sz w:val="24"/>
          <w:szCs w:val="24"/>
        </w:rPr>
        <w:t xml:space="preserve">It seems to me that much of the research that has been carried out already is focused on children who are older than three years </w:t>
      </w:r>
      <w:r w:rsidR="004F4417" w:rsidRPr="0066192D">
        <w:rPr>
          <w:rFonts w:ascii="Arial" w:hAnsi="Arial" w:cs="Arial"/>
          <w:sz w:val="24"/>
          <w:szCs w:val="24"/>
        </w:rPr>
        <w:t>apart from</w:t>
      </w:r>
      <w:r w:rsidRPr="0066192D">
        <w:rPr>
          <w:rFonts w:ascii="Arial" w:hAnsi="Arial" w:cs="Arial"/>
          <w:sz w:val="24"/>
          <w:szCs w:val="24"/>
        </w:rPr>
        <w:t xml:space="preserve"> the research project undertaken by Waters-Davies and MacDonald (2022) which was carried out in South Wales, with a cohort of Flying Start practitioners working with two-year-olds. This study was important as it provided new knowledge for those in advisory positions, namely that professional learning needs to attend to the construct of the capable child in a manner that genuinely challenges deficit notions and engages us with troublesome ideas (Waters-Davies and MacDonald, 2022). This would be the research that I would hope to build upon. The nature of my role as a Flying Start Advisory Teacher and Responsible Individual for the two local authority settings, alongside living in an area of socio-economic deprivation places me as an insider researcher, which allows me to have more understanding of the research, context and the phenomena being studied (Saidin, 2017). There would be ethical implications to consider (Bera, 2024) given the nature of the dual role of the researcher (Bell and Waters, 2024) as the Responsible Individual</w:t>
      </w:r>
      <w:r w:rsidR="007B395A">
        <w:rPr>
          <w:rStyle w:val="FootnoteReference"/>
          <w:rFonts w:ascii="Arial" w:hAnsi="Arial" w:cs="Arial"/>
          <w:sz w:val="24"/>
          <w:szCs w:val="24"/>
        </w:rPr>
        <w:footnoteReference w:id="2"/>
      </w:r>
      <w:r w:rsidRPr="0066192D">
        <w:rPr>
          <w:rFonts w:ascii="Arial" w:hAnsi="Arial" w:cs="Arial"/>
          <w:sz w:val="24"/>
          <w:szCs w:val="24"/>
        </w:rPr>
        <w:t xml:space="preserve"> of the setting, the participants would need to be assured that any finding would not have any repercussions for their work.</w:t>
      </w:r>
    </w:p>
    <w:p w14:paraId="2F3C8FE4" w14:textId="15A83654" w:rsidR="00D45615" w:rsidRPr="0066192D" w:rsidRDefault="00D45615" w:rsidP="00D45615">
      <w:pPr>
        <w:rPr>
          <w:rFonts w:ascii="Arial" w:hAnsi="Arial" w:cs="Arial"/>
          <w:sz w:val="24"/>
          <w:szCs w:val="24"/>
        </w:rPr>
      </w:pPr>
      <w:r w:rsidRPr="0066192D">
        <w:rPr>
          <w:rFonts w:ascii="Arial" w:hAnsi="Arial" w:cs="Arial"/>
          <w:sz w:val="24"/>
          <w:szCs w:val="24"/>
        </w:rPr>
        <w:t>It is important to research this question so that practice which does not support children to be curious and capable can be challenged and suitable professional learning offered to practitioners. Water-Davies and MacDonald (2022) suggest that such practice which limits opportunities for children to be curious and develop their thinking skills may be built upon an understanding that there is a hierarchy of skill development, and that language skill precedes curiosity, that children without language cannot engage in play that is driven by curiosity or enquiry. However, as argued by Siraj-Blatchford (20</w:t>
      </w:r>
      <w:r w:rsidR="00EF0D7E">
        <w:rPr>
          <w:rFonts w:ascii="Arial" w:hAnsi="Arial" w:cs="Arial"/>
          <w:sz w:val="24"/>
          <w:szCs w:val="24"/>
        </w:rPr>
        <w:t>02</w:t>
      </w:r>
      <w:r w:rsidRPr="0066192D">
        <w:rPr>
          <w:rFonts w:ascii="Arial" w:hAnsi="Arial" w:cs="Arial"/>
          <w:sz w:val="24"/>
          <w:szCs w:val="24"/>
        </w:rPr>
        <w:t>) children need language to develop thinking skills, and the more thinking they are doing, the more their language will develop. What is problematic here is that overcoming a belief that young children are incapable requires a re-construction of how we see children (Water</w:t>
      </w:r>
      <w:r w:rsidR="0014252F">
        <w:rPr>
          <w:rFonts w:ascii="Arial" w:hAnsi="Arial" w:cs="Arial"/>
          <w:sz w:val="24"/>
          <w:szCs w:val="24"/>
        </w:rPr>
        <w:t>s</w:t>
      </w:r>
      <w:r w:rsidRPr="0066192D">
        <w:rPr>
          <w:rFonts w:ascii="Arial" w:hAnsi="Arial" w:cs="Arial"/>
          <w:sz w:val="24"/>
          <w:szCs w:val="24"/>
        </w:rPr>
        <w:t xml:space="preserve">-Davies and MacDonald, 2022) and a commitment to resist the dominant discourse of deficiency, </w:t>
      </w:r>
      <w:r w:rsidRPr="0066192D">
        <w:rPr>
          <w:rFonts w:ascii="Arial" w:hAnsi="Arial" w:cs="Arial"/>
          <w:sz w:val="24"/>
          <w:szCs w:val="24"/>
        </w:rPr>
        <w:lastRenderedPageBreak/>
        <w:t xml:space="preserve">developmentalism and readiness (Ashworth, 2016). This 're-construction' requires deep exploration of the concept of 'capable' and would require empathy with our childhood selves and subsequently our adult relationship with children. Meyer and Land (2003) discuss the threshold concept and how it transforms ways of thinking. However, Hoffman, Cooper and Powell (2017) remind us that 'It's hard to give what we weren't given' and if as children practitioners were instructed through formal methods and not supported to be curious it might be difficult to know how to offer this opportunity to the children in the setting. </w:t>
      </w:r>
    </w:p>
    <w:p w14:paraId="609BA301" w14:textId="4168ECF4" w:rsidR="00D45615" w:rsidRPr="0066192D" w:rsidRDefault="00D45615" w:rsidP="00D45615">
      <w:pPr>
        <w:rPr>
          <w:rFonts w:ascii="Arial" w:hAnsi="Arial" w:cs="Arial"/>
          <w:sz w:val="24"/>
          <w:szCs w:val="24"/>
        </w:rPr>
      </w:pPr>
      <w:r w:rsidRPr="0066192D">
        <w:rPr>
          <w:rFonts w:ascii="Arial" w:hAnsi="Arial" w:cs="Arial"/>
          <w:sz w:val="24"/>
          <w:szCs w:val="24"/>
        </w:rPr>
        <w:t>It might be appropriate to consider an approach with congruence to the findings from research on how young children learn and make sense of the world and their experiences. Louis (2013) suggests that young children take their 'lived' experience and make the external experience become internal thought. She continues by imploring practitioners to watch play carefully as it will be these careful observations that may reveal the child re-presenting their lived, real-life experience in the play scenarios. This holds congruence with the theoretical account of Baker, Le Courtois and Eberhart (2023) who conclude that practitioners should observe children playing with agency in mind. Bruce (2021) argues that skilled adults can observe 'children's voice' through the way that children approach their play or the way that they viscerally unfold body movements to connect they always present internal voice with the outside world (Guard, 2023) This method relies less on what a child can articulate orally and more on what their play can show the interested adult (Burke et al, 2024) This research would hopefully start a discourse with practitioners in which they are invited to consider the views of the children and reflect on the opportunities that they offer. This may become some setting-based action research (dude here) in which pedagogies to support curiosity (Sylva, 2004) are utilised (with guidance from the researcher) with a view to support the re-construction (Waters-Davies and MacDonald, 2022) of their concept of the children and their capabilities.</w:t>
      </w:r>
    </w:p>
    <w:p w14:paraId="26DF88CE" w14:textId="77777777" w:rsidR="00ED562F" w:rsidRPr="0066192D" w:rsidRDefault="00ED562F" w:rsidP="00D45615">
      <w:pPr>
        <w:rPr>
          <w:rFonts w:ascii="Arial" w:hAnsi="Arial" w:cs="Arial"/>
          <w:sz w:val="24"/>
          <w:szCs w:val="24"/>
        </w:rPr>
      </w:pPr>
    </w:p>
    <w:p w14:paraId="7942E10C" w14:textId="54FAFFFE" w:rsidR="00ED562F" w:rsidRPr="0066192D" w:rsidRDefault="00ED562F" w:rsidP="00D45615">
      <w:pPr>
        <w:rPr>
          <w:rFonts w:ascii="Arial" w:hAnsi="Arial" w:cs="Arial"/>
          <w:sz w:val="24"/>
          <w:szCs w:val="24"/>
        </w:rPr>
      </w:pPr>
      <w:r w:rsidRPr="0066192D">
        <w:rPr>
          <w:rFonts w:ascii="Arial" w:hAnsi="Arial" w:cs="Arial"/>
          <w:sz w:val="24"/>
          <w:szCs w:val="24"/>
        </w:rPr>
        <w:t>6</w:t>
      </w:r>
      <w:r w:rsidR="005052C0">
        <w:rPr>
          <w:rFonts w:ascii="Arial" w:hAnsi="Arial" w:cs="Arial"/>
          <w:sz w:val="24"/>
          <w:szCs w:val="24"/>
        </w:rPr>
        <w:t>071</w:t>
      </w:r>
    </w:p>
    <w:p w14:paraId="42BD852B" w14:textId="77777777" w:rsidR="009E0080" w:rsidRPr="0066192D" w:rsidRDefault="009E0080" w:rsidP="00D45615">
      <w:pPr>
        <w:rPr>
          <w:rFonts w:ascii="Arial" w:hAnsi="Arial" w:cs="Arial"/>
          <w:sz w:val="24"/>
          <w:szCs w:val="24"/>
        </w:rPr>
      </w:pPr>
    </w:p>
    <w:p w14:paraId="2E5CDE50" w14:textId="77777777" w:rsidR="007D4377" w:rsidRPr="007D4377" w:rsidRDefault="007D4377" w:rsidP="007D4377">
      <w:pPr>
        <w:rPr>
          <w:rFonts w:ascii="Arial" w:hAnsi="Arial" w:cs="Arial"/>
          <w:b/>
          <w:bCs/>
          <w:sz w:val="24"/>
          <w:szCs w:val="24"/>
          <w:lang w:val="en-US"/>
        </w:rPr>
      </w:pPr>
      <w:r w:rsidRPr="007D4377">
        <w:rPr>
          <w:rFonts w:ascii="Arial" w:hAnsi="Arial" w:cs="Arial"/>
          <w:b/>
          <w:bCs/>
          <w:sz w:val="24"/>
          <w:szCs w:val="24"/>
          <w:lang w:val="en-US"/>
        </w:rPr>
        <w:t>Reference List</w:t>
      </w:r>
    </w:p>
    <w:p w14:paraId="3BC97808"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Alderson, P. (2007) ‘Competent children? Minors’ consent to health care treatment and research’, Social Science &amp; Medicine, 65(11), pp. 2272–2283. Available at: https://doi.org/10.1016/j.socscimed.2007.08.005.</w:t>
      </w:r>
    </w:p>
    <w:p w14:paraId="3B0EA3FF"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Archer, N. (2017). Where is the ethic of care in early childhood summative assessment? Global Studies of Childhood, 7(4), 357-368. https://doi.org/10.1177/2043610617747983</w:t>
      </w:r>
    </w:p>
    <w:p w14:paraId="3BB6465A"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Arseven, Ayla. (2014). The Reggio Emilia approach and curriculum development process. International Journal of Academic Research. 6. 166-171. 10.7813/2075-4124.2014/6-1/B.23.</w:t>
      </w:r>
    </w:p>
    <w:p w14:paraId="5AB5C6EE"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lastRenderedPageBreak/>
        <w:t>Ashworth, H. (2016) ‘Students’ acquisition of a threshold concept in childhood and youth studies’, Innovations in Education and Teaching International, 53(1), pp. 94–103. doi: 10.1080/14703297.2014.1003953.</w:t>
      </w:r>
    </w:p>
    <w:p w14:paraId="0A9D894E"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Athey, C., (2007). Extending Thought in Young Children A Parent-Teacher Partnership. Second ed. London: Paul Chapman Publishing.</w:t>
      </w:r>
    </w:p>
    <w:p w14:paraId="58A93DF1"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Baker, S., Le Courtois, S., &amp; Eberhart, J. (2023) Making space for children’s agency with playful learning, International Journal of Early Years Education, 31:2, 372-384, DOI: 10.1080/09669760.2021.1997726</w:t>
      </w:r>
    </w:p>
    <w:p w14:paraId="6FBA20C3"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Baxter C. (2007). “Making connections”: Early childhood teachers recreating meaning: Contextualizing Reggio Emilia pedagogy master’s thesis, Macquarie University. Available at: https://hdl.handle.net/1959.14/659</w:t>
      </w:r>
    </w:p>
    <w:p w14:paraId="5287CD5A"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Bell, J. and Waters, S. (2024) Doing Your Research project: A guide for first-time researchers. 7th edn. London: McGraw-Hill Education.</w:t>
      </w:r>
    </w:p>
    <w:p w14:paraId="3EDDE0EB"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Bera. (2024). Ethical Guidelines for Educational Research FIFTH EDITION (2024) Available at: Ethical-Guidelines-for-Educational-Research-5th-edition.pdf (bera.ac.uk)</w:t>
      </w:r>
    </w:p>
    <w:p w14:paraId="610A6E70"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Booth, A., Sutton, A. and Papaioannou, D. (2021) Systematic Approaches to a Successful Literature Review. SAGE.</w:t>
      </w:r>
    </w:p>
    <w:p w14:paraId="683B9B12"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Bruce, T., 1987. Early childhood Education. 2 ed. London: Hodder and Stoughten.</w:t>
      </w:r>
    </w:p>
    <w:p w14:paraId="51B90051"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Bruce, T., 1991. Time to Play in Early Childhood Education. London: Hodder and Stoughton.</w:t>
      </w:r>
    </w:p>
    <w:p w14:paraId="414E0A27"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Bruce, T., 2021. Friedrich Froebel A Critical Introduction to Key Themes and Debates. London: Bloomsbury Publishing.</w:t>
      </w:r>
    </w:p>
    <w:p w14:paraId="69E85521"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Bullard, H. (2022) Forest School and Froebel: Learning from the past, Froebel Trust. Available at: https://www.froebel.org.uk/training-and-resources/children-and-nature/forest-school-and-froebel-learning-from-the-past.</w:t>
      </w:r>
    </w:p>
    <w:p w14:paraId="1116C076"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Burke, L., Jindal-Snape, D., Lindsay, A., Whyte, S., Wallace, M., Mercieca, D., McKenzie, M., &amp; Keatch, B. (2024) Spaces for play: listening to children’s voices, Education 3-13, DOI: 10.1080/03004279.2024.2318254:</w:t>
      </w:r>
    </w:p>
    <w:p w14:paraId="30E230CE"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Bywaters, P., Skinner, G., With Cooper, A., Kennedy, E., Malik, A. (2022). The Relationship Between Poverty and Child Abuse and Neglect: New Evidence. Nuffield Foundation.</w:t>
      </w:r>
    </w:p>
    <w:p w14:paraId="707722AE"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CLARK, A., &amp; FLEWITT, R. (2020). The Competent Child: valuing all young children as knowledgeable commentators on their own lives. Review of Science, Mathematics and ICT Education, 14(2), 9-24. doi: https://doi.org/10.26220/rev.3369</w:t>
      </w:r>
    </w:p>
    <w:p w14:paraId="257A50DE"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Care Inspectorate Wales. (2025) First Friends – Managing children's 'big feelings' based on well-being and mental health approach First Friends Case Study English</w:t>
      </w:r>
    </w:p>
    <w:p w14:paraId="607D1E9A"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lastRenderedPageBreak/>
        <w:t>Chicken, S. (2022). ‘Doing Reggio?’ Exploring the complexity of ‘curriculum’ migration through a comparison of Reggio Emilia, Italy and the EYFS, England. Global Studies of Childhood, 13(4), 322-340. https://doi.org/10.1177/20436106211068041 (Original work published 2023)</w:t>
      </w:r>
    </w:p>
    <w:p w14:paraId="3B0BDE80"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Children Are Capable and Competent Yet Potentially Vulnerable — Sage Research Methods Community</w:t>
      </w:r>
    </w:p>
    <w:p w14:paraId="5163A532"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Clough, P. and Nutbrown, C. (2007) A Student’s Guide to Methodology. SAGE.</w:t>
      </w:r>
    </w:p>
    <w:p w14:paraId="76C5610D"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Conn, C, Murphy, A &amp; Greenway, C 2024, Margins of manoeuvrability for inclusive education. in C Conn, B Mitchell &amp; M Hutt (eds), Working with Uncertainty for Educational Change: Orientations for Professional Practice. Routledge, pp. 169-184. https://doi.org/10.4324/9781032688770-12</w:t>
      </w:r>
    </w:p>
    <w:p w14:paraId="0D293386"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Cousin, G. (2006) ‘An introduction to threshold concepts’, Planet, 17(1), pp. 4–5. doi: 10.11120/plan.2006.00170004.</w:t>
      </w:r>
    </w:p>
    <w:p w14:paraId="00AA62A4"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Education Endowment Foundation (2023) Play-based learning, EEF. education-endowment-foundation. Available at: https://educationendowmentfoundation.org.uk/early-years/toolkit/play-based-learning.</w:t>
      </w:r>
    </w:p>
    <w:p w14:paraId="2396E195"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 xml:space="preserve">Else, P. (2009) The Value of Play. 1st edn. Bloomsbury Publishing. </w:t>
      </w:r>
      <w:r w:rsidRPr="007D4377">
        <w:rPr>
          <w:rFonts w:ascii="Arial" w:hAnsi="Arial" w:cs="Arial"/>
          <w:sz w:val="24"/>
          <w:szCs w:val="24"/>
          <w:lang w:val="en-US"/>
        </w:rPr>
        <w:tab/>
        <w:t>Bruce, T. (1991) Time to play in early childhood education. London: Hodder &amp; Stoughton.</w:t>
      </w:r>
    </w:p>
    <w:p w14:paraId="6E58C6DA"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Estyn. (2024). Impact of poverty on educational attainment, support, provision and transition for early education. Retrieved from Thematic Report: Impact of poverty on educational attainment, support, provision and transition for early education - Estyn.</w:t>
      </w:r>
    </w:p>
    <w:p w14:paraId="5ED1879A"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Farah, W. (2023) In conversation with Warda Farah, speech and language therapist — Siren Films</w:t>
      </w:r>
    </w:p>
    <w:p w14:paraId="274BFE7B"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Garden, A. (2024) ‘Foucault and power: UK forest school as a socially constructed space for early years teachers and forest school leaders’, Education 3-13, pp. 1–14. doi: 10.1080/03004279.2024.2404687.</w:t>
      </w:r>
    </w:p>
    <w:p w14:paraId="296E7EDD"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Gramling, M. (2015) The great disconnect in early childhood education: what we know vs. what we do. St. Paul, Mn: Redleaf Press.</w:t>
      </w:r>
    </w:p>
    <w:p w14:paraId="0F05B762"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Greenhalgh, R., Fflur, S., Donnelly, K., Kirkaldie, H., &amp; McDonnell, L. (2020). An evaluation of the impact of attachment and trauma training for pupil referral unit staff. Developmental Child Welfare, 2(2), 75-91. https://doi.org/10.1177/2516103220915482 (Original work published 2020)</w:t>
      </w:r>
    </w:p>
    <w:p w14:paraId="6958EEEF"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Grieshaber, S &amp; McArdle, F. (2010). The trouble with play. Open University Press, London.</w:t>
      </w:r>
    </w:p>
    <w:p w14:paraId="13D339D8"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Guard, G. (2023) ‘It’s the little bits that you have enabled me to see’. Reconceptualising the voices of babies using the video interaction dialogue model with early years educators, Early Years, 43:3, 606-625, DOI: 10.1080/09575146.2023.2190498</w:t>
      </w:r>
    </w:p>
    <w:p w14:paraId="295EBFFA"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lastRenderedPageBreak/>
        <w:t>Guo, K., &amp; Rouse, E. (2024). Searching for evidence-based practice: A qualitative metasynthesis of the research on Reggio Emilia practices in Australian early years settings. Australian Journal of Education, 69(1), 58-78. https://doi.org/10.1177/00049441241302831 (Original work published 2025)</w:t>
      </w:r>
    </w:p>
    <w:p w14:paraId="32F7AF9D"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Hall C. (2013). Implementing a Reggio Emilia inspired approach in a mainstream Western Australian context: The impact on early childhood teachers' professional role master’s thesis, Edith Cowan University. Available at: https://ro.ecu.edu.au/theses/1082/</w:t>
      </w:r>
    </w:p>
    <w:p w14:paraId="6318F30C"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Harper, N.J. and Obee, P. (2020) ‘Articulating outdoor risky play in early childhood education: voices of forest and nature school practitioners’, Journal of Adventure Education and Outdoor Learning, 21(2), pp. 1–11. Available at: https://doi.org/10.1080/14729679.2020.1784766.</w:t>
      </w:r>
    </w:p>
    <w:p w14:paraId="4F310B78"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Hoffman, K., Cooper, G., &amp; Powell, B. (2017). Raising a Secure Child. New York: The Guilford Press.</w:t>
      </w:r>
    </w:p>
    <w:p w14:paraId="2791DAF4"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Jerebine, A., Fitton-Davies, K., Lander, N., Eyre, E. L. J., Duncan, M. J., &amp; Barnett, L. M. (2022). "Children are precious cargo; we don't let them take any risks!": Hearing from adults on safety and risk in children's active play in schools: a systematic review. The international journal of behavioral nutrition and physical activity, 19(1), 111. https://doi.org/10.1186/s12966-022-01344-7</w:t>
      </w:r>
    </w:p>
    <w:p w14:paraId="21898CBF"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Jerebine, A. et al. (2022a) ‘“All the fun stuff, the teachers say, ‘that’s dangerous!’” Hearing from children on safety and risk in active play in schools: a systematic review’, International Journal of Behavioral Nutrition and Physical Activity, 19(1). Available at: https://doi.org/10.1186/s12966-022-01305-0</w:t>
      </w:r>
    </w:p>
    <w:p w14:paraId="34E94784"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Kurt, Ş.H. (2022). Perceptions of Children and Childhood in the Context of New Childhood Sociology. Child Ind Res, 15, 731–746. https://doi.org/10.1007/s12187-021-09881-6</w:t>
      </w:r>
    </w:p>
    <w:p w14:paraId="74695B68"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Kuschner, D. (2015). Play and early childhood education. In J. E. Johnson, S. G. Eberle, T. S. Henricks, &amp; D. Kuschner (Eds.), The handbook of the study of play (pp. 287–298). Lanham, MD: Rowman &amp; Littlefield.</w:t>
      </w:r>
    </w:p>
    <w:p w14:paraId="08E4976D"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Lahman, L. (2022) Children Are Capable and Competent Yet Potentially Vulnerable</w:t>
      </w:r>
    </w:p>
    <w:p w14:paraId="4491E0C7"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Little, H. (2010) 'Finding the balance: early childhood practitioners' views on risk, challenge and safety in outdoor play settings', in Australian Association for Research in Education Conference (AARE) 2010 Conference, (28 November - 2 December 2010, Melbourne)</w:t>
      </w:r>
    </w:p>
    <w:p w14:paraId="2B690444"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Little, H. (2022) ‘“It’s about Taking the Risk”: Exploring Toddlers’ Risky Play in a Redesigned Outdoor Space’, Education Sciences, 12(10), p. 677. Available at: https://doi.org/10.3390/educsci12100677.</w:t>
      </w:r>
    </w:p>
    <w:p w14:paraId="76D57399"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Louis, S., Beswick, C., Magraw, L., and Hayes, L. (2013). Understanding Schemas in Young Children Again! Again! (second ed.). (S. Featherstone, Ed.) London: Featherstine, Bloomsbury Publishing PLC.</w:t>
      </w:r>
    </w:p>
    <w:p w14:paraId="75C0BF0C"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lastRenderedPageBreak/>
        <w:t>Manera, L. (2022). The Reggio Emilia Approach to Early Childhood Education. An Analysis to Its Inclusive Perspectives and Their Relationships to Aesthetic Aspects. In: Postiglione, E. (eds) Fostering Inclusion in Education. Palgrave Macmillan, Cham. https://doi.org/10.1007/978-3-031-07492-9_7</w:t>
      </w:r>
    </w:p>
    <w:p w14:paraId="7E6E22F8"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Mayo, A., &amp; Siraj, I. (2015). Parenting practices and children’s academic success in low-SES families. Oxford Review of Education.</w:t>
      </w:r>
    </w:p>
    <w:p w14:paraId="62408EC9"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McAteer, M., 2013.  Action Research in Education. BERA/SAGE Research Methods in Education. London: SAGE Publications Ltd. Available at: &lt;https://doi.org/10.4135/9781473913967&gt; [Accessed 16 May 2025].</w:t>
      </w:r>
    </w:p>
    <w:p w14:paraId="61B29740"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McFarland, L. and Laird, S.G. (2018) ‘Parents’ and Early Childhood Educators’ Attitudes and Practices in Relation to Children’s Outdoor Risky Play’, Early Childhood Education Journal, 46(2), pp. 159–168. Available at: https://doi.org/10.1007/s10643-017-0856-8.</w:t>
      </w:r>
    </w:p>
    <w:p w14:paraId="1B61511D"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McMahon, S. (2016) ‘Early Years Professional Status: A Narrative Study of Leadership and Contradictory Professionalism’.</w:t>
      </w:r>
    </w:p>
    <w:p w14:paraId="7F71775C"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McNally, S. A. and Slutsky, R. (2016) ‘Key elements of the Reggio Emilia approach and how they are interconnected to create the highly regarded system of early childhood education’, Early Child Development and Care, 187(12), pp. 1925–1937. doi: 10.1080/03004430.2016.1197920.</w:t>
      </w:r>
    </w:p>
    <w:p w14:paraId="3EFCFC9B"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Meyer, J. H. F. and Land, R. (2003) Threshold concepts and troublesome knowledge. 1. Linkages to ways of thinking and practising. In: Rust, C. (Ed.) Improving Student Learning – Ten Years On. Oxford Brookes University: Oxford Centre for Staff and Learning Development.</w:t>
      </w:r>
    </w:p>
    <w:p w14:paraId="0A73ADA3"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Morley, D. J. (2014). Academic Phrasebank: A compendium of commonly used phrasal elements in academic English. Manchester: The University of Manchester.</w:t>
      </w:r>
    </w:p>
    <w:p w14:paraId="12D90C33"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Moyles, J.R. (2010) The Excellence of Play. 3rd edn. Maidenhead: Open University Press.</w:t>
      </w:r>
    </w:p>
    <w:p w14:paraId="2BB5CD08"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Murphy, A., Greenway, C., &amp; Conn, C. (2024). Negotiating additional learning needs reform in Wales: The voice of the ALNCo. British Journal of Special Education, 00, 1–9. https://doi.org/10.1111/1467-8578.12568</w:t>
      </w:r>
    </w:p>
    <w:p w14:paraId="788770D6"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National School of Healthcare Science (2022) Understanding different types of bias — Conscious inclusion - Equality, diversity and inclusion - About, NHS England. Available at: https://nshcs.hee.nhs.uk/about/equality-diversity-and-inclusion/conscious-inclusion/understanding-different-types-of-bias/.</w:t>
      </w:r>
    </w:p>
    <w:p w14:paraId="7F00C623"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Neaum, S. (2016). School readiness and pedagogies of Competence and Performance: theorising the troubled relationship between early years and early years policy. International Journal of Early Years Education, 24(3), 239–253. https://doi.org/10.1080/09669760.2016.1205970</w:t>
      </w:r>
    </w:p>
    <w:p w14:paraId="5BBE2B6B"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Oliver, P. (2012) Succeeding with your literature review: A handbook for students. Maidenhead: Open University Press.</w:t>
      </w:r>
    </w:p>
    <w:p w14:paraId="299487B5"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lastRenderedPageBreak/>
        <w:t>Patton, M. Q. (2002). Qualitative research and evaluation methods. London, UK: Sage.</w:t>
      </w:r>
    </w:p>
    <w:p w14:paraId="4226EA71"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Pepper, R. (Forthcoming) Evaluating the Circle of Security Classroom approach with childcare practitioners.</w:t>
      </w:r>
    </w:p>
    <w:p w14:paraId="69FCDA06"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Priya, A. (2021). Case Study Methodology of Qualitative Research: Key Attributes and Navigating the Conundrums in Its Application. Sociological Bulletin, 70(1), 94-110. https://doi.org/10.1177/0038022920970318</w:t>
      </w:r>
    </w:p>
    <w:p w14:paraId="24450461"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Roberts, G., Halstead, S., Pepper, R., &amp; McDonnell, L. (2023). Social care professionals’ perceived barriers to implementing attachment and trauma-informed care training in their practice. Developmental Child Welfare, 5(1), 3-20. https://doi.org/10.1177/25161032231153643 (Original work published 2023)</w:t>
      </w:r>
    </w:p>
    <w:p w14:paraId="06C5BBCF"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Roberts-Holmes, G. (2023) Doing your early years research project a step-by-step guide. 5th edn. London: SAGE.</w:t>
      </w:r>
    </w:p>
    <w:p w14:paraId="6AC29B03"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Ryan, P. (2025) Friedrich Froebel: His Principles, Play Theory, and Legacy in Education, Early Excellence. Available at: https://earlyexcellence.com/practice-and-pedagogy/friedrich-froebel-theory/.</w:t>
      </w:r>
    </w:p>
    <w:p w14:paraId="46C19F60"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Saidin, Khaliza. (2017). Insider researchers: challenges &amp; opportunities. Proceedings of the ICECRS. 1. 10.21070/picecrs.v1i1.563.</w:t>
      </w:r>
    </w:p>
    <w:p w14:paraId="0D0C0530"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Salamon, A. and Harrison, L. (2015) ‘Early childhood educators’ conceptions of infants’ capabilities: the nexus between beliefs and practice’, Early Years, 35(3), pp. 273–288. doi: 10.1080/09575146.2015.1042961.</w:t>
      </w:r>
    </w:p>
    <w:p w14:paraId="212FB7B7"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Sandseter, E. B. H., Cordovil, R., Hagen, T. L., &amp; Lopes, F. (2019). Barriers for Outdoor Play in Early Childhood Education and Care (ECEC) Institutions: Perception of Risk in Children’s Play among European Parents and ECEC Practitioners. Child Care in Practice, 26(2), 111–129. https://doi.org/10.1080/13575279.2019.1685461</w:t>
      </w:r>
    </w:p>
    <w:p w14:paraId="3EA7A094"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Sinnema, C., Nieveen, N., Priestley, M. (2020). ‘Successful futures, successful curriculum: What can Wales learn from international curriculum reforms?’, The Curriculum Journal, 31, 2020, pp181-201, https://doi.org/10.1002/curj.17;</w:t>
      </w:r>
    </w:p>
    <w:p w14:paraId="3FC810FA"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Siraj-Blatchford, I.  Sylva, K. (2002, June). Researching Effective Pedagogy in the Early Years (REPEY). Retrieved from dera.ioe.ac.uk: https://dera.ioe.ac.uk/id/eprint/4650/1/RR356.pdf</w:t>
      </w:r>
    </w:p>
    <w:p w14:paraId="79401E09"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Smedley, S. and Hoskins, K. (2018) ‘Finding a place for Froebel’s theories: early years practitioners’ understanding and enactment of learning through play’, Early Child Development and Care, 190(8), pp. 1202–1214. doi: 10.1080/03004430.2018.1525706.</w:t>
      </w:r>
    </w:p>
    <w:p w14:paraId="2BCD2998"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Stats Wales, (2023). Pupil Level Annual School Census (PLASC) Available at: Pupil Level Annual School Census (PLASC) (gov.wales)</w:t>
      </w:r>
    </w:p>
    <w:p w14:paraId="78C17C77"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 xml:space="preserve">Strong-Wilson, T. and Ellis, J. (2007) ‘Children and Place: Reggio Emilia’s Environment As Third Teacher’, Theory Into Practice, 46(1), pp. 40–47. doi: </w:t>
      </w:r>
      <w:r w:rsidRPr="007D4377">
        <w:rPr>
          <w:rFonts w:ascii="Arial" w:hAnsi="Arial" w:cs="Arial"/>
          <w:sz w:val="24"/>
          <w:szCs w:val="24"/>
          <w:lang w:val="en-US"/>
        </w:rPr>
        <w:lastRenderedPageBreak/>
        <w:t>10.1080/00405840709336547.</w:t>
      </w:r>
      <w:r w:rsidRPr="007D4377">
        <w:rPr>
          <w:rFonts w:ascii="Arial" w:hAnsi="Arial" w:cs="Arial"/>
          <w:sz w:val="24"/>
          <w:szCs w:val="24"/>
          <w:lang w:val="en-US"/>
        </w:rPr>
        <w:tab/>
        <w:t>Pyle, A. and Danniels, E. (2016) ‘A Continuum of Play-Based Learning: The Role of the Teacher in Play-Based Pedagogy and the Fear of Hijacking Play’, Early Education and Development, 28(3), pp. 274–289. doi: 10.1080/10409289.2016.1220771.</w:t>
      </w:r>
    </w:p>
    <w:p w14:paraId="31D0CFAD"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Sutton-Smith, B. (1997). The Ambiguity of Play. Harvard University Press. https://doi.org/10.2307/j.ctv1q16s5b</w:t>
      </w:r>
    </w:p>
    <w:p w14:paraId="32BBEFCC"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Sylva, K. (2004). Researching pedagogy in English pre</w:t>
      </w:r>
      <w:r w:rsidRPr="007D4377">
        <w:rPr>
          <w:rFonts w:ascii="Cambria Math" w:hAnsi="Cambria Math" w:cs="Cambria Math"/>
          <w:sz w:val="24"/>
          <w:szCs w:val="24"/>
          <w:lang w:val="en-US"/>
        </w:rPr>
        <w:t>‐</w:t>
      </w:r>
      <w:r w:rsidRPr="007D4377">
        <w:rPr>
          <w:rFonts w:ascii="Arial" w:hAnsi="Arial" w:cs="Arial"/>
          <w:sz w:val="24"/>
          <w:szCs w:val="24"/>
          <w:lang w:val="en-US"/>
        </w:rPr>
        <w:t>schools. British Educational Research Journal - BR EDUC RES J. 30. 713-730. 10.1080/0141192042000234665</w:t>
      </w:r>
    </w:p>
    <w:p w14:paraId="6EEB37AE"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Taylor, E. and Mann, K. (2019) ‘Rethinking disadvantage in early childhood: Beyond deficit discourses’, Contemporary Issues in Early Childhood, 20(4), pp. 324–336.</w:t>
      </w:r>
    </w:p>
    <w:p w14:paraId="50C3EE7E"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Thornton, L. and Brunton, P. (2005) Understanding the Reggio approach : reflections on the early childhood experience of Reggio Emilia. London: David Fulton.</w:t>
      </w:r>
    </w:p>
    <w:p w14:paraId="07A1415A"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Tovey, H. (2017). Bringing the Froebel Approach to your Early Years Practice (Second ed.). Oxon: Routledge.</w:t>
      </w:r>
    </w:p>
    <w:p w14:paraId="5054CA8C"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Tovey, H. (2020, March). Froebel's principles and practice today. Retrieved from www.froebel.org.uk: https://www.froebel.org.uk/uploads/documents/FT-Froebels-principles-and-practice-today.pdf</w:t>
      </w:r>
    </w:p>
    <w:p w14:paraId="5FEB472E"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Tyrie, J., Chicken, S., Knight, C., Mannay, D., Tur Porres, G., Waites, T., Waters–Davies, J., and Westall, A. 2023. COVID–19, education and learning: Amplifying young children’s voices. [Project Report]. The Welsh Government. Available at: https://hwb.gov.wales/api/storage/0b6492be-c863-41...</w:t>
      </w:r>
    </w:p>
    <w:p w14:paraId="6016A63F"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Wall. K., &amp; Robinson, C. (2022) Look who’s talking: eliciting the voice of children from birth to seven, European Early Childhood Education Research Journal, 30:1, 1-7, DOI: 10.1080/1350293X.2022.2026276</w:t>
      </w:r>
    </w:p>
    <w:p w14:paraId="5FF4A65C"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Waters-Davies, J. &amp; MacDonald, N. (2022) The capable child as a threshold concept for inclusive early childhood education and care. In Conn, C. &amp; Murphy, A. [Eds] Inclusive Pedagogies for Early Childhood Education: Respecting and Responding to Differences in Learning. London: Taylor and Francis</w:t>
      </w:r>
    </w:p>
    <w:p w14:paraId="479F11B4"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Waters-Davies, J. (2022) Introduction to play. Los Angeles: Sage.</w:t>
      </w:r>
    </w:p>
    <w:p w14:paraId="3C771104"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Waters-Davies, J., &amp; MacDonald, N. (2022). The capable child as a threshold concept for inclusive early childhood education and care. In Conn, C., &amp; Murphy, A. (Eds.), Inclusive Pedagogies for Early Childhood Education: Respecting and Responding to Differences in Learning. London: Taylor and Francis.</w:t>
      </w:r>
    </w:p>
    <w:p w14:paraId="3ED48C23"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Waters-Davies,J., Tyrie, J., Chicken, S., Knight, C., &amp; Grout, E. (2023) Belonging, community and capability: listening to the voices of young children to realise process quality in early childhood curriculum enactment in Wales, Education 3-13, DOI: 10.1080/03004279.2023.2276854</w:t>
      </w:r>
    </w:p>
    <w:p w14:paraId="7B10F1B4"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 xml:space="preserve">Welsh Government. (2022, January 10). A curriculum for funded non-maintained nursery settings. Retrieved from www.hwb.gov.wales: </w:t>
      </w:r>
      <w:r w:rsidRPr="007D4377">
        <w:rPr>
          <w:rFonts w:ascii="Arial" w:hAnsi="Arial" w:cs="Arial"/>
          <w:sz w:val="24"/>
          <w:szCs w:val="24"/>
          <w:lang w:val="en-US"/>
        </w:rPr>
        <w:lastRenderedPageBreak/>
        <w:t>https://hwb.gov.wales/api/storage/b1801d78-38c3-4320-9818-d9996c21aef8/220914-a-curriculum-for-funded-non-maintained-nursery-settings.pdf</w:t>
      </w:r>
    </w:p>
    <w:p w14:paraId="5415822C"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Welsh Government. (2023, April 17). Flying Start childcare: guidance. Retrieved from www.gov.wales: https://www.gov.wales/sites/default/files/pdf-versions/2023/6/4/1686230038/flying-start-childcare-guidance.pdf</w:t>
      </w:r>
    </w:p>
    <w:p w14:paraId="582FAE85"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Welsh Government. (2024) Child Poverty Strategy for Wales 2024. Retrieved from Child Poverty Strategy for Wales 2024 [HTML] | GOV.WALES</w:t>
      </w:r>
    </w:p>
    <w:p w14:paraId="38470AAB"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White, J. (2019). Playing and Learning Outdoors: The Practical Guide and Sourcebook for Excellence in Outdoor Provision and Practice with Young Children (3rd ed.). Routledge. https://doi.org/10.4324/9780429469435</w:t>
      </w:r>
    </w:p>
    <w:p w14:paraId="1871209C"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Whitters, H.G. (2017). Nursery Nurse to Early Years’ Practitioner: Role, Relationships and Responsibilities (1st ed.). Routledge. https://doi.org/10.4324/9781315114835</w:t>
      </w:r>
    </w:p>
    <w:p w14:paraId="46FCB605" w14:textId="77777777" w:rsidR="007D4377" w:rsidRPr="007D4377" w:rsidRDefault="007D4377" w:rsidP="007D4377">
      <w:pPr>
        <w:rPr>
          <w:rFonts w:ascii="Arial" w:hAnsi="Arial" w:cs="Arial"/>
          <w:sz w:val="24"/>
          <w:szCs w:val="24"/>
          <w:lang w:val="en-US"/>
        </w:rPr>
      </w:pPr>
      <w:r w:rsidRPr="007D4377">
        <w:rPr>
          <w:rFonts w:ascii="Arial" w:hAnsi="Arial" w:cs="Arial"/>
          <w:sz w:val="24"/>
          <w:szCs w:val="24"/>
          <w:lang w:val="en-US"/>
        </w:rPr>
        <w:t>van Rooyen, A., Water, T., Rasmussen, S., &amp; Diesfeld, K. (2015). What makes a child a 'competent' child? The New Zealand medical journal, 128(1426), 88–95.</w:t>
      </w:r>
    </w:p>
    <w:p w14:paraId="44399741" w14:textId="77777777" w:rsidR="0066192D" w:rsidRPr="0066192D" w:rsidRDefault="0066192D" w:rsidP="0066192D">
      <w:pPr>
        <w:rPr>
          <w:rFonts w:ascii="Arial" w:hAnsi="Arial" w:cs="Arial"/>
          <w:sz w:val="24"/>
          <w:szCs w:val="24"/>
        </w:rPr>
      </w:pPr>
    </w:p>
    <w:p w14:paraId="706C68C9" w14:textId="77777777" w:rsidR="0066192D" w:rsidRPr="0066192D" w:rsidRDefault="0066192D" w:rsidP="0066192D">
      <w:pPr>
        <w:rPr>
          <w:rFonts w:ascii="Arial" w:hAnsi="Arial" w:cs="Arial"/>
          <w:sz w:val="24"/>
          <w:szCs w:val="24"/>
        </w:rPr>
      </w:pPr>
    </w:p>
    <w:p w14:paraId="09FCCE80" w14:textId="77777777" w:rsidR="0066192D" w:rsidRPr="0066192D" w:rsidRDefault="0066192D" w:rsidP="0066192D">
      <w:pPr>
        <w:rPr>
          <w:rFonts w:ascii="Arial" w:hAnsi="Arial" w:cs="Arial"/>
          <w:sz w:val="24"/>
          <w:szCs w:val="24"/>
        </w:rPr>
      </w:pPr>
    </w:p>
    <w:p w14:paraId="428AB222" w14:textId="77777777" w:rsidR="0066192D" w:rsidRPr="0066192D" w:rsidRDefault="0066192D" w:rsidP="0066192D">
      <w:pPr>
        <w:rPr>
          <w:rFonts w:ascii="Arial" w:hAnsi="Arial" w:cs="Arial"/>
          <w:sz w:val="24"/>
          <w:szCs w:val="24"/>
        </w:rPr>
      </w:pPr>
    </w:p>
    <w:p w14:paraId="5DE08D94" w14:textId="77777777" w:rsidR="0066192D" w:rsidRPr="0066192D" w:rsidRDefault="0066192D" w:rsidP="0066192D">
      <w:pPr>
        <w:rPr>
          <w:rFonts w:ascii="Arial" w:hAnsi="Arial" w:cs="Arial"/>
          <w:b/>
          <w:bCs/>
          <w:sz w:val="24"/>
          <w:szCs w:val="24"/>
          <w:u w:val="single"/>
        </w:rPr>
      </w:pPr>
      <w:r w:rsidRPr="0066192D">
        <w:rPr>
          <w:rFonts w:ascii="Arial" w:hAnsi="Arial" w:cs="Arial"/>
          <w:b/>
          <w:bCs/>
          <w:sz w:val="24"/>
          <w:szCs w:val="24"/>
          <w:u w:val="single"/>
        </w:rPr>
        <w:t>Bibliography</w:t>
      </w:r>
    </w:p>
    <w:p w14:paraId="0AA44EB2" w14:textId="77777777" w:rsidR="0066192D" w:rsidRPr="00784FFA" w:rsidRDefault="0066192D" w:rsidP="0066192D">
      <w:pPr>
        <w:spacing w:after="200" w:line="276" w:lineRule="auto"/>
        <w:rPr>
          <w:rFonts w:ascii="Arial" w:hAnsi="Arial" w:cs="Arial"/>
          <w:sz w:val="24"/>
          <w:szCs w:val="24"/>
        </w:rPr>
      </w:pPr>
      <w:r w:rsidRPr="00784FFA">
        <w:rPr>
          <w:rFonts w:ascii="Arial" w:hAnsi="Arial" w:cs="Arial"/>
          <w:sz w:val="24"/>
          <w:szCs w:val="24"/>
        </w:rPr>
        <w:t xml:space="preserve">Aksoy Kumru, F.B., 2024. Exploring children’s participation from Froebelian practitioners’ perspectives in Scottish context. </w:t>
      </w:r>
      <w:r w:rsidRPr="00784FFA">
        <w:rPr>
          <w:rFonts w:ascii="Arial" w:hAnsi="Arial" w:cs="Arial"/>
          <w:i/>
          <w:iCs/>
          <w:sz w:val="24"/>
          <w:szCs w:val="24"/>
        </w:rPr>
        <w:t>European Early Childhood Education Research Journal</w:t>
      </w:r>
      <w:r w:rsidRPr="00784FFA">
        <w:rPr>
          <w:rFonts w:ascii="Arial" w:hAnsi="Arial" w:cs="Arial"/>
          <w:sz w:val="24"/>
          <w:szCs w:val="24"/>
        </w:rPr>
        <w:t>, 32(4), pp.621–639. https://doi.org/10.1080/1350293X.2023.2301584.</w:t>
      </w:r>
    </w:p>
    <w:p w14:paraId="5C6BB3AA" w14:textId="57B4D339" w:rsidR="0066192D" w:rsidRPr="00784FFA" w:rsidRDefault="0066192D" w:rsidP="0066192D">
      <w:pPr>
        <w:spacing w:after="200" w:line="276" w:lineRule="auto"/>
        <w:rPr>
          <w:rFonts w:ascii="Arial" w:hAnsi="Arial" w:cs="Arial"/>
          <w:sz w:val="24"/>
          <w:szCs w:val="24"/>
        </w:rPr>
      </w:pPr>
      <w:r w:rsidRPr="00784FFA">
        <w:rPr>
          <w:rFonts w:ascii="Arial" w:hAnsi="Arial" w:cs="Arial"/>
          <w:sz w:val="24"/>
          <w:szCs w:val="24"/>
        </w:rPr>
        <w:t>Aksoy Kumru, F.B., 2024. What does it (not) mean to be “Froebelian</w:t>
      </w:r>
      <w:r w:rsidR="00267987" w:rsidRPr="00784FFA">
        <w:rPr>
          <w:rFonts w:ascii="Arial" w:hAnsi="Arial" w:cs="Arial"/>
          <w:sz w:val="24"/>
          <w:szCs w:val="24"/>
        </w:rPr>
        <w:t>”?</w:t>
      </w:r>
      <w:r w:rsidRPr="00784FFA">
        <w:rPr>
          <w:rFonts w:ascii="Arial" w:hAnsi="Arial" w:cs="Arial"/>
          <w:sz w:val="24"/>
          <w:szCs w:val="24"/>
        </w:rPr>
        <w:t xml:space="preserve"> exploring Scottish early years professionals’ perspectives. </w:t>
      </w:r>
      <w:r w:rsidRPr="00784FFA">
        <w:rPr>
          <w:rFonts w:ascii="Arial" w:hAnsi="Arial" w:cs="Arial"/>
          <w:i/>
          <w:iCs/>
          <w:sz w:val="24"/>
          <w:szCs w:val="24"/>
        </w:rPr>
        <w:t>Early Years</w:t>
      </w:r>
      <w:r w:rsidRPr="00784FFA">
        <w:rPr>
          <w:rFonts w:ascii="Arial" w:hAnsi="Arial" w:cs="Arial"/>
          <w:sz w:val="24"/>
          <w:szCs w:val="24"/>
        </w:rPr>
        <w:t>, 45(1), pp.60–74. https://doi.org/10.1080/09575146.2024.2307537.</w:t>
      </w:r>
    </w:p>
    <w:p w14:paraId="2AD87905" w14:textId="7BFFD374" w:rsidR="0066192D" w:rsidRDefault="0066192D" w:rsidP="0066192D">
      <w:pPr>
        <w:spacing w:after="200" w:line="276" w:lineRule="auto"/>
        <w:rPr>
          <w:rFonts w:ascii="Arial" w:hAnsi="Arial" w:cs="Arial"/>
          <w:sz w:val="24"/>
          <w:szCs w:val="24"/>
        </w:rPr>
      </w:pPr>
      <w:r w:rsidRPr="00784FFA">
        <w:rPr>
          <w:rFonts w:ascii="Arial" w:hAnsi="Arial" w:cs="Arial"/>
          <w:sz w:val="24"/>
          <w:szCs w:val="24"/>
        </w:rPr>
        <w:t xml:space="preserve">Arndt, S. and Urban, M., 2024. Themed issue: Reconceptualising Early Childhood Education. </w:t>
      </w:r>
      <w:r w:rsidRPr="00784FFA">
        <w:rPr>
          <w:rFonts w:ascii="Arial" w:hAnsi="Arial" w:cs="Arial"/>
          <w:i/>
          <w:iCs/>
          <w:sz w:val="24"/>
          <w:szCs w:val="24"/>
        </w:rPr>
        <w:t>Global Studies of Childhood</w:t>
      </w:r>
      <w:r w:rsidRPr="00784FFA">
        <w:rPr>
          <w:rFonts w:ascii="Arial" w:hAnsi="Arial" w:cs="Arial"/>
          <w:sz w:val="24"/>
          <w:szCs w:val="24"/>
        </w:rPr>
        <w:t xml:space="preserve">, 14(3), pp.229–232. </w:t>
      </w:r>
      <w:hyperlink r:id="rId8" w:history="1">
        <w:r w:rsidR="00B16EB2" w:rsidRPr="00784FFA">
          <w:rPr>
            <w:rStyle w:val="Hyperlink"/>
            <w:rFonts w:ascii="Arial" w:hAnsi="Arial" w:cs="Arial"/>
            <w:sz w:val="24"/>
            <w:szCs w:val="24"/>
          </w:rPr>
          <w:t>https://doi.org/10.1177/20436106241280798</w:t>
        </w:r>
      </w:hyperlink>
      <w:r w:rsidRPr="00784FFA">
        <w:rPr>
          <w:rFonts w:ascii="Arial" w:hAnsi="Arial" w:cs="Arial"/>
          <w:sz w:val="24"/>
          <w:szCs w:val="24"/>
        </w:rPr>
        <w:t>.</w:t>
      </w:r>
    </w:p>
    <w:p w14:paraId="3DD1496B" w14:textId="7B177D4C" w:rsidR="00B16EB2" w:rsidRPr="00784FFA" w:rsidRDefault="00B16EB2" w:rsidP="00D03DD0">
      <w:pPr>
        <w:rPr>
          <w:rFonts w:ascii="Arial" w:hAnsi="Arial" w:cs="Arial"/>
          <w:sz w:val="24"/>
          <w:szCs w:val="24"/>
        </w:rPr>
      </w:pPr>
      <w:r w:rsidRPr="0066192D">
        <w:rPr>
          <w:rFonts w:ascii="Arial" w:hAnsi="Arial" w:cs="Arial"/>
          <w:sz w:val="24"/>
          <w:szCs w:val="24"/>
        </w:rPr>
        <w:t>Barnikis, T. (2015). Children’s perceptions of their experiences in early learning environments: An exploration of power and hierarchy. Global Studies of Childhood, 5(3), 291-304. https://doi.org/10.1177/2043610615597148 (Original work published 2015)</w:t>
      </w:r>
    </w:p>
    <w:p w14:paraId="4DA77CBF" w14:textId="77777777" w:rsidR="0066192D" w:rsidRPr="00784FFA" w:rsidRDefault="0066192D" w:rsidP="0066192D">
      <w:pPr>
        <w:spacing w:after="200" w:line="276" w:lineRule="auto"/>
        <w:rPr>
          <w:rFonts w:ascii="Arial" w:hAnsi="Arial" w:cs="Arial"/>
          <w:sz w:val="24"/>
          <w:szCs w:val="24"/>
        </w:rPr>
      </w:pPr>
      <w:r w:rsidRPr="00784FFA">
        <w:rPr>
          <w:rFonts w:ascii="Arial" w:hAnsi="Arial" w:cs="Arial"/>
          <w:sz w:val="24"/>
          <w:szCs w:val="24"/>
        </w:rPr>
        <w:t xml:space="preserve">Cade, J., Wardle, F. and Otter, J., 2022. Toddler and preschool teachers’ beliefs and perceptions about the use of developmentally appropriate practice. </w:t>
      </w:r>
      <w:r w:rsidRPr="00784FFA">
        <w:rPr>
          <w:rFonts w:ascii="Arial" w:hAnsi="Arial" w:cs="Arial"/>
          <w:i/>
          <w:iCs/>
          <w:sz w:val="24"/>
          <w:szCs w:val="24"/>
        </w:rPr>
        <w:t>Cogent Education</w:t>
      </w:r>
      <w:r w:rsidRPr="00784FFA">
        <w:rPr>
          <w:rFonts w:ascii="Arial" w:hAnsi="Arial" w:cs="Arial"/>
          <w:sz w:val="24"/>
          <w:szCs w:val="24"/>
        </w:rPr>
        <w:t>, 9(1). https://doi.org/10.1080/2331186X.2021.2018908.</w:t>
      </w:r>
    </w:p>
    <w:p w14:paraId="2D69939D" w14:textId="77777777" w:rsidR="0066192D" w:rsidRPr="00784FFA" w:rsidRDefault="0066192D" w:rsidP="0066192D">
      <w:pPr>
        <w:spacing w:after="200" w:line="276" w:lineRule="auto"/>
        <w:rPr>
          <w:rFonts w:ascii="Arial" w:hAnsi="Arial" w:cs="Arial"/>
          <w:sz w:val="24"/>
          <w:szCs w:val="24"/>
        </w:rPr>
      </w:pPr>
      <w:r w:rsidRPr="00784FFA">
        <w:rPr>
          <w:rFonts w:ascii="Arial" w:hAnsi="Arial" w:cs="Arial"/>
          <w:sz w:val="24"/>
          <w:szCs w:val="24"/>
        </w:rPr>
        <w:lastRenderedPageBreak/>
        <w:t xml:space="preserve">Chen, K. and Hamel, E.E., 2022. Toddler play preferences and the teacher’s role in the outdoor play environment. </w:t>
      </w:r>
      <w:r w:rsidRPr="00784FFA">
        <w:rPr>
          <w:rFonts w:ascii="Arial" w:hAnsi="Arial" w:cs="Arial"/>
          <w:i/>
          <w:iCs/>
          <w:sz w:val="24"/>
          <w:szCs w:val="24"/>
        </w:rPr>
        <w:t>European Early Childhood Education Research Journal</w:t>
      </w:r>
      <w:r w:rsidRPr="00784FFA">
        <w:rPr>
          <w:rFonts w:ascii="Arial" w:hAnsi="Arial" w:cs="Arial"/>
          <w:sz w:val="24"/>
          <w:szCs w:val="24"/>
        </w:rPr>
        <w:t>, 31(3), pp.376–398. https://doi.org/10.1080/1350293X.2022.2108095.</w:t>
      </w:r>
    </w:p>
    <w:p w14:paraId="4650BAE9" w14:textId="0B7C11E0" w:rsidR="0066192D" w:rsidRPr="00784FFA" w:rsidRDefault="0066192D" w:rsidP="0066192D">
      <w:pPr>
        <w:spacing w:after="200" w:line="276" w:lineRule="auto"/>
        <w:rPr>
          <w:rFonts w:ascii="Arial" w:hAnsi="Arial" w:cs="Arial"/>
          <w:sz w:val="24"/>
          <w:szCs w:val="24"/>
        </w:rPr>
      </w:pPr>
      <w:r w:rsidRPr="00784FFA">
        <w:rPr>
          <w:rFonts w:ascii="Arial" w:hAnsi="Arial" w:cs="Arial"/>
          <w:sz w:val="24"/>
          <w:szCs w:val="24"/>
        </w:rPr>
        <w:t xml:space="preserve">Garden, A. and Downes, G., 2021. A systematic review of forest </w:t>
      </w:r>
      <w:r w:rsidR="00D03DD0" w:rsidRPr="00784FFA">
        <w:rPr>
          <w:rFonts w:ascii="Arial" w:hAnsi="Arial" w:cs="Arial"/>
          <w:sz w:val="24"/>
          <w:szCs w:val="24"/>
        </w:rPr>
        <w:t>schools’</w:t>
      </w:r>
      <w:r w:rsidRPr="00784FFA">
        <w:rPr>
          <w:rFonts w:ascii="Arial" w:hAnsi="Arial" w:cs="Arial"/>
          <w:sz w:val="24"/>
          <w:szCs w:val="24"/>
        </w:rPr>
        <w:t xml:space="preserve"> literature in England. </w:t>
      </w:r>
      <w:r w:rsidRPr="00784FFA">
        <w:rPr>
          <w:rFonts w:ascii="Arial" w:hAnsi="Arial" w:cs="Arial"/>
          <w:i/>
          <w:iCs/>
          <w:sz w:val="24"/>
          <w:szCs w:val="24"/>
        </w:rPr>
        <w:t>Education 3-13</w:t>
      </w:r>
      <w:r w:rsidRPr="00784FFA">
        <w:rPr>
          <w:rFonts w:ascii="Arial" w:hAnsi="Arial" w:cs="Arial"/>
          <w:sz w:val="24"/>
          <w:szCs w:val="24"/>
        </w:rPr>
        <w:t>, 51(2), pp.320–336. https://doi.org/10.1080/03004279.2021.1971275.</w:t>
      </w:r>
    </w:p>
    <w:p w14:paraId="221F646C" w14:textId="77777777" w:rsidR="0066192D" w:rsidRPr="00784FFA" w:rsidRDefault="0066192D" w:rsidP="0066192D">
      <w:pPr>
        <w:spacing w:after="200" w:line="276" w:lineRule="auto"/>
        <w:rPr>
          <w:rFonts w:ascii="Arial" w:hAnsi="Arial" w:cs="Arial"/>
          <w:sz w:val="24"/>
          <w:szCs w:val="24"/>
        </w:rPr>
      </w:pPr>
      <w:r w:rsidRPr="00784FFA">
        <w:rPr>
          <w:rFonts w:ascii="Arial" w:hAnsi="Arial" w:cs="Arial"/>
          <w:sz w:val="24"/>
          <w:szCs w:val="24"/>
        </w:rPr>
        <w:t xml:space="preserve">Li, M., Nyland, B., Margetts, K. et al., 2017. Early childhood educator’ perspectives on how infants and toddlers learn: Australia and China. </w:t>
      </w:r>
      <w:r w:rsidRPr="00784FFA">
        <w:rPr>
          <w:rFonts w:ascii="Arial" w:hAnsi="Arial" w:cs="Arial"/>
          <w:i/>
          <w:iCs/>
          <w:sz w:val="24"/>
          <w:szCs w:val="24"/>
        </w:rPr>
        <w:t>International Journal of Child Care and Education Policy</w:t>
      </w:r>
      <w:r w:rsidRPr="00784FFA">
        <w:rPr>
          <w:rFonts w:ascii="Arial" w:hAnsi="Arial" w:cs="Arial"/>
          <w:sz w:val="24"/>
          <w:szCs w:val="24"/>
        </w:rPr>
        <w:t>, 11(11). https://doi.org/10.1186/s40723-017-0035-9.</w:t>
      </w:r>
    </w:p>
    <w:p w14:paraId="295C4CAA" w14:textId="77777777" w:rsidR="0066192D" w:rsidRPr="00784FFA" w:rsidRDefault="0066192D" w:rsidP="0066192D">
      <w:pPr>
        <w:spacing w:after="200" w:line="276" w:lineRule="auto"/>
        <w:rPr>
          <w:rFonts w:ascii="Arial" w:hAnsi="Arial" w:cs="Arial"/>
          <w:sz w:val="24"/>
          <w:szCs w:val="24"/>
        </w:rPr>
      </w:pPr>
      <w:r w:rsidRPr="00784FFA">
        <w:rPr>
          <w:rFonts w:ascii="Arial" w:hAnsi="Arial" w:cs="Arial"/>
          <w:sz w:val="24"/>
          <w:szCs w:val="24"/>
        </w:rPr>
        <w:t xml:space="preserve">McNair, L.J. and Powell, S., 2020. Friedrich Froebel: a path least trodden. </w:t>
      </w:r>
      <w:r w:rsidRPr="00784FFA">
        <w:rPr>
          <w:rFonts w:ascii="Arial" w:hAnsi="Arial" w:cs="Arial"/>
          <w:i/>
          <w:iCs/>
          <w:sz w:val="24"/>
          <w:szCs w:val="24"/>
        </w:rPr>
        <w:t>Early Child Development and Care</w:t>
      </w:r>
      <w:r w:rsidRPr="00784FFA">
        <w:rPr>
          <w:rFonts w:ascii="Arial" w:hAnsi="Arial" w:cs="Arial"/>
          <w:sz w:val="24"/>
          <w:szCs w:val="24"/>
        </w:rPr>
        <w:t>, 191(7–8), pp.1175–1185. https://doi.org/10.1080/03004430.2020.1803299.</w:t>
      </w:r>
    </w:p>
    <w:p w14:paraId="54F5EFE5" w14:textId="77777777" w:rsidR="0066192D" w:rsidRPr="00784FFA" w:rsidRDefault="0066192D" w:rsidP="0066192D">
      <w:pPr>
        <w:spacing w:after="200" w:line="276" w:lineRule="auto"/>
        <w:rPr>
          <w:rFonts w:ascii="Arial" w:hAnsi="Arial" w:cs="Arial"/>
          <w:sz w:val="24"/>
          <w:szCs w:val="24"/>
        </w:rPr>
      </w:pPr>
      <w:r w:rsidRPr="00784FFA">
        <w:rPr>
          <w:rFonts w:ascii="Arial" w:hAnsi="Arial" w:cs="Arial"/>
          <w:sz w:val="24"/>
          <w:szCs w:val="24"/>
        </w:rPr>
        <w:t xml:space="preserve">Pahor, T. and Nicholls, C.D., 2025. Classroom teacher’s perspectives on social emotional wellbeing in the middle years. </w:t>
      </w:r>
      <w:r w:rsidRPr="00784FFA">
        <w:rPr>
          <w:rFonts w:ascii="Arial" w:hAnsi="Arial" w:cs="Arial"/>
          <w:i/>
          <w:iCs/>
          <w:sz w:val="24"/>
          <w:szCs w:val="24"/>
        </w:rPr>
        <w:t>Asia Pacific Journal of Education</w:t>
      </w:r>
      <w:r w:rsidRPr="00784FFA">
        <w:rPr>
          <w:rFonts w:ascii="Arial" w:hAnsi="Arial" w:cs="Arial"/>
          <w:sz w:val="24"/>
          <w:szCs w:val="24"/>
        </w:rPr>
        <w:t>, pp.1–13. https://doi.org/10.1080/02188791.2025.2467940.</w:t>
      </w:r>
    </w:p>
    <w:p w14:paraId="7A0111BC" w14:textId="77777777" w:rsidR="0066192D" w:rsidRPr="0066192D" w:rsidRDefault="0066192D" w:rsidP="0066192D">
      <w:pPr>
        <w:rPr>
          <w:rFonts w:ascii="Arial" w:hAnsi="Arial" w:cs="Arial"/>
          <w:sz w:val="24"/>
          <w:szCs w:val="24"/>
        </w:rPr>
      </w:pPr>
    </w:p>
    <w:p w14:paraId="16124891" w14:textId="77777777" w:rsidR="0066192D" w:rsidRPr="0066192D" w:rsidRDefault="0066192D" w:rsidP="0066192D">
      <w:pPr>
        <w:rPr>
          <w:rFonts w:ascii="Arial" w:hAnsi="Arial" w:cs="Arial"/>
          <w:sz w:val="24"/>
          <w:szCs w:val="24"/>
        </w:rPr>
      </w:pPr>
      <w:r w:rsidRPr="0066192D">
        <w:rPr>
          <w:rFonts w:ascii="Arial" w:hAnsi="Arial" w:cs="Arial"/>
          <w:sz w:val="24"/>
          <w:szCs w:val="24"/>
        </w:rPr>
        <w:t>‌</w:t>
      </w:r>
    </w:p>
    <w:p w14:paraId="5FBA9800" w14:textId="77777777" w:rsidR="0066192D" w:rsidRPr="00897186" w:rsidRDefault="0066192D" w:rsidP="00D45615">
      <w:pPr>
        <w:rPr>
          <w:rFonts w:ascii="Arial" w:hAnsi="Arial" w:cs="Arial"/>
          <w:sz w:val="24"/>
          <w:szCs w:val="24"/>
        </w:rPr>
      </w:pPr>
    </w:p>
    <w:sectPr w:rsidR="0066192D" w:rsidRPr="0089718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96D10" w14:textId="77777777" w:rsidR="0090236B" w:rsidRDefault="0090236B" w:rsidP="00D45615">
      <w:pPr>
        <w:spacing w:after="0" w:line="240" w:lineRule="auto"/>
      </w:pPr>
      <w:r>
        <w:separator/>
      </w:r>
    </w:p>
  </w:endnote>
  <w:endnote w:type="continuationSeparator" w:id="0">
    <w:p w14:paraId="750E06C4" w14:textId="77777777" w:rsidR="0090236B" w:rsidRDefault="0090236B" w:rsidP="00D45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06A60" w14:textId="77777777" w:rsidR="0090236B" w:rsidRDefault="0090236B" w:rsidP="00D45615">
      <w:pPr>
        <w:spacing w:after="0" w:line="240" w:lineRule="auto"/>
      </w:pPr>
      <w:r>
        <w:separator/>
      </w:r>
    </w:p>
  </w:footnote>
  <w:footnote w:type="continuationSeparator" w:id="0">
    <w:p w14:paraId="17E7C175" w14:textId="77777777" w:rsidR="0090236B" w:rsidRDefault="0090236B" w:rsidP="00D45615">
      <w:pPr>
        <w:spacing w:after="0" w:line="240" w:lineRule="auto"/>
      </w:pPr>
      <w:r>
        <w:continuationSeparator/>
      </w:r>
    </w:p>
  </w:footnote>
  <w:footnote w:id="1">
    <w:p w14:paraId="178B4EF8" w14:textId="312224ED" w:rsidR="00D45615" w:rsidRPr="002D0BBF" w:rsidRDefault="00D45615" w:rsidP="005632E3">
      <w:pPr>
        <w:rPr>
          <w:sz w:val="18"/>
          <w:szCs w:val="18"/>
        </w:rPr>
      </w:pPr>
      <w:r w:rsidRPr="002D0BBF">
        <w:rPr>
          <w:rStyle w:val="FootnoteReference"/>
          <w:sz w:val="18"/>
          <w:szCs w:val="18"/>
        </w:rPr>
        <w:footnoteRef/>
      </w:r>
      <w:r w:rsidRPr="002D0BBF">
        <w:rPr>
          <w:sz w:val="18"/>
          <w:szCs w:val="18"/>
        </w:rPr>
        <w:t xml:space="preserve">  12 "Features of Play"</w:t>
      </w:r>
      <w:r w:rsidR="00F23766" w:rsidRPr="002D0BBF">
        <w:rPr>
          <w:sz w:val="18"/>
          <w:szCs w:val="18"/>
        </w:rPr>
        <w:t xml:space="preserve"> </w:t>
      </w:r>
      <w:r w:rsidRPr="002D0BBF">
        <w:rPr>
          <w:sz w:val="18"/>
          <w:szCs w:val="18"/>
        </w:rPr>
        <w:t>Children use first-hand experiences from life;</w:t>
      </w:r>
      <w:r w:rsidR="00F23766" w:rsidRPr="002D0BBF">
        <w:rPr>
          <w:sz w:val="18"/>
          <w:szCs w:val="18"/>
        </w:rPr>
        <w:t xml:space="preserve"> </w:t>
      </w:r>
      <w:r w:rsidRPr="002D0BBF">
        <w:rPr>
          <w:sz w:val="18"/>
          <w:szCs w:val="18"/>
        </w:rPr>
        <w:t>Children make up rules as they play to keep control</w:t>
      </w:r>
      <w:r w:rsidR="00F23766" w:rsidRPr="002D0BBF">
        <w:rPr>
          <w:sz w:val="18"/>
          <w:szCs w:val="18"/>
        </w:rPr>
        <w:t xml:space="preserve">; </w:t>
      </w:r>
      <w:r w:rsidRPr="002D0BBF">
        <w:rPr>
          <w:sz w:val="18"/>
          <w:szCs w:val="18"/>
        </w:rPr>
        <w:t>Children symbolically represent as they play, making and adapting play props</w:t>
      </w:r>
      <w:r w:rsidR="00F23766" w:rsidRPr="002D0BBF">
        <w:rPr>
          <w:sz w:val="18"/>
          <w:szCs w:val="18"/>
        </w:rPr>
        <w:t xml:space="preserve">; </w:t>
      </w:r>
      <w:r w:rsidRPr="002D0BBF">
        <w:rPr>
          <w:sz w:val="18"/>
          <w:szCs w:val="18"/>
        </w:rPr>
        <w:t>Children choose to play – they cannot be made to play</w:t>
      </w:r>
      <w:r w:rsidR="00F23766" w:rsidRPr="002D0BBF">
        <w:rPr>
          <w:sz w:val="18"/>
          <w:szCs w:val="18"/>
        </w:rPr>
        <w:t xml:space="preserve">; </w:t>
      </w:r>
      <w:r w:rsidRPr="002D0BBF">
        <w:rPr>
          <w:sz w:val="18"/>
          <w:szCs w:val="18"/>
        </w:rPr>
        <w:t>Children rehearse their future in their role play</w:t>
      </w:r>
      <w:r w:rsidR="00F23766" w:rsidRPr="002D0BBF">
        <w:rPr>
          <w:sz w:val="18"/>
          <w:szCs w:val="18"/>
        </w:rPr>
        <w:t xml:space="preserve">; </w:t>
      </w:r>
      <w:r w:rsidRPr="002D0BBF">
        <w:rPr>
          <w:sz w:val="18"/>
          <w:szCs w:val="18"/>
        </w:rPr>
        <w:t>Children sometimes play alone</w:t>
      </w:r>
      <w:r w:rsidR="00F23766" w:rsidRPr="002D0BBF">
        <w:rPr>
          <w:sz w:val="18"/>
          <w:szCs w:val="18"/>
        </w:rPr>
        <w:t xml:space="preserve">; </w:t>
      </w:r>
      <w:r w:rsidRPr="002D0BBF">
        <w:rPr>
          <w:sz w:val="18"/>
          <w:szCs w:val="18"/>
        </w:rPr>
        <w:t>Children pretend when they play</w:t>
      </w:r>
      <w:r w:rsidR="005632E3" w:rsidRPr="002D0BBF">
        <w:rPr>
          <w:sz w:val="18"/>
          <w:szCs w:val="18"/>
        </w:rPr>
        <w:t xml:space="preserve">; </w:t>
      </w:r>
      <w:r w:rsidRPr="002D0BBF">
        <w:rPr>
          <w:sz w:val="18"/>
          <w:szCs w:val="18"/>
        </w:rPr>
        <w:t>Children play with adults and other children cooperatively in pairs or groups</w:t>
      </w:r>
      <w:r w:rsidR="005632E3" w:rsidRPr="002D0BBF">
        <w:rPr>
          <w:sz w:val="18"/>
          <w:szCs w:val="18"/>
        </w:rPr>
        <w:t xml:space="preserve">; </w:t>
      </w:r>
      <w:r w:rsidRPr="002D0BBF">
        <w:rPr>
          <w:sz w:val="18"/>
          <w:szCs w:val="18"/>
        </w:rPr>
        <w:t>Children have a personal play agenda, which may or may not be shared</w:t>
      </w:r>
      <w:r w:rsidR="005632E3" w:rsidRPr="002D0BBF">
        <w:rPr>
          <w:sz w:val="18"/>
          <w:szCs w:val="18"/>
        </w:rPr>
        <w:t xml:space="preserve">; </w:t>
      </w:r>
      <w:r w:rsidRPr="002D0BBF">
        <w:rPr>
          <w:sz w:val="18"/>
          <w:szCs w:val="18"/>
        </w:rPr>
        <w:t>Children are deeply involved and difficult to distract from their deep learning as they wallow in their play and learning</w:t>
      </w:r>
      <w:r w:rsidR="005632E3" w:rsidRPr="002D0BBF">
        <w:rPr>
          <w:sz w:val="18"/>
          <w:szCs w:val="18"/>
        </w:rPr>
        <w:t xml:space="preserve">; </w:t>
      </w:r>
      <w:r w:rsidRPr="002D0BBF">
        <w:rPr>
          <w:sz w:val="18"/>
          <w:szCs w:val="18"/>
        </w:rPr>
        <w:t>Children try out their most recently acquired skills and competencies as if celebrating what they know</w:t>
      </w:r>
      <w:r w:rsidR="005632E3" w:rsidRPr="002D0BBF">
        <w:rPr>
          <w:sz w:val="18"/>
          <w:szCs w:val="18"/>
        </w:rPr>
        <w:t xml:space="preserve">; </w:t>
      </w:r>
      <w:r w:rsidRPr="002D0BBF">
        <w:rPr>
          <w:sz w:val="18"/>
          <w:szCs w:val="18"/>
        </w:rPr>
        <w:t>Children coordinate ideas and feelings and make sense of relationships with their families, friends and cultures.</w:t>
      </w:r>
    </w:p>
    <w:p w14:paraId="4DFCFCC7" w14:textId="56613C8F" w:rsidR="00D45615" w:rsidRDefault="00D45615">
      <w:pPr>
        <w:pStyle w:val="FootnoteText"/>
      </w:pPr>
    </w:p>
  </w:footnote>
  <w:footnote w:id="2">
    <w:p w14:paraId="58BC6338" w14:textId="159E0613" w:rsidR="007B395A" w:rsidRPr="00AB5B26" w:rsidRDefault="007B395A">
      <w:pPr>
        <w:pStyle w:val="FootnoteText"/>
        <w:rPr>
          <w:rFonts w:ascii="Arial" w:hAnsi="Arial" w:cs="Arial"/>
          <w:sz w:val="18"/>
          <w:szCs w:val="18"/>
        </w:rPr>
      </w:pPr>
      <w:r w:rsidRPr="00AB5B26">
        <w:rPr>
          <w:rStyle w:val="FootnoteReference"/>
          <w:rFonts w:ascii="Arial" w:hAnsi="Arial" w:cs="Arial"/>
          <w:sz w:val="18"/>
          <w:szCs w:val="18"/>
        </w:rPr>
        <w:footnoteRef/>
      </w:r>
      <w:r w:rsidRPr="00AB5B26">
        <w:rPr>
          <w:rFonts w:ascii="Arial" w:hAnsi="Arial" w:cs="Arial"/>
          <w:sz w:val="18"/>
          <w:szCs w:val="18"/>
        </w:rPr>
        <w:t xml:space="preserve"> </w:t>
      </w:r>
      <w:r w:rsidR="00AB5B26" w:rsidRPr="00AB5B26">
        <w:rPr>
          <w:rFonts w:ascii="Arial" w:hAnsi="Arial" w:cs="Arial"/>
          <w:sz w:val="18"/>
          <w:szCs w:val="18"/>
        </w:rPr>
        <w:t>Where day care is being provided by an organisation, a responsible individual who is responsible for day-to-day supervision of the provision of day care must be appointed by that organisation. The responsible individual has to meet the regulatory requirements in terms of their suitability for the positions (as specified in regulation 6(3)(b)(iii) or (iv) of the Child Minding and Day Care (Wales) Regulations 2010 (as amended)). It is the responsible individual who will generally be expected to demonstrate the ongoing compliance of the day care provision with the various requirements of these regulations, having regard to the relevant statements in the NMS.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39BA5" w14:textId="77777777" w:rsidR="009B4399" w:rsidRDefault="009B4399" w:rsidP="009B4399">
    <w:pPr>
      <w:pStyle w:val="Header"/>
      <w:rPr>
        <w:b/>
        <w:bCs/>
      </w:rPr>
    </w:pPr>
    <w:r>
      <w:rPr>
        <w:b/>
        <w:bCs/>
      </w:rPr>
      <w:t>Vikki Curtis 1650885</w:t>
    </w:r>
  </w:p>
  <w:p w14:paraId="4A8FA4EF" w14:textId="1D759A0D" w:rsidR="009B4399" w:rsidRPr="009B4399" w:rsidRDefault="009B4399" w:rsidP="009B4399">
    <w:pPr>
      <w:pStyle w:val="Header"/>
      <w:rPr>
        <w:b/>
        <w:bCs/>
      </w:rPr>
    </w:pPr>
    <w:r w:rsidRPr="009B4399">
      <w:rPr>
        <w:b/>
        <w:bCs/>
      </w:rPr>
      <w:t>Developing Professional Curiosity: A Critical Literature Review (ECCP7003/C)</w:t>
    </w:r>
  </w:p>
  <w:p w14:paraId="63CF3C81" w14:textId="77777777" w:rsidR="009B4399" w:rsidRDefault="009B43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6C3A5E"/>
    <w:multiLevelType w:val="hybridMultilevel"/>
    <w:tmpl w:val="F6F6F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8553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833"/>
    <w:rsid w:val="00014DAE"/>
    <w:rsid w:val="000B7833"/>
    <w:rsid w:val="000E7070"/>
    <w:rsid w:val="00103CA6"/>
    <w:rsid w:val="001116FF"/>
    <w:rsid w:val="00116DEC"/>
    <w:rsid w:val="0014252F"/>
    <w:rsid w:val="001A78AA"/>
    <w:rsid w:val="001E53E9"/>
    <w:rsid w:val="00207DE0"/>
    <w:rsid w:val="00247A77"/>
    <w:rsid w:val="00267987"/>
    <w:rsid w:val="0028217D"/>
    <w:rsid w:val="002B7A88"/>
    <w:rsid w:val="002D0BBF"/>
    <w:rsid w:val="00326D10"/>
    <w:rsid w:val="0042003C"/>
    <w:rsid w:val="00426D6F"/>
    <w:rsid w:val="00476E54"/>
    <w:rsid w:val="004A718D"/>
    <w:rsid w:val="004F4417"/>
    <w:rsid w:val="004F7DE6"/>
    <w:rsid w:val="005052C0"/>
    <w:rsid w:val="005632E3"/>
    <w:rsid w:val="0059528F"/>
    <w:rsid w:val="005C5D94"/>
    <w:rsid w:val="005F21F4"/>
    <w:rsid w:val="0066192D"/>
    <w:rsid w:val="00682C61"/>
    <w:rsid w:val="0069790B"/>
    <w:rsid w:val="00780461"/>
    <w:rsid w:val="007A1613"/>
    <w:rsid w:val="007B2B1B"/>
    <w:rsid w:val="007B395A"/>
    <w:rsid w:val="007B7510"/>
    <w:rsid w:val="007D0CFA"/>
    <w:rsid w:val="007D4377"/>
    <w:rsid w:val="007F2397"/>
    <w:rsid w:val="00811702"/>
    <w:rsid w:val="00897186"/>
    <w:rsid w:val="008A510E"/>
    <w:rsid w:val="008B344C"/>
    <w:rsid w:val="008D28BE"/>
    <w:rsid w:val="008E4EF6"/>
    <w:rsid w:val="0090236B"/>
    <w:rsid w:val="00957CB5"/>
    <w:rsid w:val="00964811"/>
    <w:rsid w:val="009B2FCB"/>
    <w:rsid w:val="009B4399"/>
    <w:rsid w:val="009C64C1"/>
    <w:rsid w:val="009D26AF"/>
    <w:rsid w:val="009D2E6C"/>
    <w:rsid w:val="009E0080"/>
    <w:rsid w:val="009F0756"/>
    <w:rsid w:val="00AA0186"/>
    <w:rsid w:val="00AB5B26"/>
    <w:rsid w:val="00AD17C9"/>
    <w:rsid w:val="00B16EB2"/>
    <w:rsid w:val="00B300D2"/>
    <w:rsid w:val="00B75218"/>
    <w:rsid w:val="00BD0BB8"/>
    <w:rsid w:val="00BD3B31"/>
    <w:rsid w:val="00C531F3"/>
    <w:rsid w:val="00C54E50"/>
    <w:rsid w:val="00C90F0D"/>
    <w:rsid w:val="00CB644E"/>
    <w:rsid w:val="00D034BF"/>
    <w:rsid w:val="00D03DD0"/>
    <w:rsid w:val="00D12868"/>
    <w:rsid w:val="00D45615"/>
    <w:rsid w:val="00D72647"/>
    <w:rsid w:val="00D92845"/>
    <w:rsid w:val="00E435FB"/>
    <w:rsid w:val="00E85DC8"/>
    <w:rsid w:val="00E952E8"/>
    <w:rsid w:val="00ED562F"/>
    <w:rsid w:val="00EE037F"/>
    <w:rsid w:val="00EF0D7E"/>
    <w:rsid w:val="00F23766"/>
    <w:rsid w:val="00F56877"/>
    <w:rsid w:val="00FB1BBE"/>
    <w:rsid w:val="00FE07AE"/>
    <w:rsid w:val="00FE75FE"/>
    <w:rsid w:val="00FF04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92552F"/>
  <w15:chartTrackingRefBased/>
  <w15:docId w15:val="{A893AE34-07E4-4D39-8939-9F05533C1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8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78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78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78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78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78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78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78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78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8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78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78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78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78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78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78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78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7833"/>
    <w:rPr>
      <w:rFonts w:eastAsiaTheme="majorEastAsia" w:cstheme="majorBidi"/>
      <w:color w:val="272727" w:themeColor="text1" w:themeTint="D8"/>
    </w:rPr>
  </w:style>
  <w:style w:type="paragraph" w:styleId="Title">
    <w:name w:val="Title"/>
    <w:basedOn w:val="Normal"/>
    <w:next w:val="Normal"/>
    <w:link w:val="TitleChar"/>
    <w:uiPriority w:val="10"/>
    <w:qFormat/>
    <w:rsid w:val="000B78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8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78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78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7833"/>
    <w:pPr>
      <w:spacing w:before="160"/>
      <w:jc w:val="center"/>
    </w:pPr>
    <w:rPr>
      <w:i/>
      <w:iCs/>
      <w:color w:val="404040" w:themeColor="text1" w:themeTint="BF"/>
    </w:rPr>
  </w:style>
  <w:style w:type="character" w:customStyle="1" w:styleId="QuoteChar">
    <w:name w:val="Quote Char"/>
    <w:basedOn w:val="DefaultParagraphFont"/>
    <w:link w:val="Quote"/>
    <w:uiPriority w:val="29"/>
    <w:rsid w:val="000B7833"/>
    <w:rPr>
      <w:i/>
      <w:iCs/>
      <w:color w:val="404040" w:themeColor="text1" w:themeTint="BF"/>
    </w:rPr>
  </w:style>
  <w:style w:type="paragraph" w:styleId="ListParagraph">
    <w:name w:val="List Paragraph"/>
    <w:basedOn w:val="Normal"/>
    <w:uiPriority w:val="34"/>
    <w:qFormat/>
    <w:rsid w:val="000B7833"/>
    <w:pPr>
      <w:ind w:left="720"/>
      <w:contextualSpacing/>
    </w:pPr>
  </w:style>
  <w:style w:type="character" w:styleId="IntenseEmphasis">
    <w:name w:val="Intense Emphasis"/>
    <w:basedOn w:val="DefaultParagraphFont"/>
    <w:uiPriority w:val="21"/>
    <w:qFormat/>
    <w:rsid w:val="000B7833"/>
    <w:rPr>
      <w:i/>
      <w:iCs/>
      <w:color w:val="0F4761" w:themeColor="accent1" w:themeShade="BF"/>
    </w:rPr>
  </w:style>
  <w:style w:type="paragraph" w:styleId="IntenseQuote">
    <w:name w:val="Intense Quote"/>
    <w:basedOn w:val="Normal"/>
    <w:next w:val="Normal"/>
    <w:link w:val="IntenseQuoteChar"/>
    <w:uiPriority w:val="30"/>
    <w:qFormat/>
    <w:rsid w:val="000B78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7833"/>
    <w:rPr>
      <w:i/>
      <w:iCs/>
      <w:color w:val="0F4761" w:themeColor="accent1" w:themeShade="BF"/>
    </w:rPr>
  </w:style>
  <w:style w:type="character" w:styleId="IntenseReference">
    <w:name w:val="Intense Reference"/>
    <w:basedOn w:val="DefaultParagraphFont"/>
    <w:uiPriority w:val="32"/>
    <w:qFormat/>
    <w:rsid w:val="000B7833"/>
    <w:rPr>
      <w:b/>
      <w:bCs/>
      <w:smallCaps/>
      <w:color w:val="0F4761" w:themeColor="accent1" w:themeShade="BF"/>
      <w:spacing w:val="5"/>
    </w:rPr>
  </w:style>
  <w:style w:type="paragraph" w:styleId="FootnoteText">
    <w:name w:val="footnote text"/>
    <w:basedOn w:val="Normal"/>
    <w:link w:val="FootnoteTextChar"/>
    <w:uiPriority w:val="99"/>
    <w:semiHidden/>
    <w:unhideWhenUsed/>
    <w:rsid w:val="00D456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5615"/>
    <w:rPr>
      <w:sz w:val="20"/>
      <w:szCs w:val="20"/>
    </w:rPr>
  </w:style>
  <w:style w:type="character" w:styleId="FootnoteReference">
    <w:name w:val="footnote reference"/>
    <w:basedOn w:val="DefaultParagraphFont"/>
    <w:uiPriority w:val="99"/>
    <w:semiHidden/>
    <w:unhideWhenUsed/>
    <w:rsid w:val="00D45615"/>
    <w:rPr>
      <w:vertAlign w:val="superscript"/>
    </w:rPr>
  </w:style>
  <w:style w:type="paragraph" w:styleId="Header">
    <w:name w:val="header"/>
    <w:basedOn w:val="Normal"/>
    <w:link w:val="HeaderChar"/>
    <w:uiPriority w:val="99"/>
    <w:unhideWhenUsed/>
    <w:rsid w:val="009B43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399"/>
  </w:style>
  <w:style w:type="paragraph" w:styleId="Footer">
    <w:name w:val="footer"/>
    <w:basedOn w:val="Normal"/>
    <w:link w:val="FooterChar"/>
    <w:uiPriority w:val="99"/>
    <w:unhideWhenUsed/>
    <w:rsid w:val="009B43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399"/>
  </w:style>
  <w:style w:type="paragraph" w:styleId="EndnoteText">
    <w:name w:val="endnote text"/>
    <w:basedOn w:val="Normal"/>
    <w:link w:val="EndnoteTextChar"/>
    <w:uiPriority w:val="99"/>
    <w:semiHidden/>
    <w:unhideWhenUsed/>
    <w:rsid w:val="007B395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B395A"/>
    <w:rPr>
      <w:sz w:val="20"/>
      <w:szCs w:val="20"/>
    </w:rPr>
  </w:style>
  <w:style w:type="character" w:styleId="EndnoteReference">
    <w:name w:val="endnote reference"/>
    <w:basedOn w:val="DefaultParagraphFont"/>
    <w:uiPriority w:val="99"/>
    <w:semiHidden/>
    <w:unhideWhenUsed/>
    <w:rsid w:val="007B395A"/>
    <w:rPr>
      <w:vertAlign w:val="superscript"/>
    </w:rPr>
  </w:style>
  <w:style w:type="character" w:styleId="Hyperlink">
    <w:name w:val="Hyperlink"/>
    <w:basedOn w:val="DefaultParagraphFont"/>
    <w:uiPriority w:val="99"/>
    <w:unhideWhenUsed/>
    <w:rsid w:val="00B16EB2"/>
    <w:rPr>
      <w:color w:val="467886" w:themeColor="hyperlink"/>
      <w:u w:val="single"/>
    </w:rPr>
  </w:style>
  <w:style w:type="character" w:styleId="UnresolvedMention">
    <w:name w:val="Unresolved Mention"/>
    <w:basedOn w:val="DefaultParagraphFont"/>
    <w:uiPriority w:val="99"/>
    <w:semiHidden/>
    <w:unhideWhenUsed/>
    <w:rsid w:val="00B16E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7875483">
      <w:bodyDiv w:val="1"/>
      <w:marLeft w:val="0"/>
      <w:marRight w:val="0"/>
      <w:marTop w:val="0"/>
      <w:marBottom w:val="0"/>
      <w:divBdr>
        <w:top w:val="none" w:sz="0" w:space="0" w:color="auto"/>
        <w:left w:val="none" w:sz="0" w:space="0" w:color="auto"/>
        <w:bottom w:val="none" w:sz="0" w:space="0" w:color="auto"/>
        <w:right w:val="none" w:sz="0" w:space="0" w:color="auto"/>
      </w:divBdr>
    </w:div>
    <w:div w:id="1132482579">
      <w:bodyDiv w:val="1"/>
      <w:marLeft w:val="0"/>
      <w:marRight w:val="0"/>
      <w:marTop w:val="0"/>
      <w:marBottom w:val="0"/>
      <w:divBdr>
        <w:top w:val="none" w:sz="0" w:space="0" w:color="auto"/>
        <w:left w:val="none" w:sz="0" w:space="0" w:color="auto"/>
        <w:bottom w:val="none" w:sz="0" w:space="0" w:color="auto"/>
        <w:right w:val="none" w:sz="0" w:space="0" w:color="auto"/>
      </w:divBdr>
    </w:div>
    <w:div w:id="1201747653">
      <w:bodyDiv w:val="1"/>
      <w:marLeft w:val="0"/>
      <w:marRight w:val="0"/>
      <w:marTop w:val="0"/>
      <w:marBottom w:val="0"/>
      <w:divBdr>
        <w:top w:val="none" w:sz="0" w:space="0" w:color="auto"/>
        <w:left w:val="none" w:sz="0" w:space="0" w:color="auto"/>
        <w:bottom w:val="none" w:sz="0" w:space="0" w:color="auto"/>
        <w:right w:val="none" w:sz="0" w:space="0" w:color="auto"/>
      </w:divBdr>
    </w:div>
    <w:div w:id="126510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043610624128079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B947A-5955-4F0D-84D0-F1C06592A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8695</Words>
  <Characters>51541</Characters>
  <Application>Microsoft Office Word</Application>
  <DocSecurity>4</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60116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Vikki</dc:creator>
  <cp:keywords/>
  <dc:description/>
  <cp:lastModifiedBy>Nichola Welton</cp:lastModifiedBy>
  <cp:revision>2</cp:revision>
  <dcterms:created xsi:type="dcterms:W3CDTF">2025-06-10T13:17:00Z</dcterms:created>
  <dcterms:modified xsi:type="dcterms:W3CDTF">2025-06-10T13:17:00Z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844f442c-e811-4f87-b653-cc5fa1b50f76</vt:lpwstr>
  </property>
</Properties>
</file>