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8895FF" w14:textId="159EFA18" w:rsidR="00936589" w:rsidRDefault="00936589" w:rsidP="00936589">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14:anchorId="3CD3B9B8" wp14:editId="0341FD4C">
            <wp:extent cx="2881630" cy="1052830"/>
            <wp:effectExtent l="25400" t="25400" r="13970" b="1397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1630" cy="1052830"/>
                    </a:xfrm>
                    <a:prstGeom prst="rect">
                      <a:avLst/>
                    </a:prstGeom>
                    <a:noFill/>
                    <a:ln w="19050" cmpd="sng">
                      <a:solidFill>
                        <a:srgbClr val="000000"/>
                      </a:solidFill>
                      <a:miter lim="800000"/>
                      <a:headEnd/>
                      <a:tailEnd/>
                    </a:ln>
                    <a:effectLst/>
                  </pic:spPr>
                </pic:pic>
              </a:graphicData>
            </a:graphic>
          </wp:inline>
        </w:drawing>
      </w:r>
    </w:p>
    <w:p w14:paraId="0FEF1C6D" w14:textId="77777777" w:rsidR="00936589" w:rsidRDefault="00936589" w:rsidP="00936589">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63222B55" w14:textId="77777777" w:rsidR="00936589" w:rsidRPr="001E50BB" w:rsidRDefault="00936589" w:rsidP="00936589">
      <w:pPr>
        <w:jc w:val="center"/>
        <w:rPr>
          <w:rFonts w:ascii="Arial" w:hAnsi="Arial" w:cs="Arial"/>
          <w:b/>
          <w:lang w:val="cy-GB"/>
        </w:rPr>
      </w:pPr>
      <w:r w:rsidRPr="001E50BB">
        <w:rPr>
          <w:rFonts w:ascii="Arial" w:hAnsi="Arial" w:cs="Arial"/>
          <w:b/>
          <w:lang w:val="cy-GB"/>
        </w:rPr>
        <w:t>(to be completed by marker)</w:t>
      </w:r>
    </w:p>
    <w:p w14:paraId="30E53C63" w14:textId="77777777" w:rsidR="00936589" w:rsidRPr="001E50BB" w:rsidRDefault="00936589" w:rsidP="00936589">
      <w:pPr>
        <w:jc w:val="center"/>
        <w:rPr>
          <w:rFonts w:ascii="Arial" w:hAnsi="Arial" w:cs="Arial"/>
          <w:b/>
          <w:lang w:val="cy-GB"/>
        </w:rPr>
      </w:pPr>
    </w:p>
    <w:p w14:paraId="654A7A01" w14:textId="77777777" w:rsidR="00936589" w:rsidRDefault="00936589" w:rsidP="00936589">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936589" w:rsidRPr="0065654E" w14:paraId="64FD11D5" w14:textId="77777777" w:rsidTr="00A661B3">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7537629C" w14:textId="77777777" w:rsidR="00936589" w:rsidRDefault="00936589" w:rsidP="00A661B3">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p>
          <w:p w14:paraId="68CEEA3D" w14:textId="77777777" w:rsidR="00936589" w:rsidRPr="0065654E" w:rsidRDefault="00936589" w:rsidP="00A661B3">
            <w:pPr>
              <w:pStyle w:val="NormalWeb"/>
              <w:spacing w:before="0" w:beforeAutospacing="0" w:after="0" w:afterAutospacing="0"/>
              <w:ind w:right="34"/>
              <w:rPr>
                <w:rFonts w:ascii="Calibri" w:hAnsi="Calibri" w:cs="Tahoma"/>
                <w:i/>
                <w:sz w:val="24"/>
                <w:szCs w:val="24"/>
              </w:rPr>
            </w:pPr>
          </w:p>
        </w:tc>
      </w:tr>
      <w:tr w:rsidR="00936589" w:rsidRPr="0065654E" w14:paraId="0810CBDD" w14:textId="77777777" w:rsidTr="00A661B3">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5BA1F2E4" w14:textId="77777777" w:rsidR="00936589" w:rsidRPr="0065654E" w:rsidRDefault="00936589" w:rsidP="00A661B3">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w:t>
            </w:r>
          </w:p>
        </w:tc>
        <w:tc>
          <w:tcPr>
            <w:tcW w:w="3967" w:type="dxa"/>
            <w:gridSpan w:val="2"/>
            <w:tcBorders>
              <w:top w:val="single" w:sz="4" w:space="0" w:color="auto"/>
              <w:left w:val="single" w:sz="4" w:space="0" w:color="auto"/>
              <w:bottom w:val="single" w:sz="4" w:space="0" w:color="auto"/>
              <w:right w:val="single" w:sz="4" w:space="0" w:color="auto"/>
            </w:tcBorders>
          </w:tcPr>
          <w:p w14:paraId="6EEFFED9" w14:textId="77777777" w:rsidR="00936589" w:rsidRPr="0065654E" w:rsidRDefault="00936589" w:rsidP="00A661B3">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p>
        </w:tc>
      </w:tr>
      <w:tr w:rsidR="00936589" w:rsidRPr="0065654E" w14:paraId="251E9B59" w14:textId="77777777" w:rsidTr="00A661B3">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076988AC" w14:textId="77777777" w:rsidR="00936589" w:rsidRPr="0065654E" w:rsidRDefault="00936589" w:rsidP="00A661B3">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76ACE87A" w14:textId="77777777" w:rsidR="00936589" w:rsidRDefault="00936589" w:rsidP="00A661B3">
            <w:pPr>
              <w:pStyle w:val="NormalWeb"/>
              <w:rPr>
                <w:rFonts w:ascii="Calibri" w:hAnsi="Calibri" w:cs="Tahoma"/>
                <w:i/>
                <w:sz w:val="24"/>
                <w:szCs w:val="24"/>
              </w:rPr>
            </w:pPr>
            <w:r w:rsidRPr="0065654E">
              <w:rPr>
                <w:rFonts w:ascii="Calibri" w:hAnsi="Calibri" w:cs="Tahoma"/>
                <w:i/>
                <w:sz w:val="24"/>
                <w:szCs w:val="24"/>
              </w:rPr>
              <w:t>Comments:</w:t>
            </w:r>
          </w:p>
          <w:p w14:paraId="625F80C9" w14:textId="77777777" w:rsidR="00936589" w:rsidRDefault="00936589" w:rsidP="00A661B3">
            <w:pPr>
              <w:pStyle w:val="NormalWeb"/>
              <w:rPr>
                <w:rFonts w:ascii="Calibri" w:hAnsi="Calibri" w:cs="Tahoma"/>
                <w:i/>
                <w:sz w:val="24"/>
                <w:szCs w:val="24"/>
              </w:rPr>
            </w:pPr>
          </w:p>
          <w:p w14:paraId="04DC9197" w14:textId="77777777" w:rsidR="00936589" w:rsidRDefault="00936589" w:rsidP="00A661B3">
            <w:pPr>
              <w:pStyle w:val="NormalWeb"/>
              <w:rPr>
                <w:rFonts w:ascii="Calibri" w:hAnsi="Calibri" w:cs="Tahoma"/>
                <w:i/>
                <w:sz w:val="24"/>
                <w:szCs w:val="24"/>
              </w:rPr>
            </w:pPr>
          </w:p>
          <w:p w14:paraId="1CC9F6EB" w14:textId="77777777" w:rsidR="00936589" w:rsidRDefault="00936589" w:rsidP="00A661B3">
            <w:pPr>
              <w:pStyle w:val="NormalWeb"/>
              <w:rPr>
                <w:rFonts w:ascii="Calibri" w:hAnsi="Calibri" w:cs="Tahoma"/>
                <w:i/>
                <w:sz w:val="24"/>
                <w:szCs w:val="24"/>
              </w:rPr>
            </w:pPr>
          </w:p>
          <w:p w14:paraId="0B125D88" w14:textId="77777777" w:rsidR="00936589" w:rsidRDefault="00936589" w:rsidP="00A661B3">
            <w:pPr>
              <w:pStyle w:val="NormalWeb"/>
              <w:rPr>
                <w:rFonts w:ascii="Calibri" w:hAnsi="Calibri" w:cs="Tahoma"/>
                <w:i/>
                <w:sz w:val="24"/>
                <w:szCs w:val="24"/>
              </w:rPr>
            </w:pPr>
          </w:p>
          <w:p w14:paraId="5A9ADACF" w14:textId="77777777" w:rsidR="00936589" w:rsidRDefault="00936589" w:rsidP="00A661B3">
            <w:pPr>
              <w:pStyle w:val="NormalWeb"/>
              <w:rPr>
                <w:rFonts w:ascii="Calibri" w:hAnsi="Calibri" w:cs="Tahoma"/>
                <w:i/>
                <w:sz w:val="24"/>
                <w:szCs w:val="24"/>
              </w:rPr>
            </w:pPr>
          </w:p>
          <w:p w14:paraId="01C91E14" w14:textId="77777777" w:rsidR="00936589" w:rsidRDefault="00936589" w:rsidP="00A661B3">
            <w:pPr>
              <w:pStyle w:val="NormalWeb"/>
              <w:rPr>
                <w:rFonts w:ascii="Calibri" w:hAnsi="Calibri" w:cs="Tahoma"/>
                <w:i/>
                <w:sz w:val="24"/>
                <w:szCs w:val="24"/>
              </w:rPr>
            </w:pPr>
          </w:p>
          <w:p w14:paraId="1B93A7CE" w14:textId="77777777" w:rsidR="00936589" w:rsidRDefault="00936589" w:rsidP="00A661B3">
            <w:pPr>
              <w:pStyle w:val="NormalWeb"/>
              <w:rPr>
                <w:rFonts w:ascii="Calibri" w:hAnsi="Calibri" w:cs="Tahoma"/>
                <w:i/>
                <w:sz w:val="24"/>
                <w:szCs w:val="24"/>
              </w:rPr>
            </w:pPr>
          </w:p>
          <w:p w14:paraId="0A9948B5" w14:textId="77777777" w:rsidR="00936589" w:rsidRDefault="00936589" w:rsidP="00A661B3">
            <w:pPr>
              <w:pStyle w:val="NormalWeb"/>
              <w:rPr>
                <w:rFonts w:ascii="Calibri" w:hAnsi="Calibri" w:cs="Tahoma"/>
                <w:i/>
                <w:sz w:val="24"/>
                <w:szCs w:val="24"/>
              </w:rPr>
            </w:pPr>
          </w:p>
          <w:p w14:paraId="3586FB15" w14:textId="77777777" w:rsidR="00936589" w:rsidRDefault="00936589" w:rsidP="00A661B3">
            <w:pPr>
              <w:pStyle w:val="NormalWeb"/>
              <w:rPr>
                <w:rFonts w:ascii="Calibri" w:hAnsi="Calibri" w:cs="Tahoma"/>
                <w:i/>
                <w:sz w:val="24"/>
                <w:szCs w:val="24"/>
              </w:rPr>
            </w:pPr>
          </w:p>
          <w:p w14:paraId="165B185E" w14:textId="77777777" w:rsidR="00936589" w:rsidRDefault="00936589" w:rsidP="00A661B3">
            <w:pPr>
              <w:pStyle w:val="NormalWeb"/>
              <w:rPr>
                <w:rFonts w:ascii="Calibri" w:hAnsi="Calibri" w:cs="Tahoma"/>
                <w:i/>
                <w:sz w:val="24"/>
                <w:szCs w:val="24"/>
              </w:rPr>
            </w:pPr>
          </w:p>
          <w:p w14:paraId="3FC2896B" w14:textId="77777777" w:rsidR="00936589" w:rsidRPr="0065654E" w:rsidRDefault="00936589" w:rsidP="00A661B3">
            <w:pPr>
              <w:pStyle w:val="NormalWeb"/>
              <w:rPr>
                <w:rFonts w:ascii="Calibri" w:hAnsi="Calibri" w:cs="Tahoma"/>
                <w:i/>
                <w:sz w:val="24"/>
                <w:szCs w:val="24"/>
              </w:rPr>
            </w:pPr>
          </w:p>
        </w:tc>
      </w:tr>
      <w:tr w:rsidR="00936589" w:rsidRPr="0065654E" w14:paraId="259F00B3" w14:textId="77777777" w:rsidTr="00A661B3">
        <w:trPr>
          <w:trHeight w:val="492"/>
        </w:trPr>
        <w:tc>
          <w:tcPr>
            <w:tcW w:w="6768" w:type="dxa"/>
            <w:gridSpan w:val="2"/>
            <w:tcBorders>
              <w:top w:val="single" w:sz="4" w:space="0" w:color="auto"/>
            </w:tcBorders>
            <w:vAlign w:val="center"/>
          </w:tcPr>
          <w:p w14:paraId="223A7821" w14:textId="77777777" w:rsidR="00936589" w:rsidRPr="0065654E" w:rsidRDefault="00936589" w:rsidP="00A661B3">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381F58D0" w14:textId="77777777" w:rsidR="00936589" w:rsidRPr="0065654E" w:rsidRDefault="00936589" w:rsidP="00A661B3">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936589" w:rsidRPr="0065654E" w14:paraId="09436F8A" w14:textId="77777777" w:rsidTr="00A661B3">
        <w:tc>
          <w:tcPr>
            <w:tcW w:w="8755" w:type="dxa"/>
            <w:gridSpan w:val="3"/>
            <w:vAlign w:val="center"/>
          </w:tcPr>
          <w:p w14:paraId="5FEAA466" w14:textId="77777777" w:rsidR="00936589" w:rsidRDefault="00936589" w:rsidP="00A661B3">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47B1C0EF" w14:textId="77777777" w:rsidR="00936589" w:rsidRPr="0065654E" w:rsidRDefault="00936589" w:rsidP="00A661B3">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7B1AA505" w14:textId="77777777" w:rsidR="00936589" w:rsidRPr="0065654E" w:rsidRDefault="00936589" w:rsidP="00936589">
      <w:pPr>
        <w:pStyle w:val="NormalWeb"/>
        <w:spacing w:before="0" w:beforeAutospacing="0" w:after="0" w:afterAutospacing="0"/>
        <w:ind w:right="-334"/>
        <w:rPr>
          <w:rFonts w:ascii="Trebuchet MS" w:hAnsi="Trebuchet MS" w:cs="Tahoma"/>
          <w:b/>
          <w:bCs/>
          <w:sz w:val="24"/>
          <w:szCs w:val="24"/>
        </w:rPr>
      </w:pPr>
    </w:p>
    <w:p w14:paraId="561F1833" w14:textId="4839B13E" w:rsidR="003C25BD" w:rsidRDefault="00936589" w:rsidP="00936589">
      <w:r w:rsidRPr="00431005">
        <w:rPr>
          <w:i/>
          <w:sz w:val="32"/>
        </w:rPr>
        <w:lastRenderedPageBreak/>
        <w:t xml:space="preserve"> </w:t>
      </w:r>
      <w:r w:rsidR="003C25BD" w:rsidRPr="00431005">
        <w:rPr>
          <w:i/>
          <w:sz w:val="32"/>
        </w:rPr>
        <w:t>“Based on a critical discussion of the available Ancient Sources, analyse the reasons that resulted in the Second Punic War.”</w:t>
      </w:r>
    </w:p>
    <w:p w14:paraId="3A379B81" w14:textId="77777777" w:rsidR="00210517" w:rsidRDefault="00210517" w:rsidP="00210517"/>
    <w:p w14:paraId="02557ADC" w14:textId="17A7AF79" w:rsidR="00210517" w:rsidRPr="00210517" w:rsidRDefault="00210517" w:rsidP="00210517">
      <w:pPr>
        <w:spacing w:line="480" w:lineRule="auto"/>
        <w:rPr>
          <w:sz w:val="22"/>
        </w:rPr>
      </w:pPr>
      <w:r>
        <w:t xml:space="preserve">The reasons that the Second Punic War started will be </w:t>
      </w:r>
      <w:r w:rsidR="00921807">
        <w:t>discuss'</w:t>
      </w:r>
      <w:r>
        <w:t xml:space="preserve"> in this essay through the use of modern and ancient Historians. It</w:t>
      </w:r>
      <w:r w:rsidR="00921807">
        <w:t>’</w:t>
      </w:r>
      <w:r>
        <w:t>s clear both sides had to pl</w:t>
      </w:r>
      <w:r w:rsidR="00020770">
        <w:t>ay a part in the causes of the Second</w:t>
      </w:r>
      <w:r>
        <w:t xml:space="preserve"> Punic War. Firstly, the first Punic War plays the strongest and realistic reasons as to why war eventually came around. Secondly the views on Hannibal and if he was the aggressor and the man the sources make him to be. Then the activities of Spain and how they all link together and then the </w:t>
      </w:r>
      <w:r w:rsidR="00F74A52">
        <w:t>viewpoint of Rome wanting war with Carthage.</w:t>
      </w:r>
    </w:p>
    <w:p w14:paraId="5226EBF9" w14:textId="77777777" w:rsidR="00210517" w:rsidRDefault="00210517" w:rsidP="003C25BD">
      <w:pPr>
        <w:jc w:val="center"/>
        <w:rPr>
          <w:i/>
          <w:sz w:val="32"/>
        </w:rPr>
      </w:pPr>
    </w:p>
    <w:p w14:paraId="2F40AA94" w14:textId="77777777" w:rsidR="0048263C" w:rsidRDefault="0048263C"/>
    <w:p w14:paraId="01F04C66" w14:textId="1D5CDB90" w:rsidR="003C25BD" w:rsidRDefault="003C25BD" w:rsidP="005A3F60">
      <w:pPr>
        <w:spacing w:line="480" w:lineRule="auto"/>
      </w:pPr>
      <w:r>
        <w:t xml:space="preserve">The first </w:t>
      </w:r>
      <w:r w:rsidR="005A3F60">
        <w:t xml:space="preserve">logical </w:t>
      </w:r>
      <w:r>
        <w:t xml:space="preserve">reason that caused the Second Punic War is the treaty that was established at the end of the First Punic War in </w:t>
      </w:r>
      <w:r w:rsidR="005A3F60">
        <w:t>241 B.C. w</w:t>
      </w:r>
      <w:r w:rsidR="002E58E4">
        <w:t xml:space="preserve">ith Rome </w:t>
      </w:r>
      <w:r w:rsidR="005A3F60">
        <w:t>giving a harsh treaty regarding war reparations against Carthage</w:t>
      </w:r>
      <w:r w:rsidR="00E74529">
        <w:t>,</w:t>
      </w:r>
      <w:r w:rsidR="005A3F60">
        <w:t xml:space="preserve"> in which Polybius tells us that “</w:t>
      </w:r>
      <w:r w:rsidR="005A3F60">
        <w:rPr>
          <w:i/>
        </w:rPr>
        <w:t>They reduced… the time allowed for the payment of the indemnity to ten years, added 1,000 talents to the total demanded</w:t>
      </w:r>
      <w:r w:rsidR="005A3F60">
        <w:rPr>
          <w:i/>
        </w:rPr>
        <w:t>”.</w:t>
      </w:r>
      <w:r w:rsidR="006B2FC0">
        <w:rPr>
          <w:rStyle w:val="FootnoteReference"/>
          <w:i/>
        </w:rPr>
        <w:footnoteReference w:id="1"/>
      </w:r>
      <w:r w:rsidR="005A3F60">
        <w:t xml:space="preserve"> This passage explains that the Romans wanted to damage Carthage economically and put a thriving nation into a state of economic strife and pressure, allowing the Romans to have little worry for Carthage to expand or rise up in arms as any state that is damaged financially can never really be an offensive one. The first Punic war may have been a simple treaty however it is reflected in modern history that a treaty too harsh can cause a desire for vengeance.</w:t>
      </w:r>
    </w:p>
    <w:p w14:paraId="5372FAD9" w14:textId="77777777" w:rsidR="006F38EB" w:rsidRDefault="006F38EB" w:rsidP="005A3F60">
      <w:pPr>
        <w:spacing w:line="480" w:lineRule="auto"/>
      </w:pPr>
    </w:p>
    <w:p w14:paraId="50B731F2" w14:textId="2FE08F80" w:rsidR="00165720" w:rsidRPr="00A8510F" w:rsidRDefault="00165720" w:rsidP="00165720">
      <w:pPr>
        <w:spacing w:line="480" w:lineRule="auto"/>
      </w:pPr>
      <w:r>
        <w:t xml:space="preserve">The second logical reason for the cause of the Second Punic war was the events in Sardinia, in which </w:t>
      </w:r>
      <w:r w:rsidR="00EF29D7">
        <w:t xml:space="preserve">Dexter </w:t>
      </w:r>
      <w:r>
        <w:t>Hoyos defines “the lasting impact of the Sardinia crisis was to kill off the fragile chance of the two states building friendly relations…”</w:t>
      </w:r>
      <w:r w:rsidR="009F7648">
        <w:rPr>
          <w:rStyle w:val="FootnoteReference"/>
        </w:rPr>
        <w:footnoteReference w:id="2"/>
      </w:r>
      <w:r>
        <w:t xml:space="preserve"> the effects of the First Punic war had been damaging and degrading enough but after the tensions at Carthage with mercenaries and the robbery of Sicily under Rome, Carthage had been made a mockery of as it was only after the first Punic War had Rome made Carthage, </w:t>
      </w:r>
      <w:r w:rsidRPr="00151E01">
        <w:rPr>
          <w:i/>
        </w:rPr>
        <w:t>“evacuate all the islands lying between Sicily and Italy”</w:t>
      </w:r>
      <w:r>
        <w:t>.</w:t>
      </w:r>
      <w:r w:rsidR="00F15166">
        <w:rPr>
          <w:rStyle w:val="FootnoteReference"/>
        </w:rPr>
        <w:footnoteReference w:id="3"/>
      </w:r>
      <w:r>
        <w:t xml:space="preserve"> Most of all, as well as stealing Sardinia the Romans decreed the Carthaginians pay “1,200 talents”</w:t>
      </w:r>
      <w:r w:rsidR="00F15166">
        <w:rPr>
          <w:rStyle w:val="FootnoteReference"/>
        </w:rPr>
        <w:footnoteReference w:id="4"/>
      </w:r>
      <w:r>
        <w:t xml:space="preserve"> immediately Hoyos tells us and that is why the statement first mentioned by Hoyos is the second main cause for the Second Punic War, as Rome had handled Carthage in a belittling manner which would no doubt leave the desire for revenge in many Carthage.</w:t>
      </w:r>
    </w:p>
    <w:p w14:paraId="7D0E44D3" w14:textId="77777777" w:rsidR="006F38EB" w:rsidRDefault="006F38EB" w:rsidP="005A3F60">
      <w:pPr>
        <w:spacing w:line="480" w:lineRule="auto"/>
      </w:pPr>
    </w:p>
    <w:p w14:paraId="70876905" w14:textId="46A91DD3" w:rsidR="007D587A" w:rsidRDefault="00777885" w:rsidP="005A3F60">
      <w:pPr>
        <w:spacing w:line="480" w:lineRule="auto"/>
      </w:pPr>
      <w:r>
        <w:t>Many of the ancient authors</w:t>
      </w:r>
      <w:r w:rsidR="003B0A0E">
        <w:t xml:space="preserve"> </w:t>
      </w:r>
      <w:r w:rsidR="002E58E4">
        <w:t>define</w:t>
      </w:r>
      <w:r>
        <w:t xml:space="preserve"> Hannibal as the aggressor, and the key reason for the Second Punic War</w:t>
      </w:r>
      <w:r w:rsidR="001F124B">
        <w:t>,</w:t>
      </w:r>
      <w:r>
        <w:t xml:space="preserve"> the main example is Polybius who refers to Hannibal having </w:t>
      </w:r>
      <w:r>
        <w:rPr>
          <w:i/>
        </w:rPr>
        <w:t>“his long-standing hatred of Rome</w:t>
      </w:r>
      <w:r>
        <w:rPr>
          <w:i/>
        </w:rPr>
        <w:t>”</w:t>
      </w:r>
      <w:r w:rsidR="00F15166">
        <w:rPr>
          <w:rStyle w:val="FootnoteReference"/>
          <w:i/>
        </w:rPr>
        <w:footnoteReference w:id="5"/>
      </w:r>
      <w:r>
        <w:rPr>
          <w:i/>
        </w:rPr>
        <w:t xml:space="preserve"> </w:t>
      </w:r>
      <w:r>
        <w:t>and gives us detail of the origin of this outward hatred earlier in his works. Yet, John F. Lazenby argues</w:t>
      </w:r>
      <w:r w:rsidR="00E97276">
        <w:t xml:space="preserve"> otherwise</w:t>
      </w:r>
      <w:r>
        <w:t xml:space="preserve"> that </w:t>
      </w:r>
      <w:r>
        <w:rPr>
          <w:i/>
        </w:rPr>
        <w:t>“A boy does not necessarily carry childish promises into adult life.”</w:t>
      </w:r>
      <w:r w:rsidR="00F15166">
        <w:rPr>
          <w:rStyle w:val="FootnoteReference"/>
          <w:i/>
        </w:rPr>
        <w:footnoteReference w:id="6"/>
      </w:r>
      <w:r>
        <w:t xml:space="preserve"> Accepting that Hannibal’s father may have </w:t>
      </w:r>
      <w:r w:rsidR="00E97276">
        <w:t>instilled</w:t>
      </w:r>
      <w:r>
        <w:t xml:space="preserve"> hatred </w:t>
      </w:r>
      <w:r w:rsidR="00F635E0">
        <w:t>of</w:t>
      </w:r>
      <w:r>
        <w:t xml:space="preserve"> the Romans </w:t>
      </w:r>
      <w:r w:rsidR="001654F1">
        <w:t>into</w:t>
      </w:r>
      <w:r>
        <w:t xml:space="preserve"> </w:t>
      </w:r>
      <w:r w:rsidR="001654F1">
        <w:t>Hannibal</w:t>
      </w:r>
      <w:r w:rsidR="00E97276">
        <w:t>’</w:t>
      </w:r>
      <w:r w:rsidR="001654F1">
        <w:t>s life</w:t>
      </w:r>
      <w:r w:rsidR="00B44AD1">
        <w:t>.</w:t>
      </w:r>
      <w:r w:rsidR="001654F1">
        <w:t xml:space="preserve"> </w:t>
      </w:r>
      <w:r w:rsidR="00B44AD1">
        <w:t>This</w:t>
      </w:r>
      <w:r w:rsidR="00E97276">
        <w:t xml:space="preserve"> manipulate</w:t>
      </w:r>
      <w:r w:rsidR="00F635E0">
        <w:t>d</w:t>
      </w:r>
      <w:r w:rsidR="00E97276">
        <w:t xml:space="preserve"> Hannibal’s</w:t>
      </w:r>
      <w:r w:rsidR="001654F1" w:rsidRPr="00CB13F4">
        <w:t xml:space="preserve"> views, </w:t>
      </w:r>
      <w:r w:rsidR="00F635E0">
        <w:t xml:space="preserve">then </w:t>
      </w:r>
      <w:r w:rsidR="00CB13F4" w:rsidRPr="00CB13F4">
        <w:t>further to support this statement, Lazenby uses the example of Hannibal at the end of his campaign in Italy, as he states</w:t>
      </w:r>
      <w:r w:rsidR="00CB13F4">
        <w:rPr>
          <w:b/>
        </w:rPr>
        <w:t xml:space="preserve"> </w:t>
      </w:r>
      <w:r w:rsidR="001654F1">
        <w:t>Hannibal “</w:t>
      </w:r>
      <w:r w:rsidR="001654F1">
        <w:rPr>
          <w:i/>
        </w:rPr>
        <w:t>insisted Carthage had to make peace</w:t>
      </w:r>
      <w:r w:rsidR="001654F1">
        <w:rPr>
          <w:i/>
        </w:rPr>
        <w:t>”.</w:t>
      </w:r>
      <w:r w:rsidR="004E38D2">
        <w:rPr>
          <w:rStyle w:val="FootnoteReference"/>
          <w:i/>
        </w:rPr>
        <w:footnoteReference w:id="7"/>
      </w:r>
      <w:r w:rsidR="001654F1">
        <w:rPr>
          <w:i/>
        </w:rPr>
        <w:t xml:space="preserve"> </w:t>
      </w:r>
      <w:r w:rsidR="001654F1">
        <w:t>This knowledge gives insight that if Hannibal was the fanatic his father had m</w:t>
      </w:r>
      <w:r w:rsidR="00F635E0">
        <w:t>ade</w:t>
      </w:r>
      <w:r w:rsidR="00035A10">
        <w:t xml:space="preserve"> him to be, through Polybius’ history, </w:t>
      </w:r>
      <w:r w:rsidR="00F635E0">
        <w:t>Hannibal would hav</w:t>
      </w:r>
      <w:r w:rsidR="001654F1">
        <w:t>e died in Italy.</w:t>
      </w:r>
    </w:p>
    <w:p w14:paraId="5C6CCC0F" w14:textId="77777777" w:rsidR="00B85401" w:rsidRDefault="00B85401" w:rsidP="005A3F60">
      <w:pPr>
        <w:spacing w:line="480" w:lineRule="auto"/>
      </w:pPr>
    </w:p>
    <w:p w14:paraId="68416A4F" w14:textId="7ABA1039" w:rsidR="00B85401" w:rsidRPr="005D35C4" w:rsidRDefault="00B85401" w:rsidP="00B85401">
      <w:pPr>
        <w:spacing w:line="480" w:lineRule="auto"/>
      </w:pPr>
      <w:r>
        <w:t>The “Barcid empire in Spain”</w:t>
      </w:r>
      <w:r w:rsidR="004E38D2">
        <w:rPr>
          <w:rStyle w:val="FootnoteReference"/>
        </w:rPr>
        <w:footnoteReference w:id="8"/>
      </w:r>
      <w:r>
        <w:t xml:space="preserve"> is how Hoyos describes the inter war period of the First Punic war and the Second Punic War and Lazenby supports the statem</w:t>
      </w:r>
      <w:r w:rsidR="000213E4">
        <w:t>e</w:t>
      </w:r>
      <w:r>
        <w:t>n</w:t>
      </w:r>
      <w:r w:rsidR="000213E4">
        <w:t>t</w:t>
      </w:r>
      <w:r>
        <w:t xml:space="preserve"> of Hoyos as he </w:t>
      </w:r>
      <w:r w:rsidR="004E38D2">
        <w:t>states,</w:t>
      </w:r>
      <w:r>
        <w:t xml:space="preserve"> “Carthage had used the intervening years to build up its empire in Spain…”</w:t>
      </w:r>
      <w:r w:rsidR="004E38D2">
        <w:rPr>
          <w:rStyle w:val="FootnoteReference"/>
        </w:rPr>
        <w:footnoteReference w:id="9"/>
      </w:r>
      <w:r>
        <w:t xml:space="preserve"> after the events of Sardinia the Barcid family conquered much of Spain gaining Carthage wealth and a new founded military. The way in which the Barcid empire rose is easily characterised by the work of Virgil, as the nation that lost its islands due to the First Punic War, this expansion and development in a land force was something of an evolution for the Carthaginian state.</w:t>
      </w:r>
      <w:r w:rsidR="004E38D2">
        <w:rPr>
          <w:rStyle w:val="FootnoteReference"/>
        </w:rPr>
        <w:footnoteReference w:id="10"/>
      </w:r>
      <w:r>
        <w:t xml:space="preserve"> Rome however had noticed the growing influence the Carthaginians where having in Spain and sent envoys to delegate a ‘boundary’ to halt the </w:t>
      </w:r>
      <w:r w:rsidR="00165720">
        <w:t>Carthaginian</w:t>
      </w:r>
      <w:r>
        <w:t xml:space="preserve"> expansion, as Rome was having issue with the Celts, with Polybius saying, </w:t>
      </w:r>
      <w:r>
        <w:rPr>
          <w:i/>
        </w:rPr>
        <w:t>“As long as they had an enemy such as the Celts threatening their frontier… they would not even be able to live in safety of Rome itself.”.</w:t>
      </w:r>
      <w:r w:rsidR="004E38D2" w:rsidRPr="004E38D2">
        <w:rPr>
          <w:rStyle w:val="FootnoteReference"/>
        </w:rPr>
        <w:footnoteReference w:id="11"/>
      </w:r>
      <w:r>
        <w:rPr>
          <w:i/>
        </w:rPr>
        <w:t xml:space="preserve"> </w:t>
      </w:r>
      <w:r>
        <w:t>So, the Romans made a treaty with Hasdrubal allowing a cap in the rise of this newfound empire, as Hoyos states “what mattered was… that Hasdrubal and Carthage would keep well away from the crisis with the Gauls”.</w:t>
      </w:r>
      <w:r w:rsidR="004E38D2">
        <w:rPr>
          <w:rStyle w:val="FootnoteReference"/>
        </w:rPr>
        <w:footnoteReference w:id="12"/>
      </w:r>
      <w:r>
        <w:t xml:space="preserve"> This Ebro treaty allowed </w:t>
      </w:r>
      <w:r w:rsidR="00A97B2D">
        <w:t>Rome</w:t>
      </w:r>
      <w:r>
        <w:t xml:space="preserve"> security in that Carthage and Rome could both afford to stay their distances and not have Carthage advance and form an alliance with the Celts to march on Rome. However, while there is a clear link with the rise in S</w:t>
      </w:r>
      <w:r w:rsidR="00A97B2D">
        <w:t>pain and the Ebro treaty, what’</w:t>
      </w:r>
      <w:r>
        <w:t>s hard to understand is Saguntum, Brain Caven describes the relation perfectly in saying how “</w:t>
      </w:r>
      <w:r>
        <w:rPr>
          <w:i/>
        </w:rPr>
        <w:t>it must have been abundantly clear to the most insensitive Senator that to do so… was to offend Punic susceptibilities and provide a bone of contention for the future?”</w:t>
      </w:r>
      <w:r w:rsidR="004E38D2" w:rsidRPr="004E38D2">
        <w:rPr>
          <w:rStyle w:val="FootnoteReference"/>
        </w:rPr>
        <w:footnoteReference w:id="13"/>
      </w:r>
      <w:r w:rsidR="004E38D2">
        <w:t xml:space="preserve"> </w:t>
      </w:r>
      <w:r>
        <w:t xml:space="preserve">and that even though it is South of the Ebro meaning, it is within the </w:t>
      </w:r>
      <w:r w:rsidR="000213E4">
        <w:t>Carthaginian</w:t>
      </w:r>
      <w:r>
        <w:t xml:space="preserve"> sphere it must have been placed there to be caused an inevitable war. Livy tells us that “</w:t>
      </w:r>
      <w:r>
        <w:rPr>
          <w:i/>
        </w:rPr>
        <w:t>The whole of Spain south of the Ebro, with the exception of Saguntum, was now in Carthaginian hands.”</w:t>
      </w:r>
      <w:r w:rsidR="00FD01F5">
        <w:rPr>
          <w:rStyle w:val="FootnoteReference"/>
          <w:i/>
        </w:rPr>
        <w:footnoteReference w:id="14"/>
      </w:r>
      <w:r>
        <w:rPr>
          <w:i/>
        </w:rPr>
        <w:t xml:space="preserve"> </w:t>
      </w:r>
      <w:r>
        <w:t>Yet due to Rome and Saguntum’s alliance Caven’s statement supports that Rome was creating a scapegoat to go to war. Appian talks about how Hannibal</w:t>
      </w:r>
      <w:r w:rsidR="00FD01F5">
        <w:t xml:space="preserve"> “</w:t>
      </w:r>
      <w:r w:rsidR="00FD01F5" w:rsidRPr="009044DD">
        <w:rPr>
          <w:rFonts w:eastAsia="Times New Roman"/>
          <w:i/>
          <w:color w:val="000000"/>
        </w:rPr>
        <w:t>crossed the Iberus and destroyed the city of Saguntum</w:t>
      </w:r>
      <w:r w:rsidR="00FD01F5">
        <w:rPr>
          <w:rFonts w:eastAsia="Times New Roman"/>
          <w:i/>
          <w:color w:val="000000"/>
        </w:rPr>
        <w:t>”</w:t>
      </w:r>
      <w:r>
        <w:t>.</w:t>
      </w:r>
      <w:r w:rsidR="00FD01F5">
        <w:rPr>
          <w:rStyle w:val="FootnoteReference"/>
        </w:rPr>
        <w:footnoteReference w:id="15"/>
      </w:r>
      <w:r>
        <w:t xml:space="preserve"> However, all other sources modern and ancient, clearly say the city was South of the river and therefor meaning Hannibal did not break the treaty, and that Rome was the main cause of the Second Punic War.</w:t>
      </w:r>
    </w:p>
    <w:p w14:paraId="21058789" w14:textId="77777777" w:rsidR="00F635E0" w:rsidRDefault="00F635E0" w:rsidP="00F635E0">
      <w:pPr>
        <w:spacing w:line="480" w:lineRule="auto"/>
      </w:pPr>
    </w:p>
    <w:p w14:paraId="5C6DCF69" w14:textId="3C6C05AD" w:rsidR="00E74529" w:rsidRDefault="00F635E0" w:rsidP="00E74529">
      <w:pPr>
        <w:spacing w:line="480" w:lineRule="auto"/>
      </w:pPr>
      <w:r>
        <w:t>Hoyos’ statement on Carthage and Rome shows us that although the ancient sources</w:t>
      </w:r>
      <w:r w:rsidR="00AD0B78">
        <w:t>,</w:t>
      </w:r>
      <w:r>
        <w:t xml:space="preserve"> such as Livy and Polybius</w:t>
      </w:r>
      <w:r w:rsidR="00AD0B78">
        <w:t>,</w:t>
      </w:r>
      <w:r>
        <w:t xml:space="preserve"> </w:t>
      </w:r>
      <w:r w:rsidR="00AD0B78">
        <w:t>depict</w:t>
      </w:r>
      <w:r>
        <w:t xml:space="preserve"> Hannibal </w:t>
      </w:r>
      <w:r w:rsidR="00AD0B78">
        <w:t>as</w:t>
      </w:r>
      <w:r>
        <w:t xml:space="preserve"> the main cause of the Punic war</w:t>
      </w:r>
      <w:r w:rsidR="00AD0B78">
        <w:t>,</w:t>
      </w:r>
      <w:r>
        <w:t xml:space="preserve"> it was</w:t>
      </w:r>
      <w:r w:rsidR="00AD0B78">
        <w:t xml:space="preserve"> also</w:t>
      </w:r>
      <w:r>
        <w:t xml:space="preserve"> Carthaginian aggression that was </w:t>
      </w:r>
      <w:r w:rsidR="00AD0B78">
        <w:t>a</w:t>
      </w:r>
      <w:r>
        <w:t xml:space="preserve"> catalyst for the war. Yet he takes an entirely different view stating, </w:t>
      </w:r>
      <w:r>
        <w:rPr>
          <w:i/>
        </w:rPr>
        <w:t>“Neither state showed either sign of wanting a war with the other, still less of needing one.”</w:t>
      </w:r>
      <w:r w:rsidR="00FD01F5">
        <w:rPr>
          <w:rStyle w:val="FootnoteReference"/>
          <w:i/>
        </w:rPr>
        <w:footnoteReference w:id="16"/>
      </w:r>
      <w:r w:rsidR="000E0EF0">
        <w:rPr>
          <w:i/>
        </w:rPr>
        <w:t>.</w:t>
      </w:r>
      <w:r>
        <w:rPr>
          <w:i/>
        </w:rPr>
        <w:t xml:space="preserve"> </w:t>
      </w:r>
      <w:r>
        <w:t>The evidence would be that Carthage was expanding into Spain and had financial stability and an empire to develop. For Rome, they had the Illyrian war to handle with the pressing threat and a successful campaign season the Romans had no need to go to war. However, the ancient sources are prone to write a pro-Roman side on everything as there are no Carthaginian sources to support the other side of the political world and that Hoyos’ statement is a side that few Historians take into consideration.</w:t>
      </w:r>
    </w:p>
    <w:p w14:paraId="34DEA7B6" w14:textId="77777777" w:rsidR="000213E4" w:rsidRDefault="000213E4" w:rsidP="00E74529">
      <w:pPr>
        <w:spacing w:line="480" w:lineRule="auto"/>
      </w:pPr>
    </w:p>
    <w:p w14:paraId="25E47891" w14:textId="2C4173A5" w:rsidR="002922D0" w:rsidRDefault="001654F1" w:rsidP="00E74529">
      <w:pPr>
        <w:spacing w:line="480" w:lineRule="auto"/>
      </w:pPr>
      <w:r>
        <w:t xml:space="preserve">Rome has been portrayed by Appian, Polybius and Livy as the ‘victim’ of the Second war between the two states. </w:t>
      </w:r>
      <w:r w:rsidR="00701FF7">
        <w:t>S</w:t>
      </w:r>
      <w:r>
        <w:t>ome modern authors can argue otherwise. William V. Harris explains how the financial benefits of warmongering had vastly benefitted the state explaining that “</w:t>
      </w:r>
      <w:r>
        <w:rPr>
          <w:i/>
        </w:rPr>
        <w:t xml:space="preserve">War had greatly increased public </w:t>
      </w:r>
      <w:r>
        <w:rPr>
          <w:i/>
        </w:rPr>
        <w:t>revenues</w:t>
      </w:r>
      <w:r>
        <w:rPr>
          <w:i/>
        </w:rPr>
        <w:t xml:space="preserve"> without a comparable increase in regular liabilities.”</w:t>
      </w:r>
      <w:r w:rsidR="00FD01F5">
        <w:rPr>
          <w:rStyle w:val="FootnoteReference"/>
          <w:i/>
        </w:rPr>
        <w:footnoteReference w:id="17"/>
      </w:r>
      <w:r>
        <w:t xml:space="preserve"> And </w:t>
      </w:r>
      <w:r w:rsidR="00E606F8">
        <w:t>therefore,</w:t>
      </w:r>
      <w:r>
        <w:t xml:space="preserve"> the Senators of Rome may have seen the second war as a profiteering scheme to help the state flourish.</w:t>
      </w:r>
      <w:r w:rsidR="008B16F7">
        <w:t xml:space="preserve"> As Harris also says to further his point </w:t>
      </w:r>
      <w:r w:rsidR="008B16F7">
        <w:rPr>
          <w:i/>
        </w:rPr>
        <w:t>“War and expansion were profitable to the state”</w:t>
      </w:r>
      <w:r w:rsidR="002922D0">
        <w:rPr>
          <w:rStyle w:val="FootnoteReference"/>
          <w:i/>
        </w:rPr>
        <w:footnoteReference w:id="18"/>
      </w:r>
      <w:r w:rsidR="002922D0">
        <w:rPr>
          <w:i/>
        </w:rPr>
        <w:t xml:space="preserve"> </w:t>
      </w:r>
      <w:r w:rsidR="00E97276">
        <w:t>and it would not be a reason to not focus on as the Hispanic lands were rich with silver and gold mines which would vastly benefit the state in addition to the war booty and slaves that would be brought in by fighting Carthage.</w:t>
      </w:r>
      <w:r w:rsidR="00151D1A">
        <w:t xml:space="preserve"> </w:t>
      </w:r>
      <w:r w:rsidR="009727E8">
        <w:t>Within all of this as</w:t>
      </w:r>
      <w:r w:rsidR="00DD4D51">
        <w:t xml:space="preserve"> earlier discussed the use of Sa</w:t>
      </w:r>
      <w:r w:rsidR="009727E8">
        <w:t>guntum was a clear stratagem of the Senat</w:t>
      </w:r>
      <w:r w:rsidR="000E0EF0">
        <w:t>e,</w:t>
      </w:r>
      <w:r w:rsidR="009727E8">
        <w:t xml:space="preserve"> Caven states that </w:t>
      </w:r>
      <w:r w:rsidR="009727E8">
        <w:rPr>
          <w:i/>
        </w:rPr>
        <w:t>“Rome could hardly turn down the offer of an alliance that would materially weaken her enemy’s key features”</w:t>
      </w:r>
      <w:r w:rsidR="002922D0">
        <w:rPr>
          <w:rStyle w:val="FootnoteReference"/>
          <w:i/>
        </w:rPr>
        <w:footnoteReference w:id="19"/>
      </w:r>
      <w:r w:rsidR="009727E8">
        <w:t xml:space="preserve"> as the alliance with the two peoples is more arguably the catalyst waiting to spark a war with two nations. However, it can be argued Rome saw the rising expansion of Carthage</w:t>
      </w:r>
      <w:r w:rsidR="000E0EF0">
        <w:t>,</w:t>
      </w:r>
      <w:r w:rsidR="009727E8">
        <w:t xml:space="preserve"> in Spain</w:t>
      </w:r>
      <w:r w:rsidR="000E0EF0">
        <w:t>,</w:t>
      </w:r>
      <w:bookmarkStart w:id="0" w:name="_GoBack"/>
      <w:bookmarkEnd w:id="0"/>
      <w:r w:rsidR="009727E8">
        <w:t xml:space="preserve"> as a rising threat in which the Carthaginians would inevitably use Spain as a ‘springboard’ to launch an attack on Rome.</w:t>
      </w:r>
    </w:p>
    <w:p w14:paraId="11678966" w14:textId="0BA00CC7" w:rsidR="007D587A" w:rsidRDefault="00165720" w:rsidP="000213E4">
      <w:pPr>
        <w:spacing w:line="480" w:lineRule="auto"/>
      </w:pPr>
      <w:r>
        <w:t>The ancient sources are pivotal to how we regard the events of the causes to the Second Punic war. Although we see many ways in how the Carthaginians are shown as the antagonists in events prior this is because Appian and especially Livy are writing later after the events many years later and our closest source being contemplated as a contemporary is Polybius who was</w:t>
      </w:r>
      <w:r w:rsidR="00210517">
        <w:t xml:space="preserve"> himself present during the</w:t>
      </w:r>
      <w:r>
        <w:t xml:space="preserve"> 3</w:t>
      </w:r>
      <w:r w:rsidRPr="00165720">
        <w:rPr>
          <w:vertAlign w:val="superscript"/>
        </w:rPr>
        <w:t>rd</w:t>
      </w:r>
      <w:r w:rsidR="00210517">
        <w:t xml:space="preserve"> Punic war. The main issue with the sources is that they are all pro-Roman. </w:t>
      </w:r>
      <w:r w:rsidR="00D53465">
        <w:t>All three</w:t>
      </w:r>
      <w:r w:rsidR="00210517">
        <w:t xml:space="preserve"> wrote to show Rome as the victim under the Carthaginian aggressors and it has shaped the role of modern day views but Modern Historians also see the reasons as to why Rome </w:t>
      </w:r>
      <w:r w:rsidR="00D53465">
        <w:t xml:space="preserve">may have been the </w:t>
      </w:r>
      <w:r w:rsidR="00210517">
        <w:t>aggressor. Polybius is the closest to any source being regarded as reliable</w:t>
      </w:r>
      <w:r w:rsidR="00815F09">
        <w:t xml:space="preserve"> even though he </w:t>
      </w:r>
      <w:r w:rsidR="00815F09">
        <w:rPr>
          <w:i/>
        </w:rPr>
        <w:t>“Often condemned Rome’s enemies for engaging in military conflict against the stronger power”</w:t>
      </w:r>
      <w:r w:rsidR="002922D0">
        <w:rPr>
          <w:rStyle w:val="FootnoteReference"/>
          <w:i/>
        </w:rPr>
        <w:footnoteReference w:id="20"/>
      </w:r>
      <w:r w:rsidR="00815F09">
        <w:rPr>
          <w:i/>
        </w:rPr>
        <w:t xml:space="preserve"> </w:t>
      </w:r>
      <w:r w:rsidR="00D53465">
        <w:t>according to Donald W. Baronowski. T</w:t>
      </w:r>
      <w:r w:rsidR="00210517">
        <w:t xml:space="preserve">he other </w:t>
      </w:r>
      <w:r w:rsidR="00D53465">
        <w:t>ancient Historians</w:t>
      </w:r>
      <w:r w:rsidR="00210517">
        <w:t xml:space="preserve"> are no way in sense</w:t>
      </w:r>
      <w:r w:rsidR="00815F09">
        <w:t xml:space="preserve"> as</w:t>
      </w:r>
      <w:r w:rsidR="00210517">
        <w:t xml:space="preserve"> reliabl</w:t>
      </w:r>
      <w:r w:rsidR="00815F09">
        <w:t>e as they rely on other writings from hundreds of years prior to their time.</w:t>
      </w:r>
    </w:p>
    <w:p w14:paraId="59206690" w14:textId="77777777" w:rsidR="003B0E89" w:rsidRDefault="003B0E89" w:rsidP="00E74529">
      <w:pPr>
        <w:spacing w:line="480" w:lineRule="auto"/>
        <w:ind w:left="360"/>
      </w:pPr>
    </w:p>
    <w:p w14:paraId="2FD6B0CC" w14:textId="34B172B9" w:rsidR="00D53465" w:rsidRDefault="003B0E89" w:rsidP="000213E4">
      <w:pPr>
        <w:spacing w:line="480" w:lineRule="auto"/>
      </w:pPr>
      <w:r>
        <w:t>In conclusion, the causes of the Second Punic war derive from many factors. The events of the inter war period, especially Sardinia are the most p</w:t>
      </w:r>
      <w:r w:rsidR="000213E4">
        <w:t xml:space="preserve">ivotal and realistic to why </w:t>
      </w:r>
      <w:r>
        <w:t>war broke out</w:t>
      </w:r>
      <w:r w:rsidR="000213E4">
        <w:t xml:space="preserve"> again</w:t>
      </w:r>
      <w:r>
        <w:t>. The factors involving Rome’s fear of a gr</w:t>
      </w:r>
      <w:r w:rsidR="00D53465">
        <w:t xml:space="preserve">owing Carthage and Hannibal with his armies, all have a part to play on both sides of the </w:t>
      </w:r>
      <w:r w:rsidR="000213E4">
        <w:t>factors</w:t>
      </w:r>
      <w:r w:rsidR="00D53465">
        <w:t xml:space="preserve"> discussed</w:t>
      </w:r>
      <w:r w:rsidR="000213E4">
        <w:t xml:space="preserve"> and the cause of the Second Punic war.</w:t>
      </w:r>
    </w:p>
    <w:p w14:paraId="4C0ED829" w14:textId="5B6AC01D" w:rsidR="003D3187" w:rsidRDefault="00F74A52" w:rsidP="00E74529">
      <w:pPr>
        <w:tabs>
          <w:tab w:val="left" w:pos="3433"/>
        </w:tabs>
        <w:spacing w:line="480" w:lineRule="auto"/>
      </w:pPr>
      <w:r>
        <w:tab/>
      </w:r>
    </w:p>
    <w:p w14:paraId="2958F094" w14:textId="77777777" w:rsidR="003D3187" w:rsidRDefault="003D3187">
      <w:r>
        <w:br w:type="page"/>
      </w:r>
    </w:p>
    <w:p w14:paraId="6C1ACE57" w14:textId="56A1CCDF" w:rsidR="007D587A" w:rsidRDefault="003D3187" w:rsidP="00E74529">
      <w:pPr>
        <w:tabs>
          <w:tab w:val="left" w:pos="3433"/>
        </w:tabs>
        <w:spacing w:line="480" w:lineRule="auto"/>
        <w:rPr>
          <w:sz w:val="32"/>
        </w:rPr>
      </w:pPr>
      <w:r>
        <w:rPr>
          <w:sz w:val="32"/>
        </w:rPr>
        <w:t>Bibliography</w:t>
      </w:r>
    </w:p>
    <w:p w14:paraId="541221A6" w14:textId="183D729D" w:rsidR="003D3187" w:rsidRPr="004D06D3" w:rsidRDefault="003D3187" w:rsidP="00E74529">
      <w:pPr>
        <w:tabs>
          <w:tab w:val="left" w:pos="3433"/>
        </w:tabs>
        <w:spacing w:line="480" w:lineRule="auto"/>
        <w:rPr>
          <w:sz w:val="28"/>
          <w:u w:val="single"/>
        </w:rPr>
      </w:pPr>
      <w:r w:rsidRPr="004D06D3">
        <w:rPr>
          <w:sz w:val="28"/>
          <w:u w:val="single"/>
        </w:rPr>
        <w:t>Ancient sources</w:t>
      </w:r>
    </w:p>
    <w:p w14:paraId="45AE1B67" w14:textId="6CD6E859" w:rsidR="00676851" w:rsidRPr="00676851" w:rsidRDefault="00676851" w:rsidP="00E74529">
      <w:pPr>
        <w:tabs>
          <w:tab w:val="left" w:pos="3433"/>
        </w:tabs>
        <w:spacing w:line="480" w:lineRule="auto"/>
        <w:rPr>
          <w:rFonts w:ascii="Times" w:hAnsi="Times"/>
        </w:rPr>
      </w:pPr>
      <w:r>
        <w:rPr>
          <w:rFonts w:ascii="Times" w:hAnsi="Times"/>
        </w:rPr>
        <w:t>Appian,</w:t>
      </w:r>
      <w:r>
        <w:rPr>
          <w:rFonts w:ascii="Times" w:hAnsi="Times"/>
          <w:i/>
        </w:rPr>
        <w:t xml:space="preserve"> The Foreign Wars. </w:t>
      </w:r>
      <w:r>
        <w:rPr>
          <w:rFonts w:ascii="Times" w:hAnsi="Times"/>
        </w:rPr>
        <w:t>H. White (trans). 1899. New York, The Macmillan Company</w:t>
      </w:r>
    </w:p>
    <w:p w14:paraId="661C81F7" w14:textId="64D4758A" w:rsidR="00676851" w:rsidRPr="00676851" w:rsidRDefault="00676851" w:rsidP="00E74529">
      <w:pPr>
        <w:tabs>
          <w:tab w:val="left" w:pos="3433"/>
        </w:tabs>
        <w:spacing w:line="480" w:lineRule="auto"/>
        <w:rPr>
          <w:rFonts w:ascii="Times" w:hAnsi="Times"/>
        </w:rPr>
      </w:pPr>
      <w:r>
        <w:rPr>
          <w:rFonts w:ascii="Times" w:hAnsi="Times"/>
        </w:rPr>
        <w:t xml:space="preserve">Livy, </w:t>
      </w:r>
      <w:r>
        <w:rPr>
          <w:rFonts w:ascii="Times" w:hAnsi="Times"/>
          <w:i/>
        </w:rPr>
        <w:t>The War with Hannibal</w:t>
      </w:r>
      <w:r>
        <w:rPr>
          <w:rFonts w:ascii="Times" w:hAnsi="Times"/>
        </w:rPr>
        <w:t>.</w:t>
      </w:r>
      <w:r w:rsidRPr="0050638D">
        <w:rPr>
          <w:rFonts w:ascii="Times" w:hAnsi="Times"/>
          <w:i/>
        </w:rPr>
        <w:t xml:space="preserve"> </w:t>
      </w:r>
      <w:r w:rsidRPr="0050638D">
        <w:rPr>
          <w:rFonts w:ascii="Times" w:hAnsi="Times"/>
        </w:rPr>
        <w:t>A. Sélincourt</w:t>
      </w:r>
      <w:r>
        <w:rPr>
          <w:rFonts w:ascii="Times" w:hAnsi="Times"/>
        </w:rPr>
        <w:t xml:space="preserve"> (trans). 1972. Middlesex, Penguin Books Ltd.: The Penguin Group</w:t>
      </w:r>
    </w:p>
    <w:p w14:paraId="378F7921" w14:textId="30EB6B5E" w:rsidR="003D3187" w:rsidRPr="003D3187" w:rsidRDefault="0007195F" w:rsidP="00E74529">
      <w:pPr>
        <w:tabs>
          <w:tab w:val="left" w:pos="3433"/>
        </w:tabs>
        <w:spacing w:line="480" w:lineRule="auto"/>
      </w:pPr>
      <w:r w:rsidRPr="005E52F9">
        <w:rPr>
          <w:rFonts w:ascii="Times" w:hAnsi="Times"/>
        </w:rPr>
        <w:t xml:space="preserve">Virgil, </w:t>
      </w:r>
      <w:r w:rsidRPr="005E52F9">
        <w:rPr>
          <w:rFonts w:ascii="Times" w:hAnsi="Times"/>
          <w:i/>
        </w:rPr>
        <w:t xml:space="preserve">The Aenied. </w:t>
      </w:r>
      <w:r w:rsidRPr="005E52F9">
        <w:rPr>
          <w:rFonts w:ascii="Times" w:hAnsi="Times"/>
        </w:rPr>
        <w:t>D. West (trans). 2003. London, Penguin Books Ltd.: The Penguin Group</w:t>
      </w:r>
    </w:p>
    <w:p w14:paraId="08629E38" w14:textId="77777777" w:rsidR="003D3187" w:rsidRDefault="003D3187" w:rsidP="00E74529">
      <w:pPr>
        <w:tabs>
          <w:tab w:val="left" w:pos="3433"/>
        </w:tabs>
        <w:spacing w:line="480" w:lineRule="auto"/>
        <w:rPr>
          <w:sz w:val="22"/>
        </w:rPr>
      </w:pPr>
    </w:p>
    <w:p w14:paraId="4A5C9220" w14:textId="5C5EAFEA" w:rsidR="003D3187" w:rsidRDefault="003D3187" w:rsidP="00E74529">
      <w:pPr>
        <w:tabs>
          <w:tab w:val="left" w:pos="3433"/>
        </w:tabs>
        <w:spacing w:line="480" w:lineRule="auto"/>
        <w:rPr>
          <w:sz w:val="28"/>
          <w:u w:val="single"/>
        </w:rPr>
      </w:pPr>
      <w:r w:rsidRPr="004D06D3">
        <w:rPr>
          <w:sz w:val="28"/>
          <w:u w:val="single"/>
        </w:rPr>
        <w:t>Modern sources</w:t>
      </w:r>
    </w:p>
    <w:p w14:paraId="439D4EFB" w14:textId="4AD22317" w:rsidR="00111B16" w:rsidRPr="00111B16" w:rsidRDefault="00111B16" w:rsidP="00E74529">
      <w:pPr>
        <w:tabs>
          <w:tab w:val="left" w:pos="3433"/>
        </w:tabs>
        <w:spacing w:line="480" w:lineRule="auto"/>
      </w:pPr>
      <w:r w:rsidRPr="00111B16">
        <w:t xml:space="preserve">Caven, B. 1992. </w:t>
      </w:r>
      <w:r w:rsidRPr="00111B16">
        <w:rPr>
          <w:i/>
        </w:rPr>
        <w:t>The Punic Wars</w:t>
      </w:r>
      <w:r w:rsidRPr="00111B16">
        <w:t>. United States of America: Barnes and Noble Books</w:t>
      </w:r>
    </w:p>
    <w:p w14:paraId="72FA45DF" w14:textId="7431E2C7" w:rsidR="00EB57F0" w:rsidRPr="00111B16" w:rsidRDefault="00EB57F0" w:rsidP="00E74529">
      <w:pPr>
        <w:tabs>
          <w:tab w:val="left" w:pos="3433"/>
        </w:tabs>
        <w:spacing w:line="480" w:lineRule="auto"/>
        <w:rPr>
          <w:i/>
        </w:rPr>
      </w:pPr>
      <w:r w:rsidRPr="00111B16">
        <w:t xml:space="preserve">Baronowski, D. W. 2011. </w:t>
      </w:r>
      <w:r w:rsidRPr="00111B16">
        <w:rPr>
          <w:i/>
        </w:rPr>
        <w:t xml:space="preserve">Polybius and Roman Imperialism. </w:t>
      </w:r>
      <w:r w:rsidRPr="00111B16">
        <w:t>London: Bristol Classical Press</w:t>
      </w:r>
      <w:r w:rsidRPr="00111B16">
        <w:rPr>
          <w:i/>
        </w:rPr>
        <w:t xml:space="preserve"> </w:t>
      </w:r>
    </w:p>
    <w:p w14:paraId="0B9C9D1D" w14:textId="7F2887D5" w:rsidR="00676851" w:rsidRPr="00111B16" w:rsidRDefault="005C466F" w:rsidP="00E74529">
      <w:pPr>
        <w:tabs>
          <w:tab w:val="left" w:pos="3433"/>
        </w:tabs>
        <w:spacing w:line="480" w:lineRule="auto"/>
      </w:pPr>
      <w:r w:rsidRPr="00111B16">
        <w:t xml:space="preserve">Harris, W. V 2006. </w:t>
      </w:r>
      <w:r w:rsidRPr="00111B16">
        <w:rPr>
          <w:i/>
        </w:rPr>
        <w:t>War and imperialism in Republican Rome 327-70 BC.</w:t>
      </w:r>
      <w:r w:rsidR="004C3779" w:rsidRPr="00111B16">
        <w:t xml:space="preserve"> Oxford: Clarendon</w:t>
      </w:r>
    </w:p>
    <w:p w14:paraId="50EFED5D" w14:textId="1FBCA467" w:rsidR="004C3779" w:rsidRPr="00111B16" w:rsidRDefault="004C3779" w:rsidP="00E74529">
      <w:pPr>
        <w:tabs>
          <w:tab w:val="left" w:pos="3433"/>
        </w:tabs>
        <w:spacing w:line="480" w:lineRule="auto"/>
      </w:pPr>
      <w:r w:rsidRPr="00111B16">
        <w:t xml:space="preserve">Hoyos, D. 2017. </w:t>
      </w:r>
      <w:r w:rsidR="00DE3DB4">
        <w:rPr>
          <w:i/>
        </w:rPr>
        <w:t>Mastering t</w:t>
      </w:r>
      <w:r w:rsidRPr="00111B16">
        <w:rPr>
          <w:i/>
        </w:rPr>
        <w:t xml:space="preserve">he West. </w:t>
      </w:r>
      <w:r w:rsidR="00EB57F0" w:rsidRPr="00111B16">
        <w:t>United States of America: Oxford</w:t>
      </w:r>
    </w:p>
    <w:p w14:paraId="28436111" w14:textId="77777777" w:rsidR="00EB57F0" w:rsidRPr="004C3779" w:rsidRDefault="00EB57F0" w:rsidP="00E74529">
      <w:pPr>
        <w:tabs>
          <w:tab w:val="left" w:pos="3433"/>
        </w:tabs>
        <w:spacing w:line="480" w:lineRule="auto"/>
        <w:rPr>
          <w:sz w:val="28"/>
        </w:rPr>
      </w:pPr>
    </w:p>
    <w:sectPr w:rsidR="00EB57F0" w:rsidRPr="004C3779" w:rsidSect="00C04E4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B6E159" w14:textId="77777777" w:rsidR="00340AAF" w:rsidRDefault="00340AAF" w:rsidP="006B2FC0">
      <w:r>
        <w:separator/>
      </w:r>
    </w:p>
  </w:endnote>
  <w:endnote w:type="continuationSeparator" w:id="0">
    <w:p w14:paraId="64C2F09B" w14:textId="77777777" w:rsidR="00340AAF" w:rsidRDefault="00340AAF" w:rsidP="006B2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Times">
    <w:panose1 w:val="020005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584C7B" w14:textId="77777777" w:rsidR="00340AAF" w:rsidRDefault="00340AAF" w:rsidP="006B2FC0">
      <w:r>
        <w:separator/>
      </w:r>
    </w:p>
  </w:footnote>
  <w:footnote w:type="continuationSeparator" w:id="0">
    <w:p w14:paraId="17E8F986" w14:textId="77777777" w:rsidR="00340AAF" w:rsidRDefault="00340AAF" w:rsidP="006B2FC0">
      <w:r>
        <w:continuationSeparator/>
      </w:r>
    </w:p>
  </w:footnote>
  <w:footnote w:id="1">
    <w:p w14:paraId="0E5FE494" w14:textId="02ABE7F0" w:rsidR="006B2FC0" w:rsidRDefault="006B2FC0">
      <w:pPr>
        <w:pStyle w:val="FootnoteText"/>
      </w:pPr>
      <w:r>
        <w:rPr>
          <w:rStyle w:val="FootnoteReference"/>
        </w:rPr>
        <w:footnoteRef/>
      </w:r>
      <w:r>
        <w:t xml:space="preserve"> </w:t>
      </w:r>
      <w:r w:rsidR="00223C96">
        <w:t>Polyb</w:t>
      </w:r>
      <w:r w:rsidR="003034A7">
        <w:t xml:space="preserve"> 1. 63</w:t>
      </w:r>
    </w:p>
  </w:footnote>
  <w:footnote w:id="2">
    <w:p w14:paraId="1FC79B3E" w14:textId="59F25941" w:rsidR="009F7648" w:rsidRDefault="009F7648">
      <w:pPr>
        <w:pStyle w:val="FootnoteText"/>
      </w:pPr>
      <w:r>
        <w:rPr>
          <w:rStyle w:val="FootnoteReference"/>
        </w:rPr>
        <w:footnoteRef/>
      </w:r>
      <w:r>
        <w:t xml:space="preserve"> Hoyos</w:t>
      </w:r>
      <w:r w:rsidR="00F15166">
        <w:t xml:space="preserve"> 2017: 77</w:t>
      </w:r>
    </w:p>
  </w:footnote>
  <w:footnote w:id="3">
    <w:p w14:paraId="3E8BF1E2" w14:textId="32CF4959" w:rsidR="00F15166" w:rsidRDefault="00F15166">
      <w:pPr>
        <w:pStyle w:val="FootnoteText"/>
      </w:pPr>
      <w:r>
        <w:rPr>
          <w:rStyle w:val="FootnoteReference"/>
        </w:rPr>
        <w:footnoteRef/>
      </w:r>
      <w:r>
        <w:t xml:space="preserve"> </w:t>
      </w:r>
      <w:r w:rsidR="00223C96">
        <w:t>Polyb 1.</w:t>
      </w:r>
      <w:r w:rsidR="003034A7">
        <w:t xml:space="preserve"> 63</w:t>
      </w:r>
    </w:p>
  </w:footnote>
  <w:footnote w:id="4">
    <w:p w14:paraId="54EDDDE4" w14:textId="17BCFC9D" w:rsidR="00F15166" w:rsidRDefault="00F15166">
      <w:pPr>
        <w:pStyle w:val="FootnoteText"/>
      </w:pPr>
      <w:r>
        <w:rPr>
          <w:rStyle w:val="FootnoteReference"/>
        </w:rPr>
        <w:footnoteRef/>
      </w:r>
      <w:r>
        <w:t xml:space="preserve"> Hoyos 2017: 77</w:t>
      </w:r>
    </w:p>
  </w:footnote>
  <w:footnote w:id="5">
    <w:p w14:paraId="0966D252" w14:textId="737A038D" w:rsidR="00F15166" w:rsidRDefault="00F15166">
      <w:pPr>
        <w:pStyle w:val="FootnoteText"/>
      </w:pPr>
      <w:r>
        <w:rPr>
          <w:rStyle w:val="FootnoteReference"/>
        </w:rPr>
        <w:footnoteRef/>
      </w:r>
      <w:r>
        <w:t xml:space="preserve"> </w:t>
      </w:r>
      <w:r w:rsidR="00223C96">
        <w:t xml:space="preserve">Polyb 3. </w:t>
      </w:r>
      <w:r w:rsidR="003034A7">
        <w:t>14</w:t>
      </w:r>
    </w:p>
  </w:footnote>
  <w:footnote w:id="6">
    <w:p w14:paraId="141DCF53" w14:textId="37BA9062" w:rsidR="00F15166" w:rsidRDefault="00F15166">
      <w:pPr>
        <w:pStyle w:val="FootnoteText"/>
      </w:pPr>
      <w:r>
        <w:rPr>
          <w:rStyle w:val="FootnoteReference"/>
        </w:rPr>
        <w:footnoteRef/>
      </w:r>
      <w:r>
        <w:t xml:space="preserve"> </w:t>
      </w:r>
      <w:r w:rsidR="004E38D2">
        <w:t>Lazenby</w:t>
      </w:r>
      <w:r w:rsidR="00223C96">
        <w:t xml:space="preserve"> 2004: 231</w:t>
      </w:r>
    </w:p>
  </w:footnote>
  <w:footnote w:id="7">
    <w:p w14:paraId="45C69340" w14:textId="71EFCE6A" w:rsidR="004E38D2" w:rsidRDefault="004E38D2">
      <w:pPr>
        <w:pStyle w:val="FootnoteText"/>
      </w:pPr>
      <w:r>
        <w:rPr>
          <w:rStyle w:val="FootnoteReference"/>
        </w:rPr>
        <w:footnoteRef/>
      </w:r>
      <w:r>
        <w:t xml:space="preserve"> Lazenby</w:t>
      </w:r>
      <w:r w:rsidR="00223C96">
        <w:t xml:space="preserve"> 2004: 231; Polyb. 15. 19</w:t>
      </w:r>
    </w:p>
  </w:footnote>
  <w:footnote w:id="8">
    <w:p w14:paraId="4FBF650F" w14:textId="45454B13" w:rsidR="004E38D2" w:rsidRDefault="004E38D2">
      <w:pPr>
        <w:pStyle w:val="FootnoteText"/>
      </w:pPr>
      <w:r>
        <w:rPr>
          <w:rStyle w:val="FootnoteReference"/>
        </w:rPr>
        <w:footnoteRef/>
      </w:r>
      <w:r>
        <w:t xml:space="preserve"> Hoyos 2017: 77</w:t>
      </w:r>
    </w:p>
  </w:footnote>
  <w:footnote w:id="9">
    <w:p w14:paraId="26EF8E61" w14:textId="7C52ABD5" w:rsidR="004E38D2" w:rsidRDefault="004E38D2">
      <w:pPr>
        <w:pStyle w:val="FootnoteText"/>
      </w:pPr>
      <w:r>
        <w:rPr>
          <w:rStyle w:val="FootnoteReference"/>
        </w:rPr>
        <w:footnoteRef/>
      </w:r>
      <w:r>
        <w:t xml:space="preserve"> Lazenby </w:t>
      </w:r>
      <w:r w:rsidR="00223C96">
        <w:t>2004: 225</w:t>
      </w:r>
    </w:p>
  </w:footnote>
  <w:footnote w:id="10">
    <w:p w14:paraId="2563A145" w14:textId="11A48026" w:rsidR="004E38D2" w:rsidRDefault="004E38D2">
      <w:pPr>
        <w:pStyle w:val="FootnoteText"/>
      </w:pPr>
      <w:r>
        <w:rPr>
          <w:rStyle w:val="FootnoteReference"/>
        </w:rPr>
        <w:footnoteRef/>
      </w:r>
      <w:r>
        <w:t xml:space="preserve"> Virg.</w:t>
      </w:r>
      <w:r w:rsidR="00E06690">
        <w:t xml:space="preserve"> </w:t>
      </w:r>
      <w:r w:rsidRPr="00E06690">
        <w:rPr>
          <w:i/>
        </w:rPr>
        <w:t>Aen</w:t>
      </w:r>
      <w:r w:rsidR="00223C96">
        <w:t xml:space="preserve">. 1. </w:t>
      </w:r>
      <w:r w:rsidR="006F5D4F">
        <w:t>430-431</w:t>
      </w:r>
    </w:p>
  </w:footnote>
  <w:footnote w:id="11">
    <w:p w14:paraId="16D74433" w14:textId="34411D91" w:rsidR="004E38D2" w:rsidRDefault="004E38D2">
      <w:pPr>
        <w:pStyle w:val="FootnoteText"/>
      </w:pPr>
      <w:r>
        <w:rPr>
          <w:rStyle w:val="FootnoteReference"/>
        </w:rPr>
        <w:footnoteRef/>
      </w:r>
      <w:r>
        <w:t xml:space="preserve"> </w:t>
      </w:r>
      <w:r w:rsidR="00223C96">
        <w:t>Polyb 2.</w:t>
      </w:r>
      <w:r w:rsidR="00551D73">
        <w:t xml:space="preserve"> 13</w:t>
      </w:r>
    </w:p>
  </w:footnote>
  <w:footnote w:id="12">
    <w:p w14:paraId="04DD3C9E" w14:textId="4CAC0F35" w:rsidR="004E38D2" w:rsidRDefault="004E38D2">
      <w:pPr>
        <w:pStyle w:val="FootnoteText"/>
      </w:pPr>
      <w:r>
        <w:rPr>
          <w:rStyle w:val="FootnoteReference"/>
        </w:rPr>
        <w:footnoteRef/>
      </w:r>
      <w:r>
        <w:t xml:space="preserve"> Hoyos 2017: 85</w:t>
      </w:r>
    </w:p>
  </w:footnote>
  <w:footnote w:id="13">
    <w:p w14:paraId="631DC118" w14:textId="3093FDDF" w:rsidR="004E38D2" w:rsidRDefault="004E38D2">
      <w:pPr>
        <w:pStyle w:val="FootnoteText"/>
      </w:pPr>
      <w:r>
        <w:rPr>
          <w:rStyle w:val="FootnoteReference"/>
        </w:rPr>
        <w:footnoteRef/>
      </w:r>
      <w:r>
        <w:t xml:space="preserve"> </w:t>
      </w:r>
      <w:r w:rsidR="00FD01F5">
        <w:t>Caven</w:t>
      </w:r>
      <w:r w:rsidR="008F0E54">
        <w:t xml:space="preserve"> 1992: 89</w:t>
      </w:r>
    </w:p>
  </w:footnote>
  <w:footnote w:id="14">
    <w:p w14:paraId="454DF34F" w14:textId="34EF9464" w:rsidR="00FD01F5" w:rsidRPr="00676851" w:rsidRDefault="00FD01F5">
      <w:pPr>
        <w:pStyle w:val="FootnoteText"/>
      </w:pPr>
      <w:r>
        <w:rPr>
          <w:rStyle w:val="FootnoteReference"/>
        </w:rPr>
        <w:footnoteRef/>
      </w:r>
      <w:r>
        <w:t xml:space="preserve"> Livy</w:t>
      </w:r>
      <w:r w:rsidR="00676851">
        <w:t>.</w:t>
      </w:r>
      <w:r w:rsidR="00676851">
        <w:rPr>
          <w:i/>
        </w:rPr>
        <w:t xml:space="preserve"> </w:t>
      </w:r>
      <w:r w:rsidR="00676851">
        <w:t>21.5</w:t>
      </w:r>
    </w:p>
  </w:footnote>
  <w:footnote w:id="15">
    <w:p w14:paraId="4F0D634D" w14:textId="124421E7" w:rsidR="00FD01F5" w:rsidRPr="00FD01F5" w:rsidRDefault="00FD01F5">
      <w:pPr>
        <w:pStyle w:val="FootnoteText"/>
      </w:pPr>
      <w:r>
        <w:rPr>
          <w:rStyle w:val="FootnoteReference"/>
        </w:rPr>
        <w:footnoteRef/>
      </w:r>
      <w:r>
        <w:t xml:space="preserve"> App.</w:t>
      </w:r>
      <w:r>
        <w:rPr>
          <w:i/>
        </w:rPr>
        <w:t xml:space="preserve"> Ha</w:t>
      </w:r>
      <w:r w:rsidR="00676851">
        <w:rPr>
          <w:i/>
        </w:rPr>
        <w:t>n</w:t>
      </w:r>
      <w:r>
        <w:rPr>
          <w:i/>
        </w:rPr>
        <w:t xml:space="preserve">n. </w:t>
      </w:r>
      <w:r>
        <w:t>1.3</w:t>
      </w:r>
    </w:p>
  </w:footnote>
  <w:footnote w:id="16">
    <w:p w14:paraId="1B1B2324" w14:textId="6D01CDC7" w:rsidR="00FD01F5" w:rsidRDefault="00FD01F5">
      <w:pPr>
        <w:pStyle w:val="FootnoteText"/>
      </w:pPr>
      <w:r>
        <w:rPr>
          <w:rStyle w:val="FootnoteReference"/>
        </w:rPr>
        <w:footnoteRef/>
      </w:r>
      <w:r>
        <w:t xml:space="preserve"> Hoyos 2017: 88</w:t>
      </w:r>
    </w:p>
  </w:footnote>
  <w:footnote w:id="17">
    <w:p w14:paraId="750605FC" w14:textId="57FD5AE1" w:rsidR="00FD01F5" w:rsidRDefault="00FD01F5">
      <w:pPr>
        <w:pStyle w:val="FootnoteText"/>
      </w:pPr>
      <w:r>
        <w:rPr>
          <w:rStyle w:val="FootnoteReference"/>
        </w:rPr>
        <w:footnoteRef/>
      </w:r>
      <w:r>
        <w:t xml:space="preserve"> Harris</w:t>
      </w:r>
      <w:r w:rsidR="00911A58">
        <w:t xml:space="preserve"> 2006: 68</w:t>
      </w:r>
    </w:p>
  </w:footnote>
  <w:footnote w:id="18">
    <w:p w14:paraId="28C33E2A" w14:textId="7CEAC272" w:rsidR="002922D0" w:rsidRDefault="002922D0">
      <w:pPr>
        <w:pStyle w:val="FootnoteText"/>
      </w:pPr>
      <w:r>
        <w:rPr>
          <w:rStyle w:val="FootnoteReference"/>
        </w:rPr>
        <w:footnoteRef/>
      </w:r>
      <w:r>
        <w:t xml:space="preserve"> Harris 2006: 68-69</w:t>
      </w:r>
    </w:p>
  </w:footnote>
  <w:footnote w:id="19">
    <w:p w14:paraId="714A5A82" w14:textId="51F49F66" w:rsidR="002922D0" w:rsidRDefault="002922D0">
      <w:pPr>
        <w:pStyle w:val="FootnoteText"/>
      </w:pPr>
      <w:r>
        <w:rPr>
          <w:rStyle w:val="FootnoteReference"/>
        </w:rPr>
        <w:footnoteRef/>
      </w:r>
      <w:r>
        <w:t xml:space="preserve"> Caven</w:t>
      </w:r>
      <w:r w:rsidR="00BE6B02">
        <w:t xml:space="preserve"> 1992: </w:t>
      </w:r>
      <w:r w:rsidR="008F0E54">
        <w:t>89</w:t>
      </w:r>
    </w:p>
  </w:footnote>
  <w:footnote w:id="20">
    <w:p w14:paraId="1616EA17" w14:textId="647752F4" w:rsidR="002922D0" w:rsidRDefault="002922D0">
      <w:pPr>
        <w:pStyle w:val="FootnoteText"/>
      </w:pPr>
      <w:r>
        <w:rPr>
          <w:rStyle w:val="FootnoteReference"/>
        </w:rPr>
        <w:footnoteRef/>
      </w:r>
      <w:r>
        <w:t xml:space="preserve"> Baronowski 2011: 127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DFD"/>
    <w:rsid w:val="00020770"/>
    <w:rsid w:val="000213E4"/>
    <w:rsid w:val="00035A10"/>
    <w:rsid w:val="00061A77"/>
    <w:rsid w:val="0007195F"/>
    <w:rsid w:val="000A1544"/>
    <w:rsid w:val="000B7B29"/>
    <w:rsid w:val="000E0EF0"/>
    <w:rsid w:val="00111B16"/>
    <w:rsid w:val="00121CC9"/>
    <w:rsid w:val="00151D1A"/>
    <w:rsid w:val="00151E01"/>
    <w:rsid w:val="00161E2F"/>
    <w:rsid w:val="001654F1"/>
    <w:rsid w:val="00165720"/>
    <w:rsid w:val="00175177"/>
    <w:rsid w:val="00175455"/>
    <w:rsid w:val="001F124B"/>
    <w:rsid w:val="00210517"/>
    <w:rsid w:val="00223C96"/>
    <w:rsid w:val="0023360E"/>
    <w:rsid w:val="00237DFD"/>
    <w:rsid w:val="002922D0"/>
    <w:rsid w:val="002B0D30"/>
    <w:rsid w:val="002E58E4"/>
    <w:rsid w:val="003034A7"/>
    <w:rsid w:val="00316E41"/>
    <w:rsid w:val="00327FE9"/>
    <w:rsid w:val="00340AAF"/>
    <w:rsid w:val="003B0A0E"/>
    <w:rsid w:val="003B0E89"/>
    <w:rsid w:val="003C25BD"/>
    <w:rsid w:val="003D3187"/>
    <w:rsid w:val="003E2AC5"/>
    <w:rsid w:val="0048263C"/>
    <w:rsid w:val="00482C51"/>
    <w:rsid w:val="004978B8"/>
    <w:rsid w:val="004C3779"/>
    <w:rsid w:val="004C4825"/>
    <w:rsid w:val="004D06D3"/>
    <w:rsid w:val="004E38D2"/>
    <w:rsid w:val="00551D73"/>
    <w:rsid w:val="005A3F60"/>
    <w:rsid w:val="005C466F"/>
    <w:rsid w:val="00627149"/>
    <w:rsid w:val="00676851"/>
    <w:rsid w:val="006B2FC0"/>
    <w:rsid w:val="006F38EB"/>
    <w:rsid w:val="006F5D4F"/>
    <w:rsid w:val="00701FF7"/>
    <w:rsid w:val="007314E2"/>
    <w:rsid w:val="00750231"/>
    <w:rsid w:val="00762808"/>
    <w:rsid w:val="00777885"/>
    <w:rsid w:val="007D587A"/>
    <w:rsid w:val="00815F09"/>
    <w:rsid w:val="00832B51"/>
    <w:rsid w:val="008B16F7"/>
    <w:rsid w:val="008D044C"/>
    <w:rsid w:val="008E15A7"/>
    <w:rsid w:val="008F0E54"/>
    <w:rsid w:val="00911A58"/>
    <w:rsid w:val="00915041"/>
    <w:rsid w:val="00921807"/>
    <w:rsid w:val="00936589"/>
    <w:rsid w:val="009727E8"/>
    <w:rsid w:val="009F7648"/>
    <w:rsid w:val="00A06713"/>
    <w:rsid w:val="00A30BA8"/>
    <w:rsid w:val="00A97B2D"/>
    <w:rsid w:val="00AD0B78"/>
    <w:rsid w:val="00B44AD1"/>
    <w:rsid w:val="00B80693"/>
    <w:rsid w:val="00B85401"/>
    <w:rsid w:val="00BE6B02"/>
    <w:rsid w:val="00C04E45"/>
    <w:rsid w:val="00C4133E"/>
    <w:rsid w:val="00C701D8"/>
    <w:rsid w:val="00CB13F4"/>
    <w:rsid w:val="00CB5707"/>
    <w:rsid w:val="00D142BD"/>
    <w:rsid w:val="00D425DB"/>
    <w:rsid w:val="00D53465"/>
    <w:rsid w:val="00DC1CEB"/>
    <w:rsid w:val="00DD0D84"/>
    <w:rsid w:val="00DD4D51"/>
    <w:rsid w:val="00DE3DB4"/>
    <w:rsid w:val="00E06690"/>
    <w:rsid w:val="00E606F8"/>
    <w:rsid w:val="00E74529"/>
    <w:rsid w:val="00E97276"/>
    <w:rsid w:val="00EB1FFD"/>
    <w:rsid w:val="00EB57F0"/>
    <w:rsid w:val="00EF29D7"/>
    <w:rsid w:val="00F15166"/>
    <w:rsid w:val="00F635E0"/>
    <w:rsid w:val="00F74A52"/>
    <w:rsid w:val="00FD01F5"/>
    <w:rsid w:val="00FE7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2F6419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C25BD"/>
    <w:rPr>
      <w:rFonts w:ascii="Times New Roman" w:hAnsi="Times New Roman" w:cs="Times New Roman"/>
      <w:lang w:eastAsia="en-GB"/>
    </w:rPr>
  </w:style>
  <w:style w:type="paragraph" w:styleId="Heading1">
    <w:name w:val="heading 1"/>
    <w:basedOn w:val="Normal"/>
    <w:next w:val="Normal"/>
    <w:link w:val="Heading1Char"/>
    <w:qFormat/>
    <w:rsid w:val="00936589"/>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936589"/>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B2FC0"/>
  </w:style>
  <w:style w:type="character" w:customStyle="1" w:styleId="FootnoteTextChar">
    <w:name w:val="Footnote Text Char"/>
    <w:basedOn w:val="DefaultParagraphFont"/>
    <w:link w:val="FootnoteText"/>
    <w:uiPriority w:val="99"/>
    <w:rsid w:val="006B2FC0"/>
    <w:rPr>
      <w:rFonts w:ascii="Times New Roman" w:hAnsi="Times New Roman" w:cs="Times New Roman"/>
      <w:lang w:eastAsia="en-GB"/>
    </w:rPr>
  </w:style>
  <w:style w:type="character" w:styleId="FootnoteReference">
    <w:name w:val="footnote reference"/>
    <w:basedOn w:val="DefaultParagraphFont"/>
    <w:uiPriority w:val="99"/>
    <w:unhideWhenUsed/>
    <w:rsid w:val="006B2FC0"/>
    <w:rPr>
      <w:vertAlign w:val="superscript"/>
    </w:rPr>
  </w:style>
  <w:style w:type="character" w:customStyle="1" w:styleId="Heading1Char">
    <w:name w:val="Heading 1 Char"/>
    <w:basedOn w:val="DefaultParagraphFont"/>
    <w:link w:val="Heading1"/>
    <w:rsid w:val="00936589"/>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936589"/>
    <w:rPr>
      <w:rFonts w:ascii="Tahoma" w:eastAsia="SimSun" w:hAnsi="Tahoma" w:cs="Tahoma"/>
      <w:b/>
      <w:bCs/>
      <w:sz w:val="20"/>
      <w:szCs w:val="20"/>
      <w:lang w:eastAsia="zh-CN"/>
    </w:rPr>
  </w:style>
  <w:style w:type="paragraph" w:styleId="NormalWeb">
    <w:name w:val="Normal (Web)"/>
    <w:basedOn w:val="Normal"/>
    <w:rsid w:val="00936589"/>
    <w:pPr>
      <w:spacing w:before="100" w:beforeAutospacing="1" w:after="100" w:afterAutospacing="1"/>
    </w:pPr>
    <w:rPr>
      <w:rFonts w:ascii="Georgia" w:eastAsia="SimSun" w:hAnsi="Georgia"/>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5A3CBC67-3D81-A244-AA5C-60910E2E7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8</Pages>
  <Words>1539</Words>
  <Characters>8774</Characters>
  <Application>Microsoft Macintosh Word</Application>
  <DocSecurity>0</DocSecurity>
  <Lines>73</Lines>
  <Paragraphs>20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Undergraduate assignment feedback form</vt:lpstr>
      <vt:lpstr>        </vt:lpstr>
    </vt:vector>
  </TitlesOfParts>
  <LinksUpToDate>false</LinksUpToDate>
  <CharactersWithSpaces>10293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121</cp:revision>
  <dcterms:created xsi:type="dcterms:W3CDTF">2017-12-11T14:44:00Z</dcterms:created>
  <dcterms:modified xsi:type="dcterms:W3CDTF">2017-12-12T21:26:00Z</dcterms:modified>
</cp:coreProperties>
</file>