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E16380" w14:textId="77777777" w:rsidR="006E160F" w:rsidRDefault="006E160F" w:rsidP="006E160F">
      <w:pPr>
        <w:jc w:val="center"/>
        <w:rPr>
          <w:sz w:val="40"/>
        </w:rPr>
      </w:pPr>
    </w:p>
    <w:p w14:paraId="10B32C86" w14:textId="77777777" w:rsidR="006E160F" w:rsidRDefault="006E160F" w:rsidP="006E160F">
      <w:pPr>
        <w:jc w:val="center"/>
        <w:rPr>
          <w:sz w:val="40"/>
        </w:rPr>
      </w:pPr>
    </w:p>
    <w:p w14:paraId="44BFD072" w14:textId="77777777" w:rsidR="006E160F" w:rsidRDefault="006E160F" w:rsidP="006E160F">
      <w:pPr>
        <w:jc w:val="center"/>
        <w:rPr>
          <w:sz w:val="40"/>
        </w:rPr>
      </w:pPr>
    </w:p>
    <w:p w14:paraId="0DAC6EFF" w14:textId="77777777" w:rsidR="006E160F" w:rsidRDefault="006E160F" w:rsidP="006E160F">
      <w:pPr>
        <w:jc w:val="center"/>
        <w:rPr>
          <w:sz w:val="40"/>
        </w:rPr>
      </w:pPr>
    </w:p>
    <w:p w14:paraId="2B2AEE5A" w14:textId="77777777" w:rsidR="006E160F" w:rsidRDefault="006E160F" w:rsidP="006E160F">
      <w:pPr>
        <w:jc w:val="center"/>
        <w:rPr>
          <w:sz w:val="40"/>
        </w:rPr>
      </w:pPr>
    </w:p>
    <w:p w14:paraId="2906B1A3" w14:textId="77777777" w:rsidR="006E160F" w:rsidRDefault="006E160F" w:rsidP="006E160F">
      <w:pPr>
        <w:jc w:val="center"/>
        <w:rPr>
          <w:sz w:val="40"/>
        </w:rPr>
      </w:pPr>
    </w:p>
    <w:p w14:paraId="00D983E0" w14:textId="77777777" w:rsidR="006E160F" w:rsidRDefault="006E160F" w:rsidP="006E160F">
      <w:pPr>
        <w:jc w:val="center"/>
        <w:rPr>
          <w:sz w:val="40"/>
        </w:rPr>
      </w:pPr>
    </w:p>
    <w:p w14:paraId="33A4CAB1" w14:textId="77777777" w:rsidR="006E160F" w:rsidRDefault="006E160F" w:rsidP="006E160F">
      <w:pPr>
        <w:jc w:val="center"/>
        <w:rPr>
          <w:sz w:val="40"/>
        </w:rPr>
      </w:pPr>
    </w:p>
    <w:p w14:paraId="5400C97C" w14:textId="1494B1D0" w:rsidR="002472BE" w:rsidRPr="006E160F" w:rsidRDefault="0005040B" w:rsidP="0005040B">
      <w:pPr>
        <w:rPr>
          <w:sz w:val="40"/>
        </w:rPr>
      </w:pPr>
      <w:r>
        <w:rPr>
          <w:sz w:val="40"/>
        </w:rPr>
        <w:t xml:space="preserve">                     </w:t>
      </w:r>
      <w:r w:rsidRPr="0005040B">
        <w:rPr>
          <w:sz w:val="40"/>
        </w:rPr>
        <w:t>Module</w:t>
      </w:r>
      <w:r>
        <w:rPr>
          <w:sz w:val="40"/>
        </w:rPr>
        <w:t xml:space="preserve">        </w:t>
      </w:r>
      <w:r w:rsidRPr="0005040B">
        <w:rPr>
          <w:sz w:val="40"/>
        </w:rPr>
        <w:t>:</w:t>
      </w:r>
      <w:r w:rsidRPr="006E160F">
        <w:rPr>
          <w:sz w:val="40"/>
        </w:rPr>
        <w:t xml:space="preserve"> Criminal</w:t>
      </w:r>
      <w:r w:rsidR="002472BE" w:rsidRPr="006E160F">
        <w:rPr>
          <w:sz w:val="40"/>
        </w:rPr>
        <w:t xml:space="preserve"> Law</w:t>
      </w:r>
    </w:p>
    <w:p w14:paraId="586EB2B1" w14:textId="77777777" w:rsidR="0005040B" w:rsidRDefault="0005040B" w:rsidP="0005040B">
      <w:pPr>
        <w:rPr>
          <w:sz w:val="40"/>
        </w:rPr>
      </w:pPr>
      <w:r>
        <w:rPr>
          <w:sz w:val="40"/>
        </w:rPr>
        <w:t xml:space="preserve">                     </w:t>
      </w:r>
      <w:r w:rsidRPr="0005040B">
        <w:rPr>
          <w:sz w:val="40"/>
        </w:rPr>
        <w:t xml:space="preserve">Module </w:t>
      </w:r>
      <w:r w:rsidRPr="0005040B">
        <w:rPr>
          <w:sz w:val="40"/>
        </w:rPr>
        <w:t>code:</w:t>
      </w:r>
      <w:r w:rsidRPr="006E160F">
        <w:rPr>
          <w:sz w:val="40"/>
        </w:rPr>
        <w:t xml:space="preserve"> BMLW</w:t>
      </w:r>
      <w:r w:rsidR="006E160F" w:rsidRPr="006E160F">
        <w:rPr>
          <w:sz w:val="40"/>
        </w:rPr>
        <w:t>4005</w:t>
      </w:r>
    </w:p>
    <w:p w14:paraId="3D3E6F94" w14:textId="2816DAA9" w:rsidR="006E160F" w:rsidRDefault="0005040B" w:rsidP="0005040B">
      <w:pPr>
        <w:rPr>
          <w:sz w:val="40"/>
        </w:rPr>
      </w:pPr>
      <w:r>
        <w:rPr>
          <w:sz w:val="40"/>
        </w:rPr>
        <w:t xml:space="preserve">                     </w:t>
      </w:r>
      <w:r w:rsidRPr="0005040B">
        <w:rPr>
          <w:sz w:val="40"/>
        </w:rPr>
        <w:t>Lecturer</w:t>
      </w:r>
      <w:r>
        <w:rPr>
          <w:sz w:val="40"/>
        </w:rPr>
        <w:t xml:space="preserve">       </w:t>
      </w:r>
      <w:r w:rsidRPr="0005040B">
        <w:rPr>
          <w:sz w:val="40"/>
        </w:rPr>
        <w:t>: Laura Knight</w:t>
      </w:r>
    </w:p>
    <w:p w14:paraId="0FCF3F8B" w14:textId="48262A52" w:rsidR="0005040B" w:rsidRDefault="0005040B" w:rsidP="0005040B">
      <w:pPr>
        <w:rPr>
          <w:sz w:val="40"/>
        </w:rPr>
      </w:pPr>
      <w:r>
        <w:rPr>
          <w:sz w:val="40"/>
        </w:rPr>
        <w:t xml:space="preserve">                     Student        : Elena Diana Balan</w:t>
      </w:r>
    </w:p>
    <w:p w14:paraId="7B32756F" w14:textId="636E8DEF" w:rsidR="0005040B" w:rsidRDefault="0005040B" w:rsidP="0005040B">
      <w:pPr>
        <w:rPr>
          <w:sz w:val="40"/>
        </w:rPr>
      </w:pPr>
      <w:r>
        <w:rPr>
          <w:sz w:val="40"/>
        </w:rPr>
        <w:t xml:space="preserve">                     Student ID   : 2132762</w:t>
      </w:r>
    </w:p>
    <w:p w14:paraId="0B40AEFF" w14:textId="04943B91" w:rsidR="0005040B" w:rsidRDefault="0005040B" w:rsidP="0005040B">
      <w:pPr>
        <w:rPr>
          <w:sz w:val="40"/>
        </w:rPr>
      </w:pPr>
      <w:r>
        <w:rPr>
          <w:sz w:val="40"/>
        </w:rPr>
        <w:t xml:space="preserve">                     </w:t>
      </w:r>
    </w:p>
    <w:p w14:paraId="0BEB6E65" w14:textId="77777777" w:rsidR="0005040B" w:rsidRPr="006E160F" w:rsidRDefault="0005040B" w:rsidP="0005040B">
      <w:pPr>
        <w:rPr>
          <w:sz w:val="40"/>
        </w:rPr>
      </w:pPr>
    </w:p>
    <w:p w14:paraId="1F4B548A" w14:textId="77777777" w:rsidR="002472BE" w:rsidRDefault="002472BE" w:rsidP="002472BE">
      <w:r>
        <w:br w:type="page"/>
      </w:r>
    </w:p>
    <w:sdt>
      <w:sdtPr>
        <w:rPr>
          <w:rFonts w:ascii="Times New Roman" w:eastAsiaTheme="minorHAnsi" w:hAnsi="Times New Roman" w:cstheme="minorBidi"/>
          <w:color w:val="auto"/>
          <w:sz w:val="24"/>
          <w:szCs w:val="22"/>
        </w:rPr>
        <w:id w:val="301967892"/>
        <w:docPartObj>
          <w:docPartGallery w:val="Table of Contents"/>
          <w:docPartUnique/>
        </w:docPartObj>
      </w:sdtPr>
      <w:sdtEndPr>
        <w:rPr>
          <w:b/>
          <w:bCs/>
          <w:noProof/>
        </w:rPr>
      </w:sdtEndPr>
      <w:sdtContent>
        <w:p w14:paraId="27F6E875" w14:textId="77777777" w:rsidR="002472BE" w:rsidRDefault="002472BE">
          <w:pPr>
            <w:pStyle w:val="TOCHeading"/>
          </w:pPr>
          <w:r>
            <w:t>Table of Contents</w:t>
          </w:r>
        </w:p>
        <w:p w14:paraId="46409E6E" w14:textId="77777777" w:rsidR="00627FBE" w:rsidRDefault="002472B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3389592" w:history="1">
            <w:r w:rsidR="00627FBE" w:rsidRPr="00F61A04">
              <w:rPr>
                <w:rStyle w:val="Hyperlink"/>
                <w:rFonts w:eastAsia="Times New Roman"/>
                <w:noProof/>
              </w:rPr>
              <w:t>Introduction</w:t>
            </w:r>
            <w:r w:rsidR="00627FBE">
              <w:rPr>
                <w:noProof/>
                <w:webHidden/>
              </w:rPr>
              <w:tab/>
            </w:r>
            <w:r w:rsidR="00627FBE">
              <w:rPr>
                <w:noProof/>
                <w:webHidden/>
              </w:rPr>
              <w:fldChar w:fldCharType="begin"/>
            </w:r>
            <w:r w:rsidR="00627FBE">
              <w:rPr>
                <w:noProof/>
                <w:webHidden/>
              </w:rPr>
              <w:instrText xml:space="preserve"> PAGEREF _Toc123389592 \h </w:instrText>
            </w:r>
            <w:r w:rsidR="00627FBE">
              <w:rPr>
                <w:noProof/>
                <w:webHidden/>
              </w:rPr>
            </w:r>
            <w:r w:rsidR="00627FBE">
              <w:rPr>
                <w:noProof/>
                <w:webHidden/>
              </w:rPr>
              <w:fldChar w:fldCharType="separate"/>
            </w:r>
            <w:r w:rsidR="00627FBE">
              <w:rPr>
                <w:noProof/>
                <w:webHidden/>
              </w:rPr>
              <w:t>3</w:t>
            </w:r>
            <w:r w:rsidR="00627FBE">
              <w:rPr>
                <w:noProof/>
                <w:webHidden/>
              </w:rPr>
              <w:fldChar w:fldCharType="end"/>
            </w:r>
          </w:hyperlink>
        </w:p>
        <w:p w14:paraId="380AB834" w14:textId="77777777" w:rsidR="00627FBE" w:rsidRDefault="00000000">
          <w:pPr>
            <w:pStyle w:val="TOC1"/>
            <w:tabs>
              <w:tab w:val="right" w:leader="dot" w:pos="9350"/>
            </w:tabs>
            <w:rPr>
              <w:rFonts w:asciiTheme="minorHAnsi" w:eastAsiaTheme="minorEastAsia" w:hAnsiTheme="minorHAnsi"/>
              <w:noProof/>
              <w:sz w:val="22"/>
            </w:rPr>
          </w:pPr>
          <w:hyperlink w:anchor="_Toc123389593" w:history="1">
            <w:r w:rsidR="00627FBE" w:rsidRPr="00F61A04">
              <w:rPr>
                <w:rStyle w:val="Hyperlink"/>
                <w:rFonts w:eastAsia="Times New Roman"/>
                <w:noProof/>
              </w:rPr>
              <w:t>Offenses of Hadley</w:t>
            </w:r>
            <w:r w:rsidR="00627FBE">
              <w:rPr>
                <w:noProof/>
                <w:webHidden/>
              </w:rPr>
              <w:tab/>
            </w:r>
            <w:r w:rsidR="00627FBE">
              <w:rPr>
                <w:noProof/>
                <w:webHidden/>
              </w:rPr>
              <w:fldChar w:fldCharType="begin"/>
            </w:r>
            <w:r w:rsidR="00627FBE">
              <w:rPr>
                <w:noProof/>
                <w:webHidden/>
              </w:rPr>
              <w:instrText xml:space="preserve"> PAGEREF _Toc123389593 \h </w:instrText>
            </w:r>
            <w:r w:rsidR="00627FBE">
              <w:rPr>
                <w:noProof/>
                <w:webHidden/>
              </w:rPr>
            </w:r>
            <w:r w:rsidR="00627FBE">
              <w:rPr>
                <w:noProof/>
                <w:webHidden/>
              </w:rPr>
              <w:fldChar w:fldCharType="separate"/>
            </w:r>
            <w:r w:rsidR="00627FBE">
              <w:rPr>
                <w:noProof/>
                <w:webHidden/>
              </w:rPr>
              <w:t>3</w:t>
            </w:r>
            <w:r w:rsidR="00627FBE">
              <w:rPr>
                <w:noProof/>
                <w:webHidden/>
              </w:rPr>
              <w:fldChar w:fldCharType="end"/>
            </w:r>
          </w:hyperlink>
        </w:p>
        <w:p w14:paraId="0E497F5B" w14:textId="77777777" w:rsidR="00627FBE" w:rsidRDefault="00000000">
          <w:pPr>
            <w:pStyle w:val="TOC1"/>
            <w:tabs>
              <w:tab w:val="right" w:leader="dot" w:pos="9350"/>
            </w:tabs>
            <w:rPr>
              <w:rFonts w:asciiTheme="minorHAnsi" w:eastAsiaTheme="minorEastAsia" w:hAnsiTheme="minorHAnsi"/>
              <w:noProof/>
              <w:sz w:val="22"/>
            </w:rPr>
          </w:pPr>
          <w:hyperlink w:anchor="_Toc123389594" w:history="1">
            <w:r w:rsidR="00627FBE" w:rsidRPr="00F61A04">
              <w:rPr>
                <w:rStyle w:val="Hyperlink"/>
                <w:rFonts w:eastAsia="Times New Roman"/>
                <w:noProof/>
              </w:rPr>
              <w:t>Defenses of Freya</w:t>
            </w:r>
            <w:r w:rsidR="00627FBE">
              <w:rPr>
                <w:noProof/>
                <w:webHidden/>
              </w:rPr>
              <w:tab/>
            </w:r>
            <w:r w:rsidR="00627FBE">
              <w:rPr>
                <w:noProof/>
                <w:webHidden/>
              </w:rPr>
              <w:fldChar w:fldCharType="begin"/>
            </w:r>
            <w:r w:rsidR="00627FBE">
              <w:rPr>
                <w:noProof/>
                <w:webHidden/>
              </w:rPr>
              <w:instrText xml:space="preserve"> PAGEREF _Toc123389594 \h </w:instrText>
            </w:r>
            <w:r w:rsidR="00627FBE">
              <w:rPr>
                <w:noProof/>
                <w:webHidden/>
              </w:rPr>
            </w:r>
            <w:r w:rsidR="00627FBE">
              <w:rPr>
                <w:noProof/>
                <w:webHidden/>
              </w:rPr>
              <w:fldChar w:fldCharType="separate"/>
            </w:r>
            <w:r w:rsidR="00627FBE">
              <w:rPr>
                <w:noProof/>
                <w:webHidden/>
              </w:rPr>
              <w:t>4</w:t>
            </w:r>
            <w:r w:rsidR="00627FBE">
              <w:rPr>
                <w:noProof/>
                <w:webHidden/>
              </w:rPr>
              <w:fldChar w:fldCharType="end"/>
            </w:r>
          </w:hyperlink>
        </w:p>
        <w:p w14:paraId="34A77F14" w14:textId="77777777" w:rsidR="00627FBE" w:rsidRDefault="00000000">
          <w:pPr>
            <w:pStyle w:val="TOC1"/>
            <w:tabs>
              <w:tab w:val="right" w:leader="dot" w:pos="9350"/>
            </w:tabs>
            <w:rPr>
              <w:rFonts w:asciiTheme="minorHAnsi" w:eastAsiaTheme="minorEastAsia" w:hAnsiTheme="minorHAnsi"/>
              <w:noProof/>
              <w:sz w:val="22"/>
            </w:rPr>
          </w:pPr>
          <w:hyperlink w:anchor="_Toc123389595" w:history="1">
            <w:r w:rsidR="00627FBE" w:rsidRPr="00F61A04">
              <w:rPr>
                <w:rStyle w:val="Hyperlink"/>
                <w:rFonts w:eastAsia="Times New Roman"/>
                <w:noProof/>
              </w:rPr>
              <w:t>Conclusion</w:t>
            </w:r>
            <w:r w:rsidR="00627FBE">
              <w:rPr>
                <w:noProof/>
                <w:webHidden/>
              </w:rPr>
              <w:tab/>
            </w:r>
            <w:r w:rsidR="00627FBE">
              <w:rPr>
                <w:noProof/>
                <w:webHidden/>
              </w:rPr>
              <w:fldChar w:fldCharType="begin"/>
            </w:r>
            <w:r w:rsidR="00627FBE">
              <w:rPr>
                <w:noProof/>
                <w:webHidden/>
              </w:rPr>
              <w:instrText xml:space="preserve"> PAGEREF _Toc123389595 \h </w:instrText>
            </w:r>
            <w:r w:rsidR="00627FBE">
              <w:rPr>
                <w:noProof/>
                <w:webHidden/>
              </w:rPr>
            </w:r>
            <w:r w:rsidR="00627FBE">
              <w:rPr>
                <w:noProof/>
                <w:webHidden/>
              </w:rPr>
              <w:fldChar w:fldCharType="separate"/>
            </w:r>
            <w:r w:rsidR="00627FBE">
              <w:rPr>
                <w:noProof/>
                <w:webHidden/>
              </w:rPr>
              <w:t>5</w:t>
            </w:r>
            <w:r w:rsidR="00627FBE">
              <w:rPr>
                <w:noProof/>
                <w:webHidden/>
              </w:rPr>
              <w:fldChar w:fldCharType="end"/>
            </w:r>
          </w:hyperlink>
        </w:p>
        <w:p w14:paraId="18C304E0" w14:textId="77777777" w:rsidR="00627FBE" w:rsidRDefault="00000000">
          <w:pPr>
            <w:pStyle w:val="TOC1"/>
            <w:tabs>
              <w:tab w:val="right" w:leader="dot" w:pos="9350"/>
            </w:tabs>
            <w:rPr>
              <w:rFonts w:asciiTheme="minorHAnsi" w:eastAsiaTheme="minorEastAsia" w:hAnsiTheme="minorHAnsi"/>
              <w:noProof/>
              <w:sz w:val="22"/>
            </w:rPr>
          </w:pPr>
          <w:hyperlink w:anchor="_Toc123389596" w:history="1">
            <w:r w:rsidR="00627FBE" w:rsidRPr="00F61A04">
              <w:rPr>
                <w:rStyle w:val="Hyperlink"/>
                <w:noProof/>
              </w:rPr>
              <w:t>References</w:t>
            </w:r>
            <w:r w:rsidR="00627FBE">
              <w:rPr>
                <w:noProof/>
                <w:webHidden/>
              </w:rPr>
              <w:tab/>
            </w:r>
            <w:r w:rsidR="00627FBE">
              <w:rPr>
                <w:noProof/>
                <w:webHidden/>
              </w:rPr>
              <w:fldChar w:fldCharType="begin"/>
            </w:r>
            <w:r w:rsidR="00627FBE">
              <w:rPr>
                <w:noProof/>
                <w:webHidden/>
              </w:rPr>
              <w:instrText xml:space="preserve"> PAGEREF _Toc123389596 \h </w:instrText>
            </w:r>
            <w:r w:rsidR="00627FBE">
              <w:rPr>
                <w:noProof/>
                <w:webHidden/>
              </w:rPr>
            </w:r>
            <w:r w:rsidR="00627FBE">
              <w:rPr>
                <w:noProof/>
                <w:webHidden/>
              </w:rPr>
              <w:fldChar w:fldCharType="separate"/>
            </w:r>
            <w:r w:rsidR="00627FBE">
              <w:rPr>
                <w:noProof/>
                <w:webHidden/>
              </w:rPr>
              <w:t>7</w:t>
            </w:r>
            <w:r w:rsidR="00627FBE">
              <w:rPr>
                <w:noProof/>
                <w:webHidden/>
              </w:rPr>
              <w:fldChar w:fldCharType="end"/>
            </w:r>
          </w:hyperlink>
        </w:p>
        <w:p w14:paraId="0C9EBA5A" w14:textId="77777777" w:rsidR="002472BE" w:rsidRDefault="002472BE">
          <w:r>
            <w:rPr>
              <w:b/>
              <w:bCs/>
              <w:noProof/>
            </w:rPr>
            <w:fldChar w:fldCharType="end"/>
          </w:r>
        </w:p>
      </w:sdtContent>
    </w:sdt>
    <w:p w14:paraId="405FD248" w14:textId="77777777" w:rsidR="0011474E" w:rsidRDefault="0011474E">
      <w:pPr>
        <w:spacing w:after="160" w:line="259" w:lineRule="auto"/>
        <w:jc w:val="left"/>
      </w:pPr>
    </w:p>
    <w:p w14:paraId="3712E7DA" w14:textId="77777777" w:rsidR="0011474E" w:rsidRPr="0011474E" w:rsidRDefault="0011474E" w:rsidP="0011474E">
      <w:pPr>
        <w:spacing w:after="0" w:line="240" w:lineRule="auto"/>
        <w:jc w:val="left"/>
        <w:rPr>
          <w:rFonts w:eastAsia="Times New Roman" w:cs="Times New Roman"/>
          <w:szCs w:val="24"/>
        </w:rPr>
      </w:pPr>
    </w:p>
    <w:p w14:paraId="6B556BE9" w14:textId="77777777" w:rsidR="002472BE" w:rsidRDefault="002472BE">
      <w:pPr>
        <w:spacing w:after="160" w:line="259" w:lineRule="auto"/>
        <w:jc w:val="left"/>
        <w:rPr>
          <w:rFonts w:eastAsia="Times New Roman" w:cstheme="majorBidi"/>
          <w:b/>
          <w:color w:val="000000" w:themeColor="text1"/>
          <w:sz w:val="36"/>
          <w:szCs w:val="32"/>
        </w:rPr>
      </w:pPr>
      <w:r>
        <w:rPr>
          <w:rFonts w:eastAsia="Times New Roman"/>
        </w:rPr>
        <w:br w:type="page"/>
      </w:r>
    </w:p>
    <w:p w14:paraId="4719C20E" w14:textId="77777777" w:rsidR="0011474E" w:rsidRPr="0011474E" w:rsidRDefault="0011474E" w:rsidP="0011474E">
      <w:pPr>
        <w:pStyle w:val="Heading1"/>
        <w:rPr>
          <w:rFonts w:eastAsia="Times New Roman" w:cs="Times New Roman"/>
          <w:szCs w:val="24"/>
        </w:rPr>
      </w:pPr>
      <w:bookmarkStart w:id="0" w:name="_Toc123389592"/>
      <w:r w:rsidRPr="0011474E">
        <w:rPr>
          <w:rFonts w:eastAsia="Times New Roman"/>
        </w:rPr>
        <w:lastRenderedPageBreak/>
        <w:t>Introduction</w:t>
      </w:r>
      <w:bookmarkEnd w:id="0"/>
    </w:p>
    <w:p w14:paraId="42366907" w14:textId="77777777" w:rsidR="0011474E" w:rsidRPr="0011474E" w:rsidRDefault="0011474E" w:rsidP="0011474E">
      <w:pPr>
        <w:pStyle w:val="Style1"/>
        <w:rPr>
          <w:rFonts w:cs="Times New Roman"/>
          <w:szCs w:val="24"/>
        </w:rPr>
      </w:pPr>
      <w:r w:rsidRPr="0011474E">
        <w:t xml:space="preserve">Current rules and regulations of </w:t>
      </w:r>
      <w:r w:rsidR="002472BE">
        <w:t xml:space="preserve">the </w:t>
      </w:r>
      <w:r w:rsidRPr="0011474E">
        <w:t xml:space="preserve">law </w:t>
      </w:r>
      <w:r w:rsidR="002472BE">
        <w:t>are</w:t>
      </w:r>
      <w:r w:rsidRPr="0011474E">
        <w:t xml:space="preserve"> strict enough to stop people from </w:t>
      </w:r>
      <w:r w:rsidR="002472BE">
        <w:t xml:space="preserve">doing </w:t>
      </w:r>
      <w:r w:rsidRPr="0011474E">
        <w:t>hazardous task</w:t>
      </w:r>
      <w:r w:rsidR="002472BE">
        <w:t>s</w:t>
      </w:r>
      <w:r w:rsidRPr="0011474E">
        <w:t xml:space="preserve">. But individuals engage in </w:t>
      </w:r>
      <w:r w:rsidR="002472BE" w:rsidRPr="0011474E">
        <w:t>dysfunctional</w:t>
      </w:r>
      <w:r w:rsidRPr="0011474E">
        <w:t xml:space="preserve"> </w:t>
      </w:r>
      <w:r w:rsidR="002472BE">
        <w:t>action</w:t>
      </w:r>
      <w:r w:rsidRPr="0011474E">
        <w:t xml:space="preserve"> out of hatred or derived </w:t>
      </w:r>
      <w:r w:rsidR="002472BE">
        <w:t>from</w:t>
      </w:r>
      <w:r w:rsidRPr="0011474E">
        <w:t xml:space="preserve"> emotions. The law doesn't care about emotions. It has some offen</w:t>
      </w:r>
      <w:r w:rsidR="002472BE">
        <w:t>s</w:t>
      </w:r>
      <w:r w:rsidRPr="0011474E">
        <w:t xml:space="preserve">es and defenses to punish the wrong and protect the right. The discussion today is based on the rules and regulations of criminal law that will be applicable </w:t>
      </w:r>
      <w:r w:rsidR="002472BE">
        <w:t>to</w:t>
      </w:r>
      <w:r w:rsidRPr="0011474E">
        <w:t xml:space="preserve"> two cases. The cases are stories of Hadley and Freya and attract the law that will be applicable in their circumstances. </w:t>
      </w:r>
    </w:p>
    <w:p w14:paraId="3C68187F" w14:textId="77777777" w:rsidR="0011474E" w:rsidRPr="0011474E" w:rsidRDefault="0011474E" w:rsidP="0011474E">
      <w:pPr>
        <w:pStyle w:val="Heading1"/>
        <w:rPr>
          <w:rFonts w:eastAsia="Times New Roman" w:cs="Times New Roman"/>
          <w:szCs w:val="24"/>
        </w:rPr>
      </w:pPr>
      <w:bookmarkStart w:id="1" w:name="_Toc123389593"/>
      <w:r w:rsidRPr="0011474E">
        <w:rPr>
          <w:rFonts w:eastAsia="Times New Roman"/>
        </w:rPr>
        <w:t>Offenses of Hadley</w:t>
      </w:r>
      <w:bookmarkEnd w:id="1"/>
    </w:p>
    <w:p w14:paraId="008089A5" w14:textId="3D6964B7" w:rsidR="0011474E" w:rsidRPr="0011474E" w:rsidRDefault="0011474E" w:rsidP="0011474E">
      <w:pPr>
        <w:pStyle w:val="Style1"/>
        <w:rPr>
          <w:rFonts w:cs="Times New Roman"/>
          <w:szCs w:val="24"/>
        </w:rPr>
      </w:pPr>
      <w:r w:rsidRPr="0011474E">
        <w:t xml:space="preserve">Hadley's hatred towards Ronan for showing off his lavish lifestyle made him do some illegal work. When Hadley knew that Ronan was supposed to be outside of his </w:t>
      </w:r>
      <w:proofErr w:type="gramStart"/>
      <w:r w:rsidRPr="0011474E">
        <w:t>house</w:t>
      </w:r>
      <w:proofErr w:type="gramEnd"/>
      <w:r w:rsidRPr="0011474E">
        <w:t xml:space="preserve"> he tried to forcefully enter his house. His act of entering the house without permission and by using force is </w:t>
      </w:r>
      <w:proofErr w:type="spellStart"/>
      <w:r w:rsidRPr="0011474E">
        <w:t>retarded</w:t>
      </w:r>
      <w:proofErr w:type="spellEnd"/>
      <w:r w:rsidRPr="0011474E">
        <w:t xml:space="preserve"> as breaking and entering in criminal law. Criminal law presents that if any person without any authorization uses force to enter a building is the act of breaking and entering. This is a</w:t>
      </w:r>
      <w:r w:rsidR="002472BE">
        <w:t>n</w:t>
      </w:r>
      <w:r w:rsidRPr="0011474E">
        <w:t xml:space="preserve"> unlawful act even </w:t>
      </w:r>
      <w:r w:rsidR="002472BE">
        <w:t xml:space="preserve">if </w:t>
      </w:r>
      <w:r w:rsidRPr="0011474E">
        <w:t xml:space="preserve">one uses </w:t>
      </w:r>
      <w:r w:rsidR="002472BE">
        <w:t xml:space="preserve">the </w:t>
      </w:r>
      <w:r w:rsidRPr="0011474E">
        <w:t xml:space="preserve">slightest force such as pushing a door to open it without permission to enter. </w:t>
      </w:r>
      <w:r w:rsidR="0005040B" w:rsidRPr="0011474E">
        <w:t>Also,</w:t>
      </w:r>
      <w:r w:rsidRPr="0011474E">
        <w:t xml:space="preserve"> if the person accused of such charges enters any of his body part</w:t>
      </w:r>
      <w:r w:rsidR="002472BE">
        <w:t>s</w:t>
      </w:r>
      <w:r w:rsidRPr="0011474E">
        <w:t xml:space="preserve"> but </w:t>
      </w:r>
      <w:r w:rsidR="002472BE">
        <w:t xml:space="preserve">does </w:t>
      </w:r>
      <w:r w:rsidRPr="0011474E">
        <w:t xml:space="preserve">not fully enter the house still he will be charged </w:t>
      </w:r>
      <w:r w:rsidR="002472BE">
        <w:t>with</w:t>
      </w:r>
      <w:r w:rsidRPr="0011474E">
        <w:t xml:space="preserve"> breaking and entering. Besides, entering a house by the mean of fraud, threats, or collusion is also part of breaking. In Hadley's case</w:t>
      </w:r>
      <w:r w:rsidR="002472BE">
        <w:t>,</w:t>
      </w:r>
      <w:r w:rsidRPr="0011474E">
        <w:t xml:space="preserve"> he used force to enter Ronan's private villa and he fully entered the house. At that time neither the house was open to the public nor Hadley had the privilege to enter. However, breaking and entering in time of day and </w:t>
      </w:r>
      <w:r w:rsidR="002472BE">
        <w:t>for</w:t>
      </w:r>
      <w:r w:rsidRPr="0011474E">
        <w:t xml:space="preserve"> the purpose of helping someone is not a criminal act. But he did it </w:t>
      </w:r>
      <w:r w:rsidR="002472BE">
        <w:t>with</w:t>
      </w:r>
      <w:r w:rsidRPr="0011474E">
        <w:t xml:space="preserve"> the intention to steal something. </w:t>
      </w:r>
      <w:proofErr w:type="gramStart"/>
      <w:r w:rsidRPr="0011474E">
        <w:t>So</w:t>
      </w:r>
      <w:proofErr w:type="gramEnd"/>
      <w:r w:rsidRPr="0011474E">
        <w:t xml:space="preserve"> he will be criminally liable for </w:t>
      </w:r>
      <w:r w:rsidR="002472BE">
        <w:t xml:space="preserve">a </w:t>
      </w:r>
      <w:r w:rsidRPr="0011474E">
        <w:t>burglary offen</w:t>
      </w:r>
      <w:r w:rsidR="002472BE">
        <w:t>s</w:t>
      </w:r>
      <w:r w:rsidRPr="0011474E">
        <w:t xml:space="preserve">e.  As per the Theft Act </w:t>
      </w:r>
      <w:r w:rsidR="001244CC">
        <w:t>(</w:t>
      </w:r>
      <w:r w:rsidRPr="0011474E">
        <w:t>1968</w:t>
      </w:r>
      <w:r w:rsidR="001244CC">
        <w:t>),</w:t>
      </w:r>
      <w:r w:rsidRPr="0011474E">
        <w:t xml:space="preserve"> burglary is the act of breaking and entering someone's house or a building with the intention of committing a felony and it is done in the nighttime. It will not be considered burglary if breaking and entering </w:t>
      </w:r>
      <w:r w:rsidR="002472BE">
        <w:t>are</w:t>
      </w:r>
      <w:r w:rsidRPr="0011474E">
        <w:t xml:space="preserve"> not constituted with the intention to commit a felony. It will be regarded as illegal trespass. But as Hadley's intention was to commit a felony, stealing something</w:t>
      </w:r>
      <w:r w:rsidR="002472BE">
        <w:t>,</w:t>
      </w:r>
      <w:r w:rsidRPr="0011474E">
        <w:t xml:space="preserve"> it is clearly an act of burglary. The theft act covers this kind of act of theft and stealing, burglary in sections 9 and 10. It is covered by two sections because the accused may steal something or not. One </w:t>
      </w:r>
      <w:r w:rsidR="002472BE">
        <w:t xml:space="preserve">of the </w:t>
      </w:r>
      <w:r w:rsidRPr="0011474E">
        <w:t>section</w:t>
      </w:r>
      <w:r w:rsidR="002472BE">
        <w:t>s</w:t>
      </w:r>
      <w:r w:rsidRPr="0011474E">
        <w:t xml:space="preserve"> covers the offen</w:t>
      </w:r>
      <w:r w:rsidR="002472BE">
        <w:t>s</w:t>
      </w:r>
      <w:r w:rsidRPr="0011474E">
        <w:t>e of burglary where someone steal</w:t>
      </w:r>
      <w:r w:rsidR="002472BE">
        <w:t>s</w:t>
      </w:r>
      <w:r w:rsidRPr="0011474E">
        <w:t xml:space="preserve"> </w:t>
      </w:r>
      <w:r w:rsidR="0005040B" w:rsidRPr="0011474E">
        <w:t>something,</w:t>
      </w:r>
      <w:r w:rsidRPr="0011474E">
        <w:t xml:space="preserve"> and another covers the offen</w:t>
      </w:r>
      <w:r w:rsidR="002472BE">
        <w:t>s</w:t>
      </w:r>
      <w:r w:rsidRPr="0011474E">
        <w:t xml:space="preserve">e of burglary </w:t>
      </w:r>
      <w:r w:rsidR="002472BE">
        <w:t>which</w:t>
      </w:r>
      <w:r w:rsidRPr="0011474E">
        <w:t xml:space="preserve"> involves the intention of stealing something. In Hadley's case</w:t>
      </w:r>
      <w:r w:rsidR="002472BE">
        <w:t>,</w:t>
      </w:r>
      <w:r w:rsidRPr="0011474E">
        <w:t xml:space="preserve"> he will </w:t>
      </w:r>
      <w:r w:rsidRPr="0011474E">
        <w:lastRenderedPageBreak/>
        <w:t xml:space="preserve">be brought under section 9 as he attempted theft. He broke and </w:t>
      </w:r>
      <w:r w:rsidR="0005040B" w:rsidRPr="0011474E">
        <w:t>entered</w:t>
      </w:r>
      <w:r w:rsidRPr="0011474E">
        <w:t xml:space="preserve"> Ronan's house and stole his </w:t>
      </w:r>
      <w:r w:rsidR="0005040B" w:rsidRPr="0011474E">
        <w:t>Rolex</w:t>
      </w:r>
      <w:r w:rsidRPr="0011474E">
        <w:t xml:space="preserve"> watch.</w:t>
      </w:r>
    </w:p>
    <w:p w14:paraId="5E2D39AF" w14:textId="77777777" w:rsidR="0011474E" w:rsidRPr="0011474E" w:rsidRDefault="0011474E" w:rsidP="0011474E">
      <w:pPr>
        <w:pStyle w:val="Style1"/>
        <w:rPr>
          <w:rFonts w:cs="Times New Roman"/>
          <w:szCs w:val="24"/>
        </w:rPr>
      </w:pPr>
      <w:r w:rsidRPr="0011474E">
        <w:t xml:space="preserve">Moreover, Hadley's circumstances show that he will be criminally liable for another act. He set the bin in the dressing room on fire by pouring after shave in it. Doesn't matter what he destroyed or damaged he is liable for </w:t>
      </w:r>
      <w:r w:rsidR="002472BE">
        <w:t xml:space="preserve">a </w:t>
      </w:r>
      <w:r w:rsidRPr="0011474E">
        <w:t>property damage offen</w:t>
      </w:r>
      <w:r w:rsidR="002472BE">
        <w:t>s</w:t>
      </w:r>
      <w:r w:rsidRPr="0011474E">
        <w:t xml:space="preserve">e. As per Section 1(1) of CDA </w:t>
      </w:r>
      <w:r w:rsidR="001244CC">
        <w:t>(</w:t>
      </w:r>
      <w:r w:rsidRPr="0011474E">
        <w:t>1971</w:t>
      </w:r>
      <w:r w:rsidR="001244CC">
        <w:t>)</w:t>
      </w:r>
      <w:r w:rsidR="002472BE">
        <w:t>,</w:t>
      </w:r>
      <w:r w:rsidRPr="0011474E">
        <w:t xml:space="preserve"> </w:t>
      </w:r>
      <w:r w:rsidR="002472BE">
        <w:t>a</w:t>
      </w:r>
      <w:r w:rsidRPr="0011474E">
        <w:t xml:space="preserve"> person is gui</w:t>
      </w:r>
      <w:r w:rsidR="002472BE">
        <w:t>l</w:t>
      </w:r>
      <w:r w:rsidRPr="0011474E">
        <w:t>ty of such offen</w:t>
      </w:r>
      <w:r w:rsidR="002472BE">
        <w:t>s</w:t>
      </w:r>
      <w:r w:rsidRPr="0011474E">
        <w:t>e when he or she destroys or damages some other person's property without any lawful excuse or even act</w:t>
      </w:r>
      <w:r w:rsidR="002472BE">
        <w:t>s</w:t>
      </w:r>
      <w:r w:rsidRPr="0011474E">
        <w:t xml:space="preserve"> with an intent to destroy or damage any such property, also if </w:t>
      </w:r>
      <w:r w:rsidR="002472BE">
        <w:t xml:space="preserve">the </w:t>
      </w:r>
      <w:r w:rsidRPr="0011474E">
        <w:t xml:space="preserve">act in a reckless manner for which any such property can get destroyed or damaged. The section clearly presents Hadley </w:t>
      </w:r>
      <w:r w:rsidR="002472BE">
        <w:t>a</w:t>
      </w:r>
      <w:r w:rsidRPr="0011474E">
        <w:t xml:space="preserve">s guilty of </w:t>
      </w:r>
      <w:r w:rsidR="002472BE">
        <w:t xml:space="preserve">a </w:t>
      </w:r>
      <w:r w:rsidRPr="0011474E">
        <w:t>property damage offen</w:t>
      </w:r>
      <w:r w:rsidR="002472BE">
        <w:t>s</w:t>
      </w:r>
      <w:r w:rsidRPr="0011474E">
        <w:t xml:space="preserve">e as for damaging Ronan's property. Magistrates’ Court Act </w:t>
      </w:r>
      <w:r w:rsidR="001244CC">
        <w:t>(</w:t>
      </w:r>
      <w:r w:rsidRPr="0011474E">
        <w:t>1980</w:t>
      </w:r>
      <w:r w:rsidR="001244CC">
        <w:t>)</w:t>
      </w:r>
      <w:r w:rsidRPr="0011474E">
        <w:t xml:space="preserve"> or in short MCA 1980 presents this offen</w:t>
      </w:r>
      <w:r w:rsidR="002472BE">
        <w:t>s</w:t>
      </w:r>
      <w:r w:rsidRPr="0011474E">
        <w:t xml:space="preserve">e </w:t>
      </w:r>
      <w:r w:rsidR="002472BE">
        <w:t>a</w:t>
      </w:r>
      <w:r w:rsidRPr="0011474E">
        <w:t>s triable either way as per para. 29 of Schedule 1.</w:t>
      </w:r>
      <w:r w:rsidR="002472BE">
        <w:t xml:space="preserve"> </w:t>
      </w:r>
      <w:r w:rsidRPr="0011474E">
        <w:t>The punishment for this offen</w:t>
      </w:r>
      <w:r w:rsidR="002472BE">
        <w:t>s</w:t>
      </w:r>
      <w:r w:rsidRPr="0011474E">
        <w:t>e is mentioned in Section 4 of CDA 1971.</w:t>
      </w:r>
    </w:p>
    <w:p w14:paraId="080AD801" w14:textId="77777777" w:rsidR="0011474E" w:rsidRPr="0011474E" w:rsidRDefault="0011474E" w:rsidP="002472BE">
      <w:pPr>
        <w:pStyle w:val="Heading1"/>
        <w:rPr>
          <w:rFonts w:eastAsia="Times New Roman" w:cs="Times New Roman"/>
          <w:szCs w:val="24"/>
        </w:rPr>
      </w:pPr>
      <w:bookmarkStart w:id="2" w:name="_Toc123389594"/>
      <w:r w:rsidRPr="0011474E">
        <w:rPr>
          <w:rFonts w:eastAsia="Times New Roman"/>
        </w:rPr>
        <w:t>Defen</w:t>
      </w:r>
      <w:r w:rsidR="002472BE">
        <w:rPr>
          <w:rFonts w:eastAsia="Times New Roman"/>
        </w:rPr>
        <w:t>s</w:t>
      </w:r>
      <w:r w:rsidRPr="0011474E">
        <w:rPr>
          <w:rFonts w:eastAsia="Times New Roman"/>
        </w:rPr>
        <w:t>es of Freya</w:t>
      </w:r>
      <w:bookmarkEnd w:id="2"/>
    </w:p>
    <w:p w14:paraId="230D4CBF" w14:textId="1553B7EF" w:rsidR="0011474E" w:rsidRPr="0011474E" w:rsidRDefault="0011474E" w:rsidP="0011474E">
      <w:pPr>
        <w:pStyle w:val="Style1"/>
        <w:rPr>
          <w:rFonts w:cs="Times New Roman"/>
          <w:szCs w:val="24"/>
        </w:rPr>
      </w:pPr>
      <w:r w:rsidRPr="0011474E">
        <w:t xml:space="preserve">Freya has been accused of s.47 Offences Against the Person Act </w:t>
      </w:r>
      <w:r w:rsidR="0063617D">
        <w:t>(</w:t>
      </w:r>
      <w:r w:rsidRPr="0011474E">
        <w:t>1861</w:t>
      </w:r>
      <w:r w:rsidR="0063617D">
        <w:t>)</w:t>
      </w:r>
      <w:r w:rsidRPr="0011474E">
        <w:t>. As per the accused offen</w:t>
      </w:r>
      <w:r w:rsidR="002472BE">
        <w:t>s</w:t>
      </w:r>
      <w:r w:rsidRPr="0011474E">
        <w:t>e when a person assaults another whether it is intentional or reckless and cause</w:t>
      </w:r>
      <w:r w:rsidR="002472BE">
        <w:t>s</w:t>
      </w:r>
      <w:r w:rsidRPr="0011474E">
        <w:t xml:space="preserve"> any Actual Bodily </w:t>
      </w:r>
      <w:r w:rsidR="0005040B" w:rsidRPr="0011474E">
        <w:t>Harm,</w:t>
      </w:r>
      <w:r w:rsidRPr="0011474E">
        <w:t xml:space="preserve"> he or she is liable under the law. In such case</w:t>
      </w:r>
      <w:r w:rsidR="002472BE">
        <w:t>s,</w:t>
      </w:r>
      <w:r w:rsidRPr="0011474E">
        <w:t xml:space="preserve"> pro</w:t>
      </w:r>
      <w:r w:rsidR="002472BE">
        <w:t>of</w:t>
      </w:r>
      <w:r w:rsidRPr="0011474E">
        <w:t xml:space="preserve"> of bodily harm is required. </w:t>
      </w:r>
      <w:r w:rsidR="00CD46A8">
        <w:t xml:space="preserve">As Freya hurt Mike by punching him in the face and </w:t>
      </w:r>
      <w:r w:rsidRPr="0011474E">
        <w:t>Mike's black eye is the pro</w:t>
      </w:r>
      <w:r w:rsidR="002472BE">
        <w:t>of</w:t>
      </w:r>
      <w:r w:rsidRPr="0011474E">
        <w:t xml:space="preserve"> in this case</w:t>
      </w:r>
      <w:r w:rsidR="0014047F">
        <w:t xml:space="preserve"> Freya is liable under this act</w:t>
      </w:r>
      <w:r w:rsidRPr="0011474E">
        <w:t xml:space="preserve">. Now the circumstances of Freya show her punch was not made on purpose. Also, she was drunk at that time and faced a seizure of her epilepsy. </w:t>
      </w:r>
      <w:r w:rsidR="0005040B" w:rsidRPr="0011474E">
        <w:t>So,</w:t>
      </w:r>
      <w:r w:rsidRPr="0011474E">
        <w:t xml:space="preserve"> there is a question if she can take </w:t>
      </w:r>
      <w:r w:rsidR="002472BE">
        <w:t xml:space="preserve">the </w:t>
      </w:r>
      <w:r w:rsidRPr="0011474E">
        <w:t>help of defen</w:t>
      </w:r>
      <w:r w:rsidR="002472BE">
        <w:t>s</w:t>
      </w:r>
      <w:r w:rsidRPr="0011474E">
        <w:t>es of intoxication and automatism. </w:t>
      </w:r>
    </w:p>
    <w:p w14:paraId="5045FF92" w14:textId="3D8500D0" w:rsidR="0011474E" w:rsidRPr="0011474E" w:rsidRDefault="0011474E" w:rsidP="0011474E">
      <w:pPr>
        <w:pStyle w:val="Style1"/>
        <w:rPr>
          <w:rFonts w:cs="Times New Roman"/>
          <w:szCs w:val="24"/>
        </w:rPr>
      </w:pPr>
      <w:r w:rsidRPr="0011474E">
        <w:t xml:space="preserve">Crim. L.R. </w:t>
      </w:r>
      <w:r w:rsidR="0063617D">
        <w:t>(</w:t>
      </w:r>
      <w:r w:rsidRPr="0011474E">
        <w:t>923 CA</w:t>
      </w:r>
      <w:r w:rsidR="0063617D">
        <w:t>),</w:t>
      </w:r>
      <w:r w:rsidRPr="0011474E">
        <w:t xml:space="preserve"> presents if </w:t>
      </w:r>
      <w:r w:rsidR="003A7D8D">
        <w:t>an individual is in a state that compl</w:t>
      </w:r>
      <w:r w:rsidR="00905A69">
        <w:t>ies</w:t>
      </w:r>
      <w:r w:rsidR="003A7D8D">
        <w:t xml:space="preserve"> </w:t>
      </w:r>
      <w:r w:rsidR="00905A69">
        <w:t xml:space="preserve">with </w:t>
      </w:r>
      <w:r w:rsidR="003A7D8D">
        <w:t>the nature</w:t>
      </w:r>
      <w:r w:rsidRPr="0011474E">
        <w:t xml:space="preserve"> </w:t>
      </w:r>
      <w:r w:rsidR="003A7D8D">
        <w:t>of</w:t>
      </w:r>
      <w:r w:rsidRPr="0011474E">
        <w:t xml:space="preserve"> automatism due to self-intoxication and thus ha</w:t>
      </w:r>
      <w:r w:rsidR="002472BE">
        <w:t>s</w:t>
      </w:r>
      <w:r w:rsidRPr="0011474E">
        <w:t xml:space="preserve"> no control over their actions as of not having </w:t>
      </w:r>
      <w:r w:rsidR="003A7D8D">
        <w:t xml:space="preserve">mental </w:t>
      </w:r>
      <w:r w:rsidRPr="0011474E">
        <w:t>consciou</w:t>
      </w:r>
      <w:r w:rsidR="00905A69">
        <w:t>snes</w:t>
      </w:r>
      <w:r w:rsidRPr="0011474E">
        <w:t>s or normal sense can take extreme intoxication as a defense. Using this defen</w:t>
      </w:r>
      <w:r w:rsidR="002472BE">
        <w:t>s</w:t>
      </w:r>
      <w:r w:rsidRPr="0011474E">
        <w:t>e an accused can avoid all criminal responsibility he was acquitted of. </w:t>
      </w:r>
      <w:r w:rsidR="0005040B">
        <w:t>So,</w:t>
      </w:r>
      <w:r w:rsidR="00CD46A8">
        <w:t xml:space="preserve"> when somebody gets into </w:t>
      </w:r>
      <w:r w:rsidR="0038338F">
        <w:t xml:space="preserve">an </w:t>
      </w:r>
      <w:r w:rsidR="00CD46A8" w:rsidRPr="0011474E">
        <w:t>automatism</w:t>
      </w:r>
      <w:r w:rsidR="00CD46A8">
        <w:t xml:space="preserve"> state even though getting intoxicated by self and reach</w:t>
      </w:r>
      <w:r w:rsidR="0038338F">
        <w:t>es</w:t>
      </w:r>
      <w:r w:rsidR="00CD46A8">
        <w:t xml:space="preserve"> </w:t>
      </w:r>
      <w:r w:rsidR="0038338F">
        <w:t>the state of mental u</w:t>
      </w:r>
      <w:r w:rsidR="00CD46A8">
        <w:t>ncons</w:t>
      </w:r>
      <w:r w:rsidR="0038338F">
        <w:t>ciousnes</w:t>
      </w:r>
      <w:r w:rsidR="00CD46A8">
        <w:t>s or instability then his actions will not be taken as willful action. As a result</w:t>
      </w:r>
      <w:r w:rsidR="0038338F">
        <w:t>,</w:t>
      </w:r>
      <w:r w:rsidR="00CD46A8">
        <w:t xml:space="preserve"> the person can get off with any charges pressed on.</w:t>
      </w:r>
    </w:p>
    <w:p w14:paraId="286A691E" w14:textId="77777777" w:rsidR="0011474E" w:rsidRPr="0011474E" w:rsidRDefault="0011474E" w:rsidP="0011474E">
      <w:pPr>
        <w:pStyle w:val="Style1"/>
        <w:rPr>
          <w:rFonts w:cs="Times New Roman"/>
          <w:szCs w:val="24"/>
        </w:rPr>
      </w:pPr>
    </w:p>
    <w:p w14:paraId="154F7F04" w14:textId="77777777" w:rsidR="0011474E" w:rsidRPr="0011474E" w:rsidRDefault="0011474E" w:rsidP="0011474E">
      <w:pPr>
        <w:pStyle w:val="Style1"/>
        <w:rPr>
          <w:rFonts w:cs="Times New Roman"/>
          <w:szCs w:val="24"/>
        </w:rPr>
      </w:pPr>
      <w:r w:rsidRPr="0011474E">
        <w:t xml:space="preserve">R v Hardie </w:t>
      </w:r>
      <w:r w:rsidR="0063617D">
        <w:t>(</w:t>
      </w:r>
      <w:r w:rsidRPr="0011474E">
        <w:t>1985</w:t>
      </w:r>
      <w:r w:rsidR="0063617D">
        <w:t>,</w:t>
      </w:r>
      <w:r w:rsidRPr="0011474E">
        <w:t xml:space="preserve"> 1 WLR 64</w:t>
      </w:r>
      <w:r w:rsidR="0063617D">
        <w:t>)</w:t>
      </w:r>
      <w:r w:rsidRPr="0011474E">
        <w:t xml:space="preserve"> also presents that if a defendant does not his or her actions can lead to an automatic state thus he or she was not reckless </w:t>
      </w:r>
      <w:r w:rsidR="002472BE">
        <w:t xml:space="preserve">and </w:t>
      </w:r>
      <w:r w:rsidRPr="0011474E">
        <w:t>can use the defen</w:t>
      </w:r>
      <w:r w:rsidR="002472BE">
        <w:t>s</w:t>
      </w:r>
      <w:r w:rsidRPr="0011474E">
        <w:t>e of automatism. Though for a crime of basic intent voluntary intoxication is never a defen</w:t>
      </w:r>
      <w:r w:rsidR="002472BE">
        <w:t>s</w:t>
      </w:r>
      <w:r w:rsidRPr="0011474E">
        <w:t xml:space="preserve">e </w:t>
      </w:r>
      <w:r w:rsidR="00CD46A8">
        <w:t xml:space="preserve">there is a rule for </w:t>
      </w:r>
      <w:r w:rsidR="00CD46A8" w:rsidRPr="0011474E">
        <w:t>a crime of specific intent</w:t>
      </w:r>
      <w:r w:rsidR="00CD46A8">
        <w:t xml:space="preserve">. </w:t>
      </w:r>
      <w:r w:rsidR="00CD46A8" w:rsidRPr="0011474E">
        <w:t>If</w:t>
      </w:r>
      <w:r w:rsidRPr="0011474E">
        <w:t xml:space="preserve"> the defendant has intoxicated voluntarily to the extent that he or she becomes mentally incapable of constituting the offen</w:t>
      </w:r>
      <w:r w:rsidR="002472BE">
        <w:t>s</w:t>
      </w:r>
      <w:r w:rsidRPr="0011474E">
        <w:t xml:space="preserve">e he or she will be </w:t>
      </w:r>
      <w:r w:rsidR="002472BE">
        <w:t>e</w:t>
      </w:r>
      <w:r w:rsidRPr="0011474E">
        <w:t>ligible for getting this a defen</w:t>
      </w:r>
      <w:r w:rsidR="002472BE">
        <w:t>s</w:t>
      </w:r>
      <w:r w:rsidRPr="0011474E">
        <w:t>e in respect of a crime of specific intent. However, there will be no defen</w:t>
      </w:r>
      <w:r w:rsidR="002472BE">
        <w:t>s</w:t>
      </w:r>
      <w:r w:rsidRPr="0011474E">
        <w:t xml:space="preserve">e eligible even </w:t>
      </w:r>
      <w:r w:rsidR="002472BE">
        <w:t>for</w:t>
      </w:r>
      <w:r w:rsidRPr="0011474E">
        <w:t xml:space="preserve"> a crime of specific intent if a person deliberately makes himself intoxicated with the intention to gather or that give</w:t>
      </w:r>
      <w:r w:rsidR="002472BE">
        <w:t>s</w:t>
      </w:r>
      <w:r w:rsidRPr="0011474E">
        <w:t xml:space="preserve"> him sufficient courage to commit an offen</w:t>
      </w:r>
      <w:r w:rsidR="002472BE">
        <w:t>s</w:t>
      </w:r>
      <w:r w:rsidRPr="0011474E">
        <w:t>e.</w:t>
      </w:r>
    </w:p>
    <w:p w14:paraId="25C86B23" w14:textId="0108B4CF" w:rsidR="0011474E" w:rsidRPr="0011474E" w:rsidRDefault="0011474E" w:rsidP="0011474E">
      <w:pPr>
        <w:pStyle w:val="Style1"/>
        <w:rPr>
          <w:rFonts w:cs="Times New Roman"/>
          <w:szCs w:val="24"/>
        </w:rPr>
      </w:pPr>
      <w:r w:rsidRPr="0011474E">
        <w:t>If the case of Freya is viewed carefully Freya has voluntarily intoxicated herself</w:t>
      </w:r>
      <w:r w:rsidR="00CD46A8">
        <w:t xml:space="preserve"> and it was not something she does </w:t>
      </w:r>
      <w:r w:rsidR="00CD46A8" w:rsidRPr="0011474E">
        <w:t>deliberately</w:t>
      </w:r>
      <w:r w:rsidRPr="0011474E">
        <w:t xml:space="preserve">. </w:t>
      </w:r>
      <w:r w:rsidR="00CD46A8">
        <w:t>It was drinking for occasional purpose</w:t>
      </w:r>
      <w:r w:rsidR="0038338F">
        <w:t>s</w:t>
      </w:r>
      <w:r w:rsidR="00CD46A8">
        <w:t xml:space="preserve">. </w:t>
      </w:r>
      <w:r w:rsidRPr="0011474E">
        <w:t>But she intoxicated herself to a level that she would have become mentally unconscious. Also, she was diagnosed with epilepsy</w:t>
      </w:r>
      <w:r w:rsidR="00CD46A8">
        <w:t xml:space="preserve"> previous</w:t>
      </w:r>
      <w:r w:rsidR="0038338F">
        <w:t>ly</w:t>
      </w:r>
      <w:r w:rsidR="00905A69">
        <w:t>,</w:t>
      </w:r>
      <w:r w:rsidRPr="0011474E">
        <w:t xml:space="preserve"> and due to intoxication</w:t>
      </w:r>
      <w:r w:rsidR="00CD46A8">
        <w:t xml:space="preserve"> or getting heavily drunk</w:t>
      </w:r>
      <w:r w:rsidR="00905A69">
        <w:t>,</w:t>
      </w:r>
      <w:r w:rsidR="00CD46A8">
        <w:t xml:space="preserve"> </w:t>
      </w:r>
      <w:r w:rsidRPr="0011474E">
        <w:t xml:space="preserve">she faced a seizure. In such </w:t>
      </w:r>
      <w:r w:rsidR="002472BE">
        <w:t xml:space="preserve">a </w:t>
      </w:r>
      <w:r w:rsidRPr="0011474E">
        <w:t xml:space="preserve">condition it is obvious that Freya was not in a condition </w:t>
      </w:r>
      <w:r w:rsidR="002472BE">
        <w:t>where</w:t>
      </w:r>
      <w:r w:rsidRPr="0011474E">
        <w:t xml:space="preserve"> she could willfully punch Mike's face. </w:t>
      </w:r>
      <w:proofErr w:type="gramStart"/>
      <w:r w:rsidR="00CD46A8">
        <w:t>So</w:t>
      </w:r>
      <w:proofErr w:type="gramEnd"/>
      <w:r w:rsidR="00CD46A8">
        <w:t xml:space="preserve"> losing control over her action due to intoxication she unintentionally gave a punch in Mike’s face while he was trying to help her get out of the seizure. </w:t>
      </w:r>
      <w:r w:rsidRPr="0011474E">
        <w:t>It fill</w:t>
      </w:r>
      <w:r w:rsidR="002472BE">
        <w:t>s</w:t>
      </w:r>
      <w:r w:rsidRPr="0011474E">
        <w:t xml:space="preserve"> ups the criteria of using </w:t>
      </w:r>
      <w:r w:rsidR="002472BE">
        <w:t xml:space="preserve">the </w:t>
      </w:r>
      <w:r w:rsidRPr="0011474E">
        <w:t>defense of intoxication and automatism.</w:t>
      </w:r>
      <w:r w:rsidR="00CD46A8">
        <w:t xml:space="preserve"> That means Freya has the chance of getting out of the charge she </w:t>
      </w:r>
      <w:r w:rsidR="0038338F">
        <w:t>ha</w:t>
      </w:r>
      <w:r w:rsidR="00CD46A8">
        <w:t xml:space="preserve">s </w:t>
      </w:r>
      <w:r w:rsidR="0038338F">
        <w:t xml:space="preserve">been </w:t>
      </w:r>
      <w:r w:rsidR="00CD46A8">
        <w:t xml:space="preserve">accused </w:t>
      </w:r>
      <w:r w:rsidR="0005040B">
        <w:t>of</w:t>
      </w:r>
      <w:r w:rsidR="00CD46A8">
        <w:t xml:space="preserve"> the </w:t>
      </w:r>
      <w:r w:rsidR="00CD46A8" w:rsidRPr="0011474E">
        <w:t>s.47 Offences Against the Person Act 1861</w:t>
      </w:r>
      <w:r w:rsidR="0038338F">
        <w:t>,</w:t>
      </w:r>
      <w:r w:rsidR="00CD46A8">
        <w:t xml:space="preserve"> by using the intoxication and automatism defense as mentioned in </w:t>
      </w:r>
      <w:r w:rsidR="00CD46A8" w:rsidRPr="0011474E">
        <w:t>Crim. L.R. 923 CA</w:t>
      </w:r>
      <w:r w:rsidR="00CD46A8">
        <w:t>.</w:t>
      </w:r>
    </w:p>
    <w:p w14:paraId="14C2D76A" w14:textId="77777777" w:rsidR="0011474E" w:rsidRPr="0011474E" w:rsidRDefault="0011474E" w:rsidP="002472BE">
      <w:pPr>
        <w:pStyle w:val="Heading1"/>
        <w:rPr>
          <w:rFonts w:eastAsia="Times New Roman" w:cs="Times New Roman"/>
          <w:szCs w:val="24"/>
        </w:rPr>
      </w:pPr>
      <w:bookmarkStart w:id="3" w:name="_Toc123389595"/>
      <w:r w:rsidRPr="0011474E">
        <w:rPr>
          <w:rFonts w:eastAsia="Times New Roman"/>
        </w:rPr>
        <w:t>Conclusion</w:t>
      </w:r>
      <w:bookmarkEnd w:id="3"/>
    </w:p>
    <w:p w14:paraId="11CEABBE" w14:textId="77777777" w:rsidR="0011474E" w:rsidRDefault="0011474E" w:rsidP="0011474E">
      <w:pPr>
        <w:pStyle w:val="Style1"/>
      </w:pPr>
      <w:r w:rsidRPr="0011474E">
        <w:t>The discussion show</w:t>
      </w:r>
      <w:r w:rsidR="002472BE">
        <w:t>s</w:t>
      </w:r>
      <w:r w:rsidRPr="0011474E">
        <w:t xml:space="preserve"> what rules of criminal law </w:t>
      </w:r>
      <w:r w:rsidR="002472BE">
        <w:t>are</w:t>
      </w:r>
      <w:r w:rsidRPr="0011474E">
        <w:t xml:space="preserve"> applicable in Hadley and Freya's case. In Hadley's case</w:t>
      </w:r>
      <w:r w:rsidR="002472BE">
        <w:t>,</w:t>
      </w:r>
      <w:r w:rsidRPr="0011474E">
        <w:t xml:space="preserve"> his acts cover two offen</w:t>
      </w:r>
      <w:r w:rsidR="002472BE">
        <w:t>s</w:t>
      </w:r>
      <w:r w:rsidRPr="0011474E">
        <w:t>es under criminal law. He will be liable for two offen</w:t>
      </w:r>
      <w:r w:rsidR="002472BE">
        <w:t>s</w:t>
      </w:r>
      <w:r w:rsidRPr="0011474E">
        <w:t xml:space="preserve">es. One is for burglary for breaking and entering Ronan's house and stealing his watch. Another is for property damage as of setting fire </w:t>
      </w:r>
      <w:r w:rsidR="002472BE">
        <w:t>to</w:t>
      </w:r>
      <w:r w:rsidRPr="0011474E">
        <w:t xml:space="preserve"> </w:t>
      </w:r>
      <w:r w:rsidR="002472BE">
        <w:t xml:space="preserve">the </w:t>
      </w:r>
      <w:r w:rsidRPr="0011474E">
        <w:t>bin of Ronan's dressing room. As for the case of Freya, as she is accused of offen</w:t>
      </w:r>
      <w:r w:rsidR="002472BE">
        <w:t>s</w:t>
      </w:r>
      <w:r w:rsidRPr="0011474E">
        <w:t>es under Person Act 1861 she can use a defen</w:t>
      </w:r>
      <w:r w:rsidR="002472BE">
        <w:t>s</w:t>
      </w:r>
      <w:r w:rsidRPr="0011474E">
        <w:t xml:space="preserve">e against it. As she was in the condition of automatism </w:t>
      </w:r>
      <w:r w:rsidR="002472BE">
        <w:t xml:space="preserve">and </w:t>
      </w:r>
      <w:r w:rsidRPr="0011474E">
        <w:t xml:space="preserve">had no mental sense because of facing seizure due to being heavily drunk she can use the intoxication and automatism defense in her favor. </w:t>
      </w:r>
      <w:proofErr w:type="gramStart"/>
      <w:r w:rsidRPr="0011474E">
        <w:t>So</w:t>
      </w:r>
      <w:proofErr w:type="gramEnd"/>
      <w:r w:rsidRPr="0011474E">
        <w:t xml:space="preserve"> Hadley will be charged of</w:t>
      </w:r>
      <w:r w:rsidR="002472BE">
        <w:t>f</w:t>
      </w:r>
      <w:r w:rsidRPr="0011474E">
        <w:t xml:space="preserve"> for the offen</w:t>
      </w:r>
      <w:r w:rsidR="002472BE">
        <w:t>s</w:t>
      </w:r>
      <w:r w:rsidRPr="0011474E">
        <w:t>es and Freya will get off the offen</w:t>
      </w:r>
      <w:r w:rsidR="002472BE">
        <w:t>s</w:t>
      </w:r>
      <w:r w:rsidRPr="0011474E">
        <w:t xml:space="preserve">es using </w:t>
      </w:r>
      <w:r w:rsidR="002472BE">
        <w:t xml:space="preserve">a </w:t>
      </w:r>
      <w:r w:rsidRPr="0011474E">
        <w:t xml:space="preserve">trial. This presents that criminal law </w:t>
      </w:r>
      <w:r w:rsidRPr="0011474E">
        <w:lastRenderedPageBreak/>
        <w:t xml:space="preserve">always supports the right and legal actions. As </w:t>
      </w:r>
      <w:r w:rsidR="002472BE">
        <w:t>for</w:t>
      </w:r>
      <w:r w:rsidRPr="0011474E">
        <w:t xml:space="preserve"> Hadley's unlawful actions he will be charged and as Freya did nothing wrong willfully neither she can be prove</w:t>
      </w:r>
      <w:r w:rsidR="002472BE">
        <w:t>n</w:t>
      </w:r>
      <w:r w:rsidRPr="0011474E">
        <w:t xml:space="preserve"> illegal in her behavior she will not be charged unnecessarily and get o</w:t>
      </w:r>
      <w:r w:rsidR="002472BE">
        <w:t>f</w:t>
      </w:r>
      <w:r w:rsidRPr="0011474E">
        <w:t>f the offen</w:t>
      </w:r>
      <w:r w:rsidR="002472BE">
        <w:t>s</w:t>
      </w:r>
      <w:r w:rsidRPr="0011474E">
        <w:t>es.</w:t>
      </w:r>
    </w:p>
    <w:p w14:paraId="409F4E46" w14:textId="77777777" w:rsidR="00627FBE" w:rsidRDefault="00627FBE">
      <w:pPr>
        <w:spacing w:after="160" w:line="259" w:lineRule="auto"/>
        <w:jc w:val="left"/>
        <w:rPr>
          <w:rFonts w:eastAsiaTheme="majorEastAsia" w:cstheme="majorBidi"/>
          <w:b/>
          <w:color w:val="000000" w:themeColor="text1"/>
          <w:sz w:val="32"/>
          <w:szCs w:val="32"/>
        </w:rPr>
      </w:pPr>
      <w:r>
        <w:br w:type="page"/>
      </w:r>
    </w:p>
    <w:p w14:paraId="3A8A9A63" w14:textId="77777777" w:rsidR="003A7D8D" w:rsidRDefault="003A7D8D" w:rsidP="003A7D8D">
      <w:pPr>
        <w:pStyle w:val="Heading1"/>
      </w:pPr>
      <w:bookmarkStart w:id="4" w:name="_Toc123389596"/>
      <w:r>
        <w:lastRenderedPageBreak/>
        <w:t>References</w:t>
      </w:r>
      <w:bookmarkEnd w:id="4"/>
    </w:p>
    <w:p w14:paraId="7251A253" w14:textId="77777777" w:rsidR="001244CC" w:rsidRDefault="001244CC">
      <w:r>
        <w:t xml:space="preserve">CDA, (1971), </w:t>
      </w:r>
      <w:r w:rsidRPr="001244CC">
        <w:rPr>
          <w:i/>
        </w:rPr>
        <w:t>Destroying or Damaging Property</w:t>
      </w:r>
      <w:r>
        <w:t xml:space="preserve">, UK Legislation, </w:t>
      </w:r>
      <w:hyperlink r:id="rId7" w:history="1">
        <w:r w:rsidR="00583F8E" w:rsidRPr="00614AFC">
          <w:rPr>
            <w:rStyle w:val="Hyperlink"/>
          </w:rPr>
          <w:t>https://www.legislation.gov.uk/ukpga/1971/48/contents</w:t>
        </w:r>
      </w:hyperlink>
    </w:p>
    <w:p w14:paraId="40CD4C9A" w14:textId="77777777" w:rsidR="00B20341" w:rsidRDefault="00B20341" w:rsidP="00B20341">
      <w:r w:rsidRPr="0011474E">
        <w:t>Crim. L.R.</w:t>
      </w:r>
      <w:r>
        <w:t>,</w:t>
      </w:r>
      <w:r w:rsidRPr="0011474E">
        <w:t xml:space="preserve"> </w:t>
      </w:r>
      <w:r>
        <w:t>(</w:t>
      </w:r>
      <w:r w:rsidRPr="0011474E">
        <w:t>923 CA</w:t>
      </w:r>
      <w:r>
        <w:t>),</w:t>
      </w:r>
      <w:r w:rsidRPr="0011474E">
        <w:t xml:space="preserve"> </w:t>
      </w:r>
      <w:r w:rsidRPr="0063617D">
        <w:rPr>
          <w:i/>
        </w:rPr>
        <w:t>Intoxication</w:t>
      </w:r>
      <w:r>
        <w:t xml:space="preserve">, Crown Prosecution Service, </w:t>
      </w:r>
      <w:hyperlink r:id="rId8" w:history="1">
        <w:r w:rsidRPr="00614AFC">
          <w:rPr>
            <w:rStyle w:val="Hyperlink"/>
          </w:rPr>
          <w:t>https://www.cps.gov.uk/legal-guidance/intoxication</w:t>
        </w:r>
      </w:hyperlink>
    </w:p>
    <w:p w14:paraId="1F0092EE" w14:textId="77777777" w:rsidR="00583F8E" w:rsidRDefault="00583F8E">
      <w:r w:rsidRPr="0011474E">
        <w:t>MCA</w:t>
      </w:r>
      <w:r>
        <w:t>,</w:t>
      </w:r>
      <w:r w:rsidRPr="0011474E">
        <w:t xml:space="preserve"> </w:t>
      </w:r>
      <w:r>
        <w:t>(</w:t>
      </w:r>
      <w:r w:rsidRPr="0011474E">
        <w:t>1980</w:t>
      </w:r>
      <w:proofErr w:type="gramStart"/>
      <w:r>
        <w:t xml:space="preserve">),  </w:t>
      </w:r>
      <w:r w:rsidRPr="00583F8E">
        <w:rPr>
          <w:i/>
        </w:rPr>
        <w:t>Trials</w:t>
      </w:r>
      <w:proofErr w:type="gramEnd"/>
      <w:r w:rsidRPr="00583F8E">
        <w:rPr>
          <w:i/>
        </w:rPr>
        <w:t xml:space="preserve"> and Power of Magistrate</w:t>
      </w:r>
      <w:r>
        <w:t xml:space="preserve">, UK Legislation, </w:t>
      </w:r>
      <w:hyperlink r:id="rId9" w:history="1">
        <w:r w:rsidRPr="00614AFC">
          <w:rPr>
            <w:rStyle w:val="Hyperlink"/>
          </w:rPr>
          <w:t>https://www.legislation.gov.uk/ukpga/1980/43/contents</w:t>
        </w:r>
      </w:hyperlink>
    </w:p>
    <w:p w14:paraId="741165E9" w14:textId="77777777" w:rsidR="00583F8E" w:rsidRDefault="00583F8E" w:rsidP="00583F8E">
      <w:r>
        <w:t xml:space="preserve">Person Act, (1861), </w:t>
      </w:r>
      <w:r w:rsidRPr="00583F8E">
        <w:rPr>
          <w:i/>
        </w:rPr>
        <w:t>Offenses Against the Person Act 1861</w:t>
      </w:r>
      <w:r>
        <w:t>,</w:t>
      </w:r>
      <w:r w:rsidRPr="00583F8E">
        <w:t xml:space="preserve"> </w:t>
      </w:r>
      <w:r>
        <w:t xml:space="preserve">UK </w:t>
      </w:r>
      <w:proofErr w:type="gramStart"/>
      <w:r>
        <w:t xml:space="preserve">Legislation,  </w:t>
      </w:r>
      <w:r w:rsidRPr="00583F8E">
        <w:t>https://www.legislation.gov.uk/ukpga/Vict/24-25/100/contents</w:t>
      </w:r>
      <w:proofErr w:type="gramEnd"/>
    </w:p>
    <w:p w14:paraId="5A7F975A" w14:textId="77777777" w:rsidR="00B20341" w:rsidRDefault="00B20341" w:rsidP="00B20341">
      <w:r w:rsidRPr="0011474E">
        <w:t xml:space="preserve">R v Hardie </w:t>
      </w:r>
      <w:r>
        <w:t>(</w:t>
      </w:r>
      <w:r w:rsidRPr="0011474E">
        <w:t>1985</w:t>
      </w:r>
      <w:r>
        <w:t>,</w:t>
      </w:r>
      <w:r w:rsidRPr="0011474E">
        <w:t xml:space="preserve"> 1 WLR 64</w:t>
      </w:r>
      <w:r>
        <w:t xml:space="preserve">), Defense Against Voluntary Intoxication, UK Law, </w:t>
      </w:r>
      <w:r w:rsidRPr="0003535D">
        <w:t>http://www.e-lawresources.co.uk/R-v-Hardie.php</w:t>
      </w:r>
    </w:p>
    <w:p w14:paraId="6BDE2D56" w14:textId="77777777" w:rsidR="00583F8E" w:rsidRDefault="00583F8E">
      <w:r w:rsidRPr="0011474E">
        <w:t>Theft Act</w:t>
      </w:r>
      <w:r>
        <w:t>,</w:t>
      </w:r>
      <w:r w:rsidRPr="0011474E">
        <w:t xml:space="preserve"> </w:t>
      </w:r>
      <w:r>
        <w:t>(</w:t>
      </w:r>
      <w:r w:rsidRPr="0011474E">
        <w:t>1968</w:t>
      </w:r>
      <w:r>
        <w:t xml:space="preserve">), </w:t>
      </w:r>
      <w:r w:rsidRPr="001244CC">
        <w:rPr>
          <w:i/>
        </w:rPr>
        <w:t>Burglary</w:t>
      </w:r>
      <w:r>
        <w:t xml:space="preserve">, UK Legislation, </w:t>
      </w:r>
      <w:hyperlink r:id="rId10" w:history="1">
        <w:r w:rsidRPr="00614AFC">
          <w:rPr>
            <w:rStyle w:val="Hyperlink"/>
          </w:rPr>
          <w:t>https://www.legislation.gov.uk/ukpga/1968/60</w:t>
        </w:r>
      </w:hyperlink>
    </w:p>
    <w:p w14:paraId="457E2DAF" w14:textId="77777777" w:rsidR="00B20341" w:rsidRDefault="00B20341"/>
    <w:sectPr w:rsidR="00B20341">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A758C" w14:textId="77777777" w:rsidR="00141514" w:rsidRDefault="00141514" w:rsidP="00B20341">
      <w:pPr>
        <w:spacing w:after="0" w:line="240" w:lineRule="auto"/>
      </w:pPr>
      <w:r>
        <w:separator/>
      </w:r>
    </w:p>
  </w:endnote>
  <w:endnote w:type="continuationSeparator" w:id="0">
    <w:p w14:paraId="50B2561B" w14:textId="77777777" w:rsidR="00141514" w:rsidRDefault="00141514" w:rsidP="00B20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423164"/>
      <w:docPartObj>
        <w:docPartGallery w:val="Page Numbers (Bottom of Page)"/>
        <w:docPartUnique/>
      </w:docPartObj>
    </w:sdtPr>
    <w:sdtEndPr>
      <w:rPr>
        <w:noProof/>
      </w:rPr>
    </w:sdtEndPr>
    <w:sdtContent>
      <w:p w14:paraId="79A0FA47" w14:textId="77777777" w:rsidR="00B20341" w:rsidRDefault="00B20341">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2FAE6656" w14:textId="77777777" w:rsidR="00B20341" w:rsidRDefault="00B203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1B37D" w14:textId="77777777" w:rsidR="00141514" w:rsidRDefault="00141514" w:rsidP="00B20341">
      <w:pPr>
        <w:spacing w:after="0" w:line="240" w:lineRule="auto"/>
      </w:pPr>
      <w:r>
        <w:separator/>
      </w:r>
    </w:p>
  </w:footnote>
  <w:footnote w:type="continuationSeparator" w:id="0">
    <w:p w14:paraId="1CA83E5D" w14:textId="77777777" w:rsidR="00141514" w:rsidRDefault="00141514" w:rsidP="00B203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M0MbU0NDWxNDYwNrJQ0lEKTi0uzszPAykwrAUAmiXaEywAAAA="/>
  </w:docVars>
  <w:rsids>
    <w:rsidRoot w:val="0011474E"/>
    <w:rsid w:val="0003535D"/>
    <w:rsid w:val="0005040B"/>
    <w:rsid w:val="000C1C4B"/>
    <w:rsid w:val="0011474E"/>
    <w:rsid w:val="001244CC"/>
    <w:rsid w:val="0014047F"/>
    <w:rsid w:val="00141514"/>
    <w:rsid w:val="00195B65"/>
    <w:rsid w:val="002472BE"/>
    <w:rsid w:val="0038338F"/>
    <w:rsid w:val="003A7D8D"/>
    <w:rsid w:val="00463915"/>
    <w:rsid w:val="004F6458"/>
    <w:rsid w:val="00534248"/>
    <w:rsid w:val="00583F8E"/>
    <w:rsid w:val="00627FBE"/>
    <w:rsid w:val="0063617D"/>
    <w:rsid w:val="006E160F"/>
    <w:rsid w:val="00724E90"/>
    <w:rsid w:val="007C25FB"/>
    <w:rsid w:val="008D1E85"/>
    <w:rsid w:val="00905A69"/>
    <w:rsid w:val="00B20341"/>
    <w:rsid w:val="00B44BC1"/>
    <w:rsid w:val="00C07BC0"/>
    <w:rsid w:val="00CD46A8"/>
    <w:rsid w:val="00E963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5092C"/>
  <w15:chartTrackingRefBased/>
  <w15:docId w15:val="{412396A3-A3BE-4634-BA78-101C59F03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44BC1"/>
    <w:pPr>
      <w:spacing w:after="200" w:line="276" w:lineRule="auto"/>
      <w:jc w:val="both"/>
    </w:pPr>
    <w:rPr>
      <w:rFonts w:ascii="Times New Roman" w:hAnsi="Times New Roman"/>
      <w:sz w:val="24"/>
    </w:rPr>
  </w:style>
  <w:style w:type="paragraph" w:styleId="Heading1">
    <w:name w:val="heading 1"/>
    <w:basedOn w:val="Normal"/>
    <w:next w:val="Normal"/>
    <w:link w:val="Heading1Char"/>
    <w:uiPriority w:val="9"/>
    <w:qFormat/>
    <w:rsid w:val="002472B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8D1E85"/>
    <w:pPr>
      <w:keepNext/>
      <w:keepLines/>
      <w:spacing w:before="40" w:after="0"/>
      <w:outlineLvl w:val="1"/>
    </w:pPr>
    <w:rPr>
      <w:rFonts w:eastAsiaTheme="majorEastAsia" w:cstheme="majorBidi"/>
      <w:b/>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2B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8D1E85"/>
    <w:rPr>
      <w:rFonts w:ascii="Times New Roman" w:eastAsiaTheme="majorEastAsia" w:hAnsi="Times New Roman" w:cstheme="majorBidi"/>
      <w:b/>
      <w:color w:val="000000" w:themeColor="text1"/>
      <w:sz w:val="32"/>
      <w:szCs w:val="26"/>
    </w:rPr>
  </w:style>
  <w:style w:type="paragraph" w:customStyle="1" w:styleId="Style1">
    <w:name w:val="Style1"/>
    <w:basedOn w:val="Normal"/>
    <w:link w:val="Style1Char"/>
    <w:autoRedefine/>
    <w:qFormat/>
    <w:rsid w:val="004F6458"/>
    <w:pPr>
      <w:spacing w:before="240" w:after="400" w:line="360" w:lineRule="auto"/>
    </w:pPr>
  </w:style>
  <w:style w:type="character" w:customStyle="1" w:styleId="Style1Char">
    <w:name w:val="Style1 Char"/>
    <w:basedOn w:val="DefaultParagraphFont"/>
    <w:link w:val="Style1"/>
    <w:rsid w:val="004F6458"/>
    <w:rPr>
      <w:rFonts w:ascii="Times New Roman" w:hAnsi="Times New Roman"/>
      <w:sz w:val="24"/>
    </w:rPr>
  </w:style>
  <w:style w:type="paragraph" w:styleId="NormalWeb">
    <w:name w:val="Normal (Web)"/>
    <w:basedOn w:val="Normal"/>
    <w:uiPriority w:val="99"/>
    <w:semiHidden/>
    <w:unhideWhenUsed/>
    <w:rsid w:val="0011474E"/>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2472BE"/>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472BE"/>
    <w:pPr>
      <w:spacing w:after="100"/>
    </w:pPr>
  </w:style>
  <w:style w:type="character" w:styleId="Hyperlink">
    <w:name w:val="Hyperlink"/>
    <w:basedOn w:val="DefaultParagraphFont"/>
    <w:uiPriority w:val="99"/>
    <w:unhideWhenUsed/>
    <w:rsid w:val="002472BE"/>
    <w:rPr>
      <w:color w:val="0563C1" w:themeColor="hyperlink"/>
      <w:u w:val="single"/>
    </w:rPr>
  </w:style>
  <w:style w:type="paragraph" w:styleId="Header">
    <w:name w:val="header"/>
    <w:basedOn w:val="Normal"/>
    <w:link w:val="HeaderChar"/>
    <w:uiPriority w:val="99"/>
    <w:unhideWhenUsed/>
    <w:rsid w:val="00B203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0341"/>
    <w:rPr>
      <w:rFonts w:ascii="Times New Roman" w:hAnsi="Times New Roman"/>
      <w:sz w:val="24"/>
    </w:rPr>
  </w:style>
  <w:style w:type="paragraph" w:styleId="Footer">
    <w:name w:val="footer"/>
    <w:basedOn w:val="Normal"/>
    <w:link w:val="FooterChar"/>
    <w:uiPriority w:val="99"/>
    <w:unhideWhenUsed/>
    <w:rsid w:val="00B203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034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614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intoxic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1971/48/conten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egislation.gov.uk/ukpga/1968/60" TargetMode="External"/><Relationship Id="rId4" Type="http://schemas.openxmlformats.org/officeDocument/2006/relationships/webSettings" Target="webSettings.xml"/><Relationship Id="rId9" Type="http://schemas.openxmlformats.org/officeDocument/2006/relationships/hyperlink" Target="https://www.legislation.gov.uk/ukpga/1980/43/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9F189-953D-4BB3-9296-B7787ED3B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1398</Words>
  <Characters>7971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balan</cp:lastModifiedBy>
  <cp:revision>3</cp:revision>
  <dcterms:created xsi:type="dcterms:W3CDTF">2023-01-11T14:27:00Z</dcterms:created>
  <dcterms:modified xsi:type="dcterms:W3CDTF">2023-01-11T14:29:00Z</dcterms:modified>
</cp:coreProperties>
</file>