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F5138" w14:textId="77777777" w:rsidR="004927B2" w:rsidRPr="004927B2" w:rsidRDefault="004927B2" w:rsidP="004927B2">
      <w:pPr>
        <w:spacing w:line="480" w:lineRule="auto"/>
        <w:rPr>
          <w:sz w:val="25"/>
          <w:szCs w:val="25"/>
        </w:rPr>
      </w:pPr>
      <w:r w:rsidRPr="004927B2">
        <w:rPr>
          <w:sz w:val="25"/>
          <w:szCs w:val="25"/>
        </w:rPr>
        <w:t xml:space="preserve">A Commentary on the </w:t>
      </w:r>
      <w:proofErr w:type="spellStart"/>
      <w:r w:rsidRPr="004927B2">
        <w:rPr>
          <w:sz w:val="25"/>
          <w:szCs w:val="25"/>
        </w:rPr>
        <w:t>Mérode</w:t>
      </w:r>
      <w:proofErr w:type="spellEnd"/>
      <w:r w:rsidRPr="004927B2">
        <w:rPr>
          <w:sz w:val="25"/>
          <w:szCs w:val="25"/>
        </w:rPr>
        <w:t xml:space="preserve"> Altarpiece and its Iconography</w:t>
      </w:r>
    </w:p>
    <w:p w14:paraId="6D6BAD0E" w14:textId="7046F86D" w:rsidR="004927B2" w:rsidRPr="004927B2" w:rsidRDefault="004927B2" w:rsidP="004927B2">
      <w:pPr>
        <w:spacing w:line="480" w:lineRule="auto"/>
      </w:pPr>
      <w:r w:rsidRPr="004927B2">
        <w:drawing>
          <wp:inline distT="0" distB="0" distL="0" distR="0" wp14:anchorId="446019EC" wp14:editId="6FABC762">
            <wp:extent cx="5731510" cy="2903855"/>
            <wp:effectExtent l="0" t="0" r="2540" b="0"/>
            <wp:docPr id="1430928144" name="Picture 2" descr="A painting of an angel and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28144" name="Picture 2" descr="A painting of an angel and a perso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03855"/>
                    </a:xfrm>
                    <a:prstGeom prst="rect">
                      <a:avLst/>
                    </a:prstGeom>
                    <a:noFill/>
                    <a:ln>
                      <a:noFill/>
                    </a:ln>
                  </pic:spPr>
                </pic:pic>
              </a:graphicData>
            </a:graphic>
          </wp:inline>
        </w:drawing>
      </w:r>
    </w:p>
    <w:p w14:paraId="56DAD883" w14:textId="77777777" w:rsidR="004927B2" w:rsidRPr="004927B2" w:rsidRDefault="004927B2" w:rsidP="004927B2">
      <w:pPr>
        <w:spacing w:line="480" w:lineRule="auto"/>
        <w:rPr>
          <w:sz w:val="22"/>
          <w:szCs w:val="22"/>
        </w:rPr>
      </w:pPr>
      <w:r w:rsidRPr="004927B2">
        <w:rPr>
          <w:sz w:val="22"/>
          <w:szCs w:val="22"/>
        </w:rPr>
        <w:t xml:space="preserve">The </w:t>
      </w:r>
      <w:proofErr w:type="spellStart"/>
      <w:r w:rsidRPr="004927B2">
        <w:rPr>
          <w:sz w:val="22"/>
          <w:szCs w:val="22"/>
        </w:rPr>
        <w:t>Mérode</w:t>
      </w:r>
      <w:proofErr w:type="spellEnd"/>
      <w:r w:rsidRPr="004927B2">
        <w:rPr>
          <w:sz w:val="22"/>
          <w:szCs w:val="22"/>
        </w:rPr>
        <w:t xml:space="preserve"> Altarpiece is a painted triptych of the Annunciation. The work is frequently attributed to the workshop of Robert Campin in Tournai in the southern Netherlands and is dated to sometime between 1427 and 1432.</w:t>
      </w:r>
      <w:r w:rsidRPr="004927B2">
        <w:rPr>
          <w:sz w:val="22"/>
          <w:szCs w:val="22"/>
          <w:vertAlign w:val="superscript"/>
        </w:rPr>
        <w:footnoteReference w:id="2"/>
      </w:r>
      <w:r w:rsidRPr="004927B2">
        <w:rPr>
          <w:sz w:val="22"/>
          <w:szCs w:val="22"/>
        </w:rPr>
        <w:t xml:space="preserve"> The triptych consists of a large central panel with two smaller hinged panels to either side, depicting the workshop of Saint Joseph on the right and a depiction of the patrons in a garden on the left. </w:t>
      </w:r>
    </w:p>
    <w:p w14:paraId="24B0FF1F" w14:textId="77777777" w:rsidR="004927B2" w:rsidRPr="004927B2" w:rsidRDefault="004927B2" w:rsidP="004927B2">
      <w:pPr>
        <w:spacing w:line="480" w:lineRule="auto"/>
        <w:rPr>
          <w:sz w:val="22"/>
          <w:szCs w:val="22"/>
        </w:rPr>
      </w:pPr>
      <w:r w:rsidRPr="004927B2">
        <w:rPr>
          <w:sz w:val="22"/>
          <w:szCs w:val="22"/>
        </w:rPr>
        <w:t>The central panel is the scene of the Annunciation very probably at the precise moment the Virgin Mary conceives. The room depicted in this panel is an intensely private and secluded space whilst still being easily recognisable as a contemporary Flemish domestic interior.</w:t>
      </w:r>
      <w:r w:rsidRPr="004927B2">
        <w:rPr>
          <w:sz w:val="22"/>
          <w:szCs w:val="22"/>
          <w:vertAlign w:val="superscript"/>
        </w:rPr>
        <w:footnoteReference w:id="3"/>
      </w:r>
      <w:r w:rsidRPr="004927B2">
        <w:rPr>
          <w:sz w:val="22"/>
          <w:szCs w:val="22"/>
        </w:rPr>
        <w:t xml:space="preserve"> The shutters and screens on the windows are closed apart from the higher panes so that the only thing we can see from the interior are the clouds in the sky and thus the privacy of preceding Annunciation artworks is maintained. </w:t>
      </w:r>
      <w:proofErr w:type="gramStart"/>
      <w:r w:rsidRPr="004927B2">
        <w:rPr>
          <w:sz w:val="22"/>
          <w:szCs w:val="22"/>
        </w:rPr>
        <w:t>However</w:t>
      </w:r>
      <w:proofErr w:type="gramEnd"/>
      <w:r w:rsidRPr="004927B2">
        <w:rPr>
          <w:sz w:val="22"/>
          <w:szCs w:val="22"/>
        </w:rPr>
        <w:t xml:space="preserve"> this is the first known depiction of the </w:t>
      </w:r>
      <w:r w:rsidRPr="004927B2">
        <w:rPr>
          <w:sz w:val="22"/>
          <w:szCs w:val="22"/>
        </w:rPr>
        <w:lastRenderedPageBreak/>
        <w:t xml:space="preserve">Annunciation taking place in a contemporary living space and not in Mary’s own bedchamber, the more common </w:t>
      </w:r>
      <w:r w:rsidRPr="004927B2">
        <w:rPr>
          <w:i/>
          <w:sz w:val="22"/>
          <w:szCs w:val="22"/>
        </w:rPr>
        <w:t xml:space="preserve">thalamus </w:t>
      </w:r>
      <w:proofErr w:type="spellStart"/>
      <w:r w:rsidRPr="004927B2">
        <w:rPr>
          <w:i/>
          <w:sz w:val="22"/>
          <w:szCs w:val="22"/>
        </w:rPr>
        <w:t>virginis</w:t>
      </w:r>
      <w:proofErr w:type="spellEnd"/>
      <w:r w:rsidRPr="004927B2">
        <w:rPr>
          <w:sz w:val="22"/>
          <w:szCs w:val="22"/>
        </w:rPr>
        <w:t>.</w:t>
      </w:r>
      <w:r w:rsidRPr="004927B2">
        <w:rPr>
          <w:sz w:val="22"/>
          <w:szCs w:val="22"/>
          <w:vertAlign w:val="superscript"/>
        </w:rPr>
        <w:footnoteReference w:id="4"/>
      </w:r>
      <w:r w:rsidRPr="004927B2">
        <w:rPr>
          <w:sz w:val="22"/>
          <w:szCs w:val="22"/>
        </w:rPr>
        <w:t xml:space="preserve"> </w:t>
      </w:r>
    </w:p>
    <w:p w14:paraId="35380075" w14:textId="77777777" w:rsidR="004927B2" w:rsidRPr="004927B2" w:rsidRDefault="004927B2" w:rsidP="004927B2">
      <w:pPr>
        <w:spacing w:line="480" w:lineRule="auto"/>
        <w:rPr>
          <w:sz w:val="22"/>
          <w:szCs w:val="22"/>
        </w:rPr>
      </w:pPr>
      <w:r w:rsidRPr="004927B2">
        <w:rPr>
          <w:sz w:val="22"/>
          <w:szCs w:val="22"/>
        </w:rPr>
        <w:t xml:space="preserve">The Angel Gabriel is facing the Virgin Mary and is in the process of kneeling and bending towards her creating the impression that he is trying to catch her attention. The Virgin herself is seated on the </w:t>
      </w:r>
      <w:proofErr w:type="gramStart"/>
      <w:r w:rsidRPr="004927B2">
        <w:rPr>
          <w:sz w:val="22"/>
          <w:szCs w:val="22"/>
        </w:rPr>
        <w:t>foot rest</w:t>
      </w:r>
      <w:proofErr w:type="gramEnd"/>
      <w:r w:rsidRPr="004927B2">
        <w:rPr>
          <w:sz w:val="22"/>
          <w:szCs w:val="22"/>
        </w:rPr>
        <w:t xml:space="preserve"> of a wooden bench, or possibly the floor, and is dressed in a loosely fitting red robe and reading from a book. She is demurely looking at her book and appears to be so absorbed that she seems to be unaware of the presence of the angel. Perhaps she is reading the Ole Testament prophecies of the Messiah’s birth. </w:t>
      </w:r>
    </w:p>
    <w:p w14:paraId="40766B2F" w14:textId="77777777" w:rsidR="004927B2" w:rsidRPr="004927B2" w:rsidRDefault="004927B2" w:rsidP="004927B2">
      <w:pPr>
        <w:spacing w:line="480" w:lineRule="auto"/>
        <w:rPr>
          <w:sz w:val="22"/>
          <w:szCs w:val="22"/>
        </w:rPr>
      </w:pPr>
      <w:r w:rsidRPr="004927B2">
        <w:rPr>
          <w:sz w:val="22"/>
          <w:szCs w:val="22"/>
        </w:rPr>
        <w:t>Almost all the items and furniture within the room can be considered as carrying a relevant religious connotation.</w:t>
      </w:r>
      <w:r w:rsidRPr="004927B2">
        <w:rPr>
          <w:sz w:val="22"/>
          <w:szCs w:val="22"/>
          <w:vertAlign w:val="superscript"/>
        </w:rPr>
        <w:footnoteReference w:id="5"/>
      </w:r>
      <w:r w:rsidRPr="004927B2">
        <w:rPr>
          <w:sz w:val="22"/>
          <w:szCs w:val="22"/>
          <w:vertAlign w:val="superscript"/>
        </w:rPr>
        <w:footnoteReference w:id="6"/>
      </w:r>
      <w:r w:rsidRPr="004927B2">
        <w:rPr>
          <w:sz w:val="22"/>
          <w:szCs w:val="22"/>
        </w:rPr>
        <w:t xml:space="preserve"> The book Mary holds is likely The Old Testament, wrapped in a white cloth cover. On the table to her left are another book and a scroll. These are suggestive of the Old and New Testaments. The table, with its sixteen sides, can also be seen as referring symbolically to the sixteen Old Testament prophets. The bench Mary leans against is very interesting. It is decorated with lions and dogs. The dog is a common symbol of fidelity and the lions recall the Throne of Solomon which was decorated with lions. The Throne of Solomon is an Old Testament prototype of the Virgin common in Medieval Europe.</w:t>
      </w:r>
      <w:r w:rsidRPr="004927B2">
        <w:rPr>
          <w:sz w:val="22"/>
          <w:szCs w:val="22"/>
          <w:vertAlign w:val="superscript"/>
        </w:rPr>
        <w:footnoteReference w:id="7"/>
      </w:r>
      <w:r w:rsidRPr="004927B2">
        <w:rPr>
          <w:sz w:val="22"/>
          <w:szCs w:val="22"/>
          <w:vertAlign w:val="superscript"/>
        </w:rPr>
        <w:footnoteReference w:id="8"/>
      </w:r>
      <w:r w:rsidRPr="004927B2">
        <w:rPr>
          <w:sz w:val="22"/>
          <w:szCs w:val="22"/>
        </w:rPr>
        <w:t xml:space="preserve"> At the same time the bench is also evocative of the Throne of Heaven. Mary leaning against the bench highlights not only her humility but also the fact that the seat is unoccupied.</w:t>
      </w:r>
      <w:r w:rsidRPr="004927B2">
        <w:rPr>
          <w:sz w:val="22"/>
          <w:szCs w:val="22"/>
          <w:vertAlign w:val="superscript"/>
        </w:rPr>
        <w:footnoteReference w:id="9"/>
      </w:r>
      <w:r w:rsidRPr="004927B2">
        <w:rPr>
          <w:sz w:val="22"/>
          <w:szCs w:val="22"/>
        </w:rPr>
        <w:t xml:space="preserve"> The cushion on an empty bench is a common type in Flemish art from of this time used to indicate that someone is shortly going to occupy the seat.</w:t>
      </w:r>
      <w:r w:rsidRPr="004927B2">
        <w:rPr>
          <w:sz w:val="22"/>
          <w:szCs w:val="22"/>
          <w:vertAlign w:val="superscript"/>
        </w:rPr>
        <w:footnoteReference w:id="10"/>
      </w:r>
      <w:r w:rsidRPr="004927B2">
        <w:rPr>
          <w:sz w:val="22"/>
          <w:szCs w:val="22"/>
        </w:rPr>
        <w:t xml:space="preserve"> This sense of readiness is easily understood as being representative of the world being made ready for The Messiah and also of the Throne of Heaven that Christ will </w:t>
      </w:r>
      <w:r w:rsidRPr="004927B2">
        <w:rPr>
          <w:sz w:val="22"/>
          <w:szCs w:val="22"/>
        </w:rPr>
        <w:lastRenderedPageBreak/>
        <w:t>eventually ascend to. The bench is placed in front of the fireplace, which is where the master of the house and honoured guests would sit.</w:t>
      </w:r>
      <w:r w:rsidRPr="004927B2">
        <w:rPr>
          <w:sz w:val="22"/>
          <w:szCs w:val="22"/>
          <w:vertAlign w:val="superscript"/>
        </w:rPr>
        <w:footnoteReference w:id="11"/>
      </w:r>
      <w:r w:rsidRPr="004927B2">
        <w:rPr>
          <w:sz w:val="22"/>
          <w:szCs w:val="22"/>
        </w:rPr>
        <w:t xml:space="preserve"> Again this evokes the image of the preparation for Christ as Lord. The bench also has a reversible back. This is not out of place as this is a common type of bench in late medieval Europe but again, like so much in the </w:t>
      </w:r>
      <w:proofErr w:type="spellStart"/>
      <w:r w:rsidRPr="004927B2">
        <w:rPr>
          <w:sz w:val="22"/>
          <w:szCs w:val="22"/>
        </w:rPr>
        <w:t>Mérode</w:t>
      </w:r>
      <w:proofErr w:type="spellEnd"/>
      <w:r w:rsidRPr="004927B2">
        <w:rPr>
          <w:sz w:val="22"/>
          <w:szCs w:val="22"/>
        </w:rPr>
        <w:t xml:space="preserve"> Altarpiece, serves a dual function.</w:t>
      </w:r>
      <w:r w:rsidRPr="004927B2">
        <w:rPr>
          <w:sz w:val="22"/>
          <w:szCs w:val="22"/>
          <w:vertAlign w:val="superscript"/>
        </w:rPr>
        <w:footnoteReference w:id="12"/>
      </w:r>
      <w:r w:rsidRPr="004927B2">
        <w:rPr>
          <w:sz w:val="22"/>
          <w:szCs w:val="22"/>
        </w:rPr>
        <w:t xml:space="preserve"> Whilst the practical reason for a reversible back is so that one could change from facing one way to facing the other this could be imagery of the two thrones in Heaven. Mary sits enthroned at the right hand of God.</w:t>
      </w:r>
      <w:r w:rsidRPr="004927B2">
        <w:rPr>
          <w:sz w:val="22"/>
          <w:szCs w:val="22"/>
          <w:vertAlign w:val="superscript"/>
        </w:rPr>
        <w:footnoteReference w:id="13"/>
      </w:r>
      <w:r w:rsidRPr="004927B2">
        <w:rPr>
          <w:sz w:val="22"/>
          <w:szCs w:val="22"/>
        </w:rPr>
        <w:t xml:space="preserve"> </w:t>
      </w:r>
    </w:p>
    <w:p w14:paraId="19FACC62" w14:textId="77777777" w:rsidR="004927B2" w:rsidRPr="004927B2" w:rsidRDefault="004927B2" w:rsidP="004927B2">
      <w:pPr>
        <w:spacing w:line="480" w:lineRule="auto"/>
        <w:rPr>
          <w:sz w:val="22"/>
          <w:szCs w:val="22"/>
        </w:rPr>
      </w:pPr>
      <w:r w:rsidRPr="004927B2">
        <w:rPr>
          <w:sz w:val="22"/>
          <w:szCs w:val="22"/>
        </w:rPr>
        <w:t>On the table is another symbol associated with Mary and her purity.</w:t>
      </w:r>
      <w:r w:rsidRPr="004927B2">
        <w:rPr>
          <w:sz w:val="22"/>
          <w:szCs w:val="22"/>
          <w:vertAlign w:val="superscript"/>
        </w:rPr>
        <w:footnoteReference w:id="14"/>
      </w:r>
      <w:r w:rsidRPr="004927B2">
        <w:rPr>
          <w:sz w:val="22"/>
          <w:szCs w:val="22"/>
        </w:rPr>
        <w:t xml:space="preserve"> The vase of three lilies, two blooming and one still a bud, likely represent the Holy Trinity. With the bud representing Christ who in this very moment is being conceived. These lilies stand in a white vase decorated with navy foliage, again there are three vines curling in the design, again evocative of the Trinity </w:t>
      </w:r>
      <w:proofErr w:type="gramStart"/>
      <w:r w:rsidRPr="004927B2">
        <w:rPr>
          <w:sz w:val="22"/>
          <w:szCs w:val="22"/>
        </w:rPr>
        <w:t>and also</w:t>
      </w:r>
      <w:proofErr w:type="gramEnd"/>
      <w:r w:rsidRPr="004927B2">
        <w:rPr>
          <w:sz w:val="22"/>
          <w:szCs w:val="22"/>
        </w:rPr>
        <w:t xml:space="preserve"> of the Tree of Jesse which is often associated with a vine. It is also interesting to note that the vase is also decorated with Hebrew letters. The use of the colours white and navy are also noteworthy. White in Judaism is a symbol of God’s benevolence and navy is a symbol of divinity. These two colours are also commonly the colours of a </w:t>
      </w:r>
      <w:r w:rsidRPr="004927B2">
        <w:rPr>
          <w:i/>
          <w:sz w:val="22"/>
          <w:szCs w:val="22"/>
        </w:rPr>
        <w:t>tallit</w:t>
      </w:r>
      <w:r w:rsidRPr="004927B2">
        <w:rPr>
          <w:sz w:val="22"/>
          <w:szCs w:val="22"/>
        </w:rPr>
        <w:t>, a prayer shawl, one of which hangs on the wall behind the table. This shawl is often identified as a towel hanging in the room but with no obvious symbolism attached it is a little odd that such an object would exist in a room where almost every small detail is religiously symbolic.</w:t>
      </w:r>
      <w:r w:rsidRPr="004927B2">
        <w:rPr>
          <w:sz w:val="22"/>
          <w:szCs w:val="22"/>
          <w:vertAlign w:val="superscript"/>
        </w:rPr>
        <w:footnoteReference w:id="15"/>
      </w:r>
      <w:r w:rsidRPr="004927B2">
        <w:rPr>
          <w:sz w:val="22"/>
          <w:szCs w:val="22"/>
        </w:rPr>
        <w:t xml:space="preserve"> Its close proximity to the basin hanging in the alcove gives weight to this interpretation, being suggestive of washing and purification rituals.</w:t>
      </w:r>
      <w:r w:rsidRPr="004927B2">
        <w:rPr>
          <w:sz w:val="22"/>
          <w:szCs w:val="22"/>
          <w:vertAlign w:val="superscript"/>
        </w:rPr>
        <w:footnoteReference w:id="16"/>
      </w:r>
      <w:r w:rsidRPr="004927B2">
        <w:rPr>
          <w:sz w:val="22"/>
          <w:szCs w:val="22"/>
        </w:rPr>
        <w:t xml:space="preserve"> It is interesting that the </w:t>
      </w:r>
      <w:r w:rsidRPr="004927B2">
        <w:rPr>
          <w:i/>
          <w:sz w:val="22"/>
          <w:szCs w:val="22"/>
        </w:rPr>
        <w:t>tallit</w:t>
      </w:r>
      <w:r w:rsidRPr="004927B2">
        <w:rPr>
          <w:sz w:val="22"/>
          <w:szCs w:val="22"/>
        </w:rPr>
        <w:t xml:space="preserve"> and the vase are included in this room, making it is almost instantly recognisable as belonging to the interior of an Ashkenazi Jewish house. </w:t>
      </w:r>
      <w:r w:rsidRPr="004927B2">
        <w:rPr>
          <w:sz w:val="22"/>
          <w:szCs w:val="22"/>
        </w:rPr>
        <w:lastRenderedPageBreak/>
        <w:t xml:space="preserve">This thus evokes the idea of the Old Covenant moving into the New Covenant, the Old Law into the New Law. </w:t>
      </w:r>
    </w:p>
    <w:p w14:paraId="457F8B11" w14:textId="77777777" w:rsidR="004927B2" w:rsidRPr="004927B2" w:rsidRDefault="004927B2" w:rsidP="004927B2">
      <w:pPr>
        <w:spacing w:line="480" w:lineRule="auto"/>
        <w:rPr>
          <w:sz w:val="22"/>
          <w:szCs w:val="22"/>
        </w:rPr>
      </w:pPr>
      <w:r w:rsidRPr="004927B2">
        <w:rPr>
          <w:sz w:val="22"/>
          <w:szCs w:val="22"/>
        </w:rPr>
        <w:t>At the very centre of the middle panel, and at the centre of the entire work, is a single candle which has just been extinguished. The extinction of the flame draws the viewer to the very heart of what the Annunciation is. The gust of air that accompanies the Christ Child entering through the window is what has blown the candle out and in this very second that the Annunciation occurs the flame representing the divinity of God is put out as God is made flesh.</w:t>
      </w:r>
      <w:r w:rsidRPr="004927B2">
        <w:rPr>
          <w:sz w:val="22"/>
          <w:szCs w:val="22"/>
          <w:vertAlign w:val="superscript"/>
        </w:rPr>
        <w:footnoteReference w:id="17"/>
      </w:r>
      <w:r w:rsidRPr="004927B2">
        <w:rPr>
          <w:sz w:val="22"/>
          <w:szCs w:val="22"/>
        </w:rPr>
        <w:t xml:space="preserve"> The candle is also evocative of the passage from Isaiah 42:3, “A bruised reed shall He not break, and the smoking flax shall He not quench; He shall bring forth judgment unto truth.”</w:t>
      </w:r>
      <w:r w:rsidRPr="004927B2">
        <w:rPr>
          <w:sz w:val="22"/>
          <w:szCs w:val="22"/>
          <w:vertAlign w:val="superscript"/>
        </w:rPr>
        <w:footnoteReference w:id="18"/>
      </w:r>
      <w:r w:rsidRPr="004927B2">
        <w:rPr>
          <w:sz w:val="22"/>
          <w:szCs w:val="22"/>
        </w:rPr>
        <w:t xml:space="preserve"> The candle links to Gabriel’s words to Mary at the Annunciation which are a paraphrasing of Isaiah’s.</w:t>
      </w:r>
      <w:r w:rsidRPr="004927B2">
        <w:rPr>
          <w:sz w:val="22"/>
          <w:szCs w:val="22"/>
          <w:vertAlign w:val="superscript"/>
        </w:rPr>
        <w:footnoteReference w:id="19"/>
      </w:r>
      <w:r w:rsidRPr="004927B2">
        <w:rPr>
          <w:sz w:val="22"/>
          <w:szCs w:val="22"/>
        </w:rPr>
        <w:t xml:space="preserve"> </w:t>
      </w:r>
    </w:p>
    <w:p w14:paraId="4906DF3F" w14:textId="77777777" w:rsidR="004927B2" w:rsidRPr="004927B2" w:rsidRDefault="004927B2" w:rsidP="004927B2">
      <w:pPr>
        <w:spacing w:line="480" w:lineRule="auto"/>
        <w:rPr>
          <w:sz w:val="22"/>
          <w:szCs w:val="22"/>
        </w:rPr>
      </w:pPr>
      <w:r w:rsidRPr="004927B2">
        <w:rPr>
          <w:sz w:val="22"/>
          <w:szCs w:val="22"/>
        </w:rPr>
        <w:t xml:space="preserve">In the panel on the </w:t>
      </w:r>
      <w:proofErr w:type="gramStart"/>
      <w:r w:rsidRPr="004927B2">
        <w:rPr>
          <w:sz w:val="22"/>
          <w:szCs w:val="22"/>
        </w:rPr>
        <w:t>right</w:t>
      </w:r>
      <w:proofErr w:type="gramEnd"/>
      <w:r w:rsidRPr="004927B2">
        <w:rPr>
          <w:sz w:val="22"/>
          <w:szCs w:val="22"/>
        </w:rPr>
        <w:t xml:space="preserve"> we see Saint Joseph working in his </w:t>
      </w:r>
      <w:proofErr w:type="gramStart"/>
      <w:r w:rsidRPr="004927B2">
        <w:rPr>
          <w:sz w:val="22"/>
          <w:szCs w:val="22"/>
        </w:rPr>
        <w:t>carpenters</w:t>
      </w:r>
      <w:proofErr w:type="gramEnd"/>
      <w:r w:rsidRPr="004927B2">
        <w:rPr>
          <w:sz w:val="22"/>
          <w:szCs w:val="22"/>
        </w:rPr>
        <w:t xml:space="preserve"> shop. The tools at Joseph’s feet, an axe, a saw, and a rod, whilst common in a carpenters’ workshop, are a reference to Isaiah 10:15.</w:t>
      </w:r>
      <w:r w:rsidRPr="004927B2">
        <w:rPr>
          <w:sz w:val="22"/>
          <w:szCs w:val="22"/>
          <w:vertAlign w:val="superscript"/>
        </w:rPr>
        <w:footnoteReference w:id="20"/>
      </w:r>
      <w:r w:rsidRPr="004927B2">
        <w:rPr>
          <w:sz w:val="22"/>
          <w:szCs w:val="22"/>
          <w:vertAlign w:val="superscript"/>
        </w:rPr>
        <w:footnoteReference w:id="21"/>
      </w:r>
      <w:r w:rsidRPr="004927B2">
        <w:rPr>
          <w:sz w:val="22"/>
          <w:szCs w:val="22"/>
        </w:rPr>
        <w:t xml:space="preserve"> During the late medieval period depictions of Saint Joseph shift from an elderly and unproductive figure to a hardworking man who provides for his family.</w:t>
      </w:r>
      <w:r w:rsidRPr="004927B2">
        <w:rPr>
          <w:sz w:val="22"/>
          <w:szCs w:val="22"/>
          <w:vertAlign w:val="superscript"/>
        </w:rPr>
        <w:footnoteReference w:id="22"/>
      </w:r>
      <w:r w:rsidRPr="004927B2">
        <w:rPr>
          <w:sz w:val="22"/>
          <w:szCs w:val="22"/>
        </w:rPr>
        <w:t xml:space="preserve"> The </w:t>
      </w:r>
      <w:proofErr w:type="spellStart"/>
      <w:r w:rsidRPr="004927B2">
        <w:rPr>
          <w:sz w:val="22"/>
          <w:szCs w:val="22"/>
        </w:rPr>
        <w:t>Mérode</w:t>
      </w:r>
      <w:proofErr w:type="spellEnd"/>
      <w:r w:rsidRPr="004927B2">
        <w:rPr>
          <w:sz w:val="22"/>
          <w:szCs w:val="22"/>
        </w:rPr>
        <w:t xml:space="preserve"> Altarpiece fits this newer type for Joseph with the saint hard at work in a contemporary Flemish carpentry shop. What Joseph has been making is displayed on the workbench and the shopfront bench at the outside of the window, mousetraps.</w:t>
      </w:r>
      <w:r w:rsidRPr="004927B2">
        <w:rPr>
          <w:sz w:val="22"/>
          <w:szCs w:val="22"/>
          <w:vertAlign w:val="superscript"/>
        </w:rPr>
        <w:footnoteReference w:id="23"/>
      </w:r>
      <w:r w:rsidRPr="004927B2">
        <w:rPr>
          <w:sz w:val="22"/>
          <w:szCs w:val="22"/>
        </w:rPr>
        <w:t xml:space="preserve"> The inclusion of mousetraps in the </w:t>
      </w:r>
      <w:proofErr w:type="spellStart"/>
      <w:r w:rsidRPr="004927B2">
        <w:rPr>
          <w:sz w:val="22"/>
          <w:szCs w:val="22"/>
        </w:rPr>
        <w:t>Mérode</w:t>
      </w:r>
      <w:proofErr w:type="spellEnd"/>
      <w:r w:rsidRPr="004927B2">
        <w:rPr>
          <w:sz w:val="22"/>
          <w:szCs w:val="22"/>
        </w:rPr>
        <w:t xml:space="preserve"> Altarpiece is probably a reference to a sermon by Saint Augustine.</w:t>
      </w:r>
      <w:r w:rsidRPr="004927B2">
        <w:rPr>
          <w:sz w:val="22"/>
          <w:szCs w:val="22"/>
          <w:vertAlign w:val="superscript"/>
        </w:rPr>
        <w:footnoteReference w:id="24"/>
      </w:r>
      <w:r w:rsidRPr="004927B2">
        <w:rPr>
          <w:sz w:val="22"/>
          <w:szCs w:val="22"/>
        </w:rPr>
        <w:t xml:space="preserve"> “The cross of the Lord was the devil’s mousetrap; the bait by which he was caught was the Lord’s death.”</w:t>
      </w:r>
      <w:r w:rsidRPr="004927B2">
        <w:rPr>
          <w:sz w:val="22"/>
          <w:szCs w:val="22"/>
          <w:vertAlign w:val="superscript"/>
        </w:rPr>
        <w:footnoteReference w:id="25"/>
      </w:r>
    </w:p>
    <w:p w14:paraId="27AF4616" w14:textId="77777777" w:rsidR="004927B2" w:rsidRPr="004927B2" w:rsidRDefault="004927B2" w:rsidP="004927B2">
      <w:pPr>
        <w:spacing w:line="480" w:lineRule="auto"/>
        <w:rPr>
          <w:sz w:val="22"/>
          <w:szCs w:val="22"/>
        </w:rPr>
      </w:pPr>
      <w:r w:rsidRPr="004927B2">
        <w:rPr>
          <w:sz w:val="22"/>
          <w:szCs w:val="22"/>
        </w:rPr>
        <w:lastRenderedPageBreak/>
        <w:t>What Joseph is currently working on is not entirely clear. Margaret B. Freeman makes a case that the wooden block Joseph is boring small holes into is a spike block. This is an item seen in depictions from the Low Countries of Christ carrying the cross. These spike blocks hang before his shins adding to his torture.</w:t>
      </w:r>
      <w:r w:rsidRPr="004927B2">
        <w:rPr>
          <w:sz w:val="22"/>
          <w:szCs w:val="22"/>
          <w:vertAlign w:val="superscript"/>
        </w:rPr>
        <w:footnoteReference w:id="26"/>
      </w:r>
      <w:r w:rsidRPr="004927B2">
        <w:rPr>
          <w:sz w:val="22"/>
          <w:szCs w:val="22"/>
        </w:rPr>
        <w:t xml:space="preserve"> This </w:t>
      </w:r>
      <w:proofErr w:type="gramStart"/>
      <w:r w:rsidRPr="004927B2">
        <w:rPr>
          <w:sz w:val="22"/>
          <w:szCs w:val="22"/>
        </w:rPr>
        <w:t>is not be</w:t>
      </w:r>
      <w:proofErr w:type="gramEnd"/>
      <w:r w:rsidRPr="004927B2">
        <w:rPr>
          <w:sz w:val="22"/>
          <w:szCs w:val="22"/>
        </w:rPr>
        <w:t xml:space="preserve"> the only cross bearing and crucifixion imagery seen in the </w:t>
      </w:r>
      <w:proofErr w:type="spellStart"/>
      <w:r w:rsidRPr="004927B2">
        <w:rPr>
          <w:sz w:val="22"/>
          <w:szCs w:val="22"/>
        </w:rPr>
        <w:t>Mérode</w:t>
      </w:r>
      <w:proofErr w:type="spellEnd"/>
      <w:r w:rsidRPr="004927B2">
        <w:rPr>
          <w:sz w:val="22"/>
          <w:szCs w:val="22"/>
        </w:rPr>
        <w:t xml:space="preserve"> Altarpiece. The tiny body of Christ, about to be conceived, is coming through a round window in the central panel with his cross already leaning on his shoulders. The mousetraps, although less obvious at first, are another image foreshadowing the fate of Christ. The nails on Joseph’s workbench could also fit this image. Perhaps these nails are intended to be placed into the holes in the block to create a spike block. </w:t>
      </w:r>
    </w:p>
    <w:p w14:paraId="0A207770" w14:textId="77777777" w:rsidR="004927B2" w:rsidRPr="004927B2" w:rsidRDefault="004927B2" w:rsidP="004927B2">
      <w:pPr>
        <w:spacing w:line="480" w:lineRule="auto"/>
        <w:rPr>
          <w:sz w:val="22"/>
          <w:szCs w:val="22"/>
        </w:rPr>
      </w:pPr>
      <w:r w:rsidRPr="004927B2">
        <w:rPr>
          <w:sz w:val="22"/>
          <w:szCs w:val="22"/>
        </w:rPr>
        <w:t xml:space="preserve">The city seen through the door and windows of Joseph’s workshop </w:t>
      </w:r>
      <w:proofErr w:type="gramStart"/>
      <w:r w:rsidRPr="004927B2">
        <w:rPr>
          <w:sz w:val="22"/>
          <w:szCs w:val="22"/>
        </w:rPr>
        <w:t>and also</w:t>
      </w:r>
      <w:proofErr w:type="gramEnd"/>
      <w:r w:rsidRPr="004927B2">
        <w:rPr>
          <w:sz w:val="22"/>
          <w:szCs w:val="22"/>
        </w:rPr>
        <w:t xml:space="preserve"> through the garden gate in the </w:t>
      </w:r>
      <w:proofErr w:type="gramStart"/>
      <w:r w:rsidRPr="004927B2">
        <w:rPr>
          <w:sz w:val="22"/>
          <w:szCs w:val="22"/>
        </w:rPr>
        <w:t>left hand</w:t>
      </w:r>
      <w:proofErr w:type="gramEnd"/>
      <w:r w:rsidRPr="004927B2">
        <w:rPr>
          <w:sz w:val="22"/>
          <w:szCs w:val="22"/>
        </w:rPr>
        <w:t xml:space="preserve"> panel is likely to be Liège.</w:t>
      </w:r>
      <w:r w:rsidRPr="004927B2">
        <w:rPr>
          <w:sz w:val="22"/>
          <w:szCs w:val="22"/>
          <w:vertAlign w:val="superscript"/>
        </w:rPr>
        <w:footnoteReference w:id="27"/>
      </w:r>
      <w:r w:rsidRPr="004927B2">
        <w:rPr>
          <w:sz w:val="22"/>
          <w:szCs w:val="22"/>
        </w:rPr>
        <w:t xml:space="preserve"> Jacques Duchesne-Guillemin makes a case for this in his paper </w:t>
      </w:r>
      <w:r w:rsidRPr="004927B2">
        <w:rPr>
          <w:i/>
          <w:sz w:val="22"/>
          <w:szCs w:val="22"/>
        </w:rPr>
        <w:t xml:space="preserve">On the Cityscape of the </w:t>
      </w:r>
      <w:proofErr w:type="spellStart"/>
      <w:r w:rsidRPr="004927B2">
        <w:rPr>
          <w:i/>
          <w:sz w:val="22"/>
          <w:szCs w:val="22"/>
        </w:rPr>
        <w:t>Mérode</w:t>
      </w:r>
      <w:proofErr w:type="spellEnd"/>
      <w:r w:rsidRPr="004927B2">
        <w:rPr>
          <w:i/>
          <w:sz w:val="22"/>
          <w:szCs w:val="22"/>
        </w:rPr>
        <w:t xml:space="preserve"> Altarpiece</w:t>
      </w:r>
      <w:r w:rsidRPr="004927B2">
        <w:rPr>
          <w:sz w:val="22"/>
          <w:szCs w:val="22"/>
        </w:rPr>
        <w:t xml:space="preserve"> by comparing the two churches seen through Joseph’s window with the two Liège churches of Sainte Croix and Saint Pierre.</w:t>
      </w:r>
      <w:r w:rsidRPr="004927B2">
        <w:rPr>
          <w:sz w:val="22"/>
          <w:szCs w:val="22"/>
          <w:vertAlign w:val="superscript"/>
        </w:rPr>
        <w:footnoteReference w:id="28"/>
      </w:r>
    </w:p>
    <w:p w14:paraId="1A92B511" w14:textId="77777777" w:rsidR="004927B2" w:rsidRPr="004927B2" w:rsidRDefault="004927B2" w:rsidP="004927B2">
      <w:pPr>
        <w:spacing w:line="480" w:lineRule="auto"/>
        <w:rPr>
          <w:sz w:val="22"/>
          <w:szCs w:val="22"/>
        </w:rPr>
      </w:pPr>
      <w:r w:rsidRPr="004927B2">
        <w:rPr>
          <w:sz w:val="22"/>
          <w:szCs w:val="22"/>
        </w:rPr>
        <w:t>Charles Ilsley Minott argues that the mysterious bearded figure by the garden gate in the left panel is Isaiah.</w:t>
      </w:r>
      <w:r w:rsidRPr="004927B2">
        <w:rPr>
          <w:sz w:val="22"/>
          <w:szCs w:val="22"/>
          <w:vertAlign w:val="superscript"/>
        </w:rPr>
        <w:footnoteReference w:id="29"/>
      </w:r>
      <w:r w:rsidRPr="004927B2">
        <w:rPr>
          <w:sz w:val="22"/>
          <w:szCs w:val="22"/>
        </w:rPr>
        <w:t xml:space="preserve"> Minott points out the badge the bearded figure wears is bordered by twelve pearls which he believes are representative of the gates of the Heavenly Jerusalem mentioned in Revelation 21:21.</w:t>
      </w:r>
      <w:r w:rsidRPr="004927B2">
        <w:rPr>
          <w:sz w:val="22"/>
          <w:szCs w:val="22"/>
          <w:vertAlign w:val="superscript"/>
        </w:rPr>
        <w:footnoteReference w:id="30"/>
      </w:r>
      <w:r w:rsidRPr="004927B2">
        <w:rPr>
          <w:sz w:val="22"/>
          <w:szCs w:val="22"/>
        </w:rPr>
        <w:t xml:space="preserve"> The badge is also similar to the coat of arms of the city of Malines, three red pales on a field of gold, a city that the family of the patron had connection to.</w:t>
      </w:r>
      <w:r w:rsidRPr="004927B2">
        <w:rPr>
          <w:sz w:val="22"/>
          <w:szCs w:val="22"/>
          <w:vertAlign w:val="superscript"/>
        </w:rPr>
        <w:footnoteReference w:id="31"/>
      </w:r>
      <w:r w:rsidRPr="004927B2">
        <w:rPr>
          <w:sz w:val="22"/>
          <w:szCs w:val="22"/>
        </w:rPr>
        <w:t xml:space="preserve">  If this figure is Isaiah it is interesting to note that he has a hand placed on the gate of the garden. </w:t>
      </w:r>
    </w:p>
    <w:p w14:paraId="09391B8E" w14:textId="77777777" w:rsidR="004927B2" w:rsidRPr="004927B2" w:rsidRDefault="004927B2" w:rsidP="004927B2">
      <w:pPr>
        <w:spacing w:line="480" w:lineRule="auto"/>
        <w:rPr>
          <w:sz w:val="22"/>
          <w:szCs w:val="22"/>
        </w:rPr>
      </w:pPr>
      <w:r w:rsidRPr="004927B2">
        <w:rPr>
          <w:sz w:val="22"/>
          <w:szCs w:val="22"/>
        </w:rPr>
        <w:t>The patron of the altarpiece has tucked in his hat a small bud from the rose bush behind him. The rose is another flower that in the medieval period was symbolic of the Virgin Mary.</w:t>
      </w:r>
      <w:r w:rsidRPr="004927B2">
        <w:rPr>
          <w:sz w:val="22"/>
          <w:szCs w:val="22"/>
          <w:vertAlign w:val="superscript"/>
        </w:rPr>
        <w:footnoteReference w:id="32"/>
      </w:r>
      <w:r w:rsidRPr="004927B2">
        <w:rPr>
          <w:sz w:val="22"/>
          <w:szCs w:val="22"/>
        </w:rPr>
        <w:t xml:space="preserve"> The </w:t>
      </w:r>
      <w:r w:rsidRPr="004927B2">
        <w:rPr>
          <w:sz w:val="22"/>
          <w:szCs w:val="22"/>
        </w:rPr>
        <w:lastRenderedPageBreak/>
        <w:t>rosebush is also deep red, the colour of martyrdom and of Christ’s death, another image foretelling the crucifixion.</w:t>
      </w:r>
      <w:r w:rsidRPr="004927B2">
        <w:rPr>
          <w:sz w:val="22"/>
          <w:szCs w:val="22"/>
          <w:vertAlign w:val="superscript"/>
        </w:rPr>
        <w:footnoteReference w:id="33"/>
      </w:r>
      <w:r w:rsidRPr="004927B2">
        <w:rPr>
          <w:sz w:val="22"/>
          <w:szCs w:val="22"/>
        </w:rPr>
        <w:t xml:space="preserve"> </w:t>
      </w:r>
    </w:p>
    <w:p w14:paraId="6EE2C9E9" w14:textId="77777777" w:rsidR="004927B2" w:rsidRPr="004927B2" w:rsidRDefault="004927B2" w:rsidP="004927B2">
      <w:pPr>
        <w:spacing w:line="480" w:lineRule="auto"/>
        <w:rPr>
          <w:sz w:val="22"/>
          <w:szCs w:val="22"/>
        </w:rPr>
      </w:pPr>
      <w:r w:rsidRPr="004927B2">
        <w:rPr>
          <w:sz w:val="22"/>
          <w:szCs w:val="22"/>
        </w:rPr>
        <w:t xml:space="preserve">The door leading from the garden to the living room at the centre of the </w:t>
      </w:r>
      <w:proofErr w:type="spellStart"/>
      <w:r w:rsidRPr="004927B2">
        <w:rPr>
          <w:sz w:val="22"/>
          <w:szCs w:val="22"/>
        </w:rPr>
        <w:t>Mérode</w:t>
      </w:r>
      <w:proofErr w:type="spellEnd"/>
      <w:r w:rsidRPr="004927B2">
        <w:rPr>
          <w:sz w:val="22"/>
          <w:szCs w:val="22"/>
        </w:rPr>
        <w:t xml:space="preserve"> Altarpiece is open and recently unlocked from the inside. This image could be a reference to Ezekiel 44:2 “Then said the Lord unto me, “This gate shall be shut. It shall not be opened and no man shall enter in by it, because the Lord, the God of Israel, hath entered in by it; </w:t>
      </w:r>
      <w:proofErr w:type="gramStart"/>
      <w:r w:rsidRPr="004927B2">
        <w:rPr>
          <w:sz w:val="22"/>
          <w:szCs w:val="22"/>
        </w:rPr>
        <w:t>therefore</w:t>
      </w:r>
      <w:proofErr w:type="gramEnd"/>
      <w:r w:rsidRPr="004927B2">
        <w:rPr>
          <w:sz w:val="22"/>
          <w:szCs w:val="22"/>
        </w:rPr>
        <w:t xml:space="preserve"> it shall be shut.” which is a passage that in Christian theology is understood to be a reference of the Virgin Mary and Christ’s conception.</w:t>
      </w:r>
      <w:r w:rsidRPr="004927B2">
        <w:rPr>
          <w:sz w:val="22"/>
          <w:szCs w:val="22"/>
          <w:vertAlign w:val="superscript"/>
        </w:rPr>
        <w:footnoteReference w:id="34"/>
      </w:r>
      <w:r w:rsidRPr="004927B2">
        <w:rPr>
          <w:sz w:val="22"/>
          <w:szCs w:val="22"/>
        </w:rPr>
        <w:t xml:space="preserve"> </w:t>
      </w:r>
    </w:p>
    <w:p w14:paraId="0D68D9BF" w14:textId="77777777" w:rsidR="004927B2" w:rsidRPr="004927B2" w:rsidRDefault="004927B2" w:rsidP="004927B2">
      <w:pPr>
        <w:spacing w:line="480" w:lineRule="auto"/>
        <w:rPr>
          <w:sz w:val="22"/>
          <w:szCs w:val="22"/>
        </w:rPr>
      </w:pPr>
      <w:r w:rsidRPr="004927B2">
        <w:rPr>
          <w:sz w:val="22"/>
          <w:szCs w:val="22"/>
        </w:rPr>
        <w:t xml:space="preserve">The </w:t>
      </w:r>
      <w:proofErr w:type="spellStart"/>
      <w:r w:rsidRPr="004927B2">
        <w:rPr>
          <w:sz w:val="22"/>
          <w:szCs w:val="22"/>
        </w:rPr>
        <w:t>Mérode</w:t>
      </w:r>
      <w:proofErr w:type="spellEnd"/>
      <w:r w:rsidRPr="004927B2">
        <w:rPr>
          <w:sz w:val="22"/>
          <w:szCs w:val="22"/>
        </w:rPr>
        <w:t xml:space="preserve"> Altarpiece is full of Annunciation imagery which by draws on the viewers knowledge of the Old Testament and the New Testament. It thereby shows the Annunciation as the pivotal moment where the Old Testament, the Old Covenant, the Old Law, transitions forward into the New Testament, the New Covenant, and the New Law. </w:t>
      </w:r>
    </w:p>
    <w:p w14:paraId="0A762FA9" w14:textId="77777777" w:rsidR="004927B2" w:rsidRPr="004927B2" w:rsidRDefault="004927B2" w:rsidP="004927B2">
      <w:pPr>
        <w:rPr>
          <w:sz w:val="22"/>
          <w:szCs w:val="22"/>
        </w:rPr>
      </w:pPr>
    </w:p>
    <w:p w14:paraId="730F0D81" w14:textId="77777777" w:rsidR="004927B2" w:rsidRPr="004927B2" w:rsidRDefault="004927B2" w:rsidP="004927B2">
      <w:pPr>
        <w:rPr>
          <w:sz w:val="22"/>
          <w:szCs w:val="22"/>
        </w:rPr>
      </w:pPr>
    </w:p>
    <w:p w14:paraId="23860706" w14:textId="77777777" w:rsidR="004927B2" w:rsidRPr="004927B2" w:rsidRDefault="004927B2" w:rsidP="004927B2">
      <w:pPr>
        <w:rPr>
          <w:sz w:val="22"/>
          <w:szCs w:val="22"/>
        </w:rPr>
      </w:pPr>
    </w:p>
    <w:p w14:paraId="67C84014" w14:textId="77777777" w:rsidR="004927B2" w:rsidRPr="004927B2" w:rsidRDefault="004927B2" w:rsidP="004927B2">
      <w:pPr>
        <w:rPr>
          <w:sz w:val="22"/>
          <w:szCs w:val="22"/>
        </w:rPr>
      </w:pPr>
    </w:p>
    <w:p w14:paraId="084F2360" w14:textId="77777777" w:rsidR="004927B2" w:rsidRPr="004927B2" w:rsidRDefault="004927B2" w:rsidP="004927B2">
      <w:pPr>
        <w:rPr>
          <w:sz w:val="22"/>
          <w:szCs w:val="22"/>
        </w:rPr>
      </w:pPr>
    </w:p>
    <w:p w14:paraId="5F0CC0C3" w14:textId="77777777" w:rsidR="004927B2" w:rsidRPr="004927B2" w:rsidRDefault="004927B2" w:rsidP="004927B2">
      <w:pPr>
        <w:rPr>
          <w:sz w:val="22"/>
          <w:szCs w:val="22"/>
        </w:rPr>
      </w:pPr>
    </w:p>
    <w:p w14:paraId="074BDD19" w14:textId="77777777" w:rsidR="004927B2" w:rsidRPr="004927B2" w:rsidRDefault="004927B2" w:rsidP="004927B2">
      <w:pPr>
        <w:rPr>
          <w:sz w:val="22"/>
          <w:szCs w:val="22"/>
        </w:rPr>
      </w:pPr>
    </w:p>
    <w:p w14:paraId="046DBCE9" w14:textId="77777777" w:rsidR="004927B2" w:rsidRPr="004927B2" w:rsidRDefault="004927B2" w:rsidP="004927B2">
      <w:pPr>
        <w:rPr>
          <w:sz w:val="22"/>
          <w:szCs w:val="22"/>
        </w:rPr>
      </w:pPr>
    </w:p>
    <w:p w14:paraId="00F4EC4C" w14:textId="77777777" w:rsidR="004927B2" w:rsidRPr="004927B2" w:rsidRDefault="004927B2" w:rsidP="004927B2">
      <w:pPr>
        <w:rPr>
          <w:sz w:val="22"/>
          <w:szCs w:val="22"/>
        </w:rPr>
      </w:pPr>
    </w:p>
    <w:p w14:paraId="4F19D52F" w14:textId="77777777" w:rsidR="004927B2" w:rsidRPr="004927B2" w:rsidRDefault="004927B2" w:rsidP="004927B2">
      <w:pPr>
        <w:rPr>
          <w:sz w:val="22"/>
          <w:szCs w:val="22"/>
        </w:rPr>
      </w:pPr>
    </w:p>
    <w:p w14:paraId="2D14410C" w14:textId="77777777" w:rsidR="004927B2" w:rsidRPr="004927B2" w:rsidRDefault="004927B2" w:rsidP="004927B2">
      <w:pPr>
        <w:rPr>
          <w:sz w:val="22"/>
          <w:szCs w:val="22"/>
        </w:rPr>
      </w:pPr>
    </w:p>
    <w:p w14:paraId="7D10278C" w14:textId="77777777" w:rsidR="004927B2" w:rsidRDefault="004927B2" w:rsidP="004927B2">
      <w:pPr>
        <w:rPr>
          <w:sz w:val="22"/>
          <w:szCs w:val="22"/>
        </w:rPr>
      </w:pPr>
    </w:p>
    <w:p w14:paraId="0215C726" w14:textId="77777777" w:rsidR="00343F38" w:rsidRDefault="00343F38" w:rsidP="004927B2">
      <w:pPr>
        <w:rPr>
          <w:sz w:val="22"/>
          <w:szCs w:val="22"/>
        </w:rPr>
      </w:pPr>
    </w:p>
    <w:p w14:paraId="5A2D8CB2" w14:textId="77777777" w:rsidR="00343F38" w:rsidRPr="004927B2" w:rsidRDefault="00343F38" w:rsidP="004927B2">
      <w:pPr>
        <w:rPr>
          <w:sz w:val="22"/>
          <w:szCs w:val="22"/>
        </w:rPr>
      </w:pPr>
    </w:p>
    <w:p w14:paraId="6FCA1CEB" w14:textId="288B1F54" w:rsidR="004927B2" w:rsidRPr="004927B2" w:rsidRDefault="004927B2" w:rsidP="004927B2">
      <w:pPr>
        <w:rPr>
          <w:sz w:val="25"/>
          <w:szCs w:val="25"/>
        </w:rPr>
      </w:pPr>
      <w:r w:rsidRPr="004927B2">
        <w:rPr>
          <w:sz w:val="25"/>
          <w:szCs w:val="25"/>
        </w:rPr>
        <w:t>Reference List</w:t>
      </w:r>
      <w:r w:rsidR="00F434DD">
        <w:rPr>
          <w:sz w:val="25"/>
          <w:szCs w:val="25"/>
        </w:rPr>
        <w:t xml:space="preserve"> </w:t>
      </w:r>
    </w:p>
    <w:p w14:paraId="37C45556" w14:textId="77777777" w:rsidR="004927B2" w:rsidRPr="004927B2" w:rsidRDefault="004927B2" w:rsidP="004927B2">
      <w:pPr>
        <w:rPr>
          <w:sz w:val="22"/>
          <w:szCs w:val="22"/>
        </w:rPr>
      </w:pPr>
    </w:p>
    <w:p w14:paraId="020AA8BA" w14:textId="77777777" w:rsidR="004927B2" w:rsidRPr="004927B2" w:rsidRDefault="004927B2" w:rsidP="004927B2">
      <w:pPr>
        <w:rPr>
          <w:sz w:val="22"/>
          <w:szCs w:val="22"/>
        </w:rPr>
      </w:pPr>
      <w:r w:rsidRPr="004927B2">
        <w:rPr>
          <w:sz w:val="22"/>
          <w:szCs w:val="22"/>
        </w:rPr>
        <w:t xml:space="preserve">Bauman, Guy., </w:t>
      </w:r>
      <w:r w:rsidRPr="004927B2">
        <w:rPr>
          <w:i/>
          <w:sz w:val="22"/>
          <w:szCs w:val="22"/>
        </w:rPr>
        <w:t>Early Flemish Portraits 1425-1525</w:t>
      </w:r>
      <w:r w:rsidRPr="004927B2">
        <w:rPr>
          <w:sz w:val="22"/>
          <w:szCs w:val="22"/>
        </w:rPr>
        <w:t xml:space="preserve"> (The Metropolitan Museum of Art: New York, 1986).</w:t>
      </w:r>
    </w:p>
    <w:p w14:paraId="6DF78AEF" w14:textId="77777777" w:rsidR="004927B2" w:rsidRPr="004927B2" w:rsidRDefault="004927B2" w:rsidP="004927B2">
      <w:pPr>
        <w:rPr>
          <w:i/>
          <w:iCs/>
          <w:sz w:val="22"/>
          <w:szCs w:val="22"/>
        </w:rPr>
      </w:pPr>
      <w:r w:rsidRPr="004927B2">
        <w:rPr>
          <w:sz w:val="22"/>
          <w:szCs w:val="22"/>
        </w:rPr>
        <w:t xml:space="preserve">De Coo, Jozef. “A Medieval Look at the </w:t>
      </w:r>
      <w:proofErr w:type="spellStart"/>
      <w:r w:rsidRPr="004927B2">
        <w:rPr>
          <w:sz w:val="22"/>
          <w:szCs w:val="22"/>
        </w:rPr>
        <w:t>Merode</w:t>
      </w:r>
      <w:proofErr w:type="spellEnd"/>
      <w:r w:rsidRPr="004927B2">
        <w:rPr>
          <w:sz w:val="22"/>
          <w:szCs w:val="22"/>
        </w:rPr>
        <w:t xml:space="preserve"> Annunciation.” </w:t>
      </w:r>
      <w:proofErr w:type="spellStart"/>
      <w:r w:rsidRPr="004927B2">
        <w:rPr>
          <w:i/>
          <w:iCs/>
          <w:sz w:val="22"/>
          <w:szCs w:val="22"/>
        </w:rPr>
        <w:t>Zeitschrift</w:t>
      </w:r>
      <w:proofErr w:type="spellEnd"/>
      <w:r w:rsidRPr="004927B2">
        <w:rPr>
          <w:i/>
          <w:iCs/>
          <w:sz w:val="22"/>
          <w:szCs w:val="22"/>
        </w:rPr>
        <w:t xml:space="preserve"> Für </w:t>
      </w:r>
      <w:proofErr w:type="spellStart"/>
      <w:r w:rsidRPr="004927B2">
        <w:rPr>
          <w:i/>
          <w:iCs/>
          <w:sz w:val="22"/>
          <w:szCs w:val="22"/>
        </w:rPr>
        <w:t>Kunstgeschichte</w:t>
      </w:r>
      <w:proofErr w:type="spellEnd"/>
      <w:r w:rsidRPr="004927B2">
        <w:rPr>
          <w:sz w:val="22"/>
          <w:szCs w:val="22"/>
        </w:rPr>
        <w:t>, vol. 44, no. 2, 1981, pp. 114–132. </w:t>
      </w:r>
    </w:p>
    <w:p w14:paraId="4C99E8D7" w14:textId="77777777" w:rsidR="004927B2" w:rsidRPr="004927B2" w:rsidRDefault="004927B2" w:rsidP="004927B2">
      <w:pPr>
        <w:rPr>
          <w:i/>
          <w:iCs/>
          <w:sz w:val="22"/>
          <w:szCs w:val="22"/>
        </w:rPr>
      </w:pPr>
      <w:r w:rsidRPr="004927B2">
        <w:rPr>
          <w:sz w:val="22"/>
          <w:szCs w:val="22"/>
        </w:rPr>
        <w:t xml:space="preserve">Duchesne-Guillemin, Jacques., “On the Cityscape of the </w:t>
      </w:r>
      <w:proofErr w:type="spellStart"/>
      <w:r w:rsidRPr="004927B2">
        <w:rPr>
          <w:sz w:val="22"/>
          <w:szCs w:val="22"/>
        </w:rPr>
        <w:t>Mérode</w:t>
      </w:r>
      <w:proofErr w:type="spellEnd"/>
      <w:r w:rsidRPr="004927B2">
        <w:rPr>
          <w:sz w:val="22"/>
          <w:szCs w:val="22"/>
        </w:rPr>
        <w:t xml:space="preserve"> Altarpiece.” </w:t>
      </w:r>
      <w:r w:rsidRPr="004927B2">
        <w:rPr>
          <w:i/>
          <w:iCs/>
          <w:sz w:val="22"/>
          <w:szCs w:val="22"/>
        </w:rPr>
        <w:t>Metropolitan Museum Journal</w:t>
      </w:r>
      <w:r w:rsidRPr="004927B2">
        <w:rPr>
          <w:sz w:val="22"/>
          <w:szCs w:val="22"/>
        </w:rPr>
        <w:t>, vol. 11, 1976, pp. 129–131. </w:t>
      </w:r>
    </w:p>
    <w:p w14:paraId="47864DCE" w14:textId="77777777" w:rsidR="004927B2" w:rsidRPr="004927B2" w:rsidRDefault="004927B2" w:rsidP="004927B2">
      <w:pPr>
        <w:rPr>
          <w:i/>
          <w:iCs/>
          <w:sz w:val="22"/>
          <w:szCs w:val="22"/>
        </w:rPr>
      </w:pPr>
      <w:r w:rsidRPr="004927B2">
        <w:rPr>
          <w:sz w:val="22"/>
          <w:szCs w:val="22"/>
        </w:rPr>
        <w:t xml:space="preserve">Eisler, Colin, and Meyer Schapiro. “The </w:t>
      </w:r>
      <w:proofErr w:type="spellStart"/>
      <w:r w:rsidRPr="004927B2">
        <w:rPr>
          <w:sz w:val="22"/>
          <w:szCs w:val="22"/>
        </w:rPr>
        <w:t>Mérode</w:t>
      </w:r>
      <w:proofErr w:type="spellEnd"/>
      <w:r w:rsidRPr="004927B2">
        <w:rPr>
          <w:sz w:val="22"/>
          <w:szCs w:val="22"/>
        </w:rPr>
        <w:t xml:space="preserve"> Mousetrap.” </w:t>
      </w:r>
      <w:r w:rsidRPr="004927B2">
        <w:rPr>
          <w:i/>
          <w:iCs/>
          <w:sz w:val="22"/>
          <w:szCs w:val="22"/>
        </w:rPr>
        <w:t>The Burlington Magazine</w:t>
      </w:r>
      <w:r w:rsidRPr="004927B2">
        <w:rPr>
          <w:sz w:val="22"/>
          <w:szCs w:val="22"/>
        </w:rPr>
        <w:t>, vol. 108, no. 761, 1966, pp. 430–428.</w:t>
      </w:r>
    </w:p>
    <w:p w14:paraId="0663BF8A" w14:textId="77777777" w:rsidR="004927B2" w:rsidRPr="004927B2" w:rsidRDefault="004927B2" w:rsidP="004927B2">
      <w:pPr>
        <w:rPr>
          <w:sz w:val="22"/>
          <w:szCs w:val="22"/>
        </w:rPr>
      </w:pPr>
      <w:r w:rsidRPr="004927B2">
        <w:rPr>
          <w:sz w:val="22"/>
          <w:szCs w:val="22"/>
        </w:rPr>
        <w:t xml:space="preserve">Freeman, Margaret B., “The Iconography of the </w:t>
      </w:r>
      <w:proofErr w:type="spellStart"/>
      <w:r w:rsidRPr="004927B2">
        <w:rPr>
          <w:sz w:val="22"/>
          <w:szCs w:val="22"/>
        </w:rPr>
        <w:t>Merode</w:t>
      </w:r>
      <w:proofErr w:type="spellEnd"/>
      <w:r w:rsidRPr="004927B2">
        <w:rPr>
          <w:sz w:val="22"/>
          <w:szCs w:val="22"/>
        </w:rPr>
        <w:t xml:space="preserve"> Altarpiece.” </w:t>
      </w:r>
      <w:r w:rsidRPr="004927B2">
        <w:rPr>
          <w:i/>
          <w:iCs/>
          <w:sz w:val="22"/>
          <w:szCs w:val="22"/>
        </w:rPr>
        <w:t>The Metropolitan Museum of Art Bulletin</w:t>
      </w:r>
      <w:r w:rsidRPr="004927B2">
        <w:rPr>
          <w:sz w:val="22"/>
          <w:szCs w:val="22"/>
        </w:rPr>
        <w:t>, vol. 16, no. 4, 1957, pp. 130–139. </w:t>
      </w:r>
    </w:p>
    <w:p w14:paraId="3BB7D398" w14:textId="77777777" w:rsidR="004927B2" w:rsidRPr="004927B2" w:rsidRDefault="004927B2" w:rsidP="004927B2">
      <w:pPr>
        <w:rPr>
          <w:sz w:val="22"/>
          <w:szCs w:val="22"/>
        </w:rPr>
      </w:pPr>
      <w:r w:rsidRPr="004927B2">
        <w:rPr>
          <w:sz w:val="22"/>
          <w:szCs w:val="22"/>
        </w:rPr>
        <w:t xml:space="preserve">Hahn, Cynthia., “'Joseph Will Perfect, Mary Enlighten and Jesus Save Thee': The Holy Family as Marriage Model in the </w:t>
      </w:r>
      <w:proofErr w:type="spellStart"/>
      <w:r w:rsidRPr="004927B2">
        <w:rPr>
          <w:sz w:val="22"/>
          <w:szCs w:val="22"/>
        </w:rPr>
        <w:t>Mérode</w:t>
      </w:r>
      <w:proofErr w:type="spellEnd"/>
      <w:r w:rsidRPr="004927B2">
        <w:rPr>
          <w:sz w:val="22"/>
          <w:szCs w:val="22"/>
        </w:rPr>
        <w:t xml:space="preserve"> Triptych.” </w:t>
      </w:r>
      <w:r w:rsidRPr="004927B2">
        <w:rPr>
          <w:i/>
          <w:iCs/>
          <w:sz w:val="22"/>
          <w:szCs w:val="22"/>
        </w:rPr>
        <w:t>The Art Bulletin</w:t>
      </w:r>
      <w:r w:rsidRPr="004927B2">
        <w:rPr>
          <w:sz w:val="22"/>
          <w:szCs w:val="22"/>
        </w:rPr>
        <w:t>, vol. 68, no. 1, 1986, pp. 54–66. </w:t>
      </w:r>
    </w:p>
    <w:p w14:paraId="163D4C7B" w14:textId="77777777" w:rsidR="004927B2" w:rsidRPr="004927B2" w:rsidRDefault="004927B2" w:rsidP="004927B2">
      <w:pPr>
        <w:rPr>
          <w:sz w:val="22"/>
          <w:szCs w:val="22"/>
        </w:rPr>
      </w:pPr>
      <w:r w:rsidRPr="004927B2">
        <w:rPr>
          <w:sz w:val="22"/>
          <w:szCs w:val="22"/>
        </w:rPr>
        <w:t xml:space="preserve">Jacob, John., “The </w:t>
      </w:r>
      <w:proofErr w:type="spellStart"/>
      <w:r w:rsidRPr="004927B2">
        <w:rPr>
          <w:sz w:val="22"/>
          <w:szCs w:val="22"/>
        </w:rPr>
        <w:t>Mérode</w:t>
      </w:r>
      <w:proofErr w:type="spellEnd"/>
      <w:r w:rsidRPr="004927B2">
        <w:rPr>
          <w:sz w:val="22"/>
          <w:szCs w:val="22"/>
        </w:rPr>
        <w:t xml:space="preserve"> Mousetrap.” </w:t>
      </w:r>
      <w:r w:rsidRPr="004927B2">
        <w:rPr>
          <w:i/>
          <w:iCs/>
          <w:sz w:val="22"/>
          <w:szCs w:val="22"/>
        </w:rPr>
        <w:t>The Burlington Magazine</w:t>
      </w:r>
      <w:r w:rsidRPr="004927B2">
        <w:rPr>
          <w:sz w:val="22"/>
          <w:szCs w:val="22"/>
        </w:rPr>
        <w:t>, vol. 108, no. 760, 1966, pp. 373–374. </w:t>
      </w:r>
    </w:p>
    <w:p w14:paraId="48ABD17E" w14:textId="77777777" w:rsidR="004927B2" w:rsidRPr="004927B2" w:rsidRDefault="004927B2" w:rsidP="004927B2">
      <w:pPr>
        <w:rPr>
          <w:sz w:val="22"/>
          <w:szCs w:val="22"/>
        </w:rPr>
      </w:pPr>
      <w:r w:rsidRPr="004927B2">
        <w:rPr>
          <w:sz w:val="22"/>
          <w:szCs w:val="22"/>
        </w:rPr>
        <w:t xml:space="preserve">Minott, Charles Ilsley., “The Theme of the </w:t>
      </w:r>
      <w:proofErr w:type="spellStart"/>
      <w:r w:rsidRPr="004927B2">
        <w:rPr>
          <w:sz w:val="22"/>
          <w:szCs w:val="22"/>
        </w:rPr>
        <w:t>Mérode</w:t>
      </w:r>
      <w:proofErr w:type="spellEnd"/>
      <w:r w:rsidRPr="004927B2">
        <w:rPr>
          <w:sz w:val="22"/>
          <w:szCs w:val="22"/>
        </w:rPr>
        <w:t xml:space="preserve"> Altarpiece.” </w:t>
      </w:r>
      <w:r w:rsidRPr="004927B2">
        <w:rPr>
          <w:i/>
          <w:iCs/>
          <w:sz w:val="22"/>
          <w:szCs w:val="22"/>
        </w:rPr>
        <w:t>The Art Bulletin</w:t>
      </w:r>
      <w:r w:rsidRPr="004927B2">
        <w:rPr>
          <w:sz w:val="22"/>
          <w:szCs w:val="22"/>
        </w:rPr>
        <w:t>, vol. 51, no. 3, 1969, pp. 267–271. </w:t>
      </w:r>
    </w:p>
    <w:p w14:paraId="02909B34" w14:textId="77777777" w:rsidR="004927B2" w:rsidRPr="004927B2" w:rsidRDefault="004927B2" w:rsidP="004927B2">
      <w:pPr>
        <w:rPr>
          <w:sz w:val="22"/>
          <w:szCs w:val="22"/>
        </w:rPr>
      </w:pPr>
      <w:r w:rsidRPr="004927B2">
        <w:rPr>
          <w:sz w:val="22"/>
          <w:szCs w:val="22"/>
        </w:rPr>
        <w:t xml:space="preserve">Nickel, Helmut. “The Mousetraps of the </w:t>
      </w:r>
      <w:proofErr w:type="spellStart"/>
      <w:r w:rsidRPr="004927B2">
        <w:rPr>
          <w:sz w:val="22"/>
          <w:szCs w:val="22"/>
        </w:rPr>
        <w:t>Mérode</w:t>
      </w:r>
      <w:proofErr w:type="spellEnd"/>
      <w:r w:rsidRPr="004927B2">
        <w:rPr>
          <w:sz w:val="22"/>
          <w:szCs w:val="22"/>
        </w:rPr>
        <w:t xml:space="preserve"> </w:t>
      </w:r>
      <w:proofErr w:type="gramStart"/>
      <w:r w:rsidRPr="004927B2">
        <w:rPr>
          <w:sz w:val="22"/>
          <w:szCs w:val="22"/>
        </w:rPr>
        <w:t>Altar-Piece</w:t>
      </w:r>
      <w:proofErr w:type="gramEnd"/>
      <w:r w:rsidRPr="004927B2">
        <w:rPr>
          <w:sz w:val="22"/>
          <w:szCs w:val="22"/>
        </w:rPr>
        <w:t xml:space="preserve"> Again.” </w:t>
      </w:r>
      <w:r w:rsidRPr="004927B2">
        <w:rPr>
          <w:i/>
          <w:iCs/>
          <w:sz w:val="22"/>
          <w:szCs w:val="22"/>
        </w:rPr>
        <w:t>The Burlington Magazine</w:t>
      </w:r>
      <w:r w:rsidRPr="004927B2">
        <w:rPr>
          <w:sz w:val="22"/>
          <w:szCs w:val="22"/>
        </w:rPr>
        <w:t>, vol. 108, no. 764, 1966, pp. 577–580. </w:t>
      </w:r>
    </w:p>
    <w:p w14:paraId="009ED7DC" w14:textId="77777777" w:rsidR="004927B2" w:rsidRPr="004927B2" w:rsidRDefault="004927B2" w:rsidP="004927B2">
      <w:pPr>
        <w:rPr>
          <w:sz w:val="22"/>
          <w:szCs w:val="22"/>
        </w:rPr>
      </w:pPr>
      <w:r w:rsidRPr="004927B2">
        <w:rPr>
          <w:sz w:val="22"/>
          <w:szCs w:val="22"/>
        </w:rPr>
        <w:t xml:space="preserve">Rousseau, Theodore., “The </w:t>
      </w:r>
      <w:proofErr w:type="spellStart"/>
      <w:r w:rsidRPr="004927B2">
        <w:rPr>
          <w:sz w:val="22"/>
          <w:szCs w:val="22"/>
        </w:rPr>
        <w:t>Merode</w:t>
      </w:r>
      <w:proofErr w:type="spellEnd"/>
      <w:r w:rsidRPr="004927B2">
        <w:rPr>
          <w:sz w:val="22"/>
          <w:szCs w:val="22"/>
        </w:rPr>
        <w:t xml:space="preserve"> Altarpiece.” </w:t>
      </w:r>
      <w:r w:rsidRPr="004927B2">
        <w:rPr>
          <w:i/>
          <w:iCs/>
          <w:sz w:val="22"/>
          <w:szCs w:val="22"/>
        </w:rPr>
        <w:t>The Metropolitan Museum of Art Bulletin</w:t>
      </w:r>
      <w:r w:rsidRPr="004927B2">
        <w:rPr>
          <w:sz w:val="22"/>
          <w:szCs w:val="22"/>
        </w:rPr>
        <w:t>, vol. 16, no. 4, 1957, pp. 117–129.</w:t>
      </w:r>
    </w:p>
    <w:p w14:paraId="68CBCEB7" w14:textId="77777777" w:rsidR="004927B2" w:rsidRPr="004927B2" w:rsidRDefault="004927B2" w:rsidP="004927B2">
      <w:pPr>
        <w:rPr>
          <w:sz w:val="22"/>
          <w:szCs w:val="22"/>
        </w:rPr>
      </w:pPr>
      <w:r w:rsidRPr="004927B2">
        <w:rPr>
          <w:sz w:val="22"/>
          <w:szCs w:val="22"/>
        </w:rPr>
        <w:t xml:space="preserve">Schapiro, Meyer., “A Note on the </w:t>
      </w:r>
      <w:proofErr w:type="spellStart"/>
      <w:r w:rsidRPr="004927B2">
        <w:rPr>
          <w:sz w:val="22"/>
          <w:szCs w:val="22"/>
        </w:rPr>
        <w:t>Mérode</w:t>
      </w:r>
      <w:proofErr w:type="spellEnd"/>
      <w:r w:rsidRPr="004927B2">
        <w:rPr>
          <w:sz w:val="22"/>
          <w:szCs w:val="22"/>
        </w:rPr>
        <w:t xml:space="preserve"> Altarpiece.” </w:t>
      </w:r>
      <w:r w:rsidRPr="004927B2">
        <w:rPr>
          <w:i/>
          <w:iCs/>
          <w:sz w:val="22"/>
          <w:szCs w:val="22"/>
        </w:rPr>
        <w:t>The Art Bulletin</w:t>
      </w:r>
      <w:r w:rsidRPr="004927B2">
        <w:rPr>
          <w:sz w:val="22"/>
          <w:szCs w:val="22"/>
        </w:rPr>
        <w:t>, vol. 41, no. 4, 1959, pp. 327–328.</w:t>
      </w:r>
    </w:p>
    <w:p w14:paraId="6DC6315E" w14:textId="77777777" w:rsidR="004927B2" w:rsidRPr="004927B2" w:rsidRDefault="004927B2" w:rsidP="004927B2">
      <w:pPr>
        <w:rPr>
          <w:sz w:val="22"/>
          <w:szCs w:val="22"/>
        </w:rPr>
      </w:pPr>
      <w:r w:rsidRPr="004927B2">
        <w:rPr>
          <w:sz w:val="22"/>
          <w:szCs w:val="22"/>
        </w:rPr>
        <w:t xml:space="preserve">Stein, Wendy A., </w:t>
      </w:r>
      <w:r w:rsidRPr="004927B2">
        <w:rPr>
          <w:i/>
          <w:sz w:val="22"/>
          <w:szCs w:val="22"/>
        </w:rPr>
        <w:t xml:space="preserve">How </w:t>
      </w:r>
      <w:proofErr w:type="gramStart"/>
      <w:r w:rsidRPr="004927B2">
        <w:rPr>
          <w:i/>
          <w:sz w:val="22"/>
          <w:szCs w:val="22"/>
        </w:rPr>
        <w:t>To</w:t>
      </w:r>
      <w:proofErr w:type="gramEnd"/>
      <w:r w:rsidRPr="004927B2">
        <w:rPr>
          <w:i/>
          <w:sz w:val="22"/>
          <w:szCs w:val="22"/>
        </w:rPr>
        <w:t xml:space="preserve"> Read Medieval Art</w:t>
      </w:r>
      <w:r w:rsidRPr="004927B2">
        <w:rPr>
          <w:sz w:val="22"/>
          <w:szCs w:val="22"/>
        </w:rPr>
        <w:t xml:space="preserve"> (The Metropolitan Museum of Art: New York, 2016). </w:t>
      </w:r>
    </w:p>
    <w:p w14:paraId="6760C9A6" w14:textId="77777777" w:rsidR="004927B2" w:rsidRPr="004927B2" w:rsidRDefault="004927B2" w:rsidP="004927B2">
      <w:pPr>
        <w:rPr>
          <w:sz w:val="22"/>
          <w:szCs w:val="22"/>
        </w:rPr>
      </w:pPr>
      <w:r w:rsidRPr="004927B2">
        <w:rPr>
          <w:sz w:val="22"/>
          <w:szCs w:val="22"/>
        </w:rPr>
        <w:t xml:space="preserve">Zupnick, Irving L. “The Mystery of the </w:t>
      </w:r>
      <w:proofErr w:type="spellStart"/>
      <w:r w:rsidRPr="004927B2">
        <w:rPr>
          <w:sz w:val="22"/>
          <w:szCs w:val="22"/>
        </w:rPr>
        <w:t>Mérode</w:t>
      </w:r>
      <w:proofErr w:type="spellEnd"/>
      <w:r w:rsidRPr="004927B2">
        <w:rPr>
          <w:sz w:val="22"/>
          <w:szCs w:val="22"/>
        </w:rPr>
        <w:t xml:space="preserve"> Mousetrap.” </w:t>
      </w:r>
      <w:r w:rsidRPr="004927B2">
        <w:rPr>
          <w:i/>
          <w:iCs/>
          <w:sz w:val="22"/>
          <w:szCs w:val="22"/>
        </w:rPr>
        <w:t>The Burlington Magazine</w:t>
      </w:r>
      <w:r w:rsidRPr="004927B2">
        <w:rPr>
          <w:sz w:val="22"/>
          <w:szCs w:val="22"/>
        </w:rPr>
        <w:t>, vol. 108, no. 756, 1966, pp. 126–133.</w:t>
      </w:r>
    </w:p>
    <w:p w14:paraId="1BA42786" w14:textId="77777777" w:rsidR="004927B2" w:rsidRPr="004927B2" w:rsidRDefault="004927B2">
      <w:pPr>
        <w:rPr>
          <w:sz w:val="22"/>
          <w:szCs w:val="22"/>
        </w:rPr>
      </w:pPr>
    </w:p>
    <w:sectPr w:rsidR="004927B2" w:rsidRPr="004927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4C25E" w14:textId="77777777" w:rsidR="004927B2" w:rsidRDefault="004927B2" w:rsidP="004927B2">
      <w:pPr>
        <w:spacing w:after="0" w:line="240" w:lineRule="auto"/>
      </w:pPr>
      <w:r>
        <w:separator/>
      </w:r>
    </w:p>
  </w:endnote>
  <w:endnote w:type="continuationSeparator" w:id="0">
    <w:p w14:paraId="171F32F6" w14:textId="77777777" w:rsidR="004927B2" w:rsidRDefault="004927B2" w:rsidP="004927B2">
      <w:pPr>
        <w:spacing w:after="0" w:line="240" w:lineRule="auto"/>
      </w:pPr>
      <w:r>
        <w:continuationSeparator/>
      </w:r>
    </w:p>
  </w:endnote>
  <w:endnote w:type="continuationNotice" w:id="1">
    <w:p w14:paraId="6EEFDEFB" w14:textId="77777777" w:rsidR="007B0B30" w:rsidRDefault="007B0B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51EDC" w14:textId="77777777" w:rsidR="004927B2" w:rsidRDefault="004927B2" w:rsidP="004927B2">
      <w:pPr>
        <w:spacing w:after="0" w:line="240" w:lineRule="auto"/>
      </w:pPr>
      <w:r>
        <w:separator/>
      </w:r>
    </w:p>
  </w:footnote>
  <w:footnote w:type="continuationSeparator" w:id="0">
    <w:p w14:paraId="6DBD52D9" w14:textId="77777777" w:rsidR="004927B2" w:rsidRDefault="004927B2" w:rsidP="004927B2">
      <w:pPr>
        <w:spacing w:after="0" w:line="240" w:lineRule="auto"/>
      </w:pPr>
      <w:r>
        <w:continuationSeparator/>
      </w:r>
    </w:p>
  </w:footnote>
  <w:footnote w:type="continuationNotice" w:id="1">
    <w:p w14:paraId="088264CB" w14:textId="77777777" w:rsidR="007B0B30" w:rsidRDefault="007B0B30">
      <w:pPr>
        <w:spacing w:after="0" w:line="240" w:lineRule="auto"/>
      </w:pPr>
    </w:p>
  </w:footnote>
  <w:footnote w:id="2">
    <w:p w14:paraId="0724D1BB" w14:textId="77777777" w:rsidR="004927B2" w:rsidRDefault="004927B2" w:rsidP="004927B2">
      <w:pPr>
        <w:pStyle w:val="FootnoteText"/>
      </w:pPr>
      <w:r>
        <w:rPr>
          <w:rStyle w:val="FootnoteReference"/>
        </w:rPr>
        <w:footnoteRef/>
      </w:r>
      <w:r>
        <w:t xml:space="preserve"> W. A. Stein, </w:t>
      </w:r>
      <w:r>
        <w:rPr>
          <w:i/>
        </w:rPr>
        <w:t xml:space="preserve">How </w:t>
      </w:r>
      <w:proofErr w:type="gramStart"/>
      <w:r>
        <w:rPr>
          <w:i/>
        </w:rPr>
        <w:t>To</w:t>
      </w:r>
      <w:proofErr w:type="gramEnd"/>
      <w:r>
        <w:rPr>
          <w:i/>
        </w:rPr>
        <w:t xml:space="preserve"> Read Medieval Art</w:t>
      </w:r>
      <w:r>
        <w:t xml:space="preserve"> (2016), p. 106</w:t>
      </w:r>
    </w:p>
  </w:footnote>
  <w:footnote w:id="3">
    <w:p w14:paraId="2A8EA00B" w14:textId="77777777" w:rsidR="004927B2" w:rsidRDefault="004927B2" w:rsidP="004927B2">
      <w:pPr>
        <w:pStyle w:val="FootnoteText"/>
      </w:pPr>
      <w:r>
        <w:rPr>
          <w:rStyle w:val="FootnoteReference"/>
        </w:rPr>
        <w:footnoteRef/>
      </w:r>
      <w:r>
        <w:t xml:space="preserve"> W. A. Stein, </w:t>
      </w:r>
      <w:r>
        <w:rPr>
          <w:i/>
        </w:rPr>
        <w:t xml:space="preserve">How </w:t>
      </w:r>
      <w:proofErr w:type="gramStart"/>
      <w:r>
        <w:rPr>
          <w:i/>
        </w:rPr>
        <w:t>To</w:t>
      </w:r>
      <w:proofErr w:type="gramEnd"/>
      <w:r>
        <w:rPr>
          <w:i/>
        </w:rPr>
        <w:t xml:space="preserve"> Read Medieval Art</w:t>
      </w:r>
      <w:r>
        <w:t xml:space="preserve"> (2016), p. 109</w:t>
      </w:r>
    </w:p>
  </w:footnote>
  <w:footnote w:id="4">
    <w:p w14:paraId="3C9E86CF" w14:textId="77777777" w:rsidR="004927B2" w:rsidRDefault="004927B2" w:rsidP="004927B2">
      <w:pPr>
        <w:pStyle w:val="FootnoteText"/>
      </w:pPr>
      <w:r>
        <w:rPr>
          <w:rStyle w:val="FootnoteReference"/>
        </w:rPr>
        <w:footnoteRef/>
      </w:r>
      <w:r>
        <w:t xml:space="preserve"> M. B. Freeman, </w:t>
      </w:r>
      <w:r>
        <w:rPr>
          <w:i/>
        </w:rPr>
        <w:t xml:space="preserve">The Iconography of the </w:t>
      </w:r>
      <w:proofErr w:type="spellStart"/>
      <w:r>
        <w:rPr>
          <w:i/>
        </w:rPr>
        <w:t>Merode</w:t>
      </w:r>
      <w:proofErr w:type="spellEnd"/>
      <w:r>
        <w:rPr>
          <w:i/>
        </w:rPr>
        <w:t xml:space="preserve"> Altarpiece</w:t>
      </w:r>
      <w:r>
        <w:t xml:space="preserve"> (1976), p. 130</w:t>
      </w:r>
    </w:p>
  </w:footnote>
  <w:footnote w:id="5">
    <w:p w14:paraId="28A6919C" w14:textId="77777777" w:rsidR="004927B2" w:rsidRDefault="004927B2" w:rsidP="004927B2">
      <w:pPr>
        <w:pStyle w:val="FootnoteText"/>
      </w:pPr>
      <w:r>
        <w:rPr>
          <w:rStyle w:val="FootnoteReference"/>
        </w:rPr>
        <w:footnoteRef/>
      </w:r>
      <w:r>
        <w:t xml:space="preserve"> M. Schapiro, </w:t>
      </w:r>
      <w:r>
        <w:rPr>
          <w:i/>
        </w:rPr>
        <w:t xml:space="preserve">A Note of the </w:t>
      </w:r>
      <w:proofErr w:type="spellStart"/>
      <w:r>
        <w:rPr>
          <w:i/>
        </w:rPr>
        <w:t>Mérode</w:t>
      </w:r>
      <w:proofErr w:type="spellEnd"/>
      <w:r>
        <w:rPr>
          <w:i/>
        </w:rPr>
        <w:t xml:space="preserve"> </w:t>
      </w:r>
      <w:r>
        <w:t>Altarpiece (1959), p. 328</w:t>
      </w:r>
    </w:p>
  </w:footnote>
  <w:footnote w:id="6">
    <w:p w14:paraId="192CE26B" w14:textId="77777777" w:rsidR="004927B2" w:rsidRDefault="004927B2" w:rsidP="004927B2">
      <w:pPr>
        <w:pStyle w:val="FootnoteText"/>
      </w:pPr>
      <w:r>
        <w:rPr>
          <w:rStyle w:val="FootnoteReference"/>
        </w:rPr>
        <w:footnoteRef/>
      </w:r>
      <w:r>
        <w:t xml:space="preserve"> W. A. Stein, </w:t>
      </w:r>
      <w:r>
        <w:rPr>
          <w:i/>
        </w:rPr>
        <w:t xml:space="preserve">How </w:t>
      </w:r>
      <w:proofErr w:type="gramStart"/>
      <w:r>
        <w:rPr>
          <w:i/>
        </w:rPr>
        <w:t>To</w:t>
      </w:r>
      <w:proofErr w:type="gramEnd"/>
      <w:r>
        <w:rPr>
          <w:i/>
        </w:rPr>
        <w:t xml:space="preserve"> Read Medieval Art</w:t>
      </w:r>
      <w:r>
        <w:t xml:space="preserve"> (2016), p. 109</w:t>
      </w:r>
    </w:p>
  </w:footnote>
  <w:footnote w:id="7">
    <w:p w14:paraId="69F6E70E" w14:textId="77777777" w:rsidR="004927B2" w:rsidRDefault="004927B2" w:rsidP="004927B2">
      <w:pPr>
        <w:pStyle w:val="FootnoteText"/>
      </w:pPr>
      <w:r>
        <w:rPr>
          <w:rStyle w:val="FootnoteReference"/>
        </w:rPr>
        <w:footnoteRef/>
      </w:r>
      <w:r>
        <w:t xml:space="preserve"> W. A. Stein, </w:t>
      </w:r>
      <w:r>
        <w:rPr>
          <w:i/>
        </w:rPr>
        <w:t xml:space="preserve">How </w:t>
      </w:r>
      <w:proofErr w:type="gramStart"/>
      <w:r>
        <w:rPr>
          <w:i/>
        </w:rPr>
        <w:t>To</w:t>
      </w:r>
      <w:proofErr w:type="gramEnd"/>
      <w:r>
        <w:rPr>
          <w:i/>
        </w:rPr>
        <w:t xml:space="preserve"> Read Medieval Art</w:t>
      </w:r>
      <w:r>
        <w:t xml:space="preserve"> (2016), p. 109</w:t>
      </w:r>
    </w:p>
  </w:footnote>
  <w:footnote w:id="8">
    <w:p w14:paraId="400AE92A" w14:textId="77777777" w:rsidR="004927B2" w:rsidRDefault="004927B2" w:rsidP="004927B2">
      <w:pPr>
        <w:pStyle w:val="FootnoteText"/>
      </w:pPr>
      <w:r>
        <w:rPr>
          <w:rStyle w:val="FootnoteReference"/>
        </w:rPr>
        <w:footnoteRef/>
      </w:r>
      <w:r>
        <w:t xml:space="preserve"> M. B. Freeman, </w:t>
      </w:r>
      <w:r>
        <w:rPr>
          <w:i/>
        </w:rPr>
        <w:t xml:space="preserve">The Iconography of the </w:t>
      </w:r>
      <w:proofErr w:type="spellStart"/>
      <w:r>
        <w:rPr>
          <w:i/>
        </w:rPr>
        <w:t>Merode</w:t>
      </w:r>
      <w:proofErr w:type="spellEnd"/>
      <w:r>
        <w:rPr>
          <w:i/>
        </w:rPr>
        <w:t xml:space="preserve"> Altarpiece</w:t>
      </w:r>
      <w:r>
        <w:t xml:space="preserve"> (1976), p. 131</w:t>
      </w:r>
    </w:p>
  </w:footnote>
  <w:footnote w:id="9">
    <w:p w14:paraId="7D9FCB5E" w14:textId="77777777" w:rsidR="004927B2" w:rsidRDefault="004927B2" w:rsidP="004927B2">
      <w:pPr>
        <w:pStyle w:val="FootnoteText"/>
      </w:pPr>
      <w:r>
        <w:rPr>
          <w:rStyle w:val="FootnoteReference"/>
        </w:rPr>
        <w:footnoteRef/>
      </w:r>
      <w:r>
        <w:t xml:space="preserve"> J. De Coo, </w:t>
      </w:r>
      <w:r>
        <w:rPr>
          <w:rFonts w:cs="Arial"/>
          <w:i/>
          <w:shd w:val="clear" w:color="auto" w:fill="FFFFFF"/>
        </w:rPr>
        <w:t xml:space="preserve">A Medieval Look at the </w:t>
      </w:r>
      <w:proofErr w:type="spellStart"/>
      <w:r>
        <w:rPr>
          <w:rFonts w:cs="Arial"/>
          <w:i/>
          <w:shd w:val="clear" w:color="auto" w:fill="FFFFFF"/>
        </w:rPr>
        <w:t>Merode</w:t>
      </w:r>
      <w:proofErr w:type="spellEnd"/>
      <w:r>
        <w:rPr>
          <w:rFonts w:cs="Arial"/>
          <w:i/>
          <w:shd w:val="clear" w:color="auto" w:fill="FFFFFF"/>
        </w:rPr>
        <w:t xml:space="preserve"> Annunciation</w:t>
      </w:r>
      <w:r>
        <w:rPr>
          <w:rFonts w:cs="Arial"/>
          <w:shd w:val="clear" w:color="auto" w:fill="FFFFFF"/>
        </w:rPr>
        <w:t xml:space="preserve"> (1981), p. 114</w:t>
      </w:r>
    </w:p>
  </w:footnote>
  <w:footnote w:id="10">
    <w:p w14:paraId="7649D08D" w14:textId="77777777" w:rsidR="004927B2" w:rsidRDefault="004927B2" w:rsidP="004927B2">
      <w:pPr>
        <w:pStyle w:val="FootnoteText"/>
      </w:pPr>
      <w:r>
        <w:rPr>
          <w:rStyle w:val="FootnoteReference"/>
        </w:rPr>
        <w:footnoteRef/>
      </w:r>
      <w:r>
        <w:t xml:space="preserve"> J. De Coo, </w:t>
      </w:r>
      <w:r>
        <w:rPr>
          <w:rFonts w:cs="Arial"/>
          <w:i/>
          <w:shd w:val="clear" w:color="auto" w:fill="FFFFFF"/>
        </w:rPr>
        <w:t xml:space="preserve">A Medieval Look at the </w:t>
      </w:r>
      <w:proofErr w:type="spellStart"/>
      <w:r>
        <w:rPr>
          <w:rFonts w:cs="Arial"/>
          <w:i/>
          <w:shd w:val="clear" w:color="auto" w:fill="FFFFFF"/>
        </w:rPr>
        <w:t>Merode</w:t>
      </w:r>
      <w:proofErr w:type="spellEnd"/>
      <w:r>
        <w:rPr>
          <w:rFonts w:cs="Arial"/>
          <w:i/>
          <w:shd w:val="clear" w:color="auto" w:fill="FFFFFF"/>
        </w:rPr>
        <w:t xml:space="preserve"> Annunciation</w:t>
      </w:r>
      <w:r>
        <w:rPr>
          <w:rFonts w:cs="Arial"/>
          <w:shd w:val="clear" w:color="auto" w:fill="FFFFFF"/>
        </w:rPr>
        <w:t xml:space="preserve"> (1981), p. 115</w:t>
      </w:r>
    </w:p>
  </w:footnote>
  <w:footnote w:id="11">
    <w:p w14:paraId="08D2B7B9" w14:textId="77777777" w:rsidR="004927B2" w:rsidRDefault="004927B2" w:rsidP="004927B2">
      <w:pPr>
        <w:pStyle w:val="FootnoteText"/>
      </w:pPr>
      <w:r>
        <w:rPr>
          <w:rStyle w:val="FootnoteReference"/>
        </w:rPr>
        <w:footnoteRef/>
      </w:r>
      <w:r>
        <w:t xml:space="preserve"> </w:t>
      </w:r>
      <w:r>
        <w:rPr>
          <w:i/>
        </w:rPr>
        <w:t>Ibid.</w:t>
      </w:r>
    </w:p>
  </w:footnote>
  <w:footnote w:id="12">
    <w:p w14:paraId="16DEE97C" w14:textId="77777777" w:rsidR="004927B2" w:rsidRDefault="004927B2" w:rsidP="004927B2">
      <w:pPr>
        <w:pStyle w:val="FootnoteText"/>
      </w:pPr>
      <w:r>
        <w:rPr>
          <w:rStyle w:val="FootnoteReference"/>
        </w:rPr>
        <w:footnoteRef/>
      </w:r>
      <w:r>
        <w:t xml:space="preserve"> J. De Coo, </w:t>
      </w:r>
      <w:r>
        <w:rPr>
          <w:rFonts w:cs="Arial"/>
          <w:i/>
          <w:shd w:val="clear" w:color="auto" w:fill="FFFFFF"/>
        </w:rPr>
        <w:t xml:space="preserve">A Medieval Look at the </w:t>
      </w:r>
      <w:proofErr w:type="spellStart"/>
      <w:r>
        <w:rPr>
          <w:rFonts w:cs="Arial"/>
          <w:i/>
          <w:shd w:val="clear" w:color="auto" w:fill="FFFFFF"/>
        </w:rPr>
        <w:t>Merode</w:t>
      </w:r>
      <w:proofErr w:type="spellEnd"/>
      <w:r>
        <w:rPr>
          <w:rFonts w:cs="Arial"/>
          <w:i/>
          <w:shd w:val="clear" w:color="auto" w:fill="FFFFFF"/>
        </w:rPr>
        <w:t xml:space="preserve"> Annunciation</w:t>
      </w:r>
      <w:r>
        <w:rPr>
          <w:rFonts w:cs="Arial"/>
          <w:shd w:val="clear" w:color="auto" w:fill="FFFFFF"/>
        </w:rPr>
        <w:t xml:space="preserve"> (1981), pp. 116-117</w:t>
      </w:r>
    </w:p>
  </w:footnote>
  <w:footnote w:id="13">
    <w:p w14:paraId="00AFF325" w14:textId="77777777" w:rsidR="004927B2" w:rsidRDefault="004927B2" w:rsidP="004927B2">
      <w:pPr>
        <w:pStyle w:val="FootnoteText"/>
      </w:pPr>
      <w:r>
        <w:rPr>
          <w:rStyle w:val="FootnoteReference"/>
        </w:rPr>
        <w:footnoteRef/>
      </w:r>
      <w:r>
        <w:t xml:space="preserve"> </w:t>
      </w:r>
      <w:r>
        <w:rPr>
          <w:i/>
        </w:rPr>
        <w:t>Ibid.</w:t>
      </w:r>
    </w:p>
  </w:footnote>
  <w:footnote w:id="14">
    <w:p w14:paraId="790F95A6" w14:textId="77777777" w:rsidR="004927B2" w:rsidRDefault="004927B2" w:rsidP="004927B2">
      <w:pPr>
        <w:pStyle w:val="FootnoteText"/>
      </w:pPr>
      <w:r>
        <w:rPr>
          <w:rStyle w:val="FootnoteReference"/>
        </w:rPr>
        <w:footnoteRef/>
      </w:r>
      <w:r>
        <w:t xml:space="preserve"> C. Hahn, </w:t>
      </w:r>
      <w:r>
        <w:rPr>
          <w:rFonts w:cs="Arial"/>
          <w:i/>
          <w:shd w:val="clear" w:color="auto" w:fill="FFFFFF"/>
        </w:rPr>
        <w:t xml:space="preserve">‘Joseph Will Perfect, Mary Enlighten and Jesus Save Thee': The Holy Family as Marriage Model in the </w:t>
      </w:r>
      <w:proofErr w:type="spellStart"/>
      <w:r>
        <w:rPr>
          <w:rFonts w:cs="Arial"/>
          <w:i/>
          <w:shd w:val="clear" w:color="auto" w:fill="FFFFFF"/>
        </w:rPr>
        <w:t>Mérode</w:t>
      </w:r>
      <w:proofErr w:type="spellEnd"/>
      <w:r>
        <w:rPr>
          <w:rFonts w:cs="Arial"/>
          <w:i/>
          <w:shd w:val="clear" w:color="auto" w:fill="FFFFFF"/>
        </w:rPr>
        <w:t xml:space="preserve"> Triptych</w:t>
      </w:r>
      <w:r>
        <w:rPr>
          <w:rFonts w:cs="Arial"/>
          <w:shd w:val="clear" w:color="auto" w:fill="FFFFFF"/>
        </w:rPr>
        <w:t xml:space="preserve"> (1986), p. 62</w:t>
      </w:r>
    </w:p>
  </w:footnote>
  <w:footnote w:id="15">
    <w:p w14:paraId="65ECFEE2" w14:textId="77777777" w:rsidR="004927B2" w:rsidRDefault="004927B2" w:rsidP="004927B2">
      <w:pPr>
        <w:pStyle w:val="FootnoteText"/>
      </w:pPr>
      <w:r>
        <w:rPr>
          <w:rStyle w:val="FootnoteReference"/>
        </w:rPr>
        <w:footnoteRef/>
      </w:r>
      <w:r>
        <w:t xml:space="preserve"> M. Schapiro, </w:t>
      </w:r>
      <w:r>
        <w:rPr>
          <w:i/>
        </w:rPr>
        <w:t xml:space="preserve">A Note of the </w:t>
      </w:r>
      <w:proofErr w:type="spellStart"/>
      <w:r>
        <w:rPr>
          <w:i/>
        </w:rPr>
        <w:t>Mérode</w:t>
      </w:r>
      <w:proofErr w:type="spellEnd"/>
      <w:r>
        <w:rPr>
          <w:i/>
        </w:rPr>
        <w:t xml:space="preserve"> </w:t>
      </w:r>
      <w:r>
        <w:t>Altarpiece (1959), p. 328</w:t>
      </w:r>
    </w:p>
  </w:footnote>
  <w:footnote w:id="16">
    <w:p w14:paraId="4FFB19F7" w14:textId="77777777" w:rsidR="004927B2" w:rsidRDefault="004927B2" w:rsidP="004927B2">
      <w:pPr>
        <w:pStyle w:val="FootnoteText"/>
      </w:pPr>
      <w:r>
        <w:rPr>
          <w:rStyle w:val="FootnoteReference"/>
        </w:rPr>
        <w:footnoteRef/>
      </w:r>
      <w:r>
        <w:t xml:space="preserve"> C. Hahn, </w:t>
      </w:r>
      <w:r>
        <w:rPr>
          <w:rFonts w:cs="Arial"/>
          <w:i/>
          <w:shd w:val="clear" w:color="auto" w:fill="FFFFFF"/>
        </w:rPr>
        <w:t xml:space="preserve">‘Joseph Will Perfect, Mary Enlighten and Jesus Save Thee': The Holy Family as Marriage Model in the </w:t>
      </w:r>
      <w:proofErr w:type="spellStart"/>
      <w:r>
        <w:rPr>
          <w:rFonts w:cs="Arial"/>
          <w:i/>
          <w:shd w:val="clear" w:color="auto" w:fill="FFFFFF"/>
        </w:rPr>
        <w:t>Mérode</w:t>
      </w:r>
      <w:proofErr w:type="spellEnd"/>
      <w:r>
        <w:rPr>
          <w:rFonts w:cs="Arial"/>
          <w:i/>
          <w:shd w:val="clear" w:color="auto" w:fill="FFFFFF"/>
        </w:rPr>
        <w:t xml:space="preserve"> Triptych</w:t>
      </w:r>
      <w:r>
        <w:rPr>
          <w:rFonts w:cs="Arial"/>
          <w:shd w:val="clear" w:color="auto" w:fill="FFFFFF"/>
        </w:rPr>
        <w:t xml:space="preserve"> (1986), p. 63</w:t>
      </w:r>
    </w:p>
  </w:footnote>
  <w:footnote w:id="17">
    <w:p w14:paraId="6F1FE7DA" w14:textId="77777777" w:rsidR="004927B2" w:rsidRDefault="004927B2" w:rsidP="004927B2">
      <w:pPr>
        <w:pStyle w:val="FootnoteText"/>
      </w:pPr>
      <w:r>
        <w:rPr>
          <w:rStyle w:val="FootnoteReference"/>
        </w:rPr>
        <w:footnoteRef/>
      </w:r>
      <w:r>
        <w:t xml:space="preserve"> M. B. Freeman, </w:t>
      </w:r>
      <w:r>
        <w:rPr>
          <w:i/>
        </w:rPr>
        <w:t xml:space="preserve">The Iconography of the </w:t>
      </w:r>
      <w:proofErr w:type="spellStart"/>
      <w:r>
        <w:rPr>
          <w:i/>
        </w:rPr>
        <w:t>Merode</w:t>
      </w:r>
      <w:proofErr w:type="spellEnd"/>
      <w:r>
        <w:rPr>
          <w:i/>
        </w:rPr>
        <w:t xml:space="preserve"> Altarpiece</w:t>
      </w:r>
      <w:r>
        <w:t xml:space="preserve"> (1976), p. 134</w:t>
      </w:r>
    </w:p>
  </w:footnote>
  <w:footnote w:id="18">
    <w:p w14:paraId="360E8F35" w14:textId="77777777" w:rsidR="004927B2" w:rsidRDefault="004927B2" w:rsidP="004927B2">
      <w:pPr>
        <w:pStyle w:val="FootnoteText"/>
      </w:pPr>
      <w:r>
        <w:rPr>
          <w:rStyle w:val="FootnoteReference"/>
        </w:rPr>
        <w:footnoteRef/>
      </w:r>
      <w:r>
        <w:t xml:space="preserve"> C. I. Minott,</w:t>
      </w:r>
      <w:r>
        <w:rPr>
          <w:i/>
        </w:rPr>
        <w:t xml:space="preserve"> </w:t>
      </w:r>
      <w:r>
        <w:rPr>
          <w:rFonts w:cs="Arial"/>
          <w:i/>
          <w:shd w:val="clear" w:color="auto" w:fill="FFFFFF"/>
        </w:rPr>
        <w:t xml:space="preserve">The Theme of the </w:t>
      </w:r>
      <w:proofErr w:type="spellStart"/>
      <w:r>
        <w:rPr>
          <w:rFonts w:cs="Arial"/>
          <w:i/>
          <w:shd w:val="clear" w:color="auto" w:fill="FFFFFF"/>
        </w:rPr>
        <w:t>Mérode</w:t>
      </w:r>
      <w:proofErr w:type="spellEnd"/>
      <w:r>
        <w:rPr>
          <w:rFonts w:cs="Arial"/>
          <w:i/>
          <w:shd w:val="clear" w:color="auto" w:fill="FFFFFF"/>
        </w:rPr>
        <w:t xml:space="preserve"> Altarpiece</w:t>
      </w:r>
      <w:r>
        <w:rPr>
          <w:rFonts w:cs="Arial"/>
          <w:shd w:val="clear" w:color="auto" w:fill="FFFFFF"/>
        </w:rPr>
        <w:t xml:space="preserve"> (1969), p. 270</w:t>
      </w:r>
    </w:p>
  </w:footnote>
  <w:footnote w:id="19">
    <w:p w14:paraId="6798A537" w14:textId="77777777" w:rsidR="004927B2" w:rsidRDefault="004927B2" w:rsidP="004927B2">
      <w:pPr>
        <w:pStyle w:val="FootnoteText"/>
      </w:pPr>
      <w:r>
        <w:rPr>
          <w:rStyle w:val="FootnoteReference"/>
        </w:rPr>
        <w:footnoteRef/>
      </w:r>
      <w:r>
        <w:t xml:space="preserve"> </w:t>
      </w:r>
      <w:r>
        <w:rPr>
          <w:i/>
        </w:rPr>
        <w:t>Ibid.</w:t>
      </w:r>
    </w:p>
  </w:footnote>
  <w:footnote w:id="20">
    <w:p w14:paraId="66071B53" w14:textId="77777777" w:rsidR="004927B2" w:rsidRDefault="004927B2" w:rsidP="004927B2">
      <w:pPr>
        <w:pStyle w:val="FootnoteText"/>
      </w:pPr>
      <w:r>
        <w:rPr>
          <w:rStyle w:val="FootnoteReference"/>
        </w:rPr>
        <w:footnoteRef/>
      </w:r>
      <w:r>
        <w:t xml:space="preserve"> C. I. Minott,</w:t>
      </w:r>
      <w:r>
        <w:rPr>
          <w:i/>
        </w:rPr>
        <w:t xml:space="preserve"> </w:t>
      </w:r>
      <w:r>
        <w:rPr>
          <w:rFonts w:cs="Arial"/>
          <w:i/>
          <w:shd w:val="clear" w:color="auto" w:fill="FFFFFF"/>
        </w:rPr>
        <w:t xml:space="preserve">The Theme of the </w:t>
      </w:r>
      <w:proofErr w:type="spellStart"/>
      <w:r>
        <w:rPr>
          <w:rFonts w:cs="Arial"/>
          <w:i/>
          <w:shd w:val="clear" w:color="auto" w:fill="FFFFFF"/>
        </w:rPr>
        <w:t>Mérode</w:t>
      </w:r>
      <w:proofErr w:type="spellEnd"/>
      <w:r>
        <w:rPr>
          <w:rFonts w:cs="Arial"/>
          <w:i/>
          <w:shd w:val="clear" w:color="auto" w:fill="FFFFFF"/>
        </w:rPr>
        <w:t xml:space="preserve"> Altarpiece</w:t>
      </w:r>
      <w:r>
        <w:rPr>
          <w:rFonts w:cs="Arial"/>
          <w:shd w:val="clear" w:color="auto" w:fill="FFFFFF"/>
        </w:rPr>
        <w:t xml:space="preserve"> (1969), pp. 267-268 </w:t>
      </w:r>
    </w:p>
  </w:footnote>
  <w:footnote w:id="21">
    <w:p w14:paraId="39B03205" w14:textId="77777777" w:rsidR="004927B2" w:rsidRDefault="004927B2" w:rsidP="004927B2">
      <w:pPr>
        <w:pStyle w:val="FootnoteText"/>
      </w:pPr>
      <w:r>
        <w:rPr>
          <w:rStyle w:val="FootnoteReference"/>
        </w:rPr>
        <w:footnoteRef/>
      </w:r>
      <w:r>
        <w:t xml:space="preserve"> C. Hahn, </w:t>
      </w:r>
      <w:r>
        <w:rPr>
          <w:rFonts w:cs="Arial"/>
          <w:i/>
          <w:shd w:val="clear" w:color="auto" w:fill="FFFFFF"/>
        </w:rPr>
        <w:t xml:space="preserve">‘Joseph Will Perfect, Mary Enlighten and Jesus Save Thee': The Holy Family as Marriage Model in the </w:t>
      </w:r>
      <w:proofErr w:type="spellStart"/>
      <w:r>
        <w:rPr>
          <w:rFonts w:cs="Arial"/>
          <w:i/>
          <w:shd w:val="clear" w:color="auto" w:fill="FFFFFF"/>
        </w:rPr>
        <w:t>Mérode</w:t>
      </w:r>
      <w:proofErr w:type="spellEnd"/>
      <w:r>
        <w:rPr>
          <w:rFonts w:cs="Arial"/>
          <w:i/>
          <w:shd w:val="clear" w:color="auto" w:fill="FFFFFF"/>
        </w:rPr>
        <w:t xml:space="preserve"> Triptych</w:t>
      </w:r>
      <w:r>
        <w:rPr>
          <w:rFonts w:cs="Arial"/>
          <w:shd w:val="clear" w:color="auto" w:fill="FFFFFF"/>
        </w:rPr>
        <w:t xml:space="preserve"> (1986), pp. 57-58</w:t>
      </w:r>
    </w:p>
  </w:footnote>
  <w:footnote w:id="22">
    <w:p w14:paraId="377BAEC0" w14:textId="77777777" w:rsidR="004927B2" w:rsidRDefault="004927B2" w:rsidP="004927B2">
      <w:pPr>
        <w:pStyle w:val="FootnoteText"/>
      </w:pPr>
      <w:r>
        <w:rPr>
          <w:rStyle w:val="FootnoteReference"/>
        </w:rPr>
        <w:footnoteRef/>
      </w:r>
      <w:r>
        <w:t xml:space="preserve"> C. Hahn, </w:t>
      </w:r>
      <w:r>
        <w:rPr>
          <w:rFonts w:cs="Arial"/>
          <w:i/>
          <w:shd w:val="clear" w:color="auto" w:fill="FFFFFF"/>
        </w:rPr>
        <w:t xml:space="preserve">‘Joseph Will Perfect, Mary Enlighten and Jesus Save Thee': The Holy Family as Marriage Model in the </w:t>
      </w:r>
      <w:proofErr w:type="spellStart"/>
      <w:r>
        <w:rPr>
          <w:rFonts w:cs="Arial"/>
          <w:i/>
          <w:shd w:val="clear" w:color="auto" w:fill="FFFFFF"/>
        </w:rPr>
        <w:t>Mérode</w:t>
      </w:r>
      <w:proofErr w:type="spellEnd"/>
      <w:r>
        <w:rPr>
          <w:rFonts w:cs="Arial"/>
          <w:i/>
          <w:shd w:val="clear" w:color="auto" w:fill="FFFFFF"/>
        </w:rPr>
        <w:t xml:space="preserve"> Triptych</w:t>
      </w:r>
      <w:r>
        <w:rPr>
          <w:rFonts w:cs="Arial"/>
          <w:shd w:val="clear" w:color="auto" w:fill="FFFFFF"/>
        </w:rPr>
        <w:t xml:space="preserve"> (1986), p. 56</w:t>
      </w:r>
    </w:p>
  </w:footnote>
  <w:footnote w:id="23">
    <w:p w14:paraId="1EEBD9CA" w14:textId="77777777" w:rsidR="004927B2" w:rsidRDefault="004927B2" w:rsidP="004927B2">
      <w:pPr>
        <w:pStyle w:val="FootnoteText"/>
      </w:pPr>
      <w:r>
        <w:rPr>
          <w:rStyle w:val="FootnoteReference"/>
        </w:rPr>
        <w:footnoteRef/>
      </w:r>
      <w:r>
        <w:t xml:space="preserve"> I. L. </w:t>
      </w:r>
      <w:r>
        <w:rPr>
          <w:rFonts w:cs="Arial"/>
          <w:shd w:val="clear" w:color="auto" w:fill="FFFFFF"/>
        </w:rPr>
        <w:t xml:space="preserve">Zupnick, </w:t>
      </w:r>
      <w:r>
        <w:rPr>
          <w:rFonts w:cs="Arial"/>
          <w:i/>
          <w:shd w:val="clear" w:color="auto" w:fill="FFFFFF"/>
        </w:rPr>
        <w:t xml:space="preserve">The Mystery of the </w:t>
      </w:r>
      <w:proofErr w:type="spellStart"/>
      <w:r>
        <w:rPr>
          <w:rFonts w:cs="Arial"/>
          <w:i/>
          <w:shd w:val="clear" w:color="auto" w:fill="FFFFFF"/>
        </w:rPr>
        <w:t>Mérode</w:t>
      </w:r>
      <w:proofErr w:type="spellEnd"/>
      <w:r>
        <w:rPr>
          <w:rFonts w:cs="Arial"/>
          <w:i/>
          <w:shd w:val="clear" w:color="auto" w:fill="FFFFFF"/>
        </w:rPr>
        <w:t xml:space="preserve"> Mousetrap</w:t>
      </w:r>
      <w:r>
        <w:rPr>
          <w:rFonts w:cs="Arial"/>
          <w:shd w:val="clear" w:color="auto" w:fill="FFFFFF"/>
        </w:rPr>
        <w:t xml:space="preserve"> (1966), p. 126</w:t>
      </w:r>
    </w:p>
  </w:footnote>
  <w:footnote w:id="24">
    <w:p w14:paraId="590ECC49" w14:textId="77777777" w:rsidR="004927B2" w:rsidRDefault="004927B2" w:rsidP="004927B2">
      <w:pPr>
        <w:pStyle w:val="FootnoteText"/>
      </w:pPr>
      <w:r>
        <w:rPr>
          <w:rStyle w:val="FootnoteReference"/>
        </w:rPr>
        <w:footnoteRef/>
      </w:r>
      <w:r>
        <w:t xml:space="preserve"> C. Hahn, </w:t>
      </w:r>
      <w:r>
        <w:rPr>
          <w:rFonts w:cs="Arial"/>
          <w:i/>
          <w:shd w:val="clear" w:color="auto" w:fill="FFFFFF"/>
        </w:rPr>
        <w:t xml:space="preserve">‘Joseph Will Perfect, Mary Enlighten and Jesus Save Thee': The Holy Family as Marriage Model in the </w:t>
      </w:r>
      <w:proofErr w:type="spellStart"/>
      <w:r>
        <w:rPr>
          <w:rFonts w:cs="Arial"/>
          <w:i/>
          <w:shd w:val="clear" w:color="auto" w:fill="FFFFFF"/>
        </w:rPr>
        <w:t>Mérode</w:t>
      </w:r>
      <w:proofErr w:type="spellEnd"/>
      <w:r>
        <w:rPr>
          <w:rFonts w:cs="Arial"/>
          <w:i/>
          <w:shd w:val="clear" w:color="auto" w:fill="FFFFFF"/>
        </w:rPr>
        <w:t xml:space="preserve"> Triptych</w:t>
      </w:r>
      <w:r>
        <w:rPr>
          <w:rFonts w:cs="Arial"/>
          <w:shd w:val="clear" w:color="auto" w:fill="FFFFFF"/>
        </w:rPr>
        <w:t xml:space="preserve"> (1986), p. 57</w:t>
      </w:r>
    </w:p>
  </w:footnote>
  <w:footnote w:id="25">
    <w:p w14:paraId="27BFE550" w14:textId="77777777" w:rsidR="004927B2" w:rsidRDefault="004927B2" w:rsidP="004927B2">
      <w:pPr>
        <w:pStyle w:val="FootnoteText"/>
      </w:pPr>
      <w:r>
        <w:rPr>
          <w:rStyle w:val="FootnoteReference"/>
        </w:rPr>
        <w:footnoteRef/>
      </w:r>
      <w:r>
        <w:t xml:space="preserve"> M. B. Freeman, </w:t>
      </w:r>
      <w:r>
        <w:rPr>
          <w:i/>
        </w:rPr>
        <w:t xml:space="preserve">The Iconography of the </w:t>
      </w:r>
      <w:proofErr w:type="spellStart"/>
      <w:r>
        <w:rPr>
          <w:i/>
        </w:rPr>
        <w:t>Merode</w:t>
      </w:r>
      <w:proofErr w:type="spellEnd"/>
      <w:r>
        <w:rPr>
          <w:i/>
        </w:rPr>
        <w:t xml:space="preserve"> Altarpiece</w:t>
      </w:r>
      <w:r>
        <w:t xml:space="preserve"> (1976), p. 138</w:t>
      </w:r>
    </w:p>
  </w:footnote>
  <w:footnote w:id="26">
    <w:p w14:paraId="07CCEAE8" w14:textId="77777777" w:rsidR="004927B2" w:rsidRDefault="004927B2" w:rsidP="004927B2">
      <w:pPr>
        <w:pStyle w:val="FootnoteText"/>
      </w:pPr>
      <w:r>
        <w:rPr>
          <w:rStyle w:val="FootnoteReference"/>
        </w:rPr>
        <w:footnoteRef/>
      </w:r>
      <w:r>
        <w:t xml:space="preserve"> </w:t>
      </w:r>
      <w:r>
        <w:rPr>
          <w:i/>
        </w:rPr>
        <w:t>Ibid.</w:t>
      </w:r>
    </w:p>
  </w:footnote>
  <w:footnote w:id="27">
    <w:p w14:paraId="5B5C8CA3" w14:textId="77777777" w:rsidR="004927B2" w:rsidRDefault="004927B2" w:rsidP="004927B2">
      <w:pPr>
        <w:pStyle w:val="FootnoteText"/>
      </w:pPr>
      <w:r>
        <w:rPr>
          <w:rStyle w:val="FootnoteReference"/>
        </w:rPr>
        <w:footnoteRef/>
      </w:r>
      <w:r>
        <w:t xml:space="preserve"> J. </w:t>
      </w:r>
      <w:r>
        <w:rPr>
          <w:rFonts w:cs="Arial"/>
          <w:shd w:val="clear" w:color="auto" w:fill="FFFFFF"/>
        </w:rPr>
        <w:t xml:space="preserve">Duchesne-Guillemin, </w:t>
      </w:r>
      <w:r>
        <w:rPr>
          <w:rFonts w:cs="Arial"/>
          <w:i/>
          <w:shd w:val="clear" w:color="auto" w:fill="FFFFFF"/>
        </w:rPr>
        <w:t xml:space="preserve">On the Cityscape of the </w:t>
      </w:r>
      <w:proofErr w:type="spellStart"/>
      <w:r>
        <w:rPr>
          <w:rFonts w:cs="Arial"/>
          <w:i/>
          <w:shd w:val="clear" w:color="auto" w:fill="FFFFFF"/>
        </w:rPr>
        <w:t>Mérode</w:t>
      </w:r>
      <w:proofErr w:type="spellEnd"/>
      <w:r>
        <w:rPr>
          <w:rFonts w:cs="Arial"/>
          <w:i/>
          <w:shd w:val="clear" w:color="auto" w:fill="FFFFFF"/>
        </w:rPr>
        <w:t xml:space="preserve"> Altarpiece</w:t>
      </w:r>
      <w:r>
        <w:rPr>
          <w:i/>
        </w:rPr>
        <w:t xml:space="preserve"> </w:t>
      </w:r>
      <w:r>
        <w:t>(1976), p. 129</w:t>
      </w:r>
    </w:p>
  </w:footnote>
  <w:footnote w:id="28">
    <w:p w14:paraId="088C3890" w14:textId="77777777" w:rsidR="004927B2" w:rsidRDefault="004927B2" w:rsidP="004927B2">
      <w:pPr>
        <w:pStyle w:val="FootnoteText"/>
      </w:pPr>
      <w:r>
        <w:rPr>
          <w:rStyle w:val="FootnoteReference"/>
        </w:rPr>
        <w:footnoteRef/>
      </w:r>
      <w:r>
        <w:t xml:space="preserve"> J. </w:t>
      </w:r>
      <w:r>
        <w:rPr>
          <w:rFonts w:cs="Arial"/>
          <w:shd w:val="clear" w:color="auto" w:fill="FFFFFF"/>
        </w:rPr>
        <w:t xml:space="preserve">Duchesne-Guillemin, </w:t>
      </w:r>
      <w:r>
        <w:rPr>
          <w:rFonts w:cs="Arial"/>
          <w:i/>
          <w:shd w:val="clear" w:color="auto" w:fill="FFFFFF"/>
        </w:rPr>
        <w:t xml:space="preserve">On the Cityscape of the </w:t>
      </w:r>
      <w:proofErr w:type="spellStart"/>
      <w:r>
        <w:rPr>
          <w:rFonts w:cs="Arial"/>
          <w:i/>
          <w:shd w:val="clear" w:color="auto" w:fill="FFFFFF"/>
        </w:rPr>
        <w:t>Mérode</w:t>
      </w:r>
      <w:proofErr w:type="spellEnd"/>
      <w:r>
        <w:rPr>
          <w:rFonts w:cs="Arial"/>
          <w:i/>
          <w:shd w:val="clear" w:color="auto" w:fill="FFFFFF"/>
        </w:rPr>
        <w:t xml:space="preserve"> Altarpiece</w:t>
      </w:r>
      <w:r>
        <w:rPr>
          <w:i/>
        </w:rPr>
        <w:t xml:space="preserve"> </w:t>
      </w:r>
      <w:r>
        <w:t>(1976), pp. 130-131</w:t>
      </w:r>
    </w:p>
  </w:footnote>
  <w:footnote w:id="29">
    <w:p w14:paraId="06629CA5" w14:textId="77777777" w:rsidR="004927B2" w:rsidRDefault="004927B2" w:rsidP="004927B2">
      <w:pPr>
        <w:pStyle w:val="FootnoteText"/>
      </w:pPr>
      <w:r>
        <w:rPr>
          <w:rStyle w:val="FootnoteReference"/>
        </w:rPr>
        <w:footnoteRef/>
      </w:r>
      <w:r>
        <w:t xml:space="preserve"> C. I. Minott,</w:t>
      </w:r>
      <w:r>
        <w:rPr>
          <w:i/>
        </w:rPr>
        <w:t xml:space="preserve"> </w:t>
      </w:r>
      <w:r>
        <w:rPr>
          <w:rFonts w:cs="Arial"/>
          <w:i/>
          <w:shd w:val="clear" w:color="auto" w:fill="FFFFFF"/>
        </w:rPr>
        <w:t xml:space="preserve">The Theme of the </w:t>
      </w:r>
      <w:proofErr w:type="spellStart"/>
      <w:r>
        <w:rPr>
          <w:rFonts w:cs="Arial"/>
          <w:i/>
          <w:shd w:val="clear" w:color="auto" w:fill="FFFFFF"/>
        </w:rPr>
        <w:t>Mérode</w:t>
      </w:r>
      <w:proofErr w:type="spellEnd"/>
      <w:r>
        <w:rPr>
          <w:rFonts w:cs="Arial"/>
          <w:i/>
          <w:shd w:val="clear" w:color="auto" w:fill="FFFFFF"/>
        </w:rPr>
        <w:t xml:space="preserve"> Altarpiece</w:t>
      </w:r>
      <w:r>
        <w:rPr>
          <w:rFonts w:cs="Arial"/>
          <w:shd w:val="clear" w:color="auto" w:fill="FFFFFF"/>
        </w:rPr>
        <w:t xml:space="preserve"> (1969), p. 271</w:t>
      </w:r>
    </w:p>
  </w:footnote>
  <w:footnote w:id="30">
    <w:p w14:paraId="10201F7D" w14:textId="77777777" w:rsidR="004927B2" w:rsidRDefault="004927B2" w:rsidP="004927B2">
      <w:pPr>
        <w:pStyle w:val="FootnoteText"/>
      </w:pPr>
      <w:r>
        <w:rPr>
          <w:rStyle w:val="FootnoteReference"/>
        </w:rPr>
        <w:footnoteRef/>
      </w:r>
      <w:r>
        <w:t xml:space="preserve"> C. I. Minott,</w:t>
      </w:r>
      <w:r>
        <w:rPr>
          <w:i/>
        </w:rPr>
        <w:t xml:space="preserve"> </w:t>
      </w:r>
      <w:r>
        <w:rPr>
          <w:rFonts w:cs="Arial"/>
          <w:i/>
          <w:shd w:val="clear" w:color="auto" w:fill="FFFFFF"/>
        </w:rPr>
        <w:t xml:space="preserve">The Theme of the </w:t>
      </w:r>
      <w:proofErr w:type="spellStart"/>
      <w:r>
        <w:rPr>
          <w:rFonts w:cs="Arial"/>
          <w:i/>
          <w:shd w:val="clear" w:color="auto" w:fill="FFFFFF"/>
        </w:rPr>
        <w:t>Mérode</w:t>
      </w:r>
      <w:proofErr w:type="spellEnd"/>
      <w:r>
        <w:rPr>
          <w:rFonts w:cs="Arial"/>
          <w:i/>
          <w:shd w:val="clear" w:color="auto" w:fill="FFFFFF"/>
        </w:rPr>
        <w:t xml:space="preserve"> Altarpiece</w:t>
      </w:r>
      <w:r>
        <w:rPr>
          <w:rFonts w:cs="Arial"/>
          <w:shd w:val="clear" w:color="auto" w:fill="FFFFFF"/>
        </w:rPr>
        <w:t xml:space="preserve"> (1969), p. 271</w:t>
      </w:r>
    </w:p>
  </w:footnote>
  <w:footnote w:id="31">
    <w:p w14:paraId="3B64C511" w14:textId="77777777" w:rsidR="004927B2" w:rsidRDefault="004927B2" w:rsidP="004927B2">
      <w:pPr>
        <w:pStyle w:val="FootnoteText"/>
      </w:pPr>
      <w:r>
        <w:rPr>
          <w:rStyle w:val="FootnoteReference"/>
        </w:rPr>
        <w:footnoteRef/>
      </w:r>
      <w:r>
        <w:t xml:space="preserve"> T. </w:t>
      </w:r>
      <w:r>
        <w:rPr>
          <w:rFonts w:cs="Arial"/>
          <w:shd w:val="clear" w:color="auto" w:fill="FFFFFF"/>
        </w:rPr>
        <w:t xml:space="preserve">Rousseau, </w:t>
      </w:r>
      <w:r>
        <w:rPr>
          <w:rFonts w:cs="Arial"/>
          <w:i/>
          <w:shd w:val="clear" w:color="auto" w:fill="FFFFFF"/>
        </w:rPr>
        <w:t xml:space="preserve">The </w:t>
      </w:r>
      <w:proofErr w:type="spellStart"/>
      <w:r>
        <w:rPr>
          <w:rFonts w:cs="Arial"/>
          <w:i/>
          <w:shd w:val="clear" w:color="auto" w:fill="FFFFFF"/>
        </w:rPr>
        <w:t>Merode</w:t>
      </w:r>
      <w:proofErr w:type="spellEnd"/>
      <w:r>
        <w:rPr>
          <w:rFonts w:cs="Arial"/>
          <w:i/>
          <w:shd w:val="clear" w:color="auto" w:fill="FFFFFF"/>
        </w:rPr>
        <w:t xml:space="preserve"> Altarpiece</w:t>
      </w:r>
      <w:r>
        <w:rPr>
          <w:rFonts w:cs="Arial"/>
          <w:shd w:val="clear" w:color="auto" w:fill="FFFFFF"/>
        </w:rPr>
        <w:t xml:space="preserve"> (1957) p. 126</w:t>
      </w:r>
    </w:p>
  </w:footnote>
  <w:footnote w:id="32">
    <w:p w14:paraId="23E90208" w14:textId="77777777" w:rsidR="004927B2" w:rsidRDefault="004927B2" w:rsidP="004927B2">
      <w:pPr>
        <w:pStyle w:val="FootnoteText"/>
      </w:pPr>
      <w:r>
        <w:rPr>
          <w:rStyle w:val="FootnoteReference"/>
        </w:rPr>
        <w:footnoteRef/>
      </w:r>
      <w:r>
        <w:t xml:space="preserve"> M. B. Freeman, </w:t>
      </w:r>
      <w:r>
        <w:rPr>
          <w:i/>
        </w:rPr>
        <w:t xml:space="preserve">The Iconography of the </w:t>
      </w:r>
      <w:proofErr w:type="spellStart"/>
      <w:r>
        <w:rPr>
          <w:i/>
        </w:rPr>
        <w:t>Merode</w:t>
      </w:r>
      <w:proofErr w:type="spellEnd"/>
      <w:r>
        <w:rPr>
          <w:i/>
        </w:rPr>
        <w:t xml:space="preserve"> Altarpiece</w:t>
      </w:r>
      <w:r>
        <w:t xml:space="preserve"> (1976), p. 136</w:t>
      </w:r>
    </w:p>
  </w:footnote>
  <w:footnote w:id="33">
    <w:p w14:paraId="3CFFB31D" w14:textId="77777777" w:rsidR="004927B2" w:rsidRDefault="004927B2" w:rsidP="004927B2">
      <w:pPr>
        <w:pStyle w:val="FootnoteText"/>
      </w:pPr>
      <w:r>
        <w:rPr>
          <w:rStyle w:val="FootnoteReference"/>
        </w:rPr>
        <w:footnoteRef/>
      </w:r>
      <w:r>
        <w:t xml:space="preserve"> M. B. Freeman, </w:t>
      </w:r>
      <w:r>
        <w:rPr>
          <w:i/>
        </w:rPr>
        <w:t xml:space="preserve">The Iconography of the </w:t>
      </w:r>
      <w:proofErr w:type="spellStart"/>
      <w:r>
        <w:rPr>
          <w:i/>
        </w:rPr>
        <w:t>Merode</w:t>
      </w:r>
      <w:proofErr w:type="spellEnd"/>
      <w:r>
        <w:rPr>
          <w:i/>
        </w:rPr>
        <w:t xml:space="preserve"> Altarpiece</w:t>
      </w:r>
      <w:r>
        <w:t xml:space="preserve"> (1976), p. 135</w:t>
      </w:r>
    </w:p>
  </w:footnote>
  <w:footnote w:id="34">
    <w:p w14:paraId="388740F1" w14:textId="77777777" w:rsidR="004927B2" w:rsidRDefault="004927B2" w:rsidP="004927B2">
      <w:pPr>
        <w:pStyle w:val="FootnoteText"/>
      </w:pPr>
      <w:r>
        <w:rPr>
          <w:rStyle w:val="FootnoteReference"/>
        </w:rPr>
        <w:footnoteRef/>
      </w:r>
      <w:r>
        <w:t xml:space="preserve"> </w:t>
      </w:r>
      <w:r>
        <w:rPr>
          <w:i/>
        </w:rPr>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7B2"/>
    <w:rsid w:val="00243457"/>
    <w:rsid w:val="00343F38"/>
    <w:rsid w:val="004927B2"/>
    <w:rsid w:val="00500181"/>
    <w:rsid w:val="006E3B46"/>
    <w:rsid w:val="007B0B30"/>
    <w:rsid w:val="008D0BC2"/>
    <w:rsid w:val="00930DBF"/>
    <w:rsid w:val="00C45D93"/>
    <w:rsid w:val="00E823E2"/>
    <w:rsid w:val="00F4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16219"/>
  <w15:chartTrackingRefBased/>
  <w15:docId w15:val="{CD1AAB53-17C7-43A3-AB8D-8EB8E95A6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7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7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7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7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7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7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7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7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7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7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27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27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27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27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27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7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7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7B2"/>
    <w:rPr>
      <w:rFonts w:eastAsiaTheme="majorEastAsia" w:cstheme="majorBidi"/>
      <w:color w:val="272727" w:themeColor="text1" w:themeTint="D8"/>
    </w:rPr>
  </w:style>
  <w:style w:type="paragraph" w:styleId="Title">
    <w:name w:val="Title"/>
    <w:basedOn w:val="Normal"/>
    <w:next w:val="Normal"/>
    <w:link w:val="TitleChar"/>
    <w:uiPriority w:val="10"/>
    <w:qFormat/>
    <w:rsid w:val="004927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7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7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7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7B2"/>
    <w:pPr>
      <w:spacing w:before="160"/>
      <w:jc w:val="center"/>
    </w:pPr>
    <w:rPr>
      <w:i/>
      <w:iCs/>
      <w:color w:val="404040" w:themeColor="text1" w:themeTint="BF"/>
    </w:rPr>
  </w:style>
  <w:style w:type="character" w:customStyle="1" w:styleId="QuoteChar">
    <w:name w:val="Quote Char"/>
    <w:basedOn w:val="DefaultParagraphFont"/>
    <w:link w:val="Quote"/>
    <w:uiPriority w:val="29"/>
    <w:rsid w:val="004927B2"/>
    <w:rPr>
      <w:i/>
      <w:iCs/>
      <w:color w:val="404040" w:themeColor="text1" w:themeTint="BF"/>
    </w:rPr>
  </w:style>
  <w:style w:type="paragraph" w:styleId="ListParagraph">
    <w:name w:val="List Paragraph"/>
    <w:basedOn w:val="Normal"/>
    <w:uiPriority w:val="34"/>
    <w:qFormat/>
    <w:rsid w:val="004927B2"/>
    <w:pPr>
      <w:ind w:left="720"/>
      <w:contextualSpacing/>
    </w:pPr>
  </w:style>
  <w:style w:type="character" w:styleId="IntenseEmphasis">
    <w:name w:val="Intense Emphasis"/>
    <w:basedOn w:val="DefaultParagraphFont"/>
    <w:uiPriority w:val="21"/>
    <w:qFormat/>
    <w:rsid w:val="004927B2"/>
    <w:rPr>
      <w:i/>
      <w:iCs/>
      <w:color w:val="0F4761" w:themeColor="accent1" w:themeShade="BF"/>
    </w:rPr>
  </w:style>
  <w:style w:type="paragraph" w:styleId="IntenseQuote">
    <w:name w:val="Intense Quote"/>
    <w:basedOn w:val="Normal"/>
    <w:next w:val="Normal"/>
    <w:link w:val="IntenseQuoteChar"/>
    <w:uiPriority w:val="30"/>
    <w:qFormat/>
    <w:rsid w:val="004927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7B2"/>
    <w:rPr>
      <w:i/>
      <w:iCs/>
      <w:color w:val="0F4761" w:themeColor="accent1" w:themeShade="BF"/>
    </w:rPr>
  </w:style>
  <w:style w:type="character" w:styleId="IntenseReference">
    <w:name w:val="Intense Reference"/>
    <w:basedOn w:val="DefaultParagraphFont"/>
    <w:uiPriority w:val="32"/>
    <w:qFormat/>
    <w:rsid w:val="004927B2"/>
    <w:rPr>
      <w:b/>
      <w:bCs/>
      <w:smallCaps/>
      <w:color w:val="0F4761" w:themeColor="accent1" w:themeShade="BF"/>
      <w:spacing w:val="5"/>
    </w:rPr>
  </w:style>
  <w:style w:type="paragraph" w:styleId="FootnoteText">
    <w:name w:val="footnote text"/>
    <w:basedOn w:val="Normal"/>
    <w:link w:val="FootnoteTextChar"/>
    <w:uiPriority w:val="99"/>
    <w:semiHidden/>
    <w:unhideWhenUsed/>
    <w:rsid w:val="004927B2"/>
    <w:pPr>
      <w:spacing w:after="0" w:line="240" w:lineRule="auto"/>
    </w:pPr>
    <w:rPr>
      <w:kern w:val="0"/>
      <w:sz w:val="20"/>
      <w:szCs w:val="20"/>
      <w14:ligatures w14:val="none"/>
    </w:rPr>
  </w:style>
  <w:style w:type="character" w:customStyle="1" w:styleId="FootnoteTextChar">
    <w:name w:val="Footnote Text Char"/>
    <w:basedOn w:val="DefaultParagraphFont"/>
    <w:link w:val="FootnoteText"/>
    <w:uiPriority w:val="99"/>
    <w:semiHidden/>
    <w:rsid w:val="004927B2"/>
    <w:rPr>
      <w:kern w:val="0"/>
      <w:sz w:val="20"/>
      <w:szCs w:val="20"/>
      <w14:ligatures w14:val="none"/>
    </w:rPr>
  </w:style>
  <w:style w:type="character" w:styleId="FootnoteReference">
    <w:name w:val="footnote reference"/>
    <w:basedOn w:val="DefaultParagraphFont"/>
    <w:uiPriority w:val="99"/>
    <w:semiHidden/>
    <w:unhideWhenUsed/>
    <w:rsid w:val="004927B2"/>
    <w:rPr>
      <w:vertAlign w:val="superscript"/>
    </w:rPr>
  </w:style>
  <w:style w:type="paragraph" w:styleId="Header">
    <w:name w:val="header"/>
    <w:basedOn w:val="Normal"/>
    <w:link w:val="HeaderChar"/>
    <w:uiPriority w:val="99"/>
    <w:semiHidden/>
    <w:unhideWhenUsed/>
    <w:rsid w:val="007B0B3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B0B30"/>
  </w:style>
  <w:style w:type="paragraph" w:styleId="Footer">
    <w:name w:val="footer"/>
    <w:basedOn w:val="Normal"/>
    <w:link w:val="FooterChar"/>
    <w:uiPriority w:val="99"/>
    <w:semiHidden/>
    <w:unhideWhenUsed/>
    <w:rsid w:val="007B0B3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B0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6249968">
      <w:bodyDiv w:val="1"/>
      <w:marLeft w:val="0"/>
      <w:marRight w:val="0"/>
      <w:marTop w:val="0"/>
      <w:marBottom w:val="0"/>
      <w:divBdr>
        <w:top w:val="none" w:sz="0" w:space="0" w:color="auto"/>
        <w:left w:val="none" w:sz="0" w:space="0" w:color="auto"/>
        <w:bottom w:val="none" w:sz="0" w:space="0" w:color="auto"/>
        <w:right w:val="none" w:sz="0" w:space="0" w:color="auto"/>
      </w:divBdr>
    </w:div>
    <w:div w:id="153276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6" ma:contentTypeDescription="Create a new document." ma:contentTypeScope="" ma:versionID="d300977e24f685f03f4638edeea2f12f">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cf0a4f99f0b1452baacbf8363c6c9f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DateTaken" minOccurs="0"/>
                <xsd:element ref="ns4:MediaServiceAutoKeyPoints" minOccurs="0"/>
                <xsd:element ref="ns4:MediaServiceKeyPoints" minOccurs="0"/>
                <xsd:element ref="ns4:MediaLengthInSeconds" minOccurs="0"/>
                <xsd:element ref="ns4:MediaServiceSearchProperties" minOccurs="0"/>
                <xsd:element ref="ns4:MediaServiceObjectDetectorVersions" minOccurs="0"/>
                <xsd:element ref="ns4:_activity" minOccurs="0"/>
                <xsd:element ref="ns4:MediaServiceSystem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Props1.xml><?xml version="1.0" encoding="utf-8"?>
<ds:datastoreItem xmlns:ds="http://schemas.openxmlformats.org/officeDocument/2006/customXml" ds:itemID="{F961AAA1-48F8-4325-A67C-F649D75B2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3CF23D-0380-43FC-BEAF-3499E23F7437}">
  <ds:schemaRefs>
    <ds:schemaRef ds:uri="http://schemas.microsoft.com/sharepoint/v3/contenttype/forms"/>
  </ds:schemaRefs>
</ds:datastoreItem>
</file>

<file path=customXml/itemProps3.xml><?xml version="1.0" encoding="utf-8"?>
<ds:datastoreItem xmlns:ds="http://schemas.openxmlformats.org/officeDocument/2006/customXml" ds:itemID="{1231E7C8-759C-4147-B10F-D7A8F4F4F363}">
  <ds:schemaRefs>
    <ds:schemaRef ds:uri="http://purl.org/dc/terms/"/>
    <ds:schemaRef ds:uri="http://www.w3.org/XML/1998/namespace"/>
    <ds:schemaRef ds:uri="http://schemas.microsoft.com/office/infopath/2007/PartnerControls"/>
    <ds:schemaRef ds:uri="http://purl.org/dc/elements/1.1/"/>
    <ds:schemaRef ds:uri="http://schemas.openxmlformats.org/package/2006/metadata/core-properties"/>
    <ds:schemaRef ds:uri="http://schemas.microsoft.com/office/2006/documentManagement/types"/>
    <ds:schemaRef ds:uri="http://schemas.microsoft.com/office/2006/metadata/properties"/>
    <ds:schemaRef ds:uri="bf13d2f1-3fb4-4d24-806f-713eb38c1b0e"/>
    <ds:schemaRef ds:uri="a3276f14-397d-4ed7-b8c7-ece791485ff1"/>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1905</Words>
  <Characters>9206</Characters>
  <Application>Microsoft Office Word</Application>
  <DocSecurity>0</DocSecurity>
  <Lines>204</Lines>
  <Paragraphs>25</Paragraphs>
  <ScaleCrop>false</ScaleCrop>
  <Company/>
  <LinksUpToDate>false</LinksUpToDate>
  <CharactersWithSpaces>11086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Taylor (1403125)</dc:creator>
  <cp:keywords/>
  <dc:description/>
  <cp:lastModifiedBy>Jennifer Taylor (1403125)</cp:lastModifiedBy>
  <cp:revision>2</cp:revision>
  <dcterms:created xsi:type="dcterms:W3CDTF">2025-04-28T16:05:00Z</dcterms:created>
  <dcterms:modified xsi:type="dcterms:W3CDTF">2025-04-28T16:05:00Z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