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791E0" w14:textId="77777777" w:rsidR="00531156" w:rsidRPr="00531156" w:rsidRDefault="00531156" w:rsidP="00531156">
      <w:pPr>
        <w:rPr>
          <w:rFonts w:ascii="Times New Roman" w:hAnsi="Times New Roman" w:cs="Times New Roman"/>
          <w:sz w:val="24"/>
          <w:szCs w:val="24"/>
          <w:u w:val="single"/>
        </w:rPr>
      </w:pPr>
      <w:r w:rsidRPr="00531156">
        <w:rPr>
          <w:rFonts w:ascii="Times New Roman" w:hAnsi="Times New Roman" w:cs="Times New Roman"/>
          <w:sz w:val="24"/>
          <w:szCs w:val="24"/>
          <w:u w:val="single"/>
        </w:rPr>
        <w:t>Is Archaeology a Political Practice?</w:t>
      </w:r>
    </w:p>
    <w:p w14:paraId="64594C51" w14:textId="77777777" w:rsidR="00531156" w:rsidRPr="00531156" w:rsidRDefault="00531156" w:rsidP="00531156">
      <w:pPr>
        <w:rPr>
          <w:rFonts w:ascii="Times New Roman" w:hAnsi="Times New Roman" w:cs="Times New Roman"/>
        </w:rPr>
      </w:pPr>
    </w:p>
    <w:p w14:paraId="676F2818" w14:textId="0EC10DB7" w:rsidR="00531156" w:rsidRPr="00531156" w:rsidRDefault="00531156" w:rsidP="00531156">
      <w:pPr>
        <w:ind w:firstLine="720"/>
        <w:rPr>
          <w:rFonts w:ascii="Times New Roman" w:hAnsi="Times New Roman" w:cs="Times New Roman"/>
        </w:rPr>
      </w:pPr>
      <w:r w:rsidRPr="00531156">
        <w:rPr>
          <w:rFonts w:ascii="Times New Roman" w:hAnsi="Times New Roman" w:cs="Times New Roman"/>
        </w:rPr>
        <w:t>Archaeology is frequently portrayed as a neutral, scientific discipline: a careful excavation of sites, cataloguing of artefacts, and reconstruction of past societies. However, this perception of archaeology as objective has been increasingly challenged. Scholars argue that archaeology is deeply embedded in social, cultural, and political contexts, shaping and being shaped by contemporary ideologies, collective identities, and power relations (Shanks &amp; Tilley, 1987, p.12).</w:t>
      </w:r>
    </w:p>
    <w:p w14:paraId="2E621888" w14:textId="25ABA3A5"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This essay argues that archaeology is inherently political, not merely due to incidental misuse but structurally. The act of interpreting material remains, situating them within narratives of identity and nation, and institutionalising archaeological practice reflects and reinforces political aims. The essay focuses on the interpretation of archaeological evidence, its role in constructing national and ethnic identities, and the influence of legislation and methodology on political outcomes. It draws examples from Europe, South Asia, Indigenous contexts, and colonial settings, </w:t>
      </w:r>
      <w:r w:rsidRPr="00531156">
        <w:rPr>
          <w:rFonts w:ascii="Times New Roman" w:hAnsi="Times New Roman" w:cs="Times New Roman"/>
        </w:rPr>
        <w:t>and</w:t>
      </w:r>
      <w:r w:rsidRPr="00531156">
        <w:rPr>
          <w:rFonts w:ascii="Times New Roman" w:hAnsi="Times New Roman" w:cs="Times New Roman"/>
        </w:rPr>
        <w:t xml:space="preserve"> considers counterarguments regarding the possibility of “apolitical” archaeology.</w:t>
      </w:r>
    </w:p>
    <w:p w14:paraId="2A05F322" w14:textId="77777777" w:rsidR="00531156" w:rsidRPr="00531156" w:rsidRDefault="00531156" w:rsidP="00531156">
      <w:pPr>
        <w:rPr>
          <w:rFonts w:ascii="Times New Roman" w:hAnsi="Times New Roman" w:cs="Times New Roman"/>
        </w:rPr>
      </w:pPr>
    </w:p>
    <w:p w14:paraId="28F12980" w14:textId="578E723A" w:rsidR="00531156" w:rsidRPr="00531156" w:rsidRDefault="00531156" w:rsidP="00531156">
      <w:pPr>
        <w:ind w:firstLine="720"/>
        <w:rPr>
          <w:rFonts w:ascii="Times New Roman" w:hAnsi="Times New Roman" w:cs="Times New Roman"/>
        </w:rPr>
      </w:pPr>
      <w:r w:rsidRPr="00531156">
        <w:rPr>
          <w:rFonts w:ascii="Times New Roman" w:hAnsi="Times New Roman" w:cs="Times New Roman"/>
        </w:rPr>
        <w:t xml:space="preserve">A clear manifestation of archaeology’s political character lies in its role in the construction of collective identity. Archaeological interpretations contribute to the narratives communities </w:t>
      </w:r>
      <w:r w:rsidRPr="00531156">
        <w:rPr>
          <w:rFonts w:ascii="Times New Roman" w:hAnsi="Times New Roman" w:cs="Times New Roman"/>
        </w:rPr>
        <w:t>talk</w:t>
      </w:r>
      <w:r w:rsidRPr="00531156">
        <w:rPr>
          <w:rFonts w:ascii="Times New Roman" w:hAnsi="Times New Roman" w:cs="Times New Roman"/>
        </w:rPr>
        <w:t xml:space="preserve"> about themselves: where they came from, who they are, and what their heritage signifies. In politically contested or nationalist contexts, these interpretations serve as powerful instruments of ideology (Kohl &amp; Tsetskhladze, 1996, p.150).</w:t>
      </w:r>
    </w:p>
    <w:p w14:paraId="46D1EA0B"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Material remains, while physically inert, acquire meaning through the interpretative frameworks applied to them. Etter (2020, p. 5) observes that material remains are “mute as long as one does not strive to make them speak.” She highlights how archaeological “facts” in India are mobilised to support Hindu nationalist ideology, demonstrating that objects from the past do not intrinsically carry political meaning but are shaped into narratives that reinforce contemporary political agendas. Similarly, McGuire (2008, p. 12) argues that archaeology can act as “a powerful weapon in ideological struggles,” emphasising the discipline’s capacity to serve political interests intentionally or otherwise.</w:t>
      </w:r>
    </w:p>
    <w:p w14:paraId="7E0C79F7"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The implications are significant. Archaeology’s interpretative processes are not neutral: the questions asked, the periods highlighted, and the cultural affiliations assigned are inevitably informed by present-day socio-political concerns. This is particularly evident when archaeological interpretation intersects with nationalism, identity politics, or state agendas.</w:t>
      </w:r>
    </w:p>
    <w:p w14:paraId="3FAFEDFE" w14:textId="414D3A64" w:rsidR="00531156" w:rsidRPr="00531156" w:rsidRDefault="00531156" w:rsidP="00531156">
      <w:pPr>
        <w:rPr>
          <w:rFonts w:ascii="Times New Roman" w:hAnsi="Times New Roman" w:cs="Times New Roman"/>
        </w:rPr>
      </w:pPr>
    </w:p>
    <w:p w14:paraId="7CD57C8D" w14:textId="77777777" w:rsidR="00531156" w:rsidRPr="00531156" w:rsidRDefault="00531156" w:rsidP="00531156">
      <w:pPr>
        <w:ind w:firstLine="720"/>
        <w:rPr>
          <w:rFonts w:ascii="Times New Roman" w:hAnsi="Times New Roman" w:cs="Times New Roman"/>
        </w:rPr>
      </w:pPr>
      <w:r w:rsidRPr="00531156">
        <w:rPr>
          <w:rFonts w:ascii="Times New Roman" w:hAnsi="Times New Roman" w:cs="Times New Roman"/>
        </w:rPr>
        <w:t>In Europe, archaeology developed alongside nation-building in the nineteenth and early twentieth centuries. The consolidation of modern states and the expansion of European empires created a demand for reconstructions of national pasts to provide legitimacy, continuity, and shared heritage (Carman, 2024, p. 22). Archaeological sites became symbolic arenas in which national identity was articulated and reinforced.</w:t>
      </w:r>
    </w:p>
    <w:p w14:paraId="25182F26" w14:textId="40AD687E"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For example, in Spain, competing regional identities — Castilian, Catalan, Basque — influenced archaeological interpretation. Kohl &amp; Tsetskhladze (1996, p.150) note that “archaeological data were interpreted from a nationalist perspective in a number of different and, to a certain extent, contradictory ways.” Archaeology thus functioned as both a mirror and a mould of national sentiment. Similarly, early </w:t>
      </w:r>
      <w:r w:rsidRPr="00531156">
        <w:rPr>
          <w:rFonts w:ascii="Times New Roman" w:hAnsi="Times New Roman" w:cs="Times New Roman"/>
        </w:rPr>
        <w:lastRenderedPageBreak/>
        <w:t>twentieth-century excavations in Greece, such as those at Delphi and Knossos, were framed as contributions to national greatness, legitimising modern states’ claims to cultural inheritance (Hamilakis, 2007, p.8). These examples demonstrate that archaeology was not a neutral retrieval of the past but an active component of nationalist construction.</w:t>
      </w:r>
    </w:p>
    <w:p w14:paraId="3D05F3AF" w14:textId="350FE91E" w:rsidR="00531156" w:rsidRPr="00531156" w:rsidRDefault="00531156" w:rsidP="00531156">
      <w:pPr>
        <w:ind w:firstLine="720"/>
        <w:rPr>
          <w:rFonts w:ascii="Times New Roman" w:hAnsi="Times New Roman" w:cs="Times New Roman"/>
        </w:rPr>
      </w:pPr>
      <w:r w:rsidRPr="00531156">
        <w:rPr>
          <w:rFonts w:ascii="Times New Roman" w:hAnsi="Times New Roman" w:cs="Times New Roman"/>
        </w:rPr>
        <w:t>The political nature of archaeology extends beyond Europe. In India, Etter (2020, p.10) documents how organisations associated with Hindu nationalism mobilised archaeological interpretations to support their ideological objectives, often framing the past to promote exclusionary narratives. Material remains were treated as though they bore “direct and unmediated connection to the past,” reinforcing political claims about identity and belonging.</w:t>
      </w:r>
    </w:p>
    <w:p w14:paraId="28624F2D" w14:textId="1BF8DBAB" w:rsidR="00531156" w:rsidRPr="00531156" w:rsidRDefault="00531156" w:rsidP="00531156">
      <w:pPr>
        <w:rPr>
          <w:rFonts w:ascii="Times New Roman" w:hAnsi="Times New Roman" w:cs="Times New Roman"/>
        </w:rPr>
      </w:pPr>
      <w:r w:rsidRPr="00531156">
        <w:rPr>
          <w:rFonts w:ascii="Times New Roman" w:hAnsi="Times New Roman" w:cs="Times New Roman"/>
        </w:rPr>
        <w:t>In the Middle East and South Asia more broadly, state-sponsored archaeology has frequently served nation-building and territorial legitimisation. Kohl (1993, p.182) demonstrates that in Soviet Transcaucasia, claims about the ethnic or cultural origins of archaeological phenomena often aligned with nationalist agendas, illustrating how the past can be selectively interpreted to serve contemporary political ends.</w:t>
      </w:r>
    </w:p>
    <w:p w14:paraId="5E843994" w14:textId="0F005CE8" w:rsidR="00531156" w:rsidRPr="00531156" w:rsidRDefault="00531156" w:rsidP="00531156">
      <w:pPr>
        <w:rPr>
          <w:rFonts w:ascii="Times New Roman" w:hAnsi="Times New Roman" w:cs="Times New Roman"/>
        </w:rPr>
      </w:pPr>
      <w:r w:rsidRPr="00531156">
        <w:rPr>
          <w:rFonts w:ascii="Times New Roman" w:hAnsi="Times New Roman" w:cs="Times New Roman"/>
        </w:rPr>
        <w:t>Colonial archaeology in Africa and Asia further exemplifies the political dimension of the discipline. European powers often used archaeology to legitimise imperial control, emphasising continuity with classical civilisations and marginalising indigenous histories (Trigger, 1989, p.91). Excavations and reconstructions reinforced narratives of European superiority and authority over colonised territories. In this sense, archaeology was an instrument of political power at both national and imperial scales.</w:t>
      </w:r>
    </w:p>
    <w:p w14:paraId="11A1C081" w14:textId="4AC5DC67" w:rsidR="00531156" w:rsidRPr="00531156" w:rsidRDefault="00531156" w:rsidP="00531156">
      <w:pPr>
        <w:rPr>
          <w:rFonts w:ascii="Times New Roman" w:hAnsi="Times New Roman" w:cs="Times New Roman"/>
        </w:rPr>
      </w:pPr>
    </w:p>
    <w:p w14:paraId="3B0293E3" w14:textId="1F37D583" w:rsidR="00531156" w:rsidRPr="00531156" w:rsidRDefault="00531156" w:rsidP="00531156">
      <w:pPr>
        <w:ind w:firstLine="720"/>
        <w:rPr>
          <w:rFonts w:ascii="Times New Roman" w:hAnsi="Times New Roman" w:cs="Times New Roman"/>
        </w:rPr>
      </w:pPr>
      <w:r w:rsidRPr="00531156">
        <w:rPr>
          <w:rFonts w:ascii="Times New Roman" w:hAnsi="Times New Roman" w:cs="Times New Roman"/>
        </w:rPr>
        <w:t>Legislation and heritage policies further highlight archaeology’s political role. National laws, UNESCO conventions, and local regulations dictate what can be excavated, preserved, or displayed. For instance, the United Kingdom’s Ancient Monuments and Archaeological Areas Act 1979 legally protects certain sites while leaving others vulnerable, effectively prioritising some narratives over others (Carman, 2024, p.35). UNESCO World Heritage designations also carry political significance, as states often use these recognitions to promote national prestige and tourism while shaping collective memory.</w:t>
      </w:r>
    </w:p>
    <w:p w14:paraId="6CF04D2B" w14:textId="3C06C6A0" w:rsidR="00531156" w:rsidRPr="00531156" w:rsidRDefault="00531156" w:rsidP="00531156">
      <w:pPr>
        <w:rPr>
          <w:rFonts w:ascii="Times New Roman" w:hAnsi="Times New Roman" w:cs="Times New Roman"/>
        </w:rPr>
      </w:pPr>
      <w:r w:rsidRPr="00531156">
        <w:rPr>
          <w:rFonts w:ascii="Times New Roman" w:hAnsi="Times New Roman" w:cs="Times New Roman"/>
        </w:rPr>
        <w:t>Legislation is inherently political because it controls access to the past. By determining which sites are protected, excavated, or interpreted, governments influence which histories are amplified and which are neglected. This aligns with broader debates in heritage studies, where material culture is seen as a resource for political legitimacy and nation-building (Meskell, 1999, p.12).</w:t>
      </w:r>
    </w:p>
    <w:p w14:paraId="59CD656D" w14:textId="23A53F99" w:rsidR="00531156" w:rsidRPr="00531156" w:rsidRDefault="00531156" w:rsidP="00531156">
      <w:pPr>
        <w:rPr>
          <w:rFonts w:ascii="Times New Roman" w:hAnsi="Times New Roman" w:cs="Times New Roman"/>
        </w:rPr>
      </w:pPr>
    </w:p>
    <w:p w14:paraId="43102C9B" w14:textId="77777777" w:rsidR="00531156" w:rsidRPr="00531156" w:rsidRDefault="00531156" w:rsidP="00531156">
      <w:pPr>
        <w:rPr>
          <w:rFonts w:ascii="Times New Roman" w:hAnsi="Times New Roman" w:cs="Times New Roman"/>
        </w:rPr>
      </w:pPr>
    </w:p>
    <w:p w14:paraId="4E9D4B49" w14:textId="1585A4CE" w:rsidR="00531156" w:rsidRPr="00531156" w:rsidRDefault="00531156" w:rsidP="00531156">
      <w:pPr>
        <w:ind w:firstLine="360"/>
        <w:rPr>
          <w:rFonts w:ascii="Times New Roman" w:hAnsi="Times New Roman" w:cs="Times New Roman"/>
        </w:rPr>
      </w:pPr>
      <w:r w:rsidRPr="00531156">
        <w:rPr>
          <w:rFonts w:ascii="Times New Roman" w:hAnsi="Times New Roman" w:cs="Times New Roman"/>
        </w:rPr>
        <w:t>Beyond empirical cases, there is a robust theoretical basis for understanding archaeology as inherently political. Four key arguments illustrate this point:</w:t>
      </w:r>
    </w:p>
    <w:p w14:paraId="035E0504" w14:textId="6AFEBF44" w:rsidR="00531156" w:rsidRPr="00531156" w:rsidRDefault="00531156" w:rsidP="00531156">
      <w:pPr>
        <w:rPr>
          <w:rFonts w:ascii="Times New Roman" w:hAnsi="Times New Roman" w:cs="Times New Roman"/>
        </w:rPr>
      </w:pPr>
      <w:r w:rsidRPr="00531156">
        <w:rPr>
          <w:rFonts w:ascii="Times New Roman" w:hAnsi="Times New Roman" w:cs="Times New Roman"/>
        </w:rPr>
        <w:t>Material remains are silent without interpretation. Archaeological data do not inherently convey meaning; they require analytical frameworks that are socially and politically situated. As Etter (2020, p.5) notes, remains are “mute as long as one does not strive to make them speak.” Interpretation is thus always conditioned by the perspectives and agendas of the archaeologist.</w:t>
      </w:r>
    </w:p>
    <w:p w14:paraId="48F32798" w14:textId="49FC770F"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Archaeology occurs within socio-political contexts. Shanks &amp; Tilley (1987, p.12) emphasise that archaeology must be “situated in the present as discourse in a political field,” recognising that institutional </w:t>
      </w:r>
      <w:r w:rsidRPr="00531156">
        <w:rPr>
          <w:rFonts w:ascii="Times New Roman" w:hAnsi="Times New Roman" w:cs="Times New Roman"/>
        </w:rPr>
        <w:lastRenderedPageBreak/>
        <w:t>frameworks, funding, and societal priorities influence practice. Even ostensibly objective work is shaped by contemporary power structures.</w:t>
      </w:r>
    </w:p>
    <w:p w14:paraId="3342D473" w14:textId="66C5E243"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Methodology and interpretation are political acts. Even decisions about excavation techniques, dating methods, or focus areas carry ideological weight. For instance, emphasising monumental architecture over </w:t>
      </w:r>
      <w:r w:rsidRPr="00531156">
        <w:rPr>
          <w:rFonts w:ascii="Times New Roman" w:hAnsi="Times New Roman" w:cs="Times New Roman"/>
        </w:rPr>
        <w:t>every day</w:t>
      </w:r>
      <w:r w:rsidRPr="00531156">
        <w:rPr>
          <w:rFonts w:ascii="Times New Roman" w:hAnsi="Times New Roman" w:cs="Times New Roman"/>
        </w:rPr>
        <w:t xml:space="preserve"> domestic spaces may reinforce elite or nationalist narratives (Shanks &amp; Tilley, 1992, p.45). Digital reconstructions or museum displays similarly shape public perception, highlighting the political stakes of methodological choices.</w:t>
      </w:r>
    </w:p>
    <w:p w14:paraId="25DD1EA3" w14:textId="50860632" w:rsidR="00531156" w:rsidRPr="00531156" w:rsidRDefault="00531156" w:rsidP="00531156">
      <w:pPr>
        <w:rPr>
          <w:rFonts w:ascii="Times New Roman" w:hAnsi="Times New Roman" w:cs="Times New Roman"/>
        </w:rPr>
      </w:pPr>
      <w:r w:rsidRPr="00531156">
        <w:rPr>
          <w:rFonts w:ascii="Times New Roman" w:hAnsi="Times New Roman" w:cs="Times New Roman"/>
        </w:rPr>
        <w:t>Institutionalisation embeds archaeology within political structures. Professional archaeology often depends on state support for funding, museums, and heritage protection. These institutional linkages align archaeological practice with political structures, whether intentionally or not (Meskell, 1999, p.7).</w:t>
      </w:r>
    </w:p>
    <w:p w14:paraId="2EED2B68"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Taken together, these points challenge the notion of “value-free” archaeology. The discipline’s methods, interpretations, and institutional foundations are deeply entangled with political concerns, even when practitioners aim for scientific objectivity.</w:t>
      </w:r>
    </w:p>
    <w:p w14:paraId="5BA7069A" w14:textId="5C7E9399" w:rsidR="00531156" w:rsidRPr="00531156" w:rsidRDefault="00531156" w:rsidP="00531156">
      <w:pPr>
        <w:rPr>
          <w:rFonts w:ascii="Times New Roman" w:hAnsi="Times New Roman" w:cs="Times New Roman"/>
        </w:rPr>
      </w:pPr>
    </w:p>
    <w:p w14:paraId="0DFD286B" w14:textId="40A88E8C" w:rsidR="00531156" w:rsidRPr="00531156" w:rsidRDefault="00531156" w:rsidP="00531156">
      <w:pPr>
        <w:ind w:firstLine="720"/>
        <w:rPr>
          <w:rFonts w:ascii="Times New Roman" w:hAnsi="Times New Roman" w:cs="Times New Roman"/>
        </w:rPr>
      </w:pPr>
      <w:r w:rsidRPr="00531156">
        <w:rPr>
          <w:rFonts w:ascii="Times New Roman" w:hAnsi="Times New Roman" w:cs="Times New Roman"/>
        </w:rPr>
        <w:t>In addition to national and colonial contexts, archaeology intersects with Indigenous identity and sovereignty. Archaeologists working with First Nations, Māori, or Aboriginal communities must navigate complex political landscapes. Decisions over excavation, repatriation, and interpretation are highly political, reflecting historical inequalities and contemporary debates over land rights and cultural authority (Nicholas &amp; Andrews, 1997, p.4).</w:t>
      </w:r>
    </w:p>
    <w:p w14:paraId="44043702" w14:textId="1D71574B"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For example, Māori archaeologists emphasise </w:t>
      </w:r>
      <w:proofErr w:type="spellStart"/>
      <w:r w:rsidRPr="00531156">
        <w:rPr>
          <w:rFonts w:ascii="Times New Roman" w:hAnsi="Times New Roman" w:cs="Times New Roman"/>
        </w:rPr>
        <w:t>kaupapa</w:t>
      </w:r>
      <w:proofErr w:type="spellEnd"/>
      <w:r w:rsidRPr="00531156">
        <w:rPr>
          <w:rFonts w:ascii="Times New Roman" w:hAnsi="Times New Roman" w:cs="Times New Roman"/>
        </w:rPr>
        <w:t xml:space="preserve"> Māori principles, ensuring that interpretations serve Indigenous communities rather than external political interests. This highlights that archaeology cannot be entirely apolitical: the act of choosing whose past to represent is inherently a political act (Smith, 2012, p.23). Collaborative and reflexive approaches attempt to mitigate these power imbalances, but the structural politics of archaeology remain present.</w:t>
      </w:r>
    </w:p>
    <w:p w14:paraId="70BF3305" w14:textId="7EF145B8" w:rsidR="00531156" w:rsidRPr="00531156" w:rsidRDefault="00531156" w:rsidP="00531156">
      <w:pPr>
        <w:rPr>
          <w:rFonts w:ascii="Times New Roman" w:hAnsi="Times New Roman" w:cs="Times New Roman"/>
        </w:rPr>
      </w:pPr>
    </w:p>
    <w:p w14:paraId="35F35552" w14:textId="202EA832" w:rsidR="00531156" w:rsidRPr="00531156" w:rsidRDefault="00531156" w:rsidP="00531156">
      <w:pPr>
        <w:ind w:firstLine="720"/>
        <w:rPr>
          <w:rFonts w:ascii="Times New Roman" w:hAnsi="Times New Roman" w:cs="Times New Roman"/>
        </w:rPr>
      </w:pPr>
      <w:r w:rsidRPr="00531156">
        <w:rPr>
          <w:rFonts w:ascii="Times New Roman" w:hAnsi="Times New Roman" w:cs="Times New Roman"/>
        </w:rPr>
        <w:t>If archaeology is inherently political, what are the implications for practice? Some archaeologists seek to maintain neutrality, particularly when working with minority or Indigenous communities. In a study of Sámi archaeology, researchers emphasised that “politics doesn’t belong with archaeology … the archaeologist focuses on how cultural heritage is best preserved” (Meskell, 1999, p.53).</w:t>
      </w:r>
    </w:p>
    <w:p w14:paraId="531D0A9F" w14:textId="38F758BC" w:rsidR="00531156" w:rsidRPr="00531156" w:rsidRDefault="00531156" w:rsidP="00531156">
      <w:pPr>
        <w:rPr>
          <w:rFonts w:ascii="Times New Roman" w:hAnsi="Times New Roman" w:cs="Times New Roman"/>
        </w:rPr>
      </w:pPr>
      <w:r w:rsidRPr="00531156">
        <w:rPr>
          <w:rFonts w:ascii="Times New Roman" w:hAnsi="Times New Roman" w:cs="Times New Roman"/>
        </w:rPr>
        <w:t>However, the aspiration to apolitical practice does not eliminate the structural and interpretive politics inherent in archaeology. Shanks &amp; Tilley (1987, p.15) argue that claims to neutrality often obscure the ways in which archaeological interpretation reproduces power relations. Acknowledging the political dimensions of the discipline allows archaeologists to engage ethically and reflexively with their work.</w:t>
      </w:r>
    </w:p>
    <w:p w14:paraId="1C2D5BD1" w14:textId="0F008B45" w:rsidR="00531156" w:rsidRPr="00531156" w:rsidRDefault="00531156" w:rsidP="00531156">
      <w:pPr>
        <w:rPr>
          <w:rFonts w:ascii="Times New Roman" w:hAnsi="Times New Roman" w:cs="Times New Roman"/>
        </w:rPr>
      </w:pPr>
      <w:r w:rsidRPr="00531156">
        <w:rPr>
          <w:rFonts w:ascii="Times New Roman" w:hAnsi="Times New Roman" w:cs="Times New Roman"/>
        </w:rPr>
        <w:t>McGuire (2008, p.19) advocates for a “radical” archaeology, recognising the discipline’s political impact and using it to challenge social inequalities. Feminist and postcolonial critiques similarly highlight the need for politically aware practice, stressing that archaeology has historically reproduced dominant identities and marginalised others (Ronayne, 1997, p.21).</w:t>
      </w:r>
    </w:p>
    <w:p w14:paraId="1328238A" w14:textId="22EB7FF4" w:rsidR="00531156" w:rsidRPr="00531156" w:rsidRDefault="00531156" w:rsidP="00531156">
      <w:pPr>
        <w:rPr>
          <w:rFonts w:ascii="Times New Roman" w:hAnsi="Times New Roman" w:cs="Times New Roman"/>
        </w:rPr>
      </w:pPr>
      <w:r w:rsidRPr="00531156">
        <w:rPr>
          <w:rFonts w:ascii="Times New Roman" w:hAnsi="Times New Roman" w:cs="Times New Roman"/>
        </w:rPr>
        <w:t>Ethical archaeology, then, does not ignore politics but seeks to engage with it critically, ensuring that the production of knowledge considers social justice, inclusion, and transparency. Reflexive archaeology, particularly, involves archaeologists acknowledging their own social and political positions, which shapes interpretation and methodological choices (Meskell, 1999, p.15).</w:t>
      </w:r>
    </w:p>
    <w:p w14:paraId="05E82AF8" w14:textId="090CAEB1" w:rsidR="00531156" w:rsidRPr="00531156" w:rsidRDefault="00531156" w:rsidP="00531156">
      <w:pPr>
        <w:rPr>
          <w:rFonts w:ascii="Times New Roman" w:hAnsi="Times New Roman" w:cs="Times New Roman"/>
        </w:rPr>
      </w:pPr>
    </w:p>
    <w:p w14:paraId="45026292" w14:textId="3F987BB9" w:rsidR="00531156" w:rsidRPr="00531156" w:rsidRDefault="00531156" w:rsidP="00531156">
      <w:pPr>
        <w:ind w:firstLine="720"/>
        <w:rPr>
          <w:rFonts w:ascii="Times New Roman" w:hAnsi="Times New Roman" w:cs="Times New Roman"/>
        </w:rPr>
      </w:pPr>
      <w:r w:rsidRPr="00531156">
        <w:rPr>
          <w:rFonts w:ascii="Times New Roman" w:hAnsi="Times New Roman" w:cs="Times New Roman"/>
        </w:rPr>
        <w:t>Despite strong evidence of archaeology’s political dimensions, some argue for the possibility of apolitical practice. Certain projects, such as rescue archaeology or academic research focused on material culture, may proceed without explicit nationalist or ideological objectives. Practitioners often aim to preserve heritage or answer scientific questions rather than advance political agendas (Meskell, 1999, p.55).</w:t>
      </w:r>
    </w:p>
    <w:p w14:paraId="078C5854" w14:textId="57CF3801" w:rsidR="00531156" w:rsidRPr="00531156" w:rsidRDefault="00531156" w:rsidP="00531156">
      <w:pPr>
        <w:rPr>
          <w:rFonts w:ascii="Times New Roman" w:hAnsi="Times New Roman" w:cs="Times New Roman"/>
        </w:rPr>
      </w:pPr>
      <w:r w:rsidRPr="00531156">
        <w:rPr>
          <w:rFonts w:ascii="Times New Roman" w:hAnsi="Times New Roman" w:cs="Times New Roman"/>
        </w:rPr>
        <w:t>Nonetheless, even these contexts are not immune to political influence. Research questions, funding decisions, and heritage legislation shape the scope and focus of archaeological work. As Shanks &amp; Tilley (1987, p.18) argue, “archaeology is always situated within a political field,” making claims to complete objectivity problematic. Therefore, while apolitical archaeology may be an aspirational ideal, it remains largely unattainable in practice.</w:t>
      </w:r>
    </w:p>
    <w:p w14:paraId="2E254776" w14:textId="46965FBE" w:rsidR="00531156" w:rsidRPr="00531156" w:rsidRDefault="00531156" w:rsidP="00531156">
      <w:pPr>
        <w:rPr>
          <w:rFonts w:ascii="Times New Roman" w:hAnsi="Times New Roman" w:cs="Times New Roman"/>
        </w:rPr>
      </w:pPr>
    </w:p>
    <w:p w14:paraId="37641553" w14:textId="77777777" w:rsidR="00531156" w:rsidRPr="00531156" w:rsidRDefault="00531156" w:rsidP="00531156">
      <w:pPr>
        <w:ind w:firstLine="720"/>
        <w:rPr>
          <w:rFonts w:ascii="Times New Roman" w:hAnsi="Times New Roman" w:cs="Times New Roman"/>
        </w:rPr>
      </w:pPr>
      <w:r w:rsidRPr="00531156">
        <w:rPr>
          <w:rFonts w:ascii="Times New Roman" w:hAnsi="Times New Roman" w:cs="Times New Roman"/>
        </w:rPr>
        <w:t>Archaeology is deeply political. Through the interpretation of material remains, the construction of national, ethnic, and Indigenous identities, and its embeddedness in institutional frameworks and legislation, the discipline both reflects and shapes power, memory, and belonging. Historical examples, from European nation-building to colonial and Indigenous contexts, illustrate how interpretations of the past have served political agendas.</w:t>
      </w:r>
    </w:p>
    <w:p w14:paraId="1592D45E"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Theoretical perspectives reinforce this argument, demonstrating that archaeological data are silent until interpreted, that archaeologists operate within socio-political contexts, and that methodological and institutional choices embed political influence. Ethical practice in archaeology requires acknowledging these political dimensions and engaging with them critically, using the discipline to foster inclusion, justice, and reflexivity rather than reproducing exclusionary narratives.</w:t>
      </w:r>
    </w:p>
    <w:p w14:paraId="3CF5A553" w14:textId="11E3D2A5" w:rsidR="00531156" w:rsidRDefault="00531156" w:rsidP="00531156"/>
    <w:p w14:paraId="156AD6F3" w14:textId="77777777" w:rsidR="00531156" w:rsidRDefault="00531156" w:rsidP="00531156"/>
    <w:p w14:paraId="236B530D" w14:textId="77777777" w:rsidR="00531156" w:rsidRDefault="00531156" w:rsidP="00531156"/>
    <w:p w14:paraId="1819A6B9" w14:textId="77777777" w:rsidR="00531156" w:rsidRDefault="00531156" w:rsidP="00531156"/>
    <w:p w14:paraId="30A92510" w14:textId="77777777" w:rsidR="00531156" w:rsidRDefault="00531156" w:rsidP="00531156"/>
    <w:p w14:paraId="62962EEF" w14:textId="77777777" w:rsidR="00531156" w:rsidRDefault="00531156" w:rsidP="00531156"/>
    <w:p w14:paraId="519F2C85" w14:textId="77777777" w:rsidR="00531156" w:rsidRDefault="00531156" w:rsidP="00531156"/>
    <w:p w14:paraId="42EFCF62" w14:textId="77777777" w:rsidR="00531156" w:rsidRDefault="00531156" w:rsidP="00531156"/>
    <w:p w14:paraId="13CDC108" w14:textId="77777777" w:rsidR="00531156" w:rsidRDefault="00531156" w:rsidP="00531156"/>
    <w:p w14:paraId="717E01F8" w14:textId="77777777" w:rsidR="00531156" w:rsidRDefault="00531156" w:rsidP="00531156"/>
    <w:p w14:paraId="507B5D75" w14:textId="77777777" w:rsidR="00531156" w:rsidRDefault="00531156" w:rsidP="00531156"/>
    <w:p w14:paraId="1E854888" w14:textId="77777777" w:rsidR="00531156" w:rsidRDefault="00531156" w:rsidP="00531156"/>
    <w:p w14:paraId="7714B7F2" w14:textId="77777777" w:rsidR="00531156" w:rsidRPr="00531156" w:rsidRDefault="00531156" w:rsidP="00531156"/>
    <w:p w14:paraId="36D448C7" w14:textId="583E31C1" w:rsidR="00531156" w:rsidRPr="00531156" w:rsidRDefault="00531156" w:rsidP="00531156">
      <w:pPr>
        <w:rPr>
          <w:rFonts w:ascii="Times New Roman" w:hAnsi="Times New Roman" w:cs="Times New Roman"/>
          <w:b/>
          <w:bCs/>
          <w:sz w:val="24"/>
          <w:szCs w:val="24"/>
        </w:rPr>
      </w:pPr>
      <w:r w:rsidRPr="00531156">
        <w:rPr>
          <w:rFonts w:ascii="Times New Roman" w:hAnsi="Times New Roman" w:cs="Times New Roman"/>
          <w:b/>
          <w:bCs/>
          <w:sz w:val="24"/>
          <w:szCs w:val="24"/>
        </w:rPr>
        <w:lastRenderedPageBreak/>
        <w:t>Bibliography</w:t>
      </w:r>
    </w:p>
    <w:p w14:paraId="08F8DC27" w14:textId="6E256494"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Carman, J. (ed.) (2024) </w:t>
      </w:r>
      <w:r w:rsidRPr="00531156">
        <w:rPr>
          <w:rFonts w:ascii="Times New Roman" w:hAnsi="Times New Roman" w:cs="Times New Roman"/>
          <w:i/>
          <w:iCs/>
        </w:rPr>
        <w:t>Archaeological Practice as Politics and Ethics</w:t>
      </w:r>
      <w:r w:rsidRPr="00531156">
        <w:rPr>
          <w:rFonts w:ascii="Times New Roman" w:hAnsi="Times New Roman" w:cs="Times New Roman"/>
        </w:rPr>
        <w:t xml:space="preserve">. Cham: Springer. Available at: </w:t>
      </w:r>
      <w:hyperlink r:id="rId5" w:history="1">
        <w:r w:rsidRPr="00531156">
          <w:rPr>
            <w:rStyle w:val="Hyperlink"/>
            <w:rFonts w:ascii="Times New Roman" w:hAnsi="Times New Roman" w:cs="Times New Roman"/>
          </w:rPr>
          <w:t>https://link.springer.com/book/10.1007/978-3-031-69828-6</w:t>
        </w:r>
      </w:hyperlink>
      <w:r w:rsidRPr="00531156">
        <w:rPr>
          <w:rFonts w:ascii="Times New Roman" w:hAnsi="Times New Roman" w:cs="Times New Roman"/>
        </w:rPr>
        <w:t xml:space="preserve"> [Accessed </w:t>
      </w:r>
      <w:r w:rsidRPr="00531156">
        <w:rPr>
          <w:rFonts w:ascii="Times New Roman" w:hAnsi="Times New Roman" w:cs="Times New Roman"/>
        </w:rPr>
        <w:t>29</w:t>
      </w:r>
      <w:r w:rsidRPr="00531156">
        <w:rPr>
          <w:rFonts w:ascii="Times New Roman" w:hAnsi="Times New Roman" w:cs="Times New Roman"/>
        </w:rPr>
        <w:t xml:space="preserve"> November 2025].</w:t>
      </w:r>
    </w:p>
    <w:p w14:paraId="4E22802F" w14:textId="1425F8BB"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Etter, A.-J. (2020) ‘Creating suitable evidence of the past? Archaeology, politics, and Hindu nationalism in India from the end of the twentieth century to the present’, </w:t>
      </w:r>
      <w:r w:rsidRPr="00531156">
        <w:rPr>
          <w:rFonts w:ascii="Times New Roman" w:hAnsi="Times New Roman" w:cs="Times New Roman"/>
          <w:i/>
          <w:iCs/>
        </w:rPr>
        <w:t>South Asia Multidisciplinary Academic Journal</w:t>
      </w:r>
      <w:r w:rsidRPr="00531156">
        <w:rPr>
          <w:rFonts w:ascii="Times New Roman" w:hAnsi="Times New Roman" w:cs="Times New Roman"/>
        </w:rPr>
        <w:t xml:space="preserve">, 24/25, pp. 1–23. DOI: 10.4000/samaj.6926. Available at: </w:t>
      </w:r>
      <w:hyperlink r:id="rId6" w:history="1">
        <w:r w:rsidRPr="00531156">
          <w:rPr>
            <w:rStyle w:val="Hyperlink"/>
            <w:rFonts w:ascii="Times New Roman" w:hAnsi="Times New Roman" w:cs="Times New Roman"/>
          </w:rPr>
          <w:t>https://journals.openedition.org/samaj/6926</w:t>
        </w:r>
      </w:hyperlink>
      <w:r w:rsidRPr="00531156">
        <w:rPr>
          <w:rFonts w:ascii="Times New Roman" w:hAnsi="Times New Roman" w:cs="Times New Roman"/>
        </w:rPr>
        <w:t xml:space="preserve"> [Accessed </w:t>
      </w:r>
      <w:r w:rsidRPr="00531156">
        <w:rPr>
          <w:rFonts w:ascii="Times New Roman" w:hAnsi="Times New Roman" w:cs="Times New Roman"/>
        </w:rPr>
        <w:t>29</w:t>
      </w:r>
      <w:r w:rsidRPr="00531156">
        <w:rPr>
          <w:rFonts w:ascii="Times New Roman" w:hAnsi="Times New Roman" w:cs="Times New Roman"/>
        </w:rPr>
        <w:t xml:space="preserve"> November 2025].</w:t>
      </w:r>
    </w:p>
    <w:p w14:paraId="1C9C77DF" w14:textId="47C0B496" w:rsidR="00531156" w:rsidRPr="00531156" w:rsidRDefault="00531156" w:rsidP="00531156">
      <w:pPr>
        <w:rPr>
          <w:rFonts w:ascii="Times New Roman" w:hAnsi="Times New Roman" w:cs="Times New Roman"/>
        </w:rPr>
      </w:pPr>
      <w:r w:rsidRPr="00531156">
        <w:rPr>
          <w:rFonts w:ascii="Times New Roman" w:hAnsi="Times New Roman" w:cs="Times New Roman"/>
        </w:rPr>
        <w:t>Hamilakis, Y. (2007) ‘</w:t>
      </w:r>
      <w:proofErr w:type="spellStart"/>
      <w:r w:rsidRPr="00531156">
        <w:rPr>
          <w:rFonts w:ascii="Times New Roman" w:hAnsi="Times New Roman" w:cs="Times New Roman"/>
        </w:rPr>
        <w:t>Postnationalism</w:t>
      </w:r>
      <w:proofErr w:type="spellEnd"/>
      <w:r w:rsidRPr="00531156">
        <w:rPr>
          <w:rFonts w:ascii="Times New Roman" w:hAnsi="Times New Roman" w:cs="Times New Roman"/>
        </w:rPr>
        <w:t xml:space="preserve"> and the Past: The Politics of Theory in Roman Archaeology’, </w:t>
      </w:r>
      <w:r w:rsidRPr="00531156">
        <w:rPr>
          <w:rFonts w:ascii="Times New Roman" w:hAnsi="Times New Roman" w:cs="Times New Roman"/>
          <w:i/>
          <w:iCs/>
        </w:rPr>
        <w:t>Theoretical Roman Archaeology Journal</w:t>
      </w:r>
      <w:r w:rsidRPr="00531156">
        <w:rPr>
          <w:rFonts w:ascii="Times New Roman" w:hAnsi="Times New Roman" w:cs="Times New Roman"/>
        </w:rPr>
        <w:t xml:space="preserve">, 2(1), pp. 1–16. DOI: 10.16995/traj.370. Available at: </w:t>
      </w:r>
      <w:hyperlink r:id="rId7" w:history="1">
        <w:r w:rsidRPr="00531156">
          <w:rPr>
            <w:rStyle w:val="Hyperlink"/>
            <w:rFonts w:ascii="Times New Roman" w:hAnsi="Times New Roman" w:cs="Times New Roman"/>
          </w:rPr>
          <w:t>https://traj.openlibhums.org/article/id/4006/</w:t>
        </w:r>
      </w:hyperlink>
      <w:r w:rsidRPr="00531156">
        <w:rPr>
          <w:rFonts w:ascii="Times New Roman" w:hAnsi="Times New Roman" w:cs="Times New Roman"/>
        </w:rPr>
        <w:t xml:space="preserve"> [Accessed </w:t>
      </w:r>
      <w:r w:rsidRPr="00531156">
        <w:rPr>
          <w:rFonts w:ascii="Times New Roman" w:hAnsi="Times New Roman" w:cs="Times New Roman"/>
        </w:rPr>
        <w:t>29</w:t>
      </w:r>
      <w:r w:rsidRPr="00531156">
        <w:rPr>
          <w:rFonts w:ascii="Times New Roman" w:hAnsi="Times New Roman" w:cs="Times New Roman"/>
        </w:rPr>
        <w:t xml:space="preserve"> November 2025].</w:t>
      </w:r>
    </w:p>
    <w:p w14:paraId="39AF75F6" w14:textId="761FDB40"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Kohl, P. L. (1993) ‘Nationalism, politics, and the practice of archaeology in Soviet Transcaucasia’, </w:t>
      </w:r>
      <w:r w:rsidRPr="00531156">
        <w:rPr>
          <w:rFonts w:ascii="Times New Roman" w:hAnsi="Times New Roman" w:cs="Times New Roman"/>
          <w:i/>
          <w:iCs/>
        </w:rPr>
        <w:t>Journal of European Archaeology</w:t>
      </w:r>
      <w:r w:rsidRPr="00531156">
        <w:rPr>
          <w:rFonts w:ascii="Times New Roman" w:hAnsi="Times New Roman" w:cs="Times New Roman"/>
        </w:rPr>
        <w:t xml:space="preserve">, 1(2), pp. 181–189. DOI: 10.1179/096576693800719301. Available at: </w:t>
      </w:r>
      <w:hyperlink r:id="rId8" w:history="1">
        <w:r w:rsidRPr="00531156">
          <w:rPr>
            <w:rStyle w:val="Hyperlink"/>
            <w:rFonts w:ascii="Times New Roman" w:hAnsi="Times New Roman" w:cs="Times New Roman"/>
          </w:rPr>
          <w:t>https://www.cambridge.org/core/journals/journal-of-european-archaeology/article/nationalism-politics-and-the-practice-of-archaeology-in-soviet-transcaucasia/57FFE8BA8BBACE9581A33DABB94DCCA5</w:t>
        </w:r>
      </w:hyperlink>
      <w:r w:rsidRPr="00531156">
        <w:rPr>
          <w:rFonts w:ascii="Times New Roman" w:hAnsi="Times New Roman" w:cs="Times New Roman"/>
        </w:rPr>
        <w:t xml:space="preserve"> [Accessed </w:t>
      </w:r>
      <w:r w:rsidRPr="00531156">
        <w:rPr>
          <w:rFonts w:ascii="Times New Roman" w:hAnsi="Times New Roman" w:cs="Times New Roman"/>
        </w:rPr>
        <w:t>29</w:t>
      </w:r>
      <w:r w:rsidRPr="00531156">
        <w:rPr>
          <w:rFonts w:ascii="Times New Roman" w:hAnsi="Times New Roman" w:cs="Times New Roman"/>
        </w:rPr>
        <w:t xml:space="preserve"> November 2025].</w:t>
      </w:r>
    </w:p>
    <w:p w14:paraId="1B4D30F1"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Kohl, P. L. &amp; Tsetskhladze, G. R. (1996) ‘Nationalism, politics, and the practice of archaeology in the Caucasus’, in Kohl, P. L. &amp; Fawcett, C. (eds.) </w:t>
      </w:r>
      <w:r w:rsidRPr="00531156">
        <w:rPr>
          <w:rFonts w:ascii="Times New Roman" w:hAnsi="Times New Roman" w:cs="Times New Roman"/>
          <w:i/>
          <w:iCs/>
        </w:rPr>
        <w:t>Nationalism, Politics and the Practice of Archaeology</w:t>
      </w:r>
      <w:r w:rsidRPr="00531156">
        <w:rPr>
          <w:rFonts w:ascii="Times New Roman" w:hAnsi="Times New Roman" w:cs="Times New Roman"/>
        </w:rPr>
        <w:t>. Cambridge: Cambridge University Press, pp. 149–174.</w:t>
      </w:r>
    </w:p>
    <w:p w14:paraId="7B5B4778" w14:textId="7488BEC3"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McGuire, R. H. (2008) </w:t>
      </w:r>
      <w:r w:rsidRPr="00531156">
        <w:rPr>
          <w:rFonts w:ascii="Times New Roman" w:hAnsi="Times New Roman" w:cs="Times New Roman"/>
          <w:i/>
          <w:iCs/>
        </w:rPr>
        <w:t>Archaeology as Political Action</w:t>
      </w:r>
      <w:r w:rsidRPr="00531156">
        <w:rPr>
          <w:rFonts w:ascii="Times New Roman" w:hAnsi="Times New Roman" w:cs="Times New Roman"/>
        </w:rPr>
        <w:t xml:space="preserve">. Berkeley: University of California Press. Available at: </w:t>
      </w:r>
      <w:hyperlink r:id="rId9" w:history="1">
        <w:r w:rsidRPr="00531156">
          <w:rPr>
            <w:rStyle w:val="Hyperlink"/>
            <w:rFonts w:ascii="Times New Roman" w:hAnsi="Times New Roman" w:cs="Times New Roman"/>
          </w:rPr>
          <w:t>https://www.ucpress.edu/books/archaeology-as-political-action/paper</w:t>
        </w:r>
      </w:hyperlink>
      <w:r w:rsidRPr="00531156">
        <w:rPr>
          <w:rFonts w:ascii="Times New Roman" w:hAnsi="Times New Roman" w:cs="Times New Roman"/>
        </w:rPr>
        <w:t xml:space="preserve"> [Accessed </w:t>
      </w:r>
      <w:r w:rsidRPr="00531156">
        <w:rPr>
          <w:rFonts w:ascii="Times New Roman" w:hAnsi="Times New Roman" w:cs="Times New Roman"/>
        </w:rPr>
        <w:t xml:space="preserve">29 </w:t>
      </w:r>
      <w:r w:rsidRPr="00531156">
        <w:rPr>
          <w:rFonts w:ascii="Times New Roman" w:hAnsi="Times New Roman" w:cs="Times New Roman"/>
        </w:rPr>
        <w:t>November 2025].</w:t>
      </w:r>
    </w:p>
    <w:p w14:paraId="77D1B017"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Meskell, L. (ed.) (1999) </w:t>
      </w:r>
      <w:r w:rsidRPr="00531156">
        <w:rPr>
          <w:rFonts w:ascii="Times New Roman" w:hAnsi="Times New Roman" w:cs="Times New Roman"/>
          <w:i/>
          <w:iCs/>
        </w:rPr>
        <w:t>Archaeology Under Fire: Nationalism, Politics and Heritage in the Eastern Mediterranean and Middle East</w:t>
      </w:r>
      <w:r w:rsidRPr="00531156">
        <w:rPr>
          <w:rFonts w:ascii="Times New Roman" w:hAnsi="Times New Roman" w:cs="Times New Roman"/>
        </w:rPr>
        <w:t>. London: Routledge.</w:t>
      </w:r>
    </w:p>
    <w:p w14:paraId="425D58F8"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Nicholas, G. &amp; Andrews, T. (1997) </w:t>
      </w:r>
      <w:r w:rsidRPr="00531156">
        <w:rPr>
          <w:rFonts w:ascii="Times New Roman" w:hAnsi="Times New Roman" w:cs="Times New Roman"/>
          <w:i/>
          <w:iCs/>
        </w:rPr>
        <w:t>Indigenous Archaeologies: Decolonising Theory and Practice</w:t>
      </w:r>
      <w:r w:rsidRPr="00531156">
        <w:rPr>
          <w:rFonts w:ascii="Times New Roman" w:hAnsi="Times New Roman" w:cs="Times New Roman"/>
        </w:rPr>
        <w:t>. London: Routledge.</w:t>
      </w:r>
    </w:p>
    <w:p w14:paraId="122AEA41" w14:textId="23EEBD1B"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Ronayne, M. (1997) ‘Object Lessons: The Politics of Identity in Archaeological Discourse’. University of Southampton. Available at: </w:t>
      </w:r>
      <w:hyperlink r:id="rId10" w:history="1">
        <w:r w:rsidRPr="00531156">
          <w:rPr>
            <w:rStyle w:val="Hyperlink"/>
            <w:rFonts w:ascii="Times New Roman" w:hAnsi="Times New Roman" w:cs="Times New Roman"/>
          </w:rPr>
          <w:t>https://archaeologydataservice.ac.uk/archives/view/assemblage/html/2/2ronayn.html</w:t>
        </w:r>
      </w:hyperlink>
      <w:r w:rsidRPr="00531156">
        <w:rPr>
          <w:rFonts w:ascii="Times New Roman" w:hAnsi="Times New Roman" w:cs="Times New Roman"/>
        </w:rPr>
        <w:t xml:space="preserve"> [Accessed </w:t>
      </w:r>
      <w:r w:rsidRPr="00531156">
        <w:rPr>
          <w:rFonts w:ascii="Times New Roman" w:hAnsi="Times New Roman" w:cs="Times New Roman"/>
        </w:rPr>
        <w:t>29</w:t>
      </w:r>
      <w:r w:rsidRPr="00531156">
        <w:rPr>
          <w:rFonts w:ascii="Times New Roman" w:hAnsi="Times New Roman" w:cs="Times New Roman"/>
        </w:rPr>
        <w:t xml:space="preserve"> November 2025].</w:t>
      </w:r>
    </w:p>
    <w:p w14:paraId="13697005"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Shanks, M. &amp; Tilley, C. (1987) </w:t>
      </w:r>
      <w:r w:rsidRPr="00531156">
        <w:rPr>
          <w:rFonts w:ascii="Times New Roman" w:hAnsi="Times New Roman" w:cs="Times New Roman"/>
          <w:i/>
          <w:iCs/>
        </w:rPr>
        <w:t>Social Theory and Archaeology</w:t>
      </w:r>
      <w:r w:rsidRPr="00531156">
        <w:rPr>
          <w:rFonts w:ascii="Times New Roman" w:hAnsi="Times New Roman" w:cs="Times New Roman"/>
        </w:rPr>
        <w:t>. Cambridge: Cambridge University Press.</w:t>
      </w:r>
    </w:p>
    <w:p w14:paraId="4EFB3054"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Shanks, M. &amp; Tilley, C. (1992) </w:t>
      </w:r>
      <w:r w:rsidRPr="00531156">
        <w:rPr>
          <w:rFonts w:ascii="Times New Roman" w:hAnsi="Times New Roman" w:cs="Times New Roman"/>
          <w:i/>
          <w:iCs/>
        </w:rPr>
        <w:t>Re-constructing Archaeology: Theory and Practice</w:t>
      </w:r>
      <w:r w:rsidRPr="00531156">
        <w:rPr>
          <w:rFonts w:ascii="Times New Roman" w:hAnsi="Times New Roman" w:cs="Times New Roman"/>
        </w:rPr>
        <w:t xml:space="preserve"> (2nd ed.). London: Routledge.</w:t>
      </w:r>
    </w:p>
    <w:p w14:paraId="1579EF6B"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Smith, L. T. (2012) </w:t>
      </w:r>
      <w:r w:rsidRPr="00531156">
        <w:rPr>
          <w:rFonts w:ascii="Times New Roman" w:hAnsi="Times New Roman" w:cs="Times New Roman"/>
          <w:i/>
          <w:iCs/>
        </w:rPr>
        <w:t>Decolonizing Methodologies: Research and Indigenous Peoples</w:t>
      </w:r>
      <w:r w:rsidRPr="00531156">
        <w:rPr>
          <w:rFonts w:ascii="Times New Roman" w:hAnsi="Times New Roman" w:cs="Times New Roman"/>
        </w:rPr>
        <w:t xml:space="preserve"> (2nd ed.). London: Zed Books.</w:t>
      </w:r>
    </w:p>
    <w:p w14:paraId="01E29ABD" w14:textId="77777777" w:rsidR="00531156" w:rsidRPr="00531156" w:rsidRDefault="00531156" w:rsidP="00531156">
      <w:pPr>
        <w:rPr>
          <w:rFonts w:ascii="Times New Roman" w:hAnsi="Times New Roman" w:cs="Times New Roman"/>
        </w:rPr>
      </w:pPr>
      <w:r w:rsidRPr="00531156">
        <w:rPr>
          <w:rFonts w:ascii="Times New Roman" w:hAnsi="Times New Roman" w:cs="Times New Roman"/>
        </w:rPr>
        <w:t xml:space="preserve">Trigger, B. G. (1989) </w:t>
      </w:r>
      <w:r w:rsidRPr="00531156">
        <w:rPr>
          <w:rFonts w:ascii="Times New Roman" w:hAnsi="Times New Roman" w:cs="Times New Roman"/>
          <w:i/>
          <w:iCs/>
        </w:rPr>
        <w:t>A History of Archaeological Thought</w:t>
      </w:r>
      <w:r w:rsidRPr="00531156">
        <w:rPr>
          <w:rFonts w:ascii="Times New Roman" w:hAnsi="Times New Roman" w:cs="Times New Roman"/>
        </w:rPr>
        <w:t>. Cambridge: Cambridge University Press.</w:t>
      </w:r>
    </w:p>
    <w:p w14:paraId="6D570758" w14:textId="18D974CD" w:rsidR="00531156" w:rsidRPr="00531156" w:rsidRDefault="00531156" w:rsidP="00531156"/>
    <w:sectPr w:rsidR="00531156" w:rsidRPr="005311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24A07"/>
    <w:multiLevelType w:val="multilevel"/>
    <w:tmpl w:val="6F569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AC6245"/>
    <w:multiLevelType w:val="multilevel"/>
    <w:tmpl w:val="64BE65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78E3D7F"/>
    <w:multiLevelType w:val="multilevel"/>
    <w:tmpl w:val="F53A65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5C87542"/>
    <w:multiLevelType w:val="multilevel"/>
    <w:tmpl w:val="69263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EE2E15"/>
    <w:multiLevelType w:val="multilevel"/>
    <w:tmpl w:val="35D6D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4839025">
    <w:abstractNumId w:val="4"/>
  </w:num>
  <w:num w:numId="2" w16cid:durableId="983316655">
    <w:abstractNumId w:val="1"/>
  </w:num>
  <w:num w:numId="3" w16cid:durableId="1184173020">
    <w:abstractNumId w:val="0"/>
  </w:num>
  <w:num w:numId="4" w16cid:durableId="1691226485">
    <w:abstractNumId w:val="2"/>
  </w:num>
  <w:num w:numId="5" w16cid:durableId="554456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156"/>
    <w:rsid w:val="00200782"/>
    <w:rsid w:val="00320DDC"/>
    <w:rsid w:val="00531156"/>
    <w:rsid w:val="006E6788"/>
    <w:rsid w:val="007F40EE"/>
    <w:rsid w:val="00F13D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A8C19"/>
  <w15:chartTrackingRefBased/>
  <w15:docId w15:val="{78E65E9D-9857-40A3-AC25-64B5E7AC7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311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11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11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11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11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11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1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1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1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1156"/>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53115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53115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3115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3115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3115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3115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3115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3115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311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115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311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115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31156"/>
    <w:pPr>
      <w:spacing w:before="160"/>
      <w:jc w:val="center"/>
    </w:pPr>
    <w:rPr>
      <w:i/>
      <w:iCs/>
      <w:color w:val="404040" w:themeColor="text1" w:themeTint="BF"/>
    </w:rPr>
  </w:style>
  <w:style w:type="character" w:customStyle="1" w:styleId="QuoteChar">
    <w:name w:val="Quote Char"/>
    <w:basedOn w:val="DefaultParagraphFont"/>
    <w:link w:val="Quote"/>
    <w:uiPriority w:val="29"/>
    <w:rsid w:val="00531156"/>
    <w:rPr>
      <w:i/>
      <w:iCs/>
      <w:color w:val="404040" w:themeColor="text1" w:themeTint="BF"/>
      <w:lang w:val="en-GB"/>
    </w:rPr>
  </w:style>
  <w:style w:type="paragraph" w:styleId="ListParagraph">
    <w:name w:val="List Paragraph"/>
    <w:basedOn w:val="Normal"/>
    <w:uiPriority w:val="34"/>
    <w:qFormat/>
    <w:rsid w:val="00531156"/>
    <w:pPr>
      <w:ind w:left="720"/>
      <w:contextualSpacing/>
    </w:pPr>
  </w:style>
  <w:style w:type="character" w:styleId="IntenseEmphasis">
    <w:name w:val="Intense Emphasis"/>
    <w:basedOn w:val="DefaultParagraphFont"/>
    <w:uiPriority w:val="21"/>
    <w:qFormat/>
    <w:rsid w:val="00531156"/>
    <w:rPr>
      <w:i/>
      <w:iCs/>
      <w:color w:val="0F4761" w:themeColor="accent1" w:themeShade="BF"/>
    </w:rPr>
  </w:style>
  <w:style w:type="paragraph" w:styleId="IntenseQuote">
    <w:name w:val="Intense Quote"/>
    <w:basedOn w:val="Normal"/>
    <w:next w:val="Normal"/>
    <w:link w:val="IntenseQuoteChar"/>
    <w:uiPriority w:val="30"/>
    <w:qFormat/>
    <w:rsid w:val="005311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1156"/>
    <w:rPr>
      <w:i/>
      <w:iCs/>
      <w:color w:val="0F4761" w:themeColor="accent1" w:themeShade="BF"/>
      <w:lang w:val="en-GB"/>
    </w:rPr>
  </w:style>
  <w:style w:type="character" w:styleId="IntenseReference">
    <w:name w:val="Intense Reference"/>
    <w:basedOn w:val="DefaultParagraphFont"/>
    <w:uiPriority w:val="32"/>
    <w:qFormat/>
    <w:rsid w:val="00531156"/>
    <w:rPr>
      <w:b/>
      <w:bCs/>
      <w:smallCaps/>
      <w:color w:val="0F4761" w:themeColor="accent1" w:themeShade="BF"/>
      <w:spacing w:val="5"/>
    </w:rPr>
  </w:style>
  <w:style w:type="paragraph" w:styleId="NormalWeb">
    <w:name w:val="Normal (Web)"/>
    <w:basedOn w:val="Normal"/>
    <w:uiPriority w:val="99"/>
    <w:unhideWhenUsed/>
    <w:rsid w:val="00531156"/>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531156"/>
    <w:rPr>
      <w:color w:val="467886" w:themeColor="hyperlink"/>
      <w:u w:val="single"/>
    </w:rPr>
  </w:style>
  <w:style w:type="character" w:styleId="UnresolvedMention">
    <w:name w:val="Unresolved Mention"/>
    <w:basedOn w:val="DefaultParagraphFont"/>
    <w:uiPriority w:val="99"/>
    <w:semiHidden/>
    <w:unhideWhenUsed/>
    <w:rsid w:val="005311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core/journals/journal-of-european-archaeology/article/nationalism-politics-and-the-practice-of-archaeology-in-soviet-transcaucasia/57FFE8BA8BBACE9581A33DABB94DCCA5" TargetMode="External"/><Relationship Id="rId3" Type="http://schemas.openxmlformats.org/officeDocument/2006/relationships/settings" Target="settings.xml"/><Relationship Id="rId7" Type="http://schemas.openxmlformats.org/officeDocument/2006/relationships/hyperlink" Target="https://traj.openlibhums.org/article/id/400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journals.openedition.org/samaj/6926" TargetMode="External"/><Relationship Id="rId11" Type="http://schemas.openxmlformats.org/officeDocument/2006/relationships/fontTable" Target="fontTable.xml"/><Relationship Id="rId5" Type="http://schemas.openxmlformats.org/officeDocument/2006/relationships/hyperlink" Target="https://link.springer.com/book/10.1007/978-3-031-69828-6" TargetMode="External"/><Relationship Id="rId10" Type="http://schemas.openxmlformats.org/officeDocument/2006/relationships/hyperlink" Target="https://archaeologydataservice.ac.uk/archives/view/assemblage/html/2/2ronayn.html" TargetMode="External"/><Relationship Id="rId4" Type="http://schemas.openxmlformats.org/officeDocument/2006/relationships/webSettings" Target="webSettings.xml"/><Relationship Id="rId9" Type="http://schemas.openxmlformats.org/officeDocument/2006/relationships/hyperlink" Target="https://www.ucpress.edu/books/archaeology-as-political-action/pa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2334</Words>
  <Characters>13304</Characters>
  <Application>Microsoft Office Word</Application>
  <DocSecurity>0</DocSecurity>
  <Lines>110</Lines>
  <Paragraphs>31</Paragraphs>
  <ScaleCrop>false</ScaleCrop>
  <Company/>
  <LinksUpToDate>false</LinksUpToDate>
  <CharactersWithSpaces>15607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1</cp:revision>
  <dcterms:created xsi:type="dcterms:W3CDTF">2025-11-30T23:43:00Z</dcterms:created>
  <dcterms:modified xsi:type="dcterms:W3CDTF">2025-11-30T23:52:00Z</dcterms:modified>
</cp:coreProperties>
</file>