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DB1FB7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D56C0F">
              <w:rPr>
                <w:rFonts w:ascii="Times New Roman" w:hAnsi="Times New Roman" w:cs="Times New Roman"/>
                <w:b/>
                <w:color w:val="auto"/>
                <w:sz w:val="48"/>
              </w:rPr>
              <w:t xml:space="preserve"> Hannah McCormack</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B52481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56C0F">
              <w:rPr>
                <w:rFonts w:ascii="Times New Roman" w:hAnsi="Times New Roman" w:cs="Times New Roman"/>
                <w:b/>
                <w:color w:val="auto"/>
                <w:sz w:val="48"/>
              </w:rPr>
              <w:t xml:space="preserve"> 1304464@student.uwtsd.ac.uk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9C8CA0E" w:rsidR="0085230E" w:rsidRPr="005D3F07" w:rsidRDefault="00D56C0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1304464</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46AB19B3" w14:textId="77777777" w:rsidR="00D56C0F" w:rsidRDefault="00D56C0F" w:rsidP="00D56C0F">
            <w:pPr>
              <w:jc w:val="both"/>
              <w:rPr>
                <w:sz w:val="22"/>
                <w:szCs w:val="22"/>
              </w:rPr>
            </w:pPr>
            <w:r w:rsidRPr="001D64EC">
              <w:rPr>
                <w:sz w:val="22"/>
                <w:szCs w:val="22"/>
              </w:rPr>
              <w:t xml:space="preserve">I have decided to critically reflect on a case that I was recently allocated in my current role as a progression social worker, working with adults with learning disabilities. I will critically reflect chronologically how the case has progressed, resulting in safeguarding intervention. In order to assist my critical reflection, I will use Borton’s (1970) reflective model in order to provide a comprehensive understanding of a complex situation that I have dealt with.  </w:t>
            </w:r>
          </w:p>
          <w:p w14:paraId="267442EC" w14:textId="77777777" w:rsidR="00D56C0F" w:rsidRPr="001D64EC" w:rsidRDefault="00D56C0F" w:rsidP="00D56C0F">
            <w:pPr>
              <w:jc w:val="both"/>
              <w:rPr>
                <w:sz w:val="22"/>
                <w:szCs w:val="22"/>
              </w:rPr>
            </w:pPr>
          </w:p>
          <w:p w14:paraId="2D05B9A0" w14:textId="751E14E6" w:rsidR="00D56C0F" w:rsidRDefault="00D56C0F" w:rsidP="00D56C0F">
            <w:pPr>
              <w:jc w:val="both"/>
              <w:rPr>
                <w:sz w:val="22"/>
                <w:szCs w:val="22"/>
              </w:rPr>
            </w:pPr>
            <w:r w:rsidRPr="001D64EC">
              <w:rPr>
                <w:sz w:val="22"/>
                <w:szCs w:val="22"/>
              </w:rPr>
              <w:t xml:space="preserve">Person 1 (P1) is a young person, in his early twenties and is from a rural village, previously living with his mother. P1 is non-verbal; however, parents have always communicated to him in Welsh. Three years ago, P1 experienced a placement breakdown and now is currently living in a residential setting, in an out of county placement. P1 has a severe learning disability, and displays behaviours that challenge, and requires a significant package of care to meet his care and support needs. P1 has been detained under the Mental Health Act (1983) and was subject to section three of the act prior to my involvement. The purpose of my involvement was to assess whether P1 would be suitable to step down progressively to a supported living setting, back in his home county. Consequently, one component of my assessment included </w:t>
            </w:r>
            <w:r w:rsidR="003E40D3" w:rsidRPr="001D64EC">
              <w:rPr>
                <w:sz w:val="22"/>
                <w:szCs w:val="22"/>
              </w:rPr>
              <w:t>consulting</w:t>
            </w:r>
            <w:r w:rsidRPr="001D64EC">
              <w:rPr>
                <w:sz w:val="22"/>
                <w:szCs w:val="22"/>
              </w:rPr>
              <w:t xml:space="preserve"> with family in order to gather their views on the situation. During these interactions, family shared concerns, that at the time were recognised as safeguarding issues, however further information gathering was required, and a more in-depth assessment was completed, which will be discussed during the case study. Next, I will discuss how legislation has informed my practice in relation to working with P1, which was discussed in supervision when I was first allocated the case. </w:t>
            </w:r>
          </w:p>
          <w:p w14:paraId="4BB34CEC" w14:textId="77777777" w:rsidR="00D56C0F" w:rsidRPr="001D64EC" w:rsidRDefault="00D56C0F" w:rsidP="00D56C0F">
            <w:pPr>
              <w:jc w:val="both"/>
              <w:rPr>
                <w:sz w:val="22"/>
                <w:szCs w:val="22"/>
              </w:rPr>
            </w:pPr>
          </w:p>
          <w:p w14:paraId="4FAF018C" w14:textId="2D3E81C5" w:rsidR="00D56C0F" w:rsidRDefault="00FC7B92" w:rsidP="00D56C0F">
            <w:pPr>
              <w:jc w:val="both"/>
              <w:rPr>
                <w:sz w:val="22"/>
                <w:szCs w:val="22"/>
              </w:rPr>
            </w:pPr>
            <w:r>
              <w:rPr>
                <w:sz w:val="22"/>
                <w:szCs w:val="22"/>
              </w:rPr>
              <w:t>Being a newly qualified social worker</w:t>
            </w:r>
            <w:r w:rsidR="00D56C0F" w:rsidRPr="001D64EC">
              <w:rPr>
                <w:sz w:val="22"/>
                <w:szCs w:val="22"/>
              </w:rPr>
              <w:t xml:space="preserve">, </w:t>
            </w:r>
            <w:r>
              <w:rPr>
                <w:sz w:val="22"/>
                <w:szCs w:val="22"/>
              </w:rPr>
              <w:t xml:space="preserve">ensuring </w:t>
            </w:r>
            <w:r w:rsidR="003C10D2">
              <w:rPr>
                <w:sz w:val="22"/>
                <w:szCs w:val="22"/>
              </w:rPr>
              <w:t xml:space="preserve">that I am </w:t>
            </w:r>
            <w:r w:rsidRPr="001D64EC">
              <w:rPr>
                <w:sz w:val="22"/>
                <w:szCs w:val="22"/>
              </w:rPr>
              <w:t>prepar</w:t>
            </w:r>
            <w:r w:rsidR="003C10D2">
              <w:rPr>
                <w:sz w:val="22"/>
                <w:szCs w:val="22"/>
              </w:rPr>
              <w:t>ed</w:t>
            </w:r>
            <w:r w:rsidR="00D56C0F" w:rsidRPr="001D64EC">
              <w:rPr>
                <w:sz w:val="22"/>
                <w:szCs w:val="22"/>
              </w:rPr>
              <w:t xml:space="preserve"> is key in order to ensure good standard practice and positive outcomes. Prior to starting any new piece of work, I firstly make sure to </w:t>
            </w:r>
            <w:r w:rsidR="00D56C0F" w:rsidRPr="001D64EC">
              <w:rPr>
                <w:sz w:val="22"/>
                <w:szCs w:val="22"/>
              </w:rPr>
              <w:lastRenderedPageBreak/>
              <w:t>note and understand the interactions of different legislations that are relevant during my time working with an individual. In order to ensure effective supervision, I had an in-depth discussion with my supervisor, discussing all key legislation and themes to ensure that I have consideration for legislation in social work. One of the main reasons social workers require knowledge of different legislations is to ensure that conduct in relation to decision making is regulated by principles that are set to be followed (Braye, Preston-Shoot and Wigley, 2011). In addition, it is critical, that social workers are responsible for ensuring they have up to date knowledge and continue to develop and maintain their skills and knowledge on different topics in accordance with the ‘Code of Professional Practice for Social Care’ (Social Care Wales, 2017). Because of the preparation, I felt that my confidence around the legislative context was sufficient to manage the case well. It is essential to adhere to the legislative context as a whole, which includes within Wales, the United Kingdom, the European Union and globally outside the EU</w:t>
            </w:r>
            <w:r w:rsidR="003C10D2" w:rsidRPr="001D64EC">
              <w:rPr>
                <w:sz w:val="22"/>
                <w:szCs w:val="22"/>
              </w:rPr>
              <w:t xml:space="preserve">. </w:t>
            </w:r>
          </w:p>
          <w:p w14:paraId="1044541A" w14:textId="77777777" w:rsidR="00D56C0F" w:rsidRPr="001D64EC" w:rsidRDefault="00D56C0F" w:rsidP="00D56C0F">
            <w:pPr>
              <w:jc w:val="both"/>
              <w:rPr>
                <w:sz w:val="22"/>
                <w:szCs w:val="22"/>
              </w:rPr>
            </w:pPr>
          </w:p>
          <w:p w14:paraId="07DB2A36" w14:textId="7A273812" w:rsidR="00D56C0F" w:rsidRDefault="00D56C0F" w:rsidP="00D56C0F">
            <w:pPr>
              <w:jc w:val="both"/>
              <w:rPr>
                <w:sz w:val="22"/>
                <w:szCs w:val="22"/>
              </w:rPr>
            </w:pPr>
            <w:r w:rsidRPr="001D64EC">
              <w:rPr>
                <w:sz w:val="22"/>
                <w:szCs w:val="22"/>
              </w:rPr>
              <w:t xml:space="preserve">Whilst looking at the broader context of legislation globally, it is important to have an understanding of the Convention on The Rights Of Persons With Disabilities (CRPD), (United Nations, 2006). The CRPD is a treaty that was developed in 2006 to support human rights internationally. As the United Kingdom, including Wales has signed up to this treaty, there is an agreement that people with a learning disability should be protected, and their human rights are promoted. On reflection, the broader issue that this highlighted for me was, what actual impact does the CRPD have on people with learning disabilities. After reading the UK Independent Mechanism (2023) report on their seven-year progress on implementing recommendations from the CRPD, I recognised that it is stated ‘no progress’ or ‘little progress’ had been made. Furthermore, it noted that there are insufficient provisions within adult social care, impacting on the human rights of adults with learning disabilities, as stated in the CRPD. I found this important, as when during my time working with P1, we encountered a lack of support provisions that were suitable to meet P1’s needs. </w:t>
            </w:r>
            <w:r w:rsidR="003C10D2" w:rsidRPr="001D64EC">
              <w:rPr>
                <w:sz w:val="22"/>
                <w:szCs w:val="22"/>
              </w:rPr>
              <w:t>I have</w:t>
            </w:r>
            <w:r w:rsidRPr="001D64EC">
              <w:rPr>
                <w:sz w:val="22"/>
                <w:szCs w:val="22"/>
              </w:rPr>
              <w:t xml:space="preserve"> learnt that the issue around lack of resources is a global and greater considerations need to be strategically explored, especially as it has an impact on safeguarding adults with learning disabilities (UK Independent Mechanism, 2023). </w:t>
            </w:r>
          </w:p>
          <w:p w14:paraId="251C4042" w14:textId="77777777" w:rsidR="00D56C0F" w:rsidRPr="001D64EC" w:rsidRDefault="00D56C0F" w:rsidP="00D56C0F">
            <w:pPr>
              <w:jc w:val="both"/>
              <w:rPr>
                <w:sz w:val="22"/>
                <w:szCs w:val="22"/>
              </w:rPr>
            </w:pPr>
          </w:p>
          <w:p w14:paraId="35EEBB1F" w14:textId="52743B31" w:rsidR="00D56C0F" w:rsidRDefault="00D56C0F" w:rsidP="00D56C0F">
            <w:pPr>
              <w:jc w:val="both"/>
              <w:rPr>
                <w:sz w:val="22"/>
                <w:szCs w:val="22"/>
              </w:rPr>
            </w:pPr>
            <w:r w:rsidRPr="001D64EC">
              <w:rPr>
                <w:sz w:val="22"/>
                <w:szCs w:val="22"/>
              </w:rPr>
              <w:t xml:space="preserve">Within the European Union (EU), the European Convention on Human Rights (ECHR) developed a list of entitled rights for countries, </w:t>
            </w:r>
            <w:r w:rsidR="00107957" w:rsidRPr="001D64EC">
              <w:rPr>
                <w:sz w:val="22"/>
                <w:szCs w:val="22"/>
              </w:rPr>
              <w:t>which</w:t>
            </w:r>
            <w:r w:rsidRPr="001D64EC">
              <w:rPr>
                <w:sz w:val="22"/>
                <w:szCs w:val="22"/>
              </w:rPr>
              <w:t xml:space="preserve"> had signed up, within the EU, which includes the UK, called the Human Rights Act (HRA) (1998). Initially, I felt that my consideration to such legislation is poor and have not always considered this legislation to have an impact on my work daily. However, research explains that the HRA and the ECHR has an impact on more familiar legislation within the UK and Wales, and Local Authorities are required to demonstrate that they work in a compatible manner with the ECHR. I found it interesting that a majority of the research I read discussed suggested repealing or updating the HRA. Broader issues regarding the HRA includes a less significant certainty on the legal framework that local authorities </w:t>
            </w:r>
            <w:r w:rsidR="00107957" w:rsidRPr="001D64EC">
              <w:rPr>
                <w:sz w:val="22"/>
                <w:szCs w:val="22"/>
              </w:rPr>
              <w:t>use</w:t>
            </w:r>
            <w:r w:rsidRPr="001D64EC">
              <w:rPr>
                <w:sz w:val="22"/>
                <w:szCs w:val="22"/>
              </w:rPr>
              <w:t xml:space="preserve"> to operate. For example, decisions made on operational levels being questioned by the courts, whilst degrading the professional judgement of professionals (Brader, 2022)</w:t>
            </w:r>
            <w:r w:rsidR="00107957" w:rsidRPr="001D64EC">
              <w:rPr>
                <w:sz w:val="22"/>
                <w:szCs w:val="22"/>
              </w:rPr>
              <w:t xml:space="preserve">. </w:t>
            </w:r>
          </w:p>
          <w:p w14:paraId="7DEEFEA1" w14:textId="368C0D80" w:rsidR="00D56C0F" w:rsidRPr="001D64EC" w:rsidRDefault="00D56C0F" w:rsidP="00D56C0F">
            <w:pPr>
              <w:jc w:val="both"/>
              <w:rPr>
                <w:sz w:val="22"/>
                <w:szCs w:val="22"/>
              </w:rPr>
            </w:pPr>
            <w:r w:rsidRPr="001D64EC">
              <w:rPr>
                <w:sz w:val="22"/>
                <w:szCs w:val="22"/>
              </w:rPr>
              <w:t xml:space="preserve">    </w:t>
            </w:r>
          </w:p>
          <w:p w14:paraId="54AB5C59" w14:textId="6135922A" w:rsidR="00D56C0F" w:rsidRDefault="00D56C0F" w:rsidP="00D56C0F">
            <w:pPr>
              <w:jc w:val="both"/>
              <w:rPr>
                <w:sz w:val="22"/>
                <w:szCs w:val="22"/>
              </w:rPr>
            </w:pPr>
            <w:r w:rsidRPr="001D64EC">
              <w:rPr>
                <w:sz w:val="22"/>
                <w:szCs w:val="22"/>
              </w:rPr>
              <w:t>In addition to the legislation above, there is legislation within the UK that has had an impact on my work whilst working this case. Firstly, the Mental Capacity Act (2005). This legislation provides a legal framework to both Wales and England on decision making for people that may or may not have capacity. Specific structure is provided on how to complete capacity assessments and outlines the processes if a person lacks capacity (Aspinwall</w:t>
            </w:r>
            <w:r w:rsidRPr="001D64EC">
              <w:rPr>
                <w:rFonts w:ascii="Cambria Math" w:hAnsi="Cambria Math" w:cs="Cambria Math"/>
                <w:sz w:val="22"/>
                <w:szCs w:val="22"/>
              </w:rPr>
              <w:t>‐</w:t>
            </w:r>
            <w:r w:rsidRPr="001D64EC">
              <w:rPr>
                <w:sz w:val="22"/>
                <w:szCs w:val="22"/>
              </w:rPr>
              <w:t>Roberts et al., 2022). It was deemed before the safeguarding concerns that P1 lacked capacity in regard to decisions around his care and residency. On reflection, I believe that due to P1 lacking capacity, further intervention was provided due to the risk of safeguarding concerns and P1 inability protect himself or to verbally communicate any issues or concerns that he has. Further, research explains that in regards to safeguarding, specifically within adult practice reviews</w:t>
            </w:r>
            <w:r w:rsidR="00AF5BE8">
              <w:rPr>
                <w:sz w:val="22"/>
                <w:szCs w:val="22"/>
              </w:rPr>
              <w:t xml:space="preserve"> (Welsh Government, 2016)</w:t>
            </w:r>
            <w:r w:rsidRPr="001D64EC">
              <w:rPr>
                <w:sz w:val="22"/>
                <w:szCs w:val="22"/>
              </w:rPr>
              <w:t xml:space="preserve">, the topic of mental capacity is a common theme in where improvements were required. It stated in these situations that capacity assessments were </w:t>
            </w:r>
            <w:r w:rsidRPr="001D64EC">
              <w:rPr>
                <w:sz w:val="22"/>
                <w:szCs w:val="22"/>
              </w:rPr>
              <w:lastRenderedPageBreak/>
              <w:t xml:space="preserve">completed poorly, with a lack of best interest process being followed to safeguarding individuals (Carter, 2017). And lastly, within the UK, The Equality Act (2010) has always been an underpinning piece of legislation that I ensure to consider when being allocated a new case. Anti-discriminatory practice needs to be promoted when working with individuals, which is supported by the Equality Act (2010). </w:t>
            </w:r>
          </w:p>
          <w:p w14:paraId="6520CE02" w14:textId="77777777" w:rsidR="00D56C0F" w:rsidRPr="001D64EC" w:rsidRDefault="00D56C0F" w:rsidP="00D56C0F">
            <w:pPr>
              <w:jc w:val="both"/>
              <w:rPr>
                <w:sz w:val="22"/>
                <w:szCs w:val="22"/>
              </w:rPr>
            </w:pPr>
          </w:p>
          <w:p w14:paraId="4D02B7E5" w14:textId="500FAC2E" w:rsidR="00D56C0F" w:rsidRDefault="00D56C0F" w:rsidP="00D56C0F">
            <w:pPr>
              <w:jc w:val="both"/>
              <w:rPr>
                <w:sz w:val="22"/>
                <w:szCs w:val="22"/>
              </w:rPr>
            </w:pPr>
            <w:r w:rsidRPr="001D64EC">
              <w:rPr>
                <w:sz w:val="22"/>
                <w:szCs w:val="22"/>
              </w:rPr>
              <w:t xml:space="preserve">The main, underpinning piece of legislation that has impacted my practice is the Social Services and Well-being (Wales) Act (SSWBA) (2014), with specific requirements to apply Part 7, Safeguarding. In regards to Welsh context, prior to the SSWBA (2014), safeguarding adults at risk did not have a legal framework to follow, and instead followed guidance only. Within Part 7, definitions are provided as to what constitutes as an ‘adult at risk’. Research suggests that the definition of an ‘adult at risk’ is insufficient, and disregards individuals who are not receiving care and support from social care teams. Additionally, research suggests that having a broader definition would create costly pressures on local authorities and their resources (Williams, 2017). On reflection, this made me feel uncomfortable that people could fall through the gaps in regard to being safeguarding and feel that this does not promote the person-centred approach that is described and promoted within the Wales Safeguarding Procedures (Social Care Wales (SCW), 2019). </w:t>
            </w:r>
          </w:p>
          <w:p w14:paraId="5EB3AA09" w14:textId="77777777" w:rsidR="00D56C0F" w:rsidRPr="001D64EC" w:rsidRDefault="00D56C0F" w:rsidP="00D56C0F">
            <w:pPr>
              <w:jc w:val="both"/>
              <w:rPr>
                <w:sz w:val="22"/>
                <w:szCs w:val="22"/>
              </w:rPr>
            </w:pPr>
          </w:p>
          <w:p w14:paraId="7C55A5CD" w14:textId="4CA1550A" w:rsidR="00D56C0F" w:rsidRDefault="00D56C0F" w:rsidP="00D56C0F">
            <w:pPr>
              <w:jc w:val="both"/>
              <w:rPr>
                <w:sz w:val="22"/>
                <w:szCs w:val="22"/>
              </w:rPr>
            </w:pPr>
            <w:r w:rsidRPr="001D64EC">
              <w:rPr>
                <w:sz w:val="22"/>
                <w:szCs w:val="22"/>
              </w:rPr>
              <w:t>As a practitioner, I feel reassured that we have readily accessible information regarding safeguarding via the Wales Safeguarding Procedures (SCW, 2019). Information is always readily available when working through safeguarding, explaining procedures for both adults and children. On reflection, what I found most useful is their explanation and mention of the Safeguarding Boards within Wales, and in regards to Welsh context, depending on your local authority, which Safeguarding Board you should follow. The purpose of the development of Safeguarding Boards in Wales are a requirement under the SSWBA (2014). It provides co-ordination around safeguarding within local areas, with the main goal to promote safeguarding and well-being of the individuals of Wales. From a procedures perspective, what I found interesting was that they support the completion of Adult Case Review are a part of The Safeguarding Boards (Functions and Procedures) (Wales) Regulations (2015). When there has been a substantial incident that includes abuse and or neglect of a person at risk, the Safeguarding Adults Board are responsible for completing adult practice reviews</w:t>
            </w:r>
            <w:r w:rsidR="00AF5BE8">
              <w:rPr>
                <w:sz w:val="22"/>
                <w:szCs w:val="22"/>
              </w:rPr>
              <w:t xml:space="preserve"> (Welsh Government, 2016)</w:t>
            </w:r>
            <w:r w:rsidRPr="001D64EC">
              <w:rPr>
                <w:sz w:val="22"/>
                <w:szCs w:val="22"/>
              </w:rPr>
              <w:t>. It provides information on lessons that can be learnt for the future, and recommendations made on how to better practice.</w:t>
            </w:r>
          </w:p>
          <w:p w14:paraId="5EA986CB" w14:textId="77777777" w:rsidR="00D56C0F" w:rsidRPr="001D64EC" w:rsidRDefault="00D56C0F" w:rsidP="00D56C0F">
            <w:pPr>
              <w:jc w:val="both"/>
              <w:rPr>
                <w:sz w:val="22"/>
                <w:szCs w:val="22"/>
              </w:rPr>
            </w:pPr>
          </w:p>
          <w:p w14:paraId="182C303E" w14:textId="10C40DD0" w:rsidR="00D56C0F" w:rsidRDefault="00D56C0F" w:rsidP="00D56C0F">
            <w:pPr>
              <w:jc w:val="both"/>
              <w:rPr>
                <w:sz w:val="22"/>
                <w:szCs w:val="22"/>
              </w:rPr>
            </w:pPr>
            <w:r w:rsidRPr="001D64EC">
              <w:rPr>
                <w:sz w:val="22"/>
                <w:szCs w:val="22"/>
              </w:rPr>
              <w:t xml:space="preserve">Two pieces of legislation that is important to Wales include the Well-being of Future Generations (Wales) Act (WFGA) (2015). And the Welsh Language (Wales) Measure (WLM) (2011). I believe that both of these legislations work well together, especially as the WFGA (2015) places a legal framework on numerous public bodies, including local authorities, to consider the sustainability of the future in regards to the well-being of culture, economy, socialization, and the environment (Messham and Sheard, 2020). Part of the legislation focuses on language within Wales and the impact on culture (Prys and Matthews, 2022). In addition to the WFGA, the WLM (2011) aims to develop and promote the use of the Welsh Language within Wales. A year after the development of the WLM (2011) was the ‘More than Just Words Framework’. This provides a responsibility that language needs </w:t>
            </w:r>
            <w:r w:rsidR="004743EA">
              <w:rPr>
                <w:sz w:val="22"/>
                <w:szCs w:val="22"/>
              </w:rPr>
              <w:t>of people are</w:t>
            </w:r>
            <w:r w:rsidR="00654E4D">
              <w:rPr>
                <w:sz w:val="22"/>
                <w:szCs w:val="22"/>
              </w:rPr>
              <w:t xml:space="preserve"> </w:t>
            </w:r>
            <w:r w:rsidRPr="001D64EC">
              <w:rPr>
                <w:sz w:val="22"/>
                <w:szCs w:val="22"/>
              </w:rPr>
              <w:t xml:space="preserve">met. I believe that being a Welsh speaker benefits </w:t>
            </w:r>
            <w:r w:rsidR="00625378" w:rsidRPr="001D64EC">
              <w:rPr>
                <w:sz w:val="22"/>
                <w:szCs w:val="22"/>
              </w:rPr>
              <w:t>me, especially</w:t>
            </w:r>
            <w:r w:rsidRPr="001D64EC">
              <w:rPr>
                <w:sz w:val="22"/>
                <w:szCs w:val="22"/>
              </w:rPr>
              <w:t xml:space="preserve"> when </w:t>
            </w:r>
            <w:r w:rsidR="00625378" w:rsidRPr="001D64EC">
              <w:rPr>
                <w:sz w:val="22"/>
                <w:szCs w:val="22"/>
              </w:rPr>
              <w:t>collaborating</w:t>
            </w:r>
            <w:r w:rsidRPr="001D64EC">
              <w:rPr>
                <w:sz w:val="22"/>
                <w:szCs w:val="22"/>
              </w:rPr>
              <w:t xml:space="preserve"> with individuals and families that are first language Welsh</w:t>
            </w:r>
            <w:r w:rsidR="00625378" w:rsidRPr="001D64EC">
              <w:rPr>
                <w:sz w:val="22"/>
                <w:szCs w:val="22"/>
              </w:rPr>
              <w:t xml:space="preserve">. </w:t>
            </w:r>
          </w:p>
          <w:p w14:paraId="0F147664" w14:textId="77777777" w:rsidR="00D56C0F" w:rsidRPr="001D64EC" w:rsidRDefault="00D56C0F" w:rsidP="00D56C0F">
            <w:pPr>
              <w:jc w:val="both"/>
              <w:rPr>
                <w:sz w:val="22"/>
                <w:szCs w:val="22"/>
              </w:rPr>
            </w:pPr>
          </w:p>
          <w:p w14:paraId="6DCC938E" w14:textId="0F22B1DE" w:rsidR="00D56C0F" w:rsidRDefault="00D56C0F" w:rsidP="00D56C0F">
            <w:pPr>
              <w:jc w:val="both"/>
              <w:rPr>
                <w:sz w:val="22"/>
                <w:szCs w:val="22"/>
              </w:rPr>
            </w:pPr>
            <w:r w:rsidRPr="001D64EC">
              <w:rPr>
                <w:sz w:val="22"/>
                <w:szCs w:val="22"/>
              </w:rPr>
              <w:t xml:space="preserve">The first part of the process included arranging a meeting with P1’s mother, person 2 (P2). The purpose of the meeting was to ascertain her views and feelings, and to gather information on how the situation was from her perspective. Research suggests that social work requires the development and maintenance of positive and valuable relationships, especially with people who require care and support, and their families. Further, if relationships are not developed and are not sustained, the resulting outcomes could be dangerous and, in some cases, fatal, impacting vulnerable individuals </w:t>
            </w:r>
            <w:r w:rsidRPr="001D64EC">
              <w:rPr>
                <w:sz w:val="22"/>
                <w:szCs w:val="22"/>
              </w:rPr>
              <w:lastRenderedPageBreak/>
              <w:t xml:space="preserve">and their families (Kennedy, 2019). During my meeting with P2, she disclosed information that I felt was of instant concern. Firstly, P2 informed me that she had major concerns in regard to P1 current residential placement. She explained that the quality of his care has declined significantly over the last few years. I then asked for her to provide further information around her concerns in order to gather further information to add into the assessment. P2 elaborated and explained that P1 was being ‘drugged’ by his current residential placement via the use of prescribed medication. Before I had a chance to ask for clarification around what she had just disclosed, P2 took the opportunity to offload all of her concerns. She continued to say P1 is ‘locked up’ in his accomodation and does not get any community opportunities and does not have the option to spend time in communal garden areas. </w:t>
            </w:r>
            <w:r w:rsidR="004571C5">
              <w:rPr>
                <w:sz w:val="22"/>
                <w:szCs w:val="22"/>
              </w:rPr>
              <w:t>P2</w:t>
            </w:r>
            <w:r w:rsidRPr="001D64EC">
              <w:rPr>
                <w:sz w:val="22"/>
                <w:szCs w:val="22"/>
              </w:rPr>
              <w:t xml:space="preserve"> expressed that she was prevented from seeing P1 on an occasion due to the escalation of his behaviours and was told by staff that her presence would further agitated P1. Furthermore, P2 explained that staff supporting P1 was taking advantage of his mobility car, and had damaged the vehicle on several occasions, to a point where it was undrivable, and had not been reported to P2 or any of P1’s care team. At this point, P2 was visibly distressed and emotionally frustrated. When P2 finished explaining her concerns, she started to cry. My initial feelings were of worry, as this was the first time somebody had disclosed information that was of a safeguarding nature. </w:t>
            </w:r>
          </w:p>
          <w:p w14:paraId="09CCC88D" w14:textId="77777777" w:rsidR="00D56C0F" w:rsidRPr="001D64EC" w:rsidRDefault="00D56C0F" w:rsidP="00D56C0F">
            <w:pPr>
              <w:jc w:val="both"/>
              <w:rPr>
                <w:sz w:val="22"/>
                <w:szCs w:val="22"/>
              </w:rPr>
            </w:pPr>
          </w:p>
          <w:p w14:paraId="5C45A918" w14:textId="1E68D0D9" w:rsidR="00D56C0F" w:rsidRDefault="00D56C0F" w:rsidP="00D56C0F">
            <w:pPr>
              <w:jc w:val="both"/>
              <w:rPr>
                <w:sz w:val="22"/>
                <w:szCs w:val="22"/>
              </w:rPr>
            </w:pPr>
            <w:r w:rsidRPr="001D64EC">
              <w:rPr>
                <w:sz w:val="22"/>
                <w:szCs w:val="22"/>
              </w:rPr>
              <w:t xml:space="preserve">I was able to compose myself professionally, and reflected on what I had learnt, which would help guide me through this meeting. The first theory that came to mind was crisis intervention (Roberts, 2005). As a result, I decided to base my actions around this theory and knew that I needed to continue to establish a positive, professional relationship with P2, by gathering information, discussing what had happened, whilst also emotionally supporting P2 throughout (Wang and Gupta, 2023). It recognised in this situation it was my role to try and build a professional relationship with P2, in order to co-productively work together to try and resolve the some of the identified issues. However, </w:t>
            </w:r>
            <w:r w:rsidR="00A10AC6" w:rsidRPr="001D64EC">
              <w:rPr>
                <w:sz w:val="22"/>
                <w:szCs w:val="22"/>
              </w:rPr>
              <w:t>I</w:t>
            </w:r>
            <w:r w:rsidRPr="001D64EC">
              <w:rPr>
                <w:sz w:val="22"/>
                <w:szCs w:val="22"/>
              </w:rPr>
              <w:t xml:space="preserve"> was not managing the situation due to P2’s </w:t>
            </w:r>
            <w:r w:rsidR="00625378" w:rsidRPr="001D64EC">
              <w:rPr>
                <w:sz w:val="22"/>
                <w:szCs w:val="22"/>
              </w:rPr>
              <w:t>elevated levels</w:t>
            </w:r>
            <w:r w:rsidRPr="001D64EC">
              <w:rPr>
                <w:sz w:val="22"/>
                <w:szCs w:val="22"/>
              </w:rPr>
              <w:t xml:space="preserve"> of anxiety and stress. </w:t>
            </w:r>
            <w:r w:rsidR="00A10AC6" w:rsidRPr="001D64EC">
              <w:rPr>
                <w:sz w:val="22"/>
                <w:szCs w:val="22"/>
              </w:rPr>
              <w:t>I</w:t>
            </w:r>
            <w:r w:rsidRPr="001D64EC">
              <w:rPr>
                <w:sz w:val="22"/>
                <w:szCs w:val="22"/>
              </w:rPr>
              <w:t xml:space="preserve"> had no control of the situation, however quickly thought of what I could do to make things better. Consequently, I reflected on the power imbalance between P2 and I and made a conscious effort to ensure that the power was managed in a beneficial way for all P1, P2 and myself. I was able to recognise that P2’s attitudes and feelings towards the social work profession was of a negative view, due to previous interactions and historical safeguarding experiences. In addition, P2 also made comments on the power imbalance during our meeting, and was under the impression, </w:t>
            </w:r>
            <w:r w:rsidR="00A10AC6" w:rsidRPr="001D64EC">
              <w:rPr>
                <w:sz w:val="22"/>
                <w:szCs w:val="22"/>
              </w:rPr>
              <w:t>which</w:t>
            </w:r>
            <w:r w:rsidRPr="001D64EC">
              <w:rPr>
                <w:sz w:val="22"/>
                <w:szCs w:val="22"/>
              </w:rPr>
              <w:t xml:space="preserve"> speaking to her would be ‘pointless’ and that her voice would continue to be not heard, like she has experienced in the past. Saar-Heiman (2022) explains that the perception of power by families directly effects on how they respond and react to support provided, and on their ability to form positive relationships with a social worker. As a result, research suggests being mindful and judiciously, whilst managing the perception of power lightly. In addition, I as a social worker should have an awareness of imbalances in power, and challenge if required (Lonne, 2016). Upon consideration, </w:t>
            </w:r>
            <w:r w:rsidR="00A10AC6" w:rsidRPr="001D64EC">
              <w:rPr>
                <w:sz w:val="22"/>
                <w:szCs w:val="22"/>
              </w:rPr>
              <w:t>I</w:t>
            </w:r>
            <w:r w:rsidRPr="001D64EC">
              <w:rPr>
                <w:sz w:val="22"/>
                <w:szCs w:val="22"/>
              </w:rPr>
              <w:t xml:space="preserve"> </w:t>
            </w:r>
            <w:r w:rsidR="00625378" w:rsidRPr="001D64EC">
              <w:rPr>
                <w:sz w:val="22"/>
                <w:szCs w:val="22"/>
              </w:rPr>
              <w:t>managed</w:t>
            </w:r>
            <w:r w:rsidRPr="001D64EC">
              <w:rPr>
                <w:sz w:val="22"/>
                <w:szCs w:val="22"/>
              </w:rPr>
              <w:t xml:space="preserve"> the power imbalance between P2 and myself well, because of her response and reactions by the end of our meeting. </w:t>
            </w:r>
          </w:p>
          <w:p w14:paraId="58B11DCF" w14:textId="77777777" w:rsidR="00D56C0F" w:rsidRPr="001D64EC" w:rsidRDefault="00D56C0F" w:rsidP="00D56C0F">
            <w:pPr>
              <w:jc w:val="both"/>
              <w:rPr>
                <w:sz w:val="22"/>
                <w:szCs w:val="22"/>
              </w:rPr>
            </w:pPr>
          </w:p>
          <w:p w14:paraId="7774D6F5" w14:textId="28755149" w:rsidR="00D56C0F" w:rsidRDefault="00D56C0F" w:rsidP="00D56C0F">
            <w:pPr>
              <w:jc w:val="both"/>
              <w:rPr>
                <w:sz w:val="22"/>
                <w:szCs w:val="22"/>
              </w:rPr>
            </w:pPr>
            <w:r w:rsidRPr="001D64EC">
              <w:rPr>
                <w:sz w:val="22"/>
                <w:szCs w:val="22"/>
              </w:rPr>
              <w:t>The next step of the process included completing the relevant safeguarding paperwork to the safeguarding team to assess. I knew that I had a statutory duty to inform the relevant people and report the information I had gathered (Social Care Wales, 2019). Consequently, section 126 of the SSWBA (2014) places a requirement on the relevant local authority to complete investigations if there is deemed to be an “adult at risk” (SSWBA, 2014). There were elements of process that I did find difficult to understand when completing the paperwork. Due to P1 being placed in an out-of-county placement, I had to send my report to the safeguarding team of the local authority he was placed in to complete all investigations. However, I recognised that section 128 of the SSWBA (2014) provides a duty to report on ‘relevant partners’, which includes ‘other local authorities’ that are in agreement that the reporting is appropriate.</w:t>
            </w:r>
            <w:r w:rsidR="00AA15A2">
              <w:rPr>
                <w:sz w:val="22"/>
                <w:szCs w:val="22"/>
              </w:rPr>
              <w:t xml:space="preserve"> Additi</w:t>
            </w:r>
            <w:r w:rsidR="00730238">
              <w:rPr>
                <w:sz w:val="22"/>
                <w:szCs w:val="22"/>
              </w:rPr>
              <w:t xml:space="preserve">onally, considerations were made around P1’s ability to consent to the </w:t>
            </w:r>
            <w:r w:rsidR="001D6811">
              <w:rPr>
                <w:sz w:val="22"/>
                <w:szCs w:val="22"/>
              </w:rPr>
              <w:t xml:space="preserve">report being made. However, we were able to override </w:t>
            </w:r>
            <w:r w:rsidR="00744420">
              <w:rPr>
                <w:sz w:val="22"/>
                <w:szCs w:val="22"/>
              </w:rPr>
              <w:t>P1’s need to provide consent due to him lacking capacity</w:t>
            </w:r>
            <w:r w:rsidR="007C35F2">
              <w:rPr>
                <w:sz w:val="22"/>
                <w:szCs w:val="22"/>
              </w:rPr>
              <w:t xml:space="preserve">. </w:t>
            </w:r>
            <w:r w:rsidR="004B7397">
              <w:rPr>
                <w:sz w:val="22"/>
                <w:szCs w:val="22"/>
              </w:rPr>
              <w:t>I used my p</w:t>
            </w:r>
            <w:r w:rsidR="00986990">
              <w:rPr>
                <w:sz w:val="22"/>
                <w:szCs w:val="22"/>
              </w:rPr>
              <w:t>rofessional judgement</w:t>
            </w:r>
            <w:r w:rsidR="00EE1B44">
              <w:rPr>
                <w:sz w:val="22"/>
                <w:szCs w:val="22"/>
              </w:rPr>
              <w:t xml:space="preserve"> to ensure that </w:t>
            </w:r>
            <w:r w:rsidR="004C602E">
              <w:rPr>
                <w:sz w:val="22"/>
                <w:szCs w:val="22"/>
              </w:rPr>
              <w:t xml:space="preserve">P1’s capacity was assessed and followed </w:t>
            </w:r>
            <w:r w:rsidR="004C602E">
              <w:rPr>
                <w:sz w:val="22"/>
                <w:szCs w:val="22"/>
              </w:rPr>
              <w:lastRenderedPageBreak/>
              <w:t>the process of ‘best interest’</w:t>
            </w:r>
            <w:r w:rsidR="00CF405B">
              <w:rPr>
                <w:sz w:val="22"/>
                <w:szCs w:val="22"/>
              </w:rPr>
              <w:t xml:space="preserve"> (Social Care Wales, 2019). </w:t>
            </w:r>
            <w:r w:rsidR="00E339D7">
              <w:rPr>
                <w:sz w:val="22"/>
                <w:szCs w:val="22"/>
              </w:rPr>
              <w:t xml:space="preserve">I made sure that P1’s </w:t>
            </w:r>
            <w:r w:rsidR="002B6D99">
              <w:rPr>
                <w:sz w:val="22"/>
                <w:szCs w:val="22"/>
              </w:rPr>
              <w:t xml:space="preserve">autonomy and wishes were respected by completing a visit to gather his views, however I also had to consider </w:t>
            </w:r>
            <w:r w:rsidR="00CF1035">
              <w:rPr>
                <w:sz w:val="22"/>
                <w:szCs w:val="22"/>
              </w:rPr>
              <w:t xml:space="preserve">overriding circumstances, specifically identified concerns </w:t>
            </w:r>
            <w:r w:rsidR="002F3FF4">
              <w:rPr>
                <w:sz w:val="22"/>
                <w:szCs w:val="22"/>
              </w:rPr>
              <w:t xml:space="preserve">regarding an organisation via institutional abuse </w:t>
            </w:r>
            <w:r w:rsidR="00F6348D">
              <w:rPr>
                <w:sz w:val="22"/>
                <w:szCs w:val="22"/>
              </w:rPr>
              <w:t xml:space="preserve">(Social Care Wales, 2019). </w:t>
            </w:r>
            <w:r w:rsidR="00986990">
              <w:rPr>
                <w:sz w:val="22"/>
                <w:szCs w:val="22"/>
              </w:rPr>
              <w:t xml:space="preserve"> </w:t>
            </w:r>
          </w:p>
          <w:p w14:paraId="6004CEAC" w14:textId="77777777" w:rsidR="00D56C0F" w:rsidRPr="001D64EC" w:rsidRDefault="00D56C0F" w:rsidP="00D56C0F">
            <w:pPr>
              <w:jc w:val="both"/>
              <w:rPr>
                <w:sz w:val="22"/>
                <w:szCs w:val="22"/>
              </w:rPr>
            </w:pPr>
          </w:p>
          <w:p w14:paraId="58675BA8" w14:textId="561F0F27" w:rsidR="00D56C0F" w:rsidRDefault="00D56C0F" w:rsidP="00D56C0F">
            <w:pPr>
              <w:jc w:val="both"/>
              <w:rPr>
                <w:sz w:val="22"/>
                <w:szCs w:val="22"/>
              </w:rPr>
            </w:pPr>
            <w:r w:rsidRPr="001D64EC">
              <w:rPr>
                <w:sz w:val="22"/>
                <w:szCs w:val="22"/>
              </w:rPr>
              <w:t xml:space="preserve">My initial concern was the sharing of information between different partners and local authorities, and the risk of breaking the Data Protection Act and General Data Protection Regulations (GDPR) (2018). I was able to reflect that when sharing the information with the out-of-county safeguarding team, I exercised my professional judgement. This included balancing up the risk of </w:t>
            </w:r>
            <w:r w:rsidR="00CA1CE2" w:rsidRPr="001D64EC">
              <w:rPr>
                <w:sz w:val="22"/>
                <w:szCs w:val="22"/>
              </w:rPr>
              <w:t>wrongfully</w:t>
            </w:r>
            <w:r w:rsidRPr="001D64EC">
              <w:rPr>
                <w:sz w:val="22"/>
                <w:szCs w:val="22"/>
              </w:rPr>
              <w:t xml:space="preserve"> sharing information and keeping P1 safe. Consequently, I researched sharing information in respect of safeguarding, and my new understanding of the situation included that the way to keep P1 safe was to share this information with the relevant persons. Furthermore, guidance from the Welsh Government (2019) explained that it is essential for information to be shared between different organisations and practitioners, especially for risk management, assessment, and identification. What I found the most reassuring was that practitioners should not feel feared around information sharing. Moving forward, my reassurance around sharing information has improved and has allowed me to learn relevant information about the process. Looking at the bigger picture, research suggests that from a review completed on Adult Practice Reviews</w:t>
            </w:r>
            <w:r w:rsidR="00C84BCE">
              <w:rPr>
                <w:sz w:val="22"/>
                <w:szCs w:val="22"/>
              </w:rPr>
              <w:t xml:space="preserve"> (Welsh Government, 2016)</w:t>
            </w:r>
            <w:r w:rsidRPr="001D64EC">
              <w:rPr>
                <w:sz w:val="22"/>
                <w:szCs w:val="22"/>
              </w:rPr>
              <w:t xml:space="preserve"> that information sharing was one of the biggest issues and recommendations. Interestingly, many professionals have lacked the confidence and knowledge on information sharing, resulting in devastating outcomes. Additionally, I recognised that I need to arrange to complete training on the Data Protection Act and GDPR (2018). </w:t>
            </w:r>
          </w:p>
          <w:p w14:paraId="62BC247A" w14:textId="77777777" w:rsidR="00D56C0F" w:rsidRPr="001D64EC" w:rsidRDefault="00D56C0F" w:rsidP="00D56C0F">
            <w:pPr>
              <w:jc w:val="both"/>
              <w:rPr>
                <w:sz w:val="22"/>
                <w:szCs w:val="22"/>
              </w:rPr>
            </w:pPr>
          </w:p>
          <w:p w14:paraId="1034102E" w14:textId="230A4C71" w:rsidR="00D56C0F" w:rsidRDefault="00D56C0F" w:rsidP="00D56C0F">
            <w:pPr>
              <w:jc w:val="both"/>
              <w:rPr>
                <w:sz w:val="22"/>
                <w:szCs w:val="22"/>
              </w:rPr>
            </w:pPr>
            <w:r w:rsidRPr="001D64EC">
              <w:rPr>
                <w:sz w:val="22"/>
                <w:szCs w:val="22"/>
              </w:rPr>
              <w:t xml:space="preserve">After the safeguarding report was shared, I was provided with a response that they would require two weeks to complete their assessments and investigations and provide me with an update moving forward. During that time, an initial strategy discussion was arranged, which provided me with the opportunity to engage with the designated safeguarding officer and to provide context to the report that I had completed. Whilst waiting for the outcome, regular visits were completed to see P1 and to ensure that there </w:t>
            </w:r>
            <w:r w:rsidR="00CA1CE2" w:rsidRPr="001D64EC">
              <w:rPr>
                <w:sz w:val="22"/>
                <w:szCs w:val="22"/>
              </w:rPr>
              <w:t>was not</w:t>
            </w:r>
            <w:r w:rsidRPr="001D64EC">
              <w:rPr>
                <w:sz w:val="22"/>
                <w:szCs w:val="22"/>
              </w:rPr>
              <w:t xml:space="preserve"> any immediate risk. In this case, the safeguarding concerns did not meet threshold. The safeguarding team felt that the evidence-based information they had gathered had proved that P1 was not subjected to any safeguarding concerns. However, I feel that it important to reflect on if the outcome </w:t>
            </w:r>
            <w:r w:rsidR="00CA1CE2" w:rsidRPr="001D64EC">
              <w:rPr>
                <w:sz w:val="22"/>
                <w:szCs w:val="22"/>
              </w:rPr>
              <w:t>were</w:t>
            </w:r>
            <w:r w:rsidRPr="001D64EC">
              <w:rPr>
                <w:sz w:val="22"/>
                <w:szCs w:val="22"/>
              </w:rPr>
              <w:t xml:space="preserve"> different, how the process would have advanced. After having the initial safeguarding strategy discussion and if threshold </w:t>
            </w:r>
            <w:r w:rsidR="00CA1CE2" w:rsidRPr="001D64EC">
              <w:rPr>
                <w:sz w:val="22"/>
                <w:szCs w:val="22"/>
              </w:rPr>
              <w:t>were</w:t>
            </w:r>
            <w:r w:rsidRPr="001D64EC">
              <w:rPr>
                <w:sz w:val="22"/>
                <w:szCs w:val="22"/>
              </w:rPr>
              <w:t xml:space="preserve"> met, this would have progressed to a safeguarding strategy meeting, which is explained within the Wales Safeguarding Procedures (Social Care Wales, 2019). From research, I learnt that a designated safeguarding officer would have facilitated the meeting, with an aim to co-ordinate the procedures, gather and share relevant information, make a judgement on whether there is a person at risk, considering the probability of harm to individuals at risk and arrange an action plan, placing responsibility on the required persons. </w:t>
            </w:r>
          </w:p>
          <w:p w14:paraId="63142EB3" w14:textId="77777777" w:rsidR="00D56C0F" w:rsidRPr="001D64EC" w:rsidRDefault="00D56C0F" w:rsidP="00D56C0F">
            <w:pPr>
              <w:jc w:val="both"/>
              <w:rPr>
                <w:sz w:val="22"/>
                <w:szCs w:val="22"/>
              </w:rPr>
            </w:pPr>
          </w:p>
          <w:p w14:paraId="385D6783" w14:textId="24B998F7" w:rsidR="00D56C0F" w:rsidRDefault="00D56C0F" w:rsidP="00D56C0F">
            <w:pPr>
              <w:jc w:val="both"/>
              <w:rPr>
                <w:sz w:val="22"/>
                <w:szCs w:val="22"/>
              </w:rPr>
            </w:pPr>
            <w:r w:rsidRPr="001D64EC">
              <w:rPr>
                <w:sz w:val="22"/>
                <w:szCs w:val="22"/>
              </w:rPr>
              <w:t xml:space="preserve">When I received the email to explain that the information gathered and shared did not reach threshold, I instantly felt worried that I had not advocated the concerns to a high enough standard. My main concern was that due to the investigations being conducted by an out-of-county safeguarding team that they had not followed similar procedures that I was aware and used to. On reflection, I may have had a clouded judgement on the process, as personally, </w:t>
            </w:r>
            <w:r w:rsidR="008E008C" w:rsidRPr="001D64EC">
              <w:rPr>
                <w:sz w:val="22"/>
                <w:szCs w:val="22"/>
              </w:rPr>
              <w:t>the concerns</w:t>
            </w:r>
            <w:r w:rsidRPr="001D64EC">
              <w:rPr>
                <w:sz w:val="22"/>
                <w:szCs w:val="22"/>
              </w:rPr>
              <w:t xml:space="preserve"> shared were of a safeguarding nature, instead of considering the evidence-based assessments and decisions that are made by safeguarding officers. However, what was also going through my mind was whether professionals had different judgement on the threshold for safeguarding. Research completed by Trainor (2015) suggested that the career the professional held prior to becoming a safeguarding officer influenced how they perceived risk, resulting in threshold for safeguarding being different. Additionally, from the referrals reviewed for research, the referrals for individuals with a learning disability were less likely to research safeguarding threshold than for example older people. In order to gain some reassurance, I </w:t>
            </w:r>
            <w:r w:rsidRPr="001D64EC">
              <w:rPr>
                <w:sz w:val="22"/>
                <w:szCs w:val="22"/>
              </w:rPr>
              <w:lastRenderedPageBreak/>
              <w:t>requested to meet with the safeguarding worker to express my concerns. From the meeting, I did feel reassured, as from an evidence-based approach that was taken, information was gathered to disprove all the safeguarding allegations made, which how the safeguarding officer was able to come to a conclusion that P1 was not at risk of abuse or neglect. The case was then closed to safeguarding and was recommend that case management continues to work the case</w:t>
            </w:r>
            <w:r w:rsidR="00625378" w:rsidRPr="001D64EC">
              <w:rPr>
                <w:sz w:val="22"/>
                <w:szCs w:val="22"/>
              </w:rPr>
              <w:t xml:space="preserve">. </w:t>
            </w:r>
          </w:p>
          <w:p w14:paraId="70CAFAE3" w14:textId="77777777" w:rsidR="00D56C0F" w:rsidRPr="001D64EC" w:rsidRDefault="00D56C0F" w:rsidP="00D56C0F">
            <w:pPr>
              <w:jc w:val="both"/>
              <w:rPr>
                <w:sz w:val="22"/>
                <w:szCs w:val="22"/>
              </w:rPr>
            </w:pPr>
          </w:p>
          <w:p w14:paraId="0BE44A07" w14:textId="3E16C3B6" w:rsidR="003106AB" w:rsidRDefault="00D56C0F" w:rsidP="00D56C0F">
            <w:pPr>
              <w:jc w:val="both"/>
              <w:rPr>
                <w:sz w:val="22"/>
                <w:szCs w:val="22"/>
              </w:rPr>
            </w:pPr>
            <w:r w:rsidRPr="001D64EC">
              <w:rPr>
                <w:sz w:val="22"/>
                <w:szCs w:val="22"/>
              </w:rPr>
              <w:t>Next in the process, I was required to share the outcome with P2. This interaction was difficult to manage, as P2 was convinced that P1 was at risk of abuse and neglect. What was going through my mind was why P2 continued to be frustrated, despite having the evidence that P1 was safe and was not at any immediate risk, as we once thought after the disclosure of her information. I decided that it would be of benefit to try and examine more carefully P2’s concerns. My knowledge as a social worker allowed me to use my collaborative working skills and professional curiosity to gather information on the risk that P2 felt that P1 was continuing to experience and use my emotional intelligent skills to support P2 in feeling reassured, as I did as P1’s social worker.</w:t>
            </w:r>
            <w:r w:rsidR="003106AB">
              <w:rPr>
                <w:sz w:val="22"/>
                <w:szCs w:val="22"/>
              </w:rPr>
              <w:t xml:space="preserve"> </w:t>
            </w:r>
            <w:r w:rsidR="00411B54">
              <w:rPr>
                <w:sz w:val="22"/>
                <w:szCs w:val="22"/>
              </w:rPr>
              <w:t xml:space="preserve">As research </w:t>
            </w:r>
            <w:r w:rsidR="007B3C21">
              <w:rPr>
                <w:sz w:val="22"/>
                <w:szCs w:val="22"/>
              </w:rPr>
              <w:t>suggests, u</w:t>
            </w:r>
            <w:r w:rsidR="003106AB">
              <w:rPr>
                <w:sz w:val="22"/>
                <w:szCs w:val="22"/>
              </w:rPr>
              <w:t xml:space="preserve">sing emotional intelligence </w:t>
            </w:r>
            <w:r w:rsidR="00A319D9">
              <w:rPr>
                <w:sz w:val="22"/>
                <w:szCs w:val="22"/>
              </w:rPr>
              <w:t>allow</w:t>
            </w:r>
            <w:r w:rsidR="007B3C21">
              <w:rPr>
                <w:sz w:val="22"/>
                <w:szCs w:val="22"/>
              </w:rPr>
              <w:t xml:space="preserve">s practitioners </w:t>
            </w:r>
            <w:r w:rsidR="00F11B13">
              <w:rPr>
                <w:sz w:val="22"/>
                <w:szCs w:val="22"/>
              </w:rPr>
              <w:t>to develop relationships with the people we work with</w:t>
            </w:r>
            <w:r w:rsidR="008E008C">
              <w:rPr>
                <w:sz w:val="22"/>
                <w:szCs w:val="22"/>
              </w:rPr>
              <w:t xml:space="preserve">. </w:t>
            </w:r>
          </w:p>
          <w:p w14:paraId="04AC2606" w14:textId="77777777" w:rsidR="00333557" w:rsidRDefault="00333557" w:rsidP="00D56C0F">
            <w:pPr>
              <w:jc w:val="both"/>
              <w:rPr>
                <w:sz w:val="22"/>
                <w:szCs w:val="22"/>
              </w:rPr>
            </w:pPr>
          </w:p>
          <w:p w14:paraId="7258EC45" w14:textId="5D3A0438" w:rsidR="00D56C0F" w:rsidRDefault="00D56C0F" w:rsidP="00D56C0F">
            <w:pPr>
              <w:jc w:val="both"/>
              <w:rPr>
                <w:sz w:val="22"/>
                <w:szCs w:val="22"/>
              </w:rPr>
            </w:pPr>
            <w:r w:rsidRPr="001D64EC">
              <w:rPr>
                <w:sz w:val="22"/>
                <w:szCs w:val="22"/>
              </w:rPr>
              <w:t>In addition, I felt self-aware that this case was based around safeguarding concerns and wanted to make sure that I had done everything to prevent a bad outcome. Furthermore, research implies that there is commonly a lack of professional curiosity when there are failures and bad outcomes in social work (Phillips et al., 2022). Firstly, we went through the issues individually, and shared the evidence-based information that was gathered by the safeguarding team. I discussed approaches that were taken, specifically how an evidence-based approach is used within safeguarding. I feel that the biggest benefit during this meeting with P2 was my ability to use a strength-based approach (Social Care Institute for Excellence, 2022)</w:t>
            </w:r>
            <w:r w:rsidR="00A54C71">
              <w:rPr>
                <w:sz w:val="22"/>
                <w:szCs w:val="22"/>
              </w:rPr>
              <w:t xml:space="preserve"> by </w:t>
            </w:r>
            <w:r w:rsidRPr="001D64EC">
              <w:rPr>
                <w:sz w:val="22"/>
                <w:szCs w:val="22"/>
              </w:rPr>
              <w:t>creatively adjust</w:t>
            </w:r>
            <w:r w:rsidR="003B6DA2">
              <w:rPr>
                <w:sz w:val="22"/>
                <w:szCs w:val="22"/>
              </w:rPr>
              <w:t>ing</w:t>
            </w:r>
            <w:r w:rsidRPr="001D64EC">
              <w:rPr>
                <w:sz w:val="22"/>
                <w:szCs w:val="22"/>
              </w:rPr>
              <w:t xml:space="preserve"> P2’s negative views and feelings and recognise the positives from the situation. I was able to establish that P2 feels guilt for not best supporting P1 when living at home, resulting in P1 residing in a residential home. P2 has never considered that she was a positive impact on P1’s social networks and was always readily available to advocate his </w:t>
            </w:r>
            <w:r w:rsidR="009C1445" w:rsidRPr="001D64EC">
              <w:rPr>
                <w:sz w:val="22"/>
                <w:szCs w:val="22"/>
              </w:rPr>
              <w:t>needs.</w:t>
            </w:r>
            <w:r w:rsidR="009C1445">
              <w:rPr>
                <w:sz w:val="22"/>
                <w:szCs w:val="22"/>
              </w:rPr>
              <w:t xml:space="preserve"> I was able recognise that P2 had made her own </w:t>
            </w:r>
            <w:r w:rsidR="000725B0">
              <w:rPr>
                <w:sz w:val="22"/>
                <w:szCs w:val="22"/>
              </w:rPr>
              <w:t>assessment of the situation and had analysed this with a negative outlook, forgetting about the positive</w:t>
            </w:r>
            <w:r w:rsidR="005C091D">
              <w:rPr>
                <w:sz w:val="22"/>
                <w:szCs w:val="22"/>
              </w:rPr>
              <w:t>s that were less apparent to P2.</w:t>
            </w:r>
            <w:r w:rsidR="002B6611">
              <w:rPr>
                <w:sz w:val="22"/>
                <w:szCs w:val="22"/>
              </w:rPr>
              <w:t xml:space="preserve"> After a period of explaining analysis of my own assessment and going through each well-being domain</w:t>
            </w:r>
            <w:r w:rsidR="00690BEE">
              <w:rPr>
                <w:sz w:val="22"/>
                <w:szCs w:val="22"/>
              </w:rPr>
              <w:t>s</w:t>
            </w:r>
            <w:r w:rsidR="002B6611">
              <w:rPr>
                <w:sz w:val="22"/>
                <w:szCs w:val="22"/>
              </w:rPr>
              <w:t xml:space="preserve"> as per the SSWBA (2014) P2 was able to understand </w:t>
            </w:r>
            <w:r w:rsidR="003F2092">
              <w:rPr>
                <w:sz w:val="22"/>
                <w:szCs w:val="22"/>
              </w:rPr>
              <w:t xml:space="preserve">that P1 was safe and not at risk of harm. We collectively agreed that elements of his well-being could improve, which we will continue to do, however my professional judgement was that he </w:t>
            </w:r>
            <w:r w:rsidR="003D2F0B">
              <w:rPr>
                <w:sz w:val="22"/>
                <w:szCs w:val="22"/>
              </w:rPr>
              <w:t xml:space="preserve">was not at risk. </w:t>
            </w:r>
            <w:r w:rsidRPr="001D64EC">
              <w:rPr>
                <w:sz w:val="22"/>
                <w:szCs w:val="22"/>
              </w:rPr>
              <w:t xml:space="preserve">Additionally, I believe that P2’s views and feelings could be linked to the attachment theory (Crowell and Waters, 1994). Specifically, around the attachment between a parent and an adult child, and how control and decision-making powers are reduced significantly due to P1 being an adult. I believe that P2 had struggled with processing her inability to solely protect P1 and found it difficult to accept that professionals, legislation, and process were highly influencing who matters proceeded (Hamadi and Fletcher, 2019). </w:t>
            </w:r>
            <w:r w:rsidR="001C321A">
              <w:rPr>
                <w:sz w:val="22"/>
                <w:szCs w:val="22"/>
              </w:rPr>
              <w:t>I was able to recognise that P2 had to trust professionals</w:t>
            </w:r>
            <w:r w:rsidR="007D46B4">
              <w:rPr>
                <w:sz w:val="22"/>
                <w:szCs w:val="22"/>
              </w:rPr>
              <w:t xml:space="preserve"> to make decisions about her son from their assessment and how they had analysed the information. </w:t>
            </w:r>
            <w:r w:rsidRPr="001D64EC">
              <w:rPr>
                <w:sz w:val="22"/>
                <w:szCs w:val="22"/>
              </w:rPr>
              <w:t>Despite the difficulties faced by P2 throughout the safeguarding process, feedback from P2 was really positive and thanked me for continuing to support her throughout the process, and keeping her informed of what was happening at every section.</w:t>
            </w:r>
            <w:r w:rsidR="000C096F">
              <w:rPr>
                <w:sz w:val="22"/>
                <w:szCs w:val="22"/>
              </w:rPr>
              <w:t xml:space="preserve"> On reflection, I believe my ability to </w:t>
            </w:r>
            <w:r w:rsidR="00454155">
              <w:rPr>
                <w:sz w:val="22"/>
                <w:szCs w:val="22"/>
              </w:rPr>
              <w:t xml:space="preserve">work collaboratively with P2 was the reason that despite </w:t>
            </w:r>
            <w:r w:rsidR="00575BC6">
              <w:rPr>
                <w:sz w:val="22"/>
                <w:szCs w:val="22"/>
              </w:rPr>
              <w:t xml:space="preserve">P2 feeling the situation was difficult, in regard to the work complete, her feedback was positive. </w:t>
            </w:r>
          </w:p>
          <w:p w14:paraId="33A34518" w14:textId="77777777" w:rsidR="00D56C0F" w:rsidRPr="001D64EC" w:rsidRDefault="00D56C0F" w:rsidP="00D56C0F">
            <w:pPr>
              <w:jc w:val="both"/>
              <w:rPr>
                <w:sz w:val="22"/>
                <w:szCs w:val="22"/>
              </w:rPr>
            </w:pPr>
          </w:p>
          <w:p w14:paraId="586D118B" w14:textId="22BF7EE3" w:rsidR="00D56C0F" w:rsidRDefault="00D56C0F" w:rsidP="00D56C0F">
            <w:pPr>
              <w:jc w:val="both"/>
              <w:rPr>
                <w:sz w:val="22"/>
                <w:szCs w:val="22"/>
              </w:rPr>
            </w:pPr>
            <w:r w:rsidRPr="001D64EC">
              <w:rPr>
                <w:sz w:val="22"/>
                <w:szCs w:val="22"/>
              </w:rPr>
              <w:t xml:space="preserve">It was agreed with all professionals involved, with P2 and the management from the residential home, that there will be a higher level of intervention and involvement from professionals, </w:t>
            </w:r>
            <w:r w:rsidR="008E008C" w:rsidRPr="001D64EC">
              <w:rPr>
                <w:sz w:val="22"/>
                <w:szCs w:val="22"/>
              </w:rPr>
              <w:t>due</w:t>
            </w:r>
            <w:r w:rsidRPr="001D64EC">
              <w:rPr>
                <w:sz w:val="22"/>
                <w:szCs w:val="22"/>
              </w:rPr>
              <w:t xml:space="preserve"> to the concerns, and the need to work co-productively with each other to ensure that P1 receives the care and support he deserves and requires. On reflection, broader issues I considered was how social workers receive information from safeguarding teams, and how this influences what they do next. In P1’s case, despite safeguarding identifying no safeguarding concerns, the level of support being provided by </w:t>
            </w:r>
            <w:r w:rsidRPr="001D64EC">
              <w:rPr>
                <w:sz w:val="22"/>
                <w:szCs w:val="22"/>
              </w:rPr>
              <w:lastRenderedPageBreak/>
              <w:t xml:space="preserve">professionals to all P1, P2 and the residential home has increased significantly. However, it makes me consider how in other cases that information provided by an external safeguarding team could be portrayed differently, and due to resources, and no identified safeguarding risks, involvement from professionals could decrease. Further, I feel that despite the decisions made by safeguarding being evidence-based, the responsibility they hold in deciding if a person is at risk or not is </w:t>
            </w:r>
            <w:r w:rsidR="000839B8" w:rsidRPr="001D64EC">
              <w:rPr>
                <w:sz w:val="22"/>
                <w:szCs w:val="22"/>
              </w:rPr>
              <w:t xml:space="preserve">a </w:t>
            </w:r>
            <w:r w:rsidR="000839B8">
              <w:rPr>
                <w:sz w:val="22"/>
                <w:szCs w:val="22"/>
              </w:rPr>
              <w:t>crucial decision</w:t>
            </w:r>
            <w:r w:rsidRPr="001D64EC">
              <w:rPr>
                <w:sz w:val="22"/>
                <w:szCs w:val="22"/>
              </w:rPr>
              <w:t xml:space="preserve"> to make. However, I feel that being the social worker that receives that information, and deciding on how to progress that information is also difficult. I believe that on reflection, social workers should have a consideration to </w:t>
            </w:r>
            <w:r w:rsidR="000839B8" w:rsidRPr="001D64EC">
              <w:rPr>
                <w:sz w:val="22"/>
                <w:szCs w:val="22"/>
              </w:rPr>
              <w:t>consequences</w:t>
            </w:r>
            <w:r w:rsidRPr="001D64EC">
              <w:rPr>
                <w:sz w:val="22"/>
                <w:szCs w:val="22"/>
              </w:rPr>
              <w:t>, especially when research states that from a recent review of adult practice reviews</w:t>
            </w:r>
            <w:r w:rsidR="00AF5BE8">
              <w:rPr>
                <w:sz w:val="22"/>
                <w:szCs w:val="22"/>
              </w:rPr>
              <w:t xml:space="preserve"> (Welsh Government, 2016)</w:t>
            </w:r>
            <w:r w:rsidRPr="001D64EC">
              <w:rPr>
                <w:sz w:val="22"/>
                <w:szCs w:val="22"/>
              </w:rPr>
              <w:t xml:space="preserve">, a high number of the cases had the involvement of males, living in residential care settings (Carter, 2017). Which is worrying due to P1 being both male and currently residing in a residential placement. </w:t>
            </w:r>
          </w:p>
          <w:p w14:paraId="628F1A6F" w14:textId="77777777" w:rsidR="00D56C0F" w:rsidRPr="001D64EC" w:rsidRDefault="00D56C0F" w:rsidP="00D56C0F">
            <w:pPr>
              <w:jc w:val="both"/>
              <w:rPr>
                <w:sz w:val="22"/>
                <w:szCs w:val="22"/>
              </w:rPr>
            </w:pPr>
          </w:p>
          <w:p w14:paraId="6B46F2B6" w14:textId="56759FFE" w:rsidR="00D56C0F" w:rsidRPr="001D64EC" w:rsidRDefault="00D56C0F" w:rsidP="00D56C0F">
            <w:pPr>
              <w:jc w:val="both"/>
              <w:rPr>
                <w:sz w:val="22"/>
                <w:szCs w:val="22"/>
              </w:rPr>
            </w:pPr>
            <w:r w:rsidRPr="001D64EC">
              <w:rPr>
                <w:sz w:val="22"/>
                <w:szCs w:val="22"/>
              </w:rPr>
              <w:t xml:space="preserve">Moving forward, more secure future plans are required for P1, which was the main purpose for my involvement. However, safeguarding concerns took priority to ensure P1’s safety. After a period of intervention, it has been recognised that P1 is currently safe and not at any significant risk. It has been agreed by multi-disciplinary team that an in-county move would be of benefit to P1, however with development of a placement that is tailored to P1’s needs. My understanding of the situation is that P1 was placed in his current placement on an emergency basis, due to a lack of resources in-county at the time, which did not fully meet his needs. This is part of a broader issue that individuals are not receiving tailored support that they require, and as a result, being subject to inadequate services and safeguarding concerns. This is reiterated in research which states that adults with learning disability are expected by professionals to fit into existing resource system, instead of receiving tailored services that they require, resulting in poor outcomes (Ramsey et al., 2021). </w:t>
            </w:r>
          </w:p>
          <w:p w14:paraId="1BDA1B91" w14:textId="77777777" w:rsidR="00D56C0F" w:rsidRPr="001D64EC" w:rsidRDefault="00D56C0F" w:rsidP="00D56C0F">
            <w:pPr>
              <w:jc w:val="both"/>
              <w:rPr>
                <w:sz w:val="22"/>
                <w:szCs w:val="22"/>
              </w:rPr>
            </w:pPr>
          </w:p>
          <w:p w14:paraId="12DC2F24" w14:textId="79266497" w:rsidR="00D3203C" w:rsidRDefault="00E86031" w:rsidP="00FF7EBB">
            <w:pPr>
              <w:jc w:val="both"/>
              <w:rPr>
                <w:i/>
                <w:sz w:val="24"/>
                <w:szCs w:val="24"/>
              </w:rPr>
            </w:pPr>
            <w:r>
              <w:rPr>
                <w:i/>
                <w:sz w:val="24"/>
                <w:szCs w:val="24"/>
              </w:rPr>
              <w:t xml:space="preserve">Actual word count - </w:t>
            </w:r>
            <w:r w:rsidR="00D81A7A">
              <w:rPr>
                <w:i/>
                <w:sz w:val="24"/>
                <w:szCs w:val="24"/>
              </w:rPr>
              <w:t>4</w:t>
            </w:r>
            <w:r w:rsidR="00D16CC9">
              <w:rPr>
                <w:i/>
                <w:sz w:val="24"/>
                <w:szCs w:val="24"/>
              </w:rPr>
              <w:t>33</w:t>
            </w:r>
            <w:r w:rsidR="00D81A7A">
              <w:rPr>
                <w:i/>
                <w:sz w:val="24"/>
                <w:szCs w:val="24"/>
              </w:rPr>
              <w:t>5</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3CF6C" w14:textId="77777777" w:rsidR="00770D43" w:rsidRDefault="00770D43">
      <w:r>
        <w:separator/>
      </w:r>
    </w:p>
  </w:endnote>
  <w:endnote w:type="continuationSeparator" w:id="0">
    <w:p w14:paraId="76A7C456" w14:textId="77777777" w:rsidR="00770D43" w:rsidRDefault="00770D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D50A3" w14:textId="77777777" w:rsidR="00770D43" w:rsidRDefault="00770D43">
      <w:r>
        <w:separator/>
      </w:r>
    </w:p>
  </w:footnote>
  <w:footnote w:type="continuationSeparator" w:id="0">
    <w:p w14:paraId="075314E3" w14:textId="77777777" w:rsidR="00770D43" w:rsidRDefault="00770D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25B0"/>
    <w:rsid w:val="00074461"/>
    <w:rsid w:val="000766EC"/>
    <w:rsid w:val="00080E58"/>
    <w:rsid w:val="000839B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96F"/>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95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21A"/>
    <w:rsid w:val="001C4DB8"/>
    <w:rsid w:val="001C50B8"/>
    <w:rsid w:val="001D229F"/>
    <w:rsid w:val="001D6811"/>
    <w:rsid w:val="001E2EB6"/>
    <w:rsid w:val="001F4552"/>
    <w:rsid w:val="002019EB"/>
    <w:rsid w:val="00202B2D"/>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611"/>
    <w:rsid w:val="002B6D99"/>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3FF4"/>
    <w:rsid w:val="002F4F6E"/>
    <w:rsid w:val="003015C3"/>
    <w:rsid w:val="003106AB"/>
    <w:rsid w:val="003106DB"/>
    <w:rsid w:val="0031350A"/>
    <w:rsid w:val="00316815"/>
    <w:rsid w:val="003168CA"/>
    <w:rsid w:val="00321255"/>
    <w:rsid w:val="0032230D"/>
    <w:rsid w:val="00322A0B"/>
    <w:rsid w:val="00330881"/>
    <w:rsid w:val="00331CD2"/>
    <w:rsid w:val="00332426"/>
    <w:rsid w:val="00333557"/>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6DA2"/>
    <w:rsid w:val="003C10D2"/>
    <w:rsid w:val="003C19F1"/>
    <w:rsid w:val="003C3C67"/>
    <w:rsid w:val="003C4186"/>
    <w:rsid w:val="003C6185"/>
    <w:rsid w:val="003D0D2D"/>
    <w:rsid w:val="003D1885"/>
    <w:rsid w:val="003D1BC0"/>
    <w:rsid w:val="003D20F1"/>
    <w:rsid w:val="003D2F0B"/>
    <w:rsid w:val="003D4710"/>
    <w:rsid w:val="003E16D7"/>
    <w:rsid w:val="003E197E"/>
    <w:rsid w:val="003E40D3"/>
    <w:rsid w:val="003E4B70"/>
    <w:rsid w:val="003E54CF"/>
    <w:rsid w:val="003E5FBA"/>
    <w:rsid w:val="003F1233"/>
    <w:rsid w:val="003F2092"/>
    <w:rsid w:val="003F67A4"/>
    <w:rsid w:val="00400786"/>
    <w:rsid w:val="00401FDA"/>
    <w:rsid w:val="004046F0"/>
    <w:rsid w:val="0040668F"/>
    <w:rsid w:val="00411B54"/>
    <w:rsid w:val="00411EF7"/>
    <w:rsid w:val="00412677"/>
    <w:rsid w:val="00425160"/>
    <w:rsid w:val="00430DE3"/>
    <w:rsid w:val="004348AE"/>
    <w:rsid w:val="004376C0"/>
    <w:rsid w:val="0044223A"/>
    <w:rsid w:val="00444D3E"/>
    <w:rsid w:val="00450B67"/>
    <w:rsid w:val="00451851"/>
    <w:rsid w:val="0045189A"/>
    <w:rsid w:val="00453343"/>
    <w:rsid w:val="004538C3"/>
    <w:rsid w:val="00454155"/>
    <w:rsid w:val="004571C5"/>
    <w:rsid w:val="004608B9"/>
    <w:rsid w:val="00463B55"/>
    <w:rsid w:val="00465947"/>
    <w:rsid w:val="004667B1"/>
    <w:rsid w:val="00467F66"/>
    <w:rsid w:val="00470461"/>
    <w:rsid w:val="00470BB1"/>
    <w:rsid w:val="00473153"/>
    <w:rsid w:val="0047350F"/>
    <w:rsid w:val="004743AF"/>
    <w:rsid w:val="004743EA"/>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7397"/>
    <w:rsid w:val="004C2D3A"/>
    <w:rsid w:val="004C602E"/>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5BC6"/>
    <w:rsid w:val="0057780F"/>
    <w:rsid w:val="00581E0A"/>
    <w:rsid w:val="00586D89"/>
    <w:rsid w:val="005877C8"/>
    <w:rsid w:val="00587923"/>
    <w:rsid w:val="0059322D"/>
    <w:rsid w:val="00594F9F"/>
    <w:rsid w:val="005A1B4C"/>
    <w:rsid w:val="005A545C"/>
    <w:rsid w:val="005B271A"/>
    <w:rsid w:val="005B3A2D"/>
    <w:rsid w:val="005C091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5378"/>
    <w:rsid w:val="006326D1"/>
    <w:rsid w:val="00632E0A"/>
    <w:rsid w:val="00633165"/>
    <w:rsid w:val="006447DE"/>
    <w:rsid w:val="00644889"/>
    <w:rsid w:val="0065276E"/>
    <w:rsid w:val="00654329"/>
    <w:rsid w:val="00654CEC"/>
    <w:rsid w:val="00654E4D"/>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0BEE"/>
    <w:rsid w:val="0069625A"/>
    <w:rsid w:val="00696A88"/>
    <w:rsid w:val="00696F65"/>
    <w:rsid w:val="00697572"/>
    <w:rsid w:val="006A6565"/>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0238"/>
    <w:rsid w:val="00734809"/>
    <w:rsid w:val="0073714E"/>
    <w:rsid w:val="007374EF"/>
    <w:rsid w:val="007406E1"/>
    <w:rsid w:val="00743E40"/>
    <w:rsid w:val="00744420"/>
    <w:rsid w:val="00745016"/>
    <w:rsid w:val="0075031F"/>
    <w:rsid w:val="00751263"/>
    <w:rsid w:val="007544FC"/>
    <w:rsid w:val="00755427"/>
    <w:rsid w:val="00756548"/>
    <w:rsid w:val="0075673A"/>
    <w:rsid w:val="0075704F"/>
    <w:rsid w:val="00763B2D"/>
    <w:rsid w:val="00764C84"/>
    <w:rsid w:val="00766016"/>
    <w:rsid w:val="00770D43"/>
    <w:rsid w:val="007710AD"/>
    <w:rsid w:val="00772924"/>
    <w:rsid w:val="0078112D"/>
    <w:rsid w:val="007872F2"/>
    <w:rsid w:val="007873F9"/>
    <w:rsid w:val="007908E0"/>
    <w:rsid w:val="00793EB3"/>
    <w:rsid w:val="00794205"/>
    <w:rsid w:val="0079422A"/>
    <w:rsid w:val="007A1F6A"/>
    <w:rsid w:val="007A628F"/>
    <w:rsid w:val="007B0DE3"/>
    <w:rsid w:val="007B1BFD"/>
    <w:rsid w:val="007B3C21"/>
    <w:rsid w:val="007B7191"/>
    <w:rsid w:val="007C1D94"/>
    <w:rsid w:val="007C35F2"/>
    <w:rsid w:val="007C556F"/>
    <w:rsid w:val="007C5ABE"/>
    <w:rsid w:val="007C6A87"/>
    <w:rsid w:val="007D0A07"/>
    <w:rsid w:val="007D0F11"/>
    <w:rsid w:val="007D133D"/>
    <w:rsid w:val="007D3EB4"/>
    <w:rsid w:val="007D3F16"/>
    <w:rsid w:val="007D46B4"/>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08C"/>
    <w:rsid w:val="008E3195"/>
    <w:rsid w:val="008E5A35"/>
    <w:rsid w:val="008F127E"/>
    <w:rsid w:val="008F32D9"/>
    <w:rsid w:val="008F4EB6"/>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990"/>
    <w:rsid w:val="00986B43"/>
    <w:rsid w:val="00986C0B"/>
    <w:rsid w:val="00986D46"/>
    <w:rsid w:val="00991FDA"/>
    <w:rsid w:val="00992ACA"/>
    <w:rsid w:val="009A5F3B"/>
    <w:rsid w:val="009A5F79"/>
    <w:rsid w:val="009A6F87"/>
    <w:rsid w:val="009B0B61"/>
    <w:rsid w:val="009B28C0"/>
    <w:rsid w:val="009B3178"/>
    <w:rsid w:val="009B3E46"/>
    <w:rsid w:val="009B7136"/>
    <w:rsid w:val="009C1445"/>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AC6"/>
    <w:rsid w:val="00A10D56"/>
    <w:rsid w:val="00A12AAE"/>
    <w:rsid w:val="00A12F22"/>
    <w:rsid w:val="00A16DD1"/>
    <w:rsid w:val="00A22441"/>
    <w:rsid w:val="00A23F3B"/>
    <w:rsid w:val="00A24406"/>
    <w:rsid w:val="00A25F64"/>
    <w:rsid w:val="00A275F6"/>
    <w:rsid w:val="00A303B9"/>
    <w:rsid w:val="00A319D9"/>
    <w:rsid w:val="00A37416"/>
    <w:rsid w:val="00A40ED6"/>
    <w:rsid w:val="00A47621"/>
    <w:rsid w:val="00A479CD"/>
    <w:rsid w:val="00A50CFC"/>
    <w:rsid w:val="00A54C71"/>
    <w:rsid w:val="00A54D67"/>
    <w:rsid w:val="00A55A3F"/>
    <w:rsid w:val="00A5656A"/>
    <w:rsid w:val="00A60103"/>
    <w:rsid w:val="00A652F6"/>
    <w:rsid w:val="00A65861"/>
    <w:rsid w:val="00A732EA"/>
    <w:rsid w:val="00A7489E"/>
    <w:rsid w:val="00A8015F"/>
    <w:rsid w:val="00A85039"/>
    <w:rsid w:val="00A906AA"/>
    <w:rsid w:val="00A94C5E"/>
    <w:rsid w:val="00AA15A2"/>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5BE8"/>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4BCE"/>
    <w:rsid w:val="00C852D6"/>
    <w:rsid w:val="00C87A74"/>
    <w:rsid w:val="00C92C71"/>
    <w:rsid w:val="00C93F8F"/>
    <w:rsid w:val="00CA0894"/>
    <w:rsid w:val="00CA1CE2"/>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035"/>
    <w:rsid w:val="00CF2F8A"/>
    <w:rsid w:val="00CF3DB3"/>
    <w:rsid w:val="00CF405B"/>
    <w:rsid w:val="00D006C7"/>
    <w:rsid w:val="00D0274B"/>
    <w:rsid w:val="00D0503D"/>
    <w:rsid w:val="00D052BC"/>
    <w:rsid w:val="00D07026"/>
    <w:rsid w:val="00D146AE"/>
    <w:rsid w:val="00D16CC9"/>
    <w:rsid w:val="00D22C8F"/>
    <w:rsid w:val="00D3203C"/>
    <w:rsid w:val="00D33491"/>
    <w:rsid w:val="00D3442D"/>
    <w:rsid w:val="00D36F00"/>
    <w:rsid w:val="00D44B67"/>
    <w:rsid w:val="00D44F8E"/>
    <w:rsid w:val="00D51FD5"/>
    <w:rsid w:val="00D55DE0"/>
    <w:rsid w:val="00D56C0F"/>
    <w:rsid w:val="00D607EF"/>
    <w:rsid w:val="00D60F88"/>
    <w:rsid w:val="00D646BD"/>
    <w:rsid w:val="00D65558"/>
    <w:rsid w:val="00D71201"/>
    <w:rsid w:val="00D720C7"/>
    <w:rsid w:val="00D81A7A"/>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39D7"/>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56A"/>
    <w:rsid w:val="00E8603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1B44"/>
    <w:rsid w:val="00EE39D6"/>
    <w:rsid w:val="00EE52AD"/>
    <w:rsid w:val="00EE5BC3"/>
    <w:rsid w:val="00EE6FAB"/>
    <w:rsid w:val="00EF328C"/>
    <w:rsid w:val="00EF68BB"/>
    <w:rsid w:val="00F01F92"/>
    <w:rsid w:val="00F030D4"/>
    <w:rsid w:val="00F04053"/>
    <w:rsid w:val="00F06573"/>
    <w:rsid w:val="00F10A08"/>
    <w:rsid w:val="00F11B1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48D"/>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B92"/>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8</Pages>
  <Words>4301</Words>
  <Characters>24517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 Hannah McCormack</cp:lastModifiedBy>
  <cp:revision>62</cp:revision>
  <cp:lastPrinted>2020-02-11T19:20:00Z</cp:lastPrinted>
  <dcterms:created xsi:type="dcterms:W3CDTF">2023-10-04T15:29:00Z</dcterms:created>
  <dcterms:modified xsi:type="dcterms:W3CDTF">2023-10-23T07:48:00Z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