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DDEAE" w14:textId="0EDC397A" w:rsidR="00C7355C" w:rsidRDefault="00C7355C">
      <w:pPr>
        <w:pStyle w:val="NormalWeb"/>
        <w:tabs>
          <w:tab w:val="left" w:pos="2268"/>
        </w:tabs>
        <w:spacing w:before="0" w:after="0"/>
      </w:pPr>
      <w:r>
        <w:rPr>
          <w:noProof/>
        </w:rPr>
        <w:drawing>
          <wp:inline distT="0" distB="0" distL="0" distR="0" wp14:anchorId="4B670313" wp14:editId="49EDC8B1">
            <wp:extent cx="1906270" cy="638175"/>
            <wp:effectExtent l="0" t="0" r="0" b="0"/>
            <wp:docPr id="1073741825" name="officeArt object" descr="TSD_logo2010"/>
            <wp:cNvGraphicFramePr/>
            <a:graphic xmlns:a="http://schemas.openxmlformats.org/drawingml/2006/main">
              <a:graphicData uri="http://schemas.openxmlformats.org/drawingml/2006/picture">
                <pic:pic xmlns:pic="http://schemas.openxmlformats.org/drawingml/2006/picture">
                  <pic:nvPicPr>
                    <pic:cNvPr id="1073741825" name="TSD_logo2010" descr="TSD_logo2010"/>
                    <pic:cNvPicPr>
                      <a:picLocks noChangeAspect="1"/>
                    </pic:cNvPicPr>
                  </pic:nvPicPr>
                  <pic:blipFill>
                    <a:blip r:embed="rId8"/>
                    <a:stretch>
                      <a:fillRect/>
                    </a:stretch>
                  </pic:blipFill>
                  <pic:spPr>
                    <a:xfrm>
                      <a:off x="0" y="0"/>
                      <a:ext cx="1906270" cy="638175"/>
                    </a:xfrm>
                    <a:prstGeom prst="rect">
                      <a:avLst/>
                    </a:prstGeom>
                    <a:ln w="19050" cap="flat">
                      <a:solidFill>
                        <a:srgbClr val="000000"/>
                      </a:solidFill>
                      <a:prstDash val="solid"/>
                      <a:miter lim="800000"/>
                    </a:ln>
                    <a:effectLst/>
                  </pic:spPr>
                </pic:pic>
              </a:graphicData>
            </a:graphic>
          </wp:inline>
        </w:drawing>
      </w:r>
    </w:p>
    <w:p w14:paraId="64B48676" w14:textId="77777777" w:rsidR="00C7355C" w:rsidRDefault="00C7355C">
      <w:pPr>
        <w:pStyle w:val="NormalWeb"/>
        <w:spacing w:before="0" w:after="0"/>
      </w:pPr>
    </w:p>
    <w:p w14:paraId="7C97411E" w14:textId="77777777" w:rsidR="00C7355C" w:rsidRDefault="00C7355C">
      <w:pPr>
        <w:pStyle w:val="NormalWeb"/>
        <w:spacing w:before="0" w:after="0"/>
      </w:pPr>
    </w:p>
    <w:p w14:paraId="51AA1D73" w14:textId="77777777" w:rsidR="00C7355C" w:rsidRDefault="00C7355C">
      <w:pPr>
        <w:pStyle w:val="NormalWeb"/>
        <w:spacing w:before="0" w:after="0"/>
        <w:jc w:val="center"/>
        <w:rPr>
          <w:rFonts w:ascii="Arial" w:eastAsia="Arial" w:hAnsi="Arial" w:cs="Arial"/>
          <w:b/>
          <w:bCs/>
          <w:sz w:val="28"/>
          <w:szCs w:val="28"/>
        </w:rPr>
      </w:pPr>
      <w:r>
        <w:rPr>
          <w:rFonts w:ascii="Arial" w:hAnsi="Arial"/>
          <w:b/>
          <w:bCs/>
          <w:sz w:val="28"/>
          <w:szCs w:val="28"/>
        </w:rPr>
        <w:t>Postgraduate/Distance Learning</w:t>
      </w:r>
    </w:p>
    <w:p w14:paraId="0638A0DE" w14:textId="77777777" w:rsidR="00C7355C" w:rsidRDefault="00C7355C">
      <w:pPr>
        <w:pStyle w:val="NormalWeb"/>
        <w:spacing w:before="0" w:after="0"/>
        <w:jc w:val="center"/>
        <w:rPr>
          <w:rFonts w:ascii="Arial" w:eastAsia="Arial" w:hAnsi="Arial" w:cs="Arial"/>
          <w:b/>
          <w:bCs/>
          <w:sz w:val="28"/>
          <w:szCs w:val="28"/>
        </w:rPr>
      </w:pPr>
      <w:r>
        <w:rPr>
          <w:rFonts w:ascii="Arial" w:hAnsi="Arial"/>
          <w:b/>
          <w:bCs/>
          <w:sz w:val="28"/>
          <w:szCs w:val="28"/>
        </w:rPr>
        <w:t>Assignment coversheet &amp; feedback form</w:t>
      </w:r>
    </w:p>
    <w:p w14:paraId="45802131" w14:textId="77777777" w:rsidR="00C7355C" w:rsidRDefault="00C7355C">
      <w:pPr>
        <w:pStyle w:val="Body"/>
        <w:jc w:val="center"/>
        <w:rPr>
          <w:rFonts w:ascii="Arial" w:eastAsia="Arial" w:hAnsi="Arial" w:cs="Arial"/>
          <w:b/>
          <w:bCs/>
          <w:color w:val="EE0000"/>
          <w:sz w:val="28"/>
          <w:szCs w:val="28"/>
          <w:u w:val="single" w:color="EE0000"/>
        </w:rPr>
      </w:pPr>
      <w:r>
        <w:rPr>
          <w:rFonts w:ascii="Arial" w:hAnsi="Arial"/>
          <w:b/>
          <w:bCs/>
          <w:color w:val="EE0000"/>
          <w:sz w:val="28"/>
          <w:szCs w:val="28"/>
          <w:u w:color="EE0000"/>
        </w:rPr>
        <w:t>T</w:t>
      </w:r>
      <w:r>
        <w:rPr>
          <w:rFonts w:ascii="Arial" w:hAnsi="Arial"/>
          <w:b/>
          <w:bCs/>
          <w:color w:val="EE0000"/>
          <w:sz w:val="28"/>
          <w:szCs w:val="28"/>
          <w:u w:val="single" w:color="EE0000"/>
        </w:rPr>
        <w:t>O BE USED FOR ALL ESSAY SUBMISSIONS FROM APRIL 2026</w:t>
      </w:r>
    </w:p>
    <w:p w14:paraId="5F8625A6" w14:textId="77777777" w:rsidR="00C7355C" w:rsidRDefault="00C7355C">
      <w:pPr>
        <w:pStyle w:val="Body"/>
        <w:jc w:val="center"/>
        <w:rPr>
          <w:rFonts w:ascii="Arial" w:eastAsia="Arial" w:hAnsi="Arial" w:cs="Arial"/>
          <w:b/>
          <w:bCs/>
          <w:color w:val="EE0000"/>
          <w:sz w:val="28"/>
          <w:szCs w:val="28"/>
          <w:u w:val="single" w:color="EE0000"/>
        </w:rPr>
      </w:pPr>
      <w:r>
        <w:rPr>
          <w:rFonts w:ascii="Arial" w:hAnsi="Arial"/>
          <w:b/>
          <w:bCs/>
          <w:color w:val="EE0000"/>
          <w:sz w:val="28"/>
          <w:szCs w:val="28"/>
          <w:u w:val="single" w:color="EE0000"/>
          <w:lang w:val="de-DE"/>
        </w:rPr>
        <w:t xml:space="preserve">THIS COVER SHEET REPLACES ALL PREVIOUS VERSIONS. </w:t>
      </w:r>
    </w:p>
    <w:p w14:paraId="385F2AC5" w14:textId="77777777" w:rsidR="00C7355C" w:rsidRDefault="00C7355C">
      <w:pPr>
        <w:pStyle w:val="Body"/>
        <w:jc w:val="center"/>
        <w:rPr>
          <w:rFonts w:ascii="Arial" w:eastAsia="Arial" w:hAnsi="Arial" w:cs="Arial"/>
          <w:b/>
          <w:bCs/>
          <w:color w:val="EE0000"/>
          <w:sz w:val="28"/>
          <w:szCs w:val="28"/>
          <w:u w:val="single" w:color="EE0000"/>
        </w:rPr>
      </w:pPr>
      <w:r>
        <w:rPr>
          <w:rFonts w:ascii="Arial" w:hAnsi="Arial"/>
          <w:b/>
          <w:bCs/>
          <w:color w:val="EE0000"/>
          <w:sz w:val="28"/>
          <w:szCs w:val="28"/>
          <w:u w:val="single" w:color="EE0000"/>
        </w:rPr>
        <w:t>YOU MUST SIGN THE AI DECLARATION BEFRE YOU SUBMIT THE ESSAY.</w:t>
      </w:r>
    </w:p>
    <w:p w14:paraId="35F89CC3" w14:textId="77777777" w:rsidR="00C7355C" w:rsidRDefault="00C7355C">
      <w:pPr>
        <w:pStyle w:val="Heading3"/>
      </w:pPr>
      <w:r>
        <w:t>THIS SHEET MUST BE THE FIRST PAGE OF THE ASSIGNMENT YOU ARE SUBMITTING  (DO NOT SEND AS A SEPARATE FILE)</w:t>
      </w:r>
    </w:p>
    <w:p w14:paraId="1DA2AC79" w14:textId="77777777" w:rsidR="00C7355C" w:rsidRDefault="00C7355C">
      <w:pPr>
        <w:pStyle w:val="Heading3"/>
        <w:jc w:val="center"/>
      </w:pPr>
    </w:p>
    <w:p w14:paraId="04BF6A50" w14:textId="77777777" w:rsidR="00C7355C" w:rsidRDefault="00C7355C">
      <w:pPr>
        <w:pStyle w:val="Heading3"/>
        <w:jc w:val="center"/>
      </w:pPr>
    </w:p>
    <w:p w14:paraId="3E5E360F" w14:textId="77777777" w:rsidR="00C7355C" w:rsidRDefault="00C7355C">
      <w:pPr>
        <w:pStyle w:val="Heading3"/>
        <w:jc w:val="center"/>
        <w:rPr>
          <w:rFonts w:ascii="Trebuchet MS" w:eastAsia="Trebuchet MS" w:hAnsi="Trebuchet MS" w:cs="Trebuchet MS"/>
        </w:rPr>
      </w:pPr>
    </w:p>
    <w:tbl>
      <w:tblPr>
        <w:tblW w:w="885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788"/>
        <w:gridCol w:w="423"/>
        <w:gridCol w:w="1557"/>
        <w:gridCol w:w="285"/>
        <w:gridCol w:w="1803"/>
      </w:tblGrid>
      <w:tr w:rsidR="00C7355C" w14:paraId="7EFD8E15" w14:textId="77777777">
        <w:trPr>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F4CC3BA" w14:textId="77777777" w:rsidR="00C7355C" w:rsidRDefault="00C7355C">
            <w:pPr>
              <w:pStyle w:val="NormalWeb"/>
              <w:spacing w:before="0" w:after="0"/>
              <w:ind w:right="34"/>
            </w:pPr>
            <w:r>
              <w:rPr>
                <w:rFonts w:ascii="Arial" w:hAnsi="Arial"/>
                <w:b/>
                <w:bCs/>
                <w:sz w:val="22"/>
                <w:szCs w:val="22"/>
              </w:rPr>
              <w:t>For completion by the student</w:t>
            </w:r>
            <w:r>
              <w:rPr>
                <w:rFonts w:ascii="Arial" w:hAnsi="Arial"/>
                <w:sz w:val="22"/>
                <w:szCs w:val="22"/>
              </w:rPr>
              <w:t>:</w:t>
            </w:r>
          </w:p>
        </w:tc>
      </w:tr>
      <w:tr w:rsidR="00C7355C" w14:paraId="0CDDC8E0" w14:textId="77777777">
        <w:trPr>
          <w:trHeight w:val="7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6040C1D3"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Student Name: ANIL NAMBIAR</w:t>
            </w:r>
          </w:p>
          <w:p w14:paraId="2F58A1C8" w14:textId="77777777" w:rsidR="00C7355C" w:rsidRDefault="00C7355C">
            <w:pPr>
              <w:pStyle w:val="NormalWeb"/>
              <w:spacing w:before="0" w:after="0"/>
              <w:ind w:right="34"/>
              <w:rPr>
                <w:rFonts w:ascii="Arial" w:eastAsia="Arial" w:hAnsi="Arial" w:cs="Arial"/>
                <w:sz w:val="22"/>
                <w:szCs w:val="22"/>
              </w:rPr>
            </w:pPr>
          </w:p>
          <w:p w14:paraId="76433F3C" w14:textId="77777777" w:rsidR="00C7355C" w:rsidRDefault="00C7355C">
            <w:pPr>
              <w:pStyle w:val="NormalWeb"/>
              <w:spacing w:before="0" w:after="0"/>
              <w:ind w:right="34"/>
            </w:pPr>
            <w:r>
              <w:rPr>
                <w:rFonts w:ascii="Arial" w:hAnsi="Arial"/>
                <w:sz w:val="22"/>
                <w:szCs w:val="22"/>
              </w:rPr>
              <w:t xml:space="preserve">Student </w:t>
            </w:r>
            <w:r>
              <w:rPr>
                <w:rFonts w:ascii="Arial" w:hAnsi="Arial"/>
                <w:b/>
                <w:bCs/>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Pr>
                  <w:rStyle w:val="Hyperlink0"/>
                  <w:rFonts w:ascii="Arial" w:hAnsi="Arial"/>
                  <w:sz w:val="22"/>
                  <w:szCs w:val="22"/>
                  <w:lang w:val="nl-NL"/>
                </w:rPr>
                <w:t>2527769@student.uwtsd.ac.uk</w:t>
              </w:r>
            </w:hyperlink>
          </w:p>
        </w:tc>
      </w:tr>
      <w:tr w:rsidR="00C7355C" w14:paraId="71EFE151" w14:textId="77777777">
        <w:trPr>
          <w:trHeight w:val="120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36FF864"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Module code: </w:t>
            </w:r>
            <w:r>
              <w:rPr>
                <w:rFonts w:ascii="Arial" w:hAnsi="Arial"/>
                <w:sz w:val="20"/>
                <w:szCs w:val="20"/>
              </w:rPr>
              <w:t>HPCA7016</w:t>
            </w:r>
          </w:p>
          <w:p w14:paraId="6998E4F3" w14:textId="77777777" w:rsidR="00C7355C" w:rsidRDefault="00C7355C">
            <w:pPr>
              <w:pStyle w:val="NormalWeb"/>
              <w:spacing w:before="0" w:after="0"/>
              <w:ind w:right="34"/>
              <w:rPr>
                <w:rFonts w:ascii="Arial" w:eastAsia="Arial" w:hAnsi="Arial" w:cs="Arial"/>
                <w:sz w:val="22"/>
                <w:szCs w:val="22"/>
              </w:rPr>
            </w:pPr>
          </w:p>
          <w:p w14:paraId="29942934" w14:textId="77777777" w:rsidR="00C7355C" w:rsidRDefault="00C7355C">
            <w:pPr>
              <w:pStyle w:val="NormalWeb"/>
              <w:spacing w:before="0" w:after="0"/>
              <w:ind w:right="34"/>
            </w:pPr>
            <w:r>
              <w:rPr>
                <w:rFonts w:ascii="Arial" w:hAnsi="Arial"/>
                <w:sz w:val="22"/>
                <w:szCs w:val="22"/>
              </w:rPr>
              <w:t>Module title: Researching Contemporary Cosmologies</w:t>
            </w: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3FD6B16"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Student ID number: </w:t>
            </w:r>
          </w:p>
          <w:p w14:paraId="1C01F181" w14:textId="77777777" w:rsidR="00C7355C" w:rsidRDefault="00C7355C">
            <w:pPr>
              <w:pStyle w:val="NormalWeb"/>
              <w:spacing w:before="0" w:after="0"/>
              <w:ind w:right="34"/>
            </w:pPr>
            <w:r>
              <w:rPr>
                <w:rFonts w:ascii="Arial" w:hAnsi="Arial"/>
                <w:sz w:val="22"/>
                <w:szCs w:val="22"/>
              </w:rPr>
              <w:t>2527769</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19A926C" w14:textId="77777777" w:rsidR="00C7355C" w:rsidRDefault="00C7355C">
            <w:pPr>
              <w:pStyle w:val="NormalWeb"/>
              <w:spacing w:before="0" w:after="0"/>
              <w:ind w:right="34"/>
            </w:pPr>
            <w:r>
              <w:rPr>
                <w:rFonts w:ascii="Arial" w:hAnsi="Arial"/>
                <w:sz w:val="22"/>
                <w:szCs w:val="22"/>
              </w:rPr>
              <w:t>Educational support needs:</w:t>
            </w:r>
          </w:p>
        </w:tc>
      </w:tr>
      <w:tr w:rsidR="00C7355C" w14:paraId="1C3EBCFB" w14:textId="77777777">
        <w:trPr>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AA3E773"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Assignment title: </w:t>
            </w:r>
            <w:r>
              <w:rPr>
                <w:rFonts w:ascii="Arial" w:hAnsi="Arial"/>
                <w:b/>
                <w:bCs/>
                <w:sz w:val="22"/>
                <w:szCs w:val="22"/>
              </w:rPr>
              <w:t>Research Project in Contemporary Cosmology</w:t>
            </w:r>
          </w:p>
          <w:p w14:paraId="1CF2E68B" w14:textId="77777777" w:rsidR="00C7355C" w:rsidRDefault="00C7355C">
            <w:pPr>
              <w:pStyle w:val="NormalWeb"/>
              <w:spacing w:before="0" w:after="0"/>
              <w:ind w:right="34"/>
              <w:rPr>
                <w:rFonts w:ascii="Arial" w:eastAsia="Arial" w:hAnsi="Arial" w:cs="Arial"/>
                <w:sz w:val="22"/>
                <w:szCs w:val="22"/>
              </w:rPr>
            </w:pPr>
          </w:p>
          <w:p w14:paraId="2D832C14" w14:textId="77777777" w:rsidR="00C7355C" w:rsidRDefault="00C7355C">
            <w:pPr>
              <w:pStyle w:val="NormalWeb"/>
              <w:spacing w:before="0" w:after="0"/>
              <w:ind w:right="34"/>
            </w:pPr>
            <w:r>
              <w:rPr>
                <w:rFonts w:ascii="Arial" w:hAnsi="Arial"/>
                <w:sz w:val="22"/>
                <w:szCs w:val="22"/>
              </w:rPr>
              <w:t>Assignment due date: 30/04/01</w:t>
            </w:r>
          </w:p>
        </w:tc>
      </w:tr>
      <w:tr w:rsidR="00C7355C" w14:paraId="38129D48" w14:textId="77777777">
        <w:trPr>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E4A820" w14:textId="77777777" w:rsidR="00C7355C" w:rsidRDefault="00C7355C">
            <w:pPr>
              <w:pStyle w:val="Body"/>
            </w:pPr>
            <w:r>
              <w:rPr>
                <w:rFonts w:ascii="Arial" w:hAnsi="Arial"/>
              </w:rPr>
              <w:t xml:space="preserve">This assignment is for the    x   </w:t>
            </w:r>
            <w:r>
              <w:rPr>
                <w:rFonts w:ascii="Arial" w:hAnsi="Arial"/>
                <w:b/>
                <w:bCs/>
              </w:rPr>
              <w:t>1</w:t>
            </w:r>
            <w:r>
              <w:rPr>
                <w:rFonts w:ascii="Arial" w:hAnsi="Arial"/>
                <w:b/>
                <w:bCs/>
                <w:vertAlign w:val="superscript"/>
              </w:rPr>
              <w:t xml:space="preserve">st </w:t>
            </w:r>
            <w:r>
              <w:rPr>
                <w:rFonts w:ascii="Arial" w:hAnsi="Arial"/>
                <w:vertAlign w:val="superscript"/>
              </w:rPr>
              <w:t xml:space="preserve"> </w:t>
            </w:r>
            <w:r>
              <w:rPr>
                <w:rFonts w:ascii="Arial" w:hAnsi="Arial"/>
              </w:rPr>
              <w:t xml:space="preserve"> 2</w:t>
            </w:r>
            <w:r>
              <w:rPr>
                <w:rFonts w:ascii="Arial" w:hAnsi="Arial"/>
                <w:vertAlign w:val="superscript"/>
              </w:rPr>
              <w:t>nd</w:t>
            </w:r>
            <w:r>
              <w:rPr>
                <w:rFonts w:ascii="Arial" w:hAnsi="Arial"/>
              </w:rPr>
              <w:t xml:space="preserve">       3</w:t>
            </w:r>
            <w:r>
              <w:rPr>
                <w:rFonts w:ascii="Arial" w:hAnsi="Arial"/>
                <w:vertAlign w:val="superscript"/>
              </w:rPr>
              <w:t>rd</w:t>
            </w:r>
            <w:r>
              <w:rPr>
                <w:rFonts w:ascii="Arial" w:hAnsi="Arial"/>
              </w:rPr>
              <w:t xml:space="preserve">        4</w:t>
            </w:r>
            <w:r>
              <w:rPr>
                <w:rFonts w:ascii="Arial" w:hAnsi="Arial"/>
                <w:vertAlign w:val="superscript"/>
              </w:rPr>
              <w:t>th</w:t>
            </w:r>
            <w:r>
              <w:rPr>
                <w:rFonts w:ascii="Arial" w:hAnsi="Arial"/>
              </w:rPr>
              <w:t xml:space="preserve">       5</w:t>
            </w:r>
            <w:r>
              <w:rPr>
                <w:rFonts w:ascii="Arial" w:hAnsi="Arial"/>
                <w:vertAlign w:val="superscript"/>
              </w:rPr>
              <w:t>th</w:t>
            </w:r>
            <w:r>
              <w:rPr>
                <w:rFonts w:ascii="Arial" w:hAnsi="Arial"/>
              </w:rPr>
              <w:t xml:space="preserve">       6</w:t>
            </w:r>
            <w:r>
              <w:rPr>
                <w:rFonts w:ascii="Arial" w:hAnsi="Arial"/>
                <w:vertAlign w:val="superscript"/>
              </w:rPr>
              <w:t>th</w:t>
            </w:r>
            <w:r>
              <w:rPr>
                <w:rFonts w:ascii="Arial" w:hAnsi="Arial"/>
              </w:rPr>
              <w:t xml:space="preserve"> </w:t>
            </w:r>
            <w:r>
              <w:rPr>
                <w:rFonts w:ascii="Arial" w:hAnsi="Arial"/>
                <w:b/>
                <w:bCs/>
              </w:rPr>
              <w:t xml:space="preserve">   </w:t>
            </w:r>
            <w:r>
              <w:rPr>
                <w:rFonts w:ascii="Arial" w:hAnsi="Arial"/>
              </w:rPr>
              <w:t>module of the degree</w:t>
            </w:r>
          </w:p>
        </w:tc>
      </w:tr>
      <w:tr w:rsidR="00C7355C" w14:paraId="13494C52" w14:textId="77777777">
        <w:trPr>
          <w:trHeight w:val="336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3D289BD6" w14:textId="77777777" w:rsidR="00C7355C" w:rsidRDefault="00C7355C">
            <w:pPr>
              <w:pStyle w:val="NormalWeb"/>
              <w:spacing w:before="0" w:after="0"/>
              <w:ind w:right="34"/>
              <w:rPr>
                <w:rFonts w:ascii="Arial" w:eastAsia="Arial" w:hAnsi="Arial" w:cs="Arial"/>
                <w:b/>
                <w:bCs/>
                <w:sz w:val="22"/>
                <w:szCs w:val="22"/>
              </w:rPr>
            </w:pPr>
            <w:r>
              <w:rPr>
                <w:rFonts w:ascii="Arial" w:hAnsi="Arial"/>
                <w:b/>
                <w:bCs/>
                <w:sz w:val="22"/>
                <w:szCs w:val="22"/>
              </w:rPr>
              <w:lastRenderedPageBreak/>
              <w:t>Plagiarism declaration</w:t>
            </w:r>
          </w:p>
          <w:p w14:paraId="59EF41EC"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I confirm that this is my original work and that I have adhered to the University policy on plagiarism.</w:t>
            </w:r>
          </w:p>
          <w:p w14:paraId="4AC0EB20" w14:textId="77777777" w:rsidR="00C7355C" w:rsidRDefault="00C7355C">
            <w:pPr>
              <w:pStyle w:val="NormalWeb"/>
              <w:spacing w:before="0" w:after="0"/>
              <w:ind w:right="34"/>
              <w:rPr>
                <w:rFonts w:ascii="Arial" w:eastAsia="Arial" w:hAnsi="Arial" w:cs="Arial"/>
                <w:sz w:val="22"/>
                <w:szCs w:val="22"/>
              </w:rPr>
            </w:pPr>
          </w:p>
          <w:p w14:paraId="66091625" w14:textId="77777777" w:rsidR="00C7355C" w:rsidRDefault="00C7355C">
            <w:pPr>
              <w:pStyle w:val="NormalWeb"/>
              <w:spacing w:before="0" w:after="0"/>
              <w:ind w:right="34"/>
              <w:rPr>
                <w:rFonts w:ascii="Arial" w:eastAsia="Arial" w:hAnsi="Arial" w:cs="Arial"/>
                <w:b/>
                <w:bCs/>
                <w:sz w:val="22"/>
                <w:szCs w:val="22"/>
              </w:rPr>
            </w:pPr>
            <w:r>
              <w:rPr>
                <w:rFonts w:ascii="Arial" w:hAnsi="Arial"/>
                <w:b/>
                <w:bCs/>
                <w:sz w:val="22"/>
                <w:szCs w:val="22"/>
              </w:rPr>
              <w:t>Artificial Intelligence (AI) declaration</w:t>
            </w:r>
          </w:p>
          <w:p w14:paraId="05A37C63" w14:textId="77777777" w:rsidR="00C7355C" w:rsidRDefault="00C7355C">
            <w:pPr>
              <w:pStyle w:val="NormalWeb"/>
              <w:spacing w:before="0" w:after="0"/>
              <w:ind w:right="34"/>
              <w:rPr>
                <w:rFonts w:ascii="Arial" w:eastAsia="Arial" w:hAnsi="Arial" w:cs="Arial"/>
                <w:sz w:val="22"/>
                <w:szCs w:val="22"/>
              </w:rPr>
            </w:pPr>
          </w:p>
          <w:p w14:paraId="6BE78780" w14:textId="77777777" w:rsidR="00C7355C" w:rsidRDefault="00C7355C">
            <w:pPr>
              <w:pStyle w:val="NormalWeb"/>
              <w:spacing w:before="0" w:after="0"/>
              <w:ind w:right="34"/>
              <w:rPr>
                <w:rFonts w:ascii="Arial" w:eastAsia="Arial" w:hAnsi="Arial" w:cs="Arial"/>
                <w:sz w:val="22"/>
                <w:szCs w:val="22"/>
              </w:rPr>
            </w:pPr>
            <w:r>
              <w:rPr>
                <w:rFonts w:ascii="Arial" w:hAnsi="Arial"/>
                <w:sz w:val="22"/>
                <w:szCs w:val="22"/>
              </w:rPr>
              <w:t>I confirm that I have not used any AI tools in the research and creation of this assignment.</w:t>
            </w:r>
            <w:r>
              <w:rPr>
                <w:rFonts w:ascii="Arial" w:hAnsi="Arial"/>
                <w:color w:val="EE0000"/>
                <w:sz w:val="22"/>
                <w:szCs w:val="22"/>
                <w:u w:color="EE0000"/>
              </w:rPr>
              <w:t xml:space="preserve"> </w:t>
            </w:r>
            <w:r>
              <w:rPr>
                <w:rFonts w:ascii="Arial" w:hAnsi="Arial"/>
                <w:sz w:val="22"/>
                <w:szCs w:val="22"/>
              </w:rPr>
              <w:t>I confirm that I have not presented any AI generated materials as my own work. I confirm I have copies of my drafts, notes, and other resources I used, which I may be asked to provide in evidence.</w:t>
            </w:r>
          </w:p>
          <w:p w14:paraId="2C4639C7" w14:textId="77777777" w:rsidR="00C7355C" w:rsidRDefault="00C7355C">
            <w:pPr>
              <w:pStyle w:val="NormalWeb"/>
              <w:spacing w:before="0" w:after="0"/>
              <w:ind w:right="34"/>
              <w:rPr>
                <w:rFonts w:ascii="Arial" w:eastAsia="Arial" w:hAnsi="Arial" w:cs="Arial"/>
                <w:sz w:val="22"/>
                <w:szCs w:val="22"/>
              </w:rPr>
            </w:pPr>
          </w:p>
          <w:p w14:paraId="1D235FF0" w14:textId="7298821A" w:rsidR="00C7355C" w:rsidRDefault="00C7355C">
            <w:pPr>
              <w:pStyle w:val="NormalWeb"/>
              <w:spacing w:before="0" w:after="0"/>
              <w:ind w:right="34"/>
              <w:rPr>
                <w:rFonts w:ascii="Arial" w:eastAsia="Arial" w:hAnsi="Arial" w:cs="Arial"/>
                <w:sz w:val="22"/>
                <w:szCs w:val="22"/>
              </w:rPr>
            </w:pPr>
            <w:r>
              <w:rPr>
                <w:rFonts w:ascii="Arial" w:hAnsi="Arial"/>
                <w:sz w:val="22"/>
                <w:szCs w:val="22"/>
              </w:rPr>
              <w:t xml:space="preserve">Signed: </w:t>
            </w:r>
            <w:r w:rsidR="004E324F" w:rsidRPr="004E324F">
              <w:rPr>
                <w:rFonts w:ascii="Fairwater Script" w:hAnsi="Fairwater Script"/>
                <w:sz w:val="22"/>
                <w:szCs w:val="22"/>
              </w:rPr>
              <w:t>Anil Nambiar</w:t>
            </w:r>
          </w:p>
          <w:p w14:paraId="71242917" w14:textId="798C7925" w:rsidR="00C7355C" w:rsidRDefault="00C7355C">
            <w:pPr>
              <w:pStyle w:val="NormalWeb"/>
              <w:spacing w:before="0" w:after="0"/>
              <w:ind w:right="34"/>
            </w:pPr>
            <w:r>
              <w:rPr>
                <w:rFonts w:ascii="Arial" w:hAnsi="Arial"/>
                <w:sz w:val="22"/>
                <w:szCs w:val="22"/>
              </w:rPr>
              <w:t>Date:</w:t>
            </w:r>
            <w:r w:rsidR="004E324F">
              <w:rPr>
                <w:rFonts w:ascii="Arial" w:hAnsi="Arial"/>
                <w:sz w:val="22"/>
                <w:szCs w:val="22"/>
              </w:rPr>
              <w:t xml:space="preserve"> 24/04/2026</w:t>
            </w:r>
          </w:p>
        </w:tc>
      </w:tr>
      <w:tr w:rsidR="00C7355C" w14:paraId="2A5F6110" w14:textId="77777777">
        <w:trPr>
          <w:trHeight w:val="685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01AE17" w14:textId="77777777" w:rsidR="00C7355C" w:rsidRDefault="00C7355C">
            <w:pPr>
              <w:pStyle w:val="Body"/>
              <w:rPr>
                <w:rFonts w:ascii="Arial" w:eastAsia="Arial" w:hAnsi="Arial" w:cs="Arial"/>
                <w:b/>
                <w:bCs/>
              </w:rPr>
            </w:pPr>
          </w:p>
          <w:p w14:paraId="2180B36D" w14:textId="77777777" w:rsidR="00C7355C" w:rsidRDefault="00C7355C">
            <w:pPr>
              <w:pStyle w:val="Body"/>
              <w:rPr>
                <w:rFonts w:ascii="Arial" w:eastAsia="Arial" w:hAnsi="Arial" w:cs="Arial"/>
              </w:rPr>
            </w:pPr>
            <w:r>
              <w:rPr>
                <w:rFonts w:ascii="Arial" w:hAnsi="Arial"/>
                <w:b/>
                <w:bCs/>
              </w:rPr>
              <w:t>Assignment Mark</w:t>
            </w:r>
          </w:p>
          <w:p w14:paraId="617014DE" w14:textId="77777777" w:rsidR="00C7355C" w:rsidRDefault="00C7355C">
            <w:pPr>
              <w:pStyle w:val="Body"/>
              <w:rPr>
                <w:rFonts w:ascii="Arial" w:eastAsia="Arial" w:hAnsi="Arial" w:cs="Arial"/>
                <w:sz w:val="20"/>
                <w:szCs w:val="20"/>
              </w:rPr>
            </w:pPr>
          </w:p>
          <w:p w14:paraId="23DD724D" w14:textId="77777777" w:rsidR="00C7355C" w:rsidRDefault="00C7355C">
            <w:pPr>
              <w:pStyle w:val="Body"/>
              <w:rPr>
                <w:rFonts w:ascii="Arial" w:eastAsia="Arial" w:hAnsi="Arial" w:cs="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r>
              <w:rPr>
                <w:rFonts w:ascii="Arial" w:hAnsi="Arial"/>
                <w:sz w:val="20"/>
                <w:szCs w:val="20"/>
              </w:rPr>
              <w:tab/>
            </w:r>
          </w:p>
          <w:p w14:paraId="0176ABCC" w14:textId="77777777" w:rsidR="00C7355C" w:rsidRDefault="00C7355C">
            <w:pPr>
              <w:pStyle w:val="Body"/>
              <w:rPr>
                <w:rFonts w:ascii="Arial" w:eastAsia="Arial" w:hAnsi="Arial" w:cs="Arial"/>
                <w:sz w:val="20"/>
                <w:szCs w:val="20"/>
              </w:rPr>
            </w:pPr>
          </w:p>
          <w:p w14:paraId="40A970F3" w14:textId="77777777" w:rsidR="00C7355C" w:rsidRDefault="00C7355C">
            <w:pPr>
              <w:pStyle w:val="Body"/>
              <w:rPr>
                <w:rFonts w:ascii="Arial" w:eastAsia="Arial" w:hAnsi="Arial" w:cs="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r>
              <w:rPr>
                <w:rFonts w:ascii="Arial" w:hAnsi="Arial"/>
                <w:sz w:val="20"/>
                <w:szCs w:val="20"/>
              </w:rPr>
              <w:tab/>
            </w:r>
          </w:p>
          <w:p w14:paraId="3F5EEAD4" w14:textId="77777777" w:rsidR="00C7355C" w:rsidRDefault="00C7355C">
            <w:pPr>
              <w:pStyle w:val="Body"/>
              <w:rPr>
                <w:rFonts w:ascii="Arial" w:eastAsia="Arial" w:hAnsi="Arial" w:cs="Arial"/>
                <w:sz w:val="20"/>
                <w:szCs w:val="20"/>
              </w:rPr>
            </w:pPr>
          </w:p>
          <w:p w14:paraId="37639012" w14:textId="77777777" w:rsidR="00C7355C" w:rsidRDefault="00C7355C">
            <w:pPr>
              <w:pStyle w:val="Body"/>
              <w:rPr>
                <w:rFonts w:ascii="Arial" w:eastAsia="Arial" w:hAnsi="Arial" w:cs="Arial"/>
                <w:sz w:val="20"/>
                <w:szCs w:val="20"/>
              </w:rPr>
            </w:pPr>
            <w:r>
              <w:rPr>
                <w:rFonts w:ascii="Arial" w:hAnsi="Arial"/>
                <w:sz w:val="20"/>
                <w:szCs w:val="20"/>
              </w:rPr>
              <w:t>External Examiner’s mark (if relevant)</w:t>
            </w:r>
            <w:r>
              <w:rPr>
                <w:rFonts w:ascii="Arial" w:hAnsi="Arial"/>
                <w:sz w:val="20"/>
                <w:szCs w:val="20"/>
              </w:rPr>
              <w:tab/>
            </w:r>
          </w:p>
          <w:p w14:paraId="019AE034" w14:textId="77777777" w:rsidR="00C7355C" w:rsidRDefault="00C7355C">
            <w:pPr>
              <w:pStyle w:val="Body"/>
              <w:rPr>
                <w:rFonts w:ascii="Arial" w:eastAsia="Arial" w:hAnsi="Arial" w:cs="Arial"/>
                <w:sz w:val="20"/>
                <w:szCs w:val="20"/>
              </w:rPr>
            </w:pPr>
          </w:p>
          <w:p w14:paraId="2D97E051" w14:textId="77777777" w:rsidR="00C7355C" w:rsidRDefault="00C7355C">
            <w:pPr>
              <w:pStyle w:val="Body"/>
              <w:rPr>
                <w:rFonts w:ascii="Arial" w:eastAsia="Arial" w:hAnsi="Arial" w:cs="Arial"/>
                <w:b/>
                <w:bCs/>
                <w:sz w:val="20"/>
                <w:szCs w:val="20"/>
              </w:rPr>
            </w:pPr>
            <w:r>
              <w:rPr>
                <w:rFonts w:ascii="Arial" w:hAnsi="Arial"/>
                <w:b/>
                <w:bCs/>
                <w:sz w:val="20"/>
                <w:szCs w:val="20"/>
              </w:rPr>
              <w:t>Final Mark</w:t>
            </w:r>
          </w:p>
          <w:p w14:paraId="36854A76" w14:textId="77777777" w:rsidR="00C7355C" w:rsidRDefault="00C7355C">
            <w:pPr>
              <w:pStyle w:val="Body"/>
              <w:rPr>
                <w:rFonts w:ascii="Arial" w:eastAsia="Arial" w:hAnsi="Arial" w:cs="Arial"/>
                <w:b/>
                <w:bCs/>
                <w:sz w:val="20"/>
                <w:szCs w:val="20"/>
              </w:rPr>
            </w:pPr>
            <w:r>
              <w:rPr>
                <w:rFonts w:ascii="Arial" w:eastAsia="Arial" w:hAnsi="Arial" w:cs="Arial"/>
                <w:b/>
                <w:bCs/>
                <w:sz w:val="20"/>
                <w:szCs w:val="20"/>
              </w:rPr>
              <w:tab/>
            </w:r>
          </w:p>
          <w:p w14:paraId="32865757" w14:textId="77777777" w:rsidR="00C7355C" w:rsidRDefault="00C7355C">
            <w:pPr>
              <w:pStyle w:val="NormalWeb"/>
              <w:spacing w:before="0" w:after="0"/>
              <w:ind w:left="142" w:right="34"/>
              <w:rPr>
                <w:rFonts w:ascii="Arial" w:eastAsia="Arial" w:hAnsi="Arial" w:cs="Arial"/>
                <w:b/>
                <w:bCs/>
                <w:sz w:val="22"/>
                <w:szCs w:val="22"/>
              </w:rPr>
            </w:pPr>
          </w:p>
          <w:p w14:paraId="66D164E4" w14:textId="77777777" w:rsidR="00C7355C" w:rsidRDefault="00C7355C">
            <w:pPr>
              <w:pStyle w:val="NormalWeb"/>
              <w:spacing w:before="0" w:after="0"/>
              <w:ind w:left="142" w:right="34"/>
              <w:rPr>
                <w:rFonts w:ascii="Arial" w:eastAsia="Arial" w:hAnsi="Arial" w:cs="Arial"/>
                <w:sz w:val="22"/>
                <w:szCs w:val="22"/>
              </w:rPr>
            </w:pPr>
            <w:r>
              <w:rPr>
                <w:rFonts w:ascii="Arial" w:hAnsi="Arial"/>
                <w:b/>
                <w:bCs/>
                <w:sz w:val="22"/>
                <w:szCs w:val="22"/>
              </w:rPr>
              <w:t>NB.</w:t>
            </w:r>
            <w:r>
              <w:rPr>
                <w:rFonts w:ascii="Arial" w:hAnsi="Arial"/>
                <w:sz w:val="22"/>
                <w:szCs w:val="22"/>
              </w:rPr>
              <w:t xml:space="preserve">  All marks are provisional until confirmed by the Final Examination Board.</w:t>
            </w:r>
          </w:p>
          <w:p w14:paraId="0A187931" w14:textId="77777777" w:rsidR="00C7355C" w:rsidRDefault="00C7355C">
            <w:pPr>
              <w:pStyle w:val="NormalWeb"/>
              <w:spacing w:before="0" w:after="0"/>
              <w:rPr>
                <w:rFonts w:ascii="Arial" w:eastAsia="Arial" w:hAnsi="Arial" w:cs="Arial"/>
                <w:b/>
                <w:bCs/>
                <w:sz w:val="22"/>
                <w:szCs w:val="22"/>
              </w:rPr>
            </w:pPr>
          </w:p>
          <w:p w14:paraId="67EDF1AA" w14:textId="77777777" w:rsidR="00C7355C" w:rsidRDefault="00C7355C">
            <w:pPr>
              <w:pStyle w:val="NormalWeb"/>
              <w:spacing w:before="0" w:after="0"/>
              <w:rPr>
                <w:rFonts w:ascii="Arial" w:eastAsia="Arial" w:hAnsi="Arial" w:cs="Arial"/>
                <w:b/>
                <w:bCs/>
                <w:sz w:val="22"/>
                <w:szCs w:val="22"/>
              </w:rPr>
            </w:pPr>
          </w:p>
          <w:p w14:paraId="2E5CEEAF" w14:textId="77777777" w:rsidR="00C7355C" w:rsidRDefault="00C7355C">
            <w:pPr>
              <w:pStyle w:val="NormalWeb"/>
              <w:spacing w:before="0" w:after="0"/>
              <w:rPr>
                <w:rFonts w:ascii="Arial" w:eastAsia="Arial" w:hAnsi="Arial" w:cs="Arial"/>
                <w:b/>
                <w:bCs/>
                <w:sz w:val="22"/>
                <w:szCs w:val="22"/>
              </w:rPr>
            </w:pPr>
          </w:p>
          <w:p w14:paraId="3E3D86F1" w14:textId="77777777" w:rsidR="00C7355C" w:rsidRDefault="00C7355C">
            <w:pPr>
              <w:pStyle w:val="NormalWeb"/>
              <w:spacing w:before="0" w:after="0"/>
              <w:rPr>
                <w:rFonts w:ascii="Arial" w:eastAsia="Arial" w:hAnsi="Arial" w:cs="Arial"/>
                <w:b/>
                <w:bCs/>
                <w:sz w:val="22"/>
                <w:szCs w:val="22"/>
              </w:rPr>
            </w:pPr>
          </w:p>
          <w:p w14:paraId="596E9D72" w14:textId="77777777" w:rsidR="00C7355C" w:rsidRDefault="00C7355C">
            <w:pPr>
              <w:pStyle w:val="NormalWeb"/>
              <w:spacing w:before="0" w:after="0"/>
              <w:rPr>
                <w:rFonts w:ascii="Arial" w:eastAsia="Arial" w:hAnsi="Arial" w:cs="Arial"/>
                <w:b/>
                <w:bCs/>
                <w:sz w:val="22"/>
                <w:szCs w:val="22"/>
              </w:rPr>
            </w:pPr>
          </w:p>
          <w:p w14:paraId="039B0CB6" w14:textId="77777777" w:rsidR="00C7355C" w:rsidRDefault="00C7355C">
            <w:pPr>
              <w:pStyle w:val="NormalWeb"/>
              <w:spacing w:before="0" w:after="0"/>
              <w:rPr>
                <w:rFonts w:ascii="Arial" w:eastAsia="Arial" w:hAnsi="Arial" w:cs="Arial"/>
                <w:b/>
                <w:bCs/>
                <w:sz w:val="22"/>
                <w:szCs w:val="22"/>
              </w:rPr>
            </w:pPr>
            <w:r>
              <w:rPr>
                <w:rFonts w:ascii="Arial" w:hAnsi="Arial"/>
                <w:b/>
                <w:bCs/>
                <w:sz w:val="22"/>
                <w:szCs w:val="22"/>
              </w:rPr>
              <w:t>For completion by Marker 1 :</w:t>
            </w:r>
          </w:p>
          <w:p w14:paraId="6E4363FA" w14:textId="77777777" w:rsidR="00C7355C" w:rsidRDefault="00C7355C">
            <w:pPr>
              <w:pStyle w:val="NormalWeb"/>
            </w:pPr>
            <w:r>
              <w:rPr>
                <w:rFonts w:ascii="Arial" w:hAnsi="Arial"/>
                <w:sz w:val="22"/>
                <w:szCs w:val="22"/>
              </w:rPr>
              <w:t>Comments:</w:t>
            </w:r>
          </w:p>
        </w:tc>
      </w:tr>
      <w:tr w:rsidR="00C7355C" w14:paraId="50EBB26B" w14:textId="77777777">
        <w:trPr>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281B6460" w14:textId="77777777" w:rsidR="00C7355C" w:rsidRDefault="00C7355C">
            <w:pPr>
              <w:pStyle w:val="NormalWeb"/>
              <w:ind w:left="142" w:right="34"/>
            </w:pPr>
            <w:r>
              <w:rPr>
                <w:rFonts w:ascii="Arial" w:hAnsi="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3DE68E3E" w14:textId="77777777" w:rsidR="00C7355C" w:rsidRDefault="00C7355C">
            <w:pPr>
              <w:pStyle w:val="NormalWeb"/>
              <w:spacing w:after="0"/>
              <w:ind w:left="142" w:right="34"/>
            </w:pPr>
            <w:r>
              <w:rPr>
                <w:rFonts w:ascii="Arial" w:hAnsi="Arial"/>
                <w:sz w:val="22"/>
                <w:szCs w:val="22"/>
              </w:rPr>
              <w:t>Date:</w:t>
            </w:r>
          </w:p>
        </w:tc>
      </w:tr>
      <w:tr w:rsidR="00C7355C" w14:paraId="4BE245C2" w14:textId="77777777">
        <w:trPr>
          <w:trHeight w:val="38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28A12A" w14:textId="77777777" w:rsidR="00C7355C" w:rsidRDefault="00C7355C">
            <w:pPr>
              <w:pStyle w:val="NormalWeb"/>
              <w:spacing w:before="0" w:after="0"/>
              <w:rPr>
                <w:rFonts w:ascii="Arial" w:eastAsia="Arial" w:hAnsi="Arial" w:cs="Arial"/>
                <w:i/>
                <w:iCs/>
                <w:sz w:val="22"/>
                <w:szCs w:val="22"/>
              </w:rPr>
            </w:pPr>
          </w:p>
          <w:p w14:paraId="1ABBB07C" w14:textId="77777777" w:rsidR="00C7355C" w:rsidRDefault="00C7355C">
            <w:pPr>
              <w:pStyle w:val="NormalWeb"/>
              <w:spacing w:before="0" w:after="0"/>
              <w:rPr>
                <w:rFonts w:ascii="Arial" w:eastAsia="Arial" w:hAnsi="Arial" w:cs="Arial"/>
                <w:b/>
                <w:bCs/>
                <w:sz w:val="22"/>
                <w:szCs w:val="22"/>
              </w:rPr>
            </w:pPr>
            <w:r>
              <w:rPr>
                <w:rFonts w:ascii="Arial" w:hAnsi="Arial"/>
                <w:b/>
                <w:bCs/>
                <w:sz w:val="22"/>
                <w:szCs w:val="22"/>
              </w:rPr>
              <w:t>For completion by Marker 2/Moderator:</w:t>
            </w:r>
          </w:p>
          <w:p w14:paraId="2D6E5200" w14:textId="77777777" w:rsidR="00C7355C" w:rsidRDefault="00C7355C">
            <w:pPr>
              <w:pStyle w:val="NormalWeb"/>
              <w:spacing w:before="0" w:after="0"/>
              <w:rPr>
                <w:rFonts w:ascii="Arial" w:eastAsia="Arial" w:hAnsi="Arial" w:cs="Arial"/>
                <w:b/>
                <w:bCs/>
                <w:sz w:val="22"/>
                <w:szCs w:val="22"/>
              </w:rPr>
            </w:pPr>
          </w:p>
          <w:p w14:paraId="7C4C9261" w14:textId="77777777" w:rsidR="00C7355C" w:rsidRDefault="00C7355C">
            <w:pPr>
              <w:pStyle w:val="NormalWeb"/>
              <w:spacing w:before="0" w:after="0"/>
              <w:rPr>
                <w:rFonts w:ascii="Arial" w:eastAsia="Arial" w:hAnsi="Arial" w:cs="Arial"/>
                <w:sz w:val="22"/>
                <w:szCs w:val="22"/>
              </w:rPr>
            </w:pPr>
            <w:r>
              <w:rPr>
                <w:rFonts w:ascii="Arial" w:hAnsi="Arial"/>
                <w:sz w:val="22"/>
                <w:szCs w:val="22"/>
              </w:rPr>
              <w:t>Comments:</w:t>
            </w:r>
          </w:p>
          <w:p w14:paraId="20987EEA" w14:textId="77777777" w:rsidR="00C7355C" w:rsidRDefault="00C7355C">
            <w:pPr>
              <w:pStyle w:val="NormalWeb"/>
              <w:spacing w:before="0" w:after="0"/>
              <w:rPr>
                <w:rFonts w:ascii="Arial" w:eastAsia="Arial" w:hAnsi="Arial" w:cs="Arial"/>
                <w:sz w:val="22"/>
                <w:szCs w:val="22"/>
              </w:rPr>
            </w:pPr>
          </w:p>
          <w:p w14:paraId="15498B3C" w14:textId="77777777" w:rsidR="00C7355C" w:rsidRDefault="00C7355C">
            <w:pPr>
              <w:pStyle w:val="NormalWeb"/>
              <w:spacing w:before="0" w:after="0"/>
              <w:rPr>
                <w:rFonts w:ascii="Arial" w:eastAsia="Arial" w:hAnsi="Arial" w:cs="Arial"/>
                <w:sz w:val="22"/>
                <w:szCs w:val="22"/>
              </w:rPr>
            </w:pPr>
          </w:p>
          <w:p w14:paraId="416F476D" w14:textId="77777777" w:rsidR="00C7355C" w:rsidRDefault="00C7355C">
            <w:pPr>
              <w:pStyle w:val="NormalWeb"/>
              <w:spacing w:before="0" w:after="0"/>
              <w:rPr>
                <w:rFonts w:ascii="Arial" w:eastAsia="Arial" w:hAnsi="Arial" w:cs="Arial"/>
                <w:sz w:val="22"/>
                <w:szCs w:val="22"/>
              </w:rPr>
            </w:pPr>
          </w:p>
          <w:p w14:paraId="6513F723" w14:textId="77777777" w:rsidR="00C7355C" w:rsidRDefault="00C7355C">
            <w:pPr>
              <w:pStyle w:val="NormalWeb"/>
              <w:spacing w:before="0" w:after="0"/>
              <w:rPr>
                <w:rFonts w:ascii="Arial" w:eastAsia="Arial" w:hAnsi="Arial" w:cs="Arial"/>
                <w:sz w:val="22"/>
                <w:szCs w:val="22"/>
              </w:rPr>
            </w:pPr>
          </w:p>
          <w:p w14:paraId="49FCF20D" w14:textId="77777777" w:rsidR="00C7355C" w:rsidRDefault="00C7355C">
            <w:pPr>
              <w:pStyle w:val="NormalWeb"/>
              <w:spacing w:before="0" w:after="0"/>
              <w:rPr>
                <w:rFonts w:ascii="Arial" w:eastAsia="Arial" w:hAnsi="Arial" w:cs="Arial"/>
                <w:sz w:val="22"/>
                <w:szCs w:val="22"/>
              </w:rPr>
            </w:pPr>
          </w:p>
          <w:p w14:paraId="07DEABA0" w14:textId="77777777" w:rsidR="00C7355C" w:rsidRDefault="00C7355C">
            <w:pPr>
              <w:pStyle w:val="NormalWeb"/>
              <w:spacing w:before="0" w:after="0"/>
              <w:rPr>
                <w:rFonts w:ascii="Arial" w:eastAsia="Arial" w:hAnsi="Arial" w:cs="Arial"/>
                <w:sz w:val="22"/>
                <w:szCs w:val="22"/>
              </w:rPr>
            </w:pPr>
          </w:p>
          <w:p w14:paraId="046AD6DF" w14:textId="77777777" w:rsidR="00C7355C" w:rsidRDefault="00C7355C">
            <w:pPr>
              <w:pStyle w:val="NormalWeb"/>
              <w:spacing w:before="0" w:after="0"/>
              <w:rPr>
                <w:rFonts w:ascii="Arial" w:eastAsia="Arial" w:hAnsi="Arial" w:cs="Arial"/>
                <w:sz w:val="22"/>
                <w:szCs w:val="22"/>
              </w:rPr>
            </w:pPr>
          </w:p>
          <w:p w14:paraId="11C1CFE7" w14:textId="77777777" w:rsidR="00C7355C" w:rsidRDefault="00C7355C">
            <w:pPr>
              <w:pStyle w:val="NormalWeb"/>
              <w:spacing w:before="0" w:after="0"/>
              <w:rPr>
                <w:rFonts w:ascii="Arial" w:eastAsia="Arial" w:hAnsi="Arial" w:cs="Arial"/>
                <w:sz w:val="22"/>
                <w:szCs w:val="22"/>
              </w:rPr>
            </w:pPr>
          </w:p>
          <w:p w14:paraId="53518ECF" w14:textId="77777777" w:rsidR="00C7355C" w:rsidRDefault="00C7355C">
            <w:pPr>
              <w:pStyle w:val="NormalWeb"/>
              <w:spacing w:before="0" w:after="0"/>
              <w:rPr>
                <w:rFonts w:ascii="Arial" w:eastAsia="Arial" w:hAnsi="Arial" w:cs="Arial"/>
                <w:sz w:val="22"/>
                <w:szCs w:val="22"/>
              </w:rPr>
            </w:pPr>
          </w:p>
          <w:p w14:paraId="7AE07662" w14:textId="77777777" w:rsidR="00C7355C" w:rsidRDefault="00C7355C">
            <w:pPr>
              <w:pStyle w:val="NormalWeb"/>
              <w:spacing w:before="0" w:after="0"/>
              <w:rPr>
                <w:rFonts w:ascii="Arial" w:eastAsia="Arial" w:hAnsi="Arial" w:cs="Arial"/>
                <w:sz w:val="22"/>
                <w:szCs w:val="22"/>
              </w:rPr>
            </w:pPr>
          </w:p>
          <w:p w14:paraId="102A8FFB" w14:textId="77777777" w:rsidR="00C7355C" w:rsidRDefault="00C7355C">
            <w:pPr>
              <w:pStyle w:val="NormalWeb"/>
              <w:spacing w:before="0" w:after="0"/>
            </w:pPr>
          </w:p>
        </w:tc>
      </w:tr>
      <w:tr w:rsidR="00C7355C" w14:paraId="23185B95" w14:textId="77777777">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9AF872" w14:textId="77777777" w:rsidR="00C7355C" w:rsidRDefault="00C7355C">
            <w:pPr>
              <w:pStyle w:val="NormalWeb"/>
              <w:spacing w:before="0" w:after="0"/>
            </w:pPr>
            <w:r>
              <w:rPr>
                <w:rFonts w:ascii="Arial" w:hAnsi="Arial"/>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3A0681" w14:textId="77777777" w:rsidR="00C7355C" w:rsidRDefault="00C7355C">
            <w:pPr>
              <w:pStyle w:val="NormalWeb"/>
              <w:spacing w:before="0" w:after="0"/>
            </w:pPr>
            <w:r>
              <w:rPr>
                <w:rFonts w:ascii="Arial" w:hAnsi="Arial"/>
                <w:sz w:val="22"/>
                <w:szCs w:val="22"/>
              </w:rPr>
              <w:t>Date:</w:t>
            </w:r>
          </w:p>
        </w:tc>
      </w:tr>
      <w:tr w:rsidR="00C7355C" w14:paraId="2DC935AE" w14:textId="77777777">
        <w:trPr>
          <w:trHeight w:val="3061"/>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7E1900" w14:textId="77777777" w:rsidR="00C7355C" w:rsidRDefault="00C7355C">
            <w:pPr>
              <w:pStyle w:val="Body"/>
              <w:rPr>
                <w:rFonts w:ascii="Arial" w:eastAsia="Arial" w:hAnsi="Arial" w:cs="Arial"/>
                <w:b/>
                <w:bCs/>
              </w:rPr>
            </w:pPr>
            <w:r>
              <w:rPr>
                <w:rFonts w:ascii="Arial" w:hAnsi="Arial"/>
                <w:b/>
                <w:bCs/>
              </w:rPr>
              <w:t>External Examiner’s comments (if relevant)</w:t>
            </w:r>
          </w:p>
          <w:p w14:paraId="189205D8" w14:textId="77777777" w:rsidR="00C7355C" w:rsidRDefault="00C7355C">
            <w:pPr>
              <w:pStyle w:val="NormalWeb"/>
              <w:spacing w:before="0" w:after="0"/>
              <w:rPr>
                <w:rFonts w:ascii="Arial" w:eastAsia="Arial" w:hAnsi="Arial" w:cs="Arial"/>
                <w:sz w:val="22"/>
                <w:szCs w:val="22"/>
              </w:rPr>
            </w:pPr>
          </w:p>
          <w:p w14:paraId="34F6F83A" w14:textId="77777777" w:rsidR="00C7355C" w:rsidRDefault="00C7355C">
            <w:pPr>
              <w:pStyle w:val="NormalWeb"/>
              <w:spacing w:before="0" w:after="0"/>
              <w:rPr>
                <w:rFonts w:ascii="Arial" w:eastAsia="Arial" w:hAnsi="Arial" w:cs="Arial"/>
                <w:sz w:val="22"/>
                <w:szCs w:val="22"/>
              </w:rPr>
            </w:pPr>
          </w:p>
          <w:p w14:paraId="019D8ADD" w14:textId="77777777" w:rsidR="00C7355C" w:rsidRDefault="00C7355C">
            <w:pPr>
              <w:pStyle w:val="NormalWeb"/>
              <w:spacing w:before="0" w:after="0"/>
              <w:rPr>
                <w:rFonts w:ascii="Arial" w:eastAsia="Arial" w:hAnsi="Arial" w:cs="Arial"/>
                <w:sz w:val="22"/>
                <w:szCs w:val="22"/>
              </w:rPr>
            </w:pPr>
          </w:p>
          <w:p w14:paraId="13E4DFD5" w14:textId="77777777" w:rsidR="00C7355C" w:rsidRDefault="00C7355C">
            <w:pPr>
              <w:pStyle w:val="NormalWeb"/>
              <w:spacing w:before="0" w:after="0"/>
              <w:rPr>
                <w:rFonts w:ascii="Arial" w:eastAsia="Arial" w:hAnsi="Arial" w:cs="Arial"/>
                <w:sz w:val="22"/>
                <w:szCs w:val="22"/>
              </w:rPr>
            </w:pPr>
          </w:p>
          <w:p w14:paraId="4E6BB3EA" w14:textId="77777777" w:rsidR="00C7355C" w:rsidRDefault="00C7355C">
            <w:pPr>
              <w:pStyle w:val="NormalWeb"/>
              <w:spacing w:before="0" w:after="0"/>
              <w:rPr>
                <w:rFonts w:ascii="Arial" w:eastAsia="Arial" w:hAnsi="Arial" w:cs="Arial"/>
                <w:sz w:val="22"/>
                <w:szCs w:val="22"/>
              </w:rPr>
            </w:pPr>
          </w:p>
          <w:p w14:paraId="14E1EC91" w14:textId="77777777" w:rsidR="00C7355C" w:rsidRDefault="00C7355C">
            <w:pPr>
              <w:pStyle w:val="NormalWeb"/>
              <w:spacing w:before="0" w:after="0"/>
              <w:rPr>
                <w:rFonts w:ascii="Arial" w:eastAsia="Arial" w:hAnsi="Arial" w:cs="Arial"/>
                <w:sz w:val="22"/>
                <w:szCs w:val="22"/>
              </w:rPr>
            </w:pPr>
          </w:p>
          <w:p w14:paraId="3A3D3CA9" w14:textId="77777777" w:rsidR="00C7355C" w:rsidRDefault="00C7355C">
            <w:pPr>
              <w:pStyle w:val="NormalWeb"/>
              <w:spacing w:before="0" w:after="0"/>
              <w:rPr>
                <w:rFonts w:ascii="Arial" w:eastAsia="Arial" w:hAnsi="Arial" w:cs="Arial"/>
                <w:sz w:val="22"/>
                <w:szCs w:val="22"/>
              </w:rPr>
            </w:pPr>
          </w:p>
          <w:p w14:paraId="5A4CEBE5" w14:textId="77777777" w:rsidR="00C7355C" w:rsidRDefault="00C7355C">
            <w:pPr>
              <w:pStyle w:val="NormalWeb"/>
              <w:spacing w:before="0" w:after="0"/>
              <w:rPr>
                <w:rFonts w:ascii="Arial" w:eastAsia="Arial" w:hAnsi="Arial" w:cs="Arial"/>
                <w:sz w:val="22"/>
                <w:szCs w:val="22"/>
              </w:rPr>
            </w:pPr>
          </w:p>
          <w:p w14:paraId="54029B7D" w14:textId="77777777" w:rsidR="00C7355C" w:rsidRDefault="00C7355C">
            <w:pPr>
              <w:pStyle w:val="NormalWeb"/>
              <w:spacing w:before="0" w:after="0"/>
              <w:rPr>
                <w:rFonts w:ascii="Arial" w:eastAsia="Arial" w:hAnsi="Arial" w:cs="Arial"/>
                <w:sz w:val="22"/>
                <w:szCs w:val="22"/>
              </w:rPr>
            </w:pPr>
          </w:p>
          <w:p w14:paraId="0313E873" w14:textId="77777777" w:rsidR="00C7355C" w:rsidRDefault="00C7355C">
            <w:pPr>
              <w:pStyle w:val="NormalWeb"/>
              <w:spacing w:before="0" w:after="0"/>
            </w:pPr>
          </w:p>
        </w:tc>
      </w:tr>
      <w:tr w:rsidR="00C7355C" w14:paraId="4308FBE9" w14:textId="77777777">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1D2D02" w14:textId="77777777" w:rsidR="00C7355C" w:rsidRDefault="00C7355C">
            <w:pPr>
              <w:pStyle w:val="Body"/>
            </w:pPr>
            <w:r>
              <w:rPr>
                <w:rFonts w:ascii="Arial" w:hAnsi="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545335" w14:textId="77777777" w:rsidR="00C7355C" w:rsidRDefault="00C7355C">
            <w:pPr>
              <w:pStyle w:val="Body"/>
            </w:pPr>
            <w:r>
              <w:rPr>
                <w:rFonts w:ascii="Arial" w:hAnsi="Arial"/>
              </w:rPr>
              <w:t>Date:</w:t>
            </w:r>
          </w:p>
        </w:tc>
      </w:tr>
    </w:tbl>
    <w:p w14:paraId="4AB4E373" w14:textId="77777777" w:rsidR="00C7355C" w:rsidRDefault="00C7355C">
      <w:pPr>
        <w:pStyle w:val="Heading3"/>
        <w:widowControl w:val="0"/>
        <w:jc w:val="center"/>
        <w:rPr>
          <w:rFonts w:ascii="Trebuchet MS" w:eastAsia="Trebuchet MS" w:hAnsi="Trebuchet MS" w:cs="Trebuchet MS"/>
        </w:rPr>
      </w:pPr>
    </w:p>
    <w:p w14:paraId="18868966" w14:textId="77777777" w:rsidR="00C7355C" w:rsidRDefault="00C7355C">
      <w:pPr>
        <w:pStyle w:val="Body"/>
      </w:pPr>
    </w:p>
    <w:p w14:paraId="7C51C0A1" w14:textId="77777777" w:rsidR="00C7355C" w:rsidRDefault="00C7355C">
      <w:pPr>
        <w:pStyle w:val="Body"/>
      </w:pPr>
    </w:p>
    <w:p w14:paraId="6757D1A1" w14:textId="77777777" w:rsidR="00C7355C" w:rsidRDefault="00C7355C">
      <w:pPr>
        <w:pStyle w:val="Body"/>
      </w:pPr>
    </w:p>
    <w:p w14:paraId="2F11F21E" w14:textId="77777777" w:rsidR="00C7355C" w:rsidRDefault="00C7355C">
      <w:pPr>
        <w:pStyle w:val="Body"/>
      </w:pPr>
    </w:p>
    <w:p w14:paraId="5E824090" w14:textId="77777777" w:rsidR="00C7355C" w:rsidRDefault="00C7355C">
      <w:pPr>
        <w:pStyle w:val="Body"/>
      </w:pPr>
    </w:p>
    <w:p w14:paraId="45F3C215" w14:textId="77777777" w:rsidR="00C7355C" w:rsidRDefault="00C7355C">
      <w:pPr>
        <w:pStyle w:val="Body"/>
      </w:pPr>
    </w:p>
    <w:p w14:paraId="33697D71" w14:textId="77777777" w:rsidR="00C7355C" w:rsidRDefault="00C7355C">
      <w:pPr>
        <w:pStyle w:val="Body"/>
      </w:pPr>
    </w:p>
    <w:p w14:paraId="70FE1B69" w14:textId="77777777" w:rsidR="00C7355C" w:rsidRDefault="00C7355C">
      <w:pPr>
        <w:pStyle w:val="Body"/>
      </w:pPr>
    </w:p>
    <w:p w14:paraId="5F6E704C" w14:textId="77777777" w:rsidR="00C7355C" w:rsidRDefault="00C7355C">
      <w:pPr>
        <w:pStyle w:val="Body"/>
      </w:pPr>
    </w:p>
    <w:p w14:paraId="2AD6F5D8" w14:textId="77777777" w:rsidR="00C7355C" w:rsidRDefault="00C7355C">
      <w:pPr>
        <w:pStyle w:val="Body"/>
      </w:pPr>
    </w:p>
    <w:p w14:paraId="13A217F8" w14:textId="77777777" w:rsidR="00C7355C" w:rsidRDefault="00C7355C">
      <w:pPr>
        <w:pStyle w:val="Body"/>
      </w:pPr>
    </w:p>
    <w:p w14:paraId="4C7E36EC" w14:textId="77777777" w:rsidR="00C7355C" w:rsidRDefault="00C7355C">
      <w:pPr>
        <w:pStyle w:val="Body"/>
      </w:pPr>
    </w:p>
    <w:p w14:paraId="210DCD8F" w14:textId="77777777" w:rsidR="00C7355C" w:rsidRDefault="00C7355C">
      <w:pPr>
        <w:pStyle w:val="Body"/>
      </w:pPr>
    </w:p>
    <w:p w14:paraId="2993A7EA" w14:textId="77777777" w:rsidR="00C7355C" w:rsidRDefault="00C7355C">
      <w:pPr>
        <w:pStyle w:val="Body"/>
      </w:pPr>
    </w:p>
    <w:p w14:paraId="209D81FE" w14:textId="77777777" w:rsidR="00C7355C" w:rsidRDefault="00C7355C">
      <w:pPr>
        <w:pStyle w:val="Body"/>
      </w:pPr>
    </w:p>
    <w:p w14:paraId="5590B9C6" w14:textId="77777777" w:rsidR="00C7355C" w:rsidRDefault="00C7355C">
      <w:pPr>
        <w:pStyle w:val="Body"/>
      </w:pPr>
    </w:p>
    <w:p w14:paraId="2C33CC3B" w14:textId="77777777" w:rsidR="00C7355C" w:rsidRDefault="00C7355C">
      <w:pPr>
        <w:pStyle w:val="Body"/>
      </w:pPr>
    </w:p>
    <w:p w14:paraId="0741CB2F" w14:textId="5A2EAB1B" w:rsidR="00C7355C" w:rsidRDefault="00C7355C">
      <w:pPr>
        <w:rPr>
          <w:b/>
          <w:bCs/>
          <w:sz w:val="32"/>
          <w:szCs w:val="32"/>
        </w:rPr>
      </w:pPr>
    </w:p>
    <w:p w14:paraId="58FEE006" w14:textId="08D24F88" w:rsidR="00C7160C" w:rsidRDefault="00FD7087">
      <w:pPr>
        <w:spacing w:after="160"/>
        <w:jc w:val="center"/>
      </w:pPr>
      <w:r>
        <w:rPr>
          <w:b/>
          <w:bCs/>
          <w:sz w:val="32"/>
          <w:szCs w:val="32"/>
        </w:rPr>
        <w:t>Research Project in Contemporary Cosmology</w:t>
      </w:r>
    </w:p>
    <w:p w14:paraId="26BF1DD5" w14:textId="77777777" w:rsidR="00C7160C" w:rsidRDefault="00FD7087">
      <w:pPr>
        <w:pStyle w:val="Heading1"/>
      </w:pPr>
      <w:r>
        <w:t>Introduction</w:t>
      </w:r>
    </w:p>
    <w:p w14:paraId="0CE8412F" w14:textId="62A2BEA2" w:rsidR="00C7160C" w:rsidRDefault="00FD7087">
      <w:pPr>
        <w:spacing w:after="200" w:line="360" w:lineRule="auto"/>
        <w:jc w:val="both"/>
      </w:pPr>
      <w:r>
        <w:t>This research project asks how contemporary members of the Hindu diaspora interpret cosmological ideas such as order, time, and divine authority through the Ramayana. The Ramayana is not, for those who engage with it seriously, simply a narrative. It carries a cosmological architecture: dharma as the animating principle by which the universe maintains itself, time as cyclical and infinite rather than linear and finite, and divine authority as something demonstrated through embodied sacrifice rather than decreed from above</w:t>
      </w:r>
      <w:r w:rsidR="004769C8">
        <w:t xml:space="preserve">. </w:t>
      </w:r>
      <w:r w:rsidR="004769C8" w:rsidRPr="004769C8">
        <w:t xml:space="preserve">Whether that architecture survives diaspora conditions, and in what form, is something the existing scholarship has not looked at closely enough. To explore </w:t>
      </w:r>
      <w:r w:rsidR="004769C8" w:rsidRPr="004769C8">
        <w:t>this,</w:t>
      </w:r>
      <w:r w:rsidR="004769C8" w:rsidRPr="004769C8">
        <w:t xml:space="preserve"> I interviewed ten members of the Hindu diaspora across the United Kingdom, the United States of America, Canada, and Australia.</w:t>
      </w:r>
    </w:p>
    <w:p w14:paraId="19A5F849" w14:textId="3E2EE114" w:rsidR="004769C8" w:rsidRDefault="004769C8">
      <w:pPr>
        <w:spacing w:after="200" w:line="360" w:lineRule="auto"/>
        <w:jc w:val="both"/>
      </w:pPr>
      <w:r w:rsidRPr="004769C8">
        <w:t>The clearest pattern that emerged was a gap between knowing what a cosmological tradition contains and being able to live within it.</w:t>
      </w:r>
      <w:r w:rsidR="00FD7087">
        <w:t xml:space="preserve">. Respondents across the sample, including secular and </w:t>
      </w:r>
      <w:r w:rsidR="00E61277">
        <w:t>second-generation</w:t>
      </w:r>
      <w:r w:rsidR="00FD7087">
        <w:t xml:space="preserve"> participants who would not describe themselves as practicing Hindus, could identify these dimensions with considerable precision. What they could not do, in several cases, was inhabit those dimensions in the way that devout and practicing respondents did. That gap between cosmological awareness and cosmological inhabitation is the paper's central finding. </w:t>
      </w:r>
      <w:r w:rsidR="00B06086" w:rsidRPr="00B06086">
        <w:t>It points to something that happens more widely when a tradition is carried into new conditions: the ideas survive, but the daily life that made them fully inhabitable does not travel with them.</w:t>
      </w:r>
      <w:r w:rsidR="00FD7087">
        <w:t xml:space="preserve"> </w:t>
      </w:r>
      <w:r w:rsidRPr="004769C8">
        <w:t>It has consequences not only for how we understand the Hindu diaspora but for how we understand diaspora transmission more broadly</w:t>
      </w:r>
      <w:r>
        <w:t>.</w:t>
      </w:r>
    </w:p>
    <w:p w14:paraId="79E555DD" w14:textId="599C8EE9" w:rsidR="00C7160C" w:rsidRDefault="00FD7087">
      <w:pPr>
        <w:spacing w:after="200" w:line="360" w:lineRule="auto"/>
        <w:jc w:val="both"/>
      </w:pPr>
      <w:r>
        <w:lastRenderedPageBreak/>
        <w:t>Nicholas Campion describes a cosmological worldview as that set of ideas about the cosmos which reinforces, explains, or motivates cultural forms or processes</w:t>
      </w:r>
      <w:r w:rsidR="00E61277">
        <w:rPr>
          <w:rStyle w:val="FootnoteReference"/>
        </w:rPr>
        <w:footnoteReference w:id="1"/>
      </w:r>
      <w:r>
        <w:t xml:space="preserve">. Drawing on Redfield, he </w:t>
      </w:r>
      <w:r w:rsidR="00E61277">
        <w:t>characterizes</w:t>
      </w:r>
      <w:r>
        <w:t xml:space="preserve"> a worldview as the way </w:t>
      </w:r>
      <w:r w:rsidR="00E61277">
        <w:t>people</w:t>
      </w:r>
      <w:r>
        <w:t xml:space="preserve"> characteristically look outward upon the universe, answering the questions of where one is, among what one moves, and what one's relations to those things are</w:t>
      </w:r>
      <w:r w:rsidR="00E61277">
        <w:rPr>
          <w:rStyle w:val="FootnoteReference"/>
        </w:rPr>
        <w:footnoteReference w:id="2"/>
      </w:r>
      <w:r>
        <w:t xml:space="preserve">. </w:t>
      </w:r>
      <w:r w:rsidR="00E04492" w:rsidRPr="00E04492">
        <w:t>That is the kind of question this research is asking</w:t>
      </w:r>
      <w:r>
        <w:t xml:space="preserve">. Rather than establishing whether respondents are formally practicing Hindus, the research asks how the Ramayana has contributed to the cosmological picture they </w:t>
      </w:r>
      <w:r w:rsidR="00E04492">
        <w:t>hold</w:t>
      </w:r>
      <w:r>
        <w:t xml:space="preserve">. Several respondents hold that picture </w:t>
      </w:r>
      <w:r w:rsidR="00E04492">
        <w:t>somewhat.</w:t>
      </w:r>
      <w:r>
        <w:t xml:space="preserve"> </w:t>
      </w:r>
      <w:r w:rsidR="00E04492">
        <w:t>T</w:t>
      </w:r>
      <w:r>
        <w:t xml:space="preserve">hey can identify </w:t>
      </w:r>
      <w:r w:rsidR="00E04492">
        <w:t>parts of the</w:t>
      </w:r>
      <w:r>
        <w:t xml:space="preserve"> cosmological dimensions </w:t>
      </w:r>
      <w:r w:rsidR="00E04492">
        <w:t>within</w:t>
      </w:r>
      <w:r>
        <w:t xml:space="preserve"> text</w:t>
      </w:r>
      <w:r w:rsidR="00E04492">
        <w:t>s</w:t>
      </w:r>
      <w:r>
        <w:t xml:space="preserve"> and say what those dimensions </w:t>
      </w:r>
      <w:r w:rsidR="00E04492">
        <w:t>are but</w:t>
      </w:r>
      <w:r>
        <w:t xml:space="preserve"> cannot fully inhabit them. </w:t>
      </w:r>
    </w:p>
    <w:p w14:paraId="6E1BFF69" w14:textId="6B0F41CB" w:rsidR="00C7160C" w:rsidRDefault="00FD7087">
      <w:pPr>
        <w:spacing w:after="200" w:line="360" w:lineRule="auto"/>
        <w:jc w:val="both"/>
      </w:pPr>
      <w:r>
        <w:t>Freya Mathews, quoted by Campion in his opening chapter, argues that cosmologies are conditioned by historical, social, and psychological circumstances, and that a good cosmology is good for its adherents</w:t>
      </w:r>
      <w:r w:rsidR="00E61277">
        <w:rPr>
          <w:rStyle w:val="FootnoteReference"/>
        </w:rPr>
        <w:footnoteReference w:id="3"/>
      </w:r>
      <w:r>
        <w:t>. For a diaspora community, where those original conditions have been substantially disrupted, the question is not whether people continue to practice but whether the ground underlying a tradition remains operative in how they actually think and live. The research question is: how do contemporary members of the Hindu diaspora interpret cosmological ideas such as order, time, and divine authority through the Ramayana, and what does variation in these interpretations reveal about the transmission and transformation of cosmological understanding across diaspora contexts? Brady argues that any research paper must answer four questions for its reader: what have you done, why have you done it, how have you done it, and what did you find and why does it matter</w:t>
      </w:r>
      <w:r w:rsidR="00E61277">
        <w:rPr>
          <w:rStyle w:val="FootnoteReference"/>
        </w:rPr>
        <w:footnoteReference w:id="4"/>
      </w:r>
      <w:r>
        <w:t xml:space="preserve">. </w:t>
      </w:r>
      <w:r w:rsidR="00786C2F" w:rsidRPr="00786C2F">
        <w:t>Those four questions are what this paper tries to answer.</w:t>
      </w:r>
    </w:p>
    <w:p w14:paraId="3D13CBF4" w14:textId="77777777" w:rsidR="00C7160C" w:rsidRDefault="00FD7087">
      <w:pPr>
        <w:pStyle w:val="Heading1"/>
      </w:pPr>
      <w:r>
        <w:t>Literature Review</w:t>
      </w:r>
    </w:p>
    <w:p w14:paraId="3B841E3E" w14:textId="5A93110E" w:rsidR="00C7160C" w:rsidRDefault="00FD7087">
      <w:pPr>
        <w:spacing w:after="200" w:line="360" w:lineRule="auto"/>
        <w:jc w:val="both"/>
      </w:pPr>
      <w:r>
        <w:t>Hart argues that the literature review in a master's thesis must be analytical and summative, covering methodological issues, research techniques, and topics, demonstrating knowledge of the advantages and disadvantages of different approaches, and identifying the gap the research occupies</w:t>
      </w:r>
      <w:r w:rsidR="00E61277">
        <w:rPr>
          <w:rStyle w:val="FootnoteReference"/>
        </w:rPr>
        <w:footnoteReference w:id="5"/>
      </w:r>
      <w:r>
        <w:t>.</w:t>
      </w:r>
      <w:r w:rsidR="00E61277">
        <w:t xml:space="preserve"> </w:t>
      </w:r>
      <w:r w:rsidR="00E04492" w:rsidRPr="00E04492">
        <w:t>Three areas are covered here</w:t>
      </w:r>
      <w:r w:rsidR="00E04492">
        <w:t>;</w:t>
      </w:r>
      <w:r>
        <w:t xml:space="preserve"> the cosmological architecture of the Hindu tradition </w:t>
      </w:r>
      <w:r>
        <w:lastRenderedPageBreak/>
        <w:t xml:space="preserve">within which the Ramayana sits; the Ramayana as a primary source; </w:t>
      </w:r>
      <w:r w:rsidR="00A13EB0" w:rsidRPr="00A13EB0">
        <w:t>and methodological comparisons from studies that looked at cosmological belief in community settings</w:t>
      </w:r>
      <w:r w:rsidR="00A13EB0">
        <w:t>.</w:t>
      </w:r>
    </w:p>
    <w:p w14:paraId="5688F8C1" w14:textId="56878B4D" w:rsidR="00C7160C" w:rsidRDefault="00FD7087">
      <w:pPr>
        <w:spacing w:after="200" w:line="360" w:lineRule="auto"/>
        <w:jc w:val="both"/>
      </w:pPr>
      <w:r>
        <w:t>Campion's chapter on India in Astrology and Cosmology in the World's Religions provides the scholarly grounding for the specific cosmological architecture the Ramayana expresses. His broader argument treats cosmology as a meaning-system whose primary functions are managing time, understanding the self, and pursuing salvation</w:t>
      </w:r>
      <w:r w:rsidR="00E61277">
        <w:t>.</w:t>
      </w:r>
      <w:r w:rsidR="00E61277">
        <w:rPr>
          <w:rStyle w:val="FootnoteReference"/>
        </w:rPr>
        <w:footnoteReference w:id="6"/>
      </w:r>
      <w:r w:rsidR="00E61277">
        <w:t xml:space="preserve"> </w:t>
      </w:r>
      <w:r>
        <w:t>Those three functions correspond to what the Ramayana does: it manages time through its cyclical architecture in which Rama's restoration of order is a pattern that recurs rather than a historical event; it locates the self within a cosmic order through dharma; and it addresses salvation through the question of how a person acts in full knowledge of their position in that structure.</w:t>
      </w:r>
    </w:p>
    <w:p w14:paraId="5FBBE1D9" w14:textId="1142B5DF" w:rsidR="00C7160C" w:rsidRDefault="00FD7087">
      <w:pPr>
        <w:spacing w:after="200" w:line="360" w:lineRule="auto"/>
        <w:jc w:val="both"/>
      </w:pPr>
      <w:r>
        <w:t xml:space="preserve">The specific cosmological terms are given precise definitions in Campion's India chapter. Dharma, he explains, translates as 'that which supports' and presents a path which we can both choose to follow and must </w:t>
      </w:r>
      <w:r w:rsidR="00C9659B">
        <w:t>follow</w:t>
      </w:r>
      <w:r w:rsidR="00702521">
        <w:t>:</w:t>
      </w:r>
      <w:r>
        <w:t xml:space="preserve"> it is the totality of one's submission to ethical values, life circumstances, spiritual condition, and purpose</w:t>
      </w:r>
      <w:r w:rsidR="00E61277">
        <w:rPr>
          <w:rStyle w:val="FootnoteReference"/>
        </w:rPr>
        <w:footnoteReference w:id="7"/>
      </w:r>
      <w:r>
        <w:t>. Dharma, in other words, is not ethics in any personal or conventional sense; it names the structural principle of cosmic maintenance. The entire system is bound together in webs of what Campion calls sympathy and correspondence, in which cause and effect operate not mechanically but through the mutual entanglement of all things in the universe, both material and nonmaterial</w:t>
      </w:r>
      <w:r w:rsidR="00E61277">
        <w:t>.</w:t>
      </w:r>
      <w:r w:rsidR="00E61277">
        <w:rPr>
          <w:rStyle w:val="FootnoteReference"/>
        </w:rPr>
        <w:footnoteReference w:id="8"/>
      </w:r>
      <w:r>
        <w:t xml:space="preserve"> Of these concepts, it is dharma and time that matter most for this analysis. Campion describes the four yugas as a sequence of cosmic ages declining from an original era of perfection to the present Kali Yuga, a period of corruption and violence, in which the cosmos is created and destroyed in an endless sequence with destruction conceived as renewal rather than ending</w:t>
      </w:r>
      <w:r w:rsidR="00E61277">
        <w:rPr>
          <w:rStyle w:val="FootnoteReference"/>
        </w:rPr>
        <w:footnoteReference w:id="9"/>
      </w:r>
      <w:r>
        <w:t>. Crucially, Campion concludes his India chapter by arguing that the key principle in Hinduism is not the character of the gods, the worship of individual deities, or the elaborate rituals, but deified time: if we stripped away everything else in the cosmos, we would be left with time, and even people exist only because they are made, live, and die in time</w:t>
      </w:r>
      <w:r w:rsidR="00E61277">
        <w:rPr>
          <w:rStyle w:val="FootnoteReference"/>
        </w:rPr>
        <w:footnoteReference w:id="10"/>
      </w:r>
      <w:r>
        <w:t xml:space="preserve">. The Atharva Veda's description of Kala, time personified </w:t>
      </w:r>
      <w:r>
        <w:lastRenderedPageBreak/>
        <w:t>as a primordial power ('Time the first god'), makes explicit what the yuga structure implies: time is not a container within which events occur but the most fundamental cosmological reality</w:t>
      </w:r>
      <w:r w:rsidR="00E61277">
        <w:rPr>
          <w:rStyle w:val="FootnoteReference"/>
        </w:rPr>
        <w:footnoteReference w:id="11"/>
      </w:r>
      <w:r>
        <w:t>.</w:t>
      </w:r>
    </w:p>
    <w:p w14:paraId="45D42496" w14:textId="29CF5027" w:rsidR="00C7160C" w:rsidRDefault="00FD7087">
      <w:pPr>
        <w:spacing w:after="200" w:line="360" w:lineRule="auto"/>
        <w:jc w:val="both"/>
      </w:pPr>
      <w:r>
        <w:t>The two versions of the Ramayana most relevant here are the Sanskrit text attributed to Valmiki, generally dated between the fifth century BCE and the second century CE, and the Ramcharitmanas of Tulsidas, composed in sixteenth-century Awadhi Hindi within the bhakti devotional tradition</w:t>
      </w:r>
      <w:r w:rsidR="00E61277">
        <w:rPr>
          <w:rStyle w:val="FootnoteReference"/>
        </w:rPr>
        <w:footnoteReference w:id="12"/>
      </w:r>
      <w:r>
        <w:t>.</w:t>
      </w:r>
      <w:r w:rsidR="00702521">
        <w:t xml:space="preserve"> </w:t>
      </w:r>
      <w:r>
        <w:t>These are not the same text, as Respondent 4, who had read both in their original languages, made clear: the Ramcharitmanas is bhakti, with devotion as the path, while Valmiki's Rama is more human and more tragic, answering different questions</w:t>
      </w:r>
      <w:r w:rsidR="00E61277">
        <w:rPr>
          <w:rStyle w:val="FootnoteReference"/>
        </w:rPr>
        <w:footnoteReference w:id="13"/>
      </w:r>
      <w:r>
        <w:t>.</w:t>
      </w:r>
      <w:r w:rsidR="00702521">
        <w:t xml:space="preserve"> </w:t>
      </w:r>
      <w:r>
        <w:t>What both share is a foundation in which Rama's actions are constitutive of the cosmic order Campion describes. Dharma is not background to the Ramayana; it is the structural logic driving the entire narrative.</w:t>
      </w:r>
    </w:p>
    <w:p w14:paraId="768C77C3" w14:textId="4C0281BD" w:rsidR="00C7160C" w:rsidRDefault="00FD7087">
      <w:pPr>
        <w:spacing w:after="200" w:line="360" w:lineRule="auto"/>
        <w:jc w:val="both"/>
      </w:pPr>
      <w:r>
        <w:t>Mathews argues that a flourishing community is likely to evolve a bright, self-affirming cosmology while a languishing community sees the world in darker shades, and that a good cosmology sustains its adherents, achieving a life of its own as an active force</w:t>
      </w:r>
      <w:r w:rsidR="00E61277">
        <w:rPr>
          <w:rStyle w:val="FootnoteReference"/>
        </w:rPr>
        <w:footnoteReference w:id="14"/>
      </w:r>
      <w:r>
        <w:t>.</w:t>
      </w:r>
      <w:r w:rsidR="00E61277">
        <w:t xml:space="preserve"> </w:t>
      </w:r>
      <w:r>
        <w:t xml:space="preserve">Applied to diaspora communities, this raises a sharper question than the sociology of religion usually asks. Baumann's study of </w:t>
      </w:r>
      <w:r w:rsidRPr="00D4008F">
        <w:rPr>
          <w:i/>
          <w:iCs/>
        </w:rPr>
        <w:t>templeisation</w:t>
      </w:r>
      <w:r>
        <w:t xml:space="preserve"> among Hindu Tamils in continental Europe documents a decisive shift: to a growing extent the temple becomes the main site for introducing the tradition to the next generation, accompanied by a shift in authority away from women and mothers to men and priests, with children now taught Hindu devotional practices formally in communal spaces rather than through informal practice at home</w:t>
      </w:r>
      <w:r w:rsidR="00E61277">
        <w:rPr>
          <w:rStyle w:val="FootnoteReference"/>
        </w:rPr>
        <w:footnoteReference w:id="15"/>
      </w:r>
      <w:r>
        <w:t>.</w:t>
      </w:r>
      <w:r w:rsidR="00E61277">
        <w:t xml:space="preserve"> </w:t>
      </w:r>
      <w:r>
        <w:t xml:space="preserve">What neither Baumann nor the broader scholarship on Hindu diaspora religion has addressed is what this </w:t>
      </w:r>
      <w:r w:rsidR="00C9659B">
        <w:t>organizational</w:t>
      </w:r>
      <w:r>
        <w:t xml:space="preserve"> shift does to the specifically cosmological dimensions of what communities carry. Hart notes that identifying this kind of gap is what justifies a new inquiry</w:t>
      </w:r>
      <w:r w:rsidR="00E61277">
        <w:rPr>
          <w:rStyle w:val="FootnoteReference"/>
        </w:rPr>
        <w:footnoteReference w:id="16"/>
      </w:r>
      <w:r>
        <w:t>.</w:t>
      </w:r>
    </w:p>
    <w:p w14:paraId="05DB7BEA" w14:textId="694F519E" w:rsidR="00C7160C" w:rsidRDefault="00FD7087">
      <w:pPr>
        <w:spacing w:after="200" w:line="360" w:lineRule="auto"/>
        <w:jc w:val="both"/>
      </w:pPr>
      <w:r>
        <w:lastRenderedPageBreak/>
        <w:t>Liz Greene's 'Mystical Experiences Among Astrologers' is the methodological precedent most directly relevant to this research</w:t>
      </w:r>
      <w:r w:rsidR="00E61277">
        <w:rPr>
          <w:rStyle w:val="FootnoteReference"/>
        </w:rPr>
        <w:footnoteReference w:id="17"/>
      </w:r>
      <w:r w:rsidR="00E61277">
        <w:t xml:space="preserve">. </w:t>
      </w:r>
      <w:r>
        <w:t>Greene used a questionnaire to investigate operative cosmological beliefs among psychological astrologers. Her results showed that 71% of participants felt there was a relationship between their mystical experiences and astrology, with participants describing astrology as providing a sense of cosmic order and interconnectedness between inner and outer realities, as offering a worldview contrasting with the cosmology of science, and as a language that gave shape to otherwise ineffable experience</w:t>
      </w:r>
      <w:r w:rsidR="00E61277">
        <w:rPr>
          <w:rStyle w:val="FootnoteReference"/>
        </w:rPr>
        <w:footnoteReference w:id="18"/>
      </w:r>
      <w:r w:rsidR="00E61277">
        <w:t xml:space="preserve">. </w:t>
      </w:r>
      <w:r>
        <w:t xml:space="preserve">Greene acknowledged that her emic position as both astrologer and recipient of mystical experience probably encouraged </w:t>
      </w:r>
      <w:r w:rsidR="00C9659B">
        <w:t>candor</w:t>
      </w:r>
      <w:r>
        <w:t xml:space="preserve"> in her respondents while simultaneously raising the risk that her own orientation shaped what she found</w:t>
      </w:r>
      <w:r w:rsidR="00E61277">
        <w:rPr>
          <w:rStyle w:val="FootnoteReference"/>
        </w:rPr>
        <w:footnoteReference w:id="19"/>
      </w:r>
      <w:r>
        <w:t>.</w:t>
      </w:r>
      <w:r w:rsidR="00E61277">
        <w:t xml:space="preserve"> </w:t>
      </w:r>
      <w:r w:rsidR="00A13EB0" w:rsidRPr="00A13EB0">
        <w:t>Both points apply directly here</w:t>
      </w:r>
      <w:r>
        <w:t>. Walter and Waterhouse found in their study of reincarnation belief in England that outside of a culture or formal religion that embraces a cosmological belief, high levels of personal interest in it can coincide with rather insubstantial effects on everyday life</w:t>
      </w:r>
      <w:r w:rsidR="00E61277">
        <w:rPr>
          <w:rStyle w:val="FootnoteReference"/>
        </w:rPr>
        <w:footnoteReference w:id="20"/>
      </w:r>
      <w:r>
        <w:t>.</w:t>
      </w:r>
      <w:r w:rsidR="00E61277">
        <w:t xml:space="preserve"> </w:t>
      </w:r>
      <w:r>
        <w:t xml:space="preserve">That finding points toward a distinction this research develops further: the difference between holding a cosmological belief cognitively, being able to identify and describe it, and inhabiting it as an operative framework for how one </w:t>
      </w:r>
      <w:r w:rsidR="00C9659B">
        <w:t>lives</w:t>
      </w:r>
      <w:r>
        <w:t xml:space="preserve">. Scholars of lived religion draw a similar distinction between textual or doctrinal religion and religion as it is </w:t>
      </w:r>
      <w:r w:rsidR="00C9659B">
        <w:t>practiced</w:t>
      </w:r>
      <w:r>
        <w:t xml:space="preserve"> and experienced in daily life; the concern is with what people do and how they orient themselves, not simply what they can articulate. The </w:t>
      </w:r>
      <w:r w:rsidR="00C9659B">
        <w:t>secularization</w:t>
      </w:r>
      <w:r>
        <w:t xml:space="preserve"> literature offers a related framing: what this research documents is less the disappearance of a cosmological tradition than its transformation under conditions of cultural displacement, from a lived ontology into something closer to what sociologists of religion have called believing without belonging, a cognitive relationship to a tradition whose full experiential weight is no longer carried. The Ramayana makes this transformation unusually visible, because its cosmological content is explicit enough that respondents can articulate it even when they can no longer inhabit it. The </w:t>
      </w:r>
      <w:r w:rsidR="00A13EB0">
        <w:t>question is</w:t>
      </w:r>
      <w:r>
        <w:t xml:space="preserve"> what produces that gap.</w:t>
      </w:r>
    </w:p>
    <w:p w14:paraId="661B07EE" w14:textId="77777777" w:rsidR="00C7160C" w:rsidRDefault="00FD7087">
      <w:pPr>
        <w:pStyle w:val="Heading1"/>
      </w:pPr>
      <w:r>
        <w:t>Methodology</w:t>
      </w:r>
    </w:p>
    <w:p w14:paraId="360C10B9" w14:textId="609ED273" w:rsidR="00C7160C" w:rsidRDefault="00FD7087">
      <w:pPr>
        <w:spacing w:after="200" w:line="360" w:lineRule="auto"/>
        <w:jc w:val="both"/>
      </w:pPr>
      <w:r>
        <w:lastRenderedPageBreak/>
        <w:t>Schwartz-Shea and Yanow describe interpretive social science as research focusing on specific, situated meanings and meaning-making practices, understanding data as co-generated through the interaction of researcher and researched rather than objectively collected</w:t>
      </w:r>
      <w:r w:rsidR="00FB7FBD">
        <w:rPr>
          <w:rStyle w:val="FootnoteReference"/>
        </w:rPr>
        <w:footnoteReference w:id="21"/>
      </w:r>
      <w:r>
        <w:t>.</w:t>
      </w:r>
      <w:r w:rsidR="00FB7FBD">
        <w:t xml:space="preserve"> </w:t>
      </w:r>
      <w:r>
        <w:t>Creswell defines qualitative research as an approach for exploring and understanding the meaning individuals or groups ascribe to a social or human problem, with data analysis inductively building from particulars to general themes</w:t>
      </w:r>
      <w:r w:rsidR="00FB7FBD">
        <w:rPr>
          <w:rStyle w:val="FootnoteReference"/>
        </w:rPr>
        <w:footnoteReference w:id="22"/>
      </w:r>
      <w:r>
        <w:t>.</w:t>
      </w:r>
      <w:r w:rsidR="00FB7FBD">
        <w:t xml:space="preserve"> </w:t>
      </w:r>
      <w:r w:rsidR="004769C8" w:rsidRPr="004769C8">
        <w:t>The interviews were kept open-ended so that respondents could follow their own thinking rather than being guided toward predetermined answers.</w:t>
      </w:r>
      <w:r>
        <w:t xml:space="preserve"> Brady's point about the Brink paper applies directly: the wrong tool produces incorrect assumptions about the data regardless of how carefully the findings are later presented</w:t>
      </w:r>
      <w:r w:rsidR="00FB7FBD">
        <w:rPr>
          <w:rStyle w:val="FootnoteReference"/>
        </w:rPr>
        <w:footnoteReference w:id="23"/>
      </w:r>
      <w:r>
        <w:t>. One methodological limitation bears noting: the interviews were conducted in written form, which constrained the depth of follow-up and meant some responses were less elaborated than they would have been in oral conversation. Wolcott's reminder that interpretation includes intuition, past experience, and emotion, that it is a human activity neither proved nor disproved to universal satisfaction, is the honest basis on which the Findings section proceeds</w:t>
      </w:r>
      <w:r w:rsidR="00FB7FBD">
        <w:rPr>
          <w:rStyle w:val="FootnoteReference"/>
        </w:rPr>
        <w:footnoteReference w:id="24"/>
      </w:r>
      <w:r>
        <w:t>.</w:t>
      </w:r>
    </w:p>
    <w:p w14:paraId="07EA6C31" w14:textId="22FE1B11" w:rsidR="00C7160C" w:rsidRDefault="00FD7087">
      <w:pPr>
        <w:spacing w:after="200" w:line="360" w:lineRule="auto"/>
        <w:jc w:val="both"/>
      </w:pPr>
      <w:r>
        <w:t xml:space="preserve">Ten participants were interviewed in 2025, each responding to the same set of open questions covering familiarity with the Ramayana, its central themes, whether they experienced it as something more than narrative, which characters they found compelling, and how they understood its contemporary relevance. Respondents ranged in age from twenty-nine to sixty-seven. Five were first generation diaspora members and five second generation, located across the United Kingdom, the United States of America, Canada, and Australia. Their levels of engagement with the tradition ranged from devout practitioners who read the Sanskrit text to secular respondents who had encountered the Ramayana primarily through the 1987 television </w:t>
      </w:r>
      <w:r w:rsidR="00C9659B">
        <w:t>serialization</w:t>
      </w:r>
      <w:r>
        <w:t>, to individuals returning to practice after a period of distance. The sample was varied by design, because the research question is answered most clearly by comparing respondents across the full range of engagement rather than studying any one group in depth.</w:t>
      </w:r>
    </w:p>
    <w:p w14:paraId="47454541" w14:textId="74C769BF" w:rsidR="00C7160C" w:rsidRDefault="00FD7087">
      <w:pPr>
        <w:spacing w:after="200" w:line="360" w:lineRule="auto"/>
        <w:jc w:val="both"/>
      </w:pPr>
      <w:r>
        <w:t xml:space="preserve">Haynes defines reflexivity as an awareness of the researcher's role in the practice of research and the way this is influenced by the object of research, enabling the researcher to acknowledge </w:t>
      </w:r>
      <w:r>
        <w:lastRenderedPageBreak/>
        <w:t>how they affect both the research processes and outcomes</w:t>
      </w:r>
      <w:r w:rsidR="00FB7FBD">
        <w:rPr>
          <w:rStyle w:val="FootnoteReference"/>
        </w:rPr>
        <w:footnoteReference w:id="25"/>
      </w:r>
      <w:r>
        <w:t>. She distinguishes reflection from reflexivity: where reflection involves observing one's own practice, reflexivity requires thinking about how one's pre-existing understanding came to be and how it is constantly revised in the light of new knowledge</w:t>
      </w:r>
      <w:r w:rsidR="00FB7FBD">
        <w:rPr>
          <w:rStyle w:val="FootnoteReference"/>
        </w:rPr>
        <w:footnoteReference w:id="26"/>
      </w:r>
      <w:r>
        <w:t xml:space="preserve">. Haynes distinguishes objectivist approaches, which treat reflexivity as a tool for eradicating bias and maintaining analytical distance, from subjectivist ones, in which the researcher's interpretation actively constitutes rather than simply mirrors reality and insights can be drawn from what Gummeson calls pre-understanding, the knowledge and experience a researcher brings before engaging in a </w:t>
      </w:r>
      <w:r w:rsidR="00C9659B">
        <w:t>study,</w:t>
      </w:r>
      <w:r>
        <w:t xml:space="preserve"> combined with the understanding that develops during it</w:t>
      </w:r>
      <w:r w:rsidR="00FB7FBD">
        <w:rPr>
          <w:rStyle w:val="FootnoteReference"/>
        </w:rPr>
        <w:footnoteReference w:id="27"/>
      </w:r>
      <w:r>
        <w:t>.</w:t>
      </w:r>
    </w:p>
    <w:p w14:paraId="477EA3F5" w14:textId="00FFD496" w:rsidR="00C7160C" w:rsidRDefault="00FD7087">
      <w:pPr>
        <w:spacing w:after="200" w:line="360" w:lineRule="auto"/>
        <w:jc w:val="both"/>
      </w:pPr>
      <w:r>
        <w:t>This research operates within the subjectivist position. I am of Indian heritage, and my pre-understanding of the tradition within which the Ramayana sits is not something I could set aside. What I brought to the interviews was a prior orientation toward the text's cosmological content, and that orientation shaped which responses I found significant and which questions I pursued</w:t>
      </w:r>
      <w:r w:rsidR="00FB7FBD">
        <w:rPr>
          <w:rStyle w:val="FootnoteReference"/>
        </w:rPr>
        <w:footnoteReference w:id="28"/>
      </w:r>
      <w:r>
        <w:t>.</w:t>
      </w:r>
      <w:r w:rsidR="00FB7FBD">
        <w:t xml:space="preserve"> </w:t>
      </w:r>
      <w:r>
        <w:t>Bowie argues that some types of knowledge are only accessible to those who are prepared to participate in certain activities, and that what matters is to reflect on and be aware of one's standpoint and the limitations and advantages it affords</w:t>
      </w:r>
      <w:r w:rsidR="00FB7FBD">
        <w:rPr>
          <w:rStyle w:val="FootnoteReference"/>
        </w:rPr>
        <w:footnoteReference w:id="29"/>
      </w:r>
      <w:r>
        <w:t>.</w:t>
      </w:r>
      <w:r w:rsidR="00FB7FBD">
        <w:t xml:space="preserve"> </w:t>
      </w:r>
      <w:r>
        <w:t>Crucially, she observes that dismissing the cosmological and ontological understandings of others causes concealment: people who have had genuinely cosmological experiences and beliefs will not disclose them to someone likely to dismiss or ridicule them</w:t>
      </w:r>
      <w:r w:rsidR="00FB7FBD">
        <w:rPr>
          <w:rStyle w:val="FootnoteReference"/>
        </w:rPr>
        <w:footnoteReference w:id="30"/>
      </w:r>
      <w:r>
        <w:t>.</w:t>
      </w:r>
      <w:r w:rsidR="00FB7FBD">
        <w:t xml:space="preserve"> </w:t>
      </w:r>
      <w:r>
        <w:t>The fact that respondents across all levels of engagement spoke openly about the cosmological dimensions of the Ramayana reflects the partial insider position I occupied. The risk is what Haynes identifies: the researcher who is part of the community being studied will always face the risk of confirming assumptions they brought to the inquiry rather than disrupting them</w:t>
      </w:r>
      <w:r w:rsidR="00FB7FBD">
        <w:rPr>
          <w:rStyle w:val="FootnoteReference"/>
        </w:rPr>
        <w:footnoteReference w:id="31"/>
      </w:r>
      <w:r>
        <w:t>.</w:t>
      </w:r>
      <w:r w:rsidR="00FB7FBD">
        <w:t xml:space="preserve"> </w:t>
      </w:r>
      <w:r>
        <w:t xml:space="preserve">One such moment of genuine disruption was the precision with which several secular and </w:t>
      </w:r>
      <w:r w:rsidR="00FB7FBD">
        <w:t>second-generation</w:t>
      </w:r>
      <w:r>
        <w:t xml:space="preserve"> respondents articulated what the cosmological dimensions of the text are and what is lost without them, a clarity I had not anticipated. Whether that clarity reflects something genuinely present in the data or something I was predisposed to find remains an open question. I have tried to read against my </w:t>
      </w:r>
      <w:r>
        <w:lastRenderedPageBreak/>
        <w:t>own expectations, but the alignment between what I brought to the research and what I found in it is close enough to warrant acknowledgement, particularly since the pattern does not appear in identical form across respondents and includes cases, most notably Respondent 5, that the model handles poorly.</w:t>
      </w:r>
    </w:p>
    <w:p w14:paraId="540817E3" w14:textId="67DBE348" w:rsidR="00C7160C" w:rsidRDefault="00FD7087" w:rsidP="00FB7FBD">
      <w:pPr>
        <w:spacing w:after="200" w:line="360" w:lineRule="auto"/>
        <w:jc w:val="both"/>
      </w:pPr>
      <w:r>
        <w:t>Greene's study provides the closest methodological comparison</w:t>
      </w:r>
      <w:r w:rsidR="00FB7FBD">
        <w:rPr>
          <w:rStyle w:val="FootnoteReference"/>
        </w:rPr>
        <w:footnoteReference w:id="32"/>
      </w:r>
      <w:r>
        <w:t>.</w:t>
      </w:r>
      <w:r w:rsidR="00FB7FBD">
        <w:t xml:space="preserve"> </w:t>
      </w:r>
      <w:r>
        <w:t xml:space="preserve">She investigated operative cosmological beliefs in a community she was partly inside, acknowledged that her emic position probably encouraged </w:t>
      </w:r>
      <w:r w:rsidR="00D4008F">
        <w:t>candor</w:t>
      </w:r>
      <w:r>
        <w:t xml:space="preserve"> while raising the risk of bias, and used a questionnaire combining structured and open questions.</w:t>
      </w:r>
      <w:r w:rsidR="00FB7FBD">
        <w:rPr>
          <w:rStyle w:val="FootnoteReference"/>
        </w:rPr>
        <w:footnoteReference w:id="33"/>
      </w:r>
      <w:r>
        <w:t xml:space="preserve"> </w:t>
      </w:r>
      <w:r w:rsidR="004769C8" w:rsidRPr="004769C8">
        <w:t>Interviews rather than a questionnaire made more sense here. Greene was mapping frequency and character of experience across a group; I was trying to understand how individuals articulate cosmological ideas, which needs a more open-ended conversation than a questionnaire allows.</w:t>
      </w:r>
    </w:p>
    <w:p w14:paraId="55894EF5" w14:textId="77777777" w:rsidR="00C7160C" w:rsidRDefault="00FD7087">
      <w:pPr>
        <w:pStyle w:val="Heading1"/>
      </w:pPr>
      <w:r>
        <w:t>Findings and Analysis</w:t>
      </w:r>
    </w:p>
    <w:p w14:paraId="0FA6F1A3" w14:textId="0357217B" w:rsidR="00C7160C" w:rsidRDefault="00FD7087">
      <w:pPr>
        <w:spacing w:after="200" w:line="360" w:lineRule="auto"/>
        <w:jc w:val="both"/>
      </w:pPr>
      <w:r>
        <w:t xml:space="preserve">The ten interviews produced a body of material that cuts across generations, countries, and levels of religious engagement. The task here is not to report every response but to identify what runs through them and what that reveals when read against the literature. Wolcott's distinction between description, analysis, and interpretation is useful as a guide: interpretation draws on the researcher's theoretical positioning to produce claims the data alone could not generate, involving intuition, </w:t>
      </w:r>
      <w:r w:rsidR="00FB7FBD">
        <w:t>experience</w:t>
      </w:r>
      <w:r>
        <w:t>, and a willingness to say what the evidence means rather than simply what it shows</w:t>
      </w:r>
      <w:r w:rsidR="00FB7FBD">
        <w:rPr>
          <w:rStyle w:val="FootnoteReference"/>
        </w:rPr>
        <w:footnoteReference w:id="34"/>
      </w:r>
      <w:r>
        <w:t>. Three themes emerged with enough consistency to structure this analysis: cosmic order and how respondents understand dharma; time and what the Ramayana's cosmological structure means for how the tradition is held; and divine authority and how Rama's status as an avatar shapes or fails to shape interpretation at different levels of engagement. These are analytical categories rather than divisions the respondents themselves drew. In practice, the three themes run through the same conversations and often the same sentences; separating them is a device for clarity, not a claim that respondents experience cosmological order, time, and authority as distinct.</w:t>
      </w:r>
    </w:p>
    <w:p w14:paraId="1290AB85" w14:textId="77777777" w:rsidR="00C7160C" w:rsidRDefault="00FD7087">
      <w:pPr>
        <w:pStyle w:val="Heading2"/>
      </w:pPr>
      <w:r>
        <w:lastRenderedPageBreak/>
        <w:t>Cosmic Order</w:t>
      </w:r>
    </w:p>
    <w:p w14:paraId="5310D4B9" w14:textId="42F479D8" w:rsidR="00C7160C" w:rsidRDefault="00FD7087">
      <w:pPr>
        <w:spacing w:after="200" w:line="360" w:lineRule="auto"/>
        <w:jc w:val="both"/>
      </w:pPr>
      <w:r>
        <w:t xml:space="preserve">The most consistent finding across the interviews was that respondents who had engaged seriously with the Ramayana understood dharma not as a moral code but as a description of how the universe </w:t>
      </w:r>
      <w:r w:rsidR="00C9659B">
        <w:t>operates</w:t>
      </w:r>
      <w:r>
        <w:t xml:space="preserve">. Respondent 4, who had read both the Valmiki and the Ramcharitmanas in their original languages, was explicit: </w:t>
      </w:r>
      <w:r w:rsidR="00C9659B">
        <w:t>Dharma</w:t>
      </w:r>
      <w:r>
        <w:t xml:space="preserve"> is not a set of rules but a relationship between the individual and the cosmic order, and Rama's every action is an expression of that relationship</w:t>
      </w:r>
      <w:r w:rsidR="00FB7FBD">
        <w:rPr>
          <w:rStyle w:val="FootnoteReference"/>
        </w:rPr>
        <w:footnoteReference w:id="35"/>
      </w:r>
      <w:r>
        <w:t>.</w:t>
      </w:r>
      <w:r w:rsidR="00FB7FBD">
        <w:t xml:space="preserve"> </w:t>
      </w:r>
      <w:r>
        <w:t>Respondent 6, who grew up in Gujarat where the Ramayana formed part of the ritual calendar, described the maintenance of cosmic order through personal sacrifice as the spine of the entire narrative, with everything else hanging on that central principle.</w:t>
      </w:r>
      <w:r w:rsidR="00FB7FBD">
        <w:rPr>
          <w:rStyle w:val="FootnoteReference"/>
        </w:rPr>
        <w:footnoteReference w:id="36"/>
      </w:r>
      <w:r>
        <w:t xml:space="preserve"> Both were first generation with sustained engagement with the tradition</w:t>
      </w:r>
      <w:r w:rsidR="00795403">
        <w:t xml:space="preserve">. </w:t>
      </w:r>
      <w:r w:rsidR="00795403" w:rsidRPr="00795403">
        <w:t>What I had not anticipated was how precisely second-generation respondents with far less formal engagement articulated the same structure, arriving at it through different routes. That surprised me and complicated the initial framing I had brought to the analysis.</w:t>
      </w:r>
    </w:p>
    <w:p w14:paraId="47BD9B04" w14:textId="0E0CEA6C" w:rsidR="00C7160C" w:rsidRDefault="004769C8">
      <w:pPr>
        <w:spacing w:after="200" w:line="360" w:lineRule="auto"/>
        <w:jc w:val="both"/>
      </w:pPr>
      <w:r w:rsidRPr="004769C8">
        <w:t>What Respondents 4 and 6 described maps closely onto Campion's account, though they arrived at it without his vocabulary</w:t>
      </w:r>
      <w:r w:rsidR="00FD7087">
        <w:t>. His account of dharma as the totality of one's submission to ethical values, life circumstances, spiritual condition, and purpose, embedded within a system in which all things in the universe, both material and nonmaterial, are bound in webs of sympathy and correspondence, is exactly what Respondents 4 and 6 were articulating without using Campion's vocabulary</w:t>
      </w:r>
      <w:r w:rsidR="00FB7FBD">
        <w:rPr>
          <w:rStyle w:val="FootnoteReference"/>
        </w:rPr>
        <w:footnoteReference w:id="37"/>
      </w:r>
      <w:r w:rsidR="00FD7087">
        <w:t>.</w:t>
      </w:r>
      <w:r w:rsidR="00FB7FBD">
        <w:t xml:space="preserve"> </w:t>
      </w:r>
      <w:r w:rsidR="00FD7087">
        <w:t>They were not describing a text about ethics. They were describing a text about the structure of reality. That convergence between what respondents described and what the scholarship establishes is significant: it suggests that the Ramayana transmits this architecture effectively enough that sustained engagement produces accurate cosmological understanding even without formal scholarly instruction.</w:t>
      </w:r>
    </w:p>
    <w:p w14:paraId="4FF0D22D" w14:textId="43B682C8" w:rsidR="00C7160C" w:rsidRDefault="00FD7087">
      <w:pPr>
        <w:spacing w:after="200" w:line="360" w:lineRule="auto"/>
        <w:jc w:val="both"/>
      </w:pPr>
      <w:r>
        <w:t>This understanding appeared among respondents beyond the most religiously engaged. Respondent 7, a second generation culturally Hindu woman in the UK who described herself as only moderately familiar with the text, identified what she called a cyclical cosmology underlying the Ramayana that she had found genuinely difficult to grasp because it was so different from anything in her British education</w:t>
      </w:r>
      <w:r w:rsidR="00FB7FBD">
        <w:rPr>
          <w:rStyle w:val="FootnoteReference"/>
        </w:rPr>
        <w:footnoteReference w:id="38"/>
      </w:r>
      <w:r>
        <w:t>.</w:t>
      </w:r>
      <w:r w:rsidR="00FB7FBD">
        <w:t xml:space="preserve"> </w:t>
      </w:r>
      <w:r>
        <w:t xml:space="preserve">Respondent 10, a </w:t>
      </w:r>
      <w:r w:rsidR="00FB7FBD">
        <w:t>second-generation</w:t>
      </w:r>
      <w:r>
        <w:t xml:space="preserve"> man returning to practice after a period of distance, described the relationship between the personal </w:t>
      </w:r>
      <w:r>
        <w:lastRenderedPageBreak/>
        <w:t>and the universal as the central theme of the text, noting that nothing in that cosmology is private and that every action a person takes is part of a larger pattern</w:t>
      </w:r>
      <w:r w:rsidR="00FB7FBD">
        <w:rPr>
          <w:rStyle w:val="FootnoteReference"/>
        </w:rPr>
        <w:footnoteReference w:id="39"/>
      </w:r>
      <w:r>
        <w:t>.</w:t>
      </w:r>
      <w:r w:rsidR="00FB7FBD">
        <w:t xml:space="preserve"> </w:t>
      </w:r>
      <w:r>
        <w:t>Both arrived at this understanding through engagement with the text itself rather than through formal instruction.</w:t>
      </w:r>
      <w:r w:rsidR="00702521" w:rsidRPr="00702521">
        <w:t xml:space="preserve"> That matters for the argument.</w:t>
      </w:r>
      <w:r>
        <w:t xml:space="preserve"> </w:t>
      </w:r>
      <w:r w:rsidR="00B06086" w:rsidRPr="00B06086">
        <w:t>Campion's argument that cosmological worldviews are a general feature of human orientation, not confined to the formally devout, holds here</w:t>
      </w:r>
      <w:r w:rsidR="00FB7FBD">
        <w:t>.</w:t>
      </w:r>
      <w:r w:rsidR="00FB7FBD">
        <w:rPr>
          <w:rStyle w:val="FootnoteReference"/>
        </w:rPr>
        <w:footnoteReference w:id="40"/>
      </w:r>
      <w:r w:rsidR="00FB7FBD">
        <w:t xml:space="preserve"> </w:t>
      </w:r>
      <w:r>
        <w:t xml:space="preserve">But it also </w:t>
      </w:r>
      <w:r w:rsidR="00C9659B">
        <w:t>raises</w:t>
      </w:r>
      <w:r>
        <w:t xml:space="preserve"> the question: if this underlying structure is legible across different levels of engagement, why cannot all respondents inhabit it?</w:t>
      </w:r>
      <w:r w:rsidR="00795403">
        <w:t xml:space="preserve"> </w:t>
      </w:r>
      <w:r w:rsidR="00795403" w:rsidRPr="00795403">
        <w:t>I found this harder to explain than I expected. Something is clearly blocking the path into full engagement, and I was not certain at first whether that was external to the respondents or something internal to how they were holding the tradition.</w:t>
      </w:r>
    </w:p>
    <w:p w14:paraId="64BBED80" w14:textId="1D50F755" w:rsidR="00C7160C" w:rsidRDefault="00FD7087">
      <w:pPr>
        <w:spacing w:after="200" w:line="360" w:lineRule="auto"/>
        <w:jc w:val="both"/>
      </w:pPr>
      <w:r>
        <w:t>Respondent 2, a secular second generation man in the USA, described the cosmological dimension as less personally relevant while acknowledging its importance to others</w:t>
      </w:r>
      <w:r w:rsidR="00FB7FBD">
        <w:t>.</w:t>
      </w:r>
      <w:r w:rsidR="00FB7FBD">
        <w:rPr>
          <w:rStyle w:val="FootnoteReference"/>
        </w:rPr>
        <w:footnoteReference w:id="41"/>
      </w:r>
      <w:r w:rsidR="00FB7FBD">
        <w:t xml:space="preserve"> </w:t>
      </w:r>
      <w:r>
        <w:t>Respondent 8, also secular and second generation, said he lacked the preparation to access the theological depth of the text fully, and was aware of layers he had not been trained to read</w:t>
      </w:r>
      <w:r w:rsidR="00FB7FBD">
        <w:rPr>
          <w:rStyle w:val="FootnoteReference"/>
        </w:rPr>
        <w:footnoteReference w:id="42"/>
      </w:r>
      <w:r>
        <w:t>.</w:t>
      </w:r>
      <w:r w:rsidR="00FB7FBD">
        <w:t xml:space="preserve"> </w:t>
      </w:r>
      <w:r>
        <w:t xml:space="preserve">Neither dismissed the cosmological dimension as non-existent. They </w:t>
      </w:r>
      <w:r w:rsidR="00FB7FBD">
        <w:t>recognized</w:t>
      </w:r>
      <w:r>
        <w:t xml:space="preserve"> it as real while describing themselves as unable to live within it. Respondent 1, a </w:t>
      </w:r>
      <w:r w:rsidR="00FB7FBD">
        <w:t>first-generation</w:t>
      </w:r>
      <w:r>
        <w:t xml:space="preserve"> practicing woman in the UK, put this from the other side: in the diaspora context people reduce the Ramayana to ethics and lose the cosmology, and the two cannot be separated without losing the meaning entirely</w:t>
      </w:r>
      <w:r w:rsidR="00FB7FBD">
        <w:rPr>
          <w:rStyle w:val="FootnoteReference"/>
        </w:rPr>
        <w:footnoteReference w:id="43"/>
      </w:r>
      <w:r>
        <w:t xml:space="preserve">. </w:t>
      </w:r>
      <w:r w:rsidR="00702521">
        <w:t>She is right about this</w:t>
      </w:r>
      <w:r>
        <w:t>. What is lost, in Campion's terms, is the webs of sympathy and correspondence that make dharma a feature of the universe itself rather than a set of admirable principles. A text read only for its ethical content becomes a different kind of object.</w:t>
      </w:r>
    </w:p>
    <w:p w14:paraId="18932995" w14:textId="7DA4ED91" w:rsidR="00C7160C" w:rsidRDefault="00FD7087">
      <w:pPr>
        <w:spacing w:after="200" w:line="360" w:lineRule="auto"/>
        <w:jc w:val="both"/>
      </w:pPr>
      <w:r>
        <w:t>Baumann's research on templeisation helps explain how this happens. The shift from informal domestic practice to formal temple instruction that he documents means that children are now introduced to Hindu devotional practices and ideas in communal spaces rather than through daily immersion at home</w:t>
      </w:r>
      <w:r w:rsidR="00FB7FBD">
        <w:rPr>
          <w:rStyle w:val="FootnoteReference"/>
        </w:rPr>
        <w:footnoteReference w:id="44"/>
      </w:r>
      <w:r>
        <w:t>.</w:t>
      </w:r>
      <w:r w:rsidR="00FB7FBD">
        <w:t xml:space="preserve"> </w:t>
      </w:r>
      <w:r>
        <w:t xml:space="preserve">The elder women who previously transmitted tradition through household ritual have been replaced, in diaspora conditions, by male priests in purpose-built temples. What passes through this new channel is necessarily different from what passed through the old one. Informal domestic transmission embedded the cosmological and the ritual </w:t>
      </w:r>
      <w:r>
        <w:lastRenderedPageBreak/>
        <w:t>together; formal temple instruction can convey doctrine and narrative but it cannot replicate the lived cosmological orientation that comes from growing up inside a household where the webs of sympathy and correspondence were enacted daily rather than explained periodically.</w:t>
      </w:r>
    </w:p>
    <w:p w14:paraId="60AF0A0D" w14:textId="77777777" w:rsidR="00C7160C" w:rsidRDefault="00FD7087">
      <w:pPr>
        <w:spacing w:after="200" w:line="360" w:lineRule="auto"/>
        <w:jc w:val="both"/>
      </w:pPr>
      <w:r>
        <w:t>This shift has consequences that go beyond the loss of individual practices. Respondents describe this shift indirectly, through changes in how the text is encountered: through television rather than household recitation, through occasional temple visits rather than daily ritual, through individual reading rather than communal transmission. In each case, the encounter with the Ramayana has been separated from the daily ritual context in which its cosmological dimensions were not explained but enacted. The disruption suggests not just an absence of ritual but a break in the mechanism through which cosmological worldviews are transmitted from lived reality to lived reality. The data suggests that four elements tend to erode together: the ritual embedding that made dharma a daily enactment rather than a concept; the linguistic depth of Sanskrit and classical text; the household authority of women who transmitted cosmological knowledge informally and continuously; and the authority of Rama as genuinely divine, which collapses into metaphor once the devotional infrastructure sustaining that authority is gone. This is not a formal system derived in advance but a pattern that emerged repeatedly across the interviews. No respondent described only one of these losses in isolation; they appeared in overlapping combinations, though not always with equal emphasis. For instance, respondents who described losing ritual context also noted reduced access to linguistic depth and a shift in how divine authority was understood. While not all four elements are equally visible in every case, their co-occurrence is consistent enough to warrant analytical grouping. The value of this grouping is interpretive rather than categorical: it captures how respondents describe the experience of loss rather than defining fixed components of the tradition. What respondents describe as an inability to inhabit the text is the experiential result of these losses operating in combination. The Ramayana's narrative survived the journey across diaspora. The living infrastructure that made it fully inhabitable did not.</w:t>
      </w:r>
    </w:p>
    <w:p w14:paraId="36217528" w14:textId="77777777" w:rsidR="00C7160C" w:rsidRDefault="00FD7087">
      <w:pPr>
        <w:pStyle w:val="Heading2"/>
      </w:pPr>
      <w:r>
        <w:t>Time</w:t>
      </w:r>
    </w:p>
    <w:p w14:paraId="3C98509B" w14:textId="58EADCA5" w:rsidR="00C7160C" w:rsidRDefault="00FD7087">
      <w:pPr>
        <w:spacing w:after="200" w:line="360" w:lineRule="auto"/>
        <w:jc w:val="both"/>
      </w:pPr>
      <w:r>
        <w:t>The question of time emerged less explicitly than the question of order but ran through several responses in ways that matter analytically. Respondent 7 described the Ramayana as encoding a particular understanding of time quite different from anything in her British education, and said it had taken her a long time to grasp</w:t>
      </w:r>
      <w:r w:rsidR="00D86DDD">
        <w:rPr>
          <w:rStyle w:val="FootnoteReference"/>
        </w:rPr>
        <w:footnoteReference w:id="45"/>
      </w:r>
      <w:r>
        <w:t>.</w:t>
      </w:r>
      <w:r w:rsidR="00D86DDD">
        <w:t xml:space="preserve"> </w:t>
      </w:r>
      <w:r>
        <w:t xml:space="preserve">The difficulty she described is not incidental. </w:t>
      </w:r>
      <w:r>
        <w:lastRenderedPageBreak/>
        <w:t>Campion concludes his India chapter by arguing that the key principle in Hinduism is not the gods or elaborate rituals but deified time: stripped of everything else, we are left with time, and time is the first god, carrying all beings, begetting heaven, encompassing all worlds</w:t>
      </w:r>
      <w:r w:rsidR="00D86DDD">
        <w:rPr>
          <w:rStyle w:val="FootnoteReference"/>
        </w:rPr>
        <w:footnoteReference w:id="46"/>
      </w:r>
      <w:r>
        <w:t>.</w:t>
      </w:r>
      <w:r w:rsidR="00D86DDD">
        <w:t xml:space="preserve"> </w:t>
      </w:r>
      <w:r>
        <w:t>The Atharva Veda's figure of Kala, time as a primordial power of which there is no force higher, makes explicit what the yuga structure implies: time is not a sequence within which events occur but the most fundamental cosmological reality, the ground on which everything else stands</w:t>
      </w:r>
      <w:r w:rsidR="00D86DDD">
        <w:rPr>
          <w:rStyle w:val="FootnoteReference"/>
        </w:rPr>
        <w:footnoteReference w:id="47"/>
      </w:r>
      <w:r>
        <w:t>.</w:t>
      </w:r>
      <w:r w:rsidR="00D86DDD">
        <w:t xml:space="preserve"> </w:t>
      </w:r>
      <w:r>
        <w:t xml:space="preserve">For Respondent 7, the cyclical cosmology was not a theological claim she could evaluate at a distance. It was a cosmological structure she </w:t>
      </w:r>
      <w:r w:rsidR="00D4008F">
        <w:t>encountered</w:t>
      </w:r>
      <w:r>
        <w:t xml:space="preserve"> from outside, having grown up within a Western secular education in which linear, measurable time is the unexamined foundation of every subject. She could name </w:t>
      </w:r>
      <w:r w:rsidR="00D4008F">
        <w:t>cyclical</w:t>
      </w:r>
      <w:r>
        <w:t xml:space="preserve"> cosmology. She could not yet experience it from within.</w:t>
      </w:r>
    </w:p>
    <w:p w14:paraId="3A591251" w14:textId="400C4C8F" w:rsidR="00C7160C" w:rsidRDefault="00FD7087">
      <w:pPr>
        <w:spacing w:after="200" w:line="360" w:lineRule="auto"/>
        <w:jc w:val="both"/>
      </w:pPr>
      <w:r>
        <w:t xml:space="preserve">Respondent 9, a devout </w:t>
      </w:r>
      <w:r w:rsidR="00D4008F">
        <w:t>first-generation</w:t>
      </w:r>
      <w:r>
        <w:t xml:space="preserve"> woman in Canada, expressed this from the other side. She described the Ramayana as the text she returned to most frequently, finding something new in it each time, and said it had been more stable than anything else in her life since migrating forty years ago, adding that this stability was itself cosmological</w:t>
      </w:r>
      <w:r w:rsidR="00D86DDD">
        <w:rPr>
          <w:rStyle w:val="FootnoteReference"/>
        </w:rPr>
        <w:footnoteReference w:id="48"/>
      </w:r>
      <w:r>
        <w:t>.</w:t>
      </w:r>
      <w:r w:rsidR="00D86DDD">
        <w:t xml:space="preserve"> </w:t>
      </w:r>
      <w:r>
        <w:t xml:space="preserve">She was not describing stability in the ordinary sense; she was describing a text that participates in an ongoing cosmic order rather than simply recording a past event, whose depth is inexhaustible precisely because it is </w:t>
      </w:r>
      <w:r w:rsidR="00D4008F">
        <w:t>organized</w:t>
      </w:r>
      <w:r>
        <w:t xml:space="preserve"> around principles: dharma, deified time, the webs of sympathy and correspondence, rather than events. The eternal and the individual are inextricably linked, as Campion puts it: there is no distance between a remote period of time and the here and now of individual affairs</w:t>
      </w:r>
      <w:r w:rsidR="00D86DDD">
        <w:rPr>
          <w:rStyle w:val="FootnoteReference"/>
        </w:rPr>
        <w:footnoteReference w:id="49"/>
      </w:r>
      <w:r>
        <w:t>.</w:t>
      </w:r>
      <w:r w:rsidR="00D86DDD">
        <w:t xml:space="preserve"> </w:t>
      </w:r>
      <w:r>
        <w:t xml:space="preserve">For Respondent 9, forty years of diaspora disruption had not dislodged this. That orientation had </w:t>
      </w:r>
      <w:r w:rsidR="00D4008F">
        <w:t>been held</w:t>
      </w:r>
      <w:r>
        <w:t xml:space="preserve"> because she had continued to inhabit it through devotional practice and repeated engagement with the text. </w:t>
      </w:r>
      <w:r w:rsidR="00786C2F" w:rsidRPr="00786C2F">
        <w:t>Respondent 9's account is the closest thing in the data to what Mathews describes: a cosmology that is not simply believed but lived from the inside</w:t>
      </w:r>
      <w:r w:rsidR="00786C2F" w:rsidRPr="00786C2F">
        <w:rPr>
          <w:vertAlign w:val="superscript"/>
        </w:rPr>
        <w:t xml:space="preserve"> </w:t>
      </w:r>
      <w:r w:rsidR="00D86DDD">
        <w:rPr>
          <w:rStyle w:val="FootnoteReference"/>
        </w:rPr>
        <w:footnoteReference w:id="50"/>
      </w:r>
      <w:r>
        <w:t>.</w:t>
      </w:r>
    </w:p>
    <w:p w14:paraId="06207643" w14:textId="535B368D" w:rsidR="00C7160C" w:rsidRDefault="00FD7087">
      <w:pPr>
        <w:spacing w:after="200" w:line="360" w:lineRule="auto"/>
        <w:jc w:val="both"/>
      </w:pPr>
      <w:r>
        <w:t xml:space="preserve">Respondent 5, a non-practicing second generation woman in the USA, describes the opposite trajectory. She had rejected the Ramayana before returning to it with different </w:t>
      </w:r>
      <w:r w:rsidR="00702521">
        <w:t>questions and</w:t>
      </w:r>
      <w:r>
        <w:t xml:space="preserve"> </w:t>
      </w:r>
      <w:r>
        <w:lastRenderedPageBreak/>
        <w:t xml:space="preserve">found feminist </w:t>
      </w:r>
      <w:r w:rsidR="00D86DDD">
        <w:t>rereadings</w:t>
      </w:r>
      <w:r>
        <w:t xml:space="preserve"> of Sita's story useful as a way back in</w:t>
      </w:r>
      <w:r w:rsidR="00D86DDD">
        <w:rPr>
          <w:rStyle w:val="FootnoteReference"/>
        </w:rPr>
        <w:footnoteReference w:id="51"/>
      </w:r>
      <w:r>
        <w:t>.</w:t>
      </w:r>
      <w:r w:rsidR="00D86DDD">
        <w:t xml:space="preserve"> The readings</w:t>
      </w:r>
      <w:r>
        <w:t xml:space="preserve"> she drew on operate within a broadly linear and historical understanding, treating Sita's fire ordeal and abandonment as events in a narrative that can be evaluated and contested. That is a legitimate engagement, but it is a different one from engaging with those same events as expressions of a cosmological principle that transcends any </w:t>
      </w:r>
      <w:r w:rsidR="00D86DDD">
        <w:t>historical</w:t>
      </w:r>
      <w:r>
        <w:t xml:space="preserve"> moment. That difference is, in part, a difference between linear and cyclical time: between a text that records what happened and one that participates in an ongoing order. Respondent 5's trajectory sits awkwardly within the awareness-inhabitation model as I have constructed it. She is neither simply aware of the cosmological dimensions without inhabiting them, nor moving toward inhabitation in any straightforward sense; she is building a different relationship with the text altogether, one that bypasses the cosmological architecture rather than engaging with it. This raises the possibility that cosmological inhabitation is not the only meaningful mode of engagement with the text, and that the model may be better suited to respondents who are moving toward or away from the tradition than to those who are constructing a parallel relationship with it. This is the data point that most resists the model, and I have not resolved it.</w:t>
      </w:r>
      <w:r w:rsidR="00795403">
        <w:t xml:space="preserve"> </w:t>
      </w:r>
      <w:r w:rsidR="00795403" w:rsidRPr="00795403">
        <w:t>I say this not to dismiss her engagement but because her case made me question whether the awareness-inhabitation distinction I was building was the right frame, or just the most convenient one.</w:t>
      </w:r>
    </w:p>
    <w:p w14:paraId="26658ABC" w14:textId="77777777" w:rsidR="00C7160C" w:rsidRDefault="00FD7087">
      <w:pPr>
        <w:pStyle w:val="Heading2"/>
      </w:pPr>
      <w:r>
        <w:t>Divine Authority</w:t>
      </w:r>
    </w:p>
    <w:p w14:paraId="20881016" w14:textId="2059BBEB" w:rsidR="00C7160C" w:rsidRDefault="00FD7087">
      <w:pPr>
        <w:spacing w:after="200" w:line="360" w:lineRule="auto"/>
        <w:jc w:val="both"/>
      </w:pPr>
      <w:r>
        <w:t>Divine authority produced the sharpest divergence across the sample. For the devout and practicing respondents, Rama's status as an avatar of Vishnu was not a theological claim to be evaluated but a fact about the nature of reality. Respondent 1 was direct: as a practicing Hindu she did not separate the moral from the cosmological, because Rama's actions on earth are not separate from the structure of the universe but constitutive of it</w:t>
      </w:r>
      <w:r w:rsidR="00D86DDD">
        <w:rPr>
          <w:rStyle w:val="FootnoteReference"/>
        </w:rPr>
        <w:footnoteReference w:id="52"/>
      </w:r>
      <w:r>
        <w:t>.</w:t>
      </w:r>
      <w:r w:rsidR="00D86DDD">
        <w:t xml:space="preserve"> </w:t>
      </w:r>
      <w:r>
        <w:t>Respondent 4 made a related point about the theological significance of Rama's suffering in the Valmiki version: the humanity of an avatar is not weakness but the point of the incarnation, the mechanism through which divine authority demonstrates itself under genuine constraint</w:t>
      </w:r>
      <w:r w:rsidR="00D86DDD">
        <w:rPr>
          <w:rStyle w:val="FootnoteReference"/>
        </w:rPr>
        <w:footnoteReference w:id="53"/>
      </w:r>
      <w:r>
        <w:t>.</w:t>
      </w:r>
      <w:r w:rsidR="00D86DDD">
        <w:t xml:space="preserve"> </w:t>
      </w:r>
      <w:r>
        <w:t>Respondent 9 framed this in terms of love, arguing that the love between Rama and Sita, and between Rama and Hanuman, is not incidental but the mechanism by which dharma operates</w:t>
      </w:r>
      <w:r w:rsidR="00D86DDD">
        <w:rPr>
          <w:rStyle w:val="FootnoteReference"/>
        </w:rPr>
        <w:footnoteReference w:id="54"/>
      </w:r>
      <w:r>
        <w:t>.</w:t>
      </w:r>
      <w:r w:rsidR="00D86DDD">
        <w:t xml:space="preserve"> </w:t>
      </w:r>
      <w:r>
        <w:t xml:space="preserve">This is a cosmologically precise claim: love in this context is not emotion but the active force through </w:t>
      </w:r>
      <w:r>
        <w:lastRenderedPageBreak/>
        <w:t>which divine authority sustains the webs of sympathy and correspondence Campion describes as the binding logic of the Hindu cosmos.</w:t>
      </w:r>
    </w:p>
    <w:p w14:paraId="1EDDE1E7" w14:textId="22FB150F" w:rsidR="00C7160C" w:rsidRDefault="00FD7087">
      <w:pPr>
        <w:spacing w:after="200" w:line="360" w:lineRule="auto"/>
        <w:jc w:val="both"/>
      </w:pPr>
      <w:r>
        <w:t>For secular and culturally Hindu respondents the picture was more complicated. Respondent 2 described the Ramayana as functioning for him as mythology in the Greek sense, carrying truths about human nature that did not require literal belief.</w:t>
      </w:r>
      <w:r w:rsidR="00D86DDD">
        <w:rPr>
          <w:rStyle w:val="FootnoteReference"/>
        </w:rPr>
        <w:footnoteReference w:id="55"/>
      </w:r>
      <w:r>
        <w:t xml:space="preserve"> That is a </w:t>
      </w:r>
      <w:r w:rsidR="00D86DDD">
        <w:t>recognizable</w:t>
      </w:r>
      <w:r>
        <w:t xml:space="preserve"> position, and a sympathetic one, but it has a specific and serious cost.</w:t>
      </w:r>
      <w:r w:rsidR="00795403">
        <w:t xml:space="preserve"> </w:t>
      </w:r>
      <w:r w:rsidR="00795403" w:rsidRPr="00795403">
        <w:t xml:space="preserve">I </w:t>
      </w:r>
      <w:r w:rsidR="00786C2F">
        <w:t>say</w:t>
      </w:r>
      <w:r w:rsidR="00795403">
        <w:t xml:space="preserve"> </w:t>
      </w:r>
      <w:r w:rsidR="00795403" w:rsidRPr="00795403">
        <w:t xml:space="preserve">sympathetic </w:t>
      </w:r>
      <w:r w:rsidR="00795403">
        <w:t xml:space="preserve">here </w:t>
      </w:r>
      <w:r w:rsidR="00795403" w:rsidRPr="00795403">
        <w:t>because it was close to my own position at points during the research. That proximity made it harder to analyze without confirming what I had already half-decided.</w:t>
      </w:r>
      <w:r>
        <w:t xml:space="preserve"> When divine authority is reframed as metaphor, the text's cosmological logic does not merely become optional; it collapses entirely. Dharma can no longer function as the principle by which the universe maintains itself; it becomes a set of admirable ethical commitments. The webs of sympathy and correspondence become a poetic way of saying that actions have consequences. Deified time becomes a cultural motif for cyclical thinking. None of these are the same claims as the original. Respondent 10 named this with precision: without the cosmological dimensions the text becomes self-help literature, and with them it is something of a completely different order</w:t>
      </w:r>
      <w:r w:rsidR="00D86DDD">
        <w:rPr>
          <w:rStyle w:val="FootnoteReference"/>
        </w:rPr>
        <w:footnoteReference w:id="56"/>
      </w:r>
      <w:r>
        <w:t>.</w:t>
      </w:r>
      <w:r w:rsidR="00D86DDD">
        <w:t xml:space="preserve"> </w:t>
      </w:r>
      <w:r w:rsidR="00786C2F" w:rsidRPr="00786C2F">
        <w:t>That is a precise distinction.</w:t>
      </w:r>
      <w:r>
        <w:t xml:space="preserve"> Self-help literature operates within a secular, individual-</w:t>
      </w:r>
      <w:r w:rsidR="00D86DDD">
        <w:t>centered</w:t>
      </w:r>
      <w:r>
        <w:t xml:space="preserve"> understanding of the world. The Ramayana, fully inhabited, operates within a cosmological structure in which the individual is a node in a vastly larger system of sympathy and correspondence. The gap between them is not hermeneutic but ontological: two different accounts of what the universe </w:t>
      </w:r>
      <w:r w:rsidR="00D86DDD">
        <w:t>is</w:t>
      </w:r>
      <w:r>
        <w:t xml:space="preserve">. The inability to sustain the ontological claim, to hold Rama's authority as genuinely </w:t>
      </w:r>
      <w:r w:rsidR="00B06086" w:rsidRPr="00B06086">
        <w:t xml:space="preserve">constitutive </w:t>
      </w:r>
      <w:r>
        <w:t>of cosmic order rather than symbolically expressive of human values, is precisely what separates cosmological inhabitation from cosmological awareness.</w:t>
      </w:r>
    </w:p>
    <w:p w14:paraId="41302074" w14:textId="56DC4995" w:rsidR="00C7160C" w:rsidRDefault="00FD7087">
      <w:pPr>
        <w:spacing w:after="200" w:line="360" w:lineRule="auto"/>
        <w:jc w:val="both"/>
      </w:pPr>
      <w:r>
        <w:t xml:space="preserve">Ravana drew independent </w:t>
      </w:r>
      <w:r w:rsidR="00D86DDD">
        <w:t>comments</w:t>
      </w:r>
      <w:r>
        <w:t xml:space="preserve"> from Respondents 1, 4, and 8. Respondent 1 described him as enormously learned, with ego and desire overriding knowledge as his flaw</w:t>
      </w:r>
      <w:r w:rsidR="00D86DDD">
        <w:rPr>
          <w:rStyle w:val="FootnoteReference"/>
        </w:rPr>
        <w:footnoteReference w:id="57"/>
      </w:r>
      <w:r>
        <w:t xml:space="preserve">. Respondent 8, who had described himself as someone who had not been trained to read the text at its deepest level, nonetheless identified Ravana as the most interesting character in </w:t>
      </w:r>
      <w:r w:rsidR="00C9659B">
        <w:t>tradition</w:t>
      </w:r>
      <w:r>
        <w:t>: a scholar, a devotee of Shiva, a brilliant ruler who destroys everything through one act of desire</w:t>
      </w:r>
      <w:r w:rsidR="00D86DDD">
        <w:rPr>
          <w:rStyle w:val="FootnoteReference"/>
        </w:rPr>
        <w:footnoteReference w:id="58"/>
      </w:r>
      <w:r>
        <w:t>.</w:t>
      </w:r>
      <w:r w:rsidR="00D86DDD">
        <w:t xml:space="preserve"> </w:t>
      </w:r>
      <w:r>
        <w:t xml:space="preserve">The convergence across respondents at very different levels of engagement is telling. Within the cosmological architecture Campion describes, Ravana's failure is not simply </w:t>
      </w:r>
      <w:r>
        <w:lastRenderedPageBreak/>
        <w:t>personal or ethical. His act of desire disrupts the order Rama is present in the world to restore. He is a demonstration of what happens when knowledge and dharma come apart, when individual desire violates the webs of sympathy and correspondence. He registers as cosmologically significant even to those who do not inhabit the tradition fully, which suggests the Ramayana carries its cosmological content even to readers who approach it without the devotional preparation to receive it in full.</w:t>
      </w:r>
    </w:p>
    <w:p w14:paraId="6E59CB31" w14:textId="6DDC1BCE" w:rsidR="00C7160C" w:rsidRDefault="00FD7087">
      <w:pPr>
        <w:spacing w:after="200" w:line="360" w:lineRule="auto"/>
        <w:jc w:val="both"/>
      </w:pPr>
      <w:r>
        <w:t>Respondent 3 observed that the human dimensions of the text land immediately even when the cosmological ones are harder to convey</w:t>
      </w:r>
      <w:r w:rsidR="00D86DDD">
        <w:rPr>
          <w:rStyle w:val="FootnoteReference"/>
        </w:rPr>
        <w:footnoteReference w:id="59"/>
      </w:r>
      <w:r>
        <w:t>.</w:t>
      </w:r>
      <w:r w:rsidR="00D86DDD">
        <w:t xml:space="preserve"> </w:t>
      </w:r>
      <w:r>
        <w:t xml:space="preserve">That observation captures the pattern across the whole sample. That content is not lost in second generation or secular engagement, but it is present in a different mode: </w:t>
      </w:r>
      <w:r w:rsidR="00D86DDD">
        <w:t>recognized</w:t>
      </w:r>
      <w:r>
        <w:t>, sometimes precisely articulated, but not fully inhabited in the way it is for respondents whose relationship to the text is devotional and continuous. Campion argues that cosmology performs three primary functions: managing time, understanding the self, and pursuing salvation</w:t>
      </w:r>
      <w:r w:rsidR="00D86DDD">
        <w:rPr>
          <w:rStyle w:val="FootnoteReference"/>
        </w:rPr>
        <w:footnoteReference w:id="60"/>
      </w:r>
      <w:r>
        <w:t>.</w:t>
      </w:r>
      <w:r w:rsidR="00D86DDD">
        <w:t xml:space="preserve"> </w:t>
      </w:r>
      <w:r>
        <w:t xml:space="preserve">The three themes that emerged from this research correspond to those functions. What the interviews establish is that this architecture remains present enough in the narrative to be identified by respondents who cannot inhabit it, but not present enough, given the absence of the domestic ritual infrastructure Baumann shows has been structurally disrupted in diaspora conditions, to perform all three functions in how people </w:t>
      </w:r>
      <w:r w:rsidR="00D86DDD">
        <w:t>live</w:t>
      </w:r>
      <w:r>
        <w:t xml:space="preserve">. The distinction between cosmological awareness and cosmological inhabitation can be understood as a conceptual contribution to the field of diaspora religion studies: it names the specific point at which a tradition stops being a lived ontology and becomes instead a cognitively held but only partially operative symbolic system, and it provides a model for </w:t>
      </w:r>
      <w:r w:rsidR="00D4008F">
        <w:t>analyzing</w:t>
      </w:r>
      <w:r>
        <w:t xml:space="preserve"> how far that transformation has proceeded in any given community. Haynes's caution about researchers confirming their own assumptions applies, and this distinction may partly reflect my own interpretive positioning</w:t>
      </w:r>
      <w:r w:rsidR="00D86DDD">
        <w:rPr>
          <w:rStyle w:val="FootnoteReference"/>
        </w:rPr>
        <w:footnoteReference w:id="61"/>
      </w:r>
      <w:r>
        <w:t>. But the pattern holds consistently across respondents who differ in generation, location, gender, and level of engagement. The reading was not imposed on the data. It is what the data repeatedly produced.</w:t>
      </w:r>
    </w:p>
    <w:p w14:paraId="0E19752E" w14:textId="77777777" w:rsidR="00C7160C" w:rsidRDefault="00FD7087">
      <w:pPr>
        <w:pStyle w:val="Heading1"/>
      </w:pPr>
      <w:r>
        <w:t>Conclusion</w:t>
      </w:r>
    </w:p>
    <w:p w14:paraId="01B10FC0" w14:textId="77777777" w:rsidR="00C7160C" w:rsidRDefault="00FD7087">
      <w:pPr>
        <w:spacing w:after="200" w:line="360" w:lineRule="auto"/>
        <w:jc w:val="both"/>
      </w:pPr>
      <w:r>
        <w:t xml:space="preserve">This research asked how contemporary members of the Hindu diaspora interpret cosmological ideas such as order, time, and divine authority through the Ramayana. The answer is more </w:t>
      </w:r>
      <w:r>
        <w:lastRenderedPageBreak/>
        <w:t>complicated than a straightforward account of loss or survival. The tradition's cosmological structure that Campion's India chapter describes with precision (dharma as the ordering principle of cosmic maintenance, time as deified and cyclical, individual existence located within webs of sympathy and correspondence) is present across the sample. But it is present in forms that vary considerably depending on the respondent's generation, level of religious engagement, and proximity to the devotional tradition in which the text was originally embedded.</w:t>
      </w:r>
    </w:p>
    <w:p w14:paraId="00B5E869" w14:textId="1CACCB62" w:rsidR="00C7160C" w:rsidRDefault="00FD7087">
      <w:pPr>
        <w:spacing w:after="200" w:line="360" w:lineRule="auto"/>
        <w:jc w:val="both"/>
      </w:pPr>
      <w:r>
        <w:t xml:space="preserve">The most consistent pattern is a distinction between </w:t>
      </w:r>
      <w:r w:rsidR="00D86DDD">
        <w:t>identifying</w:t>
      </w:r>
      <w:r>
        <w:t xml:space="preserve"> these dimensions of the </w:t>
      </w:r>
      <w:r w:rsidR="00D86DDD">
        <w:t>text</w:t>
      </w:r>
      <w:r>
        <w:t xml:space="preserve"> and </w:t>
      </w:r>
      <w:r w:rsidR="00D86DDD">
        <w:t>the ability</w:t>
      </w:r>
      <w:r>
        <w:t xml:space="preserve"> to fully inhabit them. Respondent 10's observation that without the cosmological dimensions the text becomes self-help literature names the qualitative transformation that occurs when those dimensions are reduced to ethics</w:t>
      </w:r>
      <w:r w:rsidR="00707D8D">
        <w:rPr>
          <w:rStyle w:val="FootnoteReference"/>
        </w:rPr>
        <w:footnoteReference w:id="62"/>
      </w:r>
      <w:r>
        <w:t>.</w:t>
      </w:r>
      <w:r w:rsidR="00707D8D">
        <w:t xml:space="preserve"> </w:t>
      </w:r>
      <w:r>
        <w:t>Campion argues that there is no human society which does not in some way relate its concerns to the cosmos, and the data supports that: every respondent holds some operative understanding of the cosmological dimensions of the Ramayana</w:t>
      </w:r>
      <w:r w:rsidR="00707D8D">
        <w:rPr>
          <w:rStyle w:val="FootnoteReference"/>
        </w:rPr>
        <w:footnoteReference w:id="63"/>
      </w:r>
      <w:r>
        <w:t>.</w:t>
      </w:r>
      <w:r w:rsidR="00707D8D">
        <w:t xml:space="preserve"> </w:t>
      </w:r>
      <w:r>
        <w:t xml:space="preserve">But a cosmological worldview can be partially held, </w:t>
      </w:r>
      <w:r w:rsidR="00DE2077">
        <w:t>recognized</w:t>
      </w:r>
      <w:r>
        <w:t xml:space="preserve"> from a distance without being fully operative, in ways his account does not yet address. Whether that partial holding represents a transitional stage in diaspora transmission, a permanent condition of secular engagement with cosmological texts, or something specific to the Ramayana in this community is a question this research cannot resolve. It is the question that comes next.</w:t>
      </w:r>
    </w:p>
    <w:p w14:paraId="5DA1A557" w14:textId="5E06A22E" w:rsidR="00C7160C" w:rsidRDefault="00FD7087">
      <w:pPr>
        <w:spacing w:after="200" w:line="360" w:lineRule="auto"/>
        <w:jc w:val="both"/>
      </w:pPr>
      <w:r>
        <w:t>Mathews argues that a good cosmology sustains its adherents and achieves a life of its own as an active force</w:t>
      </w:r>
      <w:r w:rsidR="00707D8D">
        <w:rPr>
          <w:rStyle w:val="FootnoteReference"/>
        </w:rPr>
        <w:footnoteReference w:id="64"/>
      </w:r>
      <w:r>
        <w:t>.</w:t>
      </w:r>
      <w:r w:rsidR="00707D8D">
        <w:t xml:space="preserve"> </w:t>
      </w:r>
      <w:r>
        <w:t xml:space="preserve">This found clear support in the responses of Respondents 1, 4, 6, and 9, for all of whom the Ramayana's structure remained operative in how they </w:t>
      </w:r>
      <w:r w:rsidR="00DE2077">
        <w:t>thought</w:t>
      </w:r>
      <w:r>
        <w:t xml:space="preserve"> and lived. For other respondents the picture was more complicated. The text sustained them in some registers, among them ethical orientation, cultural identity, and narrative meaning, while these specifically cosmological aspects remained partially out of reach. Baumann's finding that diaspora conditions have shifted the transmission of Hindu tradition from informal domestic practice to formal temple instruction helps explain why: what is transmitted through a temple class cannot easily replicate what was transmitted through daily household ritual in a community where the webs of sympathy and correspondence were enacted rather than explained</w:t>
      </w:r>
      <w:r w:rsidR="00707D8D">
        <w:rPr>
          <w:rStyle w:val="FootnoteReference"/>
        </w:rPr>
        <w:footnoteReference w:id="65"/>
      </w:r>
      <w:r>
        <w:t>.</w:t>
      </w:r>
      <w:r w:rsidR="00B06086">
        <w:t xml:space="preserve"> </w:t>
      </w:r>
      <w:r>
        <w:t xml:space="preserve">Walter and Waterhouse found a comparable pattern in a different context: outside </w:t>
      </w:r>
      <w:r>
        <w:lastRenderedPageBreak/>
        <w:t>of a culture that embraces a cosmological belief, high levels of personal interest can coincide with insubstantial effects on everyday life</w:t>
      </w:r>
      <w:r w:rsidR="00707D8D">
        <w:rPr>
          <w:rStyle w:val="FootnoteReference"/>
        </w:rPr>
        <w:footnoteReference w:id="66"/>
      </w:r>
      <w:r>
        <w:t>.</w:t>
      </w:r>
      <w:r w:rsidR="00707D8D">
        <w:t xml:space="preserve"> </w:t>
      </w:r>
      <w:r>
        <w:t xml:space="preserve">The pattern observed here extends beyond the Hindu diaspora. It describes what happens when cosmological traditions are structurally </w:t>
      </w:r>
      <w:r w:rsidR="00702521" w:rsidRPr="00702521">
        <w:t>disembedded</w:t>
      </w:r>
      <w:r w:rsidR="00702521">
        <w:t xml:space="preserve"> </w:t>
      </w:r>
      <w:r>
        <w:t xml:space="preserve">from the conditions that </w:t>
      </w:r>
      <w:r w:rsidR="00B06086">
        <w:t>make</w:t>
      </w:r>
      <w:r>
        <w:t xml:space="preserve"> them fully inhabitable.</w:t>
      </w:r>
    </w:p>
    <w:p w14:paraId="1D50D6FD" w14:textId="1999594F" w:rsidR="00C7160C" w:rsidRDefault="00A13EB0">
      <w:pPr>
        <w:spacing w:after="200" w:line="360" w:lineRule="auto"/>
        <w:jc w:val="both"/>
      </w:pPr>
      <w:r>
        <w:t>This research has limitations as the interviews unfolded</w:t>
      </w:r>
      <w:r w:rsidR="00FD7087">
        <w:t xml:space="preserve">. Ten respondents across four countries is a small sample and the findings cannot be </w:t>
      </w:r>
      <w:r w:rsidR="00DE2077">
        <w:t>generalized</w:t>
      </w:r>
      <w:r w:rsidR="00FD7087">
        <w:t>. The interviews were conducted in written form rather than through conversation, which constrained the depth of follow-up. As Haynes notes, the researcher who is part of the community being studied will always face the risk of confirming assumptions they brought rather than disrupting them</w:t>
      </w:r>
      <w:r w:rsidR="00DE2077">
        <w:rPr>
          <w:rStyle w:val="FootnoteReference"/>
        </w:rPr>
        <w:footnoteReference w:id="67"/>
      </w:r>
      <w:r w:rsidR="00FD7087">
        <w:t>.</w:t>
      </w:r>
      <w:r w:rsidR="00DE2077">
        <w:t xml:space="preserve"> </w:t>
      </w:r>
      <w:r w:rsidR="00FD7087">
        <w:t>Bowie's argument that what matters is to reflect on both the limitations and advantages of one's standpoint applies equally to the conclusions drawn here</w:t>
      </w:r>
      <w:r w:rsidR="00DE2077">
        <w:rPr>
          <w:rStyle w:val="FootnoteReference"/>
        </w:rPr>
        <w:footnoteReference w:id="68"/>
      </w:r>
      <w:r w:rsidR="00FD7087">
        <w:t>.</w:t>
      </w:r>
      <w:r w:rsidR="00DE2077">
        <w:t xml:space="preserve"> </w:t>
      </w:r>
      <w:r w:rsidR="00FD7087">
        <w:t>A larger study with more sustained engagement with individual respondents would be needed to test whether the distinctions this research identifies hold more broadly. What can be said with confidence is that the pattern documented here, cosmological recognition persisting without cosmological inhabitation, is not idiosyncratic to this sample. Walter and Waterhouse found comparable evidence of this pattern in a different tradition, and Baumann's account of the mechanisms of diaspora religious change explains why it occurs.</w:t>
      </w:r>
    </w:p>
    <w:p w14:paraId="41546D38" w14:textId="677F0727" w:rsidR="00C7160C" w:rsidRDefault="00A13EB0">
      <w:pPr>
        <w:spacing w:after="200" w:line="360" w:lineRule="auto"/>
        <w:jc w:val="both"/>
      </w:pPr>
      <w:r w:rsidRPr="00A13EB0">
        <w:t>The question of how cosmological traditions survive diaspora is genuinely complex and has not been adequately addressed in existing scholarship</w:t>
      </w:r>
      <w:r w:rsidR="00FD7087">
        <w:t xml:space="preserve">. The Ramayana offers an unusually clear site for this inquiry because </w:t>
      </w:r>
      <w:r w:rsidR="00D4008F">
        <w:t>the</w:t>
      </w:r>
      <w:r w:rsidR="00FD7087">
        <w:t xml:space="preserve"> cosmological content (dharma, deified time, the yuga cycle, the microcosm/macrocosm principle) is explicit enough to be identified and discussed by respondents across the full range of engagement. Hart argues that a master's thesis contributes to knowledge not by resolving all questions but by advancing them more precisely than before.</w:t>
      </w:r>
      <w:r w:rsidR="00DE2077">
        <w:rPr>
          <w:rStyle w:val="FootnoteReference"/>
        </w:rPr>
        <w:footnoteReference w:id="69"/>
      </w:r>
      <w:r w:rsidR="00DE2077">
        <w:t xml:space="preserve"> </w:t>
      </w:r>
      <w:r w:rsidR="00FD7087">
        <w:t xml:space="preserve">The distinction between cosmological awareness and cosmological inhabitation named here is one the literature has not articulated, and the data supports it consistently. Diaspora does not eliminate cosmological traditions. It transforms them, unevenly and </w:t>
      </w:r>
      <w:r w:rsidR="00FD7087">
        <w:lastRenderedPageBreak/>
        <w:t xml:space="preserve">incompletely, into partial systems that are held cognitively but no longer fully operative as frameworks for lived reality. That </w:t>
      </w:r>
      <w:r w:rsidR="00702521">
        <w:t>much</w:t>
      </w:r>
      <w:r w:rsidR="00DE2077">
        <w:t xml:space="preserve"> </w:t>
      </w:r>
      <w:r w:rsidR="00FD7087">
        <w:t xml:space="preserve">this research can </w:t>
      </w:r>
      <w:r w:rsidR="00702521">
        <w:t>reveal</w:t>
      </w:r>
      <w:r w:rsidR="00FD7087">
        <w:t xml:space="preserve">. Within the limits of this sample, </w:t>
      </w:r>
      <w:r w:rsidR="00DE2077">
        <w:t>however</w:t>
      </w:r>
      <w:r w:rsidR="00702521">
        <w:t>,</w:t>
      </w:r>
      <w:r w:rsidR="00FD7087">
        <w:t xml:space="preserve"> it cannot </w:t>
      </w:r>
      <w:r w:rsidR="00DE2077">
        <w:t>be confirmed</w:t>
      </w:r>
      <w:r w:rsidR="00FD7087">
        <w:t xml:space="preserve"> exactly how far that transformation must go before the cosmological system ceases to function as a lived ontology.</w:t>
      </w:r>
    </w:p>
    <w:p w14:paraId="5EEED7DB" w14:textId="77777777" w:rsidR="00C7160C" w:rsidRDefault="00C7160C">
      <w:pPr>
        <w:spacing w:after="80"/>
      </w:pPr>
    </w:p>
    <w:p w14:paraId="5AED7763" w14:textId="77777777" w:rsidR="00C7160C" w:rsidRDefault="00FD7087">
      <w:pPr>
        <w:spacing w:after="80"/>
        <w:ind w:left="360"/>
      </w:pPr>
      <w:r>
        <w:rPr>
          <w:sz w:val="20"/>
          <w:szCs w:val="20"/>
        </w:rPr>
        <w:t>⁷³ Baumann, 'Templeisation', p. 174.</w:t>
      </w:r>
    </w:p>
    <w:p w14:paraId="630A09AC" w14:textId="77777777" w:rsidR="00C7160C" w:rsidRDefault="00FD7087">
      <w:pPr>
        <w:spacing w:after="80"/>
        <w:ind w:left="360"/>
      </w:pPr>
      <w:r>
        <w:rPr>
          <w:sz w:val="20"/>
          <w:szCs w:val="20"/>
        </w:rPr>
        <w:t>⁷⁴ Tony Walter and Helen Waterhouse, 'Lives-Long Learning: The Effects of Reincarnation Belief on Everyday Life in England', Nova Religio, 5.1 (2001), p. 85.</w:t>
      </w:r>
    </w:p>
    <w:p w14:paraId="1321FD3B" w14:textId="77777777" w:rsidR="00C7160C" w:rsidRDefault="00FD7087">
      <w:pPr>
        <w:spacing w:after="80"/>
        <w:ind w:left="360"/>
      </w:pPr>
      <w:r>
        <w:rPr>
          <w:sz w:val="20"/>
          <w:szCs w:val="20"/>
        </w:rPr>
        <w:t>⁷⁵ Haynes, 'Reflexivity in Qualitative Research', p. 84.</w:t>
      </w:r>
    </w:p>
    <w:p w14:paraId="455013E3" w14:textId="77777777" w:rsidR="00D4008F" w:rsidRDefault="00D4008F">
      <w:pPr>
        <w:rPr>
          <w:b/>
          <w:bCs/>
          <w:color w:val="000000"/>
          <w:sz w:val="28"/>
          <w:szCs w:val="28"/>
        </w:rPr>
      </w:pPr>
      <w:r>
        <w:br w:type="page"/>
      </w:r>
    </w:p>
    <w:p w14:paraId="40914B2B" w14:textId="69999E05" w:rsidR="00C7160C" w:rsidRDefault="00FD7087">
      <w:pPr>
        <w:pStyle w:val="Heading1"/>
      </w:pPr>
      <w:r>
        <w:lastRenderedPageBreak/>
        <w:t>Bibliography</w:t>
      </w:r>
    </w:p>
    <w:p w14:paraId="20FD9600" w14:textId="77777777" w:rsidR="00C7160C" w:rsidRPr="00DE2077" w:rsidRDefault="00FD7087">
      <w:pPr>
        <w:spacing w:after="200" w:line="360" w:lineRule="auto"/>
        <w:jc w:val="both"/>
        <w:rPr>
          <w:b/>
          <w:bCs/>
        </w:rPr>
      </w:pPr>
      <w:r w:rsidRPr="00DE2077">
        <w:rPr>
          <w:b/>
          <w:bCs/>
        </w:rPr>
        <w:t>Primary Sources</w:t>
      </w:r>
    </w:p>
    <w:p w14:paraId="3B704EA0" w14:textId="77777777" w:rsidR="00C7160C" w:rsidRDefault="00FD7087">
      <w:pPr>
        <w:spacing w:after="200" w:line="360" w:lineRule="auto"/>
        <w:jc w:val="both"/>
      </w:pPr>
      <w:r>
        <w:t>Tulsidas, Ramcharitmanas, trans. R. C. Prasad (Delhi: Motilal Banarsidass, 1990).</w:t>
      </w:r>
    </w:p>
    <w:p w14:paraId="32775F22" w14:textId="478F3B52" w:rsidR="00C7160C" w:rsidRDefault="00FD7087" w:rsidP="00DE2077">
      <w:pPr>
        <w:spacing w:after="200" w:line="360" w:lineRule="auto"/>
        <w:jc w:val="both"/>
      </w:pPr>
      <w:r>
        <w:t>Valmiki, Ramayana, trans. Robert P. Goldman, 7 vols (Princeton: Princeton University Press, 1984-2017).</w:t>
      </w:r>
    </w:p>
    <w:p w14:paraId="288961DC" w14:textId="77777777" w:rsidR="00C7160C" w:rsidRPr="00DE2077" w:rsidRDefault="00FD7087">
      <w:pPr>
        <w:spacing w:after="200" w:line="360" w:lineRule="auto"/>
        <w:jc w:val="both"/>
        <w:rPr>
          <w:b/>
          <w:bCs/>
        </w:rPr>
      </w:pPr>
      <w:r w:rsidRPr="00DE2077">
        <w:rPr>
          <w:b/>
          <w:bCs/>
        </w:rPr>
        <w:t>Secondary Sources</w:t>
      </w:r>
    </w:p>
    <w:p w14:paraId="397C0BD7" w14:textId="77777777" w:rsidR="00C7160C" w:rsidRDefault="00FD7087">
      <w:pPr>
        <w:spacing w:after="200" w:line="360" w:lineRule="auto"/>
        <w:jc w:val="both"/>
      </w:pPr>
      <w:r>
        <w:t>Baumann, Martin, 'Templeisation: Continuity and Change of Hindu Traditions in Diaspora', Journal of Religion in Europe, 2 (2009), pp. 149-179.</w:t>
      </w:r>
    </w:p>
    <w:p w14:paraId="66DF058E" w14:textId="77777777" w:rsidR="00C7160C" w:rsidRDefault="00FD7087">
      <w:pPr>
        <w:spacing w:after="200" w:line="360" w:lineRule="auto"/>
        <w:jc w:val="both"/>
      </w:pPr>
      <w:r>
        <w:t>Bowie, Fiona, 'Negotiating Blurred Boundaries: Ethnographic and Methodological Considerations', in The Insider/Outsider Debate: New Perspectives in the Study of Religion, ed. George D. Chryssides and Stephen E. Gregg (Sheffield: Equinox, 2019), pp. 110-128.</w:t>
      </w:r>
    </w:p>
    <w:p w14:paraId="14E4F93F" w14:textId="77777777" w:rsidR="00C7160C" w:rsidRDefault="00FD7087">
      <w:pPr>
        <w:spacing w:after="200" w:line="360" w:lineRule="auto"/>
        <w:jc w:val="both"/>
      </w:pPr>
      <w:r>
        <w:t>Brady, Bernadette, 'Writing Up your Research', research methods seminar, University of Wales Trinity Saint David, 2025.</w:t>
      </w:r>
    </w:p>
    <w:p w14:paraId="2F3AA581" w14:textId="77777777" w:rsidR="00C7160C" w:rsidRDefault="00FD7087">
      <w:pPr>
        <w:spacing w:after="200" w:line="360" w:lineRule="auto"/>
        <w:jc w:val="both"/>
      </w:pPr>
      <w:r>
        <w:t>Campion, Nicholas, Astrology and Cosmology in the World's Religions (New York: New York University Press, 2012).</w:t>
      </w:r>
    </w:p>
    <w:p w14:paraId="77EC0181" w14:textId="77777777" w:rsidR="00C7160C" w:rsidRDefault="00FD7087">
      <w:pPr>
        <w:spacing w:after="200" w:line="360" w:lineRule="auto"/>
        <w:jc w:val="both"/>
      </w:pPr>
      <w:r>
        <w:t>Creswell, John W. and J. David Creswell, Research Design: Qualitative, Quantitative, and Mixed Methods Approaches, 5th edn (Los Angeles: Sage, 2018).</w:t>
      </w:r>
    </w:p>
    <w:p w14:paraId="3402A22F" w14:textId="77777777" w:rsidR="00C7160C" w:rsidRDefault="00FD7087">
      <w:pPr>
        <w:spacing w:after="200" w:line="360" w:lineRule="auto"/>
        <w:jc w:val="both"/>
      </w:pPr>
      <w:r>
        <w:t>Greene, Liz, 'Mystical Experiences Among Astrologers', Culture and Cosmos, Vol. 16, Nos. 1 and 2 (2012), pp. 1-33.</w:t>
      </w:r>
    </w:p>
    <w:p w14:paraId="6414A356" w14:textId="77777777" w:rsidR="00C7160C" w:rsidRDefault="00FD7087">
      <w:pPr>
        <w:spacing w:after="200" w:line="360" w:lineRule="auto"/>
        <w:jc w:val="both"/>
      </w:pPr>
      <w:r>
        <w:t>Hart, Chris, Doing a Literature Review (London: Sage, 1998).</w:t>
      </w:r>
    </w:p>
    <w:p w14:paraId="06CB1846" w14:textId="77777777" w:rsidR="00C7160C" w:rsidRDefault="00FD7087">
      <w:pPr>
        <w:spacing w:after="200" w:line="360" w:lineRule="auto"/>
        <w:jc w:val="both"/>
      </w:pPr>
      <w:r>
        <w:t>Haynes, Kathryn, 'Reflexivity in Qualitative Research', in Qualitative Organisational Research, ed. Catherine Cassell and Gillian Symon (London: Sage, 2012), pp. 72-89.</w:t>
      </w:r>
    </w:p>
    <w:p w14:paraId="386EFCD6" w14:textId="77777777" w:rsidR="00C7160C" w:rsidRDefault="00FD7087">
      <w:pPr>
        <w:spacing w:after="200" w:line="360" w:lineRule="auto"/>
        <w:jc w:val="both"/>
      </w:pPr>
      <w:r>
        <w:t>Mathews, Freya, The Ecological Self (London: Routledge, 1991).</w:t>
      </w:r>
    </w:p>
    <w:p w14:paraId="14E67B8E" w14:textId="77777777" w:rsidR="00C7160C" w:rsidRDefault="00FD7087">
      <w:pPr>
        <w:spacing w:after="200" w:line="360" w:lineRule="auto"/>
        <w:jc w:val="both"/>
      </w:pPr>
      <w:r>
        <w:t>Schwartz-Shea, Peregrine and Dvora Yanow, Interpretive Research Design: Concepts and Processes (New York: Routledge, 2012).</w:t>
      </w:r>
    </w:p>
    <w:p w14:paraId="691EB9F2" w14:textId="77777777" w:rsidR="00C7160C" w:rsidRDefault="00FD7087">
      <w:pPr>
        <w:spacing w:after="200" w:line="360" w:lineRule="auto"/>
        <w:jc w:val="both"/>
      </w:pPr>
      <w:r>
        <w:lastRenderedPageBreak/>
        <w:t>Walter, Tony and Helen Waterhouse, 'Lives-Long Learning: The Effects of Reincarnation Belief on Everyday Life in England', Nova Religio, 5.1 (2001), pp. 85-101.</w:t>
      </w:r>
    </w:p>
    <w:p w14:paraId="5AD05E11" w14:textId="77777777" w:rsidR="00C7160C" w:rsidRDefault="00FD7087">
      <w:pPr>
        <w:spacing w:after="200" w:line="360" w:lineRule="auto"/>
        <w:jc w:val="both"/>
      </w:pPr>
      <w:r>
        <w:t>Wolcott, Harry, Writing Up Qualitative Research, 3rd edn (London: Sage, 2009).</w:t>
      </w:r>
    </w:p>
    <w:sectPr w:rsidR="00C7160C">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546E4" w14:textId="77777777" w:rsidR="00DD4D8C" w:rsidRDefault="00DD4D8C">
      <w:r>
        <w:separator/>
      </w:r>
    </w:p>
  </w:endnote>
  <w:endnote w:type="continuationSeparator" w:id="0">
    <w:p w14:paraId="4FBCA801" w14:textId="77777777" w:rsidR="00DD4D8C" w:rsidRDefault="00DD4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Fairwater Script">
    <w:charset w:val="00"/>
    <w:family w:val="auto"/>
    <w:pitch w:val="variable"/>
    <w:sig w:usb0="A000002F" w:usb1="1000004B" w:usb2="00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6B346B" w14:textId="77777777" w:rsidR="00DE2077" w:rsidRDefault="00DE2077">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E98AF15" w14:textId="3106D7A5" w:rsidR="00C7160C" w:rsidRDefault="00C7160C">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532FA" w14:textId="77777777" w:rsidR="00DD4D8C" w:rsidRDefault="00DD4D8C">
      <w:r>
        <w:separator/>
      </w:r>
    </w:p>
  </w:footnote>
  <w:footnote w:type="continuationSeparator" w:id="0">
    <w:p w14:paraId="4C11CE24" w14:textId="77777777" w:rsidR="00DD4D8C" w:rsidRDefault="00DD4D8C">
      <w:r>
        <w:continuationSeparator/>
      </w:r>
    </w:p>
  </w:footnote>
  <w:footnote w:id="1">
    <w:p w14:paraId="7E5FCFD5" w14:textId="59FFD71C" w:rsidR="00E61277" w:rsidRDefault="00E61277">
      <w:pPr>
        <w:pStyle w:val="FootnoteText"/>
      </w:pPr>
      <w:r>
        <w:rPr>
          <w:rStyle w:val="FootnoteReference"/>
        </w:rPr>
        <w:footnoteRef/>
      </w:r>
      <w:r>
        <w:t xml:space="preserve"> Nicholas Campion, Astrology and Cosmology in the World's Religions (New York: New York University Press, 2012), p. 10.</w:t>
      </w:r>
    </w:p>
  </w:footnote>
  <w:footnote w:id="2">
    <w:p w14:paraId="402BA93A" w14:textId="46E1EA12" w:rsidR="00E61277" w:rsidRDefault="00E61277">
      <w:pPr>
        <w:pStyle w:val="FootnoteText"/>
      </w:pPr>
      <w:r>
        <w:rPr>
          <w:rStyle w:val="FootnoteReference"/>
        </w:rPr>
        <w:footnoteRef/>
      </w:r>
      <w:r>
        <w:t xml:space="preserve"> Campion, Astrology and Cosmology, p. 10, citing Robert Redfield.</w:t>
      </w:r>
    </w:p>
  </w:footnote>
  <w:footnote w:id="3">
    <w:p w14:paraId="5F780521" w14:textId="6A718391" w:rsidR="00E61277" w:rsidRDefault="00E61277">
      <w:pPr>
        <w:pStyle w:val="FootnoteText"/>
      </w:pPr>
      <w:r>
        <w:rPr>
          <w:rStyle w:val="FootnoteReference"/>
        </w:rPr>
        <w:footnoteRef/>
      </w:r>
      <w:r>
        <w:t xml:space="preserve"> Freya Mathews, The Ecological Self (London: Routledge, 1991), p. 109, cited in Campion, Astrology and Cosmology, p. 6.</w:t>
      </w:r>
    </w:p>
  </w:footnote>
  <w:footnote w:id="4">
    <w:p w14:paraId="5FA2022F" w14:textId="1A831EFA" w:rsidR="00E61277" w:rsidRDefault="00E61277">
      <w:pPr>
        <w:pStyle w:val="FootnoteText"/>
      </w:pPr>
      <w:r>
        <w:rPr>
          <w:rStyle w:val="FootnoteReference"/>
        </w:rPr>
        <w:footnoteRef/>
      </w:r>
      <w:r>
        <w:t xml:space="preserve"> Bernadette Brady, 'Writing Up your Research', research methods seminar, University of Wales Trinity Saint David, 2025.</w:t>
      </w:r>
    </w:p>
  </w:footnote>
  <w:footnote w:id="5">
    <w:p w14:paraId="75D0434F" w14:textId="77777777" w:rsidR="00E61277" w:rsidRDefault="00E61277" w:rsidP="00E61277">
      <w:pPr>
        <w:spacing w:after="80"/>
      </w:pPr>
      <w:r>
        <w:rPr>
          <w:rStyle w:val="FootnoteReference"/>
        </w:rPr>
        <w:footnoteRef/>
      </w:r>
      <w:r>
        <w:t xml:space="preserve"> </w:t>
      </w:r>
      <w:r>
        <w:rPr>
          <w:sz w:val="20"/>
          <w:szCs w:val="20"/>
        </w:rPr>
        <w:t>Chris Hart, Doing a Literature Review (London: Sage, 1998), pp. 14-15.</w:t>
      </w:r>
    </w:p>
    <w:p w14:paraId="0C942ACE" w14:textId="51B3280E" w:rsidR="00E61277" w:rsidRDefault="00E61277">
      <w:pPr>
        <w:pStyle w:val="FootnoteText"/>
      </w:pPr>
    </w:p>
  </w:footnote>
  <w:footnote w:id="6">
    <w:p w14:paraId="3770B11D" w14:textId="2EA99F01" w:rsidR="00E61277" w:rsidRDefault="00E61277">
      <w:pPr>
        <w:pStyle w:val="FootnoteText"/>
      </w:pPr>
      <w:r>
        <w:rPr>
          <w:rStyle w:val="FootnoteReference"/>
        </w:rPr>
        <w:footnoteRef/>
      </w:r>
      <w:r>
        <w:t xml:space="preserve"> Nicholas Campion, Astrology and Cosmology in the World's Religions (New York: New York University Press, 2012), p. 3.</w:t>
      </w:r>
    </w:p>
  </w:footnote>
  <w:footnote w:id="7">
    <w:p w14:paraId="0744442B" w14:textId="77777777" w:rsidR="00E61277" w:rsidRDefault="00E61277" w:rsidP="00E61277">
      <w:pPr>
        <w:spacing w:after="80"/>
      </w:pPr>
      <w:r>
        <w:rPr>
          <w:rStyle w:val="FootnoteReference"/>
        </w:rPr>
        <w:footnoteRef/>
      </w:r>
      <w:r>
        <w:t xml:space="preserve"> </w:t>
      </w:r>
      <w:r>
        <w:rPr>
          <w:sz w:val="20"/>
          <w:szCs w:val="20"/>
        </w:rPr>
        <w:t>Campion, Astrology and Cosmology, p. 112.</w:t>
      </w:r>
    </w:p>
    <w:p w14:paraId="5F51D5C0" w14:textId="60F7DD84" w:rsidR="00E61277" w:rsidRDefault="00E61277">
      <w:pPr>
        <w:pStyle w:val="FootnoteText"/>
      </w:pPr>
    </w:p>
  </w:footnote>
  <w:footnote w:id="8">
    <w:p w14:paraId="11B73DE2" w14:textId="24608DEC" w:rsidR="00E61277" w:rsidRDefault="00E61277">
      <w:pPr>
        <w:pStyle w:val="FootnoteText"/>
      </w:pPr>
      <w:r>
        <w:rPr>
          <w:rStyle w:val="FootnoteReference"/>
        </w:rPr>
        <w:footnoteRef/>
      </w:r>
      <w:r>
        <w:t xml:space="preserve"> Campion, Astrology and Cosmology, p. 112.</w:t>
      </w:r>
    </w:p>
  </w:footnote>
  <w:footnote w:id="9">
    <w:p w14:paraId="45638A95" w14:textId="3FF7F0F6" w:rsidR="00E61277" w:rsidRDefault="00E61277">
      <w:pPr>
        <w:pStyle w:val="FootnoteText"/>
      </w:pPr>
      <w:r>
        <w:rPr>
          <w:rStyle w:val="FootnoteReference"/>
        </w:rPr>
        <w:footnoteRef/>
      </w:r>
      <w:r>
        <w:t xml:space="preserve"> Campion, Astrology and Cosmology, p. 115.</w:t>
      </w:r>
    </w:p>
  </w:footnote>
  <w:footnote w:id="10">
    <w:p w14:paraId="0AAD56CA" w14:textId="77777777" w:rsidR="00E61277" w:rsidRDefault="00E61277" w:rsidP="00E61277">
      <w:pPr>
        <w:spacing w:after="80"/>
      </w:pPr>
      <w:r>
        <w:rPr>
          <w:rStyle w:val="FootnoteReference"/>
        </w:rPr>
        <w:footnoteRef/>
      </w:r>
      <w:r>
        <w:t xml:space="preserve"> </w:t>
      </w:r>
      <w:r>
        <w:rPr>
          <w:sz w:val="20"/>
          <w:szCs w:val="20"/>
        </w:rPr>
        <w:t>Campion, Astrology and Cosmology, p. 122.</w:t>
      </w:r>
    </w:p>
    <w:p w14:paraId="1DBF815C" w14:textId="36E72B8C" w:rsidR="00E61277" w:rsidRDefault="00E61277">
      <w:pPr>
        <w:pStyle w:val="FootnoteText"/>
      </w:pPr>
    </w:p>
  </w:footnote>
  <w:footnote w:id="11">
    <w:p w14:paraId="6EE9D7CD" w14:textId="0E1A6017" w:rsidR="00E61277" w:rsidRDefault="00E61277">
      <w:pPr>
        <w:pStyle w:val="FootnoteText"/>
      </w:pPr>
      <w:r>
        <w:rPr>
          <w:rStyle w:val="FootnoteReference"/>
        </w:rPr>
        <w:footnoteRef/>
      </w:r>
      <w:r>
        <w:t xml:space="preserve"> Campion, Astrology and Cosmology, p. 122, citing Atharva Veda.</w:t>
      </w:r>
    </w:p>
  </w:footnote>
  <w:footnote w:id="12">
    <w:p w14:paraId="3EDCE551" w14:textId="2BEC1562" w:rsidR="00E61277" w:rsidRDefault="00E61277">
      <w:pPr>
        <w:pStyle w:val="FootnoteText"/>
      </w:pPr>
      <w:r>
        <w:rPr>
          <w:rStyle w:val="FootnoteReference"/>
        </w:rPr>
        <w:footnoteRef/>
      </w:r>
      <w:r>
        <w:t xml:space="preserve"> Valmiki, Ramayana, trans. Robert P. Goldman, 7 vols (Princeton: Princeton University Press, 1984-2017); Tulsidas, Ramcharitmanas, trans. R. C. Prasad (Delhi: Motilal Banarsidass, 1990).</w:t>
      </w:r>
    </w:p>
  </w:footnote>
  <w:footnote w:id="13">
    <w:p w14:paraId="6AE12AE2" w14:textId="184EDB63" w:rsidR="00E61277" w:rsidRDefault="00E61277">
      <w:pPr>
        <w:pStyle w:val="FootnoteText"/>
      </w:pPr>
      <w:r>
        <w:rPr>
          <w:rStyle w:val="FootnoteReference"/>
        </w:rPr>
        <w:footnoteRef/>
      </w:r>
      <w:r>
        <w:t xml:space="preserve"> Interview with Respondent 4, conducted 2025.</w:t>
      </w:r>
    </w:p>
  </w:footnote>
  <w:footnote w:id="14">
    <w:p w14:paraId="69CC95C1" w14:textId="77777777" w:rsidR="00E61277" w:rsidRDefault="00E61277" w:rsidP="00E61277">
      <w:pPr>
        <w:spacing w:after="80"/>
      </w:pPr>
      <w:r>
        <w:rPr>
          <w:rStyle w:val="FootnoteReference"/>
        </w:rPr>
        <w:footnoteRef/>
      </w:r>
      <w:r>
        <w:t xml:space="preserve"> </w:t>
      </w:r>
      <w:r>
        <w:rPr>
          <w:sz w:val="20"/>
          <w:szCs w:val="20"/>
        </w:rPr>
        <w:t>Freya Mathews, The Ecological Self (London: Routledge, 1991), p. 109, cited in Campion, Astrology and Cosmology, p. 6.</w:t>
      </w:r>
    </w:p>
    <w:p w14:paraId="6928F9FD" w14:textId="6899FFE7" w:rsidR="00E61277" w:rsidRDefault="00E61277">
      <w:pPr>
        <w:pStyle w:val="FootnoteText"/>
      </w:pPr>
    </w:p>
  </w:footnote>
  <w:footnote w:id="15">
    <w:p w14:paraId="2B7B098E" w14:textId="690D2BB2" w:rsidR="00E61277" w:rsidRDefault="00E61277">
      <w:pPr>
        <w:pStyle w:val="FootnoteText"/>
      </w:pPr>
      <w:r>
        <w:rPr>
          <w:rStyle w:val="FootnoteReference"/>
        </w:rPr>
        <w:footnoteRef/>
      </w:r>
      <w:r>
        <w:t xml:space="preserve"> Martin Baumann, 'Templeisation: Continuity and Change of Hindu Traditions in Diaspora', Journal of Religion in Europe, 2 (2009), pp. 149, 154, 174.</w:t>
      </w:r>
    </w:p>
  </w:footnote>
  <w:footnote w:id="16">
    <w:p w14:paraId="30F19771" w14:textId="36CDD388" w:rsidR="00E61277" w:rsidRDefault="00E61277">
      <w:pPr>
        <w:pStyle w:val="FootnoteText"/>
      </w:pPr>
      <w:r>
        <w:rPr>
          <w:rStyle w:val="FootnoteReference"/>
        </w:rPr>
        <w:footnoteRef/>
      </w:r>
      <w:r>
        <w:t xml:space="preserve"> Chris Hart, Doing a Literature Review (London: Sage, 1998), pp. 12-14.</w:t>
      </w:r>
    </w:p>
  </w:footnote>
  <w:footnote w:id="17">
    <w:p w14:paraId="6775184C" w14:textId="198F4133" w:rsidR="00E61277" w:rsidRDefault="00E61277">
      <w:pPr>
        <w:pStyle w:val="FootnoteText"/>
      </w:pPr>
      <w:r>
        <w:rPr>
          <w:rStyle w:val="FootnoteReference"/>
        </w:rPr>
        <w:footnoteRef/>
      </w:r>
      <w:r>
        <w:t xml:space="preserve"> Liz Greene, 'Mystical Experiences Among Astrologers', Culture and Cosmos, Vol. 16, Nos. 1 and 2 (2012).</w:t>
      </w:r>
    </w:p>
  </w:footnote>
  <w:footnote w:id="18">
    <w:p w14:paraId="0A088ED2" w14:textId="2DE1138F" w:rsidR="00E61277" w:rsidRDefault="00E61277" w:rsidP="00E61277">
      <w:pPr>
        <w:spacing w:after="80"/>
      </w:pPr>
      <w:r>
        <w:rPr>
          <w:rStyle w:val="FootnoteReference"/>
        </w:rPr>
        <w:footnoteRef/>
      </w:r>
      <w:r w:rsidR="00BB6824">
        <w:t xml:space="preserve"> </w:t>
      </w:r>
      <w:r>
        <w:rPr>
          <w:sz w:val="20"/>
          <w:szCs w:val="20"/>
        </w:rPr>
        <w:t>Greene, 'Mystical Experiences Among Astrologers', p. 25.</w:t>
      </w:r>
    </w:p>
    <w:p w14:paraId="2ADB561C" w14:textId="055BC331" w:rsidR="00E61277" w:rsidRDefault="00E61277">
      <w:pPr>
        <w:pStyle w:val="FootnoteText"/>
      </w:pPr>
    </w:p>
  </w:footnote>
  <w:footnote w:id="19">
    <w:p w14:paraId="277EB133" w14:textId="5D831A22" w:rsidR="00E61277" w:rsidRDefault="00E61277">
      <w:pPr>
        <w:pStyle w:val="FootnoteText"/>
      </w:pPr>
      <w:r>
        <w:rPr>
          <w:rStyle w:val="FootnoteReference"/>
        </w:rPr>
        <w:footnoteRef/>
      </w:r>
      <w:r>
        <w:t xml:space="preserve"> Greene, 'Mystical Experiences Among Astrologers', p. 13.</w:t>
      </w:r>
    </w:p>
  </w:footnote>
  <w:footnote w:id="20">
    <w:p w14:paraId="59B47157" w14:textId="780FB4D0" w:rsidR="00E61277" w:rsidRDefault="00E61277">
      <w:pPr>
        <w:pStyle w:val="FootnoteText"/>
      </w:pPr>
      <w:r>
        <w:rPr>
          <w:rStyle w:val="FootnoteReference"/>
        </w:rPr>
        <w:footnoteRef/>
      </w:r>
      <w:r>
        <w:t xml:space="preserve"> Tony Walter and Helen Waterhouse, 'Lives-Long Learning: The Effects of Reincarnation Belief on Everyday Life in England', Nova Religio, 5.1 (2001), p. 85.</w:t>
      </w:r>
    </w:p>
  </w:footnote>
  <w:footnote w:id="21">
    <w:p w14:paraId="1874BED6" w14:textId="132CEBA0" w:rsidR="00FB7FBD" w:rsidRDefault="00FB7FBD">
      <w:pPr>
        <w:pStyle w:val="FootnoteText"/>
      </w:pPr>
      <w:r>
        <w:rPr>
          <w:rStyle w:val="FootnoteReference"/>
        </w:rPr>
        <w:footnoteRef/>
      </w:r>
      <w:r>
        <w:t xml:space="preserve"> Peregrine Schwartz-Shea and Dvora Yanow, Interpretive Research Design: Concepts and Processes (New York: Routledge, 2012), pp. 1-2.</w:t>
      </w:r>
    </w:p>
  </w:footnote>
  <w:footnote w:id="22">
    <w:p w14:paraId="2AF08227" w14:textId="5AB739CF" w:rsidR="00FB7FBD" w:rsidRDefault="00FB7FBD" w:rsidP="00FB7FBD">
      <w:pPr>
        <w:spacing w:after="80"/>
      </w:pPr>
      <w:r>
        <w:rPr>
          <w:rStyle w:val="FootnoteReference"/>
        </w:rPr>
        <w:footnoteRef/>
      </w:r>
      <w:r>
        <w:t xml:space="preserve"> </w:t>
      </w:r>
      <w:r>
        <w:rPr>
          <w:sz w:val="20"/>
          <w:szCs w:val="20"/>
        </w:rPr>
        <w:t>John W. Creswell and J. David Creswell, Research Design: Qualitative, Quantitative, and Mixed Methods Approaches, 5th ed</w:t>
      </w:r>
      <w:r w:rsidR="00291B0A">
        <w:rPr>
          <w:sz w:val="20"/>
          <w:szCs w:val="20"/>
        </w:rPr>
        <w:t>ition</w:t>
      </w:r>
      <w:r>
        <w:rPr>
          <w:sz w:val="20"/>
          <w:szCs w:val="20"/>
        </w:rPr>
        <w:t xml:space="preserve"> (Los Angeles: Sage, 2018), p. 41.</w:t>
      </w:r>
    </w:p>
    <w:p w14:paraId="19F67719" w14:textId="67BDD36E" w:rsidR="00FB7FBD" w:rsidRDefault="00FB7FBD">
      <w:pPr>
        <w:pStyle w:val="FootnoteText"/>
      </w:pPr>
    </w:p>
  </w:footnote>
  <w:footnote w:id="23">
    <w:p w14:paraId="2C9B3FF8" w14:textId="41865077" w:rsidR="00FB7FBD" w:rsidRDefault="00FB7FBD">
      <w:pPr>
        <w:pStyle w:val="FootnoteText"/>
      </w:pPr>
      <w:r>
        <w:rPr>
          <w:rStyle w:val="FootnoteReference"/>
        </w:rPr>
        <w:footnoteRef/>
      </w:r>
      <w:r>
        <w:t xml:space="preserve"> Bernadette Brady, 'Writing Up your Research', research methods seminar, University of Wales Trinity Saint David, 2025.</w:t>
      </w:r>
    </w:p>
  </w:footnote>
  <w:footnote w:id="24">
    <w:p w14:paraId="57F8B9E6" w14:textId="31E803C6" w:rsidR="00FB7FBD" w:rsidRDefault="00FB7FBD">
      <w:pPr>
        <w:pStyle w:val="FootnoteText"/>
      </w:pPr>
      <w:r>
        <w:rPr>
          <w:rStyle w:val="FootnoteReference"/>
        </w:rPr>
        <w:footnoteRef/>
      </w:r>
      <w:r>
        <w:t xml:space="preserve"> Harry Wolcott, Writing Up Qualitative Research, 3rd edn (London: Sage, 2009), p. 30.</w:t>
      </w:r>
    </w:p>
  </w:footnote>
  <w:footnote w:id="25">
    <w:p w14:paraId="7940F4F2" w14:textId="4A45C469" w:rsidR="00FB7FBD" w:rsidRDefault="00FB7FBD">
      <w:pPr>
        <w:pStyle w:val="FootnoteText"/>
      </w:pPr>
      <w:r>
        <w:rPr>
          <w:rStyle w:val="FootnoteReference"/>
        </w:rPr>
        <w:footnoteRef/>
      </w:r>
      <w:r>
        <w:t xml:space="preserve"> Kathryn Haynes, 'Reflexivity in Qualitative Research', in Qualitative Organisational Research, ed. Catherine Cassell and Gillian Symon (London: Sage, 2012), p. 72.</w:t>
      </w:r>
    </w:p>
  </w:footnote>
  <w:footnote w:id="26">
    <w:p w14:paraId="5CC1D195" w14:textId="2EB81FE1" w:rsidR="00FB7FBD" w:rsidRDefault="00FB7FBD">
      <w:pPr>
        <w:pStyle w:val="FootnoteText"/>
      </w:pPr>
      <w:r>
        <w:rPr>
          <w:rStyle w:val="FootnoteReference"/>
        </w:rPr>
        <w:footnoteRef/>
      </w:r>
      <w:r>
        <w:t xml:space="preserve"> Haynes, 'Reflexivity in Qualitative Research', p. 73</w:t>
      </w:r>
      <w:r w:rsidR="00BB6824">
        <w:t>.</w:t>
      </w:r>
    </w:p>
  </w:footnote>
  <w:footnote w:id="27">
    <w:p w14:paraId="0719D495" w14:textId="6E8F9C00" w:rsidR="00FB7FBD" w:rsidRDefault="00FB7FBD">
      <w:pPr>
        <w:pStyle w:val="FootnoteText"/>
      </w:pPr>
      <w:r>
        <w:rPr>
          <w:rStyle w:val="FootnoteReference"/>
        </w:rPr>
        <w:footnoteRef/>
      </w:r>
      <w:r>
        <w:t xml:space="preserve"> Haynes, 'Reflexivity in Qualitative Research', p. 74.</w:t>
      </w:r>
    </w:p>
  </w:footnote>
  <w:footnote w:id="28">
    <w:p w14:paraId="7C4B6B0E" w14:textId="5FB398EF" w:rsidR="00FB7FBD" w:rsidRDefault="00FB7FBD">
      <w:pPr>
        <w:pStyle w:val="FootnoteText"/>
      </w:pPr>
      <w:r>
        <w:rPr>
          <w:rStyle w:val="FootnoteReference"/>
        </w:rPr>
        <w:footnoteRef/>
      </w:r>
      <w:r>
        <w:t xml:space="preserve"> Haynes, 'Reflexivity in Qualitative Research', p. 75.</w:t>
      </w:r>
    </w:p>
  </w:footnote>
  <w:footnote w:id="29">
    <w:p w14:paraId="19D11D35" w14:textId="3122BB77" w:rsidR="00FB7FBD" w:rsidRDefault="00FB7FBD">
      <w:pPr>
        <w:pStyle w:val="FootnoteText"/>
      </w:pPr>
      <w:r>
        <w:rPr>
          <w:rStyle w:val="FootnoteReference"/>
        </w:rPr>
        <w:footnoteRef/>
      </w:r>
      <w:r>
        <w:t xml:space="preserve"> Fiona Bowie, 'Negotiating Blurred Boundaries: Ethnographic and Methodological Considerations', in The Insider/Outsider Debate: New Perspectives in the Study of Religion, ed. George D. Chryssides and Stephen E. Gregg (Sheffield: Equinox, 2019), p. 114.</w:t>
      </w:r>
    </w:p>
  </w:footnote>
  <w:footnote w:id="30">
    <w:p w14:paraId="3EE07FCC" w14:textId="5F7E00FD" w:rsidR="00FB7FBD" w:rsidRDefault="00FB7FBD">
      <w:pPr>
        <w:pStyle w:val="FootnoteText"/>
      </w:pPr>
      <w:r>
        <w:rPr>
          <w:rStyle w:val="FootnoteReference"/>
        </w:rPr>
        <w:footnoteRef/>
      </w:r>
      <w:r>
        <w:t xml:space="preserve"> Bowie, 'Negotiating Blurred Boundaries', p. 112.</w:t>
      </w:r>
    </w:p>
  </w:footnote>
  <w:footnote w:id="31">
    <w:p w14:paraId="0373AA1C" w14:textId="3090BC36" w:rsidR="00FB7FBD" w:rsidRDefault="00FB7FBD">
      <w:pPr>
        <w:pStyle w:val="FootnoteText"/>
      </w:pPr>
      <w:r>
        <w:rPr>
          <w:rStyle w:val="FootnoteReference"/>
        </w:rPr>
        <w:footnoteRef/>
      </w:r>
      <w:r>
        <w:t xml:space="preserve"> Haynes, 'Reflexivity in Qualitative Research', p. 84.</w:t>
      </w:r>
    </w:p>
  </w:footnote>
  <w:footnote w:id="32">
    <w:p w14:paraId="13D39FED" w14:textId="2E17B003" w:rsidR="00FB7FBD" w:rsidRPr="00BB6824" w:rsidRDefault="00FB7FBD">
      <w:pPr>
        <w:pStyle w:val="FootnoteText"/>
      </w:pPr>
      <w:r w:rsidRPr="00BB6824">
        <w:rPr>
          <w:rStyle w:val="FootnoteReference"/>
        </w:rPr>
        <w:footnoteRef/>
      </w:r>
      <w:r w:rsidRPr="00BB6824">
        <w:t xml:space="preserve"> </w:t>
      </w:r>
      <w:r w:rsidR="00BB6824" w:rsidRPr="00BB6824">
        <w:t>Liz Greene, 'Mystical Experiences Among Astrologers', Culture and Cosmos, Vol. 16, Nos. 1 and 2 (2012</w:t>
      </w:r>
      <w:r w:rsidR="00BB6824">
        <w:t>).</w:t>
      </w:r>
    </w:p>
  </w:footnote>
  <w:footnote w:id="33">
    <w:p w14:paraId="3C911224" w14:textId="77777777" w:rsidR="00FB7FBD" w:rsidRDefault="00FB7FBD" w:rsidP="00FB7FBD">
      <w:pPr>
        <w:spacing w:after="80"/>
      </w:pPr>
      <w:r>
        <w:rPr>
          <w:rStyle w:val="FootnoteReference"/>
        </w:rPr>
        <w:footnoteRef/>
      </w:r>
      <w:r>
        <w:t xml:space="preserve"> </w:t>
      </w:r>
      <w:r>
        <w:rPr>
          <w:sz w:val="20"/>
          <w:szCs w:val="20"/>
        </w:rPr>
        <w:t>Greene, 'Mystical Experiences Among Astrologers', p. 13.</w:t>
      </w:r>
    </w:p>
    <w:p w14:paraId="1E4A873E" w14:textId="2471B9B5" w:rsidR="00FB7FBD" w:rsidRDefault="00FB7FBD">
      <w:pPr>
        <w:pStyle w:val="FootnoteText"/>
      </w:pPr>
    </w:p>
  </w:footnote>
  <w:footnote w:id="34">
    <w:p w14:paraId="4EFA1859" w14:textId="77777777" w:rsidR="00FB7FBD" w:rsidRDefault="00FB7FBD" w:rsidP="00FB7FBD">
      <w:pPr>
        <w:spacing w:after="80"/>
      </w:pPr>
      <w:r>
        <w:rPr>
          <w:rStyle w:val="FootnoteReference"/>
        </w:rPr>
        <w:footnoteRef/>
      </w:r>
      <w:r>
        <w:t xml:space="preserve"> </w:t>
      </w:r>
      <w:r>
        <w:rPr>
          <w:sz w:val="20"/>
          <w:szCs w:val="20"/>
        </w:rPr>
        <w:t>Harry Wolcott, Writing Up Qualitative Research, 3rd edn (London: Sage, 2009), p. 30.</w:t>
      </w:r>
    </w:p>
    <w:p w14:paraId="5786C6A7" w14:textId="6B84E2B3" w:rsidR="00FB7FBD" w:rsidRDefault="00FB7FBD">
      <w:pPr>
        <w:pStyle w:val="FootnoteText"/>
      </w:pPr>
    </w:p>
  </w:footnote>
  <w:footnote w:id="35">
    <w:p w14:paraId="10243062" w14:textId="3327C81B" w:rsidR="00FB7FBD" w:rsidRDefault="00FB7FBD">
      <w:pPr>
        <w:pStyle w:val="FootnoteText"/>
      </w:pPr>
      <w:r>
        <w:rPr>
          <w:rStyle w:val="FootnoteReference"/>
        </w:rPr>
        <w:footnoteRef/>
      </w:r>
      <w:r>
        <w:t xml:space="preserve"> Interview with Respondent 4, conducted 2025.</w:t>
      </w:r>
    </w:p>
  </w:footnote>
  <w:footnote w:id="36">
    <w:p w14:paraId="75AE5FEB" w14:textId="39F6AAA4" w:rsidR="00FB7FBD" w:rsidRDefault="00FB7FBD">
      <w:pPr>
        <w:pStyle w:val="FootnoteText"/>
      </w:pPr>
      <w:r>
        <w:rPr>
          <w:rStyle w:val="FootnoteReference"/>
        </w:rPr>
        <w:footnoteRef/>
      </w:r>
      <w:r>
        <w:t xml:space="preserve"> Interview with Respondent 6, conducted 2025.</w:t>
      </w:r>
    </w:p>
  </w:footnote>
  <w:footnote w:id="37">
    <w:p w14:paraId="387D513F" w14:textId="4C887E26" w:rsidR="00FB7FBD" w:rsidRDefault="00FB7FBD">
      <w:pPr>
        <w:pStyle w:val="FootnoteText"/>
      </w:pPr>
      <w:r>
        <w:rPr>
          <w:rStyle w:val="FootnoteReference"/>
        </w:rPr>
        <w:footnoteRef/>
      </w:r>
      <w:r>
        <w:t xml:space="preserve"> Campion, Astrology and Cosmology, p. 112.</w:t>
      </w:r>
    </w:p>
  </w:footnote>
  <w:footnote w:id="38">
    <w:p w14:paraId="4973E390" w14:textId="5415EFE4" w:rsidR="00FB7FBD" w:rsidRDefault="00FB7FBD">
      <w:pPr>
        <w:pStyle w:val="FootnoteText"/>
      </w:pPr>
      <w:r>
        <w:rPr>
          <w:rStyle w:val="FootnoteReference"/>
        </w:rPr>
        <w:footnoteRef/>
      </w:r>
      <w:r>
        <w:t xml:space="preserve"> Interview with Respondent 7, conducted 2025.</w:t>
      </w:r>
    </w:p>
  </w:footnote>
  <w:footnote w:id="39">
    <w:p w14:paraId="4E2527BD" w14:textId="237227E0" w:rsidR="00FB7FBD" w:rsidRDefault="00FB7FBD">
      <w:pPr>
        <w:pStyle w:val="FootnoteText"/>
      </w:pPr>
      <w:r>
        <w:rPr>
          <w:rStyle w:val="FootnoteReference"/>
        </w:rPr>
        <w:footnoteRef/>
      </w:r>
      <w:r>
        <w:t xml:space="preserve"> Interview with Respondent 10, conducted 2025.</w:t>
      </w:r>
    </w:p>
  </w:footnote>
  <w:footnote w:id="40">
    <w:p w14:paraId="036F526A" w14:textId="53FF5E82" w:rsidR="00FB7FBD" w:rsidRDefault="00FB7FBD">
      <w:pPr>
        <w:pStyle w:val="FootnoteText"/>
      </w:pPr>
      <w:r>
        <w:rPr>
          <w:rStyle w:val="FootnoteReference"/>
        </w:rPr>
        <w:footnoteRef/>
      </w:r>
      <w:r>
        <w:t xml:space="preserve"> Campion, Astrology and Cosmology, p. 1.</w:t>
      </w:r>
    </w:p>
  </w:footnote>
  <w:footnote w:id="41">
    <w:p w14:paraId="2E50D178" w14:textId="6A29691D" w:rsidR="00FB7FBD" w:rsidRDefault="00FB7FBD">
      <w:pPr>
        <w:pStyle w:val="FootnoteText"/>
      </w:pPr>
      <w:r>
        <w:rPr>
          <w:rStyle w:val="FootnoteReference"/>
        </w:rPr>
        <w:footnoteRef/>
      </w:r>
      <w:r>
        <w:t xml:space="preserve"> Interview with Respondent 2, conducted 2025.</w:t>
      </w:r>
    </w:p>
  </w:footnote>
  <w:footnote w:id="42">
    <w:p w14:paraId="7A6C94D4" w14:textId="61ACBCA9" w:rsidR="00FB7FBD" w:rsidRDefault="00FB7FBD">
      <w:pPr>
        <w:pStyle w:val="FootnoteText"/>
      </w:pPr>
      <w:r>
        <w:rPr>
          <w:rStyle w:val="FootnoteReference"/>
        </w:rPr>
        <w:footnoteRef/>
      </w:r>
      <w:r>
        <w:t xml:space="preserve"> Interview with Respondent 8, conducted 2025.</w:t>
      </w:r>
    </w:p>
  </w:footnote>
  <w:footnote w:id="43">
    <w:p w14:paraId="70B5A3EC" w14:textId="011BBBCD" w:rsidR="00FB7FBD" w:rsidRDefault="00FB7FBD">
      <w:pPr>
        <w:pStyle w:val="FootnoteText"/>
      </w:pPr>
      <w:r>
        <w:rPr>
          <w:rStyle w:val="FootnoteReference"/>
        </w:rPr>
        <w:footnoteRef/>
      </w:r>
      <w:r>
        <w:t xml:space="preserve"> Interview with Respondent 1, conducted 2025.</w:t>
      </w:r>
    </w:p>
  </w:footnote>
  <w:footnote w:id="44">
    <w:p w14:paraId="3B3ACE42" w14:textId="2AF2A7CA" w:rsidR="00FB7FBD" w:rsidRDefault="00FB7FBD">
      <w:pPr>
        <w:pStyle w:val="FootnoteText"/>
      </w:pPr>
      <w:r>
        <w:rPr>
          <w:rStyle w:val="FootnoteReference"/>
        </w:rPr>
        <w:footnoteRef/>
      </w:r>
      <w:r>
        <w:t xml:space="preserve"> Baumann, 'Templeisation', p. 174.</w:t>
      </w:r>
    </w:p>
  </w:footnote>
  <w:footnote w:id="45">
    <w:p w14:paraId="0CE507F5" w14:textId="18BE9BD2" w:rsidR="00D86DDD" w:rsidRDefault="00D86DDD">
      <w:pPr>
        <w:pStyle w:val="FootnoteText"/>
      </w:pPr>
      <w:r>
        <w:rPr>
          <w:rStyle w:val="FootnoteReference"/>
        </w:rPr>
        <w:footnoteRef/>
      </w:r>
      <w:r>
        <w:t xml:space="preserve"> Interview with Respondent 7, conducted 2025.</w:t>
      </w:r>
    </w:p>
  </w:footnote>
  <w:footnote w:id="46">
    <w:p w14:paraId="427F5267" w14:textId="02B9D0B5" w:rsidR="00D86DDD" w:rsidRDefault="00D86DDD">
      <w:pPr>
        <w:pStyle w:val="FootnoteText"/>
      </w:pPr>
      <w:r>
        <w:rPr>
          <w:rStyle w:val="FootnoteReference"/>
        </w:rPr>
        <w:footnoteRef/>
      </w:r>
      <w:r>
        <w:t xml:space="preserve"> Campion, Astrology and Cosmology, p. 122.</w:t>
      </w:r>
    </w:p>
  </w:footnote>
  <w:footnote w:id="47">
    <w:p w14:paraId="5978D45D" w14:textId="46476EA0" w:rsidR="00D86DDD" w:rsidRDefault="00D86DDD">
      <w:pPr>
        <w:pStyle w:val="FootnoteText"/>
      </w:pPr>
      <w:r>
        <w:rPr>
          <w:rStyle w:val="FootnoteReference"/>
        </w:rPr>
        <w:footnoteRef/>
      </w:r>
      <w:r>
        <w:t xml:space="preserve"> Campion, Astrology and Cosmology, p. 122, citing Atharva Veda.</w:t>
      </w:r>
    </w:p>
  </w:footnote>
  <w:footnote w:id="48">
    <w:p w14:paraId="79904982" w14:textId="3E259A70" w:rsidR="00D86DDD" w:rsidRDefault="00D86DDD">
      <w:pPr>
        <w:pStyle w:val="FootnoteText"/>
      </w:pPr>
      <w:r>
        <w:rPr>
          <w:rStyle w:val="FootnoteReference"/>
        </w:rPr>
        <w:footnoteRef/>
      </w:r>
      <w:r>
        <w:t xml:space="preserve"> Interview with Respondent 9, conducted 2025.</w:t>
      </w:r>
    </w:p>
  </w:footnote>
  <w:footnote w:id="49">
    <w:p w14:paraId="79438E19" w14:textId="435FBA26" w:rsidR="00D86DDD" w:rsidRDefault="00D86DDD">
      <w:pPr>
        <w:pStyle w:val="FootnoteText"/>
      </w:pPr>
      <w:r>
        <w:rPr>
          <w:rStyle w:val="FootnoteReference"/>
        </w:rPr>
        <w:footnoteRef/>
      </w:r>
      <w:r>
        <w:t xml:space="preserve"> Campion, Astrology and Cosmology, p. 122.</w:t>
      </w:r>
    </w:p>
  </w:footnote>
  <w:footnote w:id="50">
    <w:p w14:paraId="6A68592B" w14:textId="6A7F0795" w:rsidR="00D86DDD" w:rsidRDefault="00D86DDD">
      <w:pPr>
        <w:pStyle w:val="FootnoteText"/>
      </w:pPr>
      <w:r>
        <w:rPr>
          <w:rStyle w:val="FootnoteReference"/>
        </w:rPr>
        <w:footnoteRef/>
      </w:r>
      <w:r>
        <w:t xml:space="preserve"> Freya Mathews, The Ecological Self (London: Routledge, 1991), p. 109, cited in Campion, Astrology and Cosmology, p. 6.</w:t>
      </w:r>
    </w:p>
  </w:footnote>
  <w:footnote w:id="51">
    <w:p w14:paraId="72B3FFD9" w14:textId="77777777" w:rsidR="00D86DDD" w:rsidRDefault="00D86DDD" w:rsidP="00D86DDD">
      <w:pPr>
        <w:spacing w:after="80"/>
      </w:pPr>
      <w:r>
        <w:rPr>
          <w:rStyle w:val="FootnoteReference"/>
        </w:rPr>
        <w:footnoteRef/>
      </w:r>
      <w:r>
        <w:t xml:space="preserve"> </w:t>
      </w:r>
      <w:r>
        <w:rPr>
          <w:sz w:val="20"/>
          <w:szCs w:val="20"/>
        </w:rPr>
        <w:t>Interview with Respondent 5, conducted 2025.</w:t>
      </w:r>
    </w:p>
    <w:p w14:paraId="13B87C27" w14:textId="7E6B2123" w:rsidR="00D86DDD" w:rsidRDefault="00D86DDD">
      <w:pPr>
        <w:pStyle w:val="FootnoteText"/>
      </w:pPr>
    </w:p>
  </w:footnote>
  <w:footnote w:id="52">
    <w:p w14:paraId="0D6B48BA" w14:textId="704F2255" w:rsidR="00D86DDD" w:rsidRDefault="00D86DDD">
      <w:pPr>
        <w:pStyle w:val="FootnoteText"/>
      </w:pPr>
      <w:r>
        <w:rPr>
          <w:rStyle w:val="FootnoteReference"/>
        </w:rPr>
        <w:footnoteRef/>
      </w:r>
      <w:r>
        <w:t xml:space="preserve"> Interview with Respondent 1, conducted 2025.</w:t>
      </w:r>
    </w:p>
  </w:footnote>
  <w:footnote w:id="53">
    <w:p w14:paraId="5D1C66F2" w14:textId="150A6F9B" w:rsidR="00D86DDD" w:rsidRDefault="00D86DDD">
      <w:pPr>
        <w:pStyle w:val="FootnoteText"/>
      </w:pPr>
      <w:r>
        <w:rPr>
          <w:rStyle w:val="FootnoteReference"/>
        </w:rPr>
        <w:footnoteRef/>
      </w:r>
      <w:r>
        <w:t xml:space="preserve"> Interview with Respondent 4, conducted 2025.</w:t>
      </w:r>
    </w:p>
  </w:footnote>
  <w:footnote w:id="54">
    <w:p w14:paraId="3D35075B" w14:textId="5F3F9C66" w:rsidR="00D86DDD" w:rsidRDefault="00D86DDD">
      <w:pPr>
        <w:pStyle w:val="FootnoteText"/>
      </w:pPr>
      <w:r>
        <w:rPr>
          <w:rStyle w:val="FootnoteReference"/>
        </w:rPr>
        <w:footnoteRef/>
      </w:r>
      <w:r>
        <w:t xml:space="preserve"> Interview with Respondent 9, conducted 2025.</w:t>
      </w:r>
    </w:p>
  </w:footnote>
  <w:footnote w:id="55">
    <w:p w14:paraId="711CDBEF" w14:textId="4827512E" w:rsidR="00D86DDD" w:rsidRDefault="00D86DDD">
      <w:pPr>
        <w:pStyle w:val="FootnoteText"/>
      </w:pPr>
      <w:r>
        <w:rPr>
          <w:rStyle w:val="FootnoteReference"/>
        </w:rPr>
        <w:footnoteRef/>
      </w:r>
      <w:r>
        <w:t xml:space="preserve"> Interview with Respondent 2, conducted 2025.</w:t>
      </w:r>
    </w:p>
  </w:footnote>
  <w:footnote w:id="56">
    <w:p w14:paraId="51C8105E" w14:textId="2B38C914" w:rsidR="00D86DDD" w:rsidRDefault="00D86DDD">
      <w:pPr>
        <w:pStyle w:val="FootnoteText"/>
      </w:pPr>
      <w:r>
        <w:rPr>
          <w:rStyle w:val="FootnoteReference"/>
        </w:rPr>
        <w:footnoteRef/>
      </w:r>
      <w:r>
        <w:t xml:space="preserve"> Interview with Respondent 10, conducted 2025.</w:t>
      </w:r>
    </w:p>
  </w:footnote>
  <w:footnote w:id="57">
    <w:p w14:paraId="4DFC2FD2" w14:textId="77777777" w:rsidR="00D86DDD" w:rsidRDefault="00D86DDD" w:rsidP="00D86DDD">
      <w:pPr>
        <w:spacing w:after="80"/>
      </w:pPr>
      <w:r>
        <w:rPr>
          <w:rStyle w:val="FootnoteReference"/>
        </w:rPr>
        <w:footnoteRef/>
      </w:r>
      <w:r>
        <w:t xml:space="preserve"> </w:t>
      </w:r>
      <w:r>
        <w:rPr>
          <w:sz w:val="20"/>
          <w:szCs w:val="20"/>
        </w:rPr>
        <w:t>Interview with Respondent 1, conducted 2025.</w:t>
      </w:r>
    </w:p>
    <w:p w14:paraId="1C08F4C8" w14:textId="5EC35F95" w:rsidR="00D86DDD" w:rsidRDefault="00D86DDD">
      <w:pPr>
        <w:pStyle w:val="FootnoteText"/>
      </w:pPr>
    </w:p>
  </w:footnote>
  <w:footnote w:id="58">
    <w:p w14:paraId="6A51A9BD" w14:textId="705580F7" w:rsidR="00D86DDD" w:rsidRDefault="00D86DDD">
      <w:pPr>
        <w:pStyle w:val="FootnoteText"/>
      </w:pPr>
      <w:r>
        <w:rPr>
          <w:rStyle w:val="FootnoteReference"/>
        </w:rPr>
        <w:footnoteRef/>
      </w:r>
      <w:r>
        <w:t xml:space="preserve"> Interview with Respondent 8, conducted 2025.</w:t>
      </w:r>
    </w:p>
  </w:footnote>
  <w:footnote w:id="59">
    <w:p w14:paraId="326199C7" w14:textId="389FF472" w:rsidR="00D86DDD" w:rsidRDefault="00D86DDD">
      <w:pPr>
        <w:pStyle w:val="FootnoteText"/>
      </w:pPr>
      <w:r>
        <w:rPr>
          <w:rStyle w:val="FootnoteReference"/>
        </w:rPr>
        <w:footnoteRef/>
      </w:r>
      <w:r>
        <w:t xml:space="preserve"> Interview with Respondent 3, conducted 2025.</w:t>
      </w:r>
    </w:p>
  </w:footnote>
  <w:footnote w:id="60">
    <w:p w14:paraId="6C9EB15A" w14:textId="32E6773B" w:rsidR="00D86DDD" w:rsidRDefault="00D86DDD" w:rsidP="00D4008F">
      <w:pPr>
        <w:spacing w:after="80"/>
      </w:pPr>
      <w:r>
        <w:rPr>
          <w:rStyle w:val="FootnoteReference"/>
        </w:rPr>
        <w:footnoteRef/>
      </w:r>
      <w:r>
        <w:t xml:space="preserve"> </w:t>
      </w:r>
      <w:r>
        <w:rPr>
          <w:sz w:val="20"/>
          <w:szCs w:val="20"/>
        </w:rPr>
        <w:t>Campion, Astrology and Cosmology, p.</w:t>
      </w:r>
      <w:r w:rsidR="00D4008F">
        <w:rPr>
          <w:sz w:val="20"/>
          <w:szCs w:val="20"/>
        </w:rPr>
        <w:t xml:space="preserve"> </w:t>
      </w:r>
      <w:r>
        <w:rPr>
          <w:sz w:val="20"/>
          <w:szCs w:val="20"/>
        </w:rPr>
        <w:t>3.</w:t>
      </w:r>
    </w:p>
  </w:footnote>
  <w:footnote w:id="61">
    <w:p w14:paraId="19623FE2" w14:textId="2D001580" w:rsidR="00D86DDD" w:rsidRDefault="00D86DDD">
      <w:pPr>
        <w:pStyle w:val="FootnoteText"/>
      </w:pPr>
      <w:r>
        <w:rPr>
          <w:rStyle w:val="FootnoteReference"/>
        </w:rPr>
        <w:footnoteRef/>
      </w:r>
      <w:r>
        <w:t xml:space="preserve"> Haynes, 'Reflexivity in Qualitative Research', p. 84.</w:t>
      </w:r>
    </w:p>
  </w:footnote>
  <w:footnote w:id="62">
    <w:p w14:paraId="11025370" w14:textId="4D46491A" w:rsidR="00707D8D" w:rsidRDefault="00707D8D">
      <w:pPr>
        <w:pStyle w:val="FootnoteText"/>
      </w:pPr>
      <w:r>
        <w:rPr>
          <w:rStyle w:val="FootnoteReference"/>
        </w:rPr>
        <w:footnoteRef/>
      </w:r>
      <w:r>
        <w:t xml:space="preserve"> </w:t>
      </w:r>
      <w:r w:rsidRPr="00707D8D">
        <w:t>Interview with Respondent 10, conducted 2025.</w:t>
      </w:r>
    </w:p>
  </w:footnote>
  <w:footnote w:id="63">
    <w:p w14:paraId="6A4D53E6" w14:textId="66CA480D" w:rsidR="00707D8D" w:rsidRDefault="00707D8D">
      <w:pPr>
        <w:pStyle w:val="FootnoteText"/>
      </w:pPr>
      <w:r>
        <w:rPr>
          <w:rStyle w:val="FootnoteReference"/>
        </w:rPr>
        <w:footnoteRef/>
      </w:r>
      <w:r>
        <w:t xml:space="preserve"> Campion, Astrology and Cosmology, p. 1.</w:t>
      </w:r>
    </w:p>
  </w:footnote>
  <w:footnote w:id="64">
    <w:p w14:paraId="247B187F" w14:textId="430FC7B7" w:rsidR="00707D8D" w:rsidRDefault="00707D8D">
      <w:pPr>
        <w:pStyle w:val="FootnoteText"/>
      </w:pPr>
      <w:r>
        <w:rPr>
          <w:rStyle w:val="FootnoteReference"/>
        </w:rPr>
        <w:footnoteRef/>
      </w:r>
      <w:r>
        <w:t xml:space="preserve"> Freya Mathews, The Ecological Self (London: Routledge, 1991), p. 109, cited in Campion, Astrology and Cosmology, p. 6.</w:t>
      </w:r>
    </w:p>
  </w:footnote>
  <w:footnote w:id="65">
    <w:p w14:paraId="4BFAF69B" w14:textId="505533AF" w:rsidR="00707D8D" w:rsidRDefault="00707D8D">
      <w:pPr>
        <w:pStyle w:val="FootnoteText"/>
      </w:pPr>
      <w:r>
        <w:rPr>
          <w:rStyle w:val="FootnoteReference"/>
        </w:rPr>
        <w:footnoteRef/>
      </w:r>
      <w:r>
        <w:t xml:space="preserve"> Baumann, 'Templeisation', p. 174.</w:t>
      </w:r>
    </w:p>
  </w:footnote>
  <w:footnote w:id="66">
    <w:p w14:paraId="4393F066" w14:textId="2405B85C" w:rsidR="00707D8D" w:rsidRDefault="00707D8D">
      <w:pPr>
        <w:pStyle w:val="FootnoteText"/>
      </w:pPr>
      <w:r>
        <w:rPr>
          <w:rStyle w:val="FootnoteReference"/>
        </w:rPr>
        <w:footnoteRef/>
      </w:r>
      <w:r>
        <w:t xml:space="preserve"> Tony Walter and Helen Waterhouse, 'Lives-Long Learning: The Effects of Reincarnation Belief on Everyday Life in England', Nova Religio, 5.1 (2001), p. 85.</w:t>
      </w:r>
    </w:p>
  </w:footnote>
  <w:footnote w:id="67">
    <w:p w14:paraId="360D10D4" w14:textId="7BD18CCE" w:rsidR="00DE2077" w:rsidRDefault="00DE2077">
      <w:pPr>
        <w:pStyle w:val="FootnoteText"/>
      </w:pPr>
      <w:r>
        <w:rPr>
          <w:rStyle w:val="FootnoteReference"/>
        </w:rPr>
        <w:footnoteRef/>
      </w:r>
      <w:r>
        <w:t xml:space="preserve"> Haynes, 'Reflexivity in Qualitative Research', p. 84.</w:t>
      </w:r>
    </w:p>
  </w:footnote>
  <w:footnote w:id="68">
    <w:p w14:paraId="76922367" w14:textId="77777777" w:rsidR="00DE2077" w:rsidRDefault="00DE2077" w:rsidP="00DE2077">
      <w:pPr>
        <w:spacing w:after="80"/>
      </w:pPr>
      <w:r>
        <w:rPr>
          <w:rStyle w:val="FootnoteReference"/>
        </w:rPr>
        <w:footnoteRef/>
      </w:r>
      <w:r>
        <w:t xml:space="preserve"> </w:t>
      </w:r>
      <w:r>
        <w:rPr>
          <w:sz w:val="20"/>
          <w:szCs w:val="20"/>
        </w:rPr>
        <w:t>Fiona Bowie, 'Negotiating Blurred Boundaries: Ethnographic and Methodological Considerations', in The Insider/Outsider Debate: New Perspectives in the Study of Religion, ed. George D. Chryssides and Stephen E. Gregg (Sheffield: Equinox, 2019), p. 114.</w:t>
      </w:r>
    </w:p>
    <w:p w14:paraId="6D1C42E8" w14:textId="5F652DBD" w:rsidR="00DE2077" w:rsidRDefault="00DE2077">
      <w:pPr>
        <w:pStyle w:val="FootnoteText"/>
      </w:pPr>
    </w:p>
  </w:footnote>
  <w:footnote w:id="69">
    <w:p w14:paraId="141DE291" w14:textId="77777777" w:rsidR="00DE2077" w:rsidRDefault="00DE2077" w:rsidP="00DE2077">
      <w:pPr>
        <w:spacing w:after="80"/>
      </w:pPr>
      <w:r>
        <w:rPr>
          <w:rStyle w:val="FootnoteReference"/>
        </w:rPr>
        <w:footnoteRef/>
      </w:r>
      <w:r>
        <w:t xml:space="preserve"> </w:t>
      </w:r>
      <w:r>
        <w:rPr>
          <w:sz w:val="20"/>
          <w:szCs w:val="20"/>
        </w:rPr>
        <w:t>Chris Hart, Doing a Literature Review (London: Sage, 1998), pp. 12-14.</w:t>
      </w:r>
    </w:p>
    <w:p w14:paraId="00A3FD0F" w14:textId="59898142" w:rsidR="00DE2077" w:rsidRDefault="00DE2077">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11CDE"/>
    <w:multiLevelType w:val="hybridMultilevel"/>
    <w:tmpl w:val="8D823560"/>
    <w:lvl w:ilvl="0" w:tplc="F86A7EA2">
      <w:start w:val="1"/>
      <w:numFmt w:val="bullet"/>
      <w:lvlText w:val="●"/>
      <w:lvlJc w:val="left"/>
      <w:pPr>
        <w:ind w:left="720" w:hanging="360"/>
      </w:pPr>
    </w:lvl>
    <w:lvl w:ilvl="1" w:tplc="900A5B2E">
      <w:start w:val="1"/>
      <w:numFmt w:val="bullet"/>
      <w:lvlText w:val="○"/>
      <w:lvlJc w:val="left"/>
      <w:pPr>
        <w:ind w:left="1440" w:hanging="360"/>
      </w:pPr>
    </w:lvl>
    <w:lvl w:ilvl="2" w:tplc="539E2454">
      <w:start w:val="1"/>
      <w:numFmt w:val="bullet"/>
      <w:lvlText w:val="■"/>
      <w:lvlJc w:val="left"/>
      <w:pPr>
        <w:ind w:left="2160" w:hanging="360"/>
      </w:pPr>
    </w:lvl>
    <w:lvl w:ilvl="3" w:tplc="F252EC3A">
      <w:start w:val="1"/>
      <w:numFmt w:val="bullet"/>
      <w:lvlText w:val="●"/>
      <w:lvlJc w:val="left"/>
      <w:pPr>
        <w:ind w:left="2880" w:hanging="360"/>
      </w:pPr>
    </w:lvl>
    <w:lvl w:ilvl="4" w:tplc="08DA0FEC">
      <w:start w:val="1"/>
      <w:numFmt w:val="bullet"/>
      <w:lvlText w:val="○"/>
      <w:lvlJc w:val="left"/>
      <w:pPr>
        <w:ind w:left="3600" w:hanging="360"/>
      </w:pPr>
    </w:lvl>
    <w:lvl w:ilvl="5" w:tplc="3C2E06AA">
      <w:start w:val="1"/>
      <w:numFmt w:val="bullet"/>
      <w:lvlText w:val="■"/>
      <w:lvlJc w:val="left"/>
      <w:pPr>
        <w:ind w:left="4320" w:hanging="360"/>
      </w:pPr>
    </w:lvl>
    <w:lvl w:ilvl="6" w:tplc="FE7A4A60">
      <w:start w:val="1"/>
      <w:numFmt w:val="bullet"/>
      <w:lvlText w:val="●"/>
      <w:lvlJc w:val="left"/>
      <w:pPr>
        <w:ind w:left="5040" w:hanging="360"/>
      </w:pPr>
    </w:lvl>
    <w:lvl w:ilvl="7" w:tplc="C364889E">
      <w:start w:val="1"/>
      <w:numFmt w:val="bullet"/>
      <w:lvlText w:val="●"/>
      <w:lvlJc w:val="left"/>
      <w:pPr>
        <w:ind w:left="5760" w:hanging="360"/>
      </w:pPr>
    </w:lvl>
    <w:lvl w:ilvl="8" w:tplc="AB78CD5E">
      <w:start w:val="1"/>
      <w:numFmt w:val="bullet"/>
      <w:lvlText w:val="●"/>
      <w:lvlJc w:val="left"/>
      <w:pPr>
        <w:ind w:left="6480" w:hanging="360"/>
      </w:pPr>
    </w:lvl>
  </w:abstractNum>
  <w:num w:numId="1" w16cid:durableId="163691048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60C"/>
    <w:rsid w:val="000547BB"/>
    <w:rsid w:val="00096AC2"/>
    <w:rsid w:val="00291B0A"/>
    <w:rsid w:val="00434F69"/>
    <w:rsid w:val="004769C8"/>
    <w:rsid w:val="004E324F"/>
    <w:rsid w:val="00702521"/>
    <w:rsid w:val="00707D8D"/>
    <w:rsid w:val="00786C2F"/>
    <w:rsid w:val="00795403"/>
    <w:rsid w:val="00A13EB0"/>
    <w:rsid w:val="00A40C2C"/>
    <w:rsid w:val="00B06086"/>
    <w:rsid w:val="00BB6824"/>
    <w:rsid w:val="00C7160C"/>
    <w:rsid w:val="00C7355C"/>
    <w:rsid w:val="00C9659B"/>
    <w:rsid w:val="00CA464B"/>
    <w:rsid w:val="00D4008F"/>
    <w:rsid w:val="00D86DDD"/>
    <w:rsid w:val="00DD4D8C"/>
    <w:rsid w:val="00DE2077"/>
    <w:rsid w:val="00E025EF"/>
    <w:rsid w:val="00E04492"/>
    <w:rsid w:val="00E61277"/>
    <w:rsid w:val="00FB7FBD"/>
    <w:rsid w:val="00FD1CD3"/>
    <w:rsid w:val="00FD70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70ADF"/>
  <w15:docId w15:val="{00E46CDB-DD13-44A8-AB65-443CF66AF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240"/>
      <w:outlineLvl w:val="0"/>
    </w:pPr>
    <w:rPr>
      <w:b/>
      <w:bCs/>
      <w:color w:val="000000"/>
      <w:sz w:val="28"/>
      <w:szCs w:val="28"/>
    </w:rPr>
  </w:style>
  <w:style w:type="paragraph" w:styleId="Heading2">
    <w:name w:val="heading 2"/>
    <w:uiPriority w:val="9"/>
    <w:unhideWhenUsed/>
    <w:qFormat/>
    <w:pPr>
      <w:spacing w:before="320" w:after="160"/>
      <w:outlineLvl w:val="1"/>
    </w:pPr>
    <w:rPr>
      <w:i/>
      <w:iCs/>
      <w:color w:val="000000"/>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61277"/>
    <w:pPr>
      <w:tabs>
        <w:tab w:val="center" w:pos="4680"/>
        <w:tab w:val="right" w:pos="9360"/>
      </w:tabs>
    </w:pPr>
  </w:style>
  <w:style w:type="character" w:customStyle="1" w:styleId="HeaderChar">
    <w:name w:val="Header Char"/>
    <w:basedOn w:val="DefaultParagraphFont"/>
    <w:link w:val="Header"/>
    <w:uiPriority w:val="99"/>
    <w:rsid w:val="00E61277"/>
  </w:style>
  <w:style w:type="paragraph" w:styleId="Footer">
    <w:name w:val="footer"/>
    <w:basedOn w:val="Normal"/>
    <w:link w:val="FooterChar"/>
    <w:uiPriority w:val="99"/>
    <w:unhideWhenUsed/>
    <w:rsid w:val="00E61277"/>
    <w:pPr>
      <w:tabs>
        <w:tab w:val="center" w:pos="4680"/>
        <w:tab w:val="right" w:pos="9360"/>
      </w:tabs>
    </w:pPr>
  </w:style>
  <w:style w:type="character" w:customStyle="1" w:styleId="FooterChar">
    <w:name w:val="Footer Char"/>
    <w:basedOn w:val="DefaultParagraphFont"/>
    <w:link w:val="Footer"/>
    <w:uiPriority w:val="99"/>
    <w:rsid w:val="00E61277"/>
  </w:style>
  <w:style w:type="paragraph" w:styleId="NormalWeb">
    <w:name w:val="Normal (Web)"/>
    <w:rsid w:val="00C7355C"/>
    <w:pPr>
      <w:pBdr>
        <w:top w:val="nil"/>
        <w:left w:val="nil"/>
        <w:bottom w:val="nil"/>
        <w:right w:val="nil"/>
        <w:between w:val="nil"/>
        <w:bar w:val="nil"/>
      </w:pBdr>
      <w:spacing w:before="100" w:after="100"/>
    </w:pPr>
    <w:rPr>
      <w:rFonts w:ascii="Georgia" w:eastAsia="Arial Unicode MS" w:hAnsi="Georgia" w:cs="Arial Unicode MS"/>
      <w:color w:val="000000"/>
      <w:sz w:val="21"/>
      <w:szCs w:val="21"/>
      <w:u w:color="000000"/>
      <w:bdr w:val="nil"/>
    </w:rPr>
  </w:style>
  <w:style w:type="paragraph" w:customStyle="1" w:styleId="Body">
    <w:name w:val="Body"/>
    <w:rsid w:val="00C7355C"/>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14:textOutline w14:w="0" w14:cap="flat" w14:cmpd="sng" w14:algn="ctr">
        <w14:noFill/>
        <w14:prstDash w14:val="solid"/>
        <w14:bevel/>
      </w14:textOutline>
    </w:rPr>
  </w:style>
  <w:style w:type="character" w:customStyle="1" w:styleId="Hyperlink0">
    <w:name w:val="Hyperlink.0"/>
    <w:basedOn w:val="Hyperlink"/>
    <w:rsid w:val="00C7355C"/>
    <w:rPr>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52776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BD6C3-6332-46A8-B60F-FAA8088EF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5720</TotalTime>
  <Pages>23</Pages>
  <Words>6674</Words>
  <Characters>38044</Characters>
  <Application>Microsoft Office Word</Application>
  <DocSecurity>0</DocSecurity>
  <Lines>317</Lines>
  <Paragraphs>89</Paragraphs>
  <ScaleCrop>false</ScaleCrop>
  <Company/>
  <LinksUpToDate>false</LinksUpToDate>
  <CharactersWithSpaces>44629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Anil Nambiar</cp:lastModifiedBy>
  <cp:revision>18</cp:revision>
  <dcterms:created xsi:type="dcterms:W3CDTF">2026-04-20T16:55:00Z</dcterms:created>
  <dcterms:modified xsi:type="dcterms:W3CDTF">2026-04-24T18:07:00Z</dcterms:modified>
</cp:coreProperties>
</file>