
<file path=[Content_Types].xml><?xml version="1.0" encoding="utf-8"?>
<Types xmlns="http://schemas.openxmlformats.org/package/2006/content-types">
  <Default Extension="xml" ContentType="application/xml"/>
  <Default Extension="jpeg" ContentType="image/jpeg"/>
  <Default Extension="rels" ContentType="application/vnd.openxmlformats-package.relationships+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11725A16" w14:textId="77777777" w:rsidR="0059430A" w:rsidRPr="003749A5" w:rsidRDefault="00BF3D9E" w:rsidP="008B24B6">
      <w:pPr>
        <w:rPr>
          <w:sz w:val="20"/>
          <w:lang w:val="en-IN"/>
        </w:rPr>
      </w:pPr>
      <w:r w:rsidRPr="003749A5">
        <w:rPr>
          <w:b/>
          <w:sz w:val="20"/>
          <w:lang w:val="en-IN"/>
        </w:rPr>
        <w:t>Module code</w:t>
      </w:r>
      <w:r w:rsidRPr="003749A5">
        <w:rPr>
          <w:sz w:val="20"/>
          <w:lang w:val="en-IN"/>
        </w:rPr>
        <w:t>: HPPD7002</w:t>
      </w:r>
    </w:p>
    <w:p w14:paraId="7FEFDE7A" w14:textId="16CC5336" w:rsidR="00017D9D" w:rsidRPr="003749A5" w:rsidRDefault="00017D9D" w:rsidP="00017D9D">
      <w:pPr>
        <w:rPr>
          <w:sz w:val="20"/>
          <w:lang w:val="en-IN"/>
        </w:rPr>
      </w:pPr>
      <w:r w:rsidRPr="003749A5">
        <w:rPr>
          <w:b/>
          <w:sz w:val="20"/>
          <w:lang w:val="en-IN"/>
        </w:rPr>
        <w:t>Module name</w:t>
      </w:r>
      <w:r w:rsidRPr="003749A5">
        <w:rPr>
          <w:sz w:val="20"/>
          <w:lang w:val="en-IN"/>
        </w:rPr>
        <w:t>: Exploring Hermeneutics from an Interfaith Perspective</w:t>
      </w:r>
    </w:p>
    <w:p w14:paraId="171365A2" w14:textId="3E509A66" w:rsidR="003749A5" w:rsidRPr="003749A5" w:rsidRDefault="003749A5" w:rsidP="00017D9D">
      <w:pPr>
        <w:rPr>
          <w:sz w:val="20"/>
          <w:lang w:val="en-IN"/>
        </w:rPr>
      </w:pPr>
      <w:r w:rsidRPr="003749A5">
        <w:rPr>
          <w:b/>
          <w:sz w:val="20"/>
          <w:lang w:val="en-IN"/>
        </w:rPr>
        <w:t>Examining body</w:t>
      </w:r>
      <w:r w:rsidRPr="003749A5">
        <w:rPr>
          <w:sz w:val="20"/>
          <w:lang w:val="en-IN"/>
        </w:rPr>
        <w:t>: University of Wales Trinity Saint David</w:t>
      </w:r>
    </w:p>
    <w:p w14:paraId="48DA1DB6" w14:textId="72B2A9B4" w:rsidR="00017D9D" w:rsidRPr="003749A5" w:rsidRDefault="00017D9D" w:rsidP="00017D9D">
      <w:pPr>
        <w:rPr>
          <w:b/>
          <w:sz w:val="20"/>
          <w:lang w:val="en-IN"/>
        </w:rPr>
      </w:pPr>
      <w:r w:rsidRPr="003749A5">
        <w:rPr>
          <w:b/>
          <w:sz w:val="20"/>
          <w:lang w:val="en-IN"/>
        </w:rPr>
        <w:t xml:space="preserve">Assessment: </w:t>
      </w:r>
      <w:r w:rsidRPr="003749A5">
        <w:rPr>
          <w:sz w:val="20"/>
          <w:lang w:val="en-IN"/>
        </w:rPr>
        <w:t>#1</w:t>
      </w:r>
    </w:p>
    <w:p w14:paraId="470CEA5B" w14:textId="18D12745" w:rsidR="00017D9D" w:rsidRPr="003749A5" w:rsidRDefault="00017D9D" w:rsidP="00017D9D">
      <w:pPr>
        <w:rPr>
          <w:sz w:val="20"/>
          <w:lang w:val="en-IN"/>
        </w:rPr>
      </w:pPr>
      <w:r w:rsidRPr="003749A5">
        <w:rPr>
          <w:b/>
          <w:sz w:val="20"/>
          <w:lang w:val="en-IN"/>
        </w:rPr>
        <w:t>Semester</w:t>
      </w:r>
      <w:r w:rsidRPr="003749A5">
        <w:rPr>
          <w:sz w:val="20"/>
          <w:lang w:val="en-IN"/>
        </w:rPr>
        <w:t>: #2</w:t>
      </w:r>
      <w:r w:rsidR="003749A5" w:rsidRPr="003749A5">
        <w:rPr>
          <w:sz w:val="20"/>
          <w:lang w:val="en-IN"/>
        </w:rPr>
        <w:t>, May 2020</w:t>
      </w:r>
    </w:p>
    <w:p w14:paraId="2E0855FF" w14:textId="10D7EF88" w:rsidR="00017D9D" w:rsidRPr="003749A5" w:rsidRDefault="00017D9D" w:rsidP="00017D9D">
      <w:pPr>
        <w:rPr>
          <w:sz w:val="20"/>
          <w:lang w:val="en-IN"/>
        </w:rPr>
      </w:pPr>
      <w:r w:rsidRPr="003749A5">
        <w:rPr>
          <w:b/>
          <w:sz w:val="20"/>
          <w:lang w:val="en-IN"/>
        </w:rPr>
        <w:t>Credits</w:t>
      </w:r>
      <w:r w:rsidRPr="003749A5">
        <w:rPr>
          <w:sz w:val="20"/>
          <w:lang w:val="en-IN"/>
        </w:rPr>
        <w:t>: 30</w:t>
      </w:r>
    </w:p>
    <w:p w14:paraId="4B254F62" w14:textId="79933B8E" w:rsidR="00017D9D" w:rsidRPr="003749A5" w:rsidRDefault="00017D9D" w:rsidP="00017D9D">
      <w:pPr>
        <w:rPr>
          <w:sz w:val="20"/>
          <w:lang w:val="en-IN"/>
        </w:rPr>
      </w:pPr>
      <w:r w:rsidRPr="003749A5">
        <w:rPr>
          <w:b/>
          <w:sz w:val="20"/>
          <w:lang w:val="en-IN"/>
        </w:rPr>
        <w:t xml:space="preserve">Facilitator: </w:t>
      </w:r>
      <w:r w:rsidRPr="003749A5">
        <w:rPr>
          <w:sz w:val="20"/>
          <w:lang w:val="en-IN"/>
        </w:rPr>
        <w:t>Dr. Angus Slater</w:t>
      </w:r>
    </w:p>
    <w:p w14:paraId="0694126B" w14:textId="2060A8A1" w:rsidR="00017D9D" w:rsidRDefault="00017D9D" w:rsidP="00017D9D">
      <w:pPr>
        <w:rPr>
          <w:sz w:val="20"/>
          <w:lang w:val="en-IN"/>
        </w:rPr>
      </w:pPr>
      <w:r w:rsidRPr="003749A5">
        <w:rPr>
          <w:b/>
          <w:sz w:val="20"/>
          <w:lang w:val="en-IN"/>
        </w:rPr>
        <w:t xml:space="preserve">Word limit: </w:t>
      </w:r>
      <w:r w:rsidRPr="003749A5">
        <w:rPr>
          <w:sz w:val="20"/>
          <w:lang w:val="en-IN"/>
        </w:rPr>
        <w:t xml:space="preserve">4500 </w:t>
      </w:r>
    </w:p>
    <w:p w14:paraId="2164DA16" w14:textId="77777777" w:rsidR="001851A5" w:rsidRDefault="001851A5" w:rsidP="00017D9D">
      <w:pPr>
        <w:rPr>
          <w:sz w:val="20"/>
          <w:lang w:val="en-IN"/>
        </w:rPr>
      </w:pPr>
    </w:p>
    <w:p w14:paraId="27F16054" w14:textId="77777777" w:rsidR="001851A5" w:rsidRPr="001851A5" w:rsidRDefault="001851A5" w:rsidP="001851A5">
      <w:pPr>
        <w:rPr>
          <w:i/>
          <w:lang w:val="en-IN"/>
        </w:rPr>
      </w:pPr>
      <w:r w:rsidRPr="001851A5">
        <w:rPr>
          <w:b/>
          <w:i/>
          <w:lang w:val="en-IN"/>
        </w:rPr>
        <w:t>Q:</w:t>
      </w:r>
      <w:r w:rsidRPr="001851A5">
        <w:rPr>
          <w:i/>
          <w:lang w:val="en-IN"/>
        </w:rPr>
        <w:t xml:space="preserve"> Demonstrate how a comparative theological approach can be used to illuminate the matter of gender, race, or sexuality in two religious traditions.</w:t>
      </w:r>
    </w:p>
    <w:p w14:paraId="14923B02" w14:textId="77777777" w:rsidR="00017D9D" w:rsidRDefault="00017D9D" w:rsidP="00017D9D">
      <w:pPr>
        <w:pBdr>
          <w:bottom w:val="single" w:sz="6" w:space="1" w:color="auto"/>
        </w:pBdr>
        <w:rPr>
          <w:lang w:val="en-IN"/>
        </w:rPr>
      </w:pPr>
    </w:p>
    <w:p w14:paraId="132FDDF1" w14:textId="77777777" w:rsidR="008B24B6" w:rsidRDefault="008B24B6" w:rsidP="008B24B6">
      <w:pPr>
        <w:rPr>
          <w:lang w:val="en-IN"/>
        </w:rPr>
      </w:pPr>
    </w:p>
    <w:p w14:paraId="6F71A5E9" w14:textId="77777777" w:rsidR="009F2D7E" w:rsidRDefault="009F2D7E" w:rsidP="008B24B6">
      <w:pPr>
        <w:rPr>
          <w:lang w:val="en-IN"/>
        </w:rPr>
      </w:pPr>
    </w:p>
    <w:p w14:paraId="6BD2AAED" w14:textId="4C3EBDD6" w:rsidR="003749A5" w:rsidRPr="00350262" w:rsidRDefault="001851A5" w:rsidP="008B24B6">
      <w:pPr>
        <w:rPr>
          <w:b/>
          <w:sz w:val="28"/>
          <w:lang w:val="en-IN"/>
        </w:rPr>
      </w:pPr>
      <w:r w:rsidRPr="001851A5">
        <w:rPr>
          <w:b/>
          <w:sz w:val="28"/>
          <w:lang w:val="en-IN"/>
        </w:rPr>
        <w:t>Sacralising the other</w:t>
      </w:r>
      <w:r w:rsidR="00350262">
        <w:rPr>
          <w:b/>
          <w:sz w:val="28"/>
          <w:lang w:val="en-IN"/>
        </w:rPr>
        <w:t xml:space="preserve">: </w:t>
      </w:r>
      <w:r>
        <w:rPr>
          <w:sz w:val="28"/>
          <w:lang w:val="en-IN"/>
        </w:rPr>
        <w:t xml:space="preserve">A comparative </w:t>
      </w:r>
      <w:r w:rsidR="00E74271">
        <w:rPr>
          <w:sz w:val="28"/>
          <w:lang w:val="en-IN"/>
        </w:rPr>
        <w:t xml:space="preserve">approach to inspire theological </w:t>
      </w:r>
      <w:r>
        <w:rPr>
          <w:sz w:val="28"/>
          <w:lang w:val="en-IN"/>
        </w:rPr>
        <w:t>solutions for the religious-queer narr</w:t>
      </w:r>
      <w:r w:rsidR="00E74271">
        <w:rPr>
          <w:sz w:val="28"/>
          <w:lang w:val="en-IN"/>
        </w:rPr>
        <w:t xml:space="preserve">ative deadlocks in </w:t>
      </w:r>
      <w:r>
        <w:rPr>
          <w:sz w:val="28"/>
          <w:lang w:val="en-IN"/>
        </w:rPr>
        <w:t>Christianity</w:t>
      </w:r>
      <w:r w:rsidR="00E74271">
        <w:rPr>
          <w:sz w:val="28"/>
          <w:lang w:val="en-IN"/>
        </w:rPr>
        <w:t xml:space="preserve"> using Hindu frames of reference</w:t>
      </w:r>
    </w:p>
    <w:p w14:paraId="72094B1B" w14:textId="77777777" w:rsidR="001851A5" w:rsidRDefault="001851A5" w:rsidP="008B24B6">
      <w:pPr>
        <w:rPr>
          <w:i/>
          <w:sz w:val="28"/>
          <w:lang w:val="en-IN"/>
        </w:rPr>
      </w:pPr>
    </w:p>
    <w:p w14:paraId="0BF4379E" w14:textId="33066312" w:rsidR="003749A5" w:rsidRDefault="003749A5" w:rsidP="008B24B6">
      <w:pPr>
        <w:rPr>
          <w:lang w:val="en-IN"/>
        </w:rPr>
      </w:pPr>
      <w:r w:rsidRPr="003749A5">
        <w:rPr>
          <w:lang w:val="en-IN"/>
        </w:rPr>
        <w:t>URMI CHANDA</w:t>
      </w:r>
    </w:p>
    <w:p w14:paraId="04DAECBA" w14:textId="77777777" w:rsidR="007657EB" w:rsidRDefault="007657EB">
      <w:pPr>
        <w:rPr>
          <w:lang w:val="en-IN"/>
        </w:rPr>
      </w:pPr>
    </w:p>
    <w:p w14:paraId="6ADDF2C3" w14:textId="4B8F4C0F" w:rsidR="006F4A38" w:rsidRPr="00535679" w:rsidRDefault="00535679">
      <w:pPr>
        <w:rPr>
          <w:i/>
        </w:rPr>
      </w:pPr>
      <w:r w:rsidRPr="00535679">
        <w:rPr>
          <w:i/>
          <w:u w:val="single"/>
        </w:rPr>
        <w:t>Abstrac</w:t>
      </w:r>
      <w:r>
        <w:rPr>
          <w:i/>
        </w:rPr>
        <w:t>t:</w:t>
      </w:r>
      <w:r w:rsidR="00FB5C3B">
        <w:rPr>
          <w:i/>
        </w:rPr>
        <w:t xml:space="preserve"> This paper uses some recent religious, legal and cultural statutes regarding the LGBTQIA+ community in Hindu and Christian contexts as the starting point to illustrate the current attitudes towards the queer community in these two faith traditions. Using queer </w:t>
      </w:r>
      <w:r w:rsidR="000B3409">
        <w:rPr>
          <w:i/>
        </w:rPr>
        <w:t xml:space="preserve">affirmative examples from </w:t>
      </w:r>
      <w:r w:rsidR="00FB5C3B">
        <w:rPr>
          <w:i/>
        </w:rPr>
        <w:t>mythology</w:t>
      </w:r>
      <w:r w:rsidR="000B3409">
        <w:rPr>
          <w:i/>
        </w:rPr>
        <w:t>, it shows how the Hindu faith has always had a more tolerant attitude towards gender and sexual minorities as compared to Christianity. It argues that Hindu social acceptance is a result of these queer divine representations, and suggests that Christianity may use similar frameworks to alter its theological position.</w:t>
      </w:r>
    </w:p>
    <w:p w14:paraId="28CB25F5" w14:textId="77777777" w:rsidR="009F2D7E" w:rsidRDefault="009F2D7E"/>
    <w:p w14:paraId="163B1661" w14:textId="7F37CB73" w:rsidR="008B24B6" w:rsidRDefault="00041F7F">
      <w:pPr>
        <w:rPr>
          <w:b/>
        </w:rPr>
      </w:pPr>
      <w:r w:rsidRPr="00041F7F">
        <w:rPr>
          <w:b/>
        </w:rPr>
        <w:t>Introduction</w:t>
      </w:r>
    </w:p>
    <w:p w14:paraId="7AA572FE" w14:textId="77777777" w:rsidR="00041F7F" w:rsidRDefault="00041F7F">
      <w:pPr>
        <w:rPr>
          <w:b/>
        </w:rPr>
      </w:pPr>
    </w:p>
    <w:p w14:paraId="40AC9BF1" w14:textId="77777777" w:rsidR="00022CB4" w:rsidRDefault="00DD7A9A">
      <w:r>
        <w:t>As two of the most important individual and social identity markers, gender and sexuality have always been subjects of intense scrutiny. They occur constantly in academic, public and religious discourse, often causing acrimonious debate</w:t>
      </w:r>
      <w:r w:rsidR="003749A5">
        <w:t xml:space="preserve"> between parties with vastly different points of view</w:t>
      </w:r>
      <w:r>
        <w:t xml:space="preserve">. </w:t>
      </w:r>
    </w:p>
    <w:p w14:paraId="1D55E70D" w14:textId="77777777" w:rsidR="00022CB4" w:rsidRDefault="00022CB4"/>
    <w:p w14:paraId="7CFD9A06" w14:textId="038DA7AE" w:rsidR="000B5B0D" w:rsidRDefault="003749A5">
      <w:r>
        <w:t>After</w:t>
      </w:r>
      <w:r w:rsidR="00DD7A9A">
        <w:t xml:space="preserve"> the Netherlands</w:t>
      </w:r>
      <w:r w:rsidR="000B31BA">
        <w:t xml:space="preserve"> took </w:t>
      </w:r>
      <w:r>
        <w:t>lead</w:t>
      </w:r>
      <w:r w:rsidR="00DD7A9A">
        <w:t xml:space="preserve"> in </w:t>
      </w:r>
      <w:r>
        <w:t xml:space="preserve">legalizing same sex marriages in </w:t>
      </w:r>
      <w:r w:rsidR="00DD7A9A">
        <w:t xml:space="preserve">2001, </w:t>
      </w:r>
      <w:r>
        <w:t xml:space="preserve">many nations across the globe have followed suit. While such ‘progressive steps’ have been a matter of victory for many human and queer rights activists, many religious </w:t>
      </w:r>
      <w:proofErr w:type="spellStart"/>
      <w:r>
        <w:t>organisations</w:t>
      </w:r>
      <w:proofErr w:type="spellEnd"/>
      <w:r>
        <w:t xml:space="preserve"> </w:t>
      </w:r>
      <w:r w:rsidR="00C22319">
        <w:t>disagree</w:t>
      </w:r>
      <w:r w:rsidR="009F2D7E">
        <w:t>, for they impugn the fundamentals of identity</w:t>
      </w:r>
      <w:r w:rsidR="00C22319">
        <w:t xml:space="preserve">. For the latter, this move is a dangerous challenge to tradition and a disrupter of the normative family unit. </w:t>
      </w:r>
      <w:r w:rsidR="000B31BA">
        <w:t xml:space="preserve">Rigid religious ideologies </w:t>
      </w:r>
      <w:r w:rsidR="009F2D7E">
        <w:t xml:space="preserve">often </w:t>
      </w:r>
      <w:r w:rsidR="008668D4">
        <w:t>become the basis of</w:t>
      </w:r>
      <w:r w:rsidR="000B31BA">
        <w:t xml:space="preserve"> discrimination</w:t>
      </w:r>
      <w:r w:rsidR="008668D4">
        <w:t>, and visible social exclusion</w:t>
      </w:r>
      <w:r w:rsidR="000B31BA">
        <w:t xml:space="preserve">. </w:t>
      </w:r>
    </w:p>
    <w:p w14:paraId="426121D4" w14:textId="77777777" w:rsidR="000B5B0D" w:rsidRDefault="000B5B0D"/>
    <w:p w14:paraId="3839729C" w14:textId="6AB07B6A" w:rsidR="00041F7F" w:rsidRDefault="00716AF6">
      <w:r>
        <w:t>Some religious bodies and leaders are, however, trying to find a way to accommodate this new narrative and accepting memb</w:t>
      </w:r>
      <w:r w:rsidR="000B5B0D">
        <w:t xml:space="preserve">ers from the LGBTQIA+ community. Dialogues between leaders of different religious denominations may help inspire ways in </w:t>
      </w:r>
      <w:r w:rsidR="005B0E62">
        <w:t>which faith and reform may be reconciled. A comparative theological approach is a useful one to consider</w:t>
      </w:r>
      <w:r w:rsidR="00D176F8">
        <w:t>,</w:t>
      </w:r>
      <w:r w:rsidR="005B0E62">
        <w:t xml:space="preserve"> </w:t>
      </w:r>
      <w:r w:rsidR="00D176F8">
        <w:t xml:space="preserve">helping illuminate such complex </w:t>
      </w:r>
      <w:r w:rsidR="00D176F8">
        <w:lastRenderedPageBreak/>
        <w:t>concepts as gender and sexuality</w:t>
      </w:r>
      <w:r w:rsidR="00CE4FDF">
        <w:t xml:space="preserve"> – and their new definitions thereof –</w:t>
      </w:r>
      <w:r w:rsidR="00D176F8">
        <w:t xml:space="preserve"> within faith systems. </w:t>
      </w:r>
    </w:p>
    <w:p w14:paraId="0F7B7F48" w14:textId="77777777" w:rsidR="00CE4FDF" w:rsidRDefault="00CE4FDF"/>
    <w:p w14:paraId="0FCEA49B" w14:textId="48B2A0E7" w:rsidR="00CE4FDF" w:rsidRDefault="00CE4FDF">
      <w:r>
        <w:t xml:space="preserve">This paper </w:t>
      </w:r>
      <w:r w:rsidR="00193F07">
        <w:t>attempts to parallelly examine the concepts of gender and sexuality from the perspectives of (some denominations of) Christianity and Hinduism, find points of comparison, and some hermeneutica</w:t>
      </w:r>
      <w:r w:rsidR="00022CB4">
        <w:t xml:space="preserve">l bridges to inspire </w:t>
      </w:r>
      <w:r w:rsidR="00193F07">
        <w:t xml:space="preserve">theosophical solutions. </w:t>
      </w:r>
    </w:p>
    <w:p w14:paraId="6C667C66" w14:textId="77777777" w:rsidR="00022CB4" w:rsidRDefault="00022CB4">
      <w:pPr>
        <w:rPr>
          <w:b/>
        </w:rPr>
      </w:pPr>
    </w:p>
    <w:p w14:paraId="36D375E2" w14:textId="3AA23007" w:rsidR="00952936" w:rsidRDefault="0019500F">
      <w:pPr>
        <w:rPr>
          <w:b/>
        </w:rPr>
      </w:pPr>
      <w:r>
        <w:rPr>
          <w:b/>
        </w:rPr>
        <w:t>Current take of Hinduism and Christianity on queer issues</w:t>
      </w:r>
    </w:p>
    <w:p w14:paraId="02385D09" w14:textId="77777777" w:rsidR="00952936" w:rsidRDefault="00952936">
      <w:pPr>
        <w:rPr>
          <w:b/>
        </w:rPr>
      </w:pPr>
    </w:p>
    <w:p w14:paraId="66F03CD4" w14:textId="77777777" w:rsidR="00833386" w:rsidRDefault="00E855BE">
      <w:r>
        <w:t>On September 6, 2018, the Supreme Court of India made a historic ruling, repealing parts of the infamous Section 377 of the Indian Penal Code, thus decriminalizing consensual homosexual sex between two adults</w:t>
      </w:r>
      <w:sdt>
        <w:sdtPr>
          <w:id w:val="-643038939"/>
          <w:citation/>
        </w:sdtPr>
        <w:sdtContent>
          <w:r>
            <w:fldChar w:fldCharType="begin"/>
          </w:r>
          <w:r>
            <w:instrText xml:space="preserve"> CITATION Kri18 \l 1033 </w:instrText>
          </w:r>
          <w:r>
            <w:fldChar w:fldCharType="separate"/>
          </w:r>
          <w:r>
            <w:rPr>
              <w:noProof/>
            </w:rPr>
            <w:t xml:space="preserve"> (Rajagopal)</w:t>
          </w:r>
          <w:r>
            <w:fldChar w:fldCharType="end"/>
          </w:r>
        </w:sdtContent>
      </w:sdt>
      <w:r w:rsidR="00697BDE">
        <w:t xml:space="preserve">. The decision came after years of campaigning by queer rights activists and lawyers, who deemed the colonial era law as regressive and one violating the fundamental rights of citizens. </w:t>
      </w:r>
    </w:p>
    <w:p w14:paraId="0DCD7935" w14:textId="77777777" w:rsidR="00833386" w:rsidRDefault="00833386"/>
    <w:p w14:paraId="4755D2E6" w14:textId="295A71D3" w:rsidR="00952936" w:rsidRDefault="00697BDE">
      <w:r>
        <w:t xml:space="preserve">The judgment was notable because the Indian society, comprising a Hindu majority, is considered conservative in matters of sexual behavior. </w:t>
      </w:r>
      <w:r w:rsidR="005F3790">
        <w:t>In 2013</w:t>
      </w:r>
      <w:r w:rsidR="00402955">
        <w:t xml:space="preserve">, when the Supreme Court had decided </w:t>
      </w:r>
      <w:r w:rsidR="005F3790">
        <w:t>to act in this direction</w:t>
      </w:r>
      <w:r w:rsidR="00402955">
        <w:t>, it was met with resistance from religious leaders of all communities</w:t>
      </w:r>
      <w:r w:rsidR="00DB7CE2">
        <w:t>, including Hindus, Muslims, Sikhs, Christian</w:t>
      </w:r>
      <w:r w:rsidR="000E415D">
        <w:t>s</w:t>
      </w:r>
      <w:r w:rsidR="00DB7CE2">
        <w:t xml:space="preserve"> and Jains, who had called homosexuality a ‘menace of Western countries’</w:t>
      </w:r>
      <w:r w:rsidR="006567B6">
        <w:t xml:space="preserve"> </w:t>
      </w:r>
      <w:sdt>
        <w:sdtPr>
          <w:id w:val="-1418868581"/>
          <w:citation/>
        </w:sdtPr>
        <w:sdtContent>
          <w:r w:rsidR="006567B6">
            <w:fldChar w:fldCharType="begin"/>
          </w:r>
          <w:r w:rsidR="006567B6">
            <w:instrText xml:space="preserve">CITATION PTI13 \n  \l 1033 </w:instrText>
          </w:r>
          <w:r w:rsidR="006567B6">
            <w:fldChar w:fldCharType="separate"/>
          </w:r>
          <w:r w:rsidR="006567B6">
            <w:rPr>
              <w:noProof/>
            </w:rPr>
            <w:t>(Economic Times)</w:t>
          </w:r>
          <w:r w:rsidR="006567B6">
            <w:fldChar w:fldCharType="end"/>
          </w:r>
        </w:sdtContent>
      </w:sdt>
      <w:r w:rsidR="00DB7CE2">
        <w:t xml:space="preserve">. </w:t>
      </w:r>
    </w:p>
    <w:p w14:paraId="620FE90A" w14:textId="77777777" w:rsidR="008044D5" w:rsidRDefault="008044D5"/>
    <w:p w14:paraId="3DF9F451" w14:textId="5C650074" w:rsidR="008044D5" w:rsidRDefault="008044D5">
      <w:r>
        <w:t>When Indians – religious leaders or otherwise –</w:t>
      </w:r>
      <w:r w:rsidR="002B0B5A">
        <w:t xml:space="preserve"> use terms like</w:t>
      </w:r>
      <w:r>
        <w:t xml:space="preserve"> ‘m</w:t>
      </w:r>
      <w:r w:rsidR="002B0B5A">
        <w:t>enace’, the allusion is to a</w:t>
      </w:r>
      <w:r>
        <w:t xml:space="preserve"> society</w:t>
      </w:r>
      <w:r w:rsidR="002B0B5A">
        <w:t xml:space="preserve"> that is perceived to be excessively liberal and one </w:t>
      </w:r>
      <w:r>
        <w:t>which</w:t>
      </w:r>
      <w:r w:rsidR="00E76B4E">
        <w:t xml:space="preserve"> knows no modesty, and</w:t>
      </w:r>
      <w:r>
        <w:t xml:space="preserve"> has no respect for traditional </w:t>
      </w:r>
      <w:r w:rsidR="002B0B5A">
        <w:t xml:space="preserve">systems and </w:t>
      </w:r>
      <w:r>
        <w:t xml:space="preserve">values. The general assumption is that </w:t>
      </w:r>
      <w:r w:rsidR="002B0B5A">
        <w:t xml:space="preserve">anything goes in the name of freedom and individual choice in a homogenous geographical place called ‘the West’. </w:t>
      </w:r>
    </w:p>
    <w:p w14:paraId="328794F7" w14:textId="77777777" w:rsidR="002B0B5A" w:rsidRDefault="002B0B5A"/>
    <w:p w14:paraId="7784DAC8" w14:textId="5CA775A2" w:rsidR="009F6837" w:rsidRPr="009F6837" w:rsidRDefault="002B0B5A" w:rsidP="009F6837">
      <w:pPr>
        <w:rPr>
          <w:lang w:val="en-IN"/>
        </w:rPr>
      </w:pPr>
      <w:r>
        <w:t xml:space="preserve">It would surprise these </w:t>
      </w:r>
      <w:r w:rsidR="00CC0F68">
        <w:t xml:space="preserve">religious </w:t>
      </w:r>
      <w:r w:rsidR="00DF2802">
        <w:t>leaders to know that last year the Vatican rejected the notion that gender can be fluid</w:t>
      </w:r>
      <w:sdt>
        <w:sdtPr>
          <w:id w:val="1523980102"/>
          <w:citation/>
        </w:sdtPr>
        <w:sdtContent>
          <w:r w:rsidR="009F6837">
            <w:fldChar w:fldCharType="begin"/>
          </w:r>
          <w:r w:rsidR="009F6837">
            <w:instrText xml:space="preserve">CITATION Jas19 \n  \l 1033 </w:instrText>
          </w:r>
          <w:r w:rsidR="009F6837">
            <w:fldChar w:fldCharType="separate"/>
          </w:r>
          <w:r w:rsidR="009F6837">
            <w:rPr>
              <w:noProof/>
            </w:rPr>
            <w:t xml:space="preserve"> (The New York Times)</w:t>
          </w:r>
          <w:r w:rsidR="009F6837">
            <w:fldChar w:fldCharType="end"/>
          </w:r>
        </w:sdtContent>
      </w:sdt>
      <w:r w:rsidR="00DF2802">
        <w:t>. In the June of 2019, the Holy See issued a document</w:t>
      </w:r>
      <w:sdt>
        <w:sdtPr>
          <w:id w:val="-293683632"/>
          <w:citation/>
        </w:sdtPr>
        <w:sdtContent>
          <w:r w:rsidR="00450CF8">
            <w:fldChar w:fldCharType="begin"/>
          </w:r>
          <w:r w:rsidR="00450CF8">
            <w:instrText xml:space="preserve"> CITATION Vat19 \l 1033 </w:instrText>
          </w:r>
          <w:r w:rsidR="00450CF8">
            <w:fldChar w:fldCharType="separate"/>
          </w:r>
          <w:r w:rsidR="00450CF8">
            <w:rPr>
              <w:noProof/>
            </w:rPr>
            <w:t xml:space="preserve"> (Vatican)</w:t>
          </w:r>
          <w:r w:rsidR="00450CF8">
            <w:fldChar w:fldCharType="end"/>
          </w:r>
        </w:sdtContent>
      </w:sdt>
      <w:r w:rsidR="00DF2802">
        <w:t xml:space="preserve"> stating the </w:t>
      </w:r>
      <w:r w:rsidR="009F6837">
        <w:t xml:space="preserve">Catholic position with regards gender theory </w:t>
      </w:r>
      <w:r w:rsidR="00BA59E1">
        <w:t xml:space="preserve">in </w:t>
      </w:r>
      <w:r w:rsidR="009F6837">
        <w:t xml:space="preserve">education. Although positioned as an effort at </w:t>
      </w:r>
      <w:r w:rsidR="00BA59E1">
        <w:t xml:space="preserve">understanding and </w:t>
      </w:r>
      <w:r w:rsidR="009F6837">
        <w:t>dialogue, the Catholic Church</w:t>
      </w:r>
      <w:r w:rsidR="00450CF8">
        <w:t xml:space="preserve"> also makes clear that in its view, </w:t>
      </w:r>
      <w:r w:rsidR="002224A6">
        <w:t>that concepts such as gender fluidity are</w:t>
      </w:r>
      <w:r w:rsidR="009F6837">
        <w:t xml:space="preserve"> “</w:t>
      </w:r>
      <w:r w:rsidR="009F6837" w:rsidRPr="009F6837">
        <w:rPr>
          <w:lang w:val="en-IN"/>
        </w:rPr>
        <w:t>nothing more than a confused concept of freedom in the realm of feelings and wants</w:t>
      </w:r>
      <w:r w:rsidR="00742EFD">
        <w:rPr>
          <w:lang w:val="en-IN"/>
        </w:rPr>
        <w:t xml:space="preserve">, </w:t>
      </w:r>
      <w:r w:rsidR="00742EFD" w:rsidRPr="00742EFD">
        <w:rPr>
          <w:lang w:val="en-IN"/>
        </w:rPr>
        <w:t>or momentary desires provoked by emotional impulses and the will of the individual, as opposed to anything based on the truths of existence</w:t>
      </w:r>
      <w:r w:rsidR="009F6837" w:rsidRPr="009F6837">
        <w:rPr>
          <w:lang w:val="en-IN"/>
        </w:rPr>
        <w:t>.</w:t>
      </w:r>
      <w:r w:rsidR="009F6837">
        <w:rPr>
          <w:lang w:val="en-IN"/>
        </w:rPr>
        <w:t>”</w:t>
      </w:r>
      <w:r w:rsidR="00BA59E1">
        <w:rPr>
          <w:lang w:val="en-IN"/>
        </w:rPr>
        <w:t xml:space="preserve"> </w:t>
      </w:r>
    </w:p>
    <w:p w14:paraId="426B664F" w14:textId="3543C2B0" w:rsidR="00697BDE" w:rsidRDefault="00697BDE"/>
    <w:p w14:paraId="0B4FA389" w14:textId="5E30691D" w:rsidR="00897FDA" w:rsidRDefault="00195594" w:rsidP="00897FDA">
      <w:pPr>
        <w:rPr>
          <w:bCs/>
          <w:lang w:val="en-IN"/>
        </w:rPr>
      </w:pPr>
      <w:r>
        <w:t>Same-sex relationships are already contentious in</w:t>
      </w:r>
      <w:r w:rsidR="00B63BC1">
        <w:t xml:space="preserve"> the Christian worldview</w:t>
      </w:r>
      <w:r>
        <w:t xml:space="preserve">, and </w:t>
      </w:r>
      <w:r w:rsidR="00B63BC1">
        <w:t xml:space="preserve">the matter of </w:t>
      </w:r>
      <w:r>
        <w:t xml:space="preserve">gender identity </w:t>
      </w:r>
      <w:r w:rsidR="00B63BC1">
        <w:t>just segues into it. Close on the heels</w:t>
      </w:r>
      <w:r w:rsidR="000C0110">
        <w:t xml:space="preserve"> of the Vatican’s issuance of the above-mentioned document, there were reports of </w:t>
      </w:r>
      <w:r w:rsidR="00897FDA">
        <w:t xml:space="preserve">the Catholic Church intensifying its anti-queer rhetoric in the </w:t>
      </w:r>
      <w:r w:rsidR="00897FDA" w:rsidRPr="00897FDA">
        <w:rPr>
          <w:bCs/>
          <w:lang w:val="en-IN"/>
        </w:rPr>
        <w:t>Visegrád</w:t>
      </w:r>
      <w:r w:rsidR="00897FDA">
        <w:rPr>
          <w:bCs/>
          <w:lang w:val="en-IN"/>
        </w:rPr>
        <w:t xml:space="preserve"> Four.</w:t>
      </w:r>
      <w:sdt>
        <w:sdtPr>
          <w:rPr>
            <w:bCs/>
            <w:lang w:val="en-IN"/>
          </w:rPr>
          <w:id w:val="630366257"/>
          <w:citation/>
        </w:sdtPr>
        <w:sdtContent>
          <w:r w:rsidR="00897FDA">
            <w:rPr>
              <w:bCs/>
              <w:lang w:val="en-IN"/>
            </w:rPr>
            <w:fldChar w:fldCharType="begin"/>
          </w:r>
          <w:r w:rsidR="00897FDA">
            <w:rPr>
              <w:bCs/>
            </w:rPr>
            <w:instrText xml:space="preserve"> CITATION Aga19 \l 1033 </w:instrText>
          </w:r>
          <w:r w:rsidR="00897FDA">
            <w:rPr>
              <w:bCs/>
              <w:lang w:val="en-IN"/>
            </w:rPr>
            <w:fldChar w:fldCharType="separate"/>
          </w:r>
          <w:r w:rsidR="00897FDA">
            <w:rPr>
              <w:bCs/>
              <w:noProof/>
            </w:rPr>
            <w:t xml:space="preserve"> </w:t>
          </w:r>
          <w:r w:rsidR="00897FDA">
            <w:rPr>
              <w:noProof/>
            </w:rPr>
            <w:t>(Palickova)</w:t>
          </w:r>
          <w:r w:rsidR="00897FDA">
            <w:rPr>
              <w:bCs/>
              <w:lang w:val="en-IN"/>
            </w:rPr>
            <w:fldChar w:fldCharType="end"/>
          </w:r>
        </w:sdtContent>
      </w:sdt>
      <w:r w:rsidR="00897FDA">
        <w:rPr>
          <w:bCs/>
          <w:lang w:val="en-IN"/>
        </w:rPr>
        <w:t>. Statements labelling the queer discourse as an “</w:t>
      </w:r>
      <w:r w:rsidR="00897FDA" w:rsidRPr="00897FDA">
        <w:rPr>
          <w:bCs/>
          <w:lang w:val="en-IN"/>
        </w:rPr>
        <w:t>anthropological error in the form of very dangerous gender and LGBT ideologies”</w:t>
      </w:r>
      <w:r w:rsidR="00897FDA">
        <w:rPr>
          <w:bCs/>
          <w:lang w:val="en-IN"/>
        </w:rPr>
        <w:t xml:space="preserve"> or “anti-Christian system of anti-values” have been made by Archbishops from those four eastern European nations of </w:t>
      </w:r>
      <w:r w:rsidR="00897FDA" w:rsidRPr="00897FDA">
        <w:rPr>
          <w:bCs/>
          <w:lang w:val="en-IN"/>
        </w:rPr>
        <w:t>the Czech Republic, Hungary, Poland and Slovakia</w:t>
      </w:r>
      <w:r w:rsidR="00897FDA">
        <w:rPr>
          <w:bCs/>
          <w:lang w:val="en-IN"/>
        </w:rPr>
        <w:t xml:space="preserve">. </w:t>
      </w:r>
    </w:p>
    <w:p w14:paraId="2172EBF0" w14:textId="77777777" w:rsidR="00B17BAB" w:rsidRDefault="00B17BAB" w:rsidP="00897FDA">
      <w:pPr>
        <w:rPr>
          <w:bCs/>
          <w:lang w:val="en-IN"/>
        </w:rPr>
      </w:pPr>
    </w:p>
    <w:p w14:paraId="4BEB0BBA" w14:textId="75903E8C" w:rsidR="00B17BAB" w:rsidRPr="00897FDA" w:rsidRDefault="00B17BAB" w:rsidP="00897FDA">
      <w:pPr>
        <w:rPr>
          <w:bCs/>
          <w:lang w:val="en-IN"/>
        </w:rPr>
      </w:pPr>
      <w:r>
        <w:rPr>
          <w:bCs/>
          <w:lang w:val="en-IN"/>
        </w:rPr>
        <w:t>That said, there are several Christian denominations in ‘the West’ that have made way for queer inclusiveness within their churches by sanctioning same sex marriages. These include the Episcopal Church, the Evangelical Lutheran Church in America, Presbyterian Church (U.S.), and the United Church of Christ among others</w:t>
      </w:r>
      <w:sdt>
        <w:sdtPr>
          <w:rPr>
            <w:bCs/>
            <w:lang w:val="en-IN"/>
          </w:rPr>
          <w:id w:val="432410939"/>
          <w:citation/>
        </w:sdtPr>
        <w:sdtContent>
          <w:r w:rsidR="006E2F1B">
            <w:rPr>
              <w:bCs/>
              <w:lang w:val="en-IN"/>
            </w:rPr>
            <w:fldChar w:fldCharType="begin"/>
          </w:r>
          <w:r w:rsidR="006E2F1B">
            <w:rPr>
              <w:bCs/>
            </w:rPr>
            <w:instrText xml:space="preserve">CITATION Dav15 \n  \l 1033 </w:instrText>
          </w:r>
          <w:r w:rsidR="006E2F1B">
            <w:rPr>
              <w:bCs/>
              <w:lang w:val="en-IN"/>
            </w:rPr>
            <w:fldChar w:fldCharType="separate"/>
          </w:r>
          <w:r w:rsidR="006E2F1B">
            <w:rPr>
              <w:bCs/>
              <w:noProof/>
            </w:rPr>
            <w:t xml:space="preserve"> </w:t>
          </w:r>
          <w:r w:rsidR="006E2F1B">
            <w:rPr>
              <w:noProof/>
            </w:rPr>
            <w:t>(Pew Research Centre)</w:t>
          </w:r>
          <w:r w:rsidR="006E2F1B">
            <w:rPr>
              <w:bCs/>
              <w:lang w:val="en-IN"/>
            </w:rPr>
            <w:fldChar w:fldCharType="end"/>
          </w:r>
        </w:sdtContent>
      </w:sdt>
      <w:r>
        <w:rPr>
          <w:bCs/>
          <w:lang w:val="en-IN"/>
        </w:rPr>
        <w:t xml:space="preserve">. However, these are exceptions and there is a long way to go, before the queer and Christian ideologies can be truly reconciled. </w:t>
      </w:r>
    </w:p>
    <w:p w14:paraId="3391F1C0" w14:textId="57542216" w:rsidR="00897FDA" w:rsidRPr="00897FDA" w:rsidRDefault="00897FDA" w:rsidP="00897FDA">
      <w:pPr>
        <w:rPr>
          <w:bCs/>
          <w:lang w:val="en-IN"/>
        </w:rPr>
      </w:pPr>
    </w:p>
    <w:p w14:paraId="1EAF99A8" w14:textId="77777777" w:rsidR="00833386" w:rsidRDefault="00833386" w:rsidP="00897FDA">
      <w:pPr>
        <w:rPr>
          <w:b/>
        </w:rPr>
      </w:pPr>
    </w:p>
    <w:p w14:paraId="1FFD719E" w14:textId="0E33006B" w:rsidR="00897FDA" w:rsidRPr="00F220C0" w:rsidRDefault="00F220C0" w:rsidP="00897FDA">
      <w:pPr>
        <w:rPr>
          <w:b/>
        </w:rPr>
      </w:pPr>
      <w:r w:rsidRPr="00F220C0">
        <w:rPr>
          <w:b/>
        </w:rPr>
        <w:t>Liberal Hindu, Conservative Christian?</w:t>
      </w:r>
    </w:p>
    <w:p w14:paraId="6EDB63BE" w14:textId="77777777" w:rsidR="00897FDA" w:rsidRPr="00622858" w:rsidRDefault="00897FDA"/>
    <w:p w14:paraId="709768C3" w14:textId="77777777" w:rsidR="00180B3E" w:rsidRDefault="00B619A1">
      <w:r>
        <w:t xml:space="preserve">While the ‘Christian West’ allows for theological and ideological battles to play out between the Church and the queer community, the Hindu side of ‘the East’ has seemed surprisingly liberal in this matter.  </w:t>
      </w:r>
    </w:p>
    <w:p w14:paraId="03812063" w14:textId="77777777" w:rsidR="00180B3E" w:rsidRDefault="00180B3E"/>
    <w:p w14:paraId="61178491" w14:textId="77777777" w:rsidR="00142F7C" w:rsidRDefault="00180B3E" w:rsidP="008756BE">
      <w:r>
        <w:t xml:space="preserve">After the Supreme Court’s overturning of Section 377, one of the most unlikely voices of support was that of </w:t>
      </w:r>
      <w:r w:rsidR="00B619A1">
        <w:t xml:space="preserve">prominent Hindu leader, Mohan </w:t>
      </w:r>
      <w:proofErr w:type="spellStart"/>
      <w:r w:rsidR="00B619A1">
        <w:t>Bhagwat</w:t>
      </w:r>
      <w:proofErr w:type="spellEnd"/>
      <w:sdt>
        <w:sdtPr>
          <w:id w:val="1143235851"/>
          <w:citation/>
        </w:sdtPr>
        <w:sdtContent>
          <w:r w:rsidR="00F066A8">
            <w:fldChar w:fldCharType="begin"/>
          </w:r>
          <w:r w:rsidR="00F066A8">
            <w:instrText xml:space="preserve"> CITATION NDT18 \l 1033 </w:instrText>
          </w:r>
          <w:r w:rsidR="00F066A8">
            <w:fldChar w:fldCharType="separate"/>
          </w:r>
          <w:r w:rsidR="00F066A8">
            <w:rPr>
              <w:noProof/>
            </w:rPr>
            <w:t xml:space="preserve"> (NDTV)</w:t>
          </w:r>
          <w:r w:rsidR="00F066A8">
            <w:fldChar w:fldCharType="end"/>
          </w:r>
        </w:sdtContent>
      </w:sdt>
      <w:r>
        <w:t xml:space="preserve">. </w:t>
      </w:r>
      <w:proofErr w:type="spellStart"/>
      <w:r>
        <w:t>Bhagwat</w:t>
      </w:r>
      <w:proofErr w:type="spellEnd"/>
      <w:r>
        <w:t xml:space="preserve"> is the head of a prominent Right Wing organization, the </w:t>
      </w:r>
      <w:proofErr w:type="spellStart"/>
      <w:r>
        <w:t>Rashtriya</w:t>
      </w:r>
      <w:proofErr w:type="spellEnd"/>
      <w:r>
        <w:t xml:space="preserve"> </w:t>
      </w:r>
      <w:proofErr w:type="spellStart"/>
      <w:r>
        <w:t>Swayamsevak</w:t>
      </w:r>
      <w:proofErr w:type="spellEnd"/>
      <w:r>
        <w:t xml:space="preserve"> </w:t>
      </w:r>
      <w:proofErr w:type="spellStart"/>
      <w:r>
        <w:t>Sangh</w:t>
      </w:r>
      <w:proofErr w:type="spellEnd"/>
      <w:r>
        <w:t xml:space="preserve"> (RSS), which is the parent body of the ruling political party, the </w:t>
      </w:r>
      <w:proofErr w:type="spellStart"/>
      <w:r>
        <w:t>Bharatiya</w:t>
      </w:r>
      <w:proofErr w:type="spellEnd"/>
      <w:r w:rsidR="00B619A1">
        <w:t xml:space="preserve"> </w:t>
      </w:r>
      <w:proofErr w:type="spellStart"/>
      <w:r>
        <w:t>Janata</w:t>
      </w:r>
      <w:proofErr w:type="spellEnd"/>
      <w:r>
        <w:t xml:space="preserve"> Party (BJP). </w:t>
      </w:r>
      <w:r w:rsidR="002A0D48">
        <w:t xml:space="preserve">The RSS is a known Hindu hardliner that follows a brand of religious nationalism called </w:t>
      </w:r>
      <w:proofErr w:type="spellStart"/>
      <w:r w:rsidR="002A0D48">
        <w:t>Hindutva</w:t>
      </w:r>
      <w:proofErr w:type="spellEnd"/>
      <w:r w:rsidR="002A0D48">
        <w:t xml:space="preserve">. Although they claim only to be a ‘cultural </w:t>
      </w:r>
      <w:proofErr w:type="spellStart"/>
      <w:r w:rsidR="002A0D48">
        <w:t>organisation</w:t>
      </w:r>
      <w:proofErr w:type="spellEnd"/>
      <w:r w:rsidR="002A0D48">
        <w:t>’, they have deep links with religiou</w:t>
      </w:r>
      <w:r w:rsidR="00F066A8">
        <w:t xml:space="preserve">s bodies and activities, and </w:t>
      </w:r>
      <w:r w:rsidR="004B27A5">
        <w:t xml:space="preserve">often </w:t>
      </w:r>
      <w:r w:rsidR="00F066A8">
        <w:t>act like</w:t>
      </w:r>
      <w:r w:rsidR="002A0D48">
        <w:t xml:space="preserve"> the </w:t>
      </w:r>
      <w:r w:rsidR="004B27A5">
        <w:t>(</w:t>
      </w:r>
      <w:r w:rsidR="002A0D48">
        <w:t>self-appointed</w:t>
      </w:r>
      <w:r w:rsidR="004B27A5">
        <w:t>)</w:t>
      </w:r>
      <w:r w:rsidR="002A0D48">
        <w:t xml:space="preserve"> guardians of Hindu culture. </w:t>
      </w:r>
      <w:r w:rsidR="000C36ED">
        <w:t xml:space="preserve">Several of their affiliated fringe </w:t>
      </w:r>
      <w:proofErr w:type="spellStart"/>
      <w:r w:rsidR="000C36ED">
        <w:t>organisations</w:t>
      </w:r>
      <w:proofErr w:type="spellEnd"/>
      <w:r w:rsidR="000C36ED">
        <w:t xml:space="preserve"> routinely engage in cultural vigilantism, such as harassing and shaming young, unmarried couples in public. They have a special grouse against occasions like ‘Valentine’s Day’, which they believe to be morally-corrupting Western imports. </w:t>
      </w:r>
    </w:p>
    <w:p w14:paraId="2C56A458" w14:textId="77777777" w:rsidR="00142F7C" w:rsidRDefault="00142F7C" w:rsidP="008756BE"/>
    <w:p w14:paraId="34BD1F7A" w14:textId="46EDEBCF" w:rsidR="008756BE" w:rsidRDefault="004B27A5" w:rsidP="008756BE">
      <w:r>
        <w:t>So when their ring</w:t>
      </w:r>
      <w:r w:rsidR="002A4B59">
        <w:t xml:space="preserve">leader, </w:t>
      </w:r>
      <w:proofErr w:type="spellStart"/>
      <w:r w:rsidR="00F066A8">
        <w:t>Bhagwat</w:t>
      </w:r>
      <w:proofErr w:type="spellEnd"/>
      <w:r w:rsidR="00F066A8">
        <w:t xml:space="preserve">, publicly proclaimed that ‘homosexuality is not a crime’, it surprised many. </w:t>
      </w:r>
      <w:r>
        <w:t xml:space="preserve">However, the septuagenarian leader did add that “this kind of relationship” is not “compatible with nature”. </w:t>
      </w:r>
      <w:r w:rsidR="00864CFA">
        <w:t xml:space="preserve">Why </w:t>
      </w:r>
      <w:proofErr w:type="spellStart"/>
      <w:r w:rsidR="00864CFA">
        <w:t>Bhagwat’s</w:t>
      </w:r>
      <w:proofErr w:type="spellEnd"/>
      <w:r w:rsidR="00864CFA">
        <w:t xml:space="preserve"> stand is important is </w:t>
      </w:r>
      <w:r w:rsidR="006353B1">
        <w:t xml:space="preserve">because, unlike in Christianity, there is no one </w:t>
      </w:r>
      <w:r w:rsidR="008756BE">
        <w:t xml:space="preserve">religious </w:t>
      </w:r>
      <w:r w:rsidR="006353B1">
        <w:t xml:space="preserve">head of Hinduism. </w:t>
      </w:r>
      <w:r w:rsidR="008756BE">
        <w:t xml:space="preserve">As </w:t>
      </w:r>
      <w:r w:rsidR="00B34BE5">
        <w:t xml:space="preserve">the head of BJP’s parent body, </w:t>
      </w:r>
      <w:proofErr w:type="spellStart"/>
      <w:r w:rsidR="00B34BE5">
        <w:t>Bhagwat</w:t>
      </w:r>
      <w:proofErr w:type="spellEnd"/>
      <w:r w:rsidR="008756BE">
        <w:t xml:space="preserve"> has become a stand in authority figure representing Hinduism and/ or Hindu culture. Meanwhile, the head of the BJP and current Indian PM, </w:t>
      </w:r>
      <w:proofErr w:type="spellStart"/>
      <w:r w:rsidR="008756BE">
        <w:t>Narendra</w:t>
      </w:r>
      <w:proofErr w:type="spellEnd"/>
      <w:r w:rsidR="008756BE">
        <w:t xml:space="preserve"> </w:t>
      </w:r>
      <w:proofErr w:type="spellStart"/>
      <w:r w:rsidR="008756BE">
        <w:t>Modi</w:t>
      </w:r>
      <w:proofErr w:type="spellEnd"/>
      <w:r w:rsidR="008756BE">
        <w:t xml:space="preserve">, remains obstinately silent on the subject. </w:t>
      </w:r>
    </w:p>
    <w:p w14:paraId="7AE5A84F" w14:textId="2A485A4E" w:rsidR="00864CFA" w:rsidRDefault="00864CFA"/>
    <w:p w14:paraId="12EB80D0" w14:textId="0DEC10A3" w:rsidR="00142F7C" w:rsidRDefault="0084187E">
      <w:pPr>
        <w:rPr>
          <w:b/>
        </w:rPr>
      </w:pPr>
      <w:r>
        <w:rPr>
          <w:b/>
        </w:rPr>
        <w:t xml:space="preserve">The </w:t>
      </w:r>
      <w:r w:rsidR="00142F7C" w:rsidRPr="00142F7C">
        <w:rPr>
          <w:b/>
        </w:rPr>
        <w:t>stake</w:t>
      </w:r>
      <w:r>
        <w:rPr>
          <w:b/>
        </w:rPr>
        <w:t xml:space="preserve"> of religion</w:t>
      </w:r>
      <w:r w:rsidR="00142F7C" w:rsidRPr="00142F7C">
        <w:rPr>
          <w:b/>
        </w:rPr>
        <w:t xml:space="preserve"> in </w:t>
      </w:r>
      <w:r>
        <w:rPr>
          <w:b/>
        </w:rPr>
        <w:t xml:space="preserve">the </w:t>
      </w:r>
      <w:r w:rsidR="00142F7C" w:rsidRPr="00142F7C">
        <w:rPr>
          <w:b/>
        </w:rPr>
        <w:t>sex</w:t>
      </w:r>
      <w:r>
        <w:rPr>
          <w:b/>
        </w:rPr>
        <w:t>uality</w:t>
      </w:r>
      <w:r w:rsidR="00142F7C" w:rsidRPr="00142F7C">
        <w:rPr>
          <w:b/>
        </w:rPr>
        <w:t xml:space="preserve"> and gender discourse</w:t>
      </w:r>
    </w:p>
    <w:p w14:paraId="636E99A2" w14:textId="77777777" w:rsidR="00531150" w:rsidRDefault="00531150">
      <w:pPr>
        <w:rPr>
          <w:b/>
        </w:rPr>
      </w:pPr>
    </w:p>
    <w:p w14:paraId="2508C0A2" w14:textId="7C24AF54" w:rsidR="00531150" w:rsidRDefault="00B34BE5">
      <w:r>
        <w:t xml:space="preserve">Legal victories and politically correct official statements notwithstanding, the lived realities of people of the LGBTQIA+ community are still far from ideal. They still battle immense cultural and structural violence in the forms of social stigma, homo and </w:t>
      </w:r>
      <w:proofErr w:type="spellStart"/>
      <w:r>
        <w:t>transphobias</w:t>
      </w:r>
      <w:proofErr w:type="spellEnd"/>
      <w:r>
        <w:t xml:space="preserve">, lack of opportunities, </w:t>
      </w:r>
      <w:r w:rsidR="00722DED">
        <w:t xml:space="preserve">and </w:t>
      </w:r>
      <w:r>
        <w:t>workplace discrimination</w:t>
      </w:r>
      <w:r w:rsidR="00127877">
        <w:t xml:space="preserve">. Legal recourse is not enough to counter such deep prejudices. One must understand where they stem from, and simultaneously work at altering those schemas.  </w:t>
      </w:r>
    </w:p>
    <w:p w14:paraId="266715B7" w14:textId="77777777" w:rsidR="00127877" w:rsidRDefault="00127877"/>
    <w:p w14:paraId="7910C1D3" w14:textId="0D7F8DB5" w:rsidR="00E350DA" w:rsidRDefault="00D86594" w:rsidP="007D675A">
      <w:r>
        <w:t xml:space="preserve">Sociological </w:t>
      </w:r>
      <w:r w:rsidR="003355EC">
        <w:t>perspectives are useful in understanding the role religions</w:t>
      </w:r>
      <w:r>
        <w:t xml:space="preserve"> play </w:t>
      </w:r>
      <w:r w:rsidR="003355EC">
        <w:t>in</w:t>
      </w:r>
      <w:r>
        <w:t xml:space="preserve"> establishing </w:t>
      </w:r>
      <w:r w:rsidR="003355EC">
        <w:t xml:space="preserve">normative gender roles and sexual </w:t>
      </w:r>
      <w:proofErr w:type="spellStart"/>
      <w:r w:rsidR="003355EC">
        <w:t>behaviours</w:t>
      </w:r>
      <w:proofErr w:type="spellEnd"/>
      <w:r w:rsidR="003355EC">
        <w:t xml:space="preserve">. </w:t>
      </w:r>
      <w:r w:rsidR="0085438F">
        <w:t xml:space="preserve">Emile Durkheim </w:t>
      </w:r>
      <w:r w:rsidR="007D675A">
        <w:t xml:space="preserve">famously defined religion as “...a unified system of beliefs and practices relative to sacred things, that is to say, things set apart and forbidden – beliefs and practices which unite into one single moral community called a Church all who adhere to them.” </w:t>
      </w:r>
    </w:p>
    <w:p w14:paraId="01AFFE06" w14:textId="77777777" w:rsidR="00E350DA" w:rsidRDefault="00E350DA" w:rsidP="007D675A"/>
    <w:p w14:paraId="0B1A50E4" w14:textId="10C43FD7" w:rsidR="005B6284" w:rsidRDefault="00BF1B63" w:rsidP="007D675A">
      <w:r>
        <w:t xml:space="preserve">From the mythology of a religious tradition stem several archetypes that are upheld as models of being and conduct in society. </w:t>
      </w:r>
      <w:r w:rsidR="0084187E">
        <w:t xml:space="preserve">According to </w:t>
      </w:r>
      <w:proofErr w:type="spellStart"/>
      <w:r w:rsidR="0084187E">
        <w:t>Ellingson</w:t>
      </w:r>
      <w:bookmarkStart w:id="0" w:name="_GoBack"/>
      <w:bookmarkEnd w:id="0"/>
      <w:proofErr w:type="spellEnd"/>
      <w:r w:rsidR="0084187E">
        <w:t xml:space="preserve"> sexuality is the primary ground on which human relationships are judged as right or wrong, good or bad, legitimate or illegitimate. </w:t>
      </w:r>
      <w:r w:rsidR="005B6284">
        <w:t xml:space="preserve">He posits three main dimensions of the religious-mythical narrative </w:t>
      </w:r>
      <w:r w:rsidR="00E809FC">
        <w:t>through which</w:t>
      </w:r>
      <w:r w:rsidR="005B6284">
        <w:t xml:space="preserve"> legitimation</w:t>
      </w:r>
      <w:r w:rsidR="00E809FC">
        <w:t xml:space="preserve"> is offered</w:t>
      </w:r>
      <w:r w:rsidR="005B6284">
        <w:t xml:space="preserve">. These include fecundity – reasons and conditions for reproduction; gender binary – the natural/god-made classification of two decisive genders; and power &amp; domination – </w:t>
      </w:r>
      <w:r w:rsidR="009F055D">
        <w:t xml:space="preserve">hierarchies and </w:t>
      </w:r>
      <w:r w:rsidR="005B6284">
        <w:t xml:space="preserve">prescriptive gender/sexual group </w:t>
      </w:r>
      <w:proofErr w:type="spellStart"/>
      <w:r w:rsidR="009F055D">
        <w:t>behaviours</w:t>
      </w:r>
      <w:proofErr w:type="spellEnd"/>
      <w:r w:rsidR="009F055D">
        <w:t xml:space="preserve">. </w:t>
      </w:r>
    </w:p>
    <w:p w14:paraId="6AA7B082" w14:textId="77777777" w:rsidR="001851A5" w:rsidRDefault="001851A5" w:rsidP="007D675A"/>
    <w:p w14:paraId="7D62F2CA" w14:textId="7FD5F0A5" w:rsidR="0021180A" w:rsidRDefault="0084187E" w:rsidP="007D675A">
      <w:r>
        <w:t>“Through myths and religious practices, human sexuality is channeled into socially and religiously meaningful avenues that relate bodies to one another in morally legitimate and illegitimate ways.”</w:t>
      </w:r>
      <w:sdt>
        <w:sdtPr>
          <w:id w:val="-247188825"/>
          <w:citation/>
        </w:sdtPr>
        <w:sdtContent>
          <w:r w:rsidR="005B6284">
            <w:fldChar w:fldCharType="begin"/>
          </w:r>
          <w:r w:rsidR="005B6284">
            <w:instrText xml:space="preserve"> CITATION Ste02 \l 1033 </w:instrText>
          </w:r>
          <w:r w:rsidR="005B6284">
            <w:fldChar w:fldCharType="separate"/>
          </w:r>
          <w:r w:rsidR="005B6284">
            <w:rPr>
              <w:noProof/>
            </w:rPr>
            <w:t xml:space="preserve"> (Ellingson)</w:t>
          </w:r>
          <w:r w:rsidR="005B6284">
            <w:fldChar w:fldCharType="end"/>
          </w:r>
        </w:sdtContent>
      </w:sdt>
      <w:r w:rsidR="005B6284">
        <w:t xml:space="preserve"> He further expl</w:t>
      </w:r>
      <w:r w:rsidR="009F055D">
        <w:t>ains the reasons for conflict between</w:t>
      </w:r>
      <w:r w:rsidR="005B6284">
        <w:t xml:space="preserve"> social and religious discourse</w:t>
      </w:r>
      <w:r w:rsidR="009F055D">
        <w:t xml:space="preserve"> saying, “Because it (religion) operates by appeal to </w:t>
      </w:r>
      <w:proofErr w:type="spellStart"/>
      <w:r w:rsidR="009F055D">
        <w:t>extrahuman</w:t>
      </w:r>
      <w:proofErr w:type="spellEnd"/>
      <w:r w:rsidR="009F055D">
        <w:t xml:space="preserve"> sources of legitimation, the process of </w:t>
      </w:r>
      <w:r w:rsidR="009F055D" w:rsidRPr="009F055D">
        <w:rPr>
          <w:i/>
        </w:rPr>
        <w:t>meaning construction</w:t>
      </w:r>
      <w:r w:rsidR="005B6284">
        <w:t xml:space="preserve"> </w:t>
      </w:r>
      <w:r w:rsidR="009F055D">
        <w:t>may be manifested in the violence of religious domination and oppression, or as a contradictory force demanding justice and liberation from oppression.</w:t>
      </w:r>
      <w:r w:rsidR="0021180A">
        <w:t>”</w:t>
      </w:r>
      <w:r w:rsidR="009F055D">
        <w:t xml:space="preserve"> </w:t>
      </w:r>
    </w:p>
    <w:p w14:paraId="3E2B49A3" w14:textId="77777777" w:rsidR="001851A5" w:rsidRDefault="001851A5" w:rsidP="007D675A"/>
    <w:p w14:paraId="719ECB74" w14:textId="77777777" w:rsidR="004671A9" w:rsidRDefault="00E809FC" w:rsidP="007D675A">
      <w:r>
        <w:t>In this case, t</w:t>
      </w:r>
      <w:r w:rsidR="0021180A">
        <w:t>he enforcers, dominators</w:t>
      </w:r>
      <w:r>
        <w:t>,</w:t>
      </w:r>
      <w:r w:rsidR="0021180A">
        <w:t xml:space="preserve"> and perpetrators of violence would be </w:t>
      </w:r>
      <w:r>
        <w:t xml:space="preserve">religious leaders (belonging to) or </w:t>
      </w:r>
      <w:r w:rsidR="0021180A">
        <w:t xml:space="preserve">religious bodies such as Christian churches or Hindu </w:t>
      </w:r>
      <w:proofErr w:type="spellStart"/>
      <w:r w:rsidR="0021180A">
        <w:rPr>
          <w:i/>
        </w:rPr>
        <w:t>mathas</w:t>
      </w:r>
      <w:proofErr w:type="spellEnd"/>
      <w:r w:rsidR="0021180A">
        <w:rPr>
          <w:i/>
        </w:rPr>
        <w:t xml:space="preserve"> </w:t>
      </w:r>
      <w:r>
        <w:t>or monasteries;</w:t>
      </w:r>
      <w:r w:rsidR="0021180A">
        <w:t xml:space="preserve"> </w:t>
      </w:r>
      <w:r>
        <w:t xml:space="preserve">and the contradictory force demanding justice and liberation would be the queer community and activists. </w:t>
      </w:r>
      <w:r w:rsidR="00271955">
        <w:t xml:space="preserve">The former fights to uphold the traditional definitions of relationships and roles, while the latter fights for acceptance with new definitions. </w:t>
      </w:r>
    </w:p>
    <w:p w14:paraId="5B11632F" w14:textId="77777777" w:rsidR="004671A9" w:rsidRDefault="004671A9" w:rsidP="007D675A"/>
    <w:p w14:paraId="2A72C12D" w14:textId="7142ED50" w:rsidR="00271955" w:rsidRPr="004209CF" w:rsidRDefault="004671A9" w:rsidP="007D675A">
      <w:pPr>
        <w:rPr>
          <w:lang w:val="en-IN"/>
        </w:rPr>
      </w:pPr>
      <w:r>
        <w:t>Scientific and legal testimonies are limited in their effectiveness to bring about change and acceptance, for faith is far more deep-rooted in collective consciousness and powerful in its instigations. It would serve well to remember that the DSM (</w:t>
      </w:r>
      <w:r w:rsidRPr="004671A9">
        <w:rPr>
          <w:lang w:val="en-IN"/>
        </w:rPr>
        <w:t>The </w:t>
      </w:r>
      <w:r w:rsidRPr="004671A9">
        <w:rPr>
          <w:bCs/>
          <w:lang w:val="en-IN"/>
        </w:rPr>
        <w:t>Diagnostic and Statistical Manual</w:t>
      </w:r>
      <w:r w:rsidRPr="004671A9">
        <w:rPr>
          <w:lang w:val="en-IN"/>
        </w:rPr>
        <w:t> of Mental Disorders</w:t>
      </w:r>
      <w:r>
        <w:rPr>
          <w:lang w:val="en-IN"/>
        </w:rPr>
        <w:t>) declassified homosexuality as a disease as early as 1973 in its second edition</w:t>
      </w:r>
      <w:sdt>
        <w:sdtPr>
          <w:rPr>
            <w:lang w:val="en-IN"/>
          </w:rPr>
          <w:id w:val="-2074579166"/>
          <w:citation/>
        </w:sdtPr>
        <w:sdtContent>
          <w:r>
            <w:rPr>
              <w:lang w:val="en-IN"/>
            </w:rPr>
            <w:fldChar w:fldCharType="begin"/>
          </w:r>
          <w:r>
            <w:instrText xml:space="preserve"> CITATION Jac15 \l 1033 </w:instrText>
          </w:r>
          <w:r>
            <w:rPr>
              <w:lang w:val="en-IN"/>
            </w:rPr>
            <w:fldChar w:fldCharType="separate"/>
          </w:r>
          <w:r>
            <w:rPr>
              <w:noProof/>
            </w:rPr>
            <w:t xml:space="preserve"> (Drescher)</w:t>
          </w:r>
          <w:r>
            <w:rPr>
              <w:lang w:val="en-IN"/>
            </w:rPr>
            <w:fldChar w:fldCharType="end"/>
          </w:r>
        </w:sdtContent>
      </w:sdt>
      <w:r>
        <w:rPr>
          <w:lang w:val="en-IN"/>
        </w:rPr>
        <w:t xml:space="preserve">, and yet </w:t>
      </w:r>
      <w:r w:rsidR="004209CF">
        <w:rPr>
          <w:lang w:val="en-IN"/>
        </w:rPr>
        <w:t xml:space="preserve">‘cures’ for homosexuality continue to be offered by religious practitioners the world over. </w:t>
      </w:r>
    </w:p>
    <w:p w14:paraId="62FD1F44" w14:textId="77777777" w:rsidR="00271955" w:rsidRDefault="00271955" w:rsidP="007D675A"/>
    <w:p w14:paraId="480C1FFE" w14:textId="7ABE30A2" w:rsidR="00C313B7" w:rsidRDefault="00271955" w:rsidP="007D675A">
      <w:r>
        <w:t xml:space="preserve">A couple of myths and scriptural </w:t>
      </w:r>
      <w:r w:rsidR="004209CF">
        <w:t xml:space="preserve">injunctions from the Bible and the sacred Hindu texts will help illustrate the archetypes that become normative in the eyes of the layperson. </w:t>
      </w:r>
      <w:r w:rsidR="00430C30">
        <w:t>G</w:t>
      </w:r>
      <w:r w:rsidR="00B05E3A">
        <w:t xml:space="preserve">enesis </w:t>
      </w:r>
      <w:r w:rsidR="0048777A">
        <w:t xml:space="preserve">or creation </w:t>
      </w:r>
      <w:r w:rsidR="00B05E3A">
        <w:t xml:space="preserve">myths are among the </w:t>
      </w:r>
      <w:proofErr w:type="gramStart"/>
      <w:r w:rsidR="00B05E3A">
        <w:t>best-</w:t>
      </w:r>
      <w:r w:rsidR="00430C30">
        <w:t>k</w:t>
      </w:r>
      <w:r w:rsidR="00C313B7">
        <w:t>nown</w:t>
      </w:r>
      <w:proofErr w:type="gramEnd"/>
      <w:r w:rsidR="00C313B7">
        <w:t xml:space="preserve"> and most pervasive in </w:t>
      </w:r>
      <w:r w:rsidR="00430C30">
        <w:t>religious communities</w:t>
      </w:r>
      <w:r w:rsidR="00C313B7">
        <w:t>,</w:t>
      </w:r>
      <w:r w:rsidR="00B05E3A">
        <w:t xml:space="preserve"> and serve as excellent examples of understanding </w:t>
      </w:r>
      <w:r w:rsidR="00C313B7">
        <w:t xml:space="preserve">of how </w:t>
      </w:r>
      <w:r w:rsidR="00B05E3A">
        <w:t>gender and sexuality schemas</w:t>
      </w:r>
      <w:r w:rsidR="00C313B7">
        <w:t xml:space="preserve"> are established</w:t>
      </w:r>
      <w:r w:rsidR="00B05E3A">
        <w:t>.</w:t>
      </w:r>
    </w:p>
    <w:p w14:paraId="30436841" w14:textId="77777777" w:rsidR="00C313B7" w:rsidRDefault="00C313B7" w:rsidP="007D675A"/>
    <w:p w14:paraId="4257FC06" w14:textId="64EBE048" w:rsidR="00271955" w:rsidRPr="00B704B2" w:rsidRDefault="00C313B7" w:rsidP="007D675A">
      <w:pPr>
        <w:rPr>
          <w:b/>
        </w:rPr>
      </w:pPr>
      <w:r w:rsidRPr="00B704B2">
        <w:rPr>
          <w:b/>
        </w:rPr>
        <w:t>Genesis myth</w:t>
      </w:r>
      <w:r w:rsidR="00B53F02">
        <w:rPr>
          <w:b/>
        </w:rPr>
        <w:t xml:space="preserve">s </w:t>
      </w:r>
      <w:r w:rsidR="00562522">
        <w:rPr>
          <w:b/>
        </w:rPr>
        <w:t xml:space="preserve">and scriptural injunctions </w:t>
      </w:r>
      <w:r w:rsidR="00B53F02">
        <w:rPr>
          <w:b/>
        </w:rPr>
        <w:t>as foundations for gender roles</w:t>
      </w:r>
    </w:p>
    <w:p w14:paraId="1DB4C6F6" w14:textId="77777777" w:rsidR="001851A5" w:rsidRDefault="001851A5" w:rsidP="007D675A"/>
    <w:p w14:paraId="289E7929" w14:textId="0AEB0EF1" w:rsidR="00665860" w:rsidRDefault="00B53F02" w:rsidP="007D675A">
      <w:r>
        <w:t xml:space="preserve">Genesis </w:t>
      </w:r>
      <w:r w:rsidR="00665860">
        <w:t xml:space="preserve">or </w:t>
      </w:r>
      <w:proofErr w:type="spellStart"/>
      <w:r w:rsidR="00665860">
        <w:t>cosmogonic</w:t>
      </w:r>
      <w:proofErr w:type="spellEnd"/>
      <w:r w:rsidR="00665860">
        <w:t xml:space="preserve"> </w:t>
      </w:r>
      <w:r>
        <w:t>myths are profoundly imprinted in the collective consciousness of every society, for they answer foundational questions about existence</w:t>
      </w:r>
      <w:r w:rsidR="00EA7646">
        <w:t>.</w:t>
      </w:r>
      <w:r>
        <w:t xml:space="preserve"> Who started life and when? How and from where did we</w:t>
      </w:r>
      <w:r w:rsidR="00680E58">
        <w:t>,</w:t>
      </w:r>
      <w:r>
        <w:t xml:space="preserve"> and this world</w:t>
      </w:r>
      <w:r w:rsidR="00680E58">
        <w:t>,</w:t>
      </w:r>
      <w:r>
        <w:t xml:space="preserve"> come to be? </w:t>
      </w:r>
      <w:r w:rsidR="00680E58">
        <w:t xml:space="preserve">These creation stories often </w:t>
      </w:r>
      <w:r w:rsidR="00EA7646">
        <w:t xml:space="preserve">feature a primeval couple – world parents – whose union kick starts life on earth. </w:t>
      </w:r>
    </w:p>
    <w:p w14:paraId="6CAACECC" w14:textId="77777777" w:rsidR="00665860" w:rsidRDefault="00665860" w:rsidP="007D675A"/>
    <w:p w14:paraId="562D2ABE" w14:textId="77777777" w:rsidR="00D923B6" w:rsidRDefault="000B7D31" w:rsidP="007D675A">
      <w:r>
        <w:t xml:space="preserve">For example in Maori mythology, the union of the sky father, </w:t>
      </w:r>
      <w:proofErr w:type="spellStart"/>
      <w:r>
        <w:t>Rangi</w:t>
      </w:r>
      <w:proofErr w:type="spellEnd"/>
      <w:r>
        <w:t xml:space="preserve">, and the earth mother, Papa, </w:t>
      </w:r>
      <w:r w:rsidR="00B9331F">
        <w:t>sets forth life in motion</w:t>
      </w:r>
      <w:sdt>
        <w:sdtPr>
          <w:id w:val="-2139710874"/>
          <w:citation/>
        </w:sdtPr>
        <w:sdtContent>
          <w:r w:rsidR="00E11015">
            <w:fldChar w:fldCharType="begin"/>
          </w:r>
          <w:r w:rsidR="00E11015">
            <w:instrText xml:space="preserve"> CITATION Ale20 \l 1033 </w:instrText>
          </w:r>
          <w:r w:rsidR="00E11015">
            <w:fldChar w:fldCharType="separate"/>
          </w:r>
          <w:r w:rsidR="00E11015">
            <w:rPr>
              <w:noProof/>
            </w:rPr>
            <w:t xml:space="preserve"> (Shand)</w:t>
          </w:r>
          <w:r w:rsidR="00E11015">
            <w:fldChar w:fldCharType="end"/>
          </w:r>
        </w:sdtContent>
      </w:sdt>
      <w:r w:rsidR="00B9331F">
        <w:t>. In Greek mythology, Gaia and Uranus perform similar functions</w:t>
      </w:r>
      <w:sdt>
        <w:sdtPr>
          <w:id w:val="-1356347114"/>
          <w:citation/>
        </w:sdtPr>
        <w:sdtContent>
          <w:r w:rsidR="00B878C9">
            <w:fldChar w:fldCharType="begin"/>
          </w:r>
          <w:r w:rsidR="00B878C9">
            <w:instrText xml:space="preserve"> CITATION CSc05 \l 1033 </w:instrText>
          </w:r>
          <w:r w:rsidR="00B878C9">
            <w:fldChar w:fldCharType="separate"/>
          </w:r>
          <w:r w:rsidR="00B878C9">
            <w:rPr>
              <w:noProof/>
            </w:rPr>
            <w:t xml:space="preserve"> (Littleton)</w:t>
          </w:r>
          <w:r w:rsidR="00B878C9">
            <w:fldChar w:fldCharType="end"/>
          </w:r>
        </w:sdtContent>
      </w:sdt>
      <w:r w:rsidR="00B9331F">
        <w:t xml:space="preserve">. In the </w:t>
      </w:r>
      <w:r w:rsidR="00AC754E">
        <w:t xml:space="preserve">Jewish and Christian traditions, </w:t>
      </w:r>
      <w:r w:rsidR="00B9331F">
        <w:t>this role is assigned to Adam and Eve</w:t>
      </w:r>
      <w:r w:rsidR="00AC754E">
        <w:t xml:space="preserve"> in the book of Genesis</w:t>
      </w:r>
      <w:r w:rsidR="00E91B1F">
        <w:t>.</w:t>
      </w:r>
      <w:r w:rsidR="00AC754E">
        <w:t xml:space="preserve"> </w:t>
      </w:r>
      <w:r w:rsidR="00E91B1F">
        <w:t xml:space="preserve">In the Hindu context, </w:t>
      </w:r>
      <w:r w:rsidR="0048777A">
        <w:t>the creator god, Brahma</w:t>
      </w:r>
      <w:r w:rsidR="00DB6804">
        <w:t>/Manu</w:t>
      </w:r>
      <w:r w:rsidR="0048777A">
        <w:t xml:space="preserve"> and his consort, </w:t>
      </w:r>
      <w:proofErr w:type="spellStart"/>
      <w:r w:rsidR="0048777A">
        <w:t>Saraswati</w:t>
      </w:r>
      <w:proofErr w:type="spellEnd"/>
      <w:r w:rsidR="00DB6804">
        <w:t>/</w:t>
      </w:r>
      <w:r w:rsidR="00665860">
        <w:t xml:space="preserve"> </w:t>
      </w:r>
      <w:proofErr w:type="spellStart"/>
      <w:r w:rsidR="00DB6804">
        <w:t>Shatarupa</w:t>
      </w:r>
      <w:proofErr w:type="spellEnd"/>
      <w:r w:rsidR="0048777A">
        <w:t xml:space="preserve"> were respo</w:t>
      </w:r>
      <w:r w:rsidR="00DB6804">
        <w:t>nsible for creation</w:t>
      </w:r>
      <w:sdt>
        <w:sdtPr>
          <w:id w:val="301966311"/>
          <w:citation/>
        </w:sdtPr>
        <w:sdtContent>
          <w:r w:rsidR="00DB6804">
            <w:fldChar w:fldCharType="begin"/>
          </w:r>
          <w:r w:rsidR="00DB6804">
            <w:instrText xml:space="preserve"> CITATION Joh93 \l 1033 </w:instrText>
          </w:r>
          <w:r w:rsidR="00DB6804">
            <w:fldChar w:fldCharType="separate"/>
          </w:r>
          <w:r w:rsidR="00DB6804">
            <w:rPr>
              <w:noProof/>
            </w:rPr>
            <w:t xml:space="preserve"> (McLeish)</w:t>
          </w:r>
          <w:r w:rsidR="00DB6804">
            <w:fldChar w:fldCharType="end"/>
          </w:r>
        </w:sdtContent>
      </w:sdt>
      <w:r w:rsidR="00DB6804">
        <w:t>.</w:t>
      </w:r>
      <w:r w:rsidR="00665860">
        <w:t xml:space="preserve"> </w:t>
      </w:r>
    </w:p>
    <w:p w14:paraId="73618D9E" w14:textId="77777777" w:rsidR="00D923B6" w:rsidRDefault="00D923B6" w:rsidP="007D675A"/>
    <w:p w14:paraId="01DBDA5D" w14:textId="77777777" w:rsidR="00DC3690" w:rsidRDefault="00665860" w:rsidP="009611BF">
      <w:r>
        <w:t xml:space="preserve">These heteronormative </w:t>
      </w:r>
      <w:proofErr w:type="spellStart"/>
      <w:r>
        <w:t>extrahuman</w:t>
      </w:r>
      <w:proofErr w:type="spellEnd"/>
      <w:r>
        <w:t xml:space="preserve"> relationships become the </w:t>
      </w:r>
      <w:r w:rsidR="00D923B6">
        <w:t xml:space="preserve">reference points for relational rules in any given society. They come to broadly define the function and role of genders, the manner and end of sexual acts and thereby their acceptability. Models from mythology </w:t>
      </w:r>
      <w:r w:rsidR="00333E01">
        <w:t xml:space="preserve">– embedded as they are in scriptural frameworks – </w:t>
      </w:r>
      <w:r w:rsidR="00D923B6">
        <w:t xml:space="preserve">are held up as examples of all that is right and good, and any acts or agents who do not follow these leads are branded deviants. </w:t>
      </w:r>
      <w:r w:rsidR="00333E01">
        <w:t>It is not uncommon among Hindus, for example, to seek ‘</w:t>
      </w:r>
      <w:proofErr w:type="spellStart"/>
      <w:r w:rsidR="00333E01">
        <w:t>Sita</w:t>
      </w:r>
      <w:proofErr w:type="spellEnd"/>
      <w:r w:rsidR="00333E01">
        <w:t xml:space="preserve">’-like qualities in a prospective bride. </w:t>
      </w:r>
      <w:proofErr w:type="spellStart"/>
      <w:r w:rsidR="00333E01">
        <w:t>Sita</w:t>
      </w:r>
      <w:proofErr w:type="spellEnd"/>
      <w:r w:rsidR="00333E01">
        <w:t xml:space="preserve"> is a mythical character and goddess from the Indian epic, Ramayana, who typifies the virtuous, chaste, ever-sup</w:t>
      </w:r>
      <w:r w:rsidR="00AA3851">
        <w:t xml:space="preserve">portive and unquestioning </w:t>
      </w:r>
      <w:r w:rsidR="00333E01">
        <w:t>wife</w:t>
      </w:r>
      <w:r w:rsidR="00703297">
        <w:t xml:space="preserve">. </w:t>
      </w:r>
    </w:p>
    <w:p w14:paraId="53D0F9A7" w14:textId="77777777" w:rsidR="00DC3690" w:rsidRDefault="00DC3690" w:rsidP="009611BF"/>
    <w:p w14:paraId="1225E18B" w14:textId="438EF2DC" w:rsidR="00E05D62" w:rsidRDefault="00DC3690" w:rsidP="00E05D62">
      <w:r>
        <w:t xml:space="preserve">The suggestions of these myths are strengthened further with direct injunctions in scripture. For example, the Bible makes clear in Genesis 1 and 5 the </w:t>
      </w:r>
      <w:r w:rsidR="00E05D62" w:rsidRPr="00E05D62">
        <w:t>basic, binary and sexually dimorphic nature of human</w:t>
      </w:r>
      <w:r w:rsidR="00E05D62">
        <w:t xml:space="preserve">ity. </w:t>
      </w:r>
      <w:r w:rsidR="00E05D62" w:rsidRPr="00E05D62">
        <w:t xml:space="preserve">  </w:t>
      </w:r>
    </w:p>
    <w:p w14:paraId="5E07B35E" w14:textId="77777777" w:rsidR="00E05D62" w:rsidRDefault="00E05D62" w:rsidP="00E05D62"/>
    <w:p w14:paraId="51D7814D" w14:textId="259B201B" w:rsidR="00E05D62" w:rsidRPr="00E05D62" w:rsidRDefault="00E05D62" w:rsidP="00E05D62">
      <w:pPr>
        <w:rPr>
          <w:rFonts w:eastAsia="Times New Roman" w:cs="Times New Roman"/>
          <w:i/>
          <w:color w:val="000000"/>
          <w:shd w:val="clear" w:color="auto" w:fill="FFFFFF"/>
          <w:lang w:val="en-IN"/>
        </w:rPr>
      </w:pPr>
      <w:r w:rsidRPr="00E05D62">
        <w:rPr>
          <w:rFonts w:eastAsia="Times New Roman" w:cs="Times New Roman"/>
          <w:i/>
          <w:color w:val="000000"/>
          <w:shd w:val="clear" w:color="auto" w:fill="FFFFFF"/>
          <w:lang w:val="en-IN"/>
        </w:rPr>
        <w:t>26 Then God said, “Let us make mankind in our image, in our likeness…</w:t>
      </w:r>
    </w:p>
    <w:p w14:paraId="4B2B838D" w14:textId="77777777" w:rsidR="00E05D62" w:rsidRPr="00E05D62" w:rsidRDefault="00E05D62" w:rsidP="00E05D62">
      <w:pPr>
        <w:rPr>
          <w:rFonts w:eastAsia="Times New Roman" w:cs="Times New Roman"/>
          <w:i/>
          <w:color w:val="000000"/>
          <w:shd w:val="clear" w:color="auto" w:fill="FFFFFF"/>
          <w:lang w:val="en-IN"/>
        </w:rPr>
      </w:pPr>
    </w:p>
    <w:p w14:paraId="093F9B2F" w14:textId="34A14577" w:rsidR="00E05D62" w:rsidRDefault="00E05D62" w:rsidP="00E05D62">
      <w:pPr>
        <w:rPr>
          <w:i/>
        </w:rPr>
      </w:pPr>
      <w:r w:rsidRPr="00E05D62">
        <w:rPr>
          <w:rFonts w:eastAsia="Times New Roman" w:cs="Times New Roman"/>
          <w:i/>
          <w:color w:val="000000"/>
          <w:shd w:val="clear" w:color="auto" w:fill="FFFFFF"/>
          <w:lang w:val="en-IN"/>
        </w:rPr>
        <w:t>27 So God created mankind in his own image,</w:t>
      </w:r>
      <w:r w:rsidRPr="00E05D62">
        <w:rPr>
          <w:rFonts w:eastAsia="Times New Roman" w:cs="Times New Roman"/>
          <w:i/>
          <w:color w:val="000000"/>
          <w:shd w:val="clear" w:color="auto" w:fill="FFFFFF"/>
          <w:lang w:val="en-IN"/>
        </w:rPr>
        <w:br/>
        <w:t>  </w:t>
      </w:r>
      <w:r w:rsidR="00B00EAD">
        <w:rPr>
          <w:rFonts w:eastAsia="Times New Roman" w:cs="Times New Roman"/>
          <w:i/>
          <w:color w:val="000000"/>
          <w:shd w:val="clear" w:color="auto" w:fill="FFFFFF"/>
          <w:lang w:val="en-IN"/>
        </w:rPr>
        <w:t xml:space="preserve"> </w:t>
      </w:r>
      <w:r w:rsidRPr="00E05D62">
        <w:rPr>
          <w:rFonts w:eastAsia="Times New Roman" w:cs="Times New Roman"/>
          <w:i/>
          <w:color w:val="000000"/>
          <w:shd w:val="clear" w:color="auto" w:fill="FFFFFF"/>
          <w:lang w:val="en-IN"/>
        </w:rPr>
        <w:t>  in the image of God he created them;</w:t>
      </w:r>
      <w:r w:rsidRPr="00E05D62">
        <w:rPr>
          <w:rFonts w:eastAsia="Times New Roman" w:cs="Times New Roman"/>
          <w:i/>
          <w:color w:val="000000"/>
          <w:shd w:val="clear" w:color="auto" w:fill="FFFFFF"/>
          <w:lang w:val="en-IN"/>
        </w:rPr>
        <w:br/>
        <w:t>  </w:t>
      </w:r>
      <w:r w:rsidR="00B00EAD">
        <w:rPr>
          <w:rFonts w:eastAsia="Times New Roman" w:cs="Times New Roman"/>
          <w:i/>
          <w:color w:val="000000"/>
          <w:shd w:val="clear" w:color="auto" w:fill="FFFFFF"/>
          <w:lang w:val="en-IN"/>
        </w:rPr>
        <w:t xml:space="preserve"> </w:t>
      </w:r>
      <w:r w:rsidRPr="00E05D62">
        <w:rPr>
          <w:rFonts w:eastAsia="Times New Roman" w:cs="Times New Roman"/>
          <w:i/>
          <w:color w:val="000000"/>
          <w:shd w:val="clear" w:color="auto" w:fill="FFFFFF"/>
          <w:lang w:val="en-IN"/>
        </w:rPr>
        <w:t>  male and female he created them.</w:t>
      </w:r>
      <w:r>
        <w:rPr>
          <w:rFonts w:eastAsia="Times New Roman" w:cs="Times New Roman"/>
          <w:i/>
          <w:color w:val="000000"/>
          <w:shd w:val="clear" w:color="auto" w:fill="FFFFFF"/>
          <w:lang w:val="en-IN"/>
        </w:rPr>
        <w:t xml:space="preserve"> </w:t>
      </w:r>
      <w:r w:rsidRPr="00E05D62">
        <w:rPr>
          <w:i/>
        </w:rPr>
        <w:t>(Gen 1:26-27)  </w:t>
      </w:r>
    </w:p>
    <w:p w14:paraId="701F251B" w14:textId="77777777" w:rsidR="00945F62" w:rsidRDefault="00945F62" w:rsidP="00E05D62">
      <w:pPr>
        <w:rPr>
          <w:i/>
        </w:rPr>
      </w:pPr>
    </w:p>
    <w:p w14:paraId="79FDD5FD" w14:textId="29F2A865" w:rsidR="00945F62" w:rsidRDefault="00945F62" w:rsidP="00945F62">
      <w:pPr>
        <w:rPr>
          <w:rFonts w:eastAsia="Times New Roman" w:cs="Times New Roman"/>
          <w:b/>
          <w:bCs/>
          <w:i/>
          <w:color w:val="000000"/>
          <w:shd w:val="clear" w:color="auto" w:fill="FFFFFF"/>
          <w:vertAlign w:val="superscript"/>
          <w:lang w:val="en-IN"/>
        </w:rPr>
      </w:pPr>
      <w:r>
        <w:rPr>
          <w:rFonts w:eastAsia="Times New Roman" w:cs="Times New Roman"/>
          <w:i/>
          <w:color w:val="000000"/>
          <w:shd w:val="clear" w:color="auto" w:fill="FFFFFF"/>
          <w:lang w:val="en-IN"/>
        </w:rPr>
        <w:t xml:space="preserve">1 </w:t>
      </w:r>
      <w:r w:rsidR="00B00EAD">
        <w:rPr>
          <w:rFonts w:eastAsia="Times New Roman" w:cs="Times New Roman"/>
          <w:i/>
          <w:color w:val="000000"/>
          <w:shd w:val="clear" w:color="auto" w:fill="FFFFFF"/>
          <w:lang w:val="en-IN"/>
        </w:rPr>
        <w:t xml:space="preserve"> </w:t>
      </w:r>
      <w:r w:rsidRPr="00945F62">
        <w:rPr>
          <w:rFonts w:eastAsia="Times New Roman" w:cs="Times New Roman"/>
          <w:i/>
          <w:color w:val="000000"/>
          <w:shd w:val="clear" w:color="auto" w:fill="FFFFFF"/>
          <w:lang w:val="en-IN"/>
        </w:rPr>
        <w:t>When God created mankind, he made them in the likeness of God. </w:t>
      </w:r>
    </w:p>
    <w:p w14:paraId="17D0A92E" w14:textId="4C6EB57C" w:rsidR="00945F62" w:rsidRPr="00945F62" w:rsidRDefault="00945F62" w:rsidP="00945F62">
      <w:pPr>
        <w:rPr>
          <w:rFonts w:eastAsia="Times New Roman" w:cs="Times New Roman"/>
          <w:i/>
          <w:color w:val="000000"/>
          <w:shd w:val="clear" w:color="auto" w:fill="FFFFFF"/>
          <w:lang w:val="en-IN"/>
        </w:rPr>
      </w:pPr>
      <w:r>
        <w:rPr>
          <w:rFonts w:eastAsia="Times New Roman" w:cs="Times New Roman"/>
          <w:i/>
          <w:color w:val="000000"/>
          <w:shd w:val="clear" w:color="auto" w:fill="FFFFFF"/>
          <w:lang w:val="en-IN"/>
        </w:rPr>
        <w:t xml:space="preserve">2 </w:t>
      </w:r>
      <w:r w:rsidR="00B00EAD">
        <w:rPr>
          <w:rFonts w:eastAsia="Times New Roman" w:cs="Times New Roman"/>
          <w:i/>
          <w:color w:val="000000"/>
          <w:shd w:val="clear" w:color="auto" w:fill="FFFFFF"/>
          <w:lang w:val="en-IN"/>
        </w:rPr>
        <w:t xml:space="preserve"> </w:t>
      </w:r>
      <w:r>
        <w:rPr>
          <w:rFonts w:eastAsia="Times New Roman" w:cs="Times New Roman"/>
          <w:i/>
          <w:color w:val="000000"/>
          <w:shd w:val="clear" w:color="auto" w:fill="FFFFFF"/>
          <w:lang w:val="en-IN"/>
        </w:rPr>
        <w:t>H</w:t>
      </w:r>
      <w:r w:rsidRPr="00945F62">
        <w:rPr>
          <w:rFonts w:eastAsia="Times New Roman" w:cs="Times New Roman"/>
          <w:i/>
          <w:color w:val="000000"/>
          <w:shd w:val="clear" w:color="auto" w:fill="FFFFFF"/>
          <w:lang w:val="en-IN"/>
        </w:rPr>
        <w:t>e created them male and female and blessed them. And he named the</w:t>
      </w:r>
      <w:r w:rsidR="00B00EAD">
        <w:rPr>
          <w:rFonts w:eastAsia="Times New Roman" w:cs="Times New Roman"/>
          <w:i/>
          <w:color w:val="000000"/>
          <w:shd w:val="clear" w:color="auto" w:fill="FFFFFF"/>
          <w:lang w:val="en-IN"/>
        </w:rPr>
        <w:t xml:space="preserve">m                                                              </w:t>
      </w:r>
      <w:r w:rsidRPr="00945F62">
        <w:rPr>
          <w:rFonts w:eastAsia="Times New Roman" w:cs="Times New Roman"/>
          <w:i/>
          <w:color w:val="000000"/>
          <w:shd w:val="clear" w:color="auto" w:fill="FFFFFF"/>
          <w:lang w:val="en-IN"/>
        </w:rPr>
        <w:t>“Manki</w:t>
      </w:r>
      <w:r>
        <w:rPr>
          <w:rFonts w:eastAsia="Times New Roman" w:cs="Times New Roman"/>
          <w:i/>
          <w:color w:val="000000"/>
          <w:shd w:val="clear" w:color="auto" w:fill="FFFFFF"/>
          <w:lang w:val="en-IN"/>
        </w:rPr>
        <w:t>nd”</w:t>
      </w:r>
      <w:r w:rsidRPr="00945F62">
        <w:rPr>
          <w:rFonts w:eastAsia="Times New Roman" w:cs="Times New Roman"/>
          <w:i/>
          <w:color w:val="000000"/>
          <w:shd w:val="clear" w:color="auto" w:fill="FFFFFF"/>
          <w:lang w:val="en-IN"/>
        </w:rPr>
        <w:t> when they were created.</w:t>
      </w:r>
      <w:r>
        <w:rPr>
          <w:rFonts w:eastAsia="Times New Roman" w:cs="Times New Roman"/>
          <w:i/>
          <w:color w:val="000000"/>
          <w:shd w:val="clear" w:color="auto" w:fill="FFFFFF"/>
          <w:lang w:val="en-IN"/>
        </w:rPr>
        <w:t xml:space="preserve"> (Gen. 5:1-2)</w:t>
      </w:r>
    </w:p>
    <w:p w14:paraId="3EF29419" w14:textId="77777777" w:rsidR="00E05D62" w:rsidRDefault="00E05D62" w:rsidP="00E05D62"/>
    <w:p w14:paraId="687907FE" w14:textId="17949EFF" w:rsidR="00E05D62" w:rsidRDefault="007350B3" w:rsidP="00E05D62">
      <w:r>
        <w:t xml:space="preserve">Further, in Matthew, </w:t>
      </w:r>
      <w:r w:rsidR="00E05D62">
        <w:t>Jesus rules out any other possibility</w:t>
      </w:r>
      <w:r>
        <w:t xml:space="preserve"> in the gender paradigm of creation when he says:</w:t>
      </w:r>
    </w:p>
    <w:p w14:paraId="6AD2A954" w14:textId="77777777" w:rsidR="007350B3" w:rsidRDefault="007350B3" w:rsidP="00E05D62"/>
    <w:p w14:paraId="543C45AD" w14:textId="77777777" w:rsidR="0019061D" w:rsidRDefault="007350B3" w:rsidP="0019061D">
      <w:pPr>
        <w:rPr>
          <w:i/>
          <w:lang w:val="en-IN"/>
        </w:rPr>
      </w:pPr>
      <w:r w:rsidRPr="007350B3">
        <w:rPr>
          <w:i/>
        </w:rPr>
        <w:t>4</w:t>
      </w:r>
      <w:r>
        <w:t xml:space="preserve"> </w:t>
      </w:r>
      <w:r w:rsidRPr="007350B3">
        <w:rPr>
          <w:i/>
          <w:lang w:val="en-IN"/>
        </w:rPr>
        <w:t>“Haven’t you read,” he replied, “that at the beginning the Creator ‘made them male and female,</w:t>
      </w:r>
      <w:r>
        <w:rPr>
          <w:i/>
          <w:lang w:val="en-IN"/>
        </w:rPr>
        <w:t xml:space="preserve"> </w:t>
      </w:r>
    </w:p>
    <w:p w14:paraId="6938D2CA" w14:textId="590F13A6" w:rsidR="0019061D" w:rsidRDefault="0019061D" w:rsidP="0019061D">
      <w:pPr>
        <w:rPr>
          <w:i/>
          <w:lang w:val="en-IN"/>
        </w:rPr>
      </w:pPr>
      <w:r>
        <w:rPr>
          <w:i/>
          <w:lang w:val="en-IN"/>
        </w:rPr>
        <w:t xml:space="preserve">5 </w:t>
      </w:r>
      <w:r w:rsidRPr="0019061D">
        <w:rPr>
          <w:i/>
          <w:lang w:val="en-IN"/>
        </w:rPr>
        <w:t>and said, ‘For this reason a man will leave his father and mother and be united to his wife, and the two will become one flesh’? </w:t>
      </w:r>
    </w:p>
    <w:p w14:paraId="73DD5B7A" w14:textId="3271AAF6" w:rsidR="00DC3690" w:rsidRDefault="0019061D" w:rsidP="0019061D">
      <w:pPr>
        <w:rPr>
          <w:i/>
          <w:lang w:val="en-IN"/>
        </w:rPr>
      </w:pPr>
      <w:r>
        <w:rPr>
          <w:i/>
          <w:lang w:val="en-IN"/>
        </w:rPr>
        <w:t>6 S</w:t>
      </w:r>
      <w:r w:rsidRPr="0019061D">
        <w:rPr>
          <w:i/>
          <w:lang w:val="en-IN"/>
        </w:rPr>
        <w:t xml:space="preserve">o they are no longer two, but one flesh. Therefore what God has joined together, let no one separate.” </w:t>
      </w:r>
      <w:r w:rsidR="007350B3">
        <w:rPr>
          <w:i/>
          <w:lang w:val="en-IN"/>
        </w:rPr>
        <w:t>(Matt. 19:4</w:t>
      </w:r>
      <w:r>
        <w:rPr>
          <w:i/>
          <w:lang w:val="en-IN"/>
        </w:rPr>
        <w:t>-6</w:t>
      </w:r>
      <w:r w:rsidR="007350B3">
        <w:rPr>
          <w:i/>
          <w:lang w:val="en-IN"/>
        </w:rPr>
        <w:t>)</w:t>
      </w:r>
    </w:p>
    <w:p w14:paraId="4461469D" w14:textId="77777777" w:rsidR="0019061D" w:rsidRDefault="0019061D" w:rsidP="009611BF">
      <w:pPr>
        <w:rPr>
          <w:i/>
          <w:lang w:val="en-IN"/>
        </w:rPr>
      </w:pPr>
    </w:p>
    <w:p w14:paraId="62DED252" w14:textId="08FBB9DA" w:rsidR="0019061D" w:rsidRDefault="0019061D" w:rsidP="009611BF">
      <w:pPr>
        <w:rPr>
          <w:lang w:val="en-IN"/>
        </w:rPr>
      </w:pPr>
      <w:r>
        <w:rPr>
          <w:lang w:val="en-IN"/>
        </w:rPr>
        <w:t xml:space="preserve">The implication here seems clear: that biological gender and sexuality are irrevocably linked, and the latter is a natural and only possible consequence of the former. Further, the sexual nature and role of the two genders is also fixed. </w:t>
      </w:r>
      <w:r w:rsidR="001961A9">
        <w:rPr>
          <w:lang w:val="en-IN"/>
        </w:rPr>
        <w:t>Further, any manner of sexual perversions – especially implied homosexuality</w:t>
      </w:r>
      <w:sdt>
        <w:sdtPr>
          <w:rPr>
            <w:lang w:val="en-IN"/>
          </w:rPr>
          <w:id w:val="-6838289"/>
          <w:citation/>
        </w:sdtPr>
        <w:sdtContent>
          <w:r w:rsidR="00DD2D4B">
            <w:rPr>
              <w:lang w:val="en-IN"/>
            </w:rPr>
            <w:fldChar w:fldCharType="begin"/>
          </w:r>
          <w:r w:rsidR="00DD2D4B">
            <w:instrText xml:space="preserve"> CITATION Car99 \l 1033 </w:instrText>
          </w:r>
          <w:r w:rsidR="00DD2D4B">
            <w:rPr>
              <w:lang w:val="en-IN"/>
            </w:rPr>
            <w:fldChar w:fldCharType="separate"/>
          </w:r>
          <w:r w:rsidR="00DD2D4B">
            <w:rPr>
              <w:noProof/>
            </w:rPr>
            <w:t xml:space="preserve"> (Carden)</w:t>
          </w:r>
          <w:r w:rsidR="00DD2D4B">
            <w:rPr>
              <w:lang w:val="en-IN"/>
            </w:rPr>
            <w:fldChar w:fldCharType="end"/>
          </w:r>
        </w:sdtContent>
      </w:sdt>
      <w:r w:rsidR="001961A9">
        <w:rPr>
          <w:lang w:val="en-IN"/>
        </w:rPr>
        <w:t xml:space="preserve"> – are denounced through several references to the story of Sodom and Gomorrah</w:t>
      </w:r>
      <w:r w:rsidR="00DD2D4B">
        <w:rPr>
          <w:lang w:val="en-IN"/>
        </w:rPr>
        <w:t xml:space="preserve"> such as in Genesis 19 and Jude 1:7</w:t>
      </w:r>
      <w:r w:rsidR="009A1B40">
        <w:rPr>
          <w:lang w:val="en-IN"/>
        </w:rPr>
        <w:t>. The proclamation in Leviticus is however, the most damning as it says,</w:t>
      </w:r>
    </w:p>
    <w:p w14:paraId="21C47651" w14:textId="77777777" w:rsidR="009A1B40" w:rsidRDefault="009A1B40" w:rsidP="009611BF">
      <w:pPr>
        <w:rPr>
          <w:lang w:val="en-IN"/>
        </w:rPr>
      </w:pPr>
    </w:p>
    <w:p w14:paraId="5151C827" w14:textId="58E56EC5" w:rsidR="009A1B40" w:rsidRPr="009A1B40" w:rsidRDefault="009A1B40" w:rsidP="009A1B40">
      <w:pPr>
        <w:rPr>
          <w:lang w:val="en-IN"/>
        </w:rPr>
      </w:pPr>
      <w:r>
        <w:rPr>
          <w:i/>
          <w:iCs/>
          <w:lang w:val="en-IN"/>
        </w:rPr>
        <w:t>22 “</w:t>
      </w:r>
      <w:r w:rsidRPr="009A1B40">
        <w:rPr>
          <w:i/>
          <w:iCs/>
          <w:lang w:val="en-IN"/>
        </w:rPr>
        <w:t>Thou shalt not lie with mankind as with womankind: it is abomination. Do not lie with a man as one lies with a woman; that is detestable" </w:t>
      </w:r>
      <w:r>
        <w:rPr>
          <w:lang w:val="en-IN"/>
        </w:rPr>
        <w:t>(Lev.18:22)</w:t>
      </w:r>
    </w:p>
    <w:p w14:paraId="4C27FA0B" w14:textId="77777777" w:rsidR="00370C67" w:rsidRDefault="00370C67" w:rsidP="009611BF">
      <w:pPr>
        <w:rPr>
          <w:lang w:val="en-IN"/>
        </w:rPr>
      </w:pPr>
    </w:p>
    <w:p w14:paraId="524570D8" w14:textId="060E9771" w:rsidR="009A1B40" w:rsidRDefault="009A1B40" w:rsidP="009611BF">
      <w:pPr>
        <w:rPr>
          <w:lang w:val="en-IN"/>
        </w:rPr>
      </w:pPr>
      <w:r>
        <w:rPr>
          <w:lang w:val="en-IN"/>
        </w:rPr>
        <w:t xml:space="preserve">As for </w:t>
      </w:r>
      <w:r w:rsidR="00370C67">
        <w:rPr>
          <w:lang w:val="en-IN"/>
        </w:rPr>
        <w:t>Hinduism</w:t>
      </w:r>
      <w:r>
        <w:rPr>
          <w:lang w:val="en-IN"/>
        </w:rPr>
        <w:t>, it</w:t>
      </w:r>
      <w:r w:rsidR="00370C67">
        <w:rPr>
          <w:lang w:val="en-IN"/>
        </w:rPr>
        <w:t xml:space="preserve"> does not have a central scripture in the way Christi</w:t>
      </w:r>
      <w:r>
        <w:rPr>
          <w:lang w:val="en-IN"/>
        </w:rPr>
        <w:t xml:space="preserve">anity does. Consequently, </w:t>
      </w:r>
      <w:r w:rsidR="00370C67">
        <w:rPr>
          <w:lang w:val="en-IN"/>
        </w:rPr>
        <w:t>there are no specific codes about gender ide</w:t>
      </w:r>
      <w:r w:rsidR="001A6C1B">
        <w:rPr>
          <w:lang w:val="en-IN"/>
        </w:rPr>
        <w:t xml:space="preserve">ntity or alternate sexualities, although traditional gender roles are prescribed in </w:t>
      </w:r>
      <w:r w:rsidR="001A6C1B" w:rsidRPr="00370C67">
        <w:rPr>
          <w:i/>
          <w:lang w:val="en-IN"/>
        </w:rPr>
        <w:t>shastra</w:t>
      </w:r>
      <w:r w:rsidR="001A6C1B">
        <w:rPr>
          <w:lang w:val="en-IN"/>
        </w:rPr>
        <w:t xml:space="preserve"> and </w:t>
      </w:r>
      <w:r w:rsidR="001A6C1B" w:rsidRPr="00370C67">
        <w:rPr>
          <w:i/>
          <w:lang w:val="en-IN"/>
        </w:rPr>
        <w:t xml:space="preserve">smriti </w:t>
      </w:r>
      <w:r w:rsidR="001A6C1B">
        <w:rPr>
          <w:lang w:val="en-IN"/>
        </w:rPr>
        <w:t xml:space="preserve">literature such as the infamous Manusmriti. </w:t>
      </w:r>
      <w:r w:rsidR="0065649F">
        <w:rPr>
          <w:lang w:val="en-IN"/>
        </w:rPr>
        <w:t>For example,</w:t>
      </w:r>
    </w:p>
    <w:p w14:paraId="6DDE5923" w14:textId="77777777" w:rsidR="0065649F" w:rsidRDefault="0065649F" w:rsidP="009611BF">
      <w:pPr>
        <w:rPr>
          <w:lang w:val="en-IN"/>
        </w:rPr>
      </w:pPr>
    </w:p>
    <w:p w14:paraId="128620D7" w14:textId="77777777" w:rsidR="0065649F" w:rsidRDefault="0065649F" w:rsidP="0065649F">
      <w:pPr>
        <w:rPr>
          <w:i/>
        </w:rPr>
      </w:pPr>
      <w:r w:rsidRPr="0065649F">
        <w:rPr>
          <w:i/>
        </w:rPr>
        <w:t xml:space="preserve">It is the duty of a man to keep his woman in control, letting her being dependent on him, and do the same while being a father, a brother, a husband, and a son. Also, women should be guarded against all evils of the society, because an unguarded woman causes sorrow to both the families [1-7]. </w:t>
      </w:r>
    </w:p>
    <w:p w14:paraId="6A893816" w14:textId="77777777" w:rsidR="00896AC9" w:rsidRDefault="00896AC9" w:rsidP="0065649F">
      <w:pPr>
        <w:rPr>
          <w:i/>
        </w:rPr>
      </w:pPr>
    </w:p>
    <w:p w14:paraId="25A6ECAC" w14:textId="3072B2B6" w:rsidR="0065649F" w:rsidRPr="0065649F" w:rsidRDefault="0065649F" w:rsidP="0065649F">
      <w:pPr>
        <w:rPr>
          <w:i/>
        </w:rPr>
      </w:pPr>
      <w:r w:rsidRPr="0065649F">
        <w:rPr>
          <w:i/>
        </w:rPr>
        <w:t xml:space="preserve">The husband enters his wife and becomes an embryo himself, in the form of his son. In order to keep his progeny clean, he should be more cautious towards guarding her [9-10]. </w:t>
      </w:r>
      <w:sdt>
        <w:sdtPr>
          <w:rPr>
            <w:i/>
          </w:rPr>
          <w:id w:val="2134057260"/>
          <w:citation/>
        </w:sdtPr>
        <w:sdtContent>
          <w:r>
            <w:rPr>
              <w:i/>
            </w:rPr>
            <w:fldChar w:fldCharType="begin"/>
          </w:r>
          <w:r>
            <w:rPr>
              <w:i/>
            </w:rPr>
            <w:instrText xml:space="preserve"> CITATION Vas15 \l 1033 </w:instrText>
          </w:r>
          <w:r>
            <w:rPr>
              <w:i/>
            </w:rPr>
            <w:fldChar w:fldCharType="separate"/>
          </w:r>
          <w:r>
            <w:rPr>
              <w:noProof/>
            </w:rPr>
            <w:t>(Vashisht)</w:t>
          </w:r>
          <w:r>
            <w:rPr>
              <w:i/>
            </w:rPr>
            <w:fldChar w:fldCharType="end"/>
          </w:r>
        </w:sdtContent>
      </w:sdt>
    </w:p>
    <w:p w14:paraId="1F8353EC" w14:textId="77777777" w:rsidR="009A1B40" w:rsidRDefault="009A1B40" w:rsidP="009611BF">
      <w:pPr>
        <w:rPr>
          <w:lang w:val="en-IN"/>
        </w:rPr>
      </w:pPr>
    </w:p>
    <w:p w14:paraId="34B05C8D" w14:textId="4D06F8CB" w:rsidR="00370C67" w:rsidRDefault="001A6C1B" w:rsidP="009611BF">
      <w:pPr>
        <w:rPr>
          <w:lang w:val="en-IN"/>
        </w:rPr>
      </w:pPr>
      <w:r>
        <w:rPr>
          <w:lang w:val="en-IN"/>
        </w:rPr>
        <w:t xml:space="preserve">Notably though, there </w:t>
      </w:r>
      <w:r w:rsidR="00370C67">
        <w:rPr>
          <w:lang w:val="en-IN"/>
        </w:rPr>
        <w:t xml:space="preserve">is substantial queer representation in Hindu/ ancient Indian </w:t>
      </w:r>
      <w:r>
        <w:rPr>
          <w:lang w:val="en-IN"/>
        </w:rPr>
        <w:t>art and literature, and some of these will be discussed later in the paper.</w:t>
      </w:r>
    </w:p>
    <w:p w14:paraId="51B0E011" w14:textId="77777777" w:rsidR="00AA3851" w:rsidRDefault="00AA3851" w:rsidP="007D675A"/>
    <w:p w14:paraId="30D64FB1" w14:textId="4259C49D" w:rsidR="000D3360" w:rsidRPr="00A450C8" w:rsidRDefault="000479B5" w:rsidP="007D675A">
      <w:pPr>
        <w:rPr>
          <w:b/>
        </w:rPr>
      </w:pPr>
      <w:r>
        <w:rPr>
          <w:b/>
        </w:rPr>
        <w:t>Comparative theology and shrinking the hermeneutical circle</w:t>
      </w:r>
    </w:p>
    <w:p w14:paraId="76A8DF15" w14:textId="77777777" w:rsidR="00665860" w:rsidRDefault="00665860" w:rsidP="009611BF"/>
    <w:p w14:paraId="6890A1CD" w14:textId="76CD159B" w:rsidR="004E6F64" w:rsidRDefault="002F549B" w:rsidP="009611BF">
      <w:r>
        <w:t xml:space="preserve">Outside the </w:t>
      </w:r>
      <w:r w:rsidR="0060183F">
        <w:t xml:space="preserve">academic </w:t>
      </w:r>
      <w:r>
        <w:t>universe of mythologists and social scientists</w:t>
      </w:r>
      <w:r w:rsidR="003915F4">
        <w:t xml:space="preserve">, </w:t>
      </w:r>
      <w:r>
        <w:t xml:space="preserve">many hold these ‘stories’ to be </w:t>
      </w:r>
      <w:r w:rsidR="0019061D">
        <w:t>binding</w:t>
      </w:r>
      <w:r>
        <w:t xml:space="preserve"> facts</w:t>
      </w:r>
      <w:r w:rsidR="00A25417">
        <w:t xml:space="preserve">. </w:t>
      </w:r>
      <w:r>
        <w:t>The</w:t>
      </w:r>
      <w:r w:rsidR="00A25417">
        <w:t xml:space="preserve"> faithful see these as divinely </w:t>
      </w:r>
      <w:r>
        <w:t>revealed truths that are timeless and universal</w:t>
      </w:r>
      <w:r w:rsidR="00A25417">
        <w:t xml:space="preserve">. There are even </w:t>
      </w:r>
      <w:r w:rsidR="000B4378">
        <w:t>truth claims via</w:t>
      </w:r>
      <w:r w:rsidR="00A25417">
        <w:t xml:space="preserve"> historicity, as demonstrated in increasingly popular fields of study such as Biblical Archaeology.</w:t>
      </w:r>
      <w:r w:rsidR="000B4378">
        <w:t xml:space="preserve"> As such, notions of ‘gender’ and ‘sexuality’ are or seem unassailable. </w:t>
      </w:r>
      <w:r w:rsidR="004E6F64">
        <w:t>For those in the queer community arguing with religious authorities, the fight is not just for social acceptanc</w:t>
      </w:r>
      <w:r w:rsidR="004D4A93">
        <w:t>e</w:t>
      </w:r>
      <w:r w:rsidR="004E6F64">
        <w:t xml:space="preserve">. Often, it is laced with a very real fear of </w:t>
      </w:r>
      <w:r w:rsidR="009A1B40">
        <w:t xml:space="preserve">committing sin and thereby, </w:t>
      </w:r>
      <w:r w:rsidR="004E6F64">
        <w:t>not finding a place in heaven</w:t>
      </w:r>
      <w:sdt>
        <w:sdtPr>
          <w:id w:val="-1818183211"/>
          <w:citation/>
        </w:sdtPr>
        <w:sdtContent>
          <w:r w:rsidR="004D4A93">
            <w:fldChar w:fldCharType="begin"/>
          </w:r>
          <w:r w:rsidR="004D4A93">
            <w:instrText xml:space="preserve"> CITATION Edw18 \l 1033 </w:instrText>
          </w:r>
          <w:r w:rsidR="004D4A93">
            <w:fldChar w:fldCharType="separate"/>
          </w:r>
          <w:r w:rsidR="004D4A93">
            <w:rPr>
              <w:noProof/>
            </w:rPr>
            <w:t xml:space="preserve"> (Edward F. Lomash)</w:t>
          </w:r>
          <w:r w:rsidR="004D4A93">
            <w:fldChar w:fldCharType="end"/>
          </w:r>
        </w:sdtContent>
      </w:sdt>
      <w:r w:rsidR="004E6F64">
        <w:t>.</w:t>
      </w:r>
    </w:p>
    <w:p w14:paraId="747999E6" w14:textId="77777777" w:rsidR="004E6F64" w:rsidRDefault="004E6F64" w:rsidP="009611BF"/>
    <w:p w14:paraId="4A44DC03" w14:textId="77777777" w:rsidR="00C0020D" w:rsidRDefault="000B4378" w:rsidP="009611BF">
      <w:r>
        <w:t xml:space="preserve">Any attempts at dialogue with the faithful in the domains of gender and sexuality, then, must be made with theological rather than theoretical sensibilities. </w:t>
      </w:r>
      <w:r w:rsidR="004D4A93">
        <w:t xml:space="preserve">The counter appeals, assertions and affirmations must be wrought through mythology rooted in scripture, for it offers far more sanctity and legitimacy to a group than any manuals of psychology or court rulings can. </w:t>
      </w:r>
      <w:r w:rsidR="007D27DE">
        <w:t xml:space="preserve">This is especially true for the group </w:t>
      </w:r>
      <w:proofErr w:type="spellStart"/>
      <w:r w:rsidR="007D27DE">
        <w:t>Schimmel</w:t>
      </w:r>
      <w:proofErr w:type="spellEnd"/>
      <w:r w:rsidR="007D27DE">
        <w:t xml:space="preserve"> calls</w:t>
      </w:r>
      <w:r w:rsidR="00FB0398">
        <w:t xml:space="preserve"> ‘scriptural fundamentalists’ or persons ‘who believe and affirm with a certainty that God has literally authored and revealed a “sacred scripture” that is inerrant and infallible, and that this “sacred scripture” is absolutely authoritative for all humankind.’ </w:t>
      </w:r>
      <w:sdt>
        <w:sdtPr>
          <w:id w:val="1435174781"/>
          <w:citation/>
        </w:sdtPr>
        <w:sdtContent>
          <w:r w:rsidR="00FB0398">
            <w:fldChar w:fldCharType="begin"/>
          </w:r>
          <w:r w:rsidR="00FB0398">
            <w:instrText xml:space="preserve"> CITATION Sol08 \l 1033 </w:instrText>
          </w:r>
          <w:r w:rsidR="00FB0398">
            <w:fldChar w:fldCharType="separate"/>
          </w:r>
          <w:r w:rsidR="00FB0398">
            <w:rPr>
              <w:noProof/>
            </w:rPr>
            <w:t>(Schimmel)</w:t>
          </w:r>
          <w:r w:rsidR="00FB0398">
            <w:fldChar w:fldCharType="end"/>
          </w:r>
        </w:sdtContent>
      </w:sdt>
      <w:r w:rsidR="00C0020D">
        <w:t xml:space="preserve"> </w:t>
      </w:r>
    </w:p>
    <w:p w14:paraId="4BB61A3A" w14:textId="0ABBD76C" w:rsidR="00C0020D" w:rsidRPr="00C0020D" w:rsidRDefault="00C0020D" w:rsidP="00C0020D">
      <w:r>
        <w:t>He cites the assertions of p</w:t>
      </w:r>
      <w:r w:rsidRPr="00C0020D">
        <w:t xml:space="preserve">rominent and influential evangelical Protestant theologian, Wayne </w:t>
      </w:r>
      <w:proofErr w:type="spellStart"/>
      <w:r w:rsidRPr="00C0020D">
        <w:t>Grudem</w:t>
      </w:r>
      <w:proofErr w:type="spellEnd"/>
      <w:r>
        <w:t xml:space="preserve"> as examples of such fundamentalism.</w:t>
      </w:r>
    </w:p>
    <w:p w14:paraId="2418FBCA" w14:textId="77777777" w:rsidR="00C0020D" w:rsidRPr="00C0020D" w:rsidRDefault="00C0020D" w:rsidP="00C0020D"/>
    <w:p w14:paraId="4964089E" w14:textId="77777777" w:rsidR="00C0020D" w:rsidRDefault="00C0020D" w:rsidP="00C0020D">
      <w:r>
        <w:t>“</w:t>
      </w:r>
      <w:r w:rsidRPr="00C0020D">
        <w:t xml:space="preserve">All the words in the Old and in the New Testaments are the words of God. Anyone who believes that even one word of Scripture is not from </w:t>
      </w:r>
      <w:proofErr w:type="gramStart"/>
      <w:r w:rsidRPr="00C0020D">
        <w:t>God,</w:t>
      </w:r>
      <w:proofErr w:type="gramEnd"/>
      <w:r w:rsidRPr="00C0020D">
        <w:t xml:space="preserve"> does not believe in God. Anyone who disobeys any word from Scripture has disobeyed God.</w:t>
      </w:r>
      <w:r>
        <w:t xml:space="preserve">” </w:t>
      </w:r>
    </w:p>
    <w:p w14:paraId="53813839" w14:textId="77777777" w:rsidR="00C0020D" w:rsidRDefault="00C0020D" w:rsidP="00C0020D"/>
    <w:p w14:paraId="726F7EAA" w14:textId="50B45033" w:rsidR="00DC3690" w:rsidRDefault="00C0020D" w:rsidP="00C0020D">
      <w:r>
        <w:t>“</w:t>
      </w:r>
      <w:r w:rsidRPr="00C0020D">
        <w:t>All of the words in Scripture are completely true and without error in any part.</w:t>
      </w:r>
      <w:r>
        <w:t>”</w:t>
      </w:r>
      <w:sdt>
        <w:sdtPr>
          <w:id w:val="1595592198"/>
          <w:citation/>
        </w:sdtPr>
        <w:sdtContent>
          <w:r>
            <w:fldChar w:fldCharType="begin"/>
          </w:r>
          <w:r>
            <w:instrText xml:space="preserve">CITATION Sol08 \p 101-102 \l 1033 </w:instrText>
          </w:r>
          <w:r>
            <w:fldChar w:fldCharType="separate"/>
          </w:r>
          <w:r>
            <w:rPr>
              <w:noProof/>
            </w:rPr>
            <w:t xml:space="preserve"> (Schimmel 101-102)</w:t>
          </w:r>
          <w:r>
            <w:fldChar w:fldCharType="end"/>
          </w:r>
        </w:sdtContent>
      </w:sdt>
    </w:p>
    <w:p w14:paraId="24C78A37" w14:textId="77777777" w:rsidR="00A12E16" w:rsidRDefault="00A12E16" w:rsidP="009611BF"/>
    <w:p w14:paraId="202B3346" w14:textId="77777777" w:rsidR="00FD53F8" w:rsidRDefault="00A12E16" w:rsidP="009611BF">
      <w:r>
        <w:t>In the recent years, the field of queer theology has emerged through intersections in fields of theology and queer theory, but it has largely been by way of reinterpreting sections of the Gospel</w:t>
      </w:r>
      <w:sdt>
        <w:sdtPr>
          <w:id w:val="1829165859"/>
          <w:citation/>
        </w:sdtPr>
        <w:sdtContent>
          <w:r>
            <w:fldChar w:fldCharType="begin"/>
          </w:r>
          <w:r>
            <w:instrText xml:space="preserve"> CITATION Cla01 \l 1033 </w:instrText>
          </w:r>
          <w:r>
            <w:fldChar w:fldCharType="separate"/>
          </w:r>
          <w:r>
            <w:rPr>
              <w:noProof/>
            </w:rPr>
            <w:t xml:space="preserve"> (Bardella)</w:t>
          </w:r>
          <w:r>
            <w:fldChar w:fldCharType="end"/>
          </w:r>
        </w:sdtContent>
      </w:sdt>
      <w:r w:rsidR="00773555">
        <w:t xml:space="preserve">. The Bible itself </w:t>
      </w:r>
      <w:r w:rsidR="00A62835">
        <w:t>offers</w:t>
      </w:r>
      <w:r w:rsidR="00773555">
        <w:t xml:space="preserve"> little or no direct affirmations for queer identity. </w:t>
      </w:r>
    </w:p>
    <w:p w14:paraId="1BD75CB5" w14:textId="77777777" w:rsidR="00FD53F8" w:rsidRDefault="00FD53F8" w:rsidP="009611BF"/>
    <w:p w14:paraId="160E207F" w14:textId="50A6B940" w:rsidR="00A12E16" w:rsidRDefault="00C0020D" w:rsidP="009611BF">
      <w:r>
        <w:t>Hindu scriptures and religious art, on the other hand, offer a surprisingly large number of instances o</w:t>
      </w:r>
      <w:r w:rsidR="00450536">
        <w:t xml:space="preserve">f queer identity and inclusion. Offering these scriptural examples to Christian believers using a comparative theological approach may help shrink the circumference of the hermeneutical circle. </w:t>
      </w:r>
    </w:p>
    <w:p w14:paraId="46040062" w14:textId="77777777" w:rsidR="0039178A" w:rsidRDefault="0039178A" w:rsidP="009611BF"/>
    <w:p w14:paraId="228F83D3" w14:textId="51C722E8" w:rsidR="0039178A" w:rsidRDefault="0039178A" w:rsidP="009611BF">
      <w:r>
        <w:t>The merit of the comparative theological approach as compared to that of comparative religion is that it encompasses and acknowledges theological assumptions of the faiths under consideration</w:t>
      </w:r>
      <w:r w:rsidR="00993C80">
        <w:t>, and therefore, accountable</w:t>
      </w:r>
      <w:r>
        <w:t xml:space="preserve">. This form of comparativism is ‘bilateral’ and </w:t>
      </w:r>
      <w:r w:rsidR="00993C80">
        <w:t>‘heuristic’, and does not assume underlying global, universal patterns or categories</w:t>
      </w:r>
      <w:sdt>
        <w:sdtPr>
          <w:id w:val="1023974386"/>
          <w:citation/>
        </w:sdtPr>
        <w:sdtContent>
          <w:r w:rsidR="00993C80">
            <w:fldChar w:fldCharType="begin"/>
          </w:r>
          <w:r w:rsidR="00993C80">
            <w:instrText xml:space="preserve"> CITATION Rei10 \l 1033 </w:instrText>
          </w:r>
          <w:r w:rsidR="00993C80">
            <w:fldChar w:fldCharType="separate"/>
          </w:r>
          <w:r w:rsidR="00993C80">
            <w:rPr>
              <w:noProof/>
            </w:rPr>
            <w:t xml:space="preserve"> (Nicholson)</w:t>
          </w:r>
          <w:r w:rsidR="00993C80">
            <w:fldChar w:fldCharType="end"/>
          </w:r>
        </w:sdtContent>
      </w:sdt>
      <w:r w:rsidR="00993C80">
        <w:t xml:space="preserve"> of concepts being discussed – as gender and sexuality in this case.</w:t>
      </w:r>
    </w:p>
    <w:p w14:paraId="6C24B1F7" w14:textId="77777777" w:rsidR="00105B59" w:rsidRDefault="00105B59" w:rsidP="009611BF"/>
    <w:p w14:paraId="56CC4F0F" w14:textId="4D366020" w:rsidR="00105B59" w:rsidRDefault="00105B59" w:rsidP="009611BF">
      <w:r>
        <w:t xml:space="preserve">It is important to note that that this approach assumes a certain plurality, an openness to dialogue for practitioners of either faith. A completely exclusionist point of view, that denies the validity of any other religion is unlikely to engage with this method. The following section lists some instances of queer representation and inclusion in the Hindu tradition in light of the aforementioned teachings and practices of the Christian tradition. </w:t>
      </w:r>
    </w:p>
    <w:p w14:paraId="114EE967" w14:textId="77777777" w:rsidR="000270AE" w:rsidRDefault="000270AE" w:rsidP="009611BF"/>
    <w:p w14:paraId="516AE926" w14:textId="77777777" w:rsidR="000B31BA" w:rsidRDefault="000B31BA" w:rsidP="009611BF">
      <w:pPr>
        <w:rPr>
          <w:b/>
        </w:rPr>
      </w:pPr>
    </w:p>
    <w:p w14:paraId="1B5CD562" w14:textId="64E699FC" w:rsidR="000270AE" w:rsidRDefault="000270AE" w:rsidP="009611BF">
      <w:pPr>
        <w:rPr>
          <w:b/>
        </w:rPr>
      </w:pPr>
      <w:r w:rsidRPr="000270AE">
        <w:rPr>
          <w:b/>
        </w:rPr>
        <w:t>Queer representation in sacred Hindu art, literature and culture</w:t>
      </w:r>
    </w:p>
    <w:p w14:paraId="46FC470E" w14:textId="7B40687B" w:rsidR="00DC20C1" w:rsidRDefault="00DC20C1" w:rsidP="009611BF">
      <w:pPr>
        <w:rPr>
          <w:b/>
        </w:rPr>
      </w:pPr>
    </w:p>
    <w:p w14:paraId="573EAD11" w14:textId="3EAB9EC8" w:rsidR="00DC20C1" w:rsidRDefault="00DC4780" w:rsidP="009611BF">
      <w:r>
        <w:t xml:space="preserve">As mentioned above, Hinduism does not have one central scripture. The Bhagavad Gita, which is a section of the epic, ‘Mahabharata’ could be called the first among equals in the literature that Hindus hold sacred. Along with the Mahabharata, the epic ‘Ramayana’, the four Vedas, the Upanishads and the </w:t>
      </w:r>
      <w:proofErr w:type="spellStart"/>
      <w:r>
        <w:t>Puranas</w:t>
      </w:r>
      <w:proofErr w:type="spellEnd"/>
      <w:r>
        <w:t xml:space="preserve"> are texts or groups of texts that may qualify as having some universal scriptural value. </w:t>
      </w:r>
      <w:r w:rsidR="003528B2">
        <w:t xml:space="preserve">In addition, there are </w:t>
      </w:r>
      <w:proofErr w:type="spellStart"/>
      <w:r w:rsidR="003528B2" w:rsidRPr="003528B2">
        <w:rPr>
          <w:i/>
        </w:rPr>
        <w:t>S</w:t>
      </w:r>
      <w:r w:rsidR="0013423A">
        <w:rPr>
          <w:i/>
        </w:rPr>
        <w:t>h</w:t>
      </w:r>
      <w:r w:rsidR="003528B2" w:rsidRPr="003528B2">
        <w:rPr>
          <w:i/>
        </w:rPr>
        <w:t>ruti</w:t>
      </w:r>
      <w:proofErr w:type="spellEnd"/>
      <w:r w:rsidR="0013423A">
        <w:rPr>
          <w:i/>
        </w:rPr>
        <w:t xml:space="preserve"> </w:t>
      </w:r>
      <w:r w:rsidR="0013423A">
        <w:t>(that which is heard)</w:t>
      </w:r>
      <w:r w:rsidR="003528B2" w:rsidRPr="003528B2">
        <w:rPr>
          <w:i/>
        </w:rPr>
        <w:t xml:space="preserve">, </w:t>
      </w:r>
      <w:proofErr w:type="spellStart"/>
      <w:r w:rsidR="003528B2" w:rsidRPr="003528B2">
        <w:rPr>
          <w:i/>
        </w:rPr>
        <w:t>Smriti</w:t>
      </w:r>
      <w:proofErr w:type="spellEnd"/>
      <w:r w:rsidR="003528B2">
        <w:t xml:space="preserve"> </w:t>
      </w:r>
      <w:r w:rsidR="0013423A">
        <w:t xml:space="preserve">(that which is recalled) </w:t>
      </w:r>
      <w:r w:rsidR="003528B2">
        <w:t xml:space="preserve">and </w:t>
      </w:r>
      <w:proofErr w:type="spellStart"/>
      <w:r w:rsidR="003528B2" w:rsidRPr="003528B2">
        <w:rPr>
          <w:i/>
        </w:rPr>
        <w:t>Shastra</w:t>
      </w:r>
      <w:proofErr w:type="spellEnd"/>
      <w:r w:rsidR="003528B2">
        <w:t xml:space="preserve"> </w:t>
      </w:r>
      <w:r w:rsidR="0013423A">
        <w:t xml:space="preserve">(law and philosophy) </w:t>
      </w:r>
      <w:r w:rsidR="003528B2">
        <w:t xml:space="preserve">texts that are also held in some reverence. </w:t>
      </w:r>
      <w:r>
        <w:t xml:space="preserve">Describing the contents, versions and variations of these </w:t>
      </w:r>
      <w:r w:rsidR="003528B2">
        <w:t xml:space="preserve">texts is beyond the scope of this paper, but a few instances of queer </w:t>
      </w:r>
      <w:r w:rsidR="00152C33">
        <w:t xml:space="preserve">representation occur in such sources, thus giving them scriptural veracity. What follows is a list of popular examples – from myth, art and culture – and their respective sources. </w:t>
      </w:r>
    </w:p>
    <w:p w14:paraId="1D28DE9C" w14:textId="77777777" w:rsidR="00245BB0" w:rsidRDefault="00245BB0" w:rsidP="009611BF"/>
    <w:p w14:paraId="4C2849C1" w14:textId="0F2B3EB9" w:rsidR="00152C33" w:rsidRDefault="00152C33" w:rsidP="009611BF"/>
    <w:p w14:paraId="5157C124" w14:textId="4882E90A" w:rsidR="00FD6816" w:rsidRPr="00FD6816" w:rsidRDefault="000B3409" w:rsidP="006F6F23">
      <w:pPr>
        <w:pStyle w:val="ListParagraph"/>
        <w:numPr>
          <w:ilvl w:val="0"/>
          <w:numId w:val="2"/>
        </w:numPr>
        <w:ind w:left="0" w:firstLine="0"/>
      </w:pPr>
      <w:r>
        <w:rPr>
          <w:noProof/>
        </w:rPr>
        <w:drawing>
          <wp:anchor distT="0" distB="0" distL="114300" distR="114300" simplePos="0" relativeHeight="251662336" behindDoc="0" locked="0" layoutInCell="1" allowOverlap="1" wp14:anchorId="0878A91D" wp14:editId="5C463362">
            <wp:simplePos x="0" y="0"/>
            <wp:positionH relativeFrom="margin">
              <wp:posOffset>0</wp:posOffset>
            </wp:positionH>
            <wp:positionV relativeFrom="margin">
              <wp:posOffset>0</wp:posOffset>
            </wp:positionV>
            <wp:extent cx="2290445" cy="3265805"/>
            <wp:effectExtent l="0" t="0" r="0" b="10795"/>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Ardhanarishvara.jpg"/>
                    <pic:cNvPicPr/>
                  </pic:nvPicPr>
                  <pic:blipFill rotWithShape="1">
                    <a:blip r:embed="rId9">
                      <a:extLst>
                        <a:ext uri="{28A0092B-C50C-407E-A947-70E740481C1C}">
                          <a14:useLocalDpi xmlns:a14="http://schemas.microsoft.com/office/drawing/2010/main" val="0"/>
                        </a:ext>
                      </a:extLst>
                    </a:blip>
                    <a:srcRect b="10752"/>
                    <a:stretch/>
                  </pic:blipFill>
                  <pic:spPr bwMode="auto">
                    <a:xfrm>
                      <a:off x="0" y="0"/>
                      <a:ext cx="2290445" cy="326580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C2435E">
        <w:rPr>
          <w:b/>
        </w:rPr>
        <w:t xml:space="preserve"> </w:t>
      </w:r>
      <w:proofErr w:type="spellStart"/>
      <w:r w:rsidR="00152C33" w:rsidRPr="00C2435E">
        <w:rPr>
          <w:b/>
        </w:rPr>
        <w:t>Ardhanarishwara</w:t>
      </w:r>
      <w:proofErr w:type="spellEnd"/>
      <w:r w:rsidR="00372C3B" w:rsidRPr="00C2435E">
        <w:rPr>
          <w:b/>
        </w:rPr>
        <w:t xml:space="preserve">: </w:t>
      </w:r>
      <w:r w:rsidR="00372C3B">
        <w:t>The androgynous form of Shiva</w:t>
      </w:r>
      <w:r w:rsidR="00B0702B">
        <w:t>/</w:t>
      </w:r>
      <w:proofErr w:type="spellStart"/>
      <w:r w:rsidR="00B0702B">
        <w:t>Parvati</w:t>
      </w:r>
      <w:proofErr w:type="spellEnd"/>
      <w:r w:rsidR="00372C3B">
        <w:t xml:space="preserve">, where </w:t>
      </w:r>
      <w:r w:rsidR="00B0702B">
        <w:t>the god and goddess are fused together</w:t>
      </w:r>
      <w:r w:rsidR="00E27C78">
        <w:t xml:space="preserve"> – one half of a male body and one half of the female body – is popular in Hindu iconography. </w:t>
      </w:r>
      <w:r w:rsidR="00B0702B">
        <w:t>It is a representation of the two creative universal forces – the masculine (</w:t>
      </w:r>
      <w:proofErr w:type="spellStart"/>
      <w:r w:rsidR="00B0702B" w:rsidRPr="00C2435E">
        <w:rPr>
          <w:i/>
        </w:rPr>
        <w:t>purusha</w:t>
      </w:r>
      <w:proofErr w:type="spellEnd"/>
      <w:r w:rsidR="00B0702B" w:rsidRPr="00B0702B">
        <w:t>)</w:t>
      </w:r>
      <w:r w:rsidR="00B0702B" w:rsidRPr="00C2435E">
        <w:rPr>
          <w:i/>
        </w:rPr>
        <w:t xml:space="preserve"> </w:t>
      </w:r>
      <w:r w:rsidR="00B0702B">
        <w:t xml:space="preserve">and the feminine </w:t>
      </w:r>
      <w:r w:rsidR="00B0702B" w:rsidRPr="00C2435E">
        <w:rPr>
          <w:i/>
        </w:rPr>
        <w:t>(</w:t>
      </w:r>
      <w:proofErr w:type="spellStart"/>
      <w:r w:rsidR="00B0702B" w:rsidRPr="00C2435E">
        <w:rPr>
          <w:i/>
        </w:rPr>
        <w:t>prakriti</w:t>
      </w:r>
      <w:proofErr w:type="spellEnd"/>
      <w:r w:rsidR="00B0702B" w:rsidRPr="00C2435E">
        <w:rPr>
          <w:i/>
        </w:rPr>
        <w:t>)</w:t>
      </w:r>
      <w:r w:rsidR="00B0702B">
        <w:t xml:space="preserve"> – in perfect unity and equality.</w:t>
      </w:r>
      <w:r w:rsidR="00DC6F0B" w:rsidRPr="00C2435E">
        <w:rPr>
          <w:b/>
        </w:rPr>
        <w:t xml:space="preserve"> </w:t>
      </w:r>
      <w:r w:rsidR="00DC6F0B" w:rsidRPr="00DC6F0B">
        <w:t>This icon</w:t>
      </w:r>
      <w:r w:rsidR="00DC6F0B" w:rsidRPr="00C2435E">
        <w:rPr>
          <w:b/>
        </w:rPr>
        <w:t xml:space="preserve"> </w:t>
      </w:r>
      <w:r w:rsidR="00E27C78">
        <w:t xml:space="preserve">occurs as a carving on the walls of many ancient Hindu temples, though this form is rarely worshipped. References to the </w:t>
      </w:r>
      <w:proofErr w:type="spellStart"/>
      <w:r w:rsidR="00E27C78" w:rsidRPr="00C2435E">
        <w:rPr>
          <w:i/>
        </w:rPr>
        <w:t>ardhanarishwara</w:t>
      </w:r>
      <w:proofErr w:type="spellEnd"/>
      <w:r w:rsidR="00E27C78" w:rsidRPr="00C2435E">
        <w:rPr>
          <w:i/>
        </w:rPr>
        <w:t xml:space="preserve"> </w:t>
      </w:r>
      <w:r w:rsidR="00245BB0">
        <w:t xml:space="preserve">(Figure 1) </w:t>
      </w:r>
      <w:r w:rsidR="00E27C78">
        <w:t xml:space="preserve">occur in several </w:t>
      </w:r>
      <w:proofErr w:type="spellStart"/>
      <w:r w:rsidR="00E27C78">
        <w:t>Puranas</w:t>
      </w:r>
      <w:proofErr w:type="spellEnd"/>
      <w:r w:rsidR="00E27C78">
        <w:t xml:space="preserve">, including the </w:t>
      </w:r>
      <w:proofErr w:type="spellStart"/>
      <w:r w:rsidR="0098033A" w:rsidRPr="00C2435E">
        <w:rPr>
          <w:rFonts w:ascii="Cambria" w:hAnsi="Cambria" w:cs="Times Roman"/>
          <w:color w:val="000000"/>
        </w:rPr>
        <w:t>Linga</w:t>
      </w:r>
      <w:proofErr w:type="spellEnd"/>
      <w:r w:rsidR="0098033A" w:rsidRPr="00C2435E">
        <w:rPr>
          <w:rFonts w:ascii="Cambria" w:hAnsi="Cambria" w:cs="Times Roman"/>
          <w:color w:val="000000"/>
        </w:rPr>
        <w:t xml:space="preserve"> </w:t>
      </w:r>
      <w:proofErr w:type="spellStart"/>
      <w:r w:rsidR="0098033A" w:rsidRPr="00C2435E">
        <w:rPr>
          <w:rFonts w:ascii="Cambria" w:hAnsi="Cambria" w:cs="Times Roman"/>
          <w:color w:val="000000"/>
        </w:rPr>
        <w:t>Purana</w:t>
      </w:r>
      <w:proofErr w:type="spellEnd"/>
      <w:r w:rsidR="0098033A" w:rsidRPr="00C2435E">
        <w:rPr>
          <w:rFonts w:ascii="Cambria" w:hAnsi="Cambria" w:cs="Times Roman"/>
          <w:color w:val="000000"/>
        </w:rPr>
        <w:t xml:space="preserve">, </w:t>
      </w:r>
      <w:proofErr w:type="spellStart"/>
      <w:r w:rsidR="0098033A" w:rsidRPr="00C2435E">
        <w:rPr>
          <w:rFonts w:ascii="Cambria" w:hAnsi="Cambria" w:cs="Times Roman"/>
          <w:color w:val="000000"/>
        </w:rPr>
        <w:t>Vayu</w:t>
      </w:r>
      <w:proofErr w:type="spellEnd"/>
      <w:r w:rsidR="0098033A" w:rsidRPr="00C2435E">
        <w:rPr>
          <w:rFonts w:ascii="Cambria" w:hAnsi="Cambria" w:cs="Times Roman"/>
          <w:color w:val="000000"/>
        </w:rPr>
        <w:t xml:space="preserve"> </w:t>
      </w:r>
      <w:proofErr w:type="spellStart"/>
      <w:r w:rsidR="0098033A" w:rsidRPr="00C2435E">
        <w:rPr>
          <w:rFonts w:ascii="Cambria" w:hAnsi="Cambria" w:cs="Times Roman"/>
          <w:color w:val="000000"/>
        </w:rPr>
        <w:t>Purana</w:t>
      </w:r>
      <w:proofErr w:type="spellEnd"/>
      <w:r w:rsidR="0098033A" w:rsidRPr="00C2435E">
        <w:rPr>
          <w:rFonts w:ascii="Cambria" w:hAnsi="Cambria" w:cs="Times Roman"/>
          <w:color w:val="000000"/>
        </w:rPr>
        <w:t xml:space="preserve">, Vishnu </w:t>
      </w:r>
      <w:proofErr w:type="spellStart"/>
      <w:r w:rsidR="0098033A" w:rsidRPr="00C2435E">
        <w:rPr>
          <w:rFonts w:ascii="Cambria" w:hAnsi="Cambria" w:cs="Times Roman"/>
          <w:color w:val="000000"/>
        </w:rPr>
        <w:t>Purana</w:t>
      </w:r>
      <w:proofErr w:type="spellEnd"/>
      <w:r w:rsidR="0098033A" w:rsidRPr="00C2435E">
        <w:rPr>
          <w:rFonts w:ascii="Cambria" w:hAnsi="Cambria" w:cs="Times Roman"/>
          <w:color w:val="000000"/>
        </w:rPr>
        <w:t xml:space="preserve">, </w:t>
      </w:r>
      <w:proofErr w:type="spellStart"/>
      <w:r w:rsidR="0098033A" w:rsidRPr="00C2435E">
        <w:rPr>
          <w:rFonts w:ascii="Cambria" w:hAnsi="Cambria" w:cs="Times Roman"/>
          <w:color w:val="000000"/>
        </w:rPr>
        <w:t>Skanda</w:t>
      </w:r>
      <w:proofErr w:type="spellEnd"/>
      <w:r w:rsidR="0098033A" w:rsidRPr="00C2435E">
        <w:rPr>
          <w:rFonts w:ascii="Cambria" w:hAnsi="Cambria" w:cs="Times Roman"/>
          <w:color w:val="000000"/>
        </w:rPr>
        <w:t xml:space="preserve"> </w:t>
      </w:r>
      <w:proofErr w:type="spellStart"/>
      <w:r w:rsidR="0098033A" w:rsidRPr="00C2435E">
        <w:rPr>
          <w:rFonts w:ascii="Cambria" w:hAnsi="Cambria" w:cs="Times Roman"/>
          <w:color w:val="000000"/>
        </w:rPr>
        <w:t>Purana</w:t>
      </w:r>
      <w:proofErr w:type="spellEnd"/>
      <w:r w:rsidR="0098033A" w:rsidRPr="00C2435E">
        <w:rPr>
          <w:rFonts w:ascii="Cambria" w:hAnsi="Cambria" w:cs="Times Roman"/>
          <w:color w:val="000000"/>
        </w:rPr>
        <w:t xml:space="preserve">, </w:t>
      </w:r>
      <w:proofErr w:type="spellStart"/>
      <w:r w:rsidR="0098033A" w:rsidRPr="00C2435E">
        <w:rPr>
          <w:rFonts w:ascii="Cambria" w:hAnsi="Cambria" w:cs="Times Roman"/>
          <w:color w:val="000000"/>
        </w:rPr>
        <w:t>Kurma</w:t>
      </w:r>
      <w:proofErr w:type="spellEnd"/>
      <w:r w:rsidR="0098033A" w:rsidRPr="00C2435E">
        <w:rPr>
          <w:rFonts w:ascii="Cambria" w:hAnsi="Cambria" w:cs="Times Roman"/>
          <w:color w:val="000000"/>
        </w:rPr>
        <w:t xml:space="preserve"> </w:t>
      </w:r>
      <w:proofErr w:type="spellStart"/>
      <w:r w:rsidR="0098033A" w:rsidRPr="00C2435E">
        <w:rPr>
          <w:rFonts w:ascii="Cambria" w:hAnsi="Cambria" w:cs="Times Roman"/>
          <w:color w:val="000000"/>
        </w:rPr>
        <w:t>Purana</w:t>
      </w:r>
      <w:proofErr w:type="spellEnd"/>
      <w:r w:rsidR="0098033A" w:rsidRPr="00C2435E">
        <w:rPr>
          <w:rFonts w:ascii="Cambria" w:hAnsi="Cambria" w:cs="Times Roman"/>
          <w:color w:val="000000"/>
        </w:rPr>
        <w:t xml:space="preserve">, and </w:t>
      </w:r>
      <w:proofErr w:type="spellStart"/>
      <w:r w:rsidR="0098033A" w:rsidRPr="00C2435E">
        <w:rPr>
          <w:rFonts w:ascii="Cambria" w:hAnsi="Cambria" w:cs="Times Roman"/>
          <w:color w:val="000000"/>
        </w:rPr>
        <w:t>Markandeya</w:t>
      </w:r>
      <w:proofErr w:type="spellEnd"/>
      <w:r w:rsidR="0098033A" w:rsidRPr="00C2435E">
        <w:rPr>
          <w:rFonts w:ascii="Cambria" w:hAnsi="Cambria" w:cs="Times Roman"/>
          <w:color w:val="000000"/>
        </w:rPr>
        <w:t xml:space="preserve"> </w:t>
      </w:r>
      <w:proofErr w:type="spellStart"/>
      <w:r w:rsidR="0098033A" w:rsidRPr="00C2435E">
        <w:rPr>
          <w:rFonts w:ascii="Cambria" w:hAnsi="Cambria" w:cs="Times Roman"/>
          <w:color w:val="000000"/>
        </w:rPr>
        <w:t>Purana</w:t>
      </w:r>
      <w:proofErr w:type="spellEnd"/>
      <w:r w:rsidR="0098033A" w:rsidRPr="00C2435E">
        <w:rPr>
          <w:rFonts w:ascii="Cambria" w:hAnsi="Cambria" w:cs="Times Roman"/>
          <w:color w:val="000000"/>
        </w:rPr>
        <w:t xml:space="preserve"> as also the Mahabharata</w:t>
      </w:r>
      <w:sdt>
        <w:sdtPr>
          <w:rPr>
            <w:rFonts w:ascii="Cambria" w:hAnsi="Cambria" w:cs="Times Roman"/>
            <w:color w:val="000000"/>
          </w:rPr>
          <w:id w:val="405112185"/>
          <w:citation/>
        </w:sdtPr>
        <w:sdtContent>
          <w:r w:rsidR="003E03FE" w:rsidRPr="00C2435E">
            <w:rPr>
              <w:rFonts w:ascii="Cambria" w:hAnsi="Cambria" w:cs="Times Roman"/>
              <w:color w:val="000000"/>
            </w:rPr>
            <w:fldChar w:fldCharType="begin"/>
          </w:r>
          <w:r w:rsidR="003E03FE" w:rsidRPr="00C2435E">
            <w:rPr>
              <w:rFonts w:ascii="Cambria" w:hAnsi="Cambria" w:cs="Times Roman"/>
              <w:color w:val="000000"/>
            </w:rPr>
            <w:instrText xml:space="preserve"> CITATION Pik15 \l 1033 </w:instrText>
          </w:r>
          <w:r w:rsidR="003E03FE" w:rsidRPr="00C2435E">
            <w:rPr>
              <w:rFonts w:ascii="Cambria" w:hAnsi="Cambria" w:cs="Times Roman"/>
              <w:color w:val="000000"/>
            </w:rPr>
            <w:fldChar w:fldCharType="separate"/>
          </w:r>
          <w:r w:rsidR="003E03FE" w:rsidRPr="00C2435E">
            <w:rPr>
              <w:rFonts w:ascii="Cambria" w:hAnsi="Cambria" w:cs="Times Roman"/>
              <w:noProof/>
              <w:color w:val="000000"/>
            </w:rPr>
            <w:t xml:space="preserve"> (Chowdhury)</w:t>
          </w:r>
          <w:r w:rsidR="003E03FE" w:rsidRPr="00C2435E">
            <w:rPr>
              <w:rFonts w:ascii="Cambria" w:hAnsi="Cambria" w:cs="Times Roman"/>
              <w:color w:val="000000"/>
            </w:rPr>
            <w:fldChar w:fldCharType="end"/>
          </w:r>
        </w:sdtContent>
      </w:sdt>
      <w:r w:rsidR="0098033A" w:rsidRPr="00C2435E">
        <w:rPr>
          <w:rFonts w:ascii="Cambria" w:hAnsi="Cambria" w:cs="Times Roman"/>
          <w:color w:val="000000"/>
        </w:rPr>
        <w:t xml:space="preserve">. </w:t>
      </w:r>
    </w:p>
    <w:p w14:paraId="4AFB0878" w14:textId="649EAC34" w:rsidR="00FD6816" w:rsidRPr="00FD6816" w:rsidRDefault="00FD6816" w:rsidP="00FD6816">
      <w:pPr>
        <w:pStyle w:val="ListParagraph"/>
        <w:ind w:left="0"/>
      </w:pPr>
    </w:p>
    <w:p w14:paraId="7A3464B7" w14:textId="36412A8C" w:rsidR="00152C33" w:rsidRPr="00117AEE" w:rsidRDefault="000B3409" w:rsidP="00FD6816">
      <w:pPr>
        <w:pStyle w:val="ListParagraph"/>
        <w:ind w:left="0"/>
      </w:pPr>
      <w:r>
        <w:rPr>
          <w:noProof/>
        </w:rPr>
        <mc:AlternateContent>
          <mc:Choice Requires="wps">
            <w:drawing>
              <wp:anchor distT="0" distB="0" distL="114300" distR="114300" simplePos="0" relativeHeight="251664384" behindDoc="0" locked="0" layoutInCell="1" allowOverlap="1" wp14:anchorId="3208C5D4" wp14:editId="7FE3F5BA">
                <wp:simplePos x="0" y="0"/>
                <wp:positionH relativeFrom="column">
                  <wp:posOffset>0</wp:posOffset>
                </wp:positionH>
                <wp:positionV relativeFrom="paragraph">
                  <wp:posOffset>26035</wp:posOffset>
                </wp:positionV>
                <wp:extent cx="2286000" cy="457200"/>
                <wp:effectExtent l="0" t="0" r="0" b="0"/>
                <wp:wrapSquare wrapText="bothSides"/>
                <wp:docPr id="2" name="Text Box 2"/>
                <wp:cNvGraphicFramePr/>
                <a:graphic xmlns:a="http://schemas.openxmlformats.org/drawingml/2006/main">
                  <a:graphicData uri="http://schemas.microsoft.com/office/word/2010/wordprocessingShape">
                    <wps:wsp>
                      <wps:cNvSpPr txBox="1"/>
                      <wps:spPr>
                        <a:xfrm>
                          <a:off x="0" y="0"/>
                          <a:ext cx="2286000" cy="457200"/>
                        </a:xfrm>
                        <a:prstGeom prst="rect">
                          <a:avLst/>
                        </a:prstGeom>
                        <a:solidFill>
                          <a:prstClr val="white"/>
                        </a:solidFill>
                        <a:ln>
                          <a:noFill/>
                        </a:ln>
                        <a:effectLst/>
                        <a:extLst>
                          <a:ext uri="{C572A759-6A51-4108-AA02-DFA0A04FC94B}">
                            <ma14:wrappingTextBoxFlag xmlns:ma14="http://schemas.microsoft.com/office/mac/drawingml/2011/main"/>
                          </a:ext>
                        </a:extLst>
                      </wps:spPr>
                      <wps:txbx>
                        <w:txbxContent>
                          <w:p w14:paraId="3A698A1C" w14:textId="77777777" w:rsidR="00022CB4" w:rsidRPr="00CA62B0" w:rsidRDefault="00022CB4" w:rsidP="000B3409">
                            <w:pPr>
                              <w:pStyle w:val="Caption"/>
                              <w:rPr>
                                <w:noProof/>
                              </w:rPr>
                            </w:pPr>
                            <w:r>
                              <w:t xml:space="preserve">Figure </w:t>
                            </w:r>
                            <w:fldSimple w:instr=" SEQ Figure \* ARABIC ">
                              <w:r>
                                <w:rPr>
                                  <w:noProof/>
                                </w:rPr>
                                <w:t>1</w:t>
                              </w:r>
                            </w:fldSimple>
                            <w:r>
                              <w:t xml:space="preserve">: An </w:t>
                            </w:r>
                            <w:proofErr w:type="spellStart"/>
                            <w:r>
                              <w:t>Ardhanarishvara</w:t>
                            </w:r>
                            <w:proofErr w:type="spellEnd"/>
                            <w:r>
                              <w:t xml:space="preserve"> stone sculpture, 11 C. Rajasthan, India, image via Wikimedia Commons</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0,0l0,21600,21600,21600,21600,0xe">
                <v:stroke joinstyle="miter"/>
                <v:path gradientshapeok="t" o:connecttype="rect"/>
              </v:shapetype>
              <v:shape id="Text Box 2" o:spid="_x0000_s1026" type="#_x0000_t202" style="position:absolute;margin-left:0;margin-top:2.05pt;width:180pt;height:36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" stroked="f">
                <v:textbox inset="0,0,0,0">
                  <w:txbxContent>
                    <w:p w14:paraId="3A698A1C" w14:textId="77777777" w:rsidR="00022CB4" w:rsidRPr="00CA62B0" w:rsidRDefault="00022CB4" w:rsidP="000B3409">
                      <w:pPr>
                        <w:pStyle w:val="Caption"/>
                        <w:rPr>
                          <w:noProof/>
                        </w:rPr>
                      </w:pPr>
                      <w:r>
                        <w:t xml:space="preserve">Figure </w:t>
                      </w:r>
                      <w:fldSimple w:instr=" SEQ Figure \* ARABIC ">
                        <w:r>
                          <w:rPr>
                            <w:noProof/>
                          </w:rPr>
                          <w:t>1</w:t>
                        </w:r>
                      </w:fldSimple>
                      <w:r>
                        <w:t xml:space="preserve">: An </w:t>
                      </w:r>
                      <w:proofErr w:type="spellStart"/>
                      <w:r>
                        <w:t>Ardhanarishvara</w:t>
                      </w:r>
                      <w:proofErr w:type="spellEnd"/>
                      <w:r>
                        <w:t xml:space="preserve"> stone sculpture, 11 C. Rajasthan, India, image via Wikimedia Commons</w:t>
                      </w:r>
                    </w:p>
                  </w:txbxContent>
                </v:textbox>
                <w10:wrap type="square"/>
              </v:shape>
            </w:pict>
          </mc:Fallback>
        </mc:AlternateContent>
      </w:r>
      <w:r w:rsidRPr="00C2435E">
        <w:rPr>
          <w:rFonts w:ascii="Cambria" w:hAnsi="Cambria" w:cs="Times Roman"/>
          <w:color w:val="000000"/>
        </w:rPr>
        <w:t xml:space="preserve"> </w:t>
      </w:r>
      <w:r w:rsidR="00DC6F0B" w:rsidRPr="00C2435E">
        <w:rPr>
          <w:rFonts w:ascii="Cambria" w:hAnsi="Cambria" w:cs="Times Roman"/>
          <w:color w:val="000000"/>
        </w:rPr>
        <w:t xml:space="preserve">The stories explaining this icon vary from one source to another, but they are all indicative of the synthesis of the two genders necessary for creation. It is a reiteration of the primal parents archetype in genesis myths. However, </w:t>
      </w:r>
      <w:r w:rsidR="000462C1" w:rsidRPr="00C2435E">
        <w:rPr>
          <w:rFonts w:ascii="Cambria" w:hAnsi="Cambria" w:cs="Times Roman"/>
          <w:color w:val="000000"/>
        </w:rPr>
        <w:t xml:space="preserve">the coexistence of the two genders in one body with visible gender attributes opens up the idea of a new entity – the third gender. </w:t>
      </w:r>
      <w:r w:rsidR="00363EEA">
        <w:rPr>
          <w:rFonts w:ascii="Cambria" w:hAnsi="Cambria" w:cs="Times Roman"/>
          <w:color w:val="000000"/>
        </w:rPr>
        <w:t>The discourse of gender fluidity may be opened with this as the starting premise.</w:t>
      </w:r>
    </w:p>
    <w:p w14:paraId="37B9FA87" w14:textId="5C0C1DA2" w:rsidR="00117AEE" w:rsidRDefault="00117AEE" w:rsidP="00117AEE">
      <w:pPr>
        <w:pStyle w:val="ListParagraph"/>
        <w:ind w:left="0"/>
      </w:pPr>
    </w:p>
    <w:p w14:paraId="50953A1E" w14:textId="5DADD5E7" w:rsidR="00117AEE" w:rsidRDefault="00117AEE" w:rsidP="00117AEE">
      <w:pPr>
        <w:pStyle w:val="ListParagraph"/>
        <w:numPr>
          <w:ilvl w:val="0"/>
          <w:numId w:val="2"/>
        </w:numPr>
        <w:ind w:left="0" w:firstLine="0"/>
      </w:pPr>
      <w:r w:rsidRPr="00F62398">
        <w:rPr>
          <w:b/>
        </w:rPr>
        <w:t xml:space="preserve">The </w:t>
      </w:r>
      <w:proofErr w:type="spellStart"/>
      <w:r w:rsidRPr="00F62398">
        <w:rPr>
          <w:b/>
        </w:rPr>
        <w:t>Mohini</w:t>
      </w:r>
      <w:proofErr w:type="spellEnd"/>
      <w:r w:rsidRPr="00F62398">
        <w:rPr>
          <w:b/>
        </w:rPr>
        <w:t xml:space="preserve"> form of Vishnu</w:t>
      </w:r>
      <w:r>
        <w:t xml:space="preserve">: Another gender-fluid myth relates to a highly popular Hindu deity, Vishnu. </w:t>
      </w:r>
      <w:r w:rsidR="00F62398">
        <w:t xml:space="preserve">Vishnu is a god who is in charge of the preservation of the universe and is depicted as a king. However, he is known to incarnate on earth in periods of crisis, assuming the beastly, hybrid or human forms. His two best-known incarnations or </w:t>
      </w:r>
      <w:proofErr w:type="spellStart"/>
      <w:r w:rsidR="00F62398" w:rsidRPr="00F62398">
        <w:rPr>
          <w:i/>
        </w:rPr>
        <w:t>avataras</w:t>
      </w:r>
      <w:proofErr w:type="spellEnd"/>
      <w:r w:rsidR="00F62398">
        <w:rPr>
          <w:i/>
        </w:rPr>
        <w:t xml:space="preserve"> </w:t>
      </w:r>
      <w:r w:rsidR="00F62398">
        <w:t xml:space="preserve">are that of Ram and Krishna, who are heroes in the epics, Ramayana and Mahabharata respectively. However, a lesser-known but highly intriguing form of Vishnu exists, who is not a hero, but a ‘heroine’. Vishnu assumes the form of an enchantress, </w:t>
      </w:r>
      <w:proofErr w:type="spellStart"/>
      <w:r w:rsidR="00F62398">
        <w:t>Mohini</w:t>
      </w:r>
      <w:proofErr w:type="spellEnd"/>
      <w:r w:rsidR="00F62398">
        <w:t>, when he must wi</w:t>
      </w:r>
      <w:r w:rsidR="004C59D5">
        <w:t>n in a situation with guile instead of</w:t>
      </w:r>
      <w:r w:rsidR="002D0D5F">
        <w:t xml:space="preserve"> martial</w:t>
      </w:r>
      <w:r w:rsidR="00F62398">
        <w:t xml:space="preserve"> courage. </w:t>
      </w:r>
    </w:p>
    <w:p w14:paraId="2EFD4F2F" w14:textId="77777777" w:rsidR="002E6A30" w:rsidRDefault="002E6A30" w:rsidP="002E6A30"/>
    <w:p w14:paraId="045AAE0B" w14:textId="6DF203A5" w:rsidR="000B3409" w:rsidRDefault="000B3409" w:rsidP="002E6A30">
      <w:r>
        <w:t>There are several stories about Vishnu-</w:t>
      </w:r>
      <w:proofErr w:type="spellStart"/>
      <w:r>
        <w:t>Mohini</w:t>
      </w:r>
      <w:proofErr w:type="spellEnd"/>
      <w:r>
        <w:t xml:space="preserve"> in Hindu ‘scriptures’, but one about the churning of the ocean is most popular in Hindu imagination. In this story that occurs in the Mahabharata, the </w:t>
      </w:r>
      <w:proofErr w:type="spellStart"/>
      <w:r>
        <w:t>Bhagavata</w:t>
      </w:r>
      <w:proofErr w:type="spellEnd"/>
      <w:r>
        <w:t xml:space="preserve"> </w:t>
      </w:r>
      <w:proofErr w:type="spellStart"/>
      <w:r>
        <w:t>Purana</w:t>
      </w:r>
      <w:proofErr w:type="spellEnd"/>
      <w:r>
        <w:t xml:space="preserve"> and the Vishnu </w:t>
      </w:r>
      <w:proofErr w:type="spellStart"/>
      <w:r>
        <w:t>Purana</w:t>
      </w:r>
      <w:proofErr w:type="spellEnd"/>
      <w:r>
        <w:t xml:space="preserve"> among others, he tricks the </w:t>
      </w:r>
      <w:proofErr w:type="spellStart"/>
      <w:r>
        <w:rPr>
          <w:i/>
        </w:rPr>
        <w:t>asuras</w:t>
      </w:r>
      <w:proofErr w:type="spellEnd"/>
      <w:r>
        <w:rPr>
          <w:i/>
        </w:rPr>
        <w:t xml:space="preserve"> </w:t>
      </w:r>
      <w:r>
        <w:t xml:space="preserve">(anti gods) and takes away the nectar of immortality or </w:t>
      </w:r>
      <w:r>
        <w:rPr>
          <w:i/>
        </w:rPr>
        <w:t xml:space="preserve">amrita </w:t>
      </w:r>
      <w:r>
        <w:t xml:space="preserve">from them to give it to the gods. In another story from the Mahabharata, he becomes </w:t>
      </w:r>
      <w:proofErr w:type="spellStart"/>
      <w:r>
        <w:t>Mohini</w:t>
      </w:r>
      <w:proofErr w:type="spellEnd"/>
      <w:r>
        <w:t xml:space="preserve"> for the sake of </w:t>
      </w:r>
      <w:proofErr w:type="spellStart"/>
      <w:r>
        <w:t>Aravan</w:t>
      </w:r>
      <w:proofErr w:type="spellEnd"/>
      <w:r>
        <w:t xml:space="preserve"> or </w:t>
      </w:r>
      <w:proofErr w:type="spellStart"/>
      <w:r>
        <w:t>Iravan</w:t>
      </w:r>
      <w:proofErr w:type="spellEnd"/>
      <w:r>
        <w:t xml:space="preserve">, son of </w:t>
      </w:r>
      <w:proofErr w:type="spellStart"/>
      <w:r>
        <w:t>Arjuna</w:t>
      </w:r>
      <w:proofErr w:type="spellEnd"/>
      <w:r>
        <w:t xml:space="preserve"> and the Naga princess, </w:t>
      </w:r>
      <w:proofErr w:type="spellStart"/>
      <w:r>
        <w:t>Ulupi</w:t>
      </w:r>
      <w:proofErr w:type="spellEnd"/>
      <w:r>
        <w:t xml:space="preserve">. </w:t>
      </w:r>
      <w:proofErr w:type="spellStart"/>
      <w:r>
        <w:t>Aravan</w:t>
      </w:r>
      <w:proofErr w:type="spellEnd"/>
      <w:r>
        <w:t xml:space="preserve"> is a warrior doomed to die in battle, but doesn’t want to die a bachelor. He agrees to make this warrior’s sacrifice on the condition that he would get to experience conjugal bliss, even if for one night. When no woman agrees to marry him for a day, and become a widow the next, Krishna (Vishnu’s incarnation) agrees to become his wife for a night as </w:t>
      </w:r>
      <w:proofErr w:type="spellStart"/>
      <w:r>
        <w:t>Mohini</w:t>
      </w:r>
      <w:proofErr w:type="spellEnd"/>
      <w:r>
        <w:t>.</w:t>
      </w:r>
    </w:p>
    <w:p w14:paraId="3C4AD56C" w14:textId="77777777" w:rsidR="002E6A30" w:rsidRDefault="002E6A30" w:rsidP="002E6A30">
      <w:pPr>
        <w:pStyle w:val="ListParagraph"/>
        <w:keepNext/>
        <w:ind w:left="0"/>
      </w:pPr>
      <w:r>
        <w:rPr>
          <w:noProof/>
        </w:rPr>
        <w:drawing>
          <wp:inline distT="0" distB="0" distL="0" distR="0" wp14:anchorId="60FDEC10" wp14:editId="46FF834C">
            <wp:extent cx="5145763" cy="2999422"/>
            <wp:effectExtent l="0" t="0" r="1079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97-transgender-woman.jpg"/>
                    <pic:cNvPicPr/>
                  </pic:nvPicPr>
                  <pic:blipFill>
                    <a:blip r:embed="rId10">
                      <a:extLst>
                        <a:ext uri="{28A0092B-C50C-407E-A947-70E740481C1C}">
                          <a14:useLocalDpi xmlns:a14="http://schemas.microsoft.com/office/drawing/2010/main" val="0"/>
                        </a:ext>
                      </a:extLst>
                    </a:blip>
                    <a:stretch>
                      <a:fillRect/>
                    </a:stretch>
                  </pic:blipFill>
                  <pic:spPr>
                    <a:xfrm>
                      <a:off x="0" y="0"/>
                      <a:ext cx="5145763" cy="2999422"/>
                    </a:xfrm>
                    <a:prstGeom prst="rect">
                      <a:avLst/>
                    </a:prstGeom>
                  </pic:spPr>
                </pic:pic>
              </a:graphicData>
            </a:graphic>
          </wp:inline>
        </w:drawing>
      </w:r>
    </w:p>
    <w:p w14:paraId="7C0034FA" w14:textId="57EEDFD7" w:rsidR="002E6A30" w:rsidRDefault="002E6A30" w:rsidP="002E6A30">
      <w:pPr>
        <w:pStyle w:val="Caption"/>
      </w:pPr>
      <w:r>
        <w:t xml:space="preserve">Figure </w:t>
      </w:r>
      <w:fldSimple w:instr=" SEQ Figure \* ARABIC ">
        <w:r w:rsidR="00C4225D">
          <w:rPr>
            <w:noProof/>
          </w:rPr>
          <w:t>2</w:t>
        </w:r>
      </w:fldSimple>
      <w:r>
        <w:t>: A priest ties a '</w:t>
      </w:r>
      <w:proofErr w:type="spellStart"/>
      <w:r>
        <w:t>thaali</w:t>
      </w:r>
      <w:proofErr w:type="spellEnd"/>
      <w:r>
        <w:t xml:space="preserve">' (traditional ornament worn by married Hindu women in South India) around an </w:t>
      </w:r>
      <w:proofErr w:type="spellStart"/>
      <w:r>
        <w:t>Aravani's</w:t>
      </w:r>
      <w:proofErr w:type="spellEnd"/>
      <w:r>
        <w:t xml:space="preserve"> neck during the festival at </w:t>
      </w:r>
      <w:proofErr w:type="spellStart"/>
      <w:r>
        <w:t>Koovagam</w:t>
      </w:r>
      <w:proofErr w:type="spellEnd"/>
      <w:r>
        <w:t xml:space="preserve"> | image via The Week</w:t>
      </w:r>
    </w:p>
    <w:p w14:paraId="7266EFD3" w14:textId="77777777" w:rsidR="006F6F23" w:rsidRDefault="006F6F23" w:rsidP="006F6F23"/>
    <w:p w14:paraId="301F7898" w14:textId="1FC15DF6" w:rsidR="001F51B7" w:rsidRDefault="00C9139B" w:rsidP="006F6F23">
      <w:pPr>
        <w:pStyle w:val="ListParagraph"/>
        <w:ind w:left="0"/>
      </w:pPr>
      <w:r>
        <w:t xml:space="preserve">They are </w:t>
      </w:r>
      <w:proofErr w:type="gramStart"/>
      <w:r>
        <w:t>married,</w:t>
      </w:r>
      <w:proofErr w:type="gramEnd"/>
      <w:r>
        <w:t xml:space="preserve"> make love through the night, and </w:t>
      </w:r>
      <w:proofErr w:type="spellStart"/>
      <w:r>
        <w:t>Aravan</w:t>
      </w:r>
      <w:proofErr w:type="spellEnd"/>
      <w:r>
        <w:t xml:space="preserve"> rides into battle the next morning, never to return. </w:t>
      </w:r>
      <w:proofErr w:type="spellStart"/>
      <w:r>
        <w:t>Mohini</w:t>
      </w:r>
      <w:proofErr w:type="spellEnd"/>
      <w:r>
        <w:t xml:space="preserve"> duly mourns his death as a new bride is called ‘</w:t>
      </w:r>
      <w:proofErr w:type="spellStart"/>
      <w:r>
        <w:t>Aravani</w:t>
      </w:r>
      <w:proofErr w:type="spellEnd"/>
      <w:r>
        <w:t xml:space="preserve">’. </w:t>
      </w:r>
      <w:sdt>
        <w:sdtPr>
          <w:id w:val="871963169"/>
          <w:citation/>
        </w:sdtPr>
        <w:sdtContent>
          <w:r w:rsidR="001F51B7">
            <w:fldChar w:fldCharType="begin"/>
          </w:r>
          <w:r w:rsidR="001F51B7">
            <w:instrText xml:space="preserve"> CITATION Raj86 \l 1033 </w:instrText>
          </w:r>
          <w:r w:rsidR="001F51B7">
            <w:fldChar w:fldCharType="separate"/>
          </w:r>
          <w:r w:rsidR="001F51B7">
            <w:rPr>
              <w:noProof/>
            </w:rPr>
            <w:t>(Kalidos)</w:t>
          </w:r>
          <w:r w:rsidR="001F51B7">
            <w:fldChar w:fldCharType="end"/>
          </w:r>
        </w:sdtContent>
      </w:sdt>
    </w:p>
    <w:p w14:paraId="491D7532" w14:textId="77777777" w:rsidR="001F51B7" w:rsidRDefault="001F51B7" w:rsidP="006F6F23">
      <w:pPr>
        <w:pStyle w:val="ListParagraph"/>
        <w:ind w:left="0"/>
      </w:pPr>
    </w:p>
    <w:p w14:paraId="1280CDE1" w14:textId="08161378" w:rsidR="006F6F23" w:rsidRPr="00D51570" w:rsidRDefault="00C9139B" w:rsidP="006F6F23">
      <w:pPr>
        <w:pStyle w:val="ListParagraph"/>
        <w:ind w:left="0"/>
      </w:pPr>
      <w:r>
        <w:t xml:space="preserve">This story is especially important as it forms the basis of an important ritual </w:t>
      </w:r>
      <w:r w:rsidR="002579D3">
        <w:t xml:space="preserve">festival </w:t>
      </w:r>
      <w:r>
        <w:t xml:space="preserve">for the transgender community in India. </w:t>
      </w:r>
      <w:r w:rsidR="002579D3">
        <w:t>Each year, thousands of tr</w:t>
      </w:r>
      <w:r w:rsidR="00724C9B">
        <w:t xml:space="preserve">ans women from across India congregate in the </w:t>
      </w:r>
      <w:proofErr w:type="spellStart"/>
      <w:r w:rsidR="00724C9B" w:rsidRPr="00724C9B">
        <w:t>Koothandavar</w:t>
      </w:r>
      <w:proofErr w:type="spellEnd"/>
      <w:r w:rsidR="00724C9B" w:rsidRPr="00724C9B">
        <w:t xml:space="preserve"> Temple</w:t>
      </w:r>
      <w:r w:rsidR="00724C9B">
        <w:t xml:space="preserve"> in village</w:t>
      </w:r>
      <w:r w:rsidR="002579D3">
        <w:t xml:space="preserve"> of </w:t>
      </w:r>
      <w:proofErr w:type="spellStart"/>
      <w:r w:rsidR="002579D3">
        <w:t>Koovagam</w:t>
      </w:r>
      <w:proofErr w:type="spellEnd"/>
      <w:r w:rsidR="002579D3">
        <w:t xml:space="preserve"> in Tamil Nadu</w:t>
      </w:r>
      <w:r w:rsidR="00724C9B">
        <w:t xml:space="preserve"> to enact this mythic marriage. They become the brides of </w:t>
      </w:r>
      <w:proofErr w:type="spellStart"/>
      <w:r w:rsidR="00724C9B">
        <w:t>Aravan</w:t>
      </w:r>
      <w:proofErr w:type="spellEnd"/>
      <w:r w:rsidR="00724C9B">
        <w:t xml:space="preserve"> or </w:t>
      </w:r>
      <w:proofErr w:type="spellStart"/>
      <w:r w:rsidR="00724C9B">
        <w:t>Aravanis</w:t>
      </w:r>
      <w:proofErr w:type="spellEnd"/>
      <w:r w:rsidR="00724C9B">
        <w:t xml:space="preserve"> </w:t>
      </w:r>
      <w:r w:rsidR="00245BB0">
        <w:t xml:space="preserve">(Figure 2) </w:t>
      </w:r>
      <w:r w:rsidR="00724C9B">
        <w:t xml:space="preserve">for one night, embracing and celebrating their womanhood in its entirety. Like Krishna, their transformation </w:t>
      </w:r>
      <w:r w:rsidR="00535B9B">
        <w:t xml:space="preserve">into a woman </w:t>
      </w:r>
      <w:r w:rsidR="00724C9B">
        <w:t xml:space="preserve">is complete through this </w:t>
      </w:r>
      <w:r w:rsidR="00E05DF0">
        <w:t>‘</w:t>
      </w:r>
      <w:r w:rsidR="00724C9B">
        <w:t>consummation and loss</w:t>
      </w:r>
      <w:r w:rsidR="00E05DF0">
        <w:t>’</w:t>
      </w:r>
      <w:sdt>
        <w:sdtPr>
          <w:id w:val="-380865355"/>
          <w:citation/>
        </w:sdtPr>
        <w:sdtContent>
          <w:r w:rsidR="001F51B7">
            <w:fldChar w:fldCharType="begin"/>
          </w:r>
          <w:r w:rsidR="001F51B7">
            <w:instrText xml:space="preserve"> CITATION Kal18 \l 1033 </w:instrText>
          </w:r>
          <w:r w:rsidR="001F51B7">
            <w:fldChar w:fldCharType="separate"/>
          </w:r>
          <w:r w:rsidR="001F51B7">
            <w:rPr>
              <w:noProof/>
            </w:rPr>
            <w:t xml:space="preserve"> (Subramanian)</w:t>
          </w:r>
          <w:r w:rsidR="001F51B7">
            <w:fldChar w:fldCharType="end"/>
          </w:r>
        </w:sdtContent>
      </w:sdt>
      <w:r w:rsidR="00724C9B">
        <w:t xml:space="preserve">. </w:t>
      </w:r>
    </w:p>
    <w:p w14:paraId="4708BDFC" w14:textId="3DA20515" w:rsidR="00152C33" w:rsidRDefault="00152C33" w:rsidP="009611BF"/>
    <w:p w14:paraId="465F9765" w14:textId="078F77E3" w:rsidR="00245BB0" w:rsidRDefault="00245BB0" w:rsidP="009611BF">
      <w:r>
        <w:t>While th</w:t>
      </w:r>
      <w:r w:rsidR="00203167">
        <w:t>ese two stories of Vishnu/</w:t>
      </w:r>
      <w:proofErr w:type="spellStart"/>
      <w:r w:rsidR="00203167">
        <w:t>Mohini</w:t>
      </w:r>
      <w:proofErr w:type="spellEnd"/>
      <w:r w:rsidR="00203167">
        <w:t xml:space="preserve"> se</w:t>
      </w:r>
      <w:r w:rsidR="00F54DA6">
        <w:t xml:space="preserve">em to indicate some familiarity with the idea of </w:t>
      </w:r>
      <w:proofErr w:type="spellStart"/>
      <w:r w:rsidR="00F54DA6">
        <w:t>transgenderism</w:t>
      </w:r>
      <w:proofErr w:type="spellEnd"/>
      <w:r w:rsidR="00F54DA6">
        <w:t xml:space="preserve">, a third story seems more attuned to the idea of homosexuality. </w:t>
      </w:r>
      <w:r w:rsidR="00FD6816">
        <w:t xml:space="preserve">In this story, Shiva is so captivated with Vishnu’s </w:t>
      </w:r>
      <w:proofErr w:type="spellStart"/>
      <w:r w:rsidR="00FD6816">
        <w:t>Mohini</w:t>
      </w:r>
      <w:proofErr w:type="spellEnd"/>
      <w:r w:rsidR="00FD6816">
        <w:t xml:space="preserve"> form that he couples with her and they produce a son named Shasta or </w:t>
      </w:r>
      <w:proofErr w:type="spellStart"/>
      <w:r w:rsidR="00FD6816">
        <w:t>Ayappa</w:t>
      </w:r>
      <w:proofErr w:type="spellEnd"/>
      <w:r w:rsidR="00FD6816">
        <w:t xml:space="preserve">. </w:t>
      </w:r>
      <w:sdt>
        <w:sdtPr>
          <w:id w:val="40718605"/>
          <w:citation/>
        </w:sdtPr>
        <w:sdtContent>
          <w:r w:rsidR="00FD6816">
            <w:fldChar w:fldCharType="begin"/>
          </w:r>
          <w:r w:rsidR="00FD6816">
            <w:instrText xml:space="preserve"> CITATION Raj86 \l 1033 </w:instrText>
          </w:r>
          <w:r w:rsidR="00FD6816">
            <w:fldChar w:fldCharType="separate"/>
          </w:r>
          <w:r w:rsidR="00FD6816">
            <w:rPr>
              <w:noProof/>
            </w:rPr>
            <w:t>(Kalidos)</w:t>
          </w:r>
          <w:r w:rsidR="00FD6816">
            <w:fldChar w:fldCharType="end"/>
          </w:r>
        </w:sdtContent>
      </w:sdt>
    </w:p>
    <w:p w14:paraId="5F178838" w14:textId="77777777" w:rsidR="00FD6816" w:rsidRDefault="00FD6816" w:rsidP="009611BF"/>
    <w:p w14:paraId="24D1C3EE" w14:textId="6252DE03" w:rsidR="00FD6816" w:rsidRDefault="00FD6816" w:rsidP="000B3409">
      <w:pPr>
        <w:pStyle w:val="ListParagraph"/>
        <w:numPr>
          <w:ilvl w:val="0"/>
          <w:numId w:val="2"/>
        </w:numPr>
        <w:rPr>
          <w:b/>
        </w:rPr>
      </w:pPr>
      <w:r w:rsidRPr="00FD6816">
        <w:rPr>
          <w:b/>
        </w:rPr>
        <w:t>Ot</w:t>
      </w:r>
      <w:r w:rsidR="00A7698C">
        <w:rPr>
          <w:b/>
        </w:rPr>
        <w:t>her references to homosexuality</w:t>
      </w:r>
      <w:r w:rsidR="00C4225D">
        <w:rPr>
          <w:b/>
        </w:rPr>
        <w:t xml:space="preserve">, </w:t>
      </w:r>
      <w:proofErr w:type="spellStart"/>
      <w:r w:rsidR="00C4225D">
        <w:rPr>
          <w:b/>
        </w:rPr>
        <w:t>transgenderism</w:t>
      </w:r>
      <w:proofErr w:type="spellEnd"/>
      <w:r w:rsidR="00697C18">
        <w:rPr>
          <w:b/>
        </w:rPr>
        <w:t xml:space="preserve"> and ‘unusual’ sexual practices</w:t>
      </w:r>
    </w:p>
    <w:p w14:paraId="5A354C47" w14:textId="77777777" w:rsidR="000B3409" w:rsidRDefault="000B3409" w:rsidP="000B3409">
      <w:pPr>
        <w:pStyle w:val="ListParagraph"/>
        <w:rPr>
          <w:b/>
        </w:rPr>
      </w:pPr>
    </w:p>
    <w:p w14:paraId="5D1B74AF" w14:textId="77777777" w:rsidR="000B3409" w:rsidRDefault="000B3409" w:rsidP="000B3409">
      <w:r>
        <w:t xml:space="preserve">The walls of many ancient Indian temples have a profusion of erotic sculptures, carved in stone. The group of temples in </w:t>
      </w:r>
      <w:proofErr w:type="spellStart"/>
      <w:r>
        <w:t>Khajuraho</w:t>
      </w:r>
      <w:proofErr w:type="spellEnd"/>
      <w:r>
        <w:t xml:space="preserve"> (Madhya Pradesh) and </w:t>
      </w:r>
      <w:proofErr w:type="spellStart"/>
      <w:r>
        <w:t>Konark</w:t>
      </w:r>
      <w:proofErr w:type="spellEnd"/>
      <w:r>
        <w:t xml:space="preserve"> (</w:t>
      </w:r>
      <w:proofErr w:type="spellStart"/>
      <w:r>
        <w:t>Odisha</w:t>
      </w:r>
      <w:proofErr w:type="spellEnd"/>
      <w:r>
        <w:t xml:space="preserve">), in particular, are notable for their explicitness. Since Hinduism acknowledges </w:t>
      </w:r>
      <w:proofErr w:type="spellStart"/>
      <w:proofErr w:type="gramStart"/>
      <w:r w:rsidRPr="000B3409">
        <w:rPr>
          <w:i/>
        </w:rPr>
        <w:t>kama</w:t>
      </w:r>
      <w:proofErr w:type="spellEnd"/>
      <w:proofErr w:type="gramEnd"/>
      <w:r w:rsidRPr="000B3409">
        <w:rPr>
          <w:i/>
        </w:rPr>
        <w:t xml:space="preserve"> </w:t>
      </w:r>
      <w:r>
        <w:t xml:space="preserve">or pleasure as one of the </w:t>
      </w:r>
      <w:proofErr w:type="spellStart"/>
      <w:r w:rsidRPr="000B3409">
        <w:rPr>
          <w:i/>
        </w:rPr>
        <w:t>Purusharthas</w:t>
      </w:r>
      <w:proofErr w:type="spellEnd"/>
      <w:r w:rsidRPr="000B3409">
        <w:rPr>
          <w:i/>
        </w:rPr>
        <w:t xml:space="preserve"> </w:t>
      </w:r>
      <w:r>
        <w:t xml:space="preserve">or four aims of life (the other three being </w:t>
      </w:r>
      <w:r w:rsidRPr="000B3409">
        <w:rPr>
          <w:i/>
        </w:rPr>
        <w:t xml:space="preserve">dharma </w:t>
      </w:r>
      <w:r>
        <w:t xml:space="preserve">or righteous duty, </w:t>
      </w:r>
      <w:proofErr w:type="spellStart"/>
      <w:r w:rsidRPr="000B3409">
        <w:rPr>
          <w:i/>
        </w:rPr>
        <w:t>artha</w:t>
      </w:r>
      <w:proofErr w:type="spellEnd"/>
      <w:r w:rsidRPr="000B3409">
        <w:rPr>
          <w:i/>
        </w:rPr>
        <w:t xml:space="preserve"> </w:t>
      </w:r>
      <w:r>
        <w:t xml:space="preserve">or financial gain and </w:t>
      </w:r>
      <w:r w:rsidRPr="000B3409">
        <w:rPr>
          <w:i/>
        </w:rPr>
        <w:t xml:space="preserve">moksha </w:t>
      </w:r>
      <w:r>
        <w:t>or liberation)</w:t>
      </w:r>
      <w:sdt>
        <w:sdtPr>
          <w:id w:val="-18708964"/>
          <w:citation/>
        </w:sdtPr>
        <w:sdtContent>
          <w:r>
            <w:fldChar w:fldCharType="begin"/>
          </w:r>
          <w:r>
            <w:instrText xml:space="preserve"> CITATION PKM19 \l 1033 </w:instrText>
          </w:r>
          <w:r>
            <w:fldChar w:fldCharType="separate"/>
          </w:r>
          <w:r>
            <w:rPr>
              <w:noProof/>
            </w:rPr>
            <w:t xml:space="preserve"> (Mohapatra)</w:t>
          </w:r>
          <w:r>
            <w:fldChar w:fldCharType="end"/>
          </w:r>
        </w:sdtContent>
      </w:sdt>
      <w:r>
        <w:t xml:space="preserve">, depictions of sexual acts on the walls of sacred spaces was never misplaced. The art of the temple walls depicted the other three aims and many other subjects and stories from mythology too. </w:t>
      </w:r>
    </w:p>
    <w:p w14:paraId="4171B7F4" w14:textId="77777777" w:rsidR="00697C18" w:rsidRDefault="00697C18" w:rsidP="00697C18">
      <w:pPr>
        <w:rPr>
          <w:b/>
        </w:rPr>
      </w:pPr>
    </w:p>
    <w:p w14:paraId="73DB1DBA" w14:textId="77777777" w:rsidR="00D23DD7" w:rsidRDefault="00D23DD7" w:rsidP="00D23DD7">
      <w:pPr>
        <w:keepNext/>
      </w:pPr>
      <w:r>
        <w:rPr>
          <w:b/>
          <w:noProof/>
        </w:rPr>
        <w:drawing>
          <wp:inline distT="0" distB="0" distL="0" distR="0" wp14:anchorId="1C2916C4" wp14:editId="25F90456">
            <wp:extent cx="5270500" cy="2767330"/>
            <wp:effectExtent l="0" t="0" r="12700" b="127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vishvanath temple.jpg"/>
                    <pic:cNvPicPr/>
                  </pic:nvPicPr>
                  <pic:blipFill>
                    <a:blip r:embed="rId11">
                      <a:extLst>
                        <a:ext uri="{28A0092B-C50C-407E-A947-70E740481C1C}">
                          <a14:useLocalDpi xmlns:a14="http://schemas.microsoft.com/office/drawing/2010/main" val="0"/>
                        </a:ext>
                      </a:extLst>
                    </a:blip>
                    <a:stretch>
                      <a:fillRect/>
                    </a:stretch>
                  </pic:blipFill>
                  <pic:spPr>
                    <a:xfrm>
                      <a:off x="0" y="0"/>
                      <a:ext cx="5270500" cy="2767330"/>
                    </a:xfrm>
                    <a:prstGeom prst="rect">
                      <a:avLst/>
                    </a:prstGeom>
                  </pic:spPr>
                </pic:pic>
              </a:graphicData>
            </a:graphic>
          </wp:inline>
        </w:drawing>
      </w:r>
    </w:p>
    <w:p w14:paraId="0DD65943" w14:textId="3709A2E9" w:rsidR="00B91FFD" w:rsidRPr="00ED0778" w:rsidRDefault="00D23DD7" w:rsidP="00ED0778">
      <w:pPr>
        <w:pStyle w:val="Caption"/>
        <w:rPr>
          <w:b w:val="0"/>
        </w:rPr>
      </w:pPr>
      <w:r>
        <w:t xml:space="preserve">Figure </w:t>
      </w:r>
      <w:fldSimple w:instr=" SEQ Figure \* ARABIC ">
        <w:r w:rsidR="00C4225D">
          <w:rPr>
            <w:noProof/>
          </w:rPr>
          <w:t>3</w:t>
        </w:r>
      </w:fldSimple>
      <w:r>
        <w:t xml:space="preserve">: A frieze on the wall of the </w:t>
      </w:r>
      <w:proofErr w:type="spellStart"/>
      <w:r>
        <w:t>Vishvanath</w:t>
      </w:r>
      <w:proofErr w:type="spellEnd"/>
      <w:r>
        <w:t xml:space="preserve"> temple in </w:t>
      </w:r>
      <w:proofErr w:type="spellStart"/>
      <w:r>
        <w:t>Khajura</w:t>
      </w:r>
      <w:r w:rsidR="00D77E0E">
        <w:t>ho</w:t>
      </w:r>
      <w:proofErr w:type="spellEnd"/>
      <w:r w:rsidR="00D77E0E">
        <w:t>, Madhya Pradesh, India, depi</w:t>
      </w:r>
      <w:r>
        <w:t>cting a group of women indulging in homoerotic acts</w:t>
      </w:r>
      <w:r w:rsidR="00D77E0E">
        <w:t xml:space="preserve"> | image source: Wikimedia Commons</w:t>
      </w:r>
    </w:p>
    <w:p w14:paraId="6444CAA9" w14:textId="77777777" w:rsidR="00566372" w:rsidRDefault="00B91FFD" w:rsidP="00A7698C">
      <w:r>
        <w:t>These artistic representations of eroti</w:t>
      </w:r>
      <w:r w:rsidR="00C84245">
        <w:t xml:space="preserve">c acts show a vast variation, starting with </w:t>
      </w:r>
      <w:r w:rsidR="00697C18">
        <w:t>regular heterosexual coupling, to threesomes and orgies to homos</w:t>
      </w:r>
      <w:r w:rsidR="00D77E0E">
        <w:t>exual acts and even bestiality. There are many theories about the motivations behind art, which wo</w:t>
      </w:r>
      <w:r w:rsidR="00175FB7">
        <w:t xml:space="preserve">uld be considered profane. Whatever the reasons, it may be inferred that in </w:t>
      </w:r>
      <w:r w:rsidR="004376E8">
        <w:t>ancient</w:t>
      </w:r>
      <w:r w:rsidR="00175FB7">
        <w:t xml:space="preserve"> India, </w:t>
      </w:r>
      <w:r w:rsidR="004376E8">
        <w:t>variant ideas of gender</w:t>
      </w:r>
      <w:r w:rsidR="00175FB7">
        <w:t xml:space="preserve"> </w:t>
      </w:r>
      <w:r w:rsidR="004376E8">
        <w:t xml:space="preserve">and sexuality were acknowledged </w:t>
      </w:r>
      <w:r w:rsidR="00566372">
        <w:t>to the extent that they</w:t>
      </w:r>
      <w:r w:rsidR="00175FB7">
        <w:t xml:space="preserve"> </w:t>
      </w:r>
      <w:r w:rsidR="00566372">
        <w:t xml:space="preserve">could be represented in art beside the ‘normal’ and the ‘sacred’. </w:t>
      </w:r>
    </w:p>
    <w:p w14:paraId="429699E9" w14:textId="77777777" w:rsidR="00ED0778" w:rsidRDefault="00ED0778" w:rsidP="00A7698C"/>
    <w:p w14:paraId="4D6DABB2" w14:textId="77777777" w:rsidR="00C4225D" w:rsidRDefault="00C4225D" w:rsidP="00A7698C"/>
    <w:p w14:paraId="07BB96D8" w14:textId="269B5763" w:rsidR="00ED0778" w:rsidRDefault="00C4225D" w:rsidP="00ED0778">
      <w:pPr>
        <w:keepNext/>
      </w:pPr>
      <w:r>
        <w:rPr>
          <w:noProof/>
        </w:rPr>
        <w:drawing>
          <wp:inline distT="0" distB="0" distL="0" distR="0" wp14:anchorId="4AFB950E" wp14:editId="0EDD7EB7">
            <wp:extent cx="5270500" cy="3408045"/>
            <wp:effectExtent l="0" t="0" r="1270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jogappas.jpg"/>
                    <pic:cNvPicPr/>
                  </pic:nvPicPr>
                  <pic:blipFill>
                    <a:blip r:embed="rId12">
                      <a:extLst>
                        <a:ext uri="{28A0092B-C50C-407E-A947-70E740481C1C}">
                          <a14:useLocalDpi xmlns:a14="http://schemas.microsoft.com/office/drawing/2010/main" val="0"/>
                        </a:ext>
                      </a:extLst>
                    </a:blip>
                    <a:stretch>
                      <a:fillRect/>
                    </a:stretch>
                  </pic:blipFill>
                  <pic:spPr>
                    <a:xfrm>
                      <a:off x="0" y="0"/>
                      <a:ext cx="5270500" cy="3408045"/>
                    </a:xfrm>
                    <a:prstGeom prst="rect">
                      <a:avLst/>
                    </a:prstGeom>
                  </pic:spPr>
                </pic:pic>
              </a:graphicData>
            </a:graphic>
          </wp:inline>
        </w:drawing>
      </w:r>
    </w:p>
    <w:p w14:paraId="5E30C6AA" w14:textId="30743F57" w:rsidR="00566372" w:rsidRDefault="00C4225D" w:rsidP="00ED0778">
      <w:pPr>
        <w:pStyle w:val="Caption"/>
      </w:pPr>
      <w:r>
        <w:t xml:space="preserve">Figure </w:t>
      </w:r>
      <w:fldSimple w:instr=" SEQ Figure \* ARABIC ">
        <w:r>
          <w:rPr>
            <w:noProof/>
          </w:rPr>
          <w:t>4</w:t>
        </w:r>
      </w:fldSimple>
      <w:r>
        <w:t xml:space="preserve">: A group of </w:t>
      </w:r>
      <w:proofErr w:type="spellStart"/>
      <w:r>
        <w:t>Jogappas</w:t>
      </w:r>
      <w:proofErr w:type="spellEnd"/>
      <w:r>
        <w:t xml:space="preserve">, 'male' priests devoted to the service of Goddess </w:t>
      </w:r>
      <w:proofErr w:type="spellStart"/>
      <w:r>
        <w:t>Yelamma</w:t>
      </w:r>
      <w:proofErr w:type="spellEnd"/>
      <w:r>
        <w:t xml:space="preserve"> as her 'female' servants. They may be trans women or simply cross dressers | image source: Indianwomenblog.org</w:t>
      </w:r>
    </w:p>
    <w:p w14:paraId="583D435E" w14:textId="2D5CB374" w:rsidR="00566372" w:rsidRDefault="00566372" w:rsidP="00A7698C">
      <w:r>
        <w:t xml:space="preserve">This ‘tolerance’ for </w:t>
      </w:r>
      <w:r w:rsidR="00A11A31">
        <w:t xml:space="preserve">manifestations of different genders and sexuality is evident </w:t>
      </w:r>
      <w:r w:rsidR="00EB3B49">
        <w:t xml:space="preserve">even in contemporary India despite and because of religious contexts. Like the </w:t>
      </w:r>
      <w:proofErr w:type="spellStart"/>
      <w:r w:rsidR="00EB3B49" w:rsidRPr="00C4225D">
        <w:rPr>
          <w:i/>
        </w:rPr>
        <w:t>Aravanis</w:t>
      </w:r>
      <w:proofErr w:type="spellEnd"/>
      <w:r w:rsidR="00EB3B49" w:rsidRPr="00C4225D">
        <w:rPr>
          <w:i/>
        </w:rPr>
        <w:t xml:space="preserve">, </w:t>
      </w:r>
      <w:proofErr w:type="spellStart"/>
      <w:r w:rsidR="00EB3B49" w:rsidRPr="00C4225D">
        <w:rPr>
          <w:i/>
        </w:rPr>
        <w:t>Hijras</w:t>
      </w:r>
      <w:proofErr w:type="spellEnd"/>
      <w:r w:rsidR="00EB3B49">
        <w:t xml:space="preserve"> and </w:t>
      </w:r>
      <w:proofErr w:type="spellStart"/>
      <w:r w:rsidR="00EB3B49" w:rsidRPr="00C4225D">
        <w:rPr>
          <w:i/>
        </w:rPr>
        <w:t>Jogappas</w:t>
      </w:r>
      <w:proofErr w:type="spellEnd"/>
      <w:r w:rsidR="00EB3B49">
        <w:t xml:space="preserve"> come from the transgender community. Officially recognized as the ‘third gender’ by India’s Supreme Court</w:t>
      </w:r>
      <w:sdt>
        <w:sdtPr>
          <w:id w:val="1690332243"/>
          <w:citation/>
        </w:sdtPr>
        <w:sdtContent>
          <w:r w:rsidR="00EB3B49">
            <w:fldChar w:fldCharType="begin"/>
          </w:r>
          <w:r w:rsidR="00EB3B49">
            <w:instrText xml:space="preserve"> CITATION Gee14 \l 1033 </w:instrText>
          </w:r>
          <w:r w:rsidR="00EB3B49">
            <w:fldChar w:fldCharType="separate"/>
          </w:r>
          <w:r w:rsidR="00EB3B49">
            <w:rPr>
              <w:noProof/>
            </w:rPr>
            <w:t xml:space="preserve"> (Pandey)</w:t>
          </w:r>
          <w:r w:rsidR="00EB3B49">
            <w:fldChar w:fldCharType="end"/>
          </w:r>
        </w:sdtContent>
      </w:sdt>
      <w:r w:rsidR="00EB3B49">
        <w:t xml:space="preserve">, they have long held a place in </w:t>
      </w:r>
      <w:r w:rsidR="00C4225D">
        <w:t xml:space="preserve">India’s culture and vocabulary as people who belong to the </w:t>
      </w:r>
      <w:r w:rsidR="00C4225D" w:rsidRPr="00C4225D">
        <w:rPr>
          <w:i/>
        </w:rPr>
        <w:t>‘</w:t>
      </w:r>
      <w:proofErr w:type="spellStart"/>
      <w:r w:rsidR="00C4225D" w:rsidRPr="00C4225D">
        <w:rPr>
          <w:i/>
        </w:rPr>
        <w:t>tritiya-prakriti</w:t>
      </w:r>
      <w:proofErr w:type="spellEnd"/>
      <w:r w:rsidR="00C4225D" w:rsidRPr="00C4225D">
        <w:rPr>
          <w:i/>
        </w:rPr>
        <w:t>’</w:t>
      </w:r>
      <w:r w:rsidR="00C4225D">
        <w:t xml:space="preserve"> – literally, third nature.</w:t>
      </w:r>
      <w:r w:rsidR="00EB3B49">
        <w:t xml:space="preserve"> </w:t>
      </w:r>
      <w:sdt>
        <w:sdtPr>
          <w:id w:val="-1882938996"/>
          <w:citation/>
        </w:sdtPr>
        <w:sdtContent>
          <w:r w:rsidR="00C4225D">
            <w:fldChar w:fldCharType="begin"/>
          </w:r>
          <w:r w:rsidR="00C4225D">
            <w:instrText xml:space="preserve"> CITATION Ama04 \l 1033 </w:instrText>
          </w:r>
          <w:r w:rsidR="00C4225D">
            <w:fldChar w:fldCharType="separate"/>
          </w:r>
          <w:r w:rsidR="00C4225D">
            <w:rPr>
              <w:noProof/>
            </w:rPr>
            <w:t>(Wilhelm)</w:t>
          </w:r>
          <w:r w:rsidR="00C4225D">
            <w:fldChar w:fldCharType="end"/>
          </w:r>
        </w:sdtContent>
      </w:sdt>
      <w:r w:rsidR="00C4225D">
        <w:t xml:space="preserve"> These transgender people are associated with certain cults of Hindu gods or goddesses, and are often part of ritual ceremonies. They may not enjoy vast social acceptance, but within the religious context, receive validation for their identities and some respect. </w:t>
      </w:r>
    </w:p>
    <w:p w14:paraId="37BBE3D6" w14:textId="77777777" w:rsidR="000B3409" w:rsidRDefault="000B3409" w:rsidP="00A7698C">
      <w:pPr>
        <w:rPr>
          <w:b/>
        </w:rPr>
      </w:pPr>
    </w:p>
    <w:p w14:paraId="2AD4CCB4" w14:textId="57C8D598" w:rsidR="00C4225D" w:rsidRPr="005958E7" w:rsidRDefault="005958E7" w:rsidP="00A7698C">
      <w:pPr>
        <w:rPr>
          <w:b/>
        </w:rPr>
      </w:pPr>
      <w:r w:rsidRPr="005958E7">
        <w:rPr>
          <w:b/>
        </w:rPr>
        <w:t>The Hindu handling of modern queers: A case study for the Christian community</w:t>
      </w:r>
    </w:p>
    <w:p w14:paraId="40BDD3A8" w14:textId="77777777" w:rsidR="00C4225D" w:rsidRDefault="00C4225D" w:rsidP="00A7698C"/>
    <w:p w14:paraId="48180054" w14:textId="02AA3D39" w:rsidR="00566372" w:rsidRDefault="00910742" w:rsidP="00A7698C">
      <w:r>
        <w:t>Scholars of m</w:t>
      </w:r>
      <w:r w:rsidR="00267AF4">
        <w:t>odern queer theology</w:t>
      </w:r>
      <w:r>
        <w:t xml:space="preserve"> and </w:t>
      </w:r>
      <w:r w:rsidR="00267AF4">
        <w:t>progressive churches that accommodate the gender and sexual minority communities</w:t>
      </w:r>
      <w:r>
        <w:t xml:space="preserve"> have found a way to circumvent the Biblical injunctions surrounding homosexuality by limiting interpretation to the historical context in which those utterances were made. This hermeneutical method is constrictive and is unlikely to appeal to the majority for whom scriptures hold universal value. </w:t>
      </w:r>
    </w:p>
    <w:p w14:paraId="23AA1E48" w14:textId="77777777" w:rsidR="00FA6255" w:rsidRDefault="00FA6255" w:rsidP="00A7698C"/>
    <w:p w14:paraId="5EA92D65" w14:textId="2F6F363A" w:rsidR="00227BF7" w:rsidRDefault="00FA6255" w:rsidP="00A7698C">
      <w:r>
        <w:t>The Hindu approac</w:t>
      </w:r>
      <w:r w:rsidR="008C7B75">
        <w:t xml:space="preserve">h to queer matters can be said to be </w:t>
      </w:r>
      <w:r>
        <w:t xml:space="preserve">expansive, on the other hand. </w:t>
      </w:r>
      <w:r w:rsidR="00216BD0">
        <w:t xml:space="preserve">Although some ancient </w:t>
      </w:r>
      <w:proofErr w:type="spellStart"/>
      <w:r w:rsidR="0032085C" w:rsidRPr="0032085C">
        <w:rPr>
          <w:i/>
        </w:rPr>
        <w:t>smriti</w:t>
      </w:r>
      <w:proofErr w:type="spellEnd"/>
      <w:r w:rsidR="0032085C" w:rsidRPr="0032085C">
        <w:rPr>
          <w:i/>
        </w:rPr>
        <w:t xml:space="preserve"> </w:t>
      </w:r>
      <w:r w:rsidR="0032085C">
        <w:t xml:space="preserve">and </w:t>
      </w:r>
      <w:proofErr w:type="spellStart"/>
      <w:r w:rsidR="00216BD0">
        <w:rPr>
          <w:i/>
        </w:rPr>
        <w:t>shastra</w:t>
      </w:r>
      <w:proofErr w:type="spellEnd"/>
      <w:r w:rsidR="00216BD0">
        <w:rPr>
          <w:i/>
        </w:rPr>
        <w:t xml:space="preserve"> </w:t>
      </w:r>
      <w:r w:rsidR="00216BD0">
        <w:t xml:space="preserve">texts (law books) denounce homosexual </w:t>
      </w:r>
      <w:proofErr w:type="spellStart"/>
      <w:r w:rsidR="00216BD0">
        <w:t>behaviour</w:t>
      </w:r>
      <w:proofErr w:type="spellEnd"/>
      <w:r w:rsidR="00216BD0">
        <w:t xml:space="preserve"> and prescribe mild to moderate punishments, these are not widely known among laypersons. For example, </w:t>
      </w:r>
      <w:r w:rsidR="0032085C">
        <w:t xml:space="preserve">the </w:t>
      </w:r>
      <w:proofErr w:type="spellStart"/>
      <w:r w:rsidR="0032085C" w:rsidRPr="00350262">
        <w:rPr>
          <w:i/>
        </w:rPr>
        <w:t>Manusmriti</w:t>
      </w:r>
      <w:proofErr w:type="spellEnd"/>
      <w:r w:rsidR="0032085C" w:rsidRPr="00350262">
        <w:rPr>
          <w:i/>
        </w:rPr>
        <w:t xml:space="preserve"> </w:t>
      </w:r>
      <w:r w:rsidR="0032085C">
        <w:t xml:space="preserve">and the </w:t>
      </w:r>
      <w:proofErr w:type="spellStart"/>
      <w:r w:rsidR="0032085C" w:rsidRPr="00350262">
        <w:rPr>
          <w:i/>
        </w:rPr>
        <w:t>Arthashastra</w:t>
      </w:r>
      <w:proofErr w:type="spellEnd"/>
      <w:r w:rsidR="0032085C">
        <w:t xml:space="preserve"> </w:t>
      </w:r>
      <w:r w:rsidR="00397207">
        <w:t xml:space="preserve">both consider homosexual </w:t>
      </w:r>
      <w:proofErr w:type="spellStart"/>
      <w:r w:rsidR="00397207">
        <w:t>behaviour</w:t>
      </w:r>
      <w:proofErr w:type="spellEnd"/>
      <w:r w:rsidR="00397207">
        <w:t xml:space="preserve"> among ordinary twice-born (higher caste) males to be a minor offence that may be atoned for by taking a ritual bath or paying a small fine. It is interesting to note that both these texts also considered the public vilification of people of the third sex to be a punishable offence. </w:t>
      </w:r>
      <w:sdt>
        <w:sdtPr>
          <w:id w:val="1012347791"/>
          <w:citation/>
        </w:sdtPr>
        <w:sdtContent>
          <w:r w:rsidR="00397207">
            <w:fldChar w:fldCharType="begin"/>
          </w:r>
          <w:r w:rsidR="00397207">
            <w:instrText xml:space="preserve">CITATION Ama04 \p 50 \l 1033 </w:instrText>
          </w:r>
          <w:r w:rsidR="00397207">
            <w:fldChar w:fldCharType="separate"/>
          </w:r>
          <w:r w:rsidR="00397207">
            <w:rPr>
              <w:noProof/>
            </w:rPr>
            <w:t>(Wilhelm 50)</w:t>
          </w:r>
          <w:r w:rsidR="00397207">
            <w:fldChar w:fldCharType="end"/>
          </w:r>
        </w:sdtContent>
      </w:sdt>
      <w:r w:rsidR="00B715DF">
        <w:t xml:space="preserve"> </w:t>
      </w:r>
    </w:p>
    <w:p w14:paraId="6B7E4903" w14:textId="77777777" w:rsidR="00227BF7" w:rsidRDefault="00227BF7" w:rsidP="00A7698C"/>
    <w:p w14:paraId="399485D0" w14:textId="03C33654" w:rsidR="00397207" w:rsidRDefault="00397207" w:rsidP="00A7698C">
      <w:r>
        <w:t xml:space="preserve">However, the legitimacy that queer and </w:t>
      </w:r>
      <w:proofErr w:type="spellStart"/>
      <w:r>
        <w:t>transfolk</w:t>
      </w:r>
      <w:proofErr w:type="spellEnd"/>
      <w:r>
        <w:t xml:space="preserve"> have in Hindu society comes from the </w:t>
      </w:r>
      <w:r w:rsidR="00B715DF">
        <w:t xml:space="preserve">myths embedded in scripture as noted above. </w:t>
      </w:r>
      <w:r>
        <w:t xml:space="preserve"> </w:t>
      </w:r>
      <w:r w:rsidR="00B715DF">
        <w:t xml:space="preserve">The existence of queer characters and stories that are sacred in nature not only reserves natural space for this community in society but also grants them some measure of sacrality by association. </w:t>
      </w:r>
      <w:r w:rsidR="00227BF7">
        <w:t>Though this may imply a concessional or tolerant attitude from the heteronormative section of society, it is far better than outright rejection or a view that casts them as sinners.</w:t>
      </w:r>
      <w:r w:rsidR="00350262">
        <w:t xml:space="preserve"> And when there is no direct sacred framework (modern Indian/Hindu queers do not all belong of special religious sects), the</w:t>
      </w:r>
      <w:r w:rsidR="00256B7E">
        <w:t>re is, at least, the knowledge of naturalized cultural history of queers in the collective consciousness.</w:t>
      </w:r>
    </w:p>
    <w:p w14:paraId="6A65089B" w14:textId="77777777" w:rsidR="00AD4DB5" w:rsidRDefault="00AD4DB5" w:rsidP="00A7698C"/>
    <w:p w14:paraId="47E3A17B" w14:textId="313685CA" w:rsidR="00AD4DB5" w:rsidRDefault="00AD4DB5" w:rsidP="00A7698C">
      <w:r>
        <w:t xml:space="preserve">Much of the fight for queer rights </w:t>
      </w:r>
      <w:r w:rsidR="00227BF7">
        <w:t>is</w:t>
      </w:r>
      <w:r>
        <w:t xml:space="preserve"> about normalization </w:t>
      </w:r>
      <w:r w:rsidR="00227BF7">
        <w:t xml:space="preserve">and acceptance, and the </w:t>
      </w:r>
      <w:proofErr w:type="spellStart"/>
      <w:r w:rsidR="00227BF7">
        <w:t>sacralising</w:t>
      </w:r>
      <w:proofErr w:type="spellEnd"/>
      <w:r w:rsidR="00227BF7">
        <w:t xml:space="preserve"> approach may seem like being thrust into another minority category. But from a theological point of view, it may be the first vital door to open that leads from acknowledgement to acceptance. </w:t>
      </w:r>
      <w:r w:rsidR="00350262">
        <w:t xml:space="preserve">Queer-friendly Christian leaders may seek inspiration from this Hindu model to alter the narrative and consequently attitude towards the LGBTQIA+ community. </w:t>
      </w:r>
    </w:p>
    <w:p w14:paraId="785A09CA" w14:textId="77777777" w:rsidR="00350262" w:rsidRDefault="00350262" w:rsidP="00A7698C"/>
    <w:p w14:paraId="67452D07" w14:textId="3EF0FEBD" w:rsidR="00E162F7" w:rsidRDefault="00350262" w:rsidP="00A7698C">
      <w:r>
        <w:t xml:space="preserve">Taking off from the point </w:t>
      </w:r>
      <w:r w:rsidR="00256B7E">
        <w:t>w</w:t>
      </w:r>
      <w:r w:rsidR="007C6C4A">
        <w:t xml:space="preserve">here queer theology leaves off – interpretation restricted to context – mainstream theology may choose to build upon the fact of mere existence. </w:t>
      </w:r>
      <w:r w:rsidR="00827FA4">
        <w:t xml:space="preserve">That queer people occur in scripture could be taken as a singular point of validation, as proof that they aren’t glitches or aberrations </w:t>
      </w:r>
      <w:r w:rsidR="00E162F7">
        <w:t xml:space="preserve">in the divine scheme of things, as reason why they must be treated like anyone else. </w:t>
      </w:r>
      <w:r w:rsidR="008D5A86">
        <w:t xml:space="preserve">As characters in a divine play – like the Hindu queer gods – they would be deemed divine too. It would place them right into the fold of beings who God created in his own image. </w:t>
      </w:r>
    </w:p>
    <w:p w14:paraId="0CD8D538" w14:textId="77777777" w:rsidR="00333D9A" w:rsidRDefault="00333D9A" w:rsidP="00A7698C"/>
    <w:p w14:paraId="0D60DB83" w14:textId="24622265" w:rsidR="00333D9A" w:rsidRDefault="00333D9A" w:rsidP="00A7698C">
      <w:r>
        <w:t xml:space="preserve">This Hindu approach, if used to illumine the ideas of gender and sexuality in a larger Christian context, may help solve the theological deadlock to some extent. Doing so would need making several rounds of what </w:t>
      </w:r>
      <w:proofErr w:type="spellStart"/>
      <w:r>
        <w:t>Friederich</w:t>
      </w:r>
      <w:proofErr w:type="spellEnd"/>
      <w:r>
        <w:t xml:space="preserve"> Schleiermacher calls ‘the hermeneutical circle’. The Father of Modern Hermeneutics stated, “In order to gain an overview of the text in its completeness, we must give proper attention to the details and particulars. But we cannot appreciate the significance of these details and particulars without a sense of the whole work. We begin with the big idea, read the text clearly and in detail in the light of this, and then use the text to substantiate the initial idea.”</w:t>
      </w:r>
    </w:p>
    <w:p w14:paraId="28A8E30D" w14:textId="77777777" w:rsidR="00333D9A" w:rsidRDefault="00333D9A" w:rsidP="00A7698C"/>
    <w:p w14:paraId="3347717A" w14:textId="0904A643" w:rsidR="00BE70FC" w:rsidRDefault="00333D9A" w:rsidP="00A7698C">
      <w:r>
        <w:t xml:space="preserve">Interpreting some </w:t>
      </w:r>
      <w:r w:rsidR="006F4A38">
        <w:t>parts of scripture,</w:t>
      </w:r>
      <w:r>
        <w:t xml:space="preserve"> such as the stories of Sodom and Gomorrah, Ruth and Naomi, or David and Jonathan</w:t>
      </w:r>
      <w:r w:rsidR="006F4A38">
        <w:t xml:space="preserve">, </w:t>
      </w:r>
      <w:r>
        <w:t xml:space="preserve">using a comparative theological approach </w:t>
      </w:r>
      <w:r w:rsidR="006F4A38">
        <w:t xml:space="preserve">of Hinduism to illumine notions of gender and sexuality, may indeed help alter the larger picture, and finally allow everyone to belong the way God made them. </w:t>
      </w:r>
    </w:p>
    <w:sdt>
      <w:sdtPr>
        <w:id w:val="-1466195110"/>
        <w:docPartObj>
          <w:docPartGallery w:val="Bibliographies"/>
          <w:docPartUnique/>
        </w:docPartObj>
      </w:sdtPr>
      <w:sdtEndPr>
        <w:rPr>
          <w:rFonts w:asciiTheme="minorHAnsi" w:eastAsiaTheme="minorEastAsia" w:hAnsiTheme="minorHAnsi" w:cstheme="minorBidi"/>
          <w:b w:val="0"/>
          <w:bCs w:val="0"/>
          <w:color w:val="auto"/>
          <w:sz w:val="24"/>
          <w:szCs w:val="24"/>
          <w:lang w:bidi="ar-SA"/>
        </w:rPr>
      </w:sdtEndPr>
      <w:sdtContent>
        <w:p w14:paraId="308C347E" w14:textId="2501E229" w:rsidR="005F611F" w:rsidRDefault="005F611F">
          <w:pPr>
            <w:pStyle w:val="Heading1"/>
          </w:pPr>
          <w:r>
            <w:t>Bibliography</w:t>
          </w:r>
        </w:p>
        <w:sdt>
          <w:sdtPr>
            <w:id w:val="111145805"/>
            <w:bibliography/>
          </w:sdtPr>
          <w:sdtContent>
            <w:p w14:paraId="7336E84D" w14:textId="77777777" w:rsidR="005F611F" w:rsidRDefault="005F611F" w:rsidP="005F611F">
              <w:pPr>
                <w:pStyle w:val="Bibliography"/>
                <w:rPr>
                  <w:noProof/>
                </w:rPr>
              </w:pPr>
              <w:r>
                <w:fldChar w:fldCharType="begin"/>
              </w:r>
              <w:r>
                <w:instrText xml:space="preserve"> BIBLIOGRAPHY </w:instrText>
              </w:r>
              <w:r>
                <w:fldChar w:fldCharType="separate"/>
              </w:r>
              <w:r>
                <w:rPr>
                  <w:noProof/>
                </w:rPr>
                <w:t xml:space="preserve">Rajagopal, Krishnadas. </w:t>
              </w:r>
              <w:r>
                <w:rPr>
                  <w:noProof/>
                  <w:u w:val="single"/>
                </w:rPr>
                <w:t>The Hindu</w:t>
              </w:r>
              <w:r>
                <w:rPr>
                  <w:noProof/>
                </w:rPr>
                <w:t>. 6 September 2018. 1 May 2020 &lt;https://www.thehindu.com/news/national/highlights-from-the-supreme-courts-verdict-on-decriminalising-section-377/article24880311.ece&gt;.</w:t>
              </w:r>
            </w:p>
            <w:p w14:paraId="1C7ACE6E" w14:textId="77777777" w:rsidR="005F611F" w:rsidRDefault="005F611F" w:rsidP="005F611F">
              <w:pPr>
                <w:pStyle w:val="Bibliography"/>
                <w:rPr>
                  <w:noProof/>
                </w:rPr>
              </w:pPr>
              <w:r>
                <w:rPr>
                  <w:noProof/>
                </w:rPr>
                <w:t xml:space="preserve">PTI (Press Trust of India). </w:t>
              </w:r>
              <w:r>
                <w:rPr>
                  <w:noProof/>
                  <w:u w:val="single"/>
                </w:rPr>
                <w:t>Economic Times</w:t>
              </w:r>
              <w:r>
                <w:rPr>
                  <w:noProof/>
                </w:rPr>
                <w:t>. 29 December 2013. 1 May 2020 &lt;https://m.economictimes.com/news/politics-and-nation/religious-leaders-oppose-govts-stand-on-homosexuality/articleshow/28113038.cms&gt;.</w:t>
              </w:r>
            </w:p>
            <w:p w14:paraId="2E4E2090" w14:textId="77777777" w:rsidR="005F611F" w:rsidRDefault="005F611F" w:rsidP="005F611F">
              <w:pPr>
                <w:pStyle w:val="Bibliography"/>
                <w:rPr>
                  <w:noProof/>
                </w:rPr>
              </w:pPr>
              <w:r>
                <w:rPr>
                  <w:noProof/>
                </w:rPr>
                <w:t xml:space="preserve">Povoledo, Jason Horowitz and Elisabetta. </w:t>
              </w:r>
              <w:r>
                <w:rPr>
                  <w:noProof/>
                  <w:u w:val="single"/>
                </w:rPr>
                <w:t>The New York Times</w:t>
              </w:r>
              <w:r>
                <w:rPr>
                  <w:noProof/>
                </w:rPr>
                <w:t>. 10 June 2019. 1 May 2020 &lt;https://www.nytimes.com/2019/06/10/world/europe/vatican-francis-gender-identity-sexuality.html&gt;.</w:t>
              </w:r>
            </w:p>
            <w:p w14:paraId="0643FC8C" w14:textId="52D9DE6C" w:rsidR="005F611F" w:rsidRDefault="005F611F" w:rsidP="005F611F">
              <w:pPr>
                <w:pStyle w:val="Bibliography"/>
                <w:rPr>
                  <w:noProof/>
                </w:rPr>
              </w:pPr>
              <w:r>
                <w:rPr>
                  <w:noProof/>
                </w:rPr>
                <w:t>Vatican. "Higher Education of the Catholic Church." June 2019. 1 May 2020 http://www.educatio.va/content/dam/cec/Documenti/19_0997_INGLESE.pdf</w:t>
              </w:r>
            </w:p>
            <w:p w14:paraId="793C3E3A" w14:textId="77777777" w:rsidR="005F611F" w:rsidRDefault="005F611F" w:rsidP="005F611F">
              <w:pPr>
                <w:pStyle w:val="Bibliography"/>
                <w:rPr>
                  <w:noProof/>
                </w:rPr>
              </w:pPr>
              <w:r>
                <w:rPr>
                  <w:noProof/>
                </w:rPr>
                <w:t xml:space="preserve">Palickova, Agata. </w:t>
              </w:r>
              <w:r>
                <w:rPr>
                  <w:noProof/>
                  <w:u w:val="single"/>
                </w:rPr>
                <w:t>Euractive</w:t>
              </w:r>
              <w:r>
                <w:rPr>
                  <w:noProof/>
                </w:rPr>
                <w:t>. 19 August 2019. 1 May 2020 &lt;https://www.euractiv.com/section/freedom-of-thought/news/catholic-church-battles-against-lgbt-in-visegrad-four-continues/&gt;.</w:t>
              </w:r>
            </w:p>
            <w:p w14:paraId="172C4031" w14:textId="77777777" w:rsidR="005F611F" w:rsidRDefault="005F611F" w:rsidP="005F611F">
              <w:pPr>
                <w:pStyle w:val="Bibliography"/>
                <w:rPr>
                  <w:noProof/>
                </w:rPr>
              </w:pPr>
              <w:r>
                <w:rPr>
                  <w:noProof/>
                </w:rPr>
                <w:t xml:space="preserve">Lipka, David Maski and Michael. </w:t>
              </w:r>
              <w:r>
                <w:rPr>
                  <w:noProof/>
                  <w:u w:val="single"/>
                </w:rPr>
                <w:t>Pew Research Centre</w:t>
              </w:r>
              <w:r>
                <w:rPr>
                  <w:noProof/>
                </w:rPr>
                <w:t>. 21 December 2015. 1 May 2020 &lt;https://www.pewresearch.org/fact-tank/2015/12/21/where-christian-churches-stand-on-gay-marriage/&gt;.</w:t>
              </w:r>
            </w:p>
            <w:p w14:paraId="17A75ADD" w14:textId="77777777" w:rsidR="005F611F" w:rsidRDefault="005F611F" w:rsidP="005F611F">
              <w:pPr>
                <w:pStyle w:val="Bibliography"/>
                <w:rPr>
                  <w:noProof/>
                </w:rPr>
              </w:pPr>
              <w:r>
                <w:rPr>
                  <w:noProof/>
                </w:rPr>
                <w:t xml:space="preserve">NDTV. </w:t>
              </w:r>
              <w:r>
                <w:rPr>
                  <w:noProof/>
                  <w:u w:val="single"/>
                </w:rPr>
                <w:t>NDTV</w:t>
              </w:r>
              <w:r>
                <w:rPr>
                  <w:noProof/>
                </w:rPr>
                <w:t>. Ed. Nidhi Sethi. 20 September 2018. 1 May 2020 &lt;https://www.ndtv.com/india-news/lgbtq-community-part-of-society-mohan-bhagwat-keeps-up-with-times-1919153&gt;.</w:t>
              </w:r>
            </w:p>
            <w:p w14:paraId="0A559992" w14:textId="77777777" w:rsidR="005F611F" w:rsidRDefault="005F611F" w:rsidP="005F611F">
              <w:pPr>
                <w:pStyle w:val="Bibliography"/>
                <w:rPr>
                  <w:noProof/>
                </w:rPr>
              </w:pPr>
              <w:r>
                <w:rPr>
                  <w:noProof/>
                </w:rPr>
                <w:t xml:space="preserve">Ellingson, Stephen. </w:t>
              </w:r>
              <w:r>
                <w:rPr>
                  <w:noProof/>
                  <w:u w:val="single"/>
                </w:rPr>
                <w:t xml:space="preserve">Religion and Sexuality in Cross-cultural Perspective </w:t>
              </w:r>
              <w:r>
                <w:rPr>
                  <w:noProof/>
                </w:rPr>
                <w:t>. Ed. Stephen Ellingson and M. Christian Green. New York: Routledge, 2002.</w:t>
              </w:r>
            </w:p>
            <w:p w14:paraId="10F11BE2" w14:textId="77777777" w:rsidR="005F611F" w:rsidRDefault="005F611F" w:rsidP="005F611F">
              <w:pPr>
                <w:pStyle w:val="Bibliography"/>
                <w:rPr>
                  <w:noProof/>
                </w:rPr>
              </w:pPr>
              <w:r>
                <w:rPr>
                  <w:noProof/>
                </w:rPr>
                <w:t xml:space="preserve">Drescher, Jack. "Out of DSM: Depathologizing Homosexuality." </w:t>
              </w:r>
              <w:r>
                <w:rPr>
                  <w:noProof/>
                  <w:u w:val="single"/>
                </w:rPr>
                <w:t>Behavioral Sciences</w:t>
              </w:r>
              <w:r>
                <w:rPr>
                  <w:noProof/>
                </w:rPr>
                <w:t xml:space="preserve"> 5.4 (2015).</w:t>
              </w:r>
            </w:p>
            <w:p w14:paraId="0CC7562A" w14:textId="77777777" w:rsidR="005F611F" w:rsidRDefault="005F611F" w:rsidP="005F611F">
              <w:pPr>
                <w:pStyle w:val="Bibliography"/>
                <w:rPr>
                  <w:noProof/>
                </w:rPr>
              </w:pPr>
              <w:r>
                <w:rPr>
                  <w:noProof/>
                </w:rPr>
                <w:t xml:space="preserve">Shand, Alexander. "The Moriori People of the Chatham Islands: Their Traditions and History." </w:t>
              </w:r>
              <w:r>
                <w:rPr>
                  <w:noProof/>
                  <w:u w:val="single"/>
                </w:rPr>
                <w:t>The Journal of the Polynesian Society</w:t>
              </w:r>
              <w:r>
                <w:rPr>
                  <w:noProof/>
                </w:rPr>
                <w:t xml:space="preserve"> 3.3 (2020): 121-133.</w:t>
              </w:r>
            </w:p>
            <w:p w14:paraId="5641516A" w14:textId="77777777" w:rsidR="005F611F" w:rsidRDefault="005F611F" w:rsidP="005F611F">
              <w:pPr>
                <w:pStyle w:val="Bibliography"/>
                <w:rPr>
                  <w:noProof/>
                </w:rPr>
              </w:pPr>
              <w:r>
                <w:rPr>
                  <w:noProof/>
                </w:rPr>
                <w:t xml:space="preserve">Littleton, C. Scott. </w:t>
              </w:r>
              <w:r>
                <w:rPr>
                  <w:noProof/>
                  <w:u w:val="single"/>
                </w:rPr>
                <w:t>Gods, Goddesses and Mythology</w:t>
              </w:r>
              <w:r>
                <w:rPr>
                  <w:noProof/>
                </w:rPr>
                <w:t>. Vol. 4. New York: Marshall Cavendish, 2005.</w:t>
              </w:r>
            </w:p>
            <w:p w14:paraId="22DD2647" w14:textId="77777777" w:rsidR="005F611F" w:rsidRDefault="005F611F" w:rsidP="005F611F">
              <w:pPr>
                <w:pStyle w:val="Bibliography"/>
                <w:rPr>
                  <w:noProof/>
                </w:rPr>
              </w:pPr>
              <w:r>
                <w:rPr>
                  <w:noProof/>
                </w:rPr>
                <w:t xml:space="preserve">McLeish, John Bailey and Kenneth. </w:t>
              </w:r>
              <w:r>
                <w:rPr>
                  <w:noProof/>
                  <w:u w:val="single"/>
                </w:rPr>
                <w:t>Gods and Men: Myths and Legends from the World's Religions</w:t>
              </w:r>
              <w:r>
                <w:rPr>
                  <w:noProof/>
                </w:rPr>
                <w:t>. Oxford: Oxford University Press, 1993.</w:t>
              </w:r>
            </w:p>
            <w:p w14:paraId="1912324F" w14:textId="77777777" w:rsidR="005F611F" w:rsidRDefault="005F611F" w:rsidP="005F611F">
              <w:pPr>
                <w:pStyle w:val="Bibliography"/>
                <w:rPr>
                  <w:noProof/>
                </w:rPr>
              </w:pPr>
              <w:r>
                <w:rPr>
                  <w:noProof/>
                </w:rPr>
                <w:t xml:space="preserve">Carden, Michael. "Compulsory Heterosexuality in Biblical Narratives and their Interpretations: Reading Homophobia and Rape in Sodom and Gibeah." </w:t>
              </w:r>
              <w:r>
                <w:rPr>
                  <w:noProof/>
                  <w:u w:val="single"/>
                </w:rPr>
                <w:t>Journal for the Academic Study of Religion [earlier, Australian Religion Studies Review]</w:t>
              </w:r>
              <w:r>
                <w:rPr>
                  <w:noProof/>
                </w:rPr>
                <w:t xml:space="preserve"> 12.1 (1999): 47-60.</w:t>
              </w:r>
            </w:p>
            <w:p w14:paraId="6A20C33C" w14:textId="77777777" w:rsidR="005F611F" w:rsidRDefault="005F611F" w:rsidP="005F611F">
              <w:pPr>
                <w:pStyle w:val="Bibliography"/>
                <w:rPr>
                  <w:noProof/>
                </w:rPr>
              </w:pPr>
              <w:r>
                <w:rPr>
                  <w:noProof/>
                </w:rPr>
                <w:t xml:space="preserve">Bardella, Claudio. "Queer Spirituality." </w:t>
              </w:r>
              <w:r>
                <w:rPr>
                  <w:noProof/>
                  <w:u w:val="single"/>
                </w:rPr>
                <w:t>Social Compass</w:t>
              </w:r>
              <w:r>
                <w:rPr>
                  <w:noProof/>
                </w:rPr>
                <w:t xml:space="preserve"> 48.1 (2001): 117-138.</w:t>
              </w:r>
            </w:p>
            <w:p w14:paraId="05EEBA07" w14:textId="77777777" w:rsidR="005F611F" w:rsidRDefault="005F611F" w:rsidP="005F611F">
              <w:pPr>
                <w:pStyle w:val="Bibliography"/>
                <w:rPr>
                  <w:noProof/>
                </w:rPr>
              </w:pPr>
              <w:r>
                <w:rPr>
                  <w:noProof/>
                </w:rPr>
                <w:t xml:space="preserve">Edward F. Lomash, Tabria D. Brown &amp; M. Paz Galupo. "“A Whole Bunch of Love the Sinner Hate the Sin”: LGBTQ Microaggressions Experienced in Religious and Spiritual Context." </w:t>
              </w:r>
              <w:r>
                <w:rPr>
                  <w:noProof/>
                  <w:u w:val="single"/>
                </w:rPr>
                <w:t>Journal of Homosexuality</w:t>
              </w:r>
              <w:r>
                <w:rPr>
                  <w:noProof/>
                </w:rPr>
                <w:t xml:space="preserve"> (2018): 1-17.</w:t>
              </w:r>
            </w:p>
            <w:p w14:paraId="3263613B" w14:textId="77777777" w:rsidR="005F611F" w:rsidRDefault="005F611F" w:rsidP="005F611F">
              <w:pPr>
                <w:pStyle w:val="Bibliography"/>
                <w:rPr>
                  <w:noProof/>
                </w:rPr>
              </w:pPr>
              <w:r>
                <w:rPr>
                  <w:noProof/>
                </w:rPr>
                <w:t xml:space="preserve">Vashisht, Shiney. "Manusmriti: Exploring Gender Justice in Ancient Hindu Legal Framework." </w:t>
              </w:r>
              <w:r>
                <w:rPr>
                  <w:noProof/>
                  <w:u w:val="single"/>
                </w:rPr>
                <w:t>Feminism and Literature: Text and Context</w:t>
              </w:r>
              <w:r>
                <w:rPr>
                  <w:noProof/>
                </w:rPr>
                <w:t>. Ed. Sanjeev Kumar Vishwakarma. Allahabad, 2015. 150-161.</w:t>
              </w:r>
            </w:p>
            <w:p w14:paraId="2995E13D" w14:textId="77777777" w:rsidR="005F611F" w:rsidRDefault="005F611F" w:rsidP="005F611F">
              <w:pPr>
                <w:pStyle w:val="Bibliography"/>
                <w:rPr>
                  <w:noProof/>
                </w:rPr>
              </w:pPr>
              <w:r>
                <w:rPr>
                  <w:noProof/>
                </w:rPr>
                <w:t xml:space="preserve">Schimmel, Solomon. </w:t>
              </w:r>
              <w:r>
                <w:rPr>
                  <w:noProof/>
                  <w:u w:val="single"/>
                </w:rPr>
                <w:t>The Tenacity of Unreasonable Beliefs: Fundamentalism and the Fear of Truth</w:t>
              </w:r>
              <w:r>
                <w:rPr>
                  <w:noProof/>
                </w:rPr>
                <w:t>. Oxford: Oxford University Press, 2008.</w:t>
              </w:r>
            </w:p>
            <w:p w14:paraId="75EE9B9A" w14:textId="77777777" w:rsidR="005F611F" w:rsidRDefault="005F611F" w:rsidP="005F611F">
              <w:pPr>
                <w:pStyle w:val="Bibliography"/>
                <w:rPr>
                  <w:noProof/>
                </w:rPr>
              </w:pPr>
              <w:r>
                <w:rPr>
                  <w:noProof/>
                </w:rPr>
                <w:t xml:space="preserve">Nicholson, Reid B. Locklin and Hugh. "The Return of Comparative Theology ." </w:t>
              </w:r>
              <w:r>
                <w:rPr>
                  <w:noProof/>
                  <w:u w:val="single"/>
                </w:rPr>
                <w:t>Journal of the American Academy of Religion</w:t>
              </w:r>
              <w:r>
                <w:rPr>
                  <w:noProof/>
                </w:rPr>
                <w:t xml:space="preserve"> 78.2 (2010): 477-514.</w:t>
              </w:r>
            </w:p>
            <w:p w14:paraId="5DD456DC" w14:textId="77777777" w:rsidR="005F611F" w:rsidRDefault="005F611F" w:rsidP="005F611F">
              <w:pPr>
                <w:pStyle w:val="Bibliography"/>
                <w:rPr>
                  <w:noProof/>
                </w:rPr>
              </w:pPr>
              <w:r>
                <w:rPr>
                  <w:noProof/>
                </w:rPr>
                <w:t xml:space="preserve">Chowdhury, Piku. "A Study of the Un-gendered Human Identity in Sufism, Christianity, Baul songs and Ancient Hindu Philosophy: A Step towards Preparing Teachers for Addressing Diversity in Modern Society." </w:t>
              </w:r>
              <w:r>
                <w:rPr>
                  <w:noProof/>
                  <w:u w:val="single"/>
                </w:rPr>
                <w:t>International Journal in Commerce, IT &amp; Social Sciences</w:t>
              </w:r>
              <w:r>
                <w:rPr>
                  <w:noProof/>
                </w:rPr>
                <w:t xml:space="preserve"> (2015): 45-58.</w:t>
              </w:r>
            </w:p>
            <w:p w14:paraId="36150FC3" w14:textId="77777777" w:rsidR="005F611F" w:rsidRDefault="005F611F" w:rsidP="005F611F">
              <w:pPr>
                <w:pStyle w:val="Bibliography"/>
                <w:rPr>
                  <w:noProof/>
                </w:rPr>
              </w:pPr>
              <w:r>
                <w:rPr>
                  <w:noProof/>
                </w:rPr>
                <w:t xml:space="preserve">Kalidos, Raju. "Viṣṇu's Mohinī Incarnation: An Iconographical and Sexological Study." </w:t>
              </w:r>
              <w:r>
                <w:rPr>
                  <w:noProof/>
                  <w:u w:val="single"/>
                </w:rPr>
                <w:t>East and West</w:t>
              </w:r>
              <w:r>
                <w:rPr>
                  <w:noProof/>
                </w:rPr>
                <w:t xml:space="preserve"> 36.1/3 (1986): 183-204.</w:t>
              </w:r>
            </w:p>
            <w:p w14:paraId="610A7D83" w14:textId="77777777" w:rsidR="005F611F" w:rsidRDefault="005F611F" w:rsidP="005F611F">
              <w:pPr>
                <w:pStyle w:val="Bibliography"/>
                <w:rPr>
                  <w:noProof/>
                </w:rPr>
              </w:pPr>
              <w:r>
                <w:rPr>
                  <w:noProof/>
                </w:rPr>
                <w:t xml:space="preserve">Subramanian, Kalki. </w:t>
              </w:r>
              <w:r>
                <w:rPr>
                  <w:noProof/>
                  <w:u w:val="single"/>
                </w:rPr>
                <w:t>The Week magazine</w:t>
              </w:r>
              <w:r>
                <w:rPr>
                  <w:noProof/>
                </w:rPr>
                <w:t>. 08 July 2018. 06 May 2020 &lt;https://www.theweek.in/theweek/cover/2018/06/30/half-a-life.html&gt;.</w:t>
              </w:r>
            </w:p>
            <w:p w14:paraId="6A7DE3FA" w14:textId="77777777" w:rsidR="005F611F" w:rsidRDefault="005F611F" w:rsidP="005F611F">
              <w:pPr>
                <w:pStyle w:val="Bibliography"/>
                <w:rPr>
                  <w:noProof/>
                </w:rPr>
              </w:pPr>
              <w:r>
                <w:rPr>
                  <w:noProof/>
                </w:rPr>
                <w:t xml:space="preserve">Mohapatra, P. K. "Purusarthas: A General Theory of Values." </w:t>
              </w:r>
              <w:r>
                <w:rPr>
                  <w:noProof/>
                  <w:u w:val="single"/>
                </w:rPr>
                <w:t>An Applied Perspective on Indian Ethics</w:t>
              </w:r>
              <w:r>
                <w:rPr>
                  <w:noProof/>
                </w:rPr>
                <w:t>. Singapore: Springer, 2019. 95-103.</w:t>
              </w:r>
            </w:p>
            <w:p w14:paraId="7A9FE268" w14:textId="77777777" w:rsidR="005F611F" w:rsidRDefault="005F611F" w:rsidP="005F611F">
              <w:pPr>
                <w:pStyle w:val="Bibliography"/>
                <w:rPr>
                  <w:noProof/>
                </w:rPr>
              </w:pPr>
              <w:r>
                <w:rPr>
                  <w:noProof/>
                </w:rPr>
                <w:t xml:space="preserve">Pandey, Geeta. </w:t>
              </w:r>
              <w:r>
                <w:rPr>
                  <w:noProof/>
                  <w:u w:val="single"/>
                </w:rPr>
                <w:t>BBC News</w:t>
              </w:r>
              <w:r>
                <w:rPr>
                  <w:noProof/>
                </w:rPr>
                <w:t>. 15 April 2014. 06 May 2020 &lt;https://www.bbc.com/news/world-asia-india-27031180&gt;.</w:t>
              </w:r>
            </w:p>
            <w:p w14:paraId="62BDA1E5" w14:textId="77777777" w:rsidR="005F611F" w:rsidRDefault="005F611F" w:rsidP="005F611F">
              <w:pPr>
                <w:pStyle w:val="Bibliography"/>
                <w:rPr>
                  <w:noProof/>
                </w:rPr>
              </w:pPr>
              <w:r>
                <w:rPr>
                  <w:noProof/>
                </w:rPr>
                <w:t xml:space="preserve">Wilhelm, Amara Das. </w:t>
              </w:r>
              <w:r>
                <w:rPr>
                  <w:noProof/>
                  <w:u w:val="single"/>
                </w:rPr>
                <w:t>Tritiya-Prakriti: People of the Third Sex: Understanding Homosexuality,Transgender Identity and Intersex Conditions Through Hinduism</w:t>
              </w:r>
              <w:r>
                <w:rPr>
                  <w:noProof/>
                </w:rPr>
                <w:t>. Bloomington: Xilbris Corporation, 2004.</w:t>
              </w:r>
            </w:p>
            <w:p w14:paraId="0DC69ABF" w14:textId="1FF8C09C" w:rsidR="005F611F" w:rsidRDefault="005F611F" w:rsidP="005F611F">
              <w:r>
                <w:rPr>
                  <w:b/>
                  <w:bCs/>
                  <w:noProof/>
                </w:rPr>
                <w:fldChar w:fldCharType="end"/>
              </w:r>
            </w:p>
          </w:sdtContent>
        </w:sdt>
      </w:sdtContent>
    </w:sdt>
    <w:p w14:paraId="56D92079" w14:textId="77777777" w:rsidR="00BE70FC" w:rsidRDefault="00BE70FC" w:rsidP="00A7698C"/>
    <w:p w14:paraId="3BED4B4E" w14:textId="77777777" w:rsidR="00E162F7" w:rsidRDefault="00E162F7" w:rsidP="00A7698C"/>
    <w:p w14:paraId="63DD5D34" w14:textId="77777777" w:rsidR="00E162F7" w:rsidRPr="00A7698C" w:rsidRDefault="00E162F7" w:rsidP="00A7698C"/>
    <w:sectPr w:rsidR="00E162F7" w:rsidRPr="00A7698C" w:rsidSect="002962A1">
      <w:pgSz w:w="11900" w:h="16840"/>
      <w:pgMar w:top="1440" w:right="1800" w:bottom="1440" w:left="1800" w:header="708" w:footer="708"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1F91347C" w14:textId="77777777" w:rsidR="00022CB4" w:rsidRDefault="00022CB4" w:rsidP="000B3409">
      <w:r>
        <w:separator/>
      </w:r>
    </w:p>
  </w:endnote>
  <w:endnote w:type="continuationSeparator" w:id="0">
    <w:p w14:paraId="2BDF6361" w14:textId="77777777" w:rsidR="00022CB4" w:rsidRDefault="00022CB4" w:rsidP="000B340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F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auto"/>
    <w:pitch w:val="variable"/>
    <w:sig w:usb0="E00002FF" w:usb1="400004FF" w:usb2="00000000" w:usb3="00000000" w:csb0="0000019F" w:csb1="00000000"/>
  </w:font>
  <w:font w:name="ＭＳ 明朝">
    <w:charset w:val="4E"/>
    <w:family w:val="auto"/>
    <w:pitch w:val="variable"/>
    <w:sig w:usb0="00000001" w:usb1="08070000" w:usb2="00000010" w:usb3="00000000" w:csb0="00020000" w:csb1="00000000"/>
  </w:font>
  <w:font w:name="Calibri">
    <w:panose1 w:val="020F0502020204030204"/>
    <w:charset w:val="00"/>
    <w:family w:val="auto"/>
    <w:pitch w:val="variable"/>
    <w:sig w:usb0="E10002FF" w:usb1="4000ACFF" w:usb2="00000009" w:usb3="00000000" w:csb0="0000019F" w:csb1="00000000"/>
  </w:font>
  <w:font w:name="ＭＳ ゴシック">
    <w:charset w:val="4E"/>
    <w:family w:val="auto"/>
    <w:pitch w:val="variable"/>
    <w:sig w:usb0="00000001" w:usb1="08070000" w:usb2="00000010" w:usb3="00000000" w:csb0="00020000" w:csb1="00000000"/>
  </w:font>
  <w:font w:name="Lucida Grande">
    <w:panose1 w:val="020B0600040502020204"/>
    <w:charset w:val="00"/>
    <w:family w:val="auto"/>
    <w:pitch w:val="variable"/>
    <w:sig w:usb0="E1000AEF" w:usb1="5000A1FF" w:usb2="00000000" w:usb3="00000000" w:csb0="000001BF" w:csb1="00000000"/>
  </w:font>
  <w:font w:name="Times Roman">
    <w:panose1 w:val="00000500000000020000"/>
    <w:charset w:val="00"/>
    <w:family w:val="auto"/>
    <w:pitch w:val="variable"/>
    <w:sig w:usb0="E00002FF" w:usb1="5000205A" w:usb2="00000000" w:usb3="00000000" w:csb0="0000019F" w:csb1="00000000"/>
  </w:font>
  <w:font w:name="Arial">
    <w:panose1 w:val="020B0604020202020204"/>
    <w:charset w:val="00"/>
    <w:family w:val="auto"/>
    <w:pitch w:val="variable"/>
    <w:sig w:usb0="E0002AFF" w:usb1="C0007843" w:usb2="00000009" w:usb3="00000000" w:csb0="000001FF"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1898C832" w14:textId="77777777" w:rsidR="00022CB4" w:rsidRDefault="00022CB4" w:rsidP="000B3409">
      <w:r>
        <w:separator/>
      </w:r>
    </w:p>
  </w:footnote>
  <w:footnote w:type="continuationSeparator" w:id="0">
    <w:p w14:paraId="0B78C6D0" w14:textId="77777777" w:rsidR="00022CB4" w:rsidRDefault="00022CB4" w:rsidP="000B3409">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0000001"/>
    <w:multiLevelType w:val="hybridMultilevel"/>
    <w:tmpl w:val="00000001"/>
    <w:lvl w:ilvl="0" w:tplc="00000001">
      <w:start w:val="2"/>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nsid w:val="08F55F04"/>
    <w:multiLevelType w:val="hybridMultilevel"/>
    <w:tmpl w:val="3CACE2C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40"/>
  <w:proofState w:spelling="clean" w:grammar="clean"/>
  <w:defaultTabStop w:val="720"/>
  <w:characterSpacingControl w:val="doNotCompress"/>
  <w:savePreviewPicture/>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8B24B6"/>
    <w:rsid w:val="00017D9D"/>
    <w:rsid w:val="00022CB4"/>
    <w:rsid w:val="000270AE"/>
    <w:rsid w:val="00041F7F"/>
    <w:rsid w:val="00042185"/>
    <w:rsid w:val="000462C1"/>
    <w:rsid w:val="000479B5"/>
    <w:rsid w:val="00061367"/>
    <w:rsid w:val="00062BCF"/>
    <w:rsid w:val="000B31BA"/>
    <w:rsid w:val="000B3409"/>
    <w:rsid w:val="000B4378"/>
    <w:rsid w:val="000B5B0D"/>
    <w:rsid w:val="000B7D31"/>
    <w:rsid w:val="000C0110"/>
    <w:rsid w:val="000C36ED"/>
    <w:rsid w:val="000D3360"/>
    <w:rsid w:val="000E415D"/>
    <w:rsid w:val="00105B59"/>
    <w:rsid w:val="00117AEE"/>
    <w:rsid w:val="00127877"/>
    <w:rsid w:val="0013423A"/>
    <w:rsid w:val="00142F7C"/>
    <w:rsid w:val="00152C33"/>
    <w:rsid w:val="00175FB7"/>
    <w:rsid w:val="00180B3E"/>
    <w:rsid w:val="001851A5"/>
    <w:rsid w:val="0019061D"/>
    <w:rsid w:val="00193F07"/>
    <w:rsid w:val="0019500F"/>
    <w:rsid w:val="00195594"/>
    <w:rsid w:val="001961A9"/>
    <w:rsid w:val="001A6C1B"/>
    <w:rsid w:val="001F51B7"/>
    <w:rsid w:val="00203167"/>
    <w:rsid w:val="0021180A"/>
    <w:rsid w:val="00216BD0"/>
    <w:rsid w:val="002224A6"/>
    <w:rsid w:val="00227BF7"/>
    <w:rsid w:val="002345CB"/>
    <w:rsid w:val="00245BB0"/>
    <w:rsid w:val="00256B7E"/>
    <w:rsid w:val="002579D3"/>
    <w:rsid w:val="00267AF4"/>
    <w:rsid w:val="00271955"/>
    <w:rsid w:val="002962A1"/>
    <w:rsid w:val="002A0D48"/>
    <w:rsid w:val="002A4B59"/>
    <w:rsid w:val="002B0B5A"/>
    <w:rsid w:val="002C74ED"/>
    <w:rsid w:val="002D0D5F"/>
    <w:rsid w:val="002E6A30"/>
    <w:rsid w:val="002F549B"/>
    <w:rsid w:val="0032085C"/>
    <w:rsid w:val="00324228"/>
    <w:rsid w:val="00333D9A"/>
    <w:rsid w:val="00333E01"/>
    <w:rsid w:val="003355EC"/>
    <w:rsid w:val="00350262"/>
    <w:rsid w:val="003528B2"/>
    <w:rsid w:val="00363EEA"/>
    <w:rsid w:val="00370C67"/>
    <w:rsid w:val="00372C3B"/>
    <w:rsid w:val="003749A5"/>
    <w:rsid w:val="003915F4"/>
    <w:rsid w:val="0039178A"/>
    <w:rsid w:val="00397207"/>
    <w:rsid w:val="003E03FE"/>
    <w:rsid w:val="00402955"/>
    <w:rsid w:val="004209CF"/>
    <w:rsid w:val="00430C30"/>
    <w:rsid w:val="004376E8"/>
    <w:rsid w:val="00450536"/>
    <w:rsid w:val="00450CF8"/>
    <w:rsid w:val="004671A9"/>
    <w:rsid w:val="0048777A"/>
    <w:rsid w:val="004B27A5"/>
    <w:rsid w:val="004C59D5"/>
    <w:rsid w:val="004D4A93"/>
    <w:rsid w:val="004E6F64"/>
    <w:rsid w:val="00531150"/>
    <w:rsid w:val="00535679"/>
    <w:rsid w:val="00535B9B"/>
    <w:rsid w:val="00562522"/>
    <w:rsid w:val="00566372"/>
    <w:rsid w:val="0059430A"/>
    <w:rsid w:val="005958E7"/>
    <w:rsid w:val="005B0E62"/>
    <w:rsid w:val="005B6284"/>
    <w:rsid w:val="005E7705"/>
    <w:rsid w:val="005F3790"/>
    <w:rsid w:val="005F611F"/>
    <w:rsid w:val="0060183F"/>
    <w:rsid w:val="00622858"/>
    <w:rsid w:val="006353B1"/>
    <w:rsid w:val="0065649F"/>
    <w:rsid w:val="006567B6"/>
    <w:rsid w:val="00665860"/>
    <w:rsid w:val="00680E58"/>
    <w:rsid w:val="00697BDE"/>
    <w:rsid w:val="00697C18"/>
    <w:rsid w:val="006E2F1B"/>
    <w:rsid w:val="006F4A38"/>
    <w:rsid w:val="006F6F23"/>
    <w:rsid w:val="00703297"/>
    <w:rsid w:val="00716AF6"/>
    <w:rsid w:val="00722DED"/>
    <w:rsid w:val="00724C9B"/>
    <w:rsid w:val="00725472"/>
    <w:rsid w:val="007350B3"/>
    <w:rsid w:val="00735586"/>
    <w:rsid w:val="00742EFD"/>
    <w:rsid w:val="007657EB"/>
    <w:rsid w:val="00770192"/>
    <w:rsid w:val="00773555"/>
    <w:rsid w:val="00787119"/>
    <w:rsid w:val="007C6C4A"/>
    <w:rsid w:val="007D27DE"/>
    <w:rsid w:val="007D675A"/>
    <w:rsid w:val="008044D5"/>
    <w:rsid w:val="00827FA4"/>
    <w:rsid w:val="00833386"/>
    <w:rsid w:val="0084187E"/>
    <w:rsid w:val="0085438F"/>
    <w:rsid w:val="0085682B"/>
    <w:rsid w:val="00864CFA"/>
    <w:rsid w:val="008668D4"/>
    <w:rsid w:val="00866D05"/>
    <w:rsid w:val="008756BE"/>
    <w:rsid w:val="00896AC9"/>
    <w:rsid w:val="00897FDA"/>
    <w:rsid w:val="008B24B6"/>
    <w:rsid w:val="008C7B75"/>
    <w:rsid w:val="008C7DD1"/>
    <w:rsid w:val="008D5A86"/>
    <w:rsid w:val="008E46C4"/>
    <w:rsid w:val="00910742"/>
    <w:rsid w:val="00945F62"/>
    <w:rsid w:val="00952936"/>
    <w:rsid w:val="009611BF"/>
    <w:rsid w:val="0098033A"/>
    <w:rsid w:val="00993C80"/>
    <w:rsid w:val="009A1B40"/>
    <w:rsid w:val="009F055D"/>
    <w:rsid w:val="009F2D7E"/>
    <w:rsid w:val="009F6837"/>
    <w:rsid w:val="00A11A31"/>
    <w:rsid w:val="00A12E16"/>
    <w:rsid w:val="00A25417"/>
    <w:rsid w:val="00A413A2"/>
    <w:rsid w:val="00A450C8"/>
    <w:rsid w:val="00A62835"/>
    <w:rsid w:val="00A7698C"/>
    <w:rsid w:val="00A925F3"/>
    <w:rsid w:val="00A932B2"/>
    <w:rsid w:val="00AA3851"/>
    <w:rsid w:val="00AC754E"/>
    <w:rsid w:val="00AD4DB5"/>
    <w:rsid w:val="00AF3F67"/>
    <w:rsid w:val="00B00EAD"/>
    <w:rsid w:val="00B05E3A"/>
    <w:rsid w:val="00B0702B"/>
    <w:rsid w:val="00B17BAB"/>
    <w:rsid w:val="00B34BE5"/>
    <w:rsid w:val="00B53F02"/>
    <w:rsid w:val="00B619A1"/>
    <w:rsid w:val="00B63BC1"/>
    <w:rsid w:val="00B65FC4"/>
    <w:rsid w:val="00B704B2"/>
    <w:rsid w:val="00B715DF"/>
    <w:rsid w:val="00B878C9"/>
    <w:rsid w:val="00B91FFD"/>
    <w:rsid w:val="00B9331F"/>
    <w:rsid w:val="00BA59E1"/>
    <w:rsid w:val="00BE2AF7"/>
    <w:rsid w:val="00BE70FC"/>
    <w:rsid w:val="00BF1B63"/>
    <w:rsid w:val="00BF3D9E"/>
    <w:rsid w:val="00C0020D"/>
    <w:rsid w:val="00C20A33"/>
    <w:rsid w:val="00C22319"/>
    <w:rsid w:val="00C2435E"/>
    <w:rsid w:val="00C313B7"/>
    <w:rsid w:val="00C4225D"/>
    <w:rsid w:val="00C720E7"/>
    <w:rsid w:val="00C84245"/>
    <w:rsid w:val="00C9139B"/>
    <w:rsid w:val="00C97267"/>
    <w:rsid w:val="00CB6038"/>
    <w:rsid w:val="00CC0F68"/>
    <w:rsid w:val="00CE4FDF"/>
    <w:rsid w:val="00D176F8"/>
    <w:rsid w:val="00D23DD7"/>
    <w:rsid w:val="00D51570"/>
    <w:rsid w:val="00D77E0E"/>
    <w:rsid w:val="00D86594"/>
    <w:rsid w:val="00D923B6"/>
    <w:rsid w:val="00DB6804"/>
    <w:rsid w:val="00DB7CE2"/>
    <w:rsid w:val="00DC20C1"/>
    <w:rsid w:val="00DC3690"/>
    <w:rsid w:val="00DC4780"/>
    <w:rsid w:val="00DC6F0B"/>
    <w:rsid w:val="00DD2D4B"/>
    <w:rsid w:val="00DD7A9A"/>
    <w:rsid w:val="00DF2802"/>
    <w:rsid w:val="00DF68F1"/>
    <w:rsid w:val="00E05D62"/>
    <w:rsid w:val="00E05DF0"/>
    <w:rsid w:val="00E11015"/>
    <w:rsid w:val="00E162F7"/>
    <w:rsid w:val="00E27C78"/>
    <w:rsid w:val="00E33841"/>
    <w:rsid w:val="00E350DA"/>
    <w:rsid w:val="00E42A7A"/>
    <w:rsid w:val="00E74271"/>
    <w:rsid w:val="00E76B4E"/>
    <w:rsid w:val="00E809FC"/>
    <w:rsid w:val="00E855BE"/>
    <w:rsid w:val="00E91B1F"/>
    <w:rsid w:val="00EA7646"/>
    <w:rsid w:val="00EB3B49"/>
    <w:rsid w:val="00ED0778"/>
    <w:rsid w:val="00F066A8"/>
    <w:rsid w:val="00F220C0"/>
    <w:rsid w:val="00F47EAD"/>
    <w:rsid w:val="00F54DA6"/>
    <w:rsid w:val="00F5533B"/>
    <w:rsid w:val="00F62398"/>
    <w:rsid w:val="00FA6255"/>
    <w:rsid w:val="00FB0398"/>
    <w:rsid w:val="00FB5C3B"/>
    <w:rsid w:val="00FC5C11"/>
    <w:rsid w:val="00FD53F8"/>
    <w:rsid w:val="00FD6816"/>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shapelayout v:ext="edit">
      <o:idmap v:ext="edit" data="1"/>
    </o:shapelayout>
  </w:shapeDefaults>
  <w:decimalSymbol w:val="."/>
  <w:listSeparator w:val=","/>
  <w14:docId w14:val="7D609E19"/>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5F611F"/>
    <w:pPr>
      <w:keepNext/>
      <w:keepLines/>
      <w:spacing w:before="480" w:line="276" w:lineRule="auto"/>
      <w:outlineLvl w:val="0"/>
    </w:pPr>
    <w:rPr>
      <w:rFonts w:asciiTheme="majorHAnsi" w:eastAsiaTheme="majorEastAsia" w:hAnsiTheme="majorHAnsi" w:cstheme="majorBidi"/>
      <w:b/>
      <w:bCs/>
      <w:color w:val="365F91" w:themeColor="accent1" w:themeShade="BF"/>
      <w:sz w:val="28"/>
      <w:szCs w:val="28"/>
      <w:lang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017D9D"/>
    <w:rPr>
      <w:color w:val="0000FF" w:themeColor="hyperlink"/>
      <w:u w:val="single"/>
    </w:rPr>
  </w:style>
  <w:style w:type="paragraph" w:styleId="BalloonText">
    <w:name w:val="Balloon Text"/>
    <w:basedOn w:val="Normal"/>
    <w:link w:val="BalloonTextChar"/>
    <w:uiPriority w:val="99"/>
    <w:semiHidden/>
    <w:unhideWhenUsed/>
    <w:rsid w:val="00E855BE"/>
    <w:rPr>
      <w:rFonts w:ascii="Lucida Grande" w:hAnsi="Lucida Grande"/>
      <w:sz w:val="18"/>
      <w:szCs w:val="18"/>
    </w:rPr>
  </w:style>
  <w:style w:type="character" w:customStyle="1" w:styleId="BalloonTextChar">
    <w:name w:val="Balloon Text Char"/>
    <w:basedOn w:val="DefaultParagraphFont"/>
    <w:link w:val="BalloonText"/>
    <w:uiPriority w:val="99"/>
    <w:semiHidden/>
    <w:rsid w:val="00E855BE"/>
    <w:rPr>
      <w:rFonts w:ascii="Lucida Grande" w:hAnsi="Lucida Grande"/>
      <w:sz w:val="18"/>
      <w:szCs w:val="18"/>
    </w:rPr>
  </w:style>
  <w:style w:type="paragraph" w:styleId="ListParagraph">
    <w:name w:val="List Paragraph"/>
    <w:basedOn w:val="Normal"/>
    <w:uiPriority w:val="34"/>
    <w:qFormat/>
    <w:rsid w:val="00152C33"/>
    <w:pPr>
      <w:ind w:left="720"/>
      <w:contextualSpacing/>
    </w:pPr>
  </w:style>
  <w:style w:type="paragraph" w:styleId="Caption">
    <w:name w:val="caption"/>
    <w:basedOn w:val="Normal"/>
    <w:next w:val="Normal"/>
    <w:uiPriority w:val="35"/>
    <w:unhideWhenUsed/>
    <w:qFormat/>
    <w:rsid w:val="00F5533B"/>
    <w:pPr>
      <w:spacing w:after="200"/>
    </w:pPr>
    <w:rPr>
      <w:b/>
      <w:bCs/>
      <w:color w:val="4F81BD" w:themeColor="accent1"/>
      <w:sz w:val="18"/>
      <w:szCs w:val="18"/>
    </w:rPr>
  </w:style>
  <w:style w:type="paragraph" w:styleId="Header">
    <w:name w:val="header"/>
    <w:basedOn w:val="Normal"/>
    <w:link w:val="HeaderChar"/>
    <w:uiPriority w:val="99"/>
    <w:unhideWhenUsed/>
    <w:rsid w:val="000B3409"/>
    <w:pPr>
      <w:tabs>
        <w:tab w:val="center" w:pos="4320"/>
        <w:tab w:val="right" w:pos="8640"/>
      </w:tabs>
    </w:pPr>
  </w:style>
  <w:style w:type="character" w:customStyle="1" w:styleId="HeaderChar">
    <w:name w:val="Header Char"/>
    <w:basedOn w:val="DefaultParagraphFont"/>
    <w:link w:val="Header"/>
    <w:uiPriority w:val="99"/>
    <w:rsid w:val="000B3409"/>
  </w:style>
  <w:style w:type="paragraph" w:styleId="Footer">
    <w:name w:val="footer"/>
    <w:basedOn w:val="Normal"/>
    <w:link w:val="FooterChar"/>
    <w:uiPriority w:val="99"/>
    <w:unhideWhenUsed/>
    <w:rsid w:val="000B3409"/>
    <w:pPr>
      <w:tabs>
        <w:tab w:val="center" w:pos="4320"/>
        <w:tab w:val="right" w:pos="8640"/>
      </w:tabs>
    </w:pPr>
  </w:style>
  <w:style w:type="character" w:customStyle="1" w:styleId="FooterChar">
    <w:name w:val="Footer Char"/>
    <w:basedOn w:val="DefaultParagraphFont"/>
    <w:link w:val="Footer"/>
    <w:uiPriority w:val="99"/>
    <w:rsid w:val="000B3409"/>
  </w:style>
  <w:style w:type="character" w:customStyle="1" w:styleId="Heading1Char">
    <w:name w:val="Heading 1 Char"/>
    <w:basedOn w:val="DefaultParagraphFont"/>
    <w:link w:val="Heading1"/>
    <w:uiPriority w:val="9"/>
    <w:rsid w:val="005F611F"/>
    <w:rPr>
      <w:rFonts w:asciiTheme="majorHAnsi" w:eastAsiaTheme="majorEastAsia" w:hAnsiTheme="majorHAnsi" w:cstheme="majorBidi"/>
      <w:b/>
      <w:bCs/>
      <w:color w:val="365F91" w:themeColor="accent1" w:themeShade="BF"/>
      <w:sz w:val="28"/>
      <w:szCs w:val="28"/>
      <w:lang w:bidi="en-US"/>
    </w:rPr>
  </w:style>
  <w:style w:type="paragraph" w:styleId="Bibliography">
    <w:name w:val="Bibliography"/>
    <w:basedOn w:val="Normal"/>
    <w:next w:val="Normal"/>
    <w:uiPriority w:val="37"/>
    <w:unhideWhenUsed/>
    <w:rsid w:val="005F611F"/>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5F611F"/>
    <w:pPr>
      <w:keepNext/>
      <w:keepLines/>
      <w:spacing w:before="480" w:line="276" w:lineRule="auto"/>
      <w:outlineLvl w:val="0"/>
    </w:pPr>
    <w:rPr>
      <w:rFonts w:asciiTheme="majorHAnsi" w:eastAsiaTheme="majorEastAsia" w:hAnsiTheme="majorHAnsi" w:cstheme="majorBidi"/>
      <w:b/>
      <w:bCs/>
      <w:color w:val="365F91" w:themeColor="accent1" w:themeShade="BF"/>
      <w:sz w:val="28"/>
      <w:szCs w:val="28"/>
      <w:lang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017D9D"/>
    <w:rPr>
      <w:color w:val="0000FF" w:themeColor="hyperlink"/>
      <w:u w:val="single"/>
    </w:rPr>
  </w:style>
  <w:style w:type="paragraph" w:styleId="BalloonText">
    <w:name w:val="Balloon Text"/>
    <w:basedOn w:val="Normal"/>
    <w:link w:val="BalloonTextChar"/>
    <w:uiPriority w:val="99"/>
    <w:semiHidden/>
    <w:unhideWhenUsed/>
    <w:rsid w:val="00E855BE"/>
    <w:rPr>
      <w:rFonts w:ascii="Lucida Grande" w:hAnsi="Lucida Grande"/>
      <w:sz w:val="18"/>
      <w:szCs w:val="18"/>
    </w:rPr>
  </w:style>
  <w:style w:type="character" w:customStyle="1" w:styleId="BalloonTextChar">
    <w:name w:val="Balloon Text Char"/>
    <w:basedOn w:val="DefaultParagraphFont"/>
    <w:link w:val="BalloonText"/>
    <w:uiPriority w:val="99"/>
    <w:semiHidden/>
    <w:rsid w:val="00E855BE"/>
    <w:rPr>
      <w:rFonts w:ascii="Lucida Grande" w:hAnsi="Lucida Grande"/>
      <w:sz w:val="18"/>
      <w:szCs w:val="18"/>
    </w:rPr>
  </w:style>
  <w:style w:type="paragraph" w:styleId="ListParagraph">
    <w:name w:val="List Paragraph"/>
    <w:basedOn w:val="Normal"/>
    <w:uiPriority w:val="34"/>
    <w:qFormat/>
    <w:rsid w:val="00152C33"/>
    <w:pPr>
      <w:ind w:left="720"/>
      <w:contextualSpacing/>
    </w:pPr>
  </w:style>
  <w:style w:type="paragraph" w:styleId="Caption">
    <w:name w:val="caption"/>
    <w:basedOn w:val="Normal"/>
    <w:next w:val="Normal"/>
    <w:uiPriority w:val="35"/>
    <w:unhideWhenUsed/>
    <w:qFormat/>
    <w:rsid w:val="00F5533B"/>
    <w:pPr>
      <w:spacing w:after="200"/>
    </w:pPr>
    <w:rPr>
      <w:b/>
      <w:bCs/>
      <w:color w:val="4F81BD" w:themeColor="accent1"/>
      <w:sz w:val="18"/>
      <w:szCs w:val="18"/>
    </w:rPr>
  </w:style>
  <w:style w:type="paragraph" w:styleId="Header">
    <w:name w:val="header"/>
    <w:basedOn w:val="Normal"/>
    <w:link w:val="HeaderChar"/>
    <w:uiPriority w:val="99"/>
    <w:unhideWhenUsed/>
    <w:rsid w:val="000B3409"/>
    <w:pPr>
      <w:tabs>
        <w:tab w:val="center" w:pos="4320"/>
        <w:tab w:val="right" w:pos="8640"/>
      </w:tabs>
    </w:pPr>
  </w:style>
  <w:style w:type="character" w:customStyle="1" w:styleId="HeaderChar">
    <w:name w:val="Header Char"/>
    <w:basedOn w:val="DefaultParagraphFont"/>
    <w:link w:val="Header"/>
    <w:uiPriority w:val="99"/>
    <w:rsid w:val="000B3409"/>
  </w:style>
  <w:style w:type="paragraph" w:styleId="Footer">
    <w:name w:val="footer"/>
    <w:basedOn w:val="Normal"/>
    <w:link w:val="FooterChar"/>
    <w:uiPriority w:val="99"/>
    <w:unhideWhenUsed/>
    <w:rsid w:val="000B3409"/>
    <w:pPr>
      <w:tabs>
        <w:tab w:val="center" w:pos="4320"/>
        <w:tab w:val="right" w:pos="8640"/>
      </w:tabs>
    </w:pPr>
  </w:style>
  <w:style w:type="character" w:customStyle="1" w:styleId="FooterChar">
    <w:name w:val="Footer Char"/>
    <w:basedOn w:val="DefaultParagraphFont"/>
    <w:link w:val="Footer"/>
    <w:uiPriority w:val="99"/>
    <w:rsid w:val="000B3409"/>
  </w:style>
  <w:style w:type="character" w:customStyle="1" w:styleId="Heading1Char">
    <w:name w:val="Heading 1 Char"/>
    <w:basedOn w:val="DefaultParagraphFont"/>
    <w:link w:val="Heading1"/>
    <w:uiPriority w:val="9"/>
    <w:rsid w:val="005F611F"/>
    <w:rPr>
      <w:rFonts w:asciiTheme="majorHAnsi" w:eastAsiaTheme="majorEastAsia" w:hAnsiTheme="majorHAnsi" w:cstheme="majorBidi"/>
      <w:b/>
      <w:bCs/>
      <w:color w:val="365F91" w:themeColor="accent1" w:themeShade="BF"/>
      <w:sz w:val="28"/>
      <w:szCs w:val="28"/>
      <w:lang w:bidi="en-US"/>
    </w:rPr>
  </w:style>
  <w:style w:type="paragraph" w:styleId="Bibliography">
    <w:name w:val="Bibliography"/>
    <w:basedOn w:val="Normal"/>
    <w:next w:val="Normal"/>
    <w:uiPriority w:val="37"/>
    <w:unhideWhenUsed/>
    <w:rsid w:val="005F611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9764879">
      <w:bodyDiv w:val="1"/>
      <w:marLeft w:val="0"/>
      <w:marRight w:val="0"/>
      <w:marTop w:val="0"/>
      <w:marBottom w:val="0"/>
      <w:divBdr>
        <w:top w:val="none" w:sz="0" w:space="0" w:color="auto"/>
        <w:left w:val="none" w:sz="0" w:space="0" w:color="auto"/>
        <w:bottom w:val="none" w:sz="0" w:space="0" w:color="auto"/>
        <w:right w:val="none" w:sz="0" w:space="0" w:color="auto"/>
      </w:divBdr>
    </w:div>
    <w:div w:id="73208052">
      <w:bodyDiv w:val="1"/>
      <w:marLeft w:val="0"/>
      <w:marRight w:val="0"/>
      <w:marTop w:val="0"/>
      <w:marBottom w:val="0"/>
      <w:divBdr>
        <w:top w:val="none" w:sz="0" w:space="0" w:color="auto"/>
        <w:left w:val="none" w:sz="0" w:space="0" w:color="auto"/>
        <w:bottom w:val="none" w:sz="0" w:space="0" w:color="auto"/>
        <w:right w:val="none" w:sz="0" w:space="0" w:color="auto"/>
      </w:divBdr>
    </w:div>
    <w:div w:id="77408566">
      <w:bodyDiv w:val="1"/>
      <w:marLeft w:val="0"/>
      <w:marRight w:val="0"/>
      <w:marTop w:val="0"/>
      <w:marBottom w:val="0"/>
      <w:divBdr>
        <w:top w:val="none" w:sz="0" w:space="0" w:color="auto"/>
        <w:left w:val="none" w:sz="0" w:space="0" w:color="auto"/>
        <w:bottom w:val="none" w:sz="0" w:space="0" w:color="auto"/>
        <w:right w:val="none" w:sz="0" w:space="0" w:color="auto"/>
      </w:divBdr>
    </w:div>
    <w:div w:id="83769211">
      <w:bodyDiv w:val="1"/>
      <w:marLeft w:val="0"/>
      <w:marRight w:val="0"/>
      <w:marTop w:val="0"/>
      <w:marBottom w:val="0"/>
      <w:divBdr>
        <w:top w:val="none" w:sz="0" w:space="0" w:color="auto"/>
        <w:left w:val="none" w:sz="0" w:space="0" w:color="auto"/>
        <w:bottom w:val="none" w:sz="0" w:space="0" w:color="auto"/>
        <w:right w:val="none" w:sz="0" w:space="0" w:color="auto"/>
      </w:divBdr>
    </w:div>
    <w:div w:id="149175386">
      <w:bodyDiv w:val="1"/>
      <w:marLeft w:val="0"/>
      <w:marRight w:val="0"/>
      <w:marTop w:val="0"/>
      <w:marBottom w:val="0"/>
      <w:divBdr>
        <w:top w:val="none" w:sz="0" w:space="0" w:color="auto"/>
        <w:left w:val="none" w:sz="0" w:space="0" w:color="auto"/>
        <w:bottom w:val="none" w:sz="0" w:space="0" w:color="auto"/>
        <w:right w:val="none" w:sz="0" w:space="0" w:color="auto"/>
      </w:divBdr>
    </w:div>
    <w:div w:id="233667453">
      <w:bodyDiv w:val="1"/>
      <w:marLeft w:val="0"/>
      <w:marRight w:val="0"/>
      <w:marTop w:val="0"/>
      <w:marBottom w:val="0"/>
      <w:divBdr>
        <w:top w:val="none" w:sz="0" w:space="0" w:color="auto"/>
        <w:left w:val="none" w:sz="0" w:space="0" w:color="auto"/>
        <w:bottom w:val="none" w:sz="0" w:space="0" w:color="auto"/>
        <w:right w:val="none" w:sz="0" w:space="0" w:color="auto"/>
      </w:divBdr>
    </w:div>
    <w:div w:id="307713962">
      <w:bodyDiv w:val="1"/>
      <w:marLeft w:val="0"/>
      <w:marRight w:val="0"/>
      <w:marTop w:val="0"/>
      <w:marBottom w:val="0"/>
      <w:divBdr>
        <w:top w:val="none" w:sz="0" w:space="0" w:color="auto"/>
        <w:left w:val="none" w:sz="0" w:space="0" w:color="auto"/>
        <w:bottom w:val="none" w:sz="0" w:space="0" w:color="auto"/>
        <w:right w:val="none" w:sz="0" w:space="0" w:color="auto"/>
      </w:divBdr>
    </w:div>
    <w:div w:id="419761616">
      <w:bodyDiv w:val="1"/>
      <w:marLeft w:val="0"/>
      <w:marRight w:val="0"/>
      <w:marTop w:val="0"/>
      <w:marBottom w:val="0"/>
      <w:divBdr>
        <w:top w:val="none" w:sz="0" w:space="0" w:color="auto"/>
        <w:left w:val="none" w:sz="0" w:space="0" w:color="auto"/>
        <w:bottom w:val="none" w:sz="0" w:space="0" w:color="auto"/>
        <w:right w:val="none" w:sz="0" w:space="0" w:color="auto"/>
      </w:divBdr>
    </w:div>
    <w:div w:id="433402855">
      <w:bodyDiv w:val="1"/>
      <w:marLeft w:val="0"/>
      <w:marRight w:val="0"/>
      <w:marTop w:val="0"/>
      <w:marBottom w:val="0"/>
      <w:divBdr>
        <w:top w:val="none" w:sz="0" w:space="0" w:color="auto"/>
        <w:left w:val="none" w:sz="0" w:space="0" w:color="auto"/>
        <w:bottom w:val="none" w:sz="0" w:space="0" w:color="auto"/>
        <w:right w:val="none" w:sz="0" w:space="0" w:color="auto"/>
      </w:divBdr>
    </w:div>
    <w:div w:id="695422363">
      <w:bodyDiv w:val="1"/>
      <w:marLeft w:val="0"/>
      <w:marRight w:val="0"/>
      <w:marTop w:val="0"/>
      <w:marBottom w:val="0"/>
      <w:divBdr>
        <w:top w:val="none" w:sz="0" w:space="0" w:color="auto"/>
        <w:left w:val="none" w:sz="0" w:space="0" w:color="auto"/>
        <w:bottom w:val="none" w:sz="0" w:space="0" w:color="auto"/>
        <w:right w:val="none" w:sz="0" w:space="0" w:color="auto"/>
      </w:divBdr>
    </w:div>
    <w:div w:id="864245317">
      <w:bodyDiv w:val="1"/>
      <w:marLeft w:val="0"/>
      <w:marRight w:val="0"/>
      <w:marTop w:val="0"/>
      <w:marBottom w:val="0"/>
      <w:divBdr>
        <w:top w:val="none" w:sz="0" w:space="0" w:color="auto"/>
        <w:left w:val="none" w:sz="0" w:space="0" w:color="auto"/>
        <w:bottom w:val="none" w:sz="0" w:space="0" w:color="auto"/>
        <w:right w:val="none" w:sz="0" w:space="0" w:color="auto"/>
      </w:divBdr>
    </w:div>
    <w:div w:id="871577330">
      <w:bodyDiv w:val="1"/>
      <w:marLeft w:val="0"/>
      <w:marRight w:val="0"/>
      <w:marTop w:val="0"/>
      <w:marBottom w:val="0"/>
      <w:divBdr>
        <w:top w:val="none" w:sz="0" w:space="0" w:color="auto"/>
        <w:left w:val="none" w:sz="0" w:space="0" w:color="auto"/>
        <w:bottom w:val="none" w:sz="0" w:space="0" w:color="auto"/>
        <w:right w:val="none" w:sz="0" w:space="0" w:color="auto"/>
      </w:divBdr>
    </w:div>
    <w:div w:id="893271748">
      <w:bodyDiv w:val="1"/>
      <w:marLeft w:val="0"/>
      <w:marRight w:val="0"/>
      <w:marTop w:val="0"/>
      <w:marBottom w:val="0"/>
      <w:divBdr>
        <w:top w:val="none" w:sz="0" w:space="0" w:color="auto"/>
        <w:left w:val="none" w:sz="0" w:space="0" w:color="auto"/>
        <w:bottom w:val="none" w:sz="0" w:space="0" w:color="auto"/>
        <w:right w:val="none" w:sz="0" w:space="0" w:color="auto"/>
      </w:divBdr>
    </w:div>
    <w:div w:id="902179603">
      <w:bodyDiv w:val="1"/>
      <w:marLeft w:val="0"/>
      <w:marRight w:val="0"/>
      <w:marTop w:val="0"/>
      <w:marBottom w:val="0"/>
      <w:divBdr>
        <w:top w:val="none" w:sz="0" w:space="0" w:color="auto"/>
        <w:left w:val="none" w:sz="0" w:space="0" w:color="auto"/>
        <w:bottom w:val="none" w:sz="0" w:space="0" w:color="auto"/>
        <w:right w:val="none" w:sz="0" w:space="0" w:color="auto"/>
      </w:divBdr>
    </w:div>
    <w:div w:id="905799666">
      <w:bodyDiv w:val="1"/>
      <w:marLeft w:val="0"/>
      <w:marRight w:val="0"/>
      <w:marTop w:val="0"/>
      <w:marBottom w:val="0"/>
      <w:divBdr>
        <w:top w:val="none" w:sz="0" w:space="0" w:color="auto"/>
        <w:left w:val="none" w:sz="0" w:space="0" w:color="auto"/>
        <w:bottom w:val="none" w:sz="0" w:space="0" w:color="auto"/>
        <w:right w:val="none" w:sz="0" w:space="0" w:color="auto"/>
      </w:divBdr>
    </w:div>
    <w:div w:id="943457902">
      <w:bodyDiv w:val="1"/>
      <w:marLeft w:val="0"/>
      <w:marRight w:val="0"/>
      <w:marTop w:val="0"/>
      <w:marBottom w:val="0"/>
      <w:divBdr>
        <w:top w:val="none" w:sz="0" w:space="0" w:color="auto"/>
        <w:left w:val="none" w:sz="0" w:space="0" w:color="auto"/>
        <w:bottom w:val="none" w:sz="0" w:space="0" w:color="auto"/>
        <w:right w:val="none" w:sz="0" w:space="0" w:color="auto"/>
      </w:divBdr>
    </w:div>
    <w:div w:id="971441414">
      <w:bodyDiv w:val="1"/>
      <w:marLeft w:val="0"/>
      <w:marRight w:val="0"/>
      <w:marTop w:val="0"/>
      <w:marBottom w:val="0"/>
      <w:divBdr>
        <w:top w:val="none" w:sz="0" w:space="0" w:color="auto"/>
        <w:left w:val="none" w:sz="0" w:space="0" w:color="auto"/>
        <w:bottom w:val="none" w:sz="0" w:space="0" w:color="auto"/>
        <w:right w:val="none" w:sz="0" w:space="0" w:color="auto"/>
      </w:divBdr>
    </w:div>
    <w:div w:id="1000622954">
      <w:bodyDiv w:val="1"/>
      <w:marLeft w:val="0"/>
      <w:marRight w:val="0"/>
      <w:marTop w:val="0"/>
      <w:marBottom w:val="0"/>
      <w:divBdr>
        <w:top w:val="none" w:sz="0" w:space="0" w:color="auto"/>
        <w:left w:val="none" w:sz="0" w:space="0" w:color="auto"/>
        <w:bottom w:val="none" w:sz="0" w:space="0" w:color="auto"/>
        <w:right w:val="none" w:sz="0" w:space="0" w:color="auto"/>
      </w:divBdr>
    </w:div>
    <w:div w:id="1251818772">
      <w:bodyDiv w:val="1"/>
      <w:marLeft w:val="0"/>
      <w:marRight w:val="0"/>
      <w:marTop w:val="0"/>
      <w:marBottom w:val="0"/>
      <w:divBdr>
        <w:top w:val="none" w:sz="0" w:space="0" w:color="auto"/>
        <w:left w:val="none" w:sz="0" w:space="0" w:color="auto"/>
        <w:bottom w:val="none" w:sz="0" w:space="0" w:color="auto"/>
        <w:right w:val="none" w:sz="0" w:space="0" w:color="auto"/>
      </w:divBdr>
    </w:div>
    <w:div w:id="1327637401">
      <w:bodyDiv w:val="1"/>
      <w:marLeft w:val="0"/>
      <w:marRight w:val="0"/>
      <w:marTop w:val="0"/>
      <w:marBottom w:val="0"/>
      <w:divBdr>
        <w:top w:val="none" w:sz="0" w:space="0" w:color="auto"/>
        <w:left w:val="none" w:sz="0" w:space="0" w:color="auto"/>
        <w:bottom w:val="none" w:sz="0" w:space="0" w:color="auto"/>
        <w:right w:val="none" w:sz="0" w:space="0" w:color="auto"/>
      </w:divBdr>
    </w:div>
    <w:div w:id="1347713473">
      <w:bodyDiv w:val="1"/>
      <w:marLeft w:val="0"/>
      <w:marRight w:val="0"/>
      <w:marTop w:val="0"/>
      <w:marBottom w:val="0"/>
      <w:divBdr>
        <w:top w:val="none" w:sz="0" w:space="0" w:color="auto"/>
        <w:left w:val="none" w:sz="0" w:space="0" w:color="auto"/>
        <w:bottom w:val="none" w:sz="0" w:space="0" w:color="auto"/>
        <w:right w:val="none" w:sz="0" w:space="0" w:color="auto"/>
      </w:divBdr>
    </w:div>
    <w:div w:id="1516075060">
      <w:bodyDiv w:val="1"/>
      <w:marLeft w:val="0"/>
      <w:marRight w:val="0"/>
      <w:marTop w:val="0"/>
      <w:marBottom w:val="0"/>
      <w:divBdr>
        <w:top w:val="none" w:sz="0" w:space="0" w:color="auto"/>
        <w:left w:val="none" w:sz="0" w:space="0" w:color="auto"/>
        <w:bottom w:val="none" w:sz="0" w:space="0" w:color="auto"/>
        <w:right w:val="none" w:sz="0" w:space="0" w:color="auto"/>
      </w:divBdr>
    </w:div>
    <w:div w:id="1853302893">
      <w:bodyDiv w:val="1"/>
      <w:marLeft w:val="0"/>
      <w:marRight w:val="0"/>
      <w:marTop w:val="0"/>
      <w:marBottom w:val="0"/>
      <w:divBdr>
        <w:top w:val="none" w:sz="0" w:space="0" w:color="auto"/>
        <w:left w:val="none" w:sz="0" w:space="0" w:color="auto"/>
        <w:bottom w:val="none" w:sz="0" w:space="0" w:color="auto"/>
        <w:right w:val="none" w:sz="0" w:space="0" w:color="auto"/>
      </w:divBdr>
    </w:div>
    <w:div w:id="1958026468">
      <w:bodyDiv w:val="1"/>
      <w:marLeft w:val="0"/>
      <w:marRight w:val="0"/>
      <w:marTop w:val="0"/>
      <w:marBottom w:val="0"/>
      <w:divBdr>
        <w:top w:val="none" w:sz="0" w:space="0" w:color="auto"/>
        <w:left w:val="none" w:sz="0" w:space="0" w:color="auto"/>
        <w:bottom w:val="none" w:sz="0" w:space="0" w:color="auto"/>
        <w:right w:val="none" w:sz="0" w:space="0" w:color="auto"/>
      </w:divBdr>
    </w:div>
    <w:div w:id="2030642366">
      <w:bodyDiv w:val="1"/>
      <w:marLeft w:val="0"/>
      <w:marRight w:val="0"/>
      <w:marTop w:val="0"/>
      <w:marBottom w:val="0"/>
      <w:divBdr>
        <w:top w:val="none" w:sz="0" w:space="0" w:color="auto"/>
        <w:left w:val="none" w:sz="0" w:space="0" w:color="auto"/>
        <w:bottom w:val="none" w:sz="0" w:space="0" w:color="auto"/>
        <w:right w:val="none" w:sz="0" w:space="0" w:color="auto"/>
      </w:divBdr>
    </w:div>
    <w:div w:id="2056733433">
      <w:bodyDiv w:val="1"/>
      <w:marLeft w:val="0"/>
      <w:marRight w:val="0"/>
      <w:marTop w:val="0"/>
      <w:marBottom w:val="0"/>
      <w:divBdr>
        <w:top w:val="none" w:sz="0" w:space="0" w:color="auto"/>
        <w:left w:val="none" w:sz="0" w:space="0" w:color="auto"/>
        <w:bottom w:val="none" w:sz="0" w:space="0" w:color="auto"/>
        <w:right w:val="none" w:sz="0" w:space="0" w:color="auto"/>
      </w:divBdr>
    </w:div>
    <w:div w:id="2077701764">
      <w:bodyDiv w:val="1"/>
      <w:marLeft w:val="0"/>
      <w:marRight w:val="0"/>
      <w:marTop w:val="0"/>
      <w:marBottom w:val="0"/>
      <w:divBdr>
        <w:top w:val="none" w:sz="0" w:space="0" w:color="auto"/>
        <w:left w:val="none" w:sz="0" w:space="0" w:color="auto"/>
        <w:bottom w:val="none" w:sz="0" w:space="0" w:color="auto"/>
        <w:right w:val="none" w:sz="0" w:space="0" w:color="auto"/>
      </w:divBdr>
    </w:div>
    <w:div w:id="2087723171">
      <w:bodyDiv w:val="1"/>
      <w:marLeft w:val="0"/>
      <w:marRight w:val="0"/>
      <w:marTop w:val="0"/>
      <w:marBottom w:val="0"/>
      <w:divBdr>
        <w:top w:val="none" w:sz="0" w:space="0" w:color="auto"/>
        <w:left w:val="none" w:sz="0" w:space="0" w:color="auto"/>
        <w:bottom w:val="none" w:sz="0" w:space="0" w:color="auto"/>
        <w:right w:val="none" w:sz="0" w:space="0" w:color="auto"/>
      </w:divBdr>
    </w:div>
    <w:div w:id="2099447998">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image" Target="media/image3.jpg"/><Relationship Id="rId12" Type="http://schemas.openxmlformats.org/officeDocument/2006/relationships/image" Target="media/image4.jpg"/><Relationship Id="rId13" Type="http://schemas.openxmlformats.org/officeDocument/2006/relationships/fontTable" Target="fontTable.xml"/><Relationship Id="rId14"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microsoft.com/office/2007/relationships/stylesWithEffects" Target="stylesWithEffects.xml"/><Relationship Id="rId5" Type="http://schemas.openxmlformats.org/officeDocument/2006/relationships/settings" Target="settings.xml"/><Relationship Id="rId6" Type="http://schemas.openxmlformats.org/officeDocument/2006/relationships/webSettings" Target="webSettings.xml"/><Relationship Id="rId7" Type="http://schemas.openxmlformats.org/officeDocument/2006/relationships/footnotes" Target="footnotes.xml"/><Relationship Id="rId8" Type="http://schemas.openxmlformats.org/officeDocument/2006/relationships/endnotes" Target="endnotes.xml"/><Relationship Id="rId9" Type="http://schemas.openxmlformats.org/officeDocument/2006/relationships/image" Target="media/image1.jpg"/><Relationship Id="rId10" Type="http://schemas.openxmlformats.org/officeDocument/2006/relationships/image" Target="media/image2.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MLA.XSL" StyleName="MLA">
  <b:Source>
    <b:Tag>Kri18</b:Tag>
    <b:SourceType>InternetSite</b:SourceType>
    <b:Guid>{BD2CC855-91AD-4746-A6C5-3D0EF0BFA12F}</b:Guid>
    <b:Author>
      <b:Author>
        <b:NameList>
          <b:Person>
            <b:Last>Rajagopal</b:Last>
            <b:First>Krishnadas</b:First>
          </b:Person>
        </b:NameList>
      </b:Author>
    </b:Author>
    <b:Title>The Hindu</b:Title>
    <b:URL>https://www.thehindu.com/news/national/highlights-from-the-supreme-courts-verdict-on-decriminalising-section-377/article24880311.ece</b:URL>
    <b:Year>2018</b:Year>
    <b:Month>September</b:Month>
    <b:Day>6</b:Day>
    <b:YearAccessed>2020</b:YearAccessed>
    <b:MonthAccessed>May</b:MonthAccessed>
    <b:DayAccessed>1</b:DayAccessed>
    <b:RefOrder>1</b:RefOrder>
  </b:Source>
  <b:Source>
    <b:Tag>PTI13</b:Tag>
    <b:SourceType>InternetSite</b:SourceType>
    <b:Guid>{6BEA49F5-4ED2-3C42-A02D-A7BECF4DD367}</b:Guid>
    <b:Author>
      <b:Author>
        <b:Corporate>PTI (Press Trust of India)</b:Corporate>
      </b:Author>
    </b:Author>
    <b:Title>Economic Times</b:Title>
    <b:URL>https://m.economictimes.com/news/politics-and-nation/religious-leaders-oppose-govts-stand-on-homosexuality/articleshow/28113038.cms</b:URL>
    <b:Year>2013</b:Year>
    <b:Month>December</b:Month>
    <b:Day>29</b:Day>
    <b:YearAccessed>2020</b:YearAccessed>
    <b:MonthAccessed>May</b:MonthAccessed>
    <b:DayAccessed>1</b:DayAccessed>
    <b:RefOrder>2</b:RefOrder>
  </b:Source>
  <b:Source>
    <b:Tag>Jas19</b:Tag>
    <b:SourceType>InternetSite</b:SourceType>
    <b:Guid>{CBB38682-51FF-AB45-9092-840F3DB7D732}</b:Guid>
    <b:Author>
      <b:Author>
        <b:NameList>
          <b:Person>
            <b:Last>Povoledo</b:Last>
            <b:First>Jason</b:First>
            <b:Middle>Horowitz and Elisabetta</b:Middle>
          </b:Person>
        </b:NameList>
      </b:Author>
    </b:Author>
    <b:Title>The New York Times</b:Title>
    <b:URL>https://www.nytimes.com/2019/06/10/world/europe/vatican-francis-gender-identity-sexuality.html</b:URL>
    <b:Year>2019</b:Year>
    <b:Month>June</b:Month>
    <b:Day>10</b:Day>
    <b:YearAccessed>2020</b:YearAccessed>
    <b:MonthAccessed>May</b:MonthAccessed>
    <b:DayAccessed>1</b:DayAccessed>
    <b:RefOrder>3</b:RefOrder>
  </b:Source>
  <b:Source>
    <b:Tag>Vat19</b:Tag>
    <b:SourceType>DocumentFromInternetSite</b:SourceType>
    <b:Guid>{9E5E2F2F-3A27-674F-BFBF-E172E25E3FB0}</b:Guid>
    <b:Title>Higher Education of the Catholic Church</b:Title>
    <b:URL>http://www.educatio.va/content/dam/cec/Documenti/19_0997_INGLESE.pdf</b:URL>
    <b:Year>2019</b:Year>
    <b:Month>June</b:Month>
    <b:YearAccessed>2020</b:YearAccessed>
    <b:MonthAccessed>May</b:MonthAccessed>
    <b:DayAccessed>1</b:DayAccessed>
    <b:Author>
      <b:Author>
        <b:Corporate>Vatican</b:Corporate>
      </b:Author>
    </b:Author>
    <b:RefOrder>4</b:RefOrder>
  </b:Source>
  <b:Source>
    <b:Tag>Aga19</b:Tag>
    <b:SourceType>InternetSite</b:SourceType>
    <b:Guid>{6C89BBC7-D8ED-0940-AD67-503DAB4D226D}</b:Guid>
    <b:Title>Euractive</b:Title>
    <b:URL>https://www.euractiv.com/section/freedom-of-thought/news/catholic-church-battles-against-lgbt-in-visegrad-four-continues/</b:URL>
    <b:Year>2019</b:Year>
    <b:Month>August</b:Month>
    <b:Day>19</b:Day>
    <b:YearAccessed>2020</b:YearAccessed>
    <b:MonthAccessed>May</b:MonthAccessed>
    <b:DayAccessed>1</b:DayAccessed>
    <b:Author>
      <b:Author>
        <b:NameList>
          <b:Person>
            <b:Last>Palickova</b:Last>
            <b:First>Agata</b:First>
          </b:Person>
        </b:NameList>
      </b:Author>
    </b:Author>
    <b:RefOrder>5</b:RefOrder>
  </b:Source>
  <b:Source>
    <b:Tag>Dav15</b:Tag>
    <b:SourceType>InternetSite</b:SourceType>
    <b:Guid>{3E1E9BB0-E071-1B4F-87BC-A3B3109A93BB}</b:Guid>
    <b:Author>
      <b:Author>
        <b:NameList>
          <b:Person>
            <b:Last>Lipka</b:Last>
            <b:First>David</b:First>
            <b:Middle>Maski and Michael</b:Middle>
          </b:Person>
        </b:NameList>
      </b:Author>
    </b:Author>
    <b:Title>Pew Research Centre</b:Title>
    <b:URL>https://www.pewresearch.org/fact-tank/2015/12/21/where-christian-churches-stand-on-gay-marriage/</b:URL>
    <b:Year>2015</b:Year>
    <b:Month>December</b:Month>
    <b:Day>21</b:Day>
    <b:YearAccessed>2020</b:YearAccessed>
    <b:MonthAccessed>May</b:MonthAccessed>
    <b:DayAccessed>1</b:DayAccessed>
    <b:Comments>Title: Where Christian churches, other religions stand on gay marriage</b:Comments>
    <b:RefOrder>6</b:RefOrder>
  </b:Source>
  <b:Source>
    <b:Tag>NDT18</b:Tag>
    <b:SourceType>InternetSite</b:SourceType>
    <b:Guid>{165E17E3-A96F-2647-8EE0-4921150DCD4F}</b:Guid>
    <b:Author>
      <b:Author>
        <b:Corporate>NDTV</b:Corporate>
      </b:Author>
      <b:Editor>
        <b:NameList>
          <b:Person>
            <b:Last>Sethi</b:Last>
            <b:First>Nidhi</b:First>
          </b:Person>
        </b:NameList>
      </b:Editor>
    </b:Author>
    <b:Title>NDTV</b:Title>
    <b:URL>https://www.ndtv.com/india-news/lgbtq-community-part-of-society-mohan-bhagwat-keeps-up-with-times-1919153</b:URL>
    <b:Year>2018</b:Year>
    <b:Month>September</b:Month>
    <b:Day>20</b:Day>
    <b:YearAccessed>2020</b:YearAccessed>
    <b:MonthAccessed>May</b:MonthAccessed>
    <b:DayAccessed>1</b:DayAccessed>
    <b:RefOrder>7</b:RefOrder>
  </b:Source>
  <b:Source>
    <b:Tag>Ste02</b:Tag>
    <b:SourceType>Book</b:SourceType>
    <b:Guid>{5F9EDD5E-F643-5043-BA2D-F163A34FB64A}</b:Guid>
    <b:Author>
      <b:Author>
        <b:NameList>
          <b:Person>
            <b:Last>Ellingson</b:Last>
            <b:First>Stephen</b:First>
          </b:Person>
        </b:NameList>
      </b:Author>
      <b:Editor>
        <b:NameList>
          <b:Person>
            <b:Last>Green</b:Last>
            <b:First>Stephen</b:First>
            <b:Middle>Ellingson and M. Christian</b:Middle>
          </b:Person>
        </b:NameList>
      </b:Editor>
    </b:Author>
    <b:Title>Religion and Sexuality in Cross-cultural Perspective  </b:Title>
    <b:City>New York</b:City>
    <b:Publisher>Routledge</b:Publisher>
    <b:Year>2002</b:Year>
    <b:Pages>2-3</b:Pages>
    <b:RefOrder>8</b:RefOrder>
  </b:Source>
  <b:Source>
    <b:Tag>Jac15</b:Tag>
    <b:SourceType>JournalArticle</b:SourceType>
    <b:Guid>{C54715B8-72DF-E240-961E-2D75206567F8}</b:Guid>
    <b:Title>Out of DSM: Depathologizing Homosexuality</b:Title>
    <b:City>Basel</b:City>
    <b:Publisher>MPDI</b:Publisher>
    <b:Year>2015</b:Year>
    <b:Volume>5</b:Volume>
    <b:Author>
      <b:Author>
        <b:NameList>
          <b:Person>
            <b:Last>Drescher</b:Last>
            <b:First>Jack</b:First>
          </b:Person>
        </b:NameList>
      </b:Author>
      <b:Editor>
        <b:NameList>
          <b:Person>
            <b:Last>Suris</b:Last>
            <b:First>Carol</b:First>
            <b:Middle>North and Alina</b:Middle>
          </b:Person>
        </b:NameList>
      </b:Editor>
    </b:Author>
    <b:JournalName>Behavioral Sciences</b:JournalName>
    <b:Month>December</b:Month>
    <b:Day>4</b:Day>
    <b:Issue>4</b:Issue>
    <b:RefOrder>9</b:RefOrder>
  </b:Source>
  <b:Source>
    <b:Tag>Ale20</b:Tag>
    <b:SourceType>JournalArticle</b:SourceType>
    <b:Guid>{BF00E18F-80AC-1C48-AFB3-5CB9C4E0A3A1}</b:Guid>
    <b:Author>
      <b:Author>
        <b:NameList>
          <b:Person>
            <b:Last>Shand</b:Last>
            <b:First>Alexander</b:First>
          </b:Person>
        </b:NameList>
      </b:Author>
    </b:Author>
    <b:Title>The Moriori People of the Chatham Islands: Their Traditions and History</b:Title>
    <b:JournalName>The Journal of the Polynesian Society</b:JournalName>
    <b:Year>2020</b:Year>
    <b:Volume>3</b:Volume>
    <b:Issue>3</b:Issue>
    <b:Pages>121-133</b:Pages>
    <b:RefOrder>10</b:RefOrder>
  </b:Source>
  <b:Source>
    <b:Tag>CSc05</b:Tag>
    <b:SourceType>Book</b:SourceType>
    <b:Guid>{16B88675-97C8-7D44-99E6-A1FAF2E47133}</b:Guid>
    <b:Title>Gods, Goddesses and Mythology</b:Title>
    <b:Publisher>Marshall Cavendish</b:Publisher>
    <b:City>New York</b:City>
    <b:Year>2005</b:Year>
    <b:Volume>4</b:Volume>
    <b:Pages>541</b:Pages>
    <b:Author>
      <b:Author>
        <b:NameList>
          <b:Person>
            <b:Last>Littleton</b:Last>
            <b:First>C.</b:First>
            <b:Middle>Scott</b:Middle>
          </b:Person>
        </b:NameList>
      </b:Author>
    </b:Author>
    <b:RefOrder>11</b:RefOrder>
  </b:Source>
  <b:Source>
    <b:Tag>Joh93</b:Tag>
    <b:SourceType>Book</b:SourceType>
    <b:Guid>{8FED9BE2-426B-354C-B9E4-917F12BA20FD}</b:Guid>
    <b:Author>
      <b:Author>
        <b:NameList>
          <b:Person>
            <b:Last>McLeish</b:Last>
            <b:First>John</b:First>
            <b:Middle>Bailey and Kenneth</b:Middle>
          </b:Person>
        </b:NameList>
      </b:Author>
    </b:Author>
    <b:Title>Gods and Men: Myths and Legends from the World's Religions</b:Title>
    <b:City>Oxford</b:City>
    <b:Publisher>Oxford University Press</b:Publisher>
    <b:Year>1993</b:Year>
    <b:Pages>45-48</b:Pages>
    <b:RefOrder>12</b:RefOrder>
  </b:Source>
  <b:Source>
    <b:Tag>Car99</b:Tag>
    <b:SourceType>JournalArticle</b:SourceType>
    <b:Guid>{46DF9757-567C-7D4D-A287-7D4C1B011A2C}</b:Guid>
    <b:Author>
      <b:Author>
        <b:NameList>
          <b:Person>
            <b:Last>Carden</b:Last>
            <b:First>Michael</b:First>
          </b:Person>
        </b:NameList>
      </b:Author>
    </b:Author>
    <b:Title>Compulsory Heterosexuality in Biblical Narratives and their Interpretations: Reading Homophobia and Rape in Sodom and Gibeah</b:Title>
    <b:City>Sheffield</b:City>
    <b:Publisher>Equinox Publishing Ltd.</b:Publisher>
    <b:Year>1999</b:Year>
    <b:Volume>12</b:Volume>
    <b:Pages>47-60</b:Pages>
    <b:JournalName>Journal for the Academic Study of Religion [earlier, Australian Religion Studies Review]</b:JournalName>
    <b:Issue>1</b:Issue>
    <b:RefOrder>13</b:RefOrder>
  </b:Source>
  <b:Source>
    <b:Tag>Cla01</b:Tag>
    <b:SourceType>JournalArticle</b:SourceType>
    <b:Guid>{C0F3F9C8-252C-6E4E-9F95-D85588813F46}</b:Guid>
    <b:Author>
      <b:Author>
        <b:NameList>
          <b:Person>
            <b:Last>Bardella</b:Last>
            <b:First>Claudio</b:First>
          </b:Person>
        </b:NameList>
      </b:Author>
    </b:Author>
    <b:Title>Queer Spirituality</b:Title>
    <b:JournalName>Social Compass</b:JournalName>
    <b:Year>2001</b:Year>
    <b:Volume>48</b:Volume>
    <b:Issue>1</b:Issue>
    <b:Pages>117-138</b:Pages>
    <b:RefOrder>17</b:RefOrder>
  </b:Source>
  <b:Source>
    <b:Tag>Edw18</b:Tag>
    <b:SourceType>JournalArticle</b:SourceType>
    <b:Guid>{1F43D696-5830-CA45-9AA6-A5C5A9E22C28}</b:Guid>
    <b:Author>
      <b:Author>
        <b:NameList>
          <b:Person>
            <b:Last>Edward F. Lomash</b:Last>
            <b:First>Tabria</b:First>
            <b:Middle>D. Brown &amp; M. Paz Galupo</b:Middle>
          </b:Person>
        </b:NameList>
      </b:Author>
    </b:Author>
    <b:Title>“A Whole Bunch of Love the Sinner Hate the Sin”: LGBTQ Microaggressions Experienced in Religious and Spiritual Context</b:Title>
    <b:JournalName>Journal of Homosexuality</b:JournalName>
    <b:Year>2018</b:Year>
    <b:Pages>1-17</b:Pages>
    <b:Comments> https://doi.org/10.1080/00918369.2018.1542204</b:Comments>
    <b:RefOrder>15</b:RefOrder>
  </b:Source>
  <b:Source>
    <b:Tag>Vas15</b:Tag>
    <b:SourceType>BookSection</b:SourceType>
    <b:Guid>{6630BEC0-6293-D346-B6D4-707D98D30347}</b:Guid>
    <b:Title>Manusmriti: Exploring Gender Justice in Ancient Hindu Legal Framework</b:Title>
    <b:City>Allahabad</b:City>
    <b:Year>2015</b:Year>
    <b:Pages>150-161</b:Pages>
    <b:Author>
      <b:Author>
        <b:NameList>
          <b:Person>
            <b:Last>Vashisht</b:Last>
            <b:First>Shiney</b:First>
          </b:Person>
        </b:NameList>
      </b:Author>
      <b:Editor>
        <b:NameList>
          <b:Person>
            <b:Last>Vishwakarma</b:Last>
            <b:First>Sanjeev</b:First>
            <b:Middle>Kumar</b:Middle>
          </b:Person>
        </b:NameList>
      </b:Editor>
    </b:Author>
    <b:BookTitle>Feminism and Literature: Text and Context</b:BookTitle>
    <b:RefOrder>14</b:RefOrder>
  </b:Source>
  <b:Source>
    <b:Tag>Sol08</b:Tag>
    <b:SourceType>Book</b:SourceType>
    <b:Guid>{DC5B1B13-4985-6A4F-86D5-20CB5E9EF83A}</b:Guid>
    <b:Title>The Tenacity of Unreasonable Beliefs: Fundamentalism and the Fear of Truth</b:Title>
    <b:City>Oxford</b:City>
    <b:Publisher>Oxford University Press</b:Publisher>
    <b:Year>2008</b:Year>
    <b:Pages>4-7</b:Pages>
    <b:Author>
      <b:Author>
        <b:NameList>
          <b:Person>
            <b:Last>Schimmel</b:Last>
            <b:First>Solomon</b:First>
          </b:Person>
        </b:NameList>
      </b:Author>
    </b:Author>
    <b:RefOrder>16</b:RefOrder>
  </b:Source>
  <b:Source>
    <b:Tag>Rei10</b:Tag>
    <b:SourceType>JournalArticle</b:SourceType>
    <b:Guid>{BDEB5B7A-6F7F-4446-AA32-FBA4D9330C67}</b:Guid>
    <b:Title>The Return of Comparative  Theology  </b:Title>
    <b:Publisher>Advance Access</b:Publisher>
    <b:Year>2010</b:Year>
    <b:Volume>78</b:Volume>
    <b:Pages>477-514</b:Pages>
    <b:Author>
      <b:Author>
        <b:NameList>
          <b:Person>
            <b:Last>Nicholson</b:Last>
            <b:First>Reid</b:First>
            <b:Middle>B. Locklin and Hugh</b:Middle>
          </b:Person>
        </b:NameList>
      </b:Author>
    </b:Author>
    <b:JournalName>Journal of the American Academy of Religion</b:JournalName>
    <b:Month>June</b:Month>
    <b:Issue>2</b:Issue>
    <b:RefOrder>18</b:RefOrder>
  </b:Source>
  <b:Source>
    <b:Tag>Pik15</b:Tag>
    <b:SourceType>JournalArticle</b:SourceType>
    <b:Guid>{38A4EF82-25C8-2448-A53D-F7B4E231FDEF}</b:Guid>
    <b:Author>
      <b:Author>
        <b:NameList>
          <b:Person>
            <b:Last>Chowdhury</b:Last>
            <b:First>Piku</b:First>
          </b:Person>
        </b:NameList>
      </b:Author>
    </b:Author>
    <b:Title>A Study of the Un-gendered Human Identity in Sufism, Christianity, Baul songs and Ancient Hindu Philosophy: A Step towards Preparing Teachers for Addressing Diversity in Modern Society</b:Title>
    <b:JournalName>International Journal in Commerce, IT &amp; Social Sciences</b:JournalName>
    <b:Year>2015</b:Year>
    <b:Month>February</b:Month>
    <b:Pages>45-58</b:Pages>
    <b:RefOrder>19</b:RefOrder>
  </b:Source>
  <b:Source>
    <b:Tag>Raj86</b:Tag>
    <b:SourceType>JournalArticle</b:SourceType>
    <b:Guid>{B8AF5AF8-5911-544A-A7BE-DD38D753C70C}</b:Guid>
    <b:Author>
      <b:Author>
        <b:NameList>
          <b:Person>
            <b:Last>Kalidos</b:Last>
            <b:First>Raju</b:First>
          </b:Person>
        </b:NameList>
      </b:Author>
    </b:Author>
    <b:Title>Viṣṇu's Mohinī Incarnation: An Iconographical and Sexological Study</b:Title>
    <b:JournalName>East and West</b:JournalName>
    <b:Year>1986</b:Year>
    <b:Volume>36</b:Volume>
    <b:Issue>1/3</b:Issue>
    <b:Pages>183-204</b:Pages>
    <b:RefOrder>20</b:RefOrder>
  </b:Source>
  <b:Source>
    <b:Tag>Kal18</b:Tag>
    <b:SourceType>InternetSite</b:SourceType>
    <b:Guid>{C0A07C90-8ED0-7B45-BBFA-1CC2E5C17012}</b:Guid>
    <b:Title>The Week magazine</b:Title>
    <b:Year>2018</b:Year>
    <b:Month>July</b:Month>
    <b:Day>08</b:Day>
    <b:Author>
      <b:Author>
        <b:NameList>
          <b:Person>
            <b:Last>Subramanian</b:Last>
            <b:First>Kalki</b:First>
          </b:Person>
        </b:NameList>
      </b:Author>
    </b:Author>
    <b:InternetSiteTitle>The Week</b:InternetSiteTitle>
    <b:URL>https://www.theweek.in/theweek/cover/2018/06/30/half-a-life.html</b:URL>
    <b:YearAccessed>2020</b:YearAccessed>
    <b:MonthAccessed>May</b:MonthAccessed>
    <b:DayAccessed>06</b:DayAccessed>
    <b:RefOrder>21</b:RefOrder>
  </b:Source>
  <b:Source>
    <b:Tag>PKM19</b:Tag>
    <b:SourceType>BookSection</b:SourceType>
    <b:Guid>{B81D4FF4-E8BF-D64B-8BA3-FBB241BB4574}</b:Guid>
    <b:Title>Purusarthas: A General Theory of Values</b:Title>
    <b:Year>2019</b:Year>
    <b:Author>
      <b:Author>
        <b:NameList>
          <b:Person>
            <b:Last>Mohapatra</b:Last>
            <b:First>P.</b:First>
            <b:Middle>K.</b:Middle>
          </b:Person>
        </b:NameList>
      </b:Author>
    </b:Author>
    <b:BookTitle>An Applied Perspective on Indian Ethics</b:BookTitle>
    <b:City>Singapore</b:City>
    <b:Publisher>Springer</b:Publisher>
    <b:Pages>95-103</b:Pages>
    <b:RefOrder>22</b:RefOrder>
  </b:Source>
  <b:Source>
    <b:Tag>Gee14</b:Tag>
    <b:SourceType>InternetSite</b:SourceType>
    <b:Guid>{38C18F93-5113-4F4D-86B6-627E912832B1}</b:Guid>
    <b:Title>BBC News</b:Title>
    <b:Year>2014</b:Year>
    <b:Author>
      <b:Author>
        <b:NameList>
          <b:Person>
            <b:Last>Pandey</b:Last>
            <b:First>Geeta</b:First>
          </b:Person>
        </b:NameList>
      </b:Author>
    </b:Author>
    <b:InternetSiteTitle>BBC News</b:InternetSiteTitle>
    <b:URL>https://www.bbc.com/news/world-asia-india-27031180</b:URL>
    <b:Month>April</b:Month>
    <b:Day>15</b:Day>
    <b:YearAccessed>2020</b:YearAccessed>
    <b:MonthAccessed>May</b:MonthAccessed>
    <b:DayAccessed>06</b:DayAccessed>
    <b:RefOrder>23</b:RefOrder>
  </b:Source>
  <b:Source>
    <b:Tag>Ama04</b:Tag>
    <b:SourceType>Book</b:SourceType>
    <b:Guid>{50DB854F-165B-964B-B355-68B2EC0BC24B}</b:Guid>
    <b:Title>Tritiya-Prakriti: People of the Third Sex: Understanding Homosexuality,Transgender Identity and Intersex Conditions Through Hinduism</b:Title>
    <b:Year>2004</b:Year>
    <b:Author>
      <b:Author>
        <b:NameList>
          <b:Person>
            <b:Last>Wilhelm</b:Last>
            <b:First>Amara</b:First>
            <b:Middle>Das</b:Middle>
          </b:Person>
        </b:NameList>
      </b:Author>
    </b:Author>
    <b:City>Bloomington</b:City>
    <b:StateProvince>Indiana</b:StateProvince>
    <b:CountryRegion>US</b:CountryRegion>
    <b:Publisher>Xilbris Corporation</b:Publisher>
    <b:RefOrder>24</b:RefOrder>
  </b:Source>
</b:Sources>
</file>

<file path=customXml/itemProps1.xml><?xml version="1.0" encoding="utf-8"?>
<ds:datastoreItem xmlns:ds="http://schemas.openxmlformats.org/officeDocument/2006/customXml" ds:itemID="{BCB262E4-9BDE-A940-8DB5-CF3DF16ED4C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345</TotalTime>
  <Pages>13</Pages>
  <Words>5145</Words>
  <Characters>29328</Characters>
  <Application>Microsoft Macintosh Word</Application>
  <DocSecurity>0</DocSecurity>
  <Lines>244</Lines>
  <Paragraphs>68</Paragraphs>
  <ScaleCrop>false</ScaleCrop>
  <Company/>
  <LinksUpToDate>false</LinksUpToDate>
  <CharactersWithSpaces>34405</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Geet Sagar</dc:creator>
  <cp:keywords/>
  <dc:description/>
  <cp:lastModifiedBy>Geet Sagar</cp:lastModifiedBy>
  <cp:revision>43</cp:revision>
  <dcterms:created xsi:type="dcterms:W3CDTF">2020-05-06T09:41:00Z</dcterms:created>
  <dcterms:modified xsi:type="dcterms:W3CDTF">2020-05-08T15:09:00Z</dcterms:modified>
</cp:coreProperties>
</file>