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0950A" w14:textId="7FF8DA5B" w:rsidR="00C75D62" w:rsidRPr="00E84D32" w:rsidRDefault="003D2E75" w:rsidP="00323B76">
      <w:pPr>
        <w:spacing w:line="360" w:lineRule="auto"/>
        <w:rPr>
          <w:rFonts w:ascii="Arial" w:hAnsi="Arial" w:cs="Arial"/>
          <w:b/>
          <w:sz w:val="52"/>
          <w:szCs w:val="52"/>
        </w:rPr>
      </w:pPr>
      <w:r w:rsidRPr="00E84D32">
        <w:rPr>
          <w:rFonts w:ascii="Arial" w:hAnsi="Arial" w:cs="Arial"/>
          <w:b/>
          <w:noProof/>
          <w:sz w:val="52"/>
          <w:szCs w:val="52"/>
          <w:lang w:val="en-US"/>
          <w14:ligatures w14:val="standardContextual"/>
        </w:rPr>
        <w:drawing>
          <wp:anchor distT="0" distB="0" distL="114300" distR="114300" simplePos="0" relativeHeight="251659264" behindDoc="0" locked="0" layoutInCell="1" allowOverlap="1" wp14:anchorId="62AF604D" wp14:editId="2889DB27">
            <wp:simplePos x="0" y="0"/>
            <wp:positionH relativeFrom="column">
              <wp:posOffset>1188085</wp:posOffset>
            </wp:positionH>
            <wp:positionV relativeFrom="paragraph">
              <wp:posOffset>521335</wp:posOffset>
            </wp:positionV>
            <wp:extent cx="3479800" cy="1441450"/>
            <wp:effectExtent l="0" t="0" r="6350" b="6350"/>
            <wp:wrapTopAndBottom/>
            <wp:docPr id="51509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97160" name="Picture 515097160"/>
                    <pic:cNvPicPr/>
                  </pic:nvPicPr>
                  <pic:blipFill>
                    <a:blip r:embed="rId7">
                      <a:extLst>
                        <a:ext uri="{28A0092B-C50C-407E-A947-70E740481C1C}">
                          <a14:useLocalDpi xmlns:a14="http://schemas.microsoft.com/office/drawing/2010/main" val="0"/>
                        </a:ext>
                      </a:extLst>
                    </a:blip>
                    <a:stretch>
                      <a:fillRect/>
                    </a:stretch>
                  </pic:blipFill>
                  <pic:spPr>
                    <a:xfrm>
                      <a:off x="0" y="0"/>
                      <a:ext cx="3479800" cy="1441450"/>
                    </a:xfrm>
                    <a:prstGeom prst="rect">
                      <a:avLst/>
                    </a:prstGeom>
                  </pic:spPr>
                </pic:pic>
              </a:graphicData>
            </a:graphic>
            <wp14:sizeRelH relativeFrom="margin">
              <wp14:pctWidth>0</wp14:pctWidth>
            </wp14:sizeRelH>
            <wp14:sizeRelV relativeFrom="margin">
              <wp14:pctHeight>0</wp14:pctHeight>
            </wp14:sizeRelV>
          </wp:anchor>
        </w:drawing>
      </w:r>
    </w:p>
    <w:p w14:paraId="56C0B368" w14:textId="77777777" w:rsidR="00C75D62" w:rsidRPr="00E84D32" w:rsidRDefault="00C75D62" w:rsidP="005B0461">
      <w:pPr>
        <w:spacing w:line="360" w:lineRule="auto"/>
        <w:jc w:val="both"/>
        <w:rPr>
          <w:rFonts w:ascii="Arial" w:hAnsi="Arial" w:cs="Arial"/>
          <w:b/>
          <w:sz w:val="24"/>
          <w:szCs w:val="24"/>
        </w:rPr>
      </w:pPr>
    </w:p>
    <w:p w14:paraId="5412DE0C" w14:textId="2E4A7946" w:rsidR="00521BCF" w:rsidRPr="00521BCF" w:rsidRDefault="00C75D62" w:rsidP="00521BCF">
      <w:pPr>
        <w:spacing w:line="360" w:lineRule="auto"/>
        <w:jc w:val="center"/>
        <w:rPr>
          <w:rFonts w:ascii="Arial" w:hAnsi="Arial" w:cs="Arial"/>
          <w:b/>
          <w:sz w:val="24"/>
          <w:szCs w:val="24"/>
        </w:rPr>
      </w:pPr>
      <w:r w:rsidRPr="00E84D32">
        <w:rPr>
          <w:rFonts w:ascii="Arial" w:hAnsi="Arial" w:cs="Arial"/>
          <w:b/>
          <w:sz w:val="24"/>
          <w:szCs w:val="24"/>
        </w:rPr>
        <w:t>Student Name:</w:t>
      </w:r>
      <w:r w:rsidR="00634077" w:rsidRPr="00E84D32">
        <w:rPr>
          <w:rFonts w:ascii="Arial" w:hAnsi="Arial" w:cs="Arial"/>
          <w:b/>
          <w:sz w:val="24"/>
          <w:szCs w:val="24"/>
        </w:rPr>
        <w:t xml:space="preserve"> </w:t>
      </w:r>
      <w:r w:rsidR="00C67E3D" w:rsidRPr="00C67E3D">
        <w:rPr>
          <w:rFonts w:ascii="Arial" w:hAnsi="Arial" w:cs="Arial"/>
          <w:b/>
          <w:bCs/>
          <w:sz w:val="24"/>
        </w:rPr>
        <w:t xml:space="preserve">Md Rony </w:t>
      </w:r>
      <w:proofErr w:type="spellStart"/>
      <w:r w:rsidR="00C67E3D" w:rsidRPr="00C67E3D">
        <w:rPr>
          <w:rFonts w:ascii="Arial" w:hAnsi="Arial" w:cs="Arial"/>
          <w:b/>
          <w:bCs/>
          <w:sz w:val="24"/>
        </w:rPr>
        <w:t>Sheak</w:t>
      </w:r>
      <w:proofErr w:type="spellEnd"/>
    </w:p>
    <w:p w14:paraId="0AF3D848" w14:textId="7FF90C7A" w:rsidR="00667389" w:rsidRPr="00E84D32" w:rsidRDefault="00C75D62" w:rsidP="00071A78">
      <w:pPr>
        <w:spacing w:line="360" w:lineRule="auto"/>
        <w:jc w:val="center"/>
        <w:rPr>
          <w:rFonts w:ascii="Arial" w:hAnsi="Arial" w:cs="Arial"/>
          <w:b/>
          <w:sz w:val="24"/>
          <w:szCs w:val="24"/>
        </w:rPr>
      </w:pPr>
      <w:r w:rsidRPr="00E84D32">
        <w:rPr>
          <w:rFonts w:ascii="Arial" w:hAnsi="Arial" w:cs="Arial"/>
          <w:b/>
          <w:sz w:val="24"/>
          <w:szCs w:val="24"/>
        </w:rPr>
        <w:t xml:space="preserve">Student ID: </w:t>
      </w:r>
      <w:r w:rsidR="00C67E3D" w:rsidRPr="00C67E3D">
        <w:rPr>
          <w:rFonts w:ascii="Arial" w:hAnsi="Arial" w:cs="Arial"/>
          <w:b/>
          <w:bCs/>
          <w:sz w:val="24"/>
        </w:rPr>
        <w:t>2434287</w:t>
      </w:r>
    </w:p>
    <w:p w14:paraId="2593F4B0" w14:textId="7F5C8FFE" w:rsidR="00C75D62" w:rsidRPr="00E84D32" w:rsidRDefault="00C75D62" w:rsidP="00071A78">
      <w:pPr>
        <w:jc w:val="center"/>
        <w:rPr>
          <w:rFonts w:ascii="Arial" w:hAnsi="Arial" w:cs="Arial"/>
          <w:b/>
          <w:position w:val="-1"/>
          <w:sz w:val="24"/>
          <w:szCs w:val="24"/>
        </w:rPr>
      </w:pPr>
      <w:bookmarkStart w:id="0" w:name="_Toc140363577"/>
      <w:bookmarkStart w:id="1" w:name="_Toc140363543"/>
      <w:bookmarkStart w:id="2" w:name="_Toc140238564"/>
      <w:bookmarkStart w:id="3" w:name="_Toc148912751"/>
      <w:bookmarkStart w:id="4" w:name="_Toc147542866"/>
      <w:bookmarkStart w:id="5" w:name="_Toc147531027"/>
      <w:bookmarkStart w:id="6" w:name="_Toc147103702"/>
      <w:r w:rsidRPr="00E84D32">
        <w:rPr>
          <w:rFonts w:ascii="Arial" w:hAnsi="Arial" w:cs="Arial"/>
          <w:b/>
          <w:sz w:val="24"/>
          <w:szCs w:val="24"/>
        </w:rPr>
        <w:t xml:space="preserve">Programme Name: </w:t>
      </w:r>
      <w:bookmarkEnd w:id="0"/>
      <w:bookmarkEnd w:id="1"/>
      <w:bookmarkEnd w:id="2"/>
      <w:bookmarkEnd w:id="3"/>
      <w:bookmarkEnd w:id="4"/>
      <w:bookmarkEnd w:id="5"/>
      <w:bookmarkEnd w:id="6"/>
      <w:r w:rsidR="00B913EC" w:rsidRPr="00E84D32">
        <w:rPr>
          <w:rFonts w:ascii="Arial" w:hAnsi="Arial" w:cs="Arial"/>
          <w:b/>
          <w:sz w:val="24"/>
          <w:szCs w:val="24"/>
        </w:rPr>
        <w:t>Master of Business Administration</w:t>
      </w:r>
    </w:p>
    <w:p w14:paraId="75A36407" w14:textId="77777777" w:rsidR="00EC408F" w:rsidRPr="00E84D32" w:rsidRDefault="00EC408F" w:rsidP="00071A78">
      <w:pPr>
        <w:spacing w:line="360" w:lineRule="auto"/>
        <w:jc w:val="center"/>
        <w:rPr>
          <w:rFonts w:ascii="Arial" w:hAnsi="Arial" w:cs="Arial"/>
          <w:b/>
          <w:sz w:val="24"/>
          <w:szCs w:val="24"/>
        </w:rPr>
      </w:pPr>
    </w:p>
    <w:p w14:paraId="1E7A98C9" w14:textId="5059F372" w:rsidR="00641CA8" w:rsidRPr="00E84D32" w:rsidRDefault="00641CA8" w:rsidP="00071A78">
      <w:pPr>
        <w:spacing w:line="360" w:lineRule="auto"/>
        <w:jc w:val="center"/>
        <w:rPr>
          <w:rFonts w:ascii="Arial" w:hAnsi="Arial" w:cs="Arial"/>
          <w:b/>
          <w:sz w:val="24"/>
          <w:szCs w:val="24"/>
        </w:rPr>
      </w:pPr>
      <w:r w:rsidRPr="00E84D32">
        <w:rPr>
          <w:rFonts w:ascii="Arial" w:hAnsi="Arial" w:cs="Arial"/>
          <w:b/>
          <w:sz w:val="24"/>
          <w:szCs w:val="24"/>
        </w:rPr>
        <w:t xml:space="preserve">Module Code: </w:t>
      </w:r>
      <w:r w:rsidR="00DE06B8" w:rsidRPr="00DE06B8">
        <w:rPr>
          <w:rFonts w:ascii="Arial" w:hAnsi="Arial" w:cs="Arial"/>
          <w:b/>
          <w:bCs/>
          <w:sz w:val="24"/>
          <w:szCs w:val="24"/>
        </w:rPr>
        <w:t>LCMB7024</w:t>
      </w:r>
    </w:p>
    <w:p w14:paraId="381EDB14" w14:textId="3EEC1831" w:rsidR="00C75D62" w:rsidRPr="00E84D32" w:rsidRDefault="009E6462" w:rsidP="00071A78">
      <w:pPr>
        <w:spacing w:line="360" w:lineRule="auto"/>
        <w:jc w:val="center"/>
        <w:rPr>
          <w:rFonts w:ascii="Arial" w:hAnsi="Arial" w:cs="Arial"/>
          <w:b/>
          <w:sz w:val="24"/>
          <w:szCs w:val="24"/>
        </w:rPr>
      </w:pPr>
      <w:r w:rsidRPr="00E84D32">
        <w:rPr>
          <w:rFonts w:ascii="Arial" w:hAnsi="Arial" w:cs="Arial"/>
          <w:b/>
          <w:sz w:val="24"/>
          <w:szCs w:val="24"/>
        </w:rPr>
        <w:t>Module</w:t>
      </w:r>
      <w:r w:rsidR="00C75D62" w:rsidRPr="00E84D32">
        <w:rPr>
          <w:rFonts w:ascii="Arial" w:hAnsi="Arial" w:cs="Arial"/>
          <w:b/>
          <w:sz w:val="24"/>
          <w:szCs w:val="24"/>
        </w:rPr>
        <w:t xml:space="preserve">: </w:t>
      </w:r>
      <w:r w:rsidR="00DE06B8" w:rsidRPr="00DE06B8">
        <w:rPr>
          <w:rFonts w:ascii="Arial" w:hAnsi="Arial" w:cs="Arial"/>
          <w:b/>
          <w:bCs/>
          <w:sz w:val="24"/>
          <w:szCs w:val="24"/>
        </w:rPr>
        <w:t>Marketing Management</w:t>
      </w:r>
    </w:p>
    <w:p w14:paraId="085EB50F" w14:textId="689D7AB2" w:rsidR="00C75D62" w:rsidRPr="00E84D32" w:rsidRDefault="00C75D62" w:rsidP="00B2603A">
      <w:pPr>
        <w:spacing w:line="360" w:lineRule="auto"/>
        <w:jc w:val="center"/>
        <w:rPr>
          <w:rFonts w:ascii="Arial" w:hAnsi="Arial" w:cs="Arial"/>
          <w:b/>
          <w:sz w:val="24"/>
          <w:szCs w:val="24"/>
        </w:rPr>
      </w:pPr>
      <w:r w:rsidRPr="00E84D32">
        <w:rPr>
          <w:rFonts w:ascii="Arial" w:hAnsi="Arial" w:cs="Arial"/>
          <w:b/>
          <w:sz w:val="24"/>
          <w:szCs w:val="24"/>
        </w:rPr>
        <w:t xml:space="preserve">Assignment Title: </w:t>
      </w:r>
      <w:r w:rsidR="00BC75BB" w:rsidRPr="00BC75BB">
        <w:rPr>
          <w:rFonts w:ascii="Arial" w:hAnsi="Arial" w:cs="Arial"/>
          <w:b/>
          <w:bCs/>
          <w:sz w:val="24"/>
          <w:szCs w:val="24"/>
        </w:rPr>
        <w:t>Assessment component 1: Marketing Environment Analysis</w:t>
      </w:r>
      <w:r w:rsidR="00B2603A" w:rsidRPr="00B2603A">
        <w:rPr>
          <w:rFonts w:ascii="Arial" w:hAnsi="Arial" w:cs="Arial"/>
          <w:b/>
          <w:bCs/>
          <w:sz w:val="24"/>
          <w:szCs w:val="24"/>
        </w:rPr>
        <w:t>.</w:t>
      </w:r>
    </w:p>
    <w:p w14:paraId="3454C130" w14:textId="2417C7AC" w:rsidR="00C75D62" w:rsidRPr="00E84D32" w:rsidRDefault="00323B76" w:rsidP="00071A78">
      <w:pPr>
        <w:spacing w:line="360" w:lineRule="auto"/>
        <w:jc w:val="center"/>
        <w:rPr>
          <w:rFonts w:ascii="Arial" w:eastAsia="Calibri" w:hAnsi="Arial" w:cs="Arial"/>
          <w:b/>
          <w:sz w:val="24"/>
          <w:szCs w:val="24"/>
        </w:rPr>
      </w:pPr>
      <w:r>
        <w:rPr>
          <w:rFonts w:ascii="Arial" w:hAnsi="Arial" w:cs="Arial"/>
          <w:b/>
          <w:sz w:val="24"/>
          <w:szCs w:val="24"/>
        </w:rPr>
        <w:t>Programme C</w:t>
      </w:r>
      <w:r w:rsidR="00C75D62" w:rsidRPr="00E84D32">
        <w:rPr>
          <w:rFonts w:ascii="Arial" w:hAnsi="Arial" w:cs="Arial"/>
          <w:b/>
          <w:sz w:val="24"/>
          <w:szCs w:val="24"/>
        </w:rPr>
        <w:t>oordinator:</w:t>
      </w:r>
      <w:r w:rsidR="00A8548D" w:rsidRPr="00E84D32">
        <w:rPr>
          <w:rFonts w:ascii="Arial" w:hAnsi="Arial" w:cs="Arial"/>
          <w:b/>
          <w:sz w:val="24"/>
          <w:szCs w:val="24"/>
        </w:rPr>
        <w:t xml:space="preserve"> </w:t>
      </w:r>
      <w:r w:rsidR="00E905C4" w:rsidRPr="00E905C4">
        <w:rPr>
          <w:rFonts w:ascii="Arial" w:hAnsi="Arial" w:cs="Arial"/>
          <w:b/>
          <w:sz w:val="24"/>
          <w:szCs w:val="24"/>
        </w:rPr>
        <w:t xml:space="preserve">Dr Laila </w:t>
      </w:r>
      <w:proofErr w:type="spellStart"/>
      <w:r w:rsidR="00E905C4" w:rsidRPr="00E905C4">
        <w:rPr>
          <w:rFonts w:ascii="Arial" w:hAnsi="Arial" w:cs="Arial"/>
          <w:b/>
          <w:sz w:val="24"/>
          <w:szCs w:val="24"/>
        </w:rPr>
        <w:t>Maazouz</w:t>
      </w:r>
      <w:proofErr w:type="spellEnd"/>
    </w:p>
    <w:p w14:paraId="0FFCF8F7" w14:textId="77777777" w:rsidR="00DD25DE" w:rsidRPr="00E84D32" w:rsidRDefault="00DD25DE" w:rsidP="005B0461">
      <w:pPr>
        <w:spacing w:line="360" w:lineRule="auto"/>
        <w:jc w:val="both"/>
        <w:rPr>
          <w:rFonts w:ascii="Arial" w:eastAsia="Calibri" w:hAnsi="Arial" w:cs="Arial"/>
          <w:b/>
          <w:sz w:val="24"/>
          <w:szCs w:val="24"/>
        </w:rPr>
      </w:pPr>
    </w:p>
    <w:p w14:paraId="369D4F13" w14:textId="77777777" w:rsidR="00DD25DE" w:rsidRPr="00E84D32" w:rsidRDefault="00DD25DE" w:rsidP="005B0461">
      <w:pPr>
        <w:spacing w:line="360" w:lineRule="auto"/>
        <w:jc w:val="both"/>
        <w:rPr>
          <w:rFonts w:ascii="Arial" w:eastAsia="Calibri" w:hAnsi="Arial" w:cs="Arial"/>
          <w:b/>
          <w:sz w:val="24"/>
          <w:szCs w:val="24"/>
        </w:rPr>
      </w:pPr>
    </w:p>
    <w:p w14:paraId="36142A41" w14:textId="77777777" w:rsidR="00DD25DE" w:rsidRPr="00E84D32" w:rsidRDefault="00DD25DE" w:rsidP="005B0461">
      <w:pPr>
        <w:spacing w:line="360" w:lineRule="auto"/>
        <w:jc w:val="both"/>
        <w:rPr>
          <w:rFonts w:ascii="Arial" w:eastAsia="Calibri" w:hAnsi="Arial" w:cs="Arial"/>
          <w:b/>
          <w:sz w:val="24"/>
          <w:szCs w:val="24"/>
        </w:rPr>
      </w:pPr>
    </w:p>
    <w:p w14:paraId="799FDF50" w14:textId="77777777" w:rsidR="00DD25DE" w:rsidRPr="00E84D32" w:rsidRDefault="00DD25DE" w:rsidP="005B0461">
      <w:pPr>
        <w:spacing w:line="360" w:lineRule="auto"/>
        <w:jc w:val="both"/>
        <w:rPr>
          <w:rFonts w:ascii="Arial" w:eastAsia="Calibri" w:hAnsi="Arial" w:cs="Arial"/>
          <w:b/>
          <w:sz w:val="24"/>
          <w:szCs w:val="24"/>
        </w:rPr>
      </w:pPr>
    </w:p>
    <w:p w14:paraId="0E0A97AA" w14:textId="4F90C37D" w:rsidR="00DD25DE" w:rsidRDefault="00C67E3D" w:rsidP="00C67E3D">
      <w:pPr>
        <w:spacing w:line="360" w:lineRule="auto"/>
        <w:jc w:val="center"/>
        <w:rPr>
          <w:rFonts w:ascii="Arial" w:eastAsia="Calibri" w:hAnsi="Arial" w:cs="Arial"/>
          <w:b/>
          <w:sz w:val="24"/>
          <w:szCs w:val="24"/>
        </w:rPr>
      </w:pPr>
      <w:r>
        <w:rPr>
          <w:rFonts w:ascii="Arial" w:eastAsia="Calibri" w:hAnsi="Arial" w:cs="Arial"/>
          <w:b/>
          <w:sz w:val="24"/>
          <w:szCs w:val="24"/>
        </w:rPr>
        <w:t>Date of Submission: 21 November 2025</w:t>
      </w:r>
    </w:p>
    <w:p w14:paraId="0A0E6D74" w14:textId="77777777" w:rsidR="00DE06B8" w:rsidRPr="00E84D32" w:rsidRDefault="00DE06B8" w:rsidP="005B0461">
      <w:pPr>
        <w:spacing w:line="360" w:lineRule="auto"/>
        <w:jc w:val="both"/>
        <w:rPr>
          <w:rFonts w:ascii="Arial" w:eastAsia="Calibri" w:hAnsi="Arial" w:cs="Arial"/>
          <w:b/>
          <w:sz w:val="24"/>
          <w:szCs w:val="24"/>
        </w:rPr>
      </w:pPr>
    </w:p>
    <w:p w14:paraId="22346591" w14:textId="77777777" w:rsidR="00DD25DE" w:rsidRPr="00E84D32" w:rsidRDefault="00DD25DE" w:rsidP="005B0461">
      <w:pPr>
        <w:spacing w:line="360" w:lineRule="auto"/>
        <w:jc w:val="both"/>
        <w:rPr>
          <w:rFonts w:ascii="Arial" w:eastAsia="Calibri" w:hAnsi="Arial" w:cs="Arial"/>
          <w:b/>
          <w:sz w:val="24"/>
          <w:szCs w:val="24"/>
        </w:rPr>
      </w:pPr>
    </w:p>
    <w:p w14:paraId="7793A46D" w14:textId="77777777" w:rsidR="00ED4B66" w:rsidRDefault="00ED4B66" w:rsidP="005B0461">
      <w:pPr>
        <w:spacing w:line="360" w:lineRule="auto"/>
        <w:jc w:val="both"/>
        <w:rPr>
          <w:rFonts w:ascii="Arial" w:eastAsia="Calibri" w:hAnsi="Arial" w:cs="Arial"/>
          <w:b/>
          <w:sz w:val="24"/>
          <w:szCs w:val="24"/>
        </w:rPr>
      </w:pPr>
    </w:p>
    <w:p w14:paraId="0AB2D5DC" w14:textId="77777777" w:rsidR="00C75D62" w:rsidRPr="00E84D32" w:rsidRDefault="00C75D62" w:rsidP="005B0461">
      <w:pPr>
        <w:spacing w:line="360" w:lineRule="auto"/>
        <w:jc w:val="both"/>
        <w:rPr>
          <w:rFonts w:ascii="Arial" w:hAnsi="Arial" w:cs="Arial"/>
          <w:sz w:val="32"/>
          <w:szCs w:val="32"/>
        </w:rPr>
      </w:pPr>
      <w:r w:rsidRPr="00E84D32">
        <w:rPr>
          <w:rFonts w:ascii="Arial" w:hAnsi="Arial" w:cs="Arial"/>
          <w:sz w:val="32"/>
          <w:szCs w:val="32"/>
        </w:rPr>
        <w:br w:type="page"/>
      </w:r>
    </w:p>
    <w:sdt>
      <w:sdtPr>
        <w:rPr>
          <w:rFonts w:asciiTheme="minorHAnsi" w:eastAsiaTheme="minorHAnsi" w:hAnsiTheme="minorHAnsi" w:cs="Arial"/>
          <w:b w:val="0"/>
          <w:bCs w:val="0"/>
          <w:color w:val="auto"/>
          <w:sz w:val="22"/>
          <w:szCs w:val="22"/>
          <w:lang w:eastAsia="en-US"/>
        </w:rPr>
        <w:id w:val="1934080215"/>
        <w:docPartObj>
          <w:docPartGallery w:val="Table of Contents"/>
          <w:docPartUnique/>
        </w:docPartObj>
      </w:sdtPr>
      <w:sdtEndPr>
        <w:rPr>
          <w:rFonts w:ascii="Arial" w:hAnsi="Arial"/>
          <w:noProof/>
          <w:sz w:val="24"/>
          <w:szCs w:val="24"/>
        </w:rPr>
      </w:sdtEndPr>
      <w:sdtContent>
        <w:p w14:paraId="09C305BC" w14:textId="77777777" w:rsidR="00C75D62" w:rsidRPr="00E84D32" w:rsidRDefault="00C75D62" w:rsidP="00CA35F9">
          <w:pPr>
            <w:pStyle w:val="TOCHeading"/>
            <w:jc w:val="center"/>
            <w:rPr>
              <w:rFonts w:cs="Arial"/>
            </w:rPr>
          </w:pPr>
          <w:r w:rsidRPr="00E84D32">
            <w:rPr>
              <w:rFonts w:cs="Arial"/>
            </w:rPr>
            <w:t>Table of Contents</w:t>
          </w:r>
        </w:p>
        <w:p w14:paraId="527776EC" w14:textId="02423F04" w:rsidR="003D16E1" w:rsidRPr="003D16E1" w:rsidRDefault="00C75D62">
          <w:pPr>
            <w:pStyle w:val="TOC1"/>
            <w:rPr>
              <w:rFonts w:ascii="Arial" w:eastAsiaTheme="minorEastAsia" w:hAnsi="Arial" w:cs="Arial"/>
              <w:noProof/>
              <w:kern w:val="2"/>
              <w:sz w:val="24"/>
              <w:szCs w:val="24"/>
              <w:lang w:eastAsia="en-GB" w:bidi="bn-IN"/>
              <w14:ligatures w14:val="standardContextual"/>
            </w:rPr>
          </w:pPr>
          <w:r w:rsidRPr="003D16E1">
            <w:rPr>
              <w:rFonts w:ascii="Arial" w:hAnsi="Arial" w:cs="Arial"/>
              <w:b/>
              <w:bCs/>
              <w:noProof/>
              <w:sz w:val="24"/>
              <w:szCs w:val="24"/>
            </w:rPr>
            <w:fldChar w:fldCharType="begin"/>
          </w:r>
          <w:r w:rsidRPr="003D16E1">
            <w:rPr>
              <w:rFonts w:ascii="Arial" w:hAnsi="Arial" w:cs="Arial"/>
              <w:b/>
              <w:bCs/>
              <w:noProof/>
              <w:sz w:val="24"/>
              <w:szCs w:val="24"/>
            </w:rPr>
            <w:instrText xml:space="preserve"> TOC \o "1-3" \h \z \u </w:instrText>
          </w:r>
          <w:r w:rsidRPr="003D16E1">
            <w:rPr>
              <w:rFonts w:ascii="Arial" w:hAnsi="Arial" w:cs="Arial"/>
              <w:b/>
              <w:bCs/>
              <w:noProof/>
              <w:sz w:val="24"/>
              <w:szCs w:val="24"/>
            </w:rPr>
            <w:fldChar w:fldCharType="separate"/>
          </w:r>
          <w:hyperlink w:anchor="_Toc214520385" w:history="1">
            <w:r w:rsidR="003D16E1" w:rsidRPr="003D16E1">
              <w:rPr>
                <w:rStyle w:val="Hyperlink"/>
                <w:rFonts w:ascii="Arial" w:hAnsi="Arial" w:cs="Arial"/>
                <w:b/>
                <w:bCs/>
                <w:noProof/>
                <w:sz w:val="24"/>
                <w:szCs w:val="24"/>
              </w:rPr>
              <w:t>1. Introduction</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_Toc214520385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1</w:t>
            </w:r>
            <w:r w:rsidR="003D16E1" w:rsidRPr="003D16E1">
              <w:rPr>
                <w:rFonts w:ascii="Arial" w:hAnsi="Arial" w:cs="Arial"/>
                <w:noProof/>
                <w:webHidden/>
                <w:sz w:val="24"/>
                <w:szCs w:val="24"/>
              </w:rPr>
              <w:fldChar w:fldCharType="end"/>
            </w:r>
          </w:hyperlink>
        </w:p>
        <w:p w14:paraId="4C1A2216" w14:textId="24533273" w:rsidR="003D16E1" w:rsidRPr="003D16E1" w:rsidRDefault="00440A75">
          <w:pPr>
            <w:pStyle w:val="TOC1"/>
            <w:rPr>
              <w:rFonts w:ascii="Arial" w:eastAsiaTheme="minorEastAsia" w:hAnsi="Arial" w:cs="Arial"/>
              <w:noProof/>
              <w:kern w:val="2"/>
              <w:sz w:val="24"/>
              <w:szCs w:val="24"/>
              <w:lang w:eastAsia="en-GB" w:bidi="bn-IN"/>
              <w14:ligatures w14:val="standardContextual"/>
            </w:rPr>
          </w:pPr>
          <w:hyperlink w:anchor="_Toc214520386" w:history="1">
            <w:r w:rsidR="003D16E1" w:rsidRPr="003D16E1">
              <w:rPr>
                <w:rStyle w:val="Hyperlink"/>
                <w:rFonts w:ascii="Arial" w:hAnsi="Arial" w:cs="Arial"/>
                <w:b/>
                <w:bCs/>
                <w:noProof/>
                <w:sz w:val="24"/>
                <w:szCs w:val="24"/>
              </w:rPr>
              <w:t>2. Task 1: Critical Analysis of the Macro Marketing Environment.</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_Toc214520386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2</w:t>
            </w:r>
            <w:r w:rsidR="003D16E1" w:rsidRPr="003D16E1">
              <w:rPr>
                <w:rFonts w:ascii="Arial" w:hAnsi="Arial" w:cs="Arial"/>
                <w:noProof/>
                <w:webHidden/>
                <w:sz w:val="24"/>
                <w:szCs w:val="24"/>
              </w:rPr>
              <w:fldChar w:fldCharType="end"/>
            </w:r>
          </w:hyperlink>
        </w:p>
        <w:p w14:paraId="219A847B" w14:textId="76EE0D9C" w:rsidR="003D16E1" w:rsidRPr="003D16E1" w:rsidRDefault="00440A75">
          <w:pPr>
            <w:pStyle w:val="TOC2"/>
            <w:tabs>
              <w:tab w:val="right" w:leader="dot" w:pos="9016"/>
            </w:tabs>
            <w:rPr>
              <w:rFonts w:ascii="Arial" w:eastAsiaTheme="minorEastAsia" w:hAnsi="Arial" w:cs="Arial"/>
              <w:noProof/>
              <w:kern w:val="2"/>
              <w:sz w:val="24"/>
              <w:szCs w:val="24"/>
              <w:lang w:eastAsia="en-GB" w:bidi="bn-IN"/>
              <w14:ligatures w14:val="standardContextual"/>
            </w:rPr>
          </w:pPr>
          <w:hyperlink w:anchor="_Toc214520387" w:history="1">
            <w:r w:rsidR="003D16E1" w:rsidRPr="003D16E1">
              <w:rPr>
                <w:rStyle w:val="Hyperlink"/>
                <w:rFonts w:ascii="Arial" w:hAnsi="Arial" w:cs="Arial"/>
                <w:bCs/>
                <w:noProof/>
                <w:sz w:val="24"/>
                <w:szCs w:val="24"/>
              </w:rPr>
              <w:t>2.1 Overview of the Macro Marketing Environment</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_Toc214520387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2</w:t>
            </w:r>
            <w:r w:rsidR="003D16E1" w:rsidRPr="003D16E1">
              <w:rPr>
                <w:rFonts w:ascii="Arial" w:hAnsi="Arial" w:cs="Arial"/>
                <w:noProof/>
                <w:webHidden/>
                <w:sz w:val="24"/>
                <w:szCs w:val="24"/>
              </w:rPr>
              <w:fldChar w:fldCharType="end"/>
            </w:r>
          </w:hyperlink>
        </w:p>
        <w:p w14:paraId="3FD91808" w14:textId="258D1621" w:rsidR="003D16E1" w:rsidRPr="003D16E1" w:rsidRDefault="00440A75">
          <w:pPr>
            <w:pStyle w:val="TOC2"/>
            <w:tabs>
              <w:tab w:val="right" w:leader="dot" w:pos="9016"/>
            </w:tabs>
            <w:rPr>
              <w:rFonts w:ascii="Arial" w:eastAsiaTheme="minorEastAsia" w:hAnsi="Arial" w:cs="Arial"/>
              <w:noProof/>
              <w:kern w:val="2"/>
              <w:sz w:val="24"/>
              <w:szCs w:val="24"/>
              <w:lang w:eastAsia="en-GB" w:bidi="bn-IN"/>
              <w14:ligatures w14:val="standardContextual"/>
            </w:rPr>
          </w:pPr>
          <w:hyperlink w:anchor="_Toc214520388" w:history="1">
            <w:r w:rsidR="003D16E1" w:rsidRPr="003D16E1">
              <w:rPr>
                <w:rStyle w:val="Hyperlink"/>
                <w:rFonts w:ascii="Arial" w:hAnsi="Arial" w:cs="Arial"/>
                <w:noProof/>
                <w:sz w:val="24"/>
                <w:szCs w:val="24"/>
              </w:rPr>
              <w:t>2.2 Selection of Two External Macro Marketing Actors</w:t>
            </w:r>
            <w:r w:rsidR="003D16E1" w:rsidRPr="003D16E1">
              <w:rPr>
                <w:rFonts w:ascii="Arial" w:hAnsi="Arial" w:cs="Arial"/>
                <w:noProof/>
                <w:webHidden/>
                <w:sz w:val="24"/>
                <w:szCs w:val="24"/>
              </w:rPr>
              <w:tab/>
            </w:r>
            <w:r w:rsidR="00A43816">
              <w:rPr>
                <w:rFonts w:ascii="Arial" w:hAnsi="Arial" w:cs="Arial"/>
                <w:noProof/>
                <w:webHidden/>
                <w:sz w:val="24"/>
                <w:szCs w:val="24"/>
              </w:rPr>
              <w:t>3</w:t>
            </w:r>
          </w:hyperlink>
        </w:p>
        <w:p w14:paraId="067BD156" w14:textId="6B247CBA" w:rsidR="003D16E1" w:rsidRPr="003D16E1" w:rsidRDefault="00440A75">
          <w:pPr>
            <w:pStyle w:val="TOC2"/>
            <w:tabs>
              <w:tab w:val="right" w:leader="dot" w:pos="9016"/>
            </w:tabs>
            <w:rPr>
              <w:rFonts w:ascii="Arial" w:eastAsiaTheme="minorEastAsia" w:hAnsi="Arial" w:cs="Arial"/>
              <w:noProof/>
              <w:kern w:val="2"/>
              <w:sz w:val="24"/>
              <w:szCs w:val="24"/>
              <w:lang w:eastAsia="en-GB" w:bidi="bn-IN"/>
              <w14:ligatures w14:val="standardContextual"/>
            </w:rPr>
          </w:pPr>
          <w:hyperlink w:anchor="_Toc214520389" w:history="1">
            <w:r w:rsidR="003D16E1" w:rsidRPr="003D16E1">
              <w:rPr>
                <w:rStyle w:val="Hyperlink"/>
                <w:rFonts w:ascii="Arial" w:hAnsi="Arial" w:cs="Arial"/>
                <w:noProof/>
                <w:sz w:val="24"/>
                <w:szCs w:val="24"/>
              </w:rPr>
              <w:t>2.3 Critical Analysis of Each Actor</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_Toc214520389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4</w:t>
            </w:r>
            <w:r w:rsidR="003D16E1" w:rsidRPr="003D16E1">
              <w:rPr>
                <w:rFonts w:ascii="Arial" w:hAnsi="Arial" w:cs="Arial"/>
                <w:noProof/>
                <w:webHidden/>
                <w:sz w:val="24"/>
                <w:szCs w:val="24"/>
              </w:rPr>
              <w:fldChar w:fldCharType="end"/>
            </w:r>
          </w:hyperlink>
        </w:p>
        <w:p w14:paraId="571A8F55" w14:textId="71D1CE53" w:rsidR="003D16E1" w:rsidRPr="003D16E1" w:rsidRDefault="00440A75">
          <w:pPr>
            <w:pStyle w:val="TOC1"/>
            <w:rPr>
              <w:rFonts w:ascii="Arial" w:eastAsiaTheme="minorEastAsia" w:hAnsi="Arial" w:cs="Arial"/>
              <w:noProof/>
              <w:kern w:val="2"/>
              <w:sz w:val="24"/>
              <w:szCs w:val="24"/>
              <w:lang w:eastAsia="en-GB" w:bidi="bn-IN"/>
              <w14:ligatures w14:val="standardContextual"/>
            </w:rPr>
          </w:pPr>
          <w:hyperlink w:anchor="_Toc214520390" w:history="1">
            <w:r w:rsidR="003D16E1" w:rsidRPr="003D16E1">
              <w:rPr>
                <w:rStyle w:val="Hyperlink"/>
                <w:rFonts w:ascii="Arial" w:hAnsi="Arial" w:cs="Arial"/>
                <w:b/>
                <w:bCs/>
                <w:noProof/>
                <w:sz w:val="24"/>
                <w:szCs w:val="24"/>
              </w:rPr>
              <w:t>3. Task 2: Strategic Responses of Pioneering and Follower</w:t>
            </w:r>
            <w:r w:rsidR="003D16E1" w:rsidRPr="003D16E1">
              <w:rPr>
                <w:rFonts w:ascii="Arial" w:hAnsi="Arial" w:cs="Arial"/>
                <w:noProof/>
                <w:webHidden/>
                <w:sz w:val="24"/>
                <w:szCs w:val="24"/>
              </w:rPr>
              <w:tab/>
            </w:r>
            <w:r w:rsidR="009D4F39">
              <w:rPr>
                <w:rFonts w:ascii="Arial" w:hAnsi="Arial" w:cs="Arial"/>
                <w:noProof/>
                <w:webHidden/>
                <w:sz w:val="24"/>
                <w:szCs w:val="24"/>
              </w:rPr>
              <w:t>6</w:t>
            </w:r>
          </w:hyperlink>
        </w:p>
        <w:p w14:paraId="30F98779" w14:textId="18E52F94" w:rsidR="003D16E1" w:rsidRPr="003D16E1" w:rsidRDefault="00440A75">
          <w:pPr>
            <w:pStyle w:val="TOC2"/>
            <w:tabs>
              <w:tab w:val="right" w:leader="dot" w:pos="9016"/>
            </w:tabs>
            <w:rPr>
              <w:rFonts w:ascii="Arial" w:eastAsiaTheme="minorEastAsia" w:hAnsi="Arial" w:cs="Arial"/>
              <w:noProof/>
              <w:kern w:val="2"/>
              <w:sz w:val="24"/>
              <w:szCs w:val="24"/>
              <w:lang w:eastAsia="en-GB" w:bidi="bn-IN"/>
              <w14:ligatures w14:val="standardContextual"/>
            </w:rPr>
          </w:pPr>
          <w:hyperlink w:anchor="_Toc214520391" w:history="1">
            <w:r w:rsidR="003D16E1" w:rsidRPr="003D16E1">
              <w:rPr>
                <w:rStyle w:val="Hyperlink"/>
                <w:rFonts w:ascii="Arial" w:hAnsi="Arial" w:cs="Arial"/>
                <w:bCs/>
                <w:noProof/>
                <w:sz w:val="24"/>
                <w:szCs w:val="24"/>
              </w:rPr>
              <w:t>3.1 Pioneering Organisations’ Strategic Responses</w:t>
            </w:r>
            <w:r w:rsidR="003D16E1" w:rsidRPr="003D16E1">
              <w:rPr>
                <w:rFonts w:ascii="Arial" w:hAnsi="Arial" w:cs="Arial"/>
                <w:noProof/>
                <w:webHidden/>
                <w:sz w:val="24"/>
                <w:szCs w:val="24"/>
              </w:rPr>
              <w:tab/>
            </w:r>
            <w:r w:rsidR="009D4F39">
              <w:rPr>
                <w:rFonts w:ascii="Arial" w:hAnsi="Arial" w:cs="Arial"/>
                <w:noProof/>
                <w:webHidden/>
                <w:sz w:val="24"/>
                <w:szCs w:val="24"/>
              </w:rPr>
              <w:t>6</w:t>
            </w:r>
          </w:hyperlink>
        </w:p>
        <w:p w14:paraId="6FCEED65" w14:textId="3646DFA1" w:rsidR="003D16E1" w:rsidRPr="003D16E1" w:rsidRDefault="00440A75">
          <w:pPr>
            <w:pStyle w:val="TOC2"/>
            <w:tabs>
              <w:tab w:val="right" w:leader="dot" w:pos="9016"/>
            </w:tabs>
            <w:rPr>
              <w:rFonts w:ascii="Arial" w:eastAsiaTheme="minorEastAsia" w:hAnsi="Arial" w:cs="Arial"/>
              <w:noProof/>
              <w:kern w:val="2"/>
              <w:sz w:val="24"/>
              <w:szCs w:val="24"/>
              <w:lang w:eastAsia="en-GB" w:bidi="bn-IN"/>
              <w14:ligatures w14:val="standardContextual"/>
            </w:rPr>
          </w:pPr>
          <w:hyperlink w:anchor="_Toc214520392" w:history="1">
            <w:r w:rsidR="003D16E1" w:rsidRPr="003D16E1">
              <w:rPr>
                <w:rStyle w:val="Hyperlink"/>
                <w:rFonts w:ascii="Arial" w:hAnsi="Arial" w:cs="Arial"/>
                <w:bCs/>
                <w:noProof/>
                <w:sz w:val="24"/>
                <w:szCs w:val="24"/>
              </w:rPr>
              <w:t>3.2 Strategic Responsiveness of Follower Organisations</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_Toc214520392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8</w:t>
            </w:r>
            <w:r w:rsidR="003D16E1" w:rsidRPr="003D16E1">
              <w:rPr>
                <w:rFonts w:ascii="Arial" w:hAnsi="Arial" w:cs="Arial"/>
                <w:noProof/>
                <w:webHidden/>
                <w:sz w:val="24"/>
                <w:szCs w:val="24"/>
              </w:rPr>
              <w:fldChar w:fldCharType="end"/>
            </w:r>
          </w:hyperlink>
        </w:p>
        <w:p w14:paraId="70761D9F" w14:textId="02B054FA" w:rsidR="003D16E1" w:rsidRPr="003D16E1" w:rsidRDefault="00440A75">
          <w:pPr>
            <w:pStyle w:val="TOC1"/>
            <w:rPr>
              <w:rFonts w:ascii="Arial" w:eastAsiaTheme="minorEastAsia" w:hAnsi="Arial" w:cs="Arial"/>
              <w:noProof/>
              <w:kern w:val="2"/>
              <w:sz w:val="24"/>
              <w:szCs w:val="24"/>
              <w:lang w:eastAsia="en-GB" w:bidi="bn-IN"/>
              <w14:ligatures w14:val="standardContextual"/>
            </w:rPr>
          </w:pPr>
          <w:hyperlink w:anchor="_Toc214520393" w:history="1">
            <w:r w:rsidR="003D16E1" w:rsidRPr="003D16E1">
              <w:rPr>
                <w:rStyle w:val="Hyperlink"/>
                <w:rFonts w:ascii="Arial" w:hAnsi="Arial" w:cs="Arial"/>
                <w:b/>
                <w:bCs/>
                <w:noProof/>
                <w:sz w:val="24"/>
                <w:szCs w:val="24"/>
              </w:rPr>
              <w:t>Conclusion</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_Toc214520393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11</w:t>
            </w:r>
            <w:r w:rsidR="003D16E1" w:rsidRPr="003D16E1">
              <w:rPr>
                <w:rFonts w:ascii="Arial" w:hAnsi="Arial" w:cs="Arial"/>
                <w:noProof/>
                <w:webHidden/>
                <w:sz w:val="24"/>
                <w:szCs w:val="24"/>
              </w:rPr>
              <w:fldChar w:fldCharType="end"/>
            </w:r>
          </w:hyperlink>
        </w:p>
        <w:p w14:paraId="7E5B462F" w14:textId="50C1264B" w:rsidR="003D16E1" w:rsidRPr="003D16E1" w:rsidRDefault="00440A75">
          <w:pPr>
            <w:pStyle w:val="TOC1"/>
            <w:rPr>
              <w:rFonts w:ascii="Arial" w:eastAsiaTheme="minorEastAsia" w:hAnsi="Arial" w:cs="Arial"/>
              <w:noProof/>
              <w:kern w:val="2"/>
              <w:sz w:val="24"/>
              <w:szCs w:val="24"/>
              <w:lang w:eastAsia="en-GB" w:bidi="bn-IN"/>
              <w14:ligatures w14:val="standardContextual"/>
            </w:rPr>
          </w:pPr>
          <w:hyperlink w:anchor="_Toc214520394" w:history="1">
            <w:r w:rsidR="003D16E1" w:rsidRPr="003D16E1">
              <w:rPr>
                <w:rStyle w:val="Hyperlink"/>
                <w:rFonts w:ascii="Arial" w:hAnsi="Arial" w:cs="Arial"/>
                <w:b/>
                <w:bCs/>
                <w:noProof/>
                <w:sz w:val="24"/>
                <w:szCs w:val="24"/>
              </w:rPr>
              <w:t>References</w:t>
            </w:r>
            <w:r w:rsidR="003D16E1" w:rsidRPr="003D16E1">
              <w:rPr>
                <w:rFonts w:ascii="Arial" w:hAnsi="Arial" w:cs="Arial"/>
                <w:noProof/>
                <w:webHidden/>
                <w:sz w:val="24"/>
                <w:szCs w:val="24"/>
              </w:rPr>
              <w:tab/>
            </w:r>
            <w:r w:rsidR="003D16E1" w:rsidRPr="003D16E1">
              <w:rPr>
                <w:rFonts w:ascii="Arial" w:hAnsi="Arial" w:cs="Arial"/>
                <w:noProof/>
                <w:webHidden/>
                <w:sz w:val="24"/>
                <w:szCs w:val="24"/>
              </w:rPr>
              <w:fldChar w:fldCharType="begin"/>
            </w:r>
            <w:r w:rsidR="003D16E1" w:rsidRPr="003D16E1">
              <w:rPr>
                <w:rFonts w:ascii="Arial" w:hAnsi="Arial" w:cs="Arial"/>
                <w:noProof/>
                <w:webHidden/>
                <w:sz w:val="24"/>
                <w:szCs w:val="24"/>
              </w:rPr>
              <w:instrText xml:space="preserve"> PAGEREF _Toc214520394 \h </w:instrText>
            </w:r>
            <w:r w:rsidR="003D16E1" w:rsidRPr="003D16E1">
              <w:rPr>
                <w:rFonts w:ascii="Arial" w:hAnsi="Arial" w:cs="Arial"/>
                <w:noProof/>
                <w:webHidden/>
                <w:sz w:val="24"/>
                <w:szCs w:val="24"/>
              </w:rPr>
            </w:r>
            <w:r w:rsidR="003D16E1" w:rsidRPr="003D16E1">
              <w:rPr>
                <w:rFonts w:ascii="Arial" w:hAnsi="Arial" w:cs="Arial"/>
                <w:noProof/>
                <w:webHidden/>
                <w:sz w:val="24"/>
                <w:szCs w:val="24"/>
              </w:rPr>
              <w:fldChar w:fldCharType="separate"/>
            </w:r>
            <w:r w:rsidR="009D4F39">
              <w:rPr>
                <w:rFonts w:ascii="Arial" w:hAnsi="Arial" w:cs="Arial"/>
                <w:noProof/>
                <w:webHidden/>
                <w:sz w:val="24"/>
                <w:szCs w:val="24"/>
              </w:rPr>
              <w:t>12</w:t>
            </w:r>
            <w:r w:rsidR="003D16E1" w:rsidRPr="003D16E1">
              <w:rPr>
                <w:rFonts w:ascii="Arial" w:hAnsi="Arial" w:cs="Arial"/>
                <w:noProof/>
                <w:webHidden/>
                <w:sz w:val="24"/>
                <w:szCs w:val="24"/>
              </w:rPr>
              <w:fldChar w:fldCharType="end"/>
            </w:r>
          </w:hyperlink>
        </w:p>
        <w:p w14:paraId="5C8D31FF" w14:textId="0EA068CC" w:rsidR="00495670" w:rsidRPr="003D16E1" w:rsidRDefault="00C75D62" w:rsidP="00CA35F9">
          <w:pPr>
            <w:rPr>
              <w:rFonts w:ascii="Arial" w:hAnsi="Arial" w:cs="Arial"/>
              <w:sz w:val="24"/>
              <w:szCs w:val="24"/>
            </w:rPr>
            <w:sectPr w:rsidR="00495670" w:rsidRPr="003D16E1" w:rsidSect="00C75D62">
              <w:pgSz w:w="11906" w:h="16838"/>
              <w:pgMar w:top="1440" w:right="1440" w:bottom="1440" w:left="1440" w:header="720" w:footer="720" w:gutter="0"/>
              <w:cols w:space="720"/>
            </w:sectPr>
          </w:pPr>
          <w:r w:rsidRPr="003D16E1">
            <w:rPr>
              <w:rFonts w:ascii="Arial" w:hAnsi="Arial" w:cs="Arial"/>
              <w:b/>
              <w:bCs/>
              <w:noProof/>
              <w:sz w:val="24"/>
              <w:szCs w:val="24"/>
            </w:rPr>
            <w:fldChar w:fldCharType="end"/>
          </w:r>
        </w:p>
      </w:sdtContent>
    </w:sdt>
    <w:p w14:paraId="2FC3E276" w14:textId="486B832F" w:rsidR="00C75D62" w:rsidRPr="00E84D32" w:rsidRDefault="00172636" w:rsidP="005B0461">
      <w:pPr>
        <w:pStyle w:val="Heading1"/>
        <w:jc w:val="both"/>
        <w:rPr>
          <w:rFonts w:cs="Arial"/>
          <w:b/>
          <w:bCs/>
        </w:rPr>
      </w:pPr>
      <w:bookmarkStart w:id="7" w:name="_Toc214520385"/>
      <w:r w:rsidRPr="00E84D32">
        <w:rPr>
          <w:rFonts w:cs="Arial"/>
          <w:b/>
          <w:bCs/>
        </w:rPr>
        <w:lastRenderedPageBreak/>
        <w:t>1.</w:t>
      </w:r>
      <w:r w:rsidR="00495670" w:rsidRPr="00E84D32">
        <w:rPr>
          <w:rFonts w:cs="Arial"/>
          <w:b/>
          <w:bCs/>
        </w:rPr>
        <w:t xml:space="preserve"> </w:t>
      </w:r>
      <w:r w:rsidRPr="00E84D32">
        <w:rPr>
          <w:rFonts w:cs="Arial"/>
          <w:b/>
          <w:bCs/>
        </w:rPr>
        <w:t>Introduction</w:t>
      </w:r>
      <w:bookmarkEnd w:id="7"/>
    </w:p>
    <w:p w14:paraId="11B108C9" w14:textId="6CEE0095" w:rsidR="003D0A55" w:rsidRPr="003D0A55" w:rsidRDefault="003D0A55" w:rsidP="003D0A55">
      <w:pPr>
        <w:spacing w:line="360" w:lineRule="auto"/>
        <w:jc w:val="both"/>
        <w:rPr>
          <w:rFonts w:ascii="Arial" w:hAnsi="Arial" w:cs="Arial"/>
          <w:sz w:val="24"/>
          <w:szCs w:val="24"/>
        </w:rPr>
      </w:pPr>
      <w:r w:rsidRPr="003D0A55">
        <w:rPr>
          <w:rFonts w:ascii="Arial" w:hAnsi="Arial" w:cs="Arial"/>
          <w:sz w:val="24"/>
          <w:szCs w:val="24"/>
        </w:rPr>
        <w:t xml:space="preserve">The strategic marketing management demands a thorough knowledge of the internal and external environmental forces that affect the performance of organisations. This report is about macro marketing environment and how it is central in making strategic decisions in the firms that operate in dynamic industries. The report will assess the strategic response of pioneer and follower firms to stay afloat in the market by assessing the influence that broad external forces on organisations have, i.e. the effect of technological changes and regulatory mechanisms. Innovators are early and hold first-mover advantages whereas followers are characterised with strategies that take into consideration lessons learnt and reduce risks. </w:t>
      </w:r>
    </w:p>
    <w:p w14:paraId="08D38A5C" w14:textId="6FB09E6A" w:rsidR="00C75D62" w:rsidRPr="00E84D32" w:rsidRDefault="003D0A55" w:rsidP="003D0A55">
      <w:pPr>
        <w:spacing w:line="360" w:lineRule="auto"/>
        <w:jc w:val="both"/>
        <w:rPr>
          <w:rFonts w:ascii="Arial" w:hAnsi="Arial" w:cs="Arial"/>
          <w:sz w:val="24"/>
          <w:szCs w:val="24"/>
        </w:rPr>
      </w:pPr>
      <w:r w:rsidRPr="003D0A55">
        <w:rPr>
          <w:rFonts w:ascii="Arial" w:hAnsi="Arial" w:cs="Arial"/>
          <w:sz w:val="24"/>
          <w:szCs w:val="24"/>
        </w:rPr>
        <w:t xml:space="preserve">The report is organised in terms of a systematic analysis of important macro-environmental actors via models like PESTEL, and the strategic models like the Ansoff Growth Matrix and Porters Generic Strategies. First, it gives a general background of the macro marketing environment and explains the choice of two vital external actors-technological and regulatory/political- pointing out their suitability in the industry. A critical analysis is then undertaken to assess how the opportunities and threats of the pioneers and followers arise as a result of changes in these actors. The last parts discuss the strategic responses that are implemented by both kinds of organisations discussing the application of innovation, differentiation, cost leadership, and regulatory adaptation in practise with examples of the industry. </w:t>
      </w:r>
    </w:p>
    <w:p w14:paraId="366F9575" w14:textId="77777777" w:rsidR="00C75D62" w:rsidRPr="00E84D32" w:rsidRDefault="00C75D62" w:rsidP="005B0461">
      <w:pPr>
        <w:spacing w:after="160" w:line="259" w:lineRule="auto"/>
        <w:jc w:val="both"/>
        <w:rPr>
          <w:rFonts w:ascii="Arial" w:eastAsiaTheme="majorEastAsia" w:hAnsi="Arial" w:cs="Arial"/>
          <w:b/>
          <w:bCs/>
          <w:sz w:val="28"/>
          <w:szCs w:val="28"/>
        </w:rPr>
      </w:pPr>
      <w:r w:rsidRPr="00E84D32">
        <w:rPr>
          <w:rFonts w:ascii="Arial" w:hAnsi="Arial" w:cs="Arial"/>
        </w:rPr>
        <w:br w:type="page"/>
      </w:r>
    </w:p>
    <w:p w14:paraId="71C57F85" w14:textId="566A2D19" w:rsidR="00C75D62" w:rsidRPr="00E84D32" w:rsidRDefault="009E3887" w:rsidP="005B0461">
      <w:pPr>
        <w:pStyle w:val="Heading1"/>
        <w:jc w:val="both"/>
        <w:rPr>
          <w:rFonts w:cs="Arial"/>
          <w:b/>
          <w:bCs/>
        </w:rPr>
      </w:pPr>
      <w:bookmarkStart w:id="8" w:name="_Toc214520386"/>
      <w:r w:rsidRPr="009E3887">
        <w:rPr>
          <w:rFonts w:cs="Arial"/>
          <w:b/>
          <w:bCs/>
        </w:rPr>
        <w:lastRenderedPageBreak/>
        <w:t>2. Task 1: Critical Analysis of the Macro Marketing Environment</w:t>
      </w:r>
      <w:r w:rsidR="0026227A" w:rsidRPr="00E84D32">
        <w:rPr>
          <w:rFonts w:cs="Arial"/>
          <w:b/>
          <w:bCs/>
        </w:rPr>
        <w:t>.</w:t>
      </w:r>
      <w:bookmarkEnd w:id="8"/>
    </w:p>
    <w:p w14:paraId="7B79A350" w14:textId="25ED1251" w:rsidR="00F775A8" w:rsidRPr="00F775A8" w:rsidRDefault="002C470B" w:rsidP="00F775A8">
      <w:pPr>
        <w:pStyle w:val="Heading2"/>
        <w:rPr>
          <w:bCs/>
        </w:rPr>
      </w:pPr>
      <w:bookmarkStart w:id="9" w:name="_Toc211437171"/>
      <w:bookmarkStart w:id="10" w:name="_Toc214520387"/>
      <w:r w:rsidRPr="002C470B">
        <w:rPr>
          <w:bCs/>
        </w:rPr>
        <w:t>2.1 Overview of the Macro Marketing Environment</w:t>
      </w:r>
      <w:bookmarkEnd w:id="9"/>
      <w:bookmarkEnd w:id="10"/>
    </w:p>
    <w:p w14:paraId="7495A233" w14:textId="66B0BC9C" w:rsidR="00F775A8" w:rsidRDefault="00F775A8" w:rsidP="005B0461">
      <w:pPr>
        <w:spacing w:before="240" w:after="0" w:line="360" w:lineRule="auto"/>
        <w:jc w:val="both"/>
        <w:rPr>
          <w:rFonts w:ascii="Arial" w:hAnsi="Arial" w:cs="Arial"/>
          <w:sz w:val="24"/>
          <w:szCs w:val="24"/>
        </w:rPr>
      </w:pPr>
      <w:r>
        <w:rPr>
          <w:rFonts w:ascii="Arial" w:hAnsi="Arial" w:cs="Arial"/>
          <w:noProof/>
          <w:sz w:val="24"/>
          <w:szCs w:val="24"/>
          <w:lang w:val="en-US"/>
          <w14:ligatures w14:val="standardContextual"/>
        </w:rPr>
        <w:drawing>
          <wp:anchor distT="0" distB="0" distL="114300" distR="114300" simplePos="0" relativeHeight="251660288" behindDoc="0" locked="0" layoutInCell="1" allowOverlap="1" wp14:anchorId="5BBCF772" wp14:editId="6DA4F4CB">
            <wp:simplePos x="0" y="0"/>
            <wp:positionH relativeFrom="margin">
              <wp:align>center</wp:align>
            </wp:positionH>
            <wp:positionV relativeFrom="paragraph">
              <wp:posOffset>2192655</wp:posOffset>
            </wp:positionV>
            <wp:extent cx="3894455" cy="1885950"/>
            <wp:effectExtent l="0" t="0" r="0" b="0"/>
            <wp:wrapTopAndBottom/>
            <wp:docPr id="2037530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30978" name="Picture 2037530978"/>
                    <pic:cNvPicPr/>
                  </pic:nvPicPr>
                  <pic:blipFill rotWithShape="1">
                    <a:blip r:embed="rId8"/>
                    <a:srcRect t="3788" b="5073"/>
                    <a:stretch>
                      <a:fillRect/>
                    </a:stretch>
                  </pic:blipFill>
                  <pic:spPr bwMode="auto">
                    <a:xfrm>
                      <a:off x="0" y="0"/>
                      <a:ext cx="3894455" cy="1885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6F89" w:rsidRPr="005C6F89">
        <w:rPr>
          <w:rFonts w:ascii="Arial" w:hAnsi="Arial" w:cs="Arial"/>
          <w:sz w:val="24"/>
          <w:szCs w:val="24"/>
        </w:rPr>
        <w:t>The macro marketing environment is made up of overall external forces which affect the strategic decisions of an organisation yet are not under their control. These forces influence consumer behaviour, competitive forces as well as long term market viability. Oxford College of Marketing (2016) explains that the macro-environmental factors should be constantly monitored as it directly affects the marketing planning and organisational performance. The PESTEL framework is a method of studying these factors widely accepted, which evaluates Political, Economic, Social, Technological, Environmental, and Legal factors (</w:t>
      </w:r>
      <w:proofErr w:type="spellStart"/>
      <w:r w:rsidR="005C6F89" w:rsidRPr="005C6F89">
        <w:rPr>
          <w:rFonts w:ascii="Arial" w:hAnsi="Arial" w:cs="Arial"/>
          <w:sz w:val="24"/>
          <w:szCs w:val="24"/>
        </w:rPr>
        <w:t>KBManage</w:t>
      </w:r>
      <w:proofErr w:type="spellEnd"/>
      <w:r w:rsidR="005C6F89" w:rsidRPr="005C6F89">
        <w:rPr>
          <w:rFonts w:ascii="Arial" w:hAnsi="Arial" w:cs="Arial"/>
          <w:sz w:val="24"/>
          <w:szCs w:val="24"/>
        </w:rPr>
        <w:t>, 2020).</w:t>
      </w:r>
    </w:p>
    <w:p w14:paraId="614D2980" w14:textId="3714F1CA" w:rsidR="005C6F89" w:rsidRPr="005C6F89" w:rsidRDefault="005C6F89" w:rsidP="005B0461">
      <w:pPr>
        <w:spacing w:before="240" w:after="0" w:line="360" w:lineRule="auto"/>
        <w:jc w:val="both"/>
        <w:rPr>
          <w:rFonts w:ascii="Arial" w:hAnsi="Arial" w:cs="Arial"/>
          <w:b/>
          <w:bCs/>
          <w:sz w:val="24"/>
          <w:szCs w:val="24"/>
        </w:rPr>
      </w:pPr>
      <w:r w:rsidRPr="005C6F89">
        <w:rPr>
          <w:rFonts w:ascii="Arial" w:hAnsi="Arial" w:cs="Arial"/>
          <w:b/>
          <w:bCs/>
          <w:sz w:val="24"/>
          <w:szCs w:val="24"/>
        </w:rPr>
        <w:t>Knowing the macro environment is vital because of a number of reasons:</w:t>
      </w:r>
    </w:p>
    <w:p w14:paraId="4C1758EC" w14:textId="00E217AC" w:rsidR="005C6F89" w:rsidRPr="005C6F89" w:rsidRDefault="005C6F89" w:rsidP="002F2F82">
      <w:pPr>
        <w:pStyle w:val="ListParagraph"/>
        <w:numPr>
          <w:ilvl w:val="0"/>
          <w:numId w:val="1"/>
        </w:numPr>
        <w:spacing w:before="240" w:after="0" w:line="360" w:lineRule="auto"/>
        <w:jc w:val="both"/>
        <w:rPr>
          <w:rFonts w:ascii="Arial" w:hAnsi="Arial" w:cs="Arial"/>
          <w:sz w:val="24"/>
          <w:szCs w:val="24"/>
        </w:rPr>
      </w:pPr>
      <w:r w:rsidRPr="005C6F89">
        <w:rPr>
          <w:rFonts w:ascii="Arial" w:hAnsi="Arial" w:cs="Arial"/>
          <w:sz w:val="24"/>
          <w:szCs w:val="24"/>
        </w:rPr>
        <w:t>It assists organisations in best recognising novel prospects and risks that emerge due to the changes in regulation, technology, culture or economic situations (</w:t>
      </w:r>
      <w:proofErr w:type="spellStart"/>
      <w:r w:rsidRPr="005C6F89">
        <w:rPr>
          <w:rFonts w:ascii="Arial" w:hAnsi="Arial" w:cs="Arial"/>
          <w:sz w:val="24"/>
          <w:szCs w:val="24"/>
        </w:rPr>
        <w:t>Vedantu</w:t>
      </w:r>
      <w:proofErr w:type="spellEnd"/>
      <w:r w:rsidRPr="005C6F89">
        <w:rPr>
          <w:rFonts w:ascii="Arial" w:hAnsi="Arial" w:cs="Arial"/>
          <w:sz w:val="24"/>
          <w:szCs w:val="24"/>
        </w:rPr>
        <w:t>, 2020).</w:t>
      </w:r>
    </w:p>
    <w:p w14:paraId="483673E4" w14:textId="6F65DB4E" w:rsidR="005C6F89" w:rsidRPr="005C6F89" w:rsidRDefault="005C6F89" w:rsidP="002F2F82">
      <w:pPr>
        <w:pStyle w:val="ListParagraph"/>
        <w:numPr>
          <w:ilvl w:val="0"/>
          <w:numId w:val="1"/>
        </w:numPr>
        <w:spacing w:before="240" w:after="0" w:line="360" w:lineRule="auto"/>
        <w:jc w:val="both"/>
        <w:rPr>
          <w:rFonts w:ascii="Arial" w:hAnsi="Arial" w:cs="Arial"/>
          <w:sz w:val="24"/>
          <w:szCs w:val="24"/>
        </w:rPr>
      </w:pPr>
      <w:r w:rsidRPr="005C6F89">
        <w:rPr>
          <w:rFonts w:ascii="Arial" w:hAnsi="Arial" w:cs="Arial"/>
          <w:sz w:val="24"/>
          <w:szCs w:val="24"/>
        </w:rPr>
        <w:t>It also allows marketers to be able to predict trends in the industry which makes them make better decisions in their strategies.</w:t>
      </w:r>
    </w:p>
    <w:p w14:paraId="27E79764" w14:textId="092FAB36" w:rsidR="005C6F89" w:rsidRPr="005C6F89" w:rsidRDefault="005C6F89" w:rsidP="002F2F82">
      <w:pPr>
        <w:pStyle w:val="ListParagraph"/>
        <w:numPr>
          <w:ilvl w:val="0"/>
          <w:numId w:val="1"/>
        </w:numPr>
        <w:spacing w:before="240" w:after="0" w:line="360" w:lineRule="auto"/>
        <w:jc w:val="both"/>
        <w:rPr>
          <w:rFonts w:ascii="Arial" w:hAnsi="Arial" w:cs="Arial"/>
          <w:sz w:val="24"/>
          <w:szCs w:val="24"/>
        </w:rPr>
      </w:pPr>
      <w:r w:rsidRPr="005C6F89">
        <w:rPr>
          <w:rFonts w:ascii="Arial" w:hAnsi="Arial" w:cs="Arial"/>
          <w:sz w:val="24"/>
          <w:szCs w:val="24"/>
        </w:rPr>
        <w:t>It offers a basis on which external insights can be incorporated in SWOT analysis and strategic planning of the long term (Oxford College of Marketing, 2016).</w:t>
      </w:r>
    </w:p>
    <w:p w14:paraId="646038F1" w14:textId="4C8FE486" w:rsidR="005C6F89" w:rsidRDefault="005C6F89" w:rsidP="005C6F89">
      <w:pPr>
        <w:spacing w:before="240" w:after="0" w:line="360" w:lineRule="auto"/>
        <w:jc w:val="both"/>
        <w:rPr>
          <w:rFonts w:ascii="Arial" w:hAnsi="Arial" w:cs="Arial"/>
          <w:sz w:val="24"/>
          <w:szCs w:val="24"/>
        </w:rPr>
      </w:pPr>
      <w:r w:rsidRPr="005C6F89">
        <w:rPr>
          <w:rFonts w:ascii="Arial" w:hAnsi="Arial" w:cs="Arial"/>
          <w:sz w:val="24"/>
          <w:szCs w:val="24"/>
        </w:rPr>
        <w:t>Comprehensively, PESTEL-based systematic macro-environment scanning helps organisations to create resilient and flexible marketing strategies that can achieve competitive advantages and meet the external conditions.</w:t>
      </w:r>
    </w:p>
    <w:p w14:paraId="4EF136D7" w14:textId="1ED117DE" w:rsidR="001C2010" w:rsidRPr="001C2010" w:rsidRDefault="005C6F89" w:rsidP="00B2603A">
      <w:pPr>
        <w:pStyle w:val="Heading2"/>
      </w:pPr>
      <w:bookmarkStart w:id="11" w:name="_Toc214520388"/>
      <w:r w:rsidRPr="005C6F89">
        <w:lastRenderedPageBreak/>
        <w:t>2.2 Selection of Two External Macro Marketing Actors</w:t>
      </w:r>
      <w:bookmarkEnd w:id="11"/>
    </w:p>
    <w:p w14:paraId="55480367" w14:textId="4BE8AA34" w:rsidR="00073C5C" w:rsidRDefault="005C6F89" w:rsidP="001C2010">
      <w:pPr>
        <w:spacing w:before="240" w:after="0" w:line="360" w:lineRule="auto"/>
        <w:jc w:val="both"/>
        <w:rPr>
          <w:rFonts w:ascii="Arial" w:hAnsi="Arial" w:cs="Arial"/>
          <w:sz w:val="24"/>
          <w:szCs w:val="24"/>
        </w:rPr>
      </w:pPr>
      <w:r w:rsidRPr="005C6F89">
        <w:rPr>
          <w:rFonts w:ascii="Arial" w:hAnsi="Arial" w:cs="Arial"/>
          <w:sz w:val="24"/>
          <w:szCs w:val="24"/>
        </w:rPr>
        <w:t>In the case of the electric vehicle (EV) industry, there are two external macro marketing operations, specifically the Technological and Regulatory/Political forces. They both play major roles in the process of product development, positioning in the market, and competitive forces to the first movers and the movers.</w:t>
      </w:r>
    </w:p>
    <w:p w14:paraId="30A2EA9E" w14:textId="3C2A5842" w:rsidR="005C6F89" w:rsidRPr="005C6F89" w:rsidRDefault="005C6F89" w:rsidP="001C2010">
      <w:pPr>
        <w:spacing w:before="240" w:after="0" w:line="360" w:lineRule="auto"/>
        <w:jc w:val="both"/>
        <w:rPr>
          <w:rFonts w:ascii="Arial" w:hAnsi="Arial" w:cs="Arial"/>
          <w:b/>
          <w:bCs/>
          <w:sz w:val="24"/>
          <w:szCs w:val="24"/>
        </w:rPr>
      </w:pPr>
      <w:r w:rsidRPr="005C6F89">
        <w:rPr>
          <w:rFonts w:ascii="Arial" w:hAnsi="Arial" w:cs="Arial"/>
          <w:b/>
          <w:bCs/>
          <w:sz w:val="24"/>
          <w:szCs w:val="24"/>
        </w:rPr>
        <w:t>Technological actor: justification and relevance</w:t>
      </w:r>
    </w:p>
    <w:p w14:paraId="62C1DC90" w14:textId="11513CAF" w:rsidR="005C6F89" w:rsidRPr="005C6F89" w:rsidRDefault="005C6F89" w:rsidP="005C6F89">
      <w:pPr>
        <w:spacing w:before="240" w:after="0" w:line="360" w:lineRule="auto"/>
        <w:jc w:val="both"/>
        <w:rPr>
          <w:rFonts w:ascii="Arial" w:hAnsi="Arial" w:cs="Arial"/>
          <w:sz w:val="24"/>
          <w:szCs w:val="24"/>
        </w:rPr>
      </w:pPr>
      <w:r w:rsidRPr="005C6F89">
        <w:rPr>
          <w:rFonts w:ascii="Arial" w:hAnsi="Arial" w:cs="Arial"/>
          <w:sz w:val="24"/>
          <w:szCs w:val="24"/>
        </w:rPr>
        <w:t xml:space="preserve">The adoption of vehicles is determined by technological developments in the battery chemistry, software, charging infrastructure, and power electronics. According to the International Energy Agency (IEA, 2025), 17.3 million EVs were produced in 2024, and the figure is expected to increase in 2025, influenced by such innovations as the establishment of fast-charging stations and enhanced energy density. </w:t>
      </w:r>
      <w:proofErr w:type="spellStart"/>
      <w:r w:rsidRPr="005C6F89">
        <w:rPr>
          <w:rFonts w:ascii="Arial" w:hAnsi="Arial" w:cs="Arial"/>
          <w:sz w:val="24"/>
          <w:szCs w:val="24"/>
        </w:rPr>
        <w:t>BloombergNEF</w:t>
      </w:r>
      <w:proofErr w:type="spellEnd"/>
      <w:r w:rsidRPr="005C6F89">
        <w:rPr>
          <w:rFonts w:ascii="Arial" w:hAnsi="Arial" w:cs="Arial"/>
          <w:sz w:val="24"/>
          <w:szCs w:val="24"/>
        </w:rPr>
        <w:t xml:space="preserve"> (BNEF, 2025) points out that AI-assisted energy management and solid-state batteries will transform the capabilities of EV. In marketing, these technological shifts affect the positioning of products, segmentation (e.g., marketing to early adopters), and the message about the functional benefits (</w:t>
      </w:r>
      <w:proofErr w:type="spellStart"/>
      <w:r w:rsidRPr="005C6F89">
        <w:rPr>
          <w:rFonts w:ascii="Arial" w:hAnsi="Arial" w:cs="Arial"/>
          <w:sz w:val="24"/>
          <w:szCs w:val="24"/>
        </w:rPr>
        <w:t>InsideEVs</w:t>
      </w:r>
      <w:proofErr w:type="spellEnd"/>
      <w:r w:rsidRPr="005C6F89">
        <w:rPr>
          <w:rFonts w:ascii="Arial" w:hAnsi="Arial" w:cs="Arial"/>
          <w:sz w:val="24"/>
          <w:szCs w:val="24"/>
        </w:rPr>
        <w:t>, 2025).</w:t>
      </w:r>
    </w:p>
    <w:p w14:paraId="423775BA" w14:textId="77777777" w:rsidR="005C6F89" w:rsidRPr="005C6F89" w:rsidRDefault="005C6F89" w:rsidP="005C6F89">
      <w:pPr>
        <w:spacing w:before="240" w:after="0" w:line="360" w:lineRule="auto"/>
        <w:jc w:val="both"/>
        <w:rPr>
          <w:rFonts w:ascii="Arial" w:hAnsi="Arial" w:cs="Arial"/>
          <w:b/>
          <w:bCs/>
          <w:sz w:val="24"/>
          <w:szCs w:val="24"/>
        </w:rPr>
      </w:pPr>
      <w:r w:rsidRPr="005C6F89">
        <w:rPr>
          <w:rFonts w:ascii="Arial" w:hAnsi="Arial" w:cs="Arial"/>
          <w:b/>
          <w:bCs/>
          <w:sz w:val="24"/>
          <w:szCs w:val="24"/>
        </w:rPr>
        <w:t>Regulatory/Political actor - justification &amp; relevance</w:t>
      </w:r>
    </w:p>
    <w:p w14:paraId="343ACFF2" w14:textId="64AC2C3F" w:rsidR="005C6F89" w:rsidRDefault="005C6F89" w:rsidP="005C6F89">
      <w:pPr>
        <w:spacing w:before="240" w:after="0" w:line="360" w:lineRule="auto"/>
        <w:jc w:val="both"/>
        <w:rPr>
          <w:rFonts w:ascii="Arial" w:hAnsi="Arial" w:cs="Arial"/>
          <w:sz w:val="24"/>
          <w:szCs w:val="24"/>
        </w:rPr>
      </w:pPr>
      <w:r w:rsidRPr="005C6F89">
        <w:rPr>
          <w:rFonts w:ascii="Arial" w:hAnsi="Arial" w:cs="Arial"/>
          <w:sz w:val="24"/>
          <w:szCs w:val="24"/>
        </w:rPr>
        <w:t>Demand and competitive strategy are heavily influenced by government policies such as subsidies, tax incentives and also by the emission standards. As an example, the NEV subsidies in China and stricter CO2 regulations in Europe have a strong influence on the market entry and the price choices (IEA, 2025; EU Alternative Fuels Observatory, 2025). Marketing activities will need to conform to these policy environments to use incentives to appeal to the consumers and abide by the regulations to evade punishments.</w:t>
      </w:r>
    </w:p>
    <w:p w14:paraId="18542908" w14:textId="13E51A2F" w:rsidR="005C6F89" w:rsidRPr="005C6F89" w:rsidRDefault="005C6F89" w:rsidP="005C6F89">
      <w:pPr>
        <w:spacing w:before="240" w:after="0" w:line="360" w:lineRule="auto"/>
        <w:jc w:val="both"/>
        <w:rPr>
          <w:rFonts w:ascii="Arial" w:hAnsi="Arial" w:cs="Arial"/>
          <w:b/>
          <w:bCs/>
          <w:sz w:val="24"/>
          <w:szCs w:val="24"/>
        </w:rPr>
      </w:pPr>
      <w:r w:rsidRPr="005C6F89">
        <w:rPr>
          <w:rFonts w:ascii="Arial" w:hAnsi="Arial" w:cs="Arial"/>
          <w:b/>
          <w:bCs/>
          <w:sz w:val="24"/>
          <w:szCs w:val="24"/>
        </w:rPr>
        <w:t>Key marketing implications:</w:t>
      </w:r>
    </w:p>
    <w:p w14:paraId="540F6FFA" w14:textId="7F386A05" w:rsidR="005C6F89" w:rsidRPr="005C6F89" w:rsidRDefault="005C6F89" w:rsidP="002F2F82">
      <w:pPr>
        <w:pStyle w:val="ListParagraph"/>
        <w:numPr>
          <w:ilvl w:val="0"/>
          <w:numId w:val="2"/>
        </w:numPr>
        <w:spacing w:before="240" w:after="0" w:line="360" w:lineRule="auto"/>
        <w:jc w:val="both"/>
        <w:rPr>
          <w:rFonts w:ascii="Arial" w:hAnsi="Arial" w:cs="Arial"/>
          <w:sz w:val="24"/>
          <w:szCs w:val="24"/>
        </w:rPr>
      </w:pPr>
      <w:r w:rsidRPr="005C6F89">
        <w:rPr>
          <w:rFonts w:ascii="Arial" w:hAnsi="Arial" w:cs="Arial"/>
          <w:b/>
          <w:bCs/>
          <w:sz w:val="24"/>
          <w:szCs w:val="24"/>
        </w:rPr>
        <w:t>Technology:</w:t>
      </w:r>
      <w:r w:rsidRPr="005C6F89">
        <w:rPr>
          <w:rFonts w:ascii="Arial" w:hAnsi="Arial" w:cs="Arial"/>
          <w:sz w:val="24"/>
          <w:szCs w:val="24"/>
        </w:rPr>
        <w:t xml:space="preserve"> Technology is the motivator of product differentiation and innovation claims that present the threat of swift obsolescence to the followers (IEA, 2025).</w:t>
      </w:r>
    </w:p>
    <w:p w14:paraId="2CF93E10" w14:textId="706899A0" w:rsidR="005C6F89" w:rsidRPr="005C6F89" w:rsidRDefault="005C6F89" w:rsidP="002F2F82">
      <w:pPr>
        <w:pStyle w:val="ListParagraph"/>
        <w:numPr>
          <w:ilvl w:val="0"/>
          <w:numId w:val="2"/>
        </w:numPr>
        <w:spacing w:before="240" w:after="0" w:line="360" w:lineRule="auto"/>
        <w:jc w:val="both"/>
        <w:rPr>
          <w:rFonts w:ascii="Arial" w:hAnsi="Arial" w:cs="Arial"/>
          <w:sz w:val="24"/>
          <w:szCs w:val="24"/>
        </w:rPr>
      </w:pPr>
      <w:r w:rsidRPr="005C6F89">
        <w:rPr>
          <w:rFonts w:ascii="Arial" w:hAnsi="Arial" w:cs="Arial"/>
          <w:b/>
          <w:bCs/>
          <w:sz w:val="24"/>
          <w:szCs w:val="24"/>
        </w:rPr>
        <w:t>Regulation:</w:t>
      </w:r>
      <w:r w:rsidRPr="005C6F89">
        <w:rPr>
          <w:rFonts w:ascii="Arial" w:hAnsi="Arial" w:cs="Arial"/>
          <w:sz w:val="24"/>
          <w:szCs w:val="24"/>
        </w:rPr>
        <w:t xml:space="preserve"> Regulation opens market opportunities by incentives but puts up blockades that may have to be overcome with strategic adjustment of pricing, distribution, and communication (EU Alternative Fuels Observatory, 2025).</w:t>
      </w:r>
    </w:p>
    <w:p w14:paraId="4907F8A9" w14:textId="3287DA19" w:rsidR="005C6F89" w:rsidRDefault="005C6F89" w:rsidP="001C2010">
      <w:pPr>
        <w:spacing w:before="240" w:after="0" w:line="360" w:lineRule="auto"/>
        <w:jc w:val="both"/>
        <w:rPr>
          <w:rFonts w:ascii="Arial" w:hAnsi="Arial" w:cs="Arial"/>
          <w:sz w:val="24"/>
          <w:szCs w:val="24"/>
        </w:rPr>
      </w:pPr>
      <w:r w:rsidRPr="005C6F89">
        <w:rPr>
          <w:rFonts w:ascii="Arial" w:hAnsi="Arial" w:cs="Arial"/>
          <w:sz w:val="24"/>
          <w:szCs w:val="24"/>
        </w:rPr>
        <w:lastRenderedPageBreak/>
        <w:t>Collectively, these macro players underscore the need by EV marketers to inculcate technological trends and regulatory intelligence in strategic planning in order to remain competitive.</w:t>
      </w:r>
    </w:p>
    <w:p w14:paraId="207D1D85" w14:textId="4B2D2B20" w:rsidR="00C90977" w:rsidRPr="00C90977" w:rsidRDefault="005C6F89" w:rsidP="00B2603A">
      <w:pPr>
        <w:pStyle w:val="Heading2"/>
      </w:pPr>
      <w:bookmarkStart w:id="12" w:name="_Toc214520389"/>
      <w:r w:rsidRPr="005C6F89">
        <w:t>2.3 Critical Analysis of Each Actor</w:t>
      </w:r>
      <w:bookmarkEnd w:id="12"/>
    </w:p>
    <w:p w14:paraId="66575CFA" w14:textId="6DEFC76D" w:rsidR="007B2095" w:rsidRPr="007B2095" w:rsidRDefault="007B2095" w:rsidP="007B2095">
      <w:pPr>
        <w:spacing w:before="240" w:after="0" w:line="360" w:lineRule="auto"/>
        <w:jc w:val="both"/>
        <w:rPr>
          <w:rFonts w:ascii="Arial" w:hAnsi="Arial" w:cs="Arial"/>
          <w:b/>
          <w:bCs/>
          <w:sz w:val="24"/>
          <w:szCs w:val="24"/>
        </w:rPr>
      </w:pPr>
      <w:r w:rsidRPr="007B2095">
        <w:rPr>
          <w:rFonts w:ascii="Arial" w:hAnsi="Arial" w:cs="Arial"/>
          <w:b/>
          <w:bCs/>
          <w:sz w:val="24"/>
          <w:szCs w:val="24"/>
        </w:rPr>
        <w:t>Technological Actor</w:t>
      </w:r>
    </w:p>
    <w:p w14:paraId="27C91EFD" w14:textId="021C8BA1" w:rsidR="00F4455D" w:rsidRPr="001E7A0E" w:rsidRDefault="007B2095" w:rsidP="007B2095">
      <w:pPr>
        <w:spacing w:before="240" w:after="0" w:line="360" w:lineRule="auto"/>
        <w:jc w:val="both"/>
        <w:rPr>
          <w:rFonts w:ascii="Arial" w:hAnsi="Arial" w:cs="Arial"/>
          <w:sz w:val="24"/>
          <w:szCs w:val="24"/>
        </w:rPr>
      </w:pPr>
      <w:r w:rsidRPr="007B2095">
        <w:rPr>
          <w:rFonts w:ascii="Arial" w:hAnsi="Arial" w:cs="Arial"/>
          <w:sz w:val="24"/>
          <w:szCs w:val="24"/>
        </w:rPr>
        <w:t>The innovations in the EV industry e.g., battery efficiency, rapid charge stations, and AI-based car systems influence leaders and followers in various ways. First movers including Tesla receive first-mover advantages because they add new features and create brand equity surrounding the state-of-the-art technology (BNEF, 2025). Such innovations enable innovators to distinguish their products, charge high prices and gain loyalty of their customers. Nevertheless, first-mover costs are high in terms of R&amp;D, technological obsolescence is a threat, and it means that first movers must keep on innovating to stay on top (IEA, 2025).</w:t>
      </w:r>
    </w:p>
    <w:p w14:paraId="1E88C9E1" w14:textId="7528581C" w:rsidR="00F4455D" w:rsidRDefault="00F4455D" w:rsidP="007B2095">
      <w:pPr>
        <w:spacing w:before="240" w:after="0" w:line="360" w:lineRule="auto"/>
        <w:jc w:val="both"/>
        <w:rPr>
          <w:rFonts w:ascii="Arial" w:hAnsi="Arial" w:cs="Arial"/>
          <w:sz w:val="24"/>
          <w:szCs w:val="24"/>
        </w:rPr>
      </w:pPr>
      <w:r>
        <w:rPr>
          <w:rFonts w:ascii="Arial" w:hAnsi="Arial" w:cs="Arial"/>
          <w:noProof/>
          <w:sz w:val="24"/>
          <w:szCs w:val="24"/>
          <w:lang w:val="en-US"/>
          <w14:ligatures w14:val="standardContextual"/>
        </w:rPr>
        <w:drawing>
          <wp:anchor distT="0" distB="0" distL="114300" distR="114300" simplePos="0" relativeHeight="251661312" behindDoc="0" locked="0" layoutInCell="1" allowOverlap="1" wp14:anchorId="12528FD8" wp14:editId="1DF2C98C">
            <wp:simplePos x="0" y="0"/>
            <wp:positionH relativeFrom="margin">
              <wp:align>center</wp:align>
            </wp:positionH>
            <wp:positionV relativeFrom="paragraph">
              <wp:posOffset>916968</wp:posOffset>
            </wp:positionV>
            <wp:extent cx="4556125" cy="2273935"/>
            <wp:effectExtent l="0" t="0" r="0" b="0"/>
            <wp:wrapTopAndBottom/>
            <wp:docPr id="1335432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32314" name="Picture 1335432314"/>
                    <pic:cNvPicPr/>
                  </pic:nvPicPr>
                  <pic:blipFill rotWithShape="1">
                    <a:blip r:embed="rId9"/>
                    <a:srcRect l="6942" r="8057"/>
                    <a:stretch>
                      <a:fillRect/>
                    </a:stretch>
                  </pic:blipFill>
                  <pic:spPr bwMode="auto">
                    <a:xfrm>
                      <a:off x="0" y="0"/>
                      <a:ext cx="4565881" cy="22789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2095" w:rsidRPr="007B2095">
        <w:rPr>
          <w:rFonts w:ascii="Arial" w:hAnsi="Arial" w:cs="Arial"/>
          <w:sz w:val="24"/>
          <w:szCs w:val="24"/>
        </w:rPr>
        <w:t>By being followers, including BYD or Volkswagen, they have the advantage of seeing what the pioneers have done and implementing mature technologies at a lower price and reaching cost-sensitive market segments (</w:t>
      </w:r>
      <w:proofErr w:type="spellStart"/>
      <w:r w:rsidR="007B2095" w:rsidRPr="007B2095">
        <w:rPr>
          <w:rFonts w:ascii="Arial" w:hAnsi="Arial" w:cs="Arial"/>
          <w:sz w:val="24"/>
          <w:szCs w:val="24"/>
        </w:rPr>
        <w:t>InsideEVs</w:t>
      </w:r>
      <w:proofErr w:type="spellEnd"/>
      <w:r w:rsidR="007B2095" w:rsidRPr="007B2095">
        <w:rPr>
          <w:rFonts w:ascii="Arial" w:hAnsi="Arial" w:cs="Arial"/>
          <w:sz w:val="24"/>
          <w:szCs w:val="24"/>
        </w:rPr>
        <w:t>,</w:t>
      </w:r>
      <w:r w:rsidR="00C950E3">
        <w:rPr>
          <w:rFonts w:ascii="Arial" w:hAnsi="Arial" w:cs="Arial"/>
          <w:sz w:val="24"/>
          <w:szCs w:val="24"/>
        </w:rPr>
        <w:t xml:space="preserve"> </w:t>
      </w:r>
      <w:r w:rsidR="007B2095" w:rsidRPr="007B2095">
        <w:rPr>
          <w:rFonts w:ascii="Arial" w:hAnsi="Arial" w:cs="Arial"/>
          <w:sz w:val="24"/>
          <w:szCs w:val="24"/>
        </w:rPr>
        <w:t>2025).</w:t>
      </w:r>
    </w:p>
    <w:p w14:paraId="6537057F" w14:textId="77777777" w:rsidR="00323B76" w:rsidRDefault="007B2095" w:rsidP="00C90977">
      <w:pPr>
        <w:spacing w:before="240" w:after="0" w:line="360" w:lineRule="auto"/>
        <w:jc w:val="both"/>
        <w:rPr>
          <w:rFonts w:ascii="Arial" w:hAnsi="Arial" w:cs="Arial"/>
          <w:sz w:val="24"/>
          <w:szCs w:val="24"/>
        </w:rPr>
      </w:pPr>
      <w:r w:rsidRPr="007B2095">
        <w:rPr>
          <w:rFonts w:ascii="Arial" w:hAnsi="Arial" w:cs="Arial"/>
          <w:sz w:val="24"/>
          <w:szCs w:val="24"/>
        </w:rPr>
        <w:t xml:space="preserve"> </w:t>
      </w:r>
    </w:p>
    <w:p w14:paraId="0724638D" w14:textId="77777777" w:rsidR="00323B76" w:rsidRDefault="00323B76" w:rsidP="00C90977">
      <w:pPr>
        <w:spacing w:before="240" w:after="0" w:line="360" w:lineRule="auto"/>
        <w:jc w:val="both"/>
        <w:rPr>
          <w:rFonts w:ascii="Arial" w:hAnsi="Arial" w:cs="Arial"/>
          <w:sz w:val="24"/>
          <w:szCs w:val="24"/>
        </w:rPr>
      </w:pPr>
    </w:p>
    <w:p w14:paraId="21FF00EA" w14:textId="0ADACE2E" w:rsidR="007B2095" w:rsidRPr="00F4455D" w:rsidRDefault="007B2095" w:rsidP="00C90977">
      <w:pPr>
        <w:spacing w:before="240" w:after="0" w:line="360" w:lineRule="auto"/>
        <w:jc w:val="both"/>
        <w:rPr>
          <w:rFonts w:ascii="Arial" w:hAnsi="Arial" w:cs="Arial"/>
          <w:sz w:val="24"/>
          <w:szCs w:val="24"/>
        </w:rPr>
      </w:pPr>
      <w:r w:rsidRPr="007B2095">
        <w:rPr>
          <w:rFonts w:ascii="Arial" w:hAnsi="Arial" w:cs="Arial"/>
          <w:b/>
          <w:bCs/>
          <w:sz w:val="24"/>
          <w:szCs w:val="24"/>
        </w:rPr>
        <w:t>Strategic implications for pioneers and followers:</w:t>
      </w:r>
    </w:p>
    <w:p w14:paraId="13AE7F69" w14:textId="0647A12F" w:rsidR="007B2095" w:rsidRPr="007B2095" w:rsidRDefault="007B2095" w:rsidP="007B2095">
      <w:pPr>
        <w:spacing w:before="240" w:after="0" w:line="360" w:lineRule="auto"/>
        <w:jc w:val="both"/>
        <w:rPr>
          <w:rFonts w:ascii="Arial" w:hAnsi="Arial" w:cs="Arial"/>
          <w:b/>
          <w:bCs/>
          <w:sz w:val="24"/>
          <w:szCs w:val="24"/>
        </w:rPr>
      </w:pPr>
      <w:r w:rsidRPr="007B2095">
        <w:rPr>
          <w:rFonts w:ascii="Arial" w:hAnsi="Arial" w:cs="Arial"/>
          <w:b/>
          <w:bCs/>
          <w:sz w:val="24"/>
          <w:szCs w:val="24"/>
        </w:rPr>
        <w:t>Pioneers:</w:t>
      </w:r>
    </w:p>
    <w:p w14:paraId="35503417" w14:textId="1FAF2FC4" w:rsidR="007B2095" w:rsidRPr="007B2095" w:rsidRDefault="007B2095" w:rsidP="002F2F82">
      <w:pPr>
        <w:pStyle w:val="ListParagraph"/>
        <w:numPr>
          <w:ilvl w:val="0"/>
          <w:numId w:val="3"/>
        </w:numPr>
        <w:spacing w:before="240" w:after="0" w:line="360" w:lineRule="auto"/>
        <w:jc w:val="both"/>
        <w:rPr>
          <w:rFonts w:ascii="Arial" w:hAnsi="Arial" w:cs="Arial"/>
          <w:sz w:val="24"/>
          <w:szCs w:val="24"/>
        </w:rPr>
      </w:pPr>
      <w:r w:rsidRPr="007B2095">
        <w:rPr>
          <w:rFonts w:ascii="Arial" w:hAnsi="Arial" w:cs="Arial"/>
          <w:sz w:val="24"/>
          <w:szCs w:val="24"/>
        </w:rPr>
        <w:lastRenderedPageBreak/>
        <w:t>Make a significant investment in R&amp;D to be technologically ahead (BNEF, 2025).</w:t>
      </w:r>
    </w:p>
    <w:p w14:paraId="38D00968" w14:textId="5918F463" w:rsidR="007B2095" w:rsidRPr="007B2095" w:rsidRDefault="007B2095" w:rsidP="002F2F82">
      <w:pPr>
        <w:pStyle w:val="ListParagraph"/>
        <w:numPr>
          <w:ilvl w:val="0"/>
          <w:numId w:val="3"/>
        </w:numPr>
        <w:spacing w:before="240" w:after="0" w:line="360" w:lineRule="auto"/>
        <w:jc w:val="both"/>
        <w:rPr>
          <w:rFonts w:ascii="Arial" w:hAnsi="Arial" w:cs="Arial"/>
          <w:sz w:val="24"/>
          <w:szCs w:val="24"/>
        </w:rPr>
      </w:pPr>
      <w:r w:rsidRPr="007B2095">
        <w:rPr>
          <w:rFonts w:ascii="Arial" w:hAnsi="Arial" w:cs="Arial"/>
          <w:sz w:val="24"/>
          <w:szCs w:val="24"/>
        </w:rPr>
        <w:t>Create own ecosystems to enhance switching costs (IEA, 2025).</w:t>
      </w:r>
    </w:p>
    <w:p w14:paraId="15930D93" w14:textId="1FD6223D" w:rsidR="007B2095" w:rsidRPr="007B2095" w:rsidRDefault="007B2095" w:rsidP="002F2F82">
      <w:pPr>
        <w:pStyle w:val="ListParagraph"/>
        <w:numPr>
          <w:ilvl w:val="0"/>
          <w:numId w:val="3"/>
        </w:numPr>
        <w:spacing w:before="240" w:after="0" w:line="360" w:lineRule="auto"/>
        <w:jc w:val="both"/>
        <w:rPr>
          <w:rFonts w:ascii="Arial" w:hAnsi="Arial" w:cs="Arial"/>
          <w:sz w:val="24"/>
          <w:szCs w:val="24"/>
        </w:rPr>
      </w:pPr>
      <w:r w:rsidRPr="007B2095">
        <w:rPr>
          <w:rFonts w:ascii="Arial" w:hAnsi="Arial" w:cs="Arial"/>
          <w:sz w:val="24"/>
          <w:szCs w:val="24"/>
        </w:rPr>
        <w:t>Market superior features to warrant high prices.</w:t>
      </w:r>
    </w:p>
    <w:p w14:paraId="54E8F437" w14:textId="1223CA62" w:rsidR="007B2095" w:rsidRPr="007B2095" w:rsidRDefault="007B2095" w:rsidP="007B2095">
      <w:pPr>
        <w:spacing w:before="240" w:after="0" w:line="360" w:lineRule="auto"/>
        <w:jc w:val="both"/>
        <w:rPr>
          <w:rFonts w:ascii="Arial" w:hAnsi="Arial" w:cs="Arial"/>
          <w:b/>
          <w:bCs/>
          <w:sz w:val="24"/>
          <w:szCs w:val="24"/>
        </w:rPr>
      </w:pPr>
      <w:r w:rsidRPr="007B2095">
        <w:rPr>
          <w:rFonts w:ascii="Arial" w:hAnsi="Arial" w:cs="Arial"/>
          <w:b/>
          <w:bCs/>
          <w:sz w:val="24"/>
          <w:szCs w:val="24"/>
        </w:rPr>
        <w:t>Followers:</w:t>
      </w:r>
    </w:p>
    <w:p w14:paraId="49929333" w14:textId="08650107" w:rsidR="007B2095" w:rsidRPr="00C950E3" w:rsidRDefault="007B2095" w:rsidP="002F2F82">
      <w:pPr>
        <w:pStyle w:val="ListParagraph"/>
        <w:numPr>
          <w:ilvl w:val="0"/>
          <w:numId w:val="16"/>
        </w:numPr>
        <w:spacing w:before="240" w:after="0" w:line="360" w:lineRule="auto"/>
        <w:jc w:val="both"/>
        <w:rPr>
          <w:rFonts w:ascii="Arial" w:hAnsi="Arial" w:cs="Arial"/>
          <w:sz w:val="24"/>
          <w:szCs w:val="24"/>
        </w:rPr>
      </w:pPr>
      <w:r w:rsidRPr="00C950E3">
        <w:rPr>
          <w:rFonts w:ascii="Arial" w:hAnsi="Arial" w:cs="Arial"/>
          <w:sz w:val="24"/>
          <w:szCs w:val="24"/>
        </w:rPr>
        <w:t>Implement the "fast follower" strategies to lessen the innovation risk (</w:t>
      </w:r>
      <w:proofErr w:type="spellStart"/>
      <w:r w:rsidRPr="00C950E3">
        <w:rPr>
          <w:rFonts w:ascii="Arial" w:hAnsi="Arial" w:cs="Arial"/>
          <w:sz w:val="24"/>
          <w:szCs w:val="24"/>
        </w:rPr>
        <w:t>InsideEVs</w:t>
      </w:r>
      <w:proofErr w:type="spellEnd"/>
      <w:r w:rsidRPr="00C950E3">
        <w:rPr>
          <w:rFonts w:ascii="Arial" w:hAnsi="Arial" w:cs="Arial"/>
          <w:sz w:val="24"/>
          <w:szCs w:val="24"/>
        </w:rPr>
        <w:t>, 2025).</w:t>
      </w:r>
    </w:p>
    <w:p w14:paraId="21AF71E9" w14:textId="3C72974A" w:rsidR="007B2095" w:rsidRPr="00C950E3" w:rsidRDefault="007B2095" w:rsidP="002F2F82">
      <w:pPr>
        <w:pStyle w:val="ListParagraph"/>
        <w:numPr>
          <w:ilvl w:val="0"/>
          <w:numId w:val="16"/>
        </w:numPr>
        <w:spacing w:before="240" w:after="0" w:line="360" w:lineRule="auto"/>
        <w:jc w:val="both"/>
        <w:rPr>
          <w:rFonts w:ascii="Arial" w:hAnsi="Arial" w:cs="Arial"/>
          <w:sz w:val="24"/>
          <w:szCs w:val="24"/>
        </w:rPr>
      </w:pPr>
      <w:r w:rsidRPr="00C950E3">
        <w:rPr>
          <w:rFonts w:ascii="Arial" w:hAnsi="Arial" w:cs="Arial"/>
          <w:sz w:val="24"/>
          <w:szCs w:val="24"/>
        </w:rPr>
        <w:t>Either concentrate on cost leadership or niche markets where technology disconnects are not as crucial.</w:t>
      </w:r>
    </w:p>
    <w:p w14:paraId="4604A4A2" w14:textId="62B1CAE3" w:rsidR="007B2095" w:rsidRPr="00C950E3" w:rsidRDefault="007B2095" w:rsidP="002F2F82">
      <w:pPr>
        <w:pStyle w:val="ListParagraph"/>
        <w:numPr>
          <w:ilvl w:val="0"/>
          <w:numId w:val="16"/>
        </w:numPr>
        <w:spacing w:before="240" w:after="0" w:line="360" w:lineRule="auto"/>
        <w:jc w:val="both"/>
        <w:rPr>
          <w:rFonts w:ascii="Arial" w:hAnsi="Arial" w:cs="Arial"/>
          <w:sz w:val="24"/>
          <w:szCs w:val="24"/>
        </w:rPr>
      </w:pPr>
      <w:r w:rsidRPr="00C950E3">
        <w:rPr>
          <w:rFonts w:ascii="Arial" w:hAnsi="Arial" w:cs="Arial"/>
          <w:sz w:val="24"/>
          <w:szCs w:val="24"/>
        </w:rPr>
        <w:t>Take advantage of joint operations to have higher technology with reduced R&amp;D expenditures.</w:t>
      </w:r>
    </w:p>
    <w:p w14:paraId="5DE0128F" w14:textId="388BB4FD" w:rsidR="007B2095" w:rsidRPr="007B2095" w:rsidRDefault="007B2095" w:rsidP="007B2095">
      <w:pPr>
        <w:spacing w:before="240" w:after="0" w:line="360" w:lineRule="auto"/>
        <w:jc w:val="both"/>
        <w:rPr>
          <w:rFonts w:ascii="Arial" w:hAnsi="Arial" w:cs="Arial"/>
          <w:b/>
          <w:bCs/>
          <w:sz w:val="24"/>
          <w:szCs w:val="24"/>
        </w:rPr>
      </w:pPr>
      <w:r w:rsidRPr="007B2095">
        <w:rPr>
          <w:rFonts w:ascii="Arial" w:hAnsi="Arial" w:cs="Arial"/>
          <w:b/>
          <w:bCs/>
          <w:sz w:val="24"/>
          <w:szCs w:val="24"/>
        </w:rPr>
        <w:t>Regulatory/Political Actor</w:t>
      </w:r>
    </w:p>
    <w:p w14:paraId="1D41657B" w14:textId="072A9A10" w:rsidR="007B2095" w:rsidRPr="007B2095" w:rsidRDefault="007B2095" w:rsidP="007B2095">
      <w:pPr>
        <w:spacing w:before="240" w:after="0" w:line="360" w:lineRule="auto"/>
        <w:jc w:val="both"/>
        <w:rPr>
          <w:rFonts w:ascii="Arial" w:hAnsi="Arial" w:cs="Arial"/>
          <w:sz w:val="24"/>
          <w:szCs w:val="24"/>
        </w:rPr>
      </w:pPr>
      <w:r w:rsidRPr="007B2095">
        <w:rPr>
          <w:rFonts w:ascii="Arial" w:hAnsi="Arial" w:cs="Arial"/>
          <w:sz w:val="24"/>
          <w:szCs w:val="24"/>
        </w:rPr>
        <w:t xml:space="preserve">Market opportunities and threats are determined by regulatory and political issues, including emissions regulations, EV subsidies, and trade policy. When policies and policies are set to encourage early-adoption of clean technologies, the pioneers will gain. As an example, Tesla used the federal tax credit in the U.S. and the California ZEV requirement to spur initial sales and market share (IEA, 2025). </w:t>
      </w:r>
    </w:p>
    <w:p w14:paraId="3AEB12FD" w14:textId="680AF374" w:rsidR="007B2095" w:rsidRDefault="007B2095" w:rsidP="007B2095">
      <w:pPr>
        <w:spacing w:before="240" w:after="0" w:line="360" w:lineRule="auto"/>
        <w:jc w:val="both"/>
        <w:rPr>
          <w:rFonts w:ascii="Arial" w:hAnsi="Arial" w:cs="Arial"/>
          <w:sz w:val="24"/>
          <w:szCs w:val="24"/>
        </w:rPr>
      </w:pPr>
      <w:r w:rsidRPr="007B2095">
        <w:rPr>
          <w:rFonts w:ascii="Arial" w:hAnsi="Arial" w:cs="Arial"/>
          <w:sz w:val="24"/>
          <w:szCs w:val="24"/>
        </w:rPr>
        <w:t xml:space="preserve">Pioneers provide insights to their followers based on the regulatory experience and enable them to avoid compliance traps and enter markets at a reduced risk (EU Alternative Fuels Observatory, 2025). </w:t>
      </w:r>
    </w:p>
    <w:p w14:paraId="22B1A7E1" w14:textId="31F3D10D" w:rsidR="007B2095" w:rsidRPr="001F1D2E" w:rsidRDefault="007B2095" w:rsidP="00C90977">
      <w:pPr>
        <w:spacing w:before="240" w:after="0" w:line="360" w:lineRule="auto"/>
        <w:jc w:val="both"/>
        <w:rPr>
          <w:rFonts w:ascii="Arial" w:hAnsi="Arial" w:cs="Arial"/>
          <w:b/>
          <w:bCs/>
          <w:sz w:val="24"/>
          <w:szCs w:val="24"/>
        </w:rPr>
      </w:pPr>
      <w:r w:rsidRPr="001F1D2E">
        <w:rPr>
          <w:rFonts w:ascii="Arial" w:hAnsi="Arial" w:cs="Arial"/>
          <w:b/>
          <w:bCs/>
          <w:sz w:val="24"/>
          <w:szCs w:val="24"/>
        </w:rPr>
        <w:t>Strategic implications for pioneers and followers:</w:t>
      </w:r>
    </w:p>
    <w:p w14:paraId="3110B848" w14:textId="2DF4A39E" w:rsidR="001F1D2E" w:rsidRPr="001F1D2E" w:rsidRDefault="001F1D2E" w:rsidP="001F1D2E">
      <w:pPr>
        <w:spacing w:before="240" w:after="0" w:line="360" w:lineRule="auto"/>
        <w:jc w:val="both"/>
        <w:rPr>
          <w:rFonts w:ascii="Arial" w:hAnsi="Arial" w:cs="Arial"/>
          <w:b/>
          <w:bCs/>
          <w:sz w:val="24"/>
          <w:szCs w:val="24"/>
        </w:rPr>
      </w:pPr>
      <w:r w:rsidRPr="001F1D2E">
        <w:rPr>
          <w:rFonts w:ascii="Arial" w:hAnsi="Arial" w:cs="Arial"/>
          <w:b/>
          <w:bCs/>
          <w:sz w:val="24"/>
          <w:szCs w:val="24"/>
        </w:rPr>
        <w:t>Pioneers:</w:t>
      </w:r>
    </w:p>
    <w:p w14:paraId="1B7DB11A" w14:textId="4661EF24" w:rsidR="001F1D2E" w:rsidRPr="001F1D2E" w:rsidRDefault="001F1D2E" w:rsidP="002F2F82">
      <w:pPr>
        <w:pStyle w:val="ListParagraph"/>
        <w:numPr>
          <w:ilvl w:val="0"/>
          <w:numId w:val="4"/>
        </w:numPr>
        <w:spacing w:before="240" w:after="0" w:line="360" w:lineRule="auto"/>
        <w:jc w:val="both"/>
        <w:rPr>
          <w:rFonts w:ascii="Arial" w:hAnsi="Arial" w:cs="Arial"/>
          <w:sz w:val="24"/>
          <w:szCs w:val="24"/>
        </w:rPr>
      </w:pPr>
      <w:r w:rsidRPr="001F1D2E">
        <w:rPr>
          <w:rFonts w:ascii="Arial" w:hAnsi="Arial" w:cs="Arial"/>
          <w:sz w:val="24"/>
          <w:szCs w:val="24"/>
        </w:rPr>
        <w:t>Takes an active role in policy lobbying and policy framing.</w:t>
      </w:r>
    </w:p>
    <w:p w14:paraId="5BECE950" w14:textId="40BCB135" w:rsidR="001F1D2E" w:rsidRPr="001F1D2E" w:rsidRDefault="001F1D2E" w:rsidP="002F2F82">
      <w:pPr>
        <w:pStyle w:val="ListParagraph"/>
        <w:numPr>
          <w:ilvl w:val="0"/>
          <w:numId w:val="4"/>
        </w:numPr>
        <w:spacing w:before="240" w:after="0" w:line="360" w:lineRule="auto"/>
        <w:jc w:val="both"/>
        <w:rPr>
          <w:rFonts w:ascii="Arial" w:hAnsi="Arial" w:cs="Arial"/>
          <w:sz w:val="24"/>
          <w:szCs w:val="24"/>
        </w:rPr>
      </w:pPr>
      <w:r w:rsidRPr="001F1D2E">
        <w:rPr>
          <w:rFonts w:ascii="Arial" w:hAnsi="Arial" w:cs="Arial"/>
          <w:sz w:val="24"/>
          <w:szCs w:val="24"/>
        </w:rPr>
        <w:t>Optimise government incentives to adopt marketing strategies.</w:t>
      </w:r>
    </w:p>
    <w:p w14:paraId="2D3465BF" w14:textId="77777777" w:rsidR="00323B76" w:rsidRDefault="00323B76" w:rsidP="001F1D2E">
      <w:pPr>
        <w:spacing w:before="240" w:after="0" w:line="360" w:lineRule="auto"/>
        <w:jc w:val="both"/>
        <w:rPr>
          <w:rFonts w:ascii="Arial" w:hAnsi="Arial" w:cs="Arial"/>
          <w:b/>
          <w:bCs/>
          <w:sz w:val="24"/>
          <w:szCs w:val="24"/>
        </w:rPr>
      </w:pPr>
    </w:p>
    <w:p w14:paraId="104E8F97" w14:textId="45D285D0" w:rsidR="001F1D2E" w:rsidRPr="001F1D2E" w:rsidRDefault="001F1D2E" w:rsidP="001F1D2E">
      <w:pPr>
        <w:spacing w:before="240" w:after="0" w:line="360" w:lineRule="auto"/>
        <w:jc w:val="both"/>
        <w:rPr>
          <w:rFonts w:ascii="Arial" w:hAnsi="Arial" w:cs="Arial"/>
          <w:b/>
          <w:bCs/>
          <w:sz w:val="24"/>
          <w:szCs w:val="24"/>
        </w:rPr>
      </w:pPr>
      <w:r w:rsidRPr="001F1D2E">
        <w:rPr>
          <w:rFonts w:ascii="Arial" w:hAnsi="Arial" w:cs="Arial"/>
          <w:b/>
          <w:bCs/>
          <w:sz w:val="24"/>
          <w:szCs w:val="24"/>
        </w:rPr>
        <w:t>Followers:</w:t>
      </w:r>
    </w:p>
    <w:p w14:paraId="36B076A2" w14:textId="33E1002C" w:rsidR="001F1D2E" w:rsidRPr="001F1D2E" w:rsidRDefault="001F1D2E" w:rsidP="002F2F82">
      <w:pPr>
        <w:pStyle w:val="ListParagraph"/>
        <w:numPr>
          <w:ilvl w:val="0"/>
          <w:numId w:val="5"/>
        </w:numPr>
        <w:spacing w:before="240" w:after="0" w:line="360" w:lineRule="auto"/>
        <w:jc w:val="both"/>
        <w:rPr>
          <w:rFonts w:ascii="Arial" w:hAnsi="Arial" w:cs="Arial"/>
          <w:sz w:val="24"/>
          <w:szCs w:val="24"/>
        </w:rPr>
      </w:pPr>
      <w:r w:rsidRPr="001F1D2E">
        <w:rPr>
          <w:rFonts w:ascii="Arial" w:hAnsi="Arial" w:cs="Arial"/>
          <w:sz w:val="24"/>
          <w:szCs w:val="24"/>
        </w:rPr>
        <w:lastRenderedPageBreak/>
        <w:t>Antecedent regulatory trends are to be monitored to lower the risk of market entry.</w:t>
      </w:r>
    </w:p>
    <w:p w14:paraId="3BF79F02" w14:textId="28A5A49A" w:rsidR="001F1D2E" w:rsidRPr="001F1D2E" w:rsidRDefault="001F1D2E" w:rsidP="002F2F82">
      <w:pPr>
        <w:pStyle w:val="ListParagraph"/>
        <w:numPr>
          <w:ilvl w:val="0"/>
          <w:numId w:val="5"/>
        </w:numPr>
        <w:spacing w:before="240" w:after="0" w:line="360" w:lineRule="auto"/>
        <w:jc w:val="both"/>
        <w:rPr>
          <w:rFonts w:ascii="Arial" w:hAnsi="Arial" w:cs="Arial"/>
          <w:sz w:val="24"/>
          <w:szCs w:val="24"/>
        </w:rPr>
      </w:pPr>
      <w:r w:rsidRPr="001F1D2E">
        <w:rPr>
          <w:rFonts w:ascii="Arial" w:hAnsi="Arial" w:cs="Arial"/>
          <w:sz w:val="24"/>
          <w:szCs w:val="24"/>
        </w:rPr>
        <w:t>Change product offerings and price with changing policy environments.</w:t>
      </w:r>
    </w:p>
    <w:p w14:paraId="67A5E767" w14:textId="5FED7C46" w:rsidR="00EA7065" w:rsidRDefault="001F1D2E" w:rsidP="001F1D2E">
      <w:pPr>
        <w:spacing w:before="240" w:after="0" w:line="360" w:lineRule="auto"/>
        <w:jc w:val="both"/>
        <w:rPr>
          <w:rFonts w:ascii="Arial" w:hAnsi="Arial" w:cs="Arial"/>
          <w:sz w:val="24"/>
          <w:szCs w:val="24"/>
        </w:rPr>
      </w:pPr>
      <w:r w:rsidRPr="001F1D2E">
        <w:rPr>
          <w:rFonts w:ascii="Arial" w:hAnsi="Arial" w:cs="Arial"/>
          <w:sz w:val="24"/>
          <w:szCs w:val="24"/>
        </w:rPr>
        <w:t>Overall, technological and regulatory forces offer different opportunities and threats to the pioneers and followers in the EV industry. Innovation and policy benefits are used by pioneers to differentiate but by followers to innovatively copy, modify and optimize costs to remain competitive.</w:t>
      </w:r>
    </w:p>
    <w:p w14:paraId="0ABED1C3" w14:textId="2972C616" w:rsidR="006C7FCF" w:rsidRPr="00B2603A" w:rsidRDefault="001F1D2E" w:rsidP="00B2603A">
      <w:pPr>
        <w:pStyle w:val="Heading1"/>
        <w:rPr>
          <w:b/>
          <w:bCs/>
        </w:rPr>
      </w:pPr>
      <w:bookmarkStart w:id="13" w:name="_Toc214520390"/>
      <w:r w:rsidRPr="001F1D2E">
        <w:rPr>
          <w:b/>
          <w:bCs/>
        </w:rPr>
        <w:t>3. Task 2: Strategic Responses of Pioneering and Follower</w:t>
      </w:r>
      <w:bookmarkEnd w:id="13"/>
    </w:p>
    <w:p w14:paraId="52D44DA2" w14:textId="77777777" w:rsidR="001F1D2E" w:rsidRPr="00A43816" w:rsidRDefault="001F1D2E" w:rsidP="00E333BA">
      <w:pPr>
        <w:pStyle w:val="Heading2"/>
        <w:rPr>
          <w:bCs/>
        </w:rPr>
      </w:pPr>
      <w:bookmarkStart w:id="14" w:name="_Toc211437175"/>
      <w:bookmarkStart w:id="15" w:name="_Toc214520391"/>
      <w:r w:rsidRPr="00A43816">
        <w:rPr>
          <w:bCs/>
        </w:rPr>
        <w:t>3.1 Pioneering Organisations’ Strategic Responses</w:t>
      </w:r>
      <w:bookmarkEnd w:id="14"/>
      <w:bookmarkEnd w:id="15"/>
    </w:p>
    <w:p w14:paraId="2C67C35D" w14:textId="7073D770" w:rsidR="00EA7065" w:rsidRDefault="00EA7065" w:rsidP="00A12168">
      <w:pPr>
        <w:spacing w:before="240" w:after="0" w:line="360" w:lineRule="auto"/>
        <w:jc w:val="both"/>
        <w:rPr>
          <w:rFonts w:ascii="Arial" w:hAnsi="Arial" w:cs="Arial"/>
          <w:sz w:val="24"/>
          <w:szCs w:val="24"/>
        </w:rPr>
      </w:pPr>
      <w:r w:rsidRPr="00EA7065">
        <w:rPr>
          <w:rFonts w:ascii="Arial" w:hAnsi="Arial" w:cs="Arial"/>
          <w:sz w:val="24"/>
          <w:szCs w:val="24"/>
        </w:rPr>
        <w:t>Leading organisations, including Tesla in the electric vehicle (EV) market, have substantial opportunities and threats posed by changes in technology and regulations. The pioneers are capable of strategic responses that are based on the marketing and management models to ensure their competitive strength, such as the Growth Matrix by Ansoff and the Generic Strategies by Porter.</w:t>
      </w:r>
    </w:p>
    <w:p w14:paraId="0AEEB80B" w14:textId="484947F8" w:rsidR="00EA7065" w:rsidRPr="00EA7065" w:rsidRDefault="00EA7065" w:rsidP="00A12168">
      <w:pPr>
        <w:spacing w:before="240" w:after="0" w:line="360" w:lineRule="auto"/>
        <w:jc w:val="both"/>
        <w:rPr>
          <w:rFonts w:ascii="Arial" w:hAnsi="Arial" w:cs="Arial"/>
          <w:b/>
          <w:bCs/>
          <w:sz w:val="24"/>
          <w:szCs w:val="24"/>
        </w:rPr>
      </w:pPr>
      <w:r w:rsidRPr="00EA7065">
        <w:rPr>
          <w:rFonts w:ascii="Arial" w:hAnsi="Arial" w:cs="Arial"/>
          <w:b/>
          <w:bCs/>
          <w:sz w:val="24"/>
          <w:szCs w:val="24"/>
        </w:rPr>
        <w:t>1. Product and Market Expansion (Ansoff’s Growth Matrix)</w:t>
      </w:r>
    </w:p>
    <w:p w14:paraId="3224CF64" w14:textId="38255305" w:rsidR="00EA7065" w:rsidRDefault="00EA7065" w:rsidP="00A12168">
      <w:pPr>
        <w:spacing w:before="240" w:after="0" w:line="360" w:lineRule="auto"/>
        <w:jc w:val="both"/>
        <w:rPr>
          <w:rFonts w:ascii="Arial" w:hAnsi="Arial" w:cs="Arial"/>
          <w:sz w:val="24"/>
          <w:szCs w:val="24"/>
        </w:rPr>
      </w:pPr>
      <w:r w:rsidRPr="00EA7065">
        <w:rPr>
          <w:rFonts w:ascii="Arial" w:hAnsi="Arial" w:cs="Arial"/>
          <w:sz w:val="24"/>
          <w:szCs w:val="24"/>
        </w:rPr>
        <w:t>Through the Growth Matrix developed by Ansoff, the pioneers take advantage of the new opportunities by taking advantage of the product development and marketing strategies (Ansoff, 1957). For instance:</w:t>
      </w:r>
    </w:p>
    <w:p w14:paraId="1B175FE3" w14:textId="7B137625" w:rsidR="00EA7065" w:rsidRPr="00E333BA" w:rsidRDefault="00EA7065" w:rsidP="002F2F82">
      <w:pPr>
        <w:pStyle w:val="ListParagraph"/>
        <w:numPr>
          <w:ilvl w:val="0"/>
          <w:numId w:val="6"/>
        </w:numPr>
        <w:spacing w:before="240" w:after="0" w:line="360" w:lineRule="auto"/>
        <w:jc w:val="both"/>
        <w:rPr>
          <w:rFonts w:ascii="Arial" w:hAnsi="Arial" w:cs="Arial"/>
          <w:sz w:val="24"/>
          <w:szCs w:val="24"/>
        </w:rPr>
      </w:pPr>
      <w:r w:rsidRPr="00E333BA">
        <w:rPr>
          <w:rFonts w:ascii="Arial" w:hAnsi="Arial" w:cs="Arial"/>
          <w:b/>
          <w:bCs/>
          <w:sz w:val="24"/>
          <w:szCs w:val="24"/>
        </w:rPr>
        <w:t>Product Development:</w:t>
      </w:r>
      <w:r w:rsidRPr="00E333BA">
        <w:rPr>
          <w:rFonts w:ascii="Arial" w:hAnsi="Arial" w:cs="Arial"/>
          <w:sz w:val="24"/>
          <w:szCs w:val="24"/>
        </w:rPr>
        <w:t xml:space="preserve"> Tesla keeps developing its line of vehicle products, including the Model Y and the new </w:t>
      </w:r>
      <w:proofErr w:type="spellStart"/>
      <w:r w:rsidRPr="00E333BA">
        <w:rPr>
          <w:rFonts w:ascii="Arial" w:hAnsi="Arial" w:cs="Arial"/>
          <w:sz w:val="24"/>
          <w:szCs w:val="24"/>
        </w:rPr>
        <w:t>Cybertruck</w:t>
      </w:r>
      <w:proofErr w:type="spellEnd"/>
      <w:r w:rsidRPr="00E333BA">
        <w:rPr>
          <w:rFonts w:ascii="Arial" w:hAnsi="Arial" w:cs="Arial"/>
          <w:sz w:val="24"/>
          <w:szCs w:val="24"/>
        </w:rPr>
        <w:t xml:space="preserve"> with state-of-the-art battery technology and Artificial Intelligence-enabled driver assistance technology to stay in line with changing customer needs (BNEF, 2025). Providing differentiated products, pioneers can maintain first-mover advantages with the process of brand loyalty.</w:t>
      </w:r>
    </w:p>
    <w:p w14:paraId="55D24A0E" w14:textId="34AB0D3E" w:rsidR="00EA7065" w:rsidRPr="00E333BA" w:rsidRDefault="00EA7065" w:rsidP="002F2F82">
      <w:pPr>
        <w:pStyle w:val="ListParagraph"/>
        <w:numPr>
          <w:ilvl w:val="0"/>
          <w:numId w:val="6"/>
        </w:numPr>
        <w:spacing w:before="240" w:after="0" w:line="360" w:lineRule="auto"/>
        <w:jc w:val="both"/>
        <w:rPr>
          <w:rFonts w:ascii="Arial" w:hAnsi="Arial" w:cs="Arial"/>
          <w:sz w:val="24"/>
          <w:szCs w:val="24"/>
        </w:rPr>
      </w:pPr>
      <w:r w:rsidRPr="00E333BA">
        <w:rPr>
          <w:rFonts w:ascii="Arial" w:hAnsi="Arial" w:cs="Arial"/>
          <w:b/>
          <w:bCs/>
          <w:sz w:val="24"/>
          <w:szCs w:val="24"/>
        </w:rPr>
        <w:t>Market Development:</w:t>
      </w:r>
      <w:r w:rsidRPr="00E333BA">
        <w:rPr>
          <w:rFonts w:ascii="Arial" w:hAnsi="Arial" w:cs="Arial"/>
          <w:sz w:val="24"/>
          <w:szCs w:val="24"/>
        </w:rPr>
        <w:t xml:space="preserve"> Tesla has also been in new geographic markets such as China and Europe, customising its cars to local regulations and consumer desires (IEA, 2025). The first to get in will have the opportunity to set up infrastructure, like Supercharger networks that will act as obstacles to those who come after them.</w:t>
      </w:r>
    </w:p>
    <w:p w14:paraId="187D4631" w14:textId="29217C3C" w:rsidR="001E7A0E" w:rsidRDefault="00EA7065" w:rsidP="00EA7065">
      <w:pPr>
        <w:spacing w:before="240" w:after="0" w:line="360" w:lineRule="auto"/>
        <w:jc w:val="both"/>
        <w:rPr>
          <w:rFonts w:ascii="Arial" w:hAnsi="Arial" w:cs="Arial"/>
          <w:sz w:val="24"/>
          <w:szCs w:val="24"/>
        </w:rPr>
      </w:pPr>
      <w:r w:rsidRPr="00EA7065">
        <w:rPr>
          <w:rFonts w:ascii="Arial" w:hAnsi="Arial" w:cs="Arial"/>
          <w:sz w:val="24"/>
          <w:szCs w:val="24"/>
        </w:rPr>
        <w:lastRenderedPageBreak/>
        <w:t>These techniques allow innovators to exploit technological advancement and regulation benefits to make so-called threats into opportunities.</w:t>
      </w:r>
    </w:p>
    <w:p w14:paraId="3B943409" w14:textId="4FE1F7C2" w:rsidR="00E333BA" w:rsidRPr="00E333BA" w:rsidRDefault="00E333BA" w:rsidP="00EA7065">
      <w:pPr>
        <w:spacing w:before="240" w:after="0" w:line="360" w:lineRule="auto"/>
        <w:ind w:left="720" w:hanging="720"/>
        <w:jc w:val="both"/>
        <w:rPr>
          <w:rFonts w:ascii="Arial" w:hAnsi="Arial" w:cs="Arial"/>
          <w:b/>
          <w:bCs/>
          <w:sz w:val="24"/>
          <w:szCs w:val="24"/>
        </w:rPr>
      </w:pPr>
      <w:r w:rsidRPr="00E333BA">
        <w:rPr>
          <w:rFonts w:ascii="Arial" w:hAnsi="Arial" w:cs="Arial"/>
          <w:b/>
          <w:bCs/>
          <w:sz w:val="24"/>
          <w:szCs w:val="24"/>
        </w:rPr>
        <w:t>2. Competitive Positioning (Porter’s Generic Strategies)</w:t>
      </w:r>
    </w:p>
    <w:p w14:paraId="1EEE7620" w14:textId="032DDD8D" w:rsidR="00EA7065" w:rsidRDefault="00EA7065" w:rsidP="00A12168">
      <w:pPr>
        <w:spacing w:before="240" w:after="0" w:line="360" w:lineRule="auto"/>
        <w:jc w:val="both"/>
        <w:rPr>
          <w:rFonts w:ascii="Arial" w:hAnsi="Arial" w:cs="Arial"/>
          <w:sz w:val="24"/>
          <w:szCs w:val="24"/>
        </w:rPr>
      </w:pPr>
      <w:r w:rsidRPr="00EA7065">
        <w:rPr>
          <w:rFonts w:ascii="Arial" w:hAnsi="Arial" w:cs="Arial"/>
          <w:sz w:val="24"/>
          <w:szCs w:val="24"/>
        </w:rPr>
        <w:t>The Generic Strategies by Porter offer an idea on how innovators sustain a differentiation strategy in the dynamic markets (Porter, 1980). Tesla can be told to be differentiated in that:</w:t>
      </w:r>
    </w:p>
    <w:p w14:paraId="632ABA74" w14:textId="279DF7A0" w:rsidR="00E333BA" w:rsidRPr="00E333BA" w:rsidRDefault="00E333BA" w:rsidP="002F2F82">
      <w:pPr>
        <w:pStyle w:val="ListParagraph"/>
        <w:numPr>
          <w:ilvl w:val="0"/>
          <w:numId w:val="7"/>
        </w:numPr>
        <w:spacing w:before="240" w:after="0" w:line="360" w:lineRule="auto"/>
        <w:jc w:val="both"/>
        <w:rPr>
          <w:rFonts w:ascii="Arial" w:hAnsi="Arial" w:cs="Arial"/>
          <w:sz w:val="24"/>
          <w:szCs w:val="24"/>
        </w:rPr>
      </w:pPr>
      <w:r w:rsidRPr="00E333BA">
        <w:rPr>
          <w:rFonts w:ascii="Arial" w:hAnsi="Arial" w:cs="Arial"/>
          <w:sz w:val="24"/>
          <w:szCs w:val="24"/>
        </w:rPr>
        <w:t>The provision of high performance, technologically advanced EVs selling at high prices.</w:t>
      </w:r>
    </w:p>
    <w:p w14:paraId="1FF0664E" w14:textId="67C2A5B2" w:rsidR="00E333BA" w:rsidRPr="00E333BA" w:rsidRDefault="00E333BA" w:rsidP="002F2F82">
      <w:pPr>
        <w:pStyle w:val="ListParagraph"/>
        <w:numPr>
          <w:ilvl w:val="0"/>
          <w:numId w:val="7"/>
        </w:numPr>
        <w:spacing w:before="240" w:after="0" w:line="360" w:lineRule="auto"/>
        <w:jc w:val="both"/>
        <w:rPr>
          <w:rFonts w:ascii="Arial" w:hAnsi="Arial" w:cs="Arial"/>
          <w:sz w:val="24"/>
          <w:szCs w:val="24"/>
        </w:rPr>
      </w:pPr>
      <w:r w:rsidRPr="00E333BA">
        <w:rPr>
          <w:rFonts w:ascii="Arial" w:hAnsi="Arial" w:cs="Arial"/>
          <w:sz w:val="24"/>
          <w:szCs w:val="24"/>
        </w:rPr>
        <w:t>Investment in proprietary software platforms in terms of over-the-air updates, customer experience and switching costs.</w:t>
      </w:r>
    </w:p>
    <w:p w14:paraId="3ED2DBAD" w14:textId="6554A76A" w:rsidR="00E333BA" w:rsidRPr="00E333BA" w:rsidRDefault="00E333BA" w:rsidP="002F2F82">
      <w:pPr>
        <w:pStyle w:val="ListParagraph"/>
        <w:numPr>
          <w:ilvl w:val="0"/>
          <w:numId w:val="7"/>
        </w:numPr>
        <w:spacing w:before="240" w:after="0" w:line="360" w:lineRule="auto"/>
        <w:jc w:val="both"/>
        <w:rPr>
          <w:rFonts w:ascii="Arial" w:hAnsi="Arial" w:cs="Arial"/>
          <w:sz w:val="24"/>
          <w:szCs w:val="24"/>
        </w:rPr>
      </w:pPr>
      <w:r w:rsidRPr="00E333BA">
        <w:rPr>
          <w:rFonts w:ascii="Arial" w:hAnsi="Arial" w:cs="Arial"/>
          <w:sz w:val="24"/>
          <w:szCs w:val="24"/>
        </w:rPr>
        <w:t>Incorporating the sustainability messages and brand narratives, making the firm an innovation and environmental leader.</w:t>
      </w:r>
    </w:p>
    <w:p w14:paraId="4A7DA596" w14:textId="3A4261D3" w:rsidR="00EA7065"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Differentiation enables the pioneers to protect market share against the followers who might fight on the price or on the incremental offer.</w:t>
      </w:r>
    </w:p>
    <w:p w14:paraId="793B3BE7" w14:textId="375819E5" w:rsidR="00E333BA" w:rsidRPr="00E333BA" w:rsidRDefault="00E333BA" w:rsidP="00E333BA">
      <w:pPr>
        <w:spacing w:before="240" w:after="0" w:line="360" w:lineRule="auto"/>
        <w:jc w:val="both"/>
        <w:rPr>
          <w:rFonts w:ascii="Arial" w:hAnsi="Arial" w:cs="Arial"/>
          <w:b/>
          <w:bCs/>
          <w:sz w:val="24"/>
          <w:szCs w:val="24"/>
        </w:rPr>
      </w:pPr>
      <w:r w:rsidRPr="00E333BA">
        <w:rPr>
          <w:rFonts w:ascii="Arial" w:hAnsi="Arial" w:cs="Arial"/>
          <w:b/>
          <w:bCs/>
          <w:sz w:val="24"/>
          <w:szCs w:val="24"/>
        </w:rPr>
        <w:t>3. Technological Change Strategic Responses.</w:t>
      </w:r>
    </w:p>
    <w:p w14:paraId="7B697570" w14:textId="21DE0232"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The innovators are heavy in terms of investment in research and development, and Tesla spent more than 2.6 billion in 2024 on battery and AI technologies (BNEF, 2025). Key initiatives include:</w:t>
      </w:r>
    </w:p>
    <w:p w14:paraId="6B0CD686" w14:textId="444A2C07" w:rsidR="00E333BA" w:rsidRPr="00E333BA" w:rsidRDefault="00E333BA" w:rsidP="002F2F82">
      <w:pPr>
        <w:pStyle w:val="ListParagraph"/>
        <w:numPr>
          <w:ilvl w:val="0"/>
          <w:numId w:val="8"/>
        </w:numPr>
        <w:spacing w:before="240" w:after="0" w:line="360" w:lineRule="auto"/>
        <w:jc w:val="both"/>
        <w:rPr>
          <w:rFonts w:ascii="Arial" w:hAnsi="Arial" w:cs="Arial"/>
          <w:sz w:val="24"/>
          <w:szCs w:val="24"/>
        </w:rPr>
      </w:pPr>
      <w:r w:rsidRPr="00E333BA">
        <w:rPr>
          <w:rFonts w:ascii="Arial" w:hAnsi="Arial" w:cs="Arial"/>
          <w:sz w:val="24"/>
          <w:szCs w:val="24"/>
        </w:rPr>
        <w:t>Creating solid-state batteries to enhance the range and safety.</w:t>
      </w:r>
    </w:p>
    <w:p w14:paraId="0DC77619" w14:textId="0C335C92" w:rsidR="00E333BA" w:rsidRPr="00E333BA" w:rsidRDefault="00E333BA" w:rsidP="002F2F82">
      <w:pPr>
        <w:pStyle w:val="ListParagraph"/>
        <w:numPr>
          <w:ilvl w:val="0"/>
          <w:numId w:val="8"/>
        </w:numPr>
        <w:spacing w:before="240" w:after="0" w:line="360" w:lineRule="auto"/>
        <w:jc w:val="both"/>
        <w:rPr>
          <w:rFonts w:ascii="Arial" w:hAnsi="Arial" w:cs="Arial"/>
          <w:sz w:val="24"/>
          <w:szCs w:val="24"/>
        </w:rPr>
      </w:pPr>
      <w:r w:rsidRPr="00E333BA">
        <w:rPr>
          <w:rFonts w:ascii="Arial" w:hAnsi="Arial" w:cs="Arial"/>
          <w:sz w:val="24"/>
          <w:szCs w:val="24"/>
        </w:rPr>
        <w:t>Increasing the scope of autonomous driving in products differentiation.</w:t>
      </w:r>
    </w:p>
    <w:p w14:paraId="01B54D9D" w14:textId="581454AA" w:rsidR="00E333BA" w:rsidRPr="00E333BA" w:rsidRDefault="00E333BA" w:rsidP="002F2F82">
      <w:pPr>
        <w:pStyle w:val="ListParagraph"/>
        <w:numPr>
          <w:ilvl w:val="0"/>
          <w:numId w:val="8"/>
        </w:numPr>
        <w:spacing w:before="240" w:after="0" w:line="360" w:lineRule="auto"/>
        <w:jc w:val="both"/>
        <w:rPr>
          <w:rFonts w:ascii="Arial" w:hAnsi="Arial" w:cs="Arial"/>
          <w:sz w:val="24"/>
          <w:szCs w:val="24"/>
        </w:rPr>
      </w:pPr>
      <w:r w:rsidRPr="00E333BA">
        <w:rPr>
          <w:rFonts w:ascii="Arial" w:hAnsi="Arial" w:cs="Arial"/>
          <w:sz w:val="24"/>
          <w:szCs w:val="24"/>
        </w:rPr>
        <w:t>Vertical integration to increase efficiency of manufacturing by reducing the cost of production.</w:t>
      </w:r>
    </w:p>
    <w:p w14:paraId="340BC65A" w14:textId="236F2966" w:rsid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These technological policies can effectively fortify the products as well as establishing obstacles to follower firms that do not have similar resources.</w:t>
      </w:r>
    </w:p>
    <w:p w14:paraId="4E301D7D" w14:textId="77777777" w:rsidR="00323B76" w:rsidRDefault="00323B76" w:rsidP="00E333BA">
      <w:pPr>
        <w:spacing w:before="240" w:after="0" w:line="360" w:lineRule="auto"/>
        <w:jc w:val="both"/>
        <w:rPr>
          <w:rFonts w:ascii="Arial" w:hAnsi="Arial" w:cs="Arial"/>
          <w:b/>
          <w:bCs/>
          <w:sz w:val="24"/>
          <w:szCs w:val="24"/>
        </w:rPr>
      </w:pPr>
    </w:p>
    <w:p w14:paraId="06A1FA74" w14:textId="3B4B6CD3" w:rsidR="00E333BA" w:rsidRPr="00E333BA" w:rsidRDefault="00E333BA" w:rsidP="00E333BA">
      <w:pPr>
        <w:spacing w:before="240" w:after="0" w:line="360" w:lineRule="auto"/>
        <w:jc w:val="both"/>
        <w:rPr>
          <w:rFonts w:ascii="Arial" w:hAnsi="Arial" w:cs="Arial"/>
          <w:b/>
          <w:bCs/>
          <w:sz w:val="24"/>
          <w:szCs w:val="24"/>
        </w:rPr>
      </w:pPr>
      <w:r w:rsidRPr="00E333BA">
        <w:rPr>
          <w:rFonts w:ascii="Arial" w:hAnsi="Arial" w:cs="Arial"/>
          <w:b/>
          <w:bCs/>
          <w:sz w:val="24"/>
          <w:szCs w:val="24"/>
        </w:rPr>
        <w:t>4. Strategic Response to Regulatory/Political Change.</w:t>
      </w:r>
    </w:p>
    <w:p w14:paraId="3E4E1A4B" w14:textId="2B196374"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lastRenderedPageBreak/>
        <w:t>Innovative individuals are actively changing their operations according to government policies and incentives to make the most of it:</w:t>
      </w:r>
    </w:p>
    <w:p w14:paraId="00126A6E" w14:textId="40ADD62E" w:rsidR="00E333BA" w:rsidRPr="00E333BA" w:rsidRDefault="00E333BA" w:rsidP="002F2F82">
      <w:pPr>
        <w:pStyle w:val="ListParagraph"/>
        <w:numPr>
          <w:ilvl w:val="0"/>
          <w:numId w:val="9"/>
        </w:numPr>
        <w:spacing w:before="240" w:after="0" w:line="360" w:lineRule="auto"/>
        <w:jc w:val="both"/>
        <w:rPr>
          <w:rFonts w:ascii="Arial" w:hAnsi="Arial" w:cs="Arial"/>
          <w:sz w:val="24"/>
          <w:szCs w:val="24"/>
        </w:rPr>
      </w:pPr>
      <w:r w:rsidRPr="00E333BA">
        <w:rPr>
          <w:rFonts w:ascii="Arial" w:hAnsi="Arial" w:cs="Arial"/>
          <w:sz w:val="24"/>
          <w:szCs w:val="24"/>
        </w:rPr>
        <w:t>Placing the design of products and marketing campaigns to reflect EV subsidies and emissions in the U.S., China, and Europe (IEA, 2025).</w:t>
      </w:r>
    </w:p>
    <w:p w14:paraId="03274CDF" w14:textId="3894DBB2" w:rsidR="00E333BA" w:rsidRPr="00E333BA" w:rsidRDefault="00E333BA" w:rsidP="002F2F82">
      <w:pPr>
        <w:pStyle w:val="ListParagraph"/>
        <w:numPr>
          <w:ilvl w:val="0"/>
          <w:numId w:val="9"/>
        </w:numPr>
        <w:spacing w:before="240" w:after="0" w:line="360" w:lineRule="auto"/>
        <w:jc w:val="both"/>
        <w:rPr>
          <w:rFonts w:ascii="Arial" w:hAnsi="Arial" w:cs="Arial"/>
          <w:sz w:val="24"/>
          <w:szCs w:val="24"/>
        </w:rPr>
      </w:pPr>
      <w:r w:rsidRPr="00E333BA">
        <w:rPr>
          <w:rFonts w:ascii="Arial" w:hAnsi="Arial" w:cs="Arial"/>
          <w:sz w:val="24"/>
          <w:szCs w:val="24"/>
        </w:rPr>
        <w:t>Avoiding unfriendly policies by advocating changes to the policies that benefit EV adoption.</w:t>
      </w:r>
    </w:p>
    <w:p w14:paraId="17C6F57F" w14:textId="0A2CB120" w:rsidR="00E333BA" w:rsidRPr="00E333BA" w:rsidRDefault="00E333BA" w:rsidP="002F2F82">
      <w:pPr>
        <w:pStyle w:val="ListParagraph"/>
        <w:numPr>
          <w:ilvl w:val="0"/>
          <w:numId w:val="9"/>
        </w:numPr>
        <w:spacing w:before="240" w:after="0" w:line="360" w:lineRule="auto"/>
        <w:jc w:val="both"/>
        <w:rPr>
          <w:rFonts w:ascii="Arial" w:hAnsi="Arial" w:cs="Arial"/>
          <w:sz w:val="24"/>
          <w:szCs w:val="24"/>
        </w:rPr>
      </w:pPr>
      <w:r w:rsidRPr="00E333BA">
        <w:rPr>
          <w:rFonts w:ascii="Arial" w:hAnsi="Arial" w:cs="Arial"/>
          <w:sz w:val="24"/>
          <w:szCs w:val="24"/>
        </w:rPr>
        <w:t>The introduction of internal compliance mechanisms that guarantee the compliance with safety and environmental standards to minimise possible legal and reputational risks (EU Alternative Fuels Observatory, 2025).</w:t>
      </w:r>
    </w:p>
    <w:p w14:paraId="3489E009" w14:textId="75E6B2FF" w:rsidR="00E333BA" w:rsidRPr="00E333BA" w:rsidRDefault="00E333BA" w:rsidP="00E333BA">
      <w:pPr>
        <w:spacing w:before="240" w:after="0" w:line="360" w:lineRule="auto"/>
        <w:jc w:val="both"/>
        <w:rPr>
          <w:rFonts w:ascii="Arial" w:hAnsi="Arial" w:cs="Arial"/>
          <w:b/>
          <w:bCs/>
          <w:sz w:val="24"/>
          <w:szCs w:val="24"/>
        </w:rPr>
      </w:pPr>
      <w:r w:rsidRPr="00E333BA">
        <w:rPr>
          <w:rFonts w:ascii="Arial" w:hAnsi="Arial" w:cs="Arial"/>
          <w:b/>
          <w:bCs/>
          <w:sz w:val="24"/>
          <w:szCs w:val="24"/>
        </w:rPr>
        <w:t>Key Takeaways:</w:t>
      </w:r>
    </w:p>
    <w:p w14:paraId="319B16D1" w14:textId="6812B211" w:rsidR="00E333BA" w:rsidRPr="00E333BA" w:rsidRDefault="00E333BA" w:rsidP="002F2F82">
      <w:pPr>
        <w:pStyle w:val="ListParagraph"/>
        <w:numPr>
          <w:ilvl w:val="0"/>
          <w:numId w:val="10"/>
        </w:numPr>
        <w:spacing w:before="240" w:after="0" w:line="360" w:lineRule="auto"/>
        <w:jc w:val="both"/>
        <w:rPr>
          <w:rFonts w:ascii="Arial" w:hAnsi="Arial" w:cs="Arial"/>
          <w:sz w:val="24"/>
          <w:szCs w:val="24"/>
        </w:rPr>
      </w:pPr>
      <w:r w:rsidRPr="00E333BA">
        <w:rPr>
          <w:rFonts w:ascii="Arial" w:hAnsi="Arial" w:cs="Arial"/>
          <w:sz w:val="24"/>
          <w:szCs w:val="24"/>
        </w:rPr>
        <w:t>The innovation-based growth and differentiation strategies are employed together in a strategic manner to exploit the macro-environmental opportunities by pioneers.</w:t>
      </w:r>
    </w:p>
    <w:p w14:paraId="61CB7634" w14:textId="5EB860B7" w:rsidR="00E333BA" w:rsidRPr="00E333BA" w:rsidRDefault="00E333BA" w:rsidP="002F2F82">
      <w:pPr>
        <w:pStyle w:val="ListParagraph"/>
        <w:numPr>
          <w:ilvl w:val="0"/>
          <w:numId w:val="10"/>
        </w:numPr>
        <w:spacing w:before="240" w:after="0" w:line="360" w:lineRule="auto"/>
        <w:jc w:val="both"/>
        <w:rPr>
          <w:rFonts w:ascii="Arial" w:hAnsi="Arial" w:cs="Arial"/>
          <w:sz w:val="24"/>
          <w:szCs w:val="24"/>
        </w:rPr>
      </w:pPr>
      <w:r w:rsidRPr="00E333BA">
        <w:rPr>
          <w:rFonts w:ascii="Arial" w:hAnsi="Arial" w:cs="Arial"/>
          <w:sz w:val="24"/>
          <w:szCs w:val="24"/>
        </w:rPr>
        <w:t>The entry barriers are technological leadership and regulatory alignment which enhance long-term competitiveness.</w:t>
      </w:r>
    </w:p>
    <w:p w14:paraId="2DFDA13B" w14:textId="32CF3EFD" w:rsidR="00E333BA" w:rsidRPr="00E333BA" w:rsidRDefault="00E333BA" w:rsidP="002F2F82">
      <w:pPr>
        <w:pStyle w:val="ListParagraph"/>
        <w:numPr>
          <w:ilvl w:val="0"/>
          <w:numId w:val="10"/>
        </w:numPr>
        <w:spacing w:before="240" w:after="0" w:line="360" w:lineRule="auto"/>
        <w:jc w:val="both"/>
        <w:rPr>
          <w:rFonts w:ascii="Arial" w:hAnsi="Arial" w:cs="Arial"/>
          <w:sz w:val="24"/>
          <w:szCs w:val="24"/>
        </w:rPr>
      </w:pPr>
      <w:r w:rsidRPr="00E333BA">
        <w:rPr>
          <w:rFonts w:ascii="Arial" w:hAnsi="Arial" w:cs="Arial"/>
          <w:sz w:val="24"/>
          <w:szCs w:val="24"/>
        </w:rPr>
        <w:t>Combining that of Ansoff and Porters will provide consistent strategy orientation in volatile markets.</w:t>
      </w:r>
    </w:p>
    <w:p w14:paraId="44C1878C" w14:textId="65E19956" w:rsidR="00E333BA" w:rsidRPr="00A43816" w:rsidRDefault="00E333BA" w:rsidP="00E333BA">
      <w:pPr>
        <w:pStyle w:val="Heading2"/>
        <w:rPr>
          <w:bCs/>
        </w:rPr>
      </w:pPr>
      <w:bookmarkStart w:id="16" w:name="_Toc214520392"/>
      <w:r w:rsidRPr="00A43816">
        <w:rPr>
          <w:bCs/>
        </w:rPr>
        <w:t>3.2 Strategic Responsiveness of Follower Organisations</w:t>
      </w:r>
      <w:bookmarkEnd w:id="16"/>
    </w:p>
    <w:p w14:paraId="1B28F178" w14:textId="64E01B21" w:rsidR="00E333BA" w:rsidRDefault="009B1793" w:rsidP="00E333BA">
      <w:pPr>
        <w:spacing w:before="240" w:after="0" w:line="360" w:lineRule="auto"/>
        <w:jc w:val="both"/>
        <w:rPr>
          <w:rFonts w:ascii="Arial" w:hAnsi="Arial" w:cs="Arial"/>
          <w:sz w:val="24"/>
          <w:szCs w:val="24"/>
        </w:rPr>
      </w:pPr>
      <w:r>
        <w:rPr>
          <w:rFonts w:ascii="Arial" w:hAnsi="Arial" w:cs="Arial"/>
          <w:noProof/>
          <w:sz w:val="24"/>
          <w:szCs w:val="24"/>
          <w:lang w:val="en-US"/>
          <w14:ligatures w14:val="standardContextual"/>
        </w:rPr>
        <w:drawing>
          <wp:anchor distT="0" distB="0" distL="114300" distR="114300" simplePos="0" relativeHeight="251662336" behindDoc="0" locked="0" layoutInCell="1" allowOverlap="1" wp14:anchorId="0CE9DE06" wp14:editId="39646157">
            <wp:simplePos x="0" y="0"/>
            <wp:positionH relativeFrom="margin">
              <wp:align>center</wp:align>
            </wp:positionH>
            <wp:positionV relativeFrom="paragraph">
              <wp:posOffset>1642110</wp:posOffset>
            </wp:positionV>
            <wp:extent cx="4092575" cy="2067560"/>
            <wp:effectExtent l="0" t="0" r="3175" b="8890"/>
            <wp:wrapTopAndBottom/>
            <wp:docPr id="18309147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14708" name="Picture 1830914708"/>
                    <pic:cNvPicPr/>
                  </pic:nvPicPr>
                  <pic:blipFill>
                    <a:blip r:embed="rId10"/>
                    <a:stretch>
                      <a:fillRect/>
                    </a:stretch>
                  </pic:blipFill>
                  <pic:spPr>
                    <a:xfrm>
                      <a:off x="0" y="0"/>
                      <a:ext cx="4092575" cy="2067560"/>
                    </a:xfrm>
                    <a:prstGeom prst="rect">
                      <a:avLst/>
                    </a:prstGeom>
                  </pic:spPr>
                </pic:pic>
              </a:graphicData>
            </a:graphic>
            <wp14:sizeRelH relativeFrom="margin">
              <wp14:pctWidth>0</wp14:pctWidth>
            </wp14:sizeRelH>
            <wp14:sizeRelV relativeFrom="margin">
              <wp14:pctHeight>0</wp14:pctHeight>
            </wp14:sizeRelV>
          </wp:anchor>
        </w:drawing>
      </w:r>
      <w:r w:rsidR="00E333BA" w:rsidRPr="00E333BA">
        <w:rPr>
          <w:rFonts w:ascii="Arial" w:hAnsi="Arial" w:cs="Arial"/>
          <w:sz w:val="24"/>
          <w:szCs w:val="24"/>
        </w:rPr>
        <w:t xml:space="preserve">Follower organisations like BYD and Volkswagen join markets when technological and regulatory standards have been set by pioneers. Their tactical actions are aimed at capitalising on the experiences of the innovators, risk reduction, and capitalising on the market weaknesses to achieve competitiveness. The models of these strategies </w:t>
      </w:r>
      <w:r w:rsidR="00E333BA" w:rsidRPr="00E333BA">
        <w:rPr>
          <w:rFonts w:ascii="Arial" w:hAnsi="Arial" w:cs="Arial"/>
          <w:sz w:val="24"/>
          <w:szCs w:val="24"/>
        </w:rPr>
        <w:lastRenderedPageBreak/>
        <w:t>like Growth Matrix developed by Ansoff and Generic Strategies introduced by Porter come in handy.</w:t>
      </w:r>
    </w:p>
    <w:p w14:paraId="0C2334A6" w14:textId="2580CB33" w:rsidR="00E333BA" w:rsidRPr="00E333BA" w:rsidRDefault="00E333BA" w:rsidP="00E333BA">
      <w:pPr>
        <w:spacing w:before="240" w:after="0" w:line="360" w:lineRule="auto"/>
        <w:jc w:val="both"/>
        <w:rPr>
          <w:rFonts w:ascii="Arial" w:hAnsi="Arial" w:cs="Arial"/>
          <w:b/>
          <w:bCs/>
          <w:sz w:val="24"/>
          <w:szCs w:val="24"/>
        </w:rPr>
      </w:pPr>
      <w:r w:rsidRPr="00E333BA">
        <w:rPr>
          <w:rFonts w:ascii="Arial" w:hAnsi="Arial" w:cs="Arial"/>
          <w:b/>
          <w:bCs/>
          <w:sz w:val="24"/>
          <w:szCs w:val="24"/>
        </w:rPr>
        <w:t>1. Adaptation of Product and Market (Ansoff Growth Matrix)</w:t>
      </w:r>
    </w:p>
    <w:p w14:paraId="5D2BA78A" w14:textId="11FC8133"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To continue growing and reduce the risk of innovation, follower firms tend to use market penetration and product development strategies (Ansoff, 1957):</w:t>
      </w:r>
    </w:p>
    <w:p w14:paraId="6D768F8C" w14:textId="62D43227" w:rsidR="00E333BA" w:rsidRPr="003D0A55" w:rsidRDefault="00E333BA" w:rsidP="002F2F82">
      <w:pPr>
        <w:pStyle w:val="ListParagraph"/>
        <w:numPr>
          <w:ilvl w:val="0"/>
          <w:numId w:val="11"/>
        </w:numPr>
        <w:spacing w:before="240" w:after="0" w:line="360" w:lineRule="auto"/>
        <w:jc w:val="both"/>
        <w:rPr>
          <w:rFonts w:ascii="Arial" w:hAnsi="Arial" w:cs="Arial"/>
          <w:sz w:val="24"/>
          <w:szCs w:val="24"/>
        </w:rPr>
      </w:pPr>
      <w:r w:rsidRPr="003D0A55">
        <w:rPr>
          <w:rFonts w:ascii="Arial" w:hAnsi="Arial" w:cs="Arial"/>
          <w:b/>
          <w:bCs/>
          <w:sz w:val="24"/>
          <w:szCs w:val="24"/>
        </w:rPr>
        <w:t>Market Penetration:</w:t>
      </w:r>
      <w:r w:rsidRPr="003D0A55">
        <w:rPr>
          <w:rFonts w:ascii="Arial" w:hAnsi="Arial" w:cs="Arial"/>
          <w:sz w:val="24"/>
          <w:szCs w:val="24"/>
        </w:rPr>
        <w:t xml:space="preserve"> Volkswagen has added more EVs to its line, including the ID.3 and ID.4, in areas where Tesla prices are too high to be affordable to consumers (BNEF, 2025). Through cheaper substitutes, the followers have the ability to attract the cost-sensitive markets that have been ignored by the pioneers.</w:t>
      </w:r>
    </w:p>
    <w:p w14:paraId="42FD521D" w14:textId="77777777" w:rsidR="00E333BA" w:rsidRPr="003D0A55" w:rsidRDefault="00E333BA" w:rsidP="002F2F82">
      <w:pPr>
        <w:pStyle w:val="ListParagraph"/>
        <w:numPr>
          <w:ilvl w:val="0"/>
          <w:numId w:val="11"/>
        </w:numPr>
        <w:spacing w:before="240" w:after="0" w:line="360" w:lineRule="auto"/>
        <w:jc w:val="both"/>
        <w:rPr>
          <w:rFonts w:ascii="Arial" w:hAnsi="Arial" w:cs="Arial"/>
          <w:sz w:val="24"/>
          <w:szCs w:val="24"/>
        </w:rPr>
      </w:pPr>
      <w:r w:rsidRPr="003D0A55">
        <w:rPr>
          <w:rFonts w:ascii="Arial" w:hAnsi="Arial" w:cs="Arial"/>
          <w:b/>
          <w:bCs/>
          <w:sz w:val="24"/>
          <w:szCs w:val="24"/>
        </w:rPr>
        <w:t>Product Development:</w:t>
      </w:r>
      <w:r w:rsidRPr="003D0A55">
        <w:rPr>
          <w:rFonts w:ascii="Arial" w:hAnsi="Arial" w:cs="Arial"/>
          <w:sz w:val="24"/>
          <w:szCs w:val="24"/>
        </w:rPr>
        <w:t xml:space="preserve"> BYD puts capital into battery-electric and plug-in hybrid technologies and in many cases builds on groundbreaking technology to create a more efficient and safer one (IEA, 2025). Followers improve the current technologies and provide mature and reliable products at a lower cost of R&amp;D in comparison with first movers.</w:t>
      </w:r>
    </w:p>
    <w:p w14:paraId="5901AA00" w14:textId="2A4C0F8D" w:rsid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Such strategies help the followers to venture into the existing markets with reduced risk and have quicker acceptance especially where infrastructure and regulations are already established.</w:t>
      </w:r>
    </w:p>
    <w:p w14:paraId="11C3E25D" w14:textId="69BED44F" w:rsidR="00E333BA" w:rsidRPr="003D0A55" w:rsidRDefault="00E333BA" w:rsidP="00E333BA">
      <w:pPr>
        <w:spacing w:before="240" w:after="0" w:line="360" w:lineRule="auto"/>
        <w:jc w:val="both"/>
        <w:rPr>
          <w:rFonts w:ascii="Arial" w:hAnsi="Arial" w:cs="Arial"/>
          <w:b/>
          <w:bCs/>
          <w:sz w:val="24"/>
          <w:szCs w:val="24"/>
        </w:rPr>
      </w:pPr>
      <w:r w:rsidRPr="003D0A55">
        <w:rPr>
          <w:rFonts w:ascii="Arial" w:hAnsi="Arial" w:cs="Arial"/>
          <w:b/>
          <w:bCs/>
          <w:sz w:val="24"/>
          <w:szCs w:val="24"/>
        </w:rPr>
        <w:t>2. Competitive Positioning (Porters Generic Strategies)</w:t>
      </w:r>
    </w:p>
    <w:p w14:paraId="22CFD3E4" w14:textId="77777777"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Cost leadership or focused differentiation is normally followed by the followers so as to have a competitive advantage over pioneers (Porter, 1980):</w:t>
      </w:r>
    </w:p>
    <w:p w14:paraId="5657E325" w14:textId="2604AC83" w:rsidR="00E333BA" w:rsidRPr="003D0A55" w:rsidRDefault="00E333BA" w:rsidP="002F2F82">
      <w:pPr>
        <w:pStyle w:val="ListParagraph"/>
        <w:numPr>
          <w:ilvl w:val="0"/>
          <w:numId w:val="12"/>
        </w:numPr>
        <w:spacing w:before="240" w:after="0" w:line="360" w:lineRule="auto"/>
        <w:jc w:val="both"/>
        <w:rPr>
          <w:rFonts w:ascii="Arial" w:hAnsi="Arial" w:cs="Arial"/>
          <w:sz w:val="24"/>
          <w:szCs w:val="24"/>
        </w:rPr>
      </w:pPr>
      <w:r w:rsidRPr="003D0A55">
        <w:rPr>
          <w:rFonts w:ascii="Arial" w:hAnsi="Arial" w:cs="Arial"/>
          <w:b/>
          <w:bCs/>
          <w:sz w:val="24"/>
          <w:szCs w:val="24"/>
        </w:rPr>
        <w:t>Cost Leadership:</w:t>
      </w:r>
      <w:r w:rsidRPr="003D0A55">
        <w:rPr>
          <w:rFonts w:ascii="Arial" w:hAnsi="Arial" w:cs="Arial"/>
          <w:sz w:val="24"/>
          <w:szCs w:val="24"/>
        </w:rPr>
        <w:t xml:space="preserve"> BYD takes advantage of vertical integration and local design in China to make EVs cheaper than Tesla, aiming at consumers in low income group and profitability (</w:t>
      </w:r>
      <w:proofErr w:type="spellStart"/>
      <w:r w:rsidRPr="003D0A55">
        <w:rPr>
          <w:rFonts w:ascii="Arial" w:hAnsi="Arial" w:cs="Arial"/>
          <w:sz w:val="24"/>
          <w:szCs w:val="24"/>
        </w:rPr>
        <w:t>InsideEVs</w:t>
      </w:r>
      <w:proofErr w:type="spellEnd"/>
      <w:r w:rsidRPr="003D0A55">
        <w:rPr>
          <w:rFonts w:ascii="Arial" w:hAnsi="Arial" w:cs="Arial"/>
          <w:sz w:val="24"/>
          <w:szCs w:val="24"/>
        </w:rPr>
        <w:t>, 2025).</w:t>
      </w:r>
    </w:p>
    <w:p w14:paraId="772BC628" w14:textId="04B1D8D6" w:rsidR="00E333BA" w:rsidRPr="003D0A55" w:rsidRDefault="00E333BA" w:rsidP="002F2F82">
      <w:pPr>
        <w:pStyle w:val="ListParagraph"/>
        <w:numPr>
          <w:ilvl w:val="0"/>
          <w:numId w:val="12"/>
        </w:numPr>
        <w:spacing w:before="240" w:after="0" w:line="360" w:lineRule="auto"/>
        <w:jc w:val="both"/>
        <w:rPr>
          <w:rFonts w:ascii="Arial" w:hAnsi="Arial" w:cs="Arial"/>
          <w:sz w:val="24"/>
          <w:szCs w:val="24"/>
        </w:rPr>
      </w:pPr>
      <w:r w:rsidRPr="003D0A55">
        <w:rPr>
          <w:rFonts w:ascii="Arial" w:hAnsi="Arial" w:cs="Arial"/>
          <w:b/>
          <w:bCs/>
          <w:sz w:val="24"/>
          <w:szCs w:val="24"/>
        </w:rPr>
        <w:t>Focused Differentiation:</w:t>
      </w:r>
      <w:r w:rsidRPr="003D0A55">
        <w:rPr>
          <w:rFonts w:ascii="Arial" w:hAnsi="Arial" w:cs="Arial"/>
          <w:sz w:val="24"/>
          <w:szCs w:val="24"/>
        </w:rPr>
        <w:t xml:space="preserve"> The followers can focus on a chosen niche, e.g. compact city EVs or hybrid models in the emerging markets, focusing on affordability, local assistance, and local customization. The strategy will enable the followers to distinguish without having to compete directly in terms of high-end technological innovation.</w:t>
      </w:r>
    </w:p>
    <w:p w14:paraId="6DF822E9" w14:textId="67C2FDCF" w:rsidR="00E333BA" w:rsidRPr="003D0A55" w:rsidRDefault="00E333BA" w:rsidP="00E333BA">
      <w:pPr>
        <w:spacing w:before="240" w:after="0" w:line="360" w:lineRule="auto"/>
        <w:jc w:val="both"/>
        <w:rPr>
          <w:rFonts w:ascii="Arial" w:hAnsi="Arial" w:cs="Arial"/>
          <w:b/>
          <w:bCs/>
          <w:sz w:val="24"/>
          <w:szCs w:val="24"/>
        </w:rPr>
      </w:pPr>
      <w:r w:rsidRPr="003D0A55">
        <w:rPr>
          <w:rFonts w:ascii="Arial" w:hAnsi="Arial" w:cs="Arial"/>
          <w:b/>
          <w:bCs/>
          <w:sz w:val="24"/>
          <w:szCs w:val="24"/>
        </w:rPr>
        <w:lastRenderedPageBreak/>
        <w:t>3. Technological Change Strategic Responses.</w:t>
      </w:r>
    </w:p>
    <w:p w14:paraId="7D584082" w14:textId="668B0596"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The fast-follower approach is advantageous to the followers since they diminish the risks that accompany the innovative technology:</w:t>
      </w:r>
    </w:p>
    <w:p w14:paraId="16DEFD81" w14:textId="524E82DE" w:rsidR="00E333BA" w:rsidRPr="003D0A55" w:rsidRDefault="00E333BA" w:rsidP="002F2F82">
      <w:pPr>
        <w:pStyle w:val="ListParagraph"/>
        <w:numPr>
          <w:ilvl w:val="0"/>
          <w:numId w:val="13"/>
        </w:numPr>
        <w:spacing w:before="240" w:after="0" w:line="360" w:lineRule="auto"/>
        <w:jc w:val="both"/>
        <w:rPr>
          <w:rFonts w:ascii="Arial" w:hAnsi="Arial" w:cs="Arial"/>
          <w:sz w:val="24"/>
          <w:szCs w:val="24"/>
        </w:rPr>
      </w:pPr>
      <w:r w:rsidRPr="003D0A55">
        <w:rPr>
          <w:rFonts w:ascii="Arial" w:hAnsi="Arial" w:cs="Arial"/>
          <w:sz w:val="24"/>
          <w:szCs w:val="24"/>
        </w:rPr>
        <w:t>Followers can observe the product introductions and customer review which are made by pioneers to avoid falling into technological traps.</w:t>
      </w:r>
    </w:p>
    <w:p w14:paraId="12D5653C" w14:textId="2C87E502" w:rsidR="00E333BA" w:rsidRPr="003D0A55" w:rsidRDefault="00E333BA" w:rsidP="002F2F82">
      <w:pPr>
        <w:pStyle w:val="ListParagraph"/>
        <w:numPr>
          <w:ilvl w:val="0"/>
          <w:numId w:val="13"/>
        </w:numPr>
        <w:spacing w:before="240" w:after="0" w:line="360" w:lineRule="auto"/>
        <w:jc w:val="both"/>
        <w:rPr>
          <w:rFonts w:ascii="Arial" w:hAnsi="Arial" w:cs="Arial"/>
          <w:sz w:val="24"/>
          <w:szCs w:val="24"/>
        </w:rPr>
      </w:pPr>
      <w:r w:rsidRPr="003D0A55">
        <w:rPr>
          <w:rFonts w:ascii="Arial" w:hAnsi="Arial" w:cs="Arial"/>
          <w:sz w:val="24"/>
          <w:szCs w:val="24"/>
        </w:rPr>
        <w:t>Followers reduce the costs on the R&amp;D by utilising established battery technologies and modular platforms and guarantee reliability (BNEF, 2025).</w:t>
      </w:r>
    </w:p>
    <w:p w14:paraId="462CA26F" w14:textId="1F995D8E" w:rsidR="00E333BA" w:rsidRPr="003D0A55" w:rsidRDefault="00E333BA" w:rsidP="002F2F82">
      <w:pPr>
        <w:pStyle w:val="ListParagraph"/>
        <w:numPr>
          <w:ilvl w:val="0"/>
          <w:numId w:val="13"/>
        </w:numPr>
        <w:spacing w:before="240" w:after="0" w:line="360" w:lineRule="auto"/>
        <w:jc w:val="both"/>
        <w:rPr>
          <w:rFonts w:ascii="Arial" w:hAnsi="Arial" w:cs="Arial"/>
          <w:sz w:val="24"/>
          <w:szCs w:val="24"/>
        </w:rPr>
      </w:pPr>
      <w:r w:rsidRPr="003D0A55">
        <w:rPr>
          <w:rFonts w:ascii="Arial" w:hAnsi="Arial" w:cs="Arial"/>
          <w:sz w:val="24"/>
          <w:szCs w:val="24"/>
        </w:rPr>
        <w:t>Collaborations with technology providers enable followers to get access to the latest components without having to invest large sums of money (IEA, 2025).</w:t>
      </w:r>
    </w:p>
    <w:p w14:paraId="0B1B4F40" w14:textId="0762A1D7" w:rsidR="00E333BA" w:rsidRPr="003D0A55" w:rsidRDefault="00E333BA" w:rsidP="00E333BA">
      <w:pPr>
        <w:spacing w:before="240" w:after="0" w:line="360" w:lineRule="auto"/>
        <w:jc w:val="both"/>
        <w:rPr>
          <w:rFonts w:ascii="Arial" w:hAnsi="Arial" w:cs="Arial"/>
          <w:b/>
          <w:bCs/>
          <w:sz w:val="24"/>
          <w:szCs w:val="24"/>
        </w:rPr>
      </w:pPr>
      <w:r w:rsidRPr="003D0A55">
        <w:rPr>
          <w:rFonts w:ascii="Arial" w:hAnsi="Arial" w:cs="Arial"/>
          <w:b/>
          <w:bCs/>
          <w:sz w:val="24"/>
          <w:szCs w:val="24"/>
        </w:rPr>
        <w:t>4. Strategic Response to Regulatory/Political Change.</w:t>
      </w:r>
    </w:p>
    <w:p w14:paraId="136C20F8" w14:textId="1490F8F3" w:rsidR="00E333BA" w:rsidRPr="00E333BA" w:rsidRDefault="00E333BA" w:rsidP="00E333BA">
      <w:pPr>
        <w:spacing w:before="240" w:after="0" w:line="360" w:lineRule="auto"/>
        <w:jc w:val="both"/>
        <w:rPr>
          <w:rFonts w:ascii="Arial" w:hAnsi="Arial" w:cs="Arial"/>
          <w:sz w:val="24"/>
          <w:szCs w:val="24"/>
        </w:rPr>
      </w:pPr>
      <w:r w:rsidRPr="00E333BA">
        <w:rPr>
          <w:rFonts w:ascii="Arial" w:hAnsi="Arial" w:cs="Arial"/>
          <w:sz w:val="24"/>
          <w:szCs w:val="24"/>
        </w:rPr>
        <w:t>It is beneficial to followers because it helps them to overcome regulatory complexities by being the first to enter markets:</w:t>
      </w:r>
    </w:p>
    <w:p w14:paraId="59E035B0" w14:textId="4DF71653" w:rsidR="00E333BA" w:rsidRPr="003D0A55" w:rsidRDefault="00E333BA" w:rsidP="002F2F82">
      <w:pPr>
        <w:pStyle w:val="ListParagraph"/>
        <w:numPr>
          <w:ilvl w:val="0"/>
          <w:numId w:val="14"/>
        </w:numPr>
        <w:spacing w:before="240" w:after="0" w:line="360" w:lineRule="auto"/>
        <w:jc w:val="both"/>
        <w:rPr>
          <w:rFonts w:ascii="Arial" w:hAnsi="Arial" w:cs="Arial"/>
          <w:sz w:val="24"/>
          <w:szCs w:val="24"/>
        </w:rPr>
      </w:pPr>
      <w:r w:rsidRPr="003D0A55">
        <w:rPr>
          <w:rFonts w:ascii="Arial" w:hAnsi="Arial" w:cs="Arial"/>
          <w:sz w:val="24"/>
          <w:szCs w:val="24"/>
        </w:rPr>
        <w:t>It is beneficial to see the experience of pioneers regarding the use of incentives, emissions requirements, and safety certifications so that followers would simplify the process of compliance and minimise legal hazards (EU Alternative Fuels Observatory, 2025).</w:t>
      </w:r>
    </w:p>
    <w:p w14:paraId="7060DB10" w14:textId="6CC1F2E9" w:rsidR="00E333BA" w:rsidRPr="003D0A55" w:rsidRDefault="00E333BA" w:rsidP="002F2F82">
      <w:pPr>
        <w:pStyle w:val="ListParagraph"/>
        <w:numPr>
          <w:ilvl w:val="0"/>
          <w:numId w:val="14"/>
        </w:numPr>
        <w:spacing w:before="240" w:after="0" w:line="360" w:lineRule="auto"/>
        <w:jc w:val="both"/>
        <w:rPr>
          <w:rFonts w:ascii="Arial" w:hAnsi="Arial" w:cs="Arial"/>
          <w:sz w:val="24"/>
          <w:szCs w:val="24"/>
        </w:rPr>
      </w:pPr>
      <w:r w:rsidRPr="003D0A55">
        <w:rPr>
          <w:rFonts w:ascii="Arial" w:hAnsi="Arial" w:cs="Arial"/>
          <w:sz w:val="24"/>
          <w:szCs w:val="24"/>
        </w:rPr>
        <w:t>Pricing and marketing approaches can be modified by followers based on the subsidies and changes in the policies, with the segments that are most sensitive to the incentives being targeted.</w:t>
      </w:r>
    </w:p>
    <w:p w14:paraId="04B71C47" w14:textId="24254298" w:rsidR="00E333BA" w:rsidRPr="003D0A55" w:rsidRDefault="00E333BA" w:rsidP="00E333BA">
      <w:pPr>
        <w:spacing w:before="240" w:after="0" w:line="360" w:lineRule="auto"/>
        <w:jc w:val="both"/>
        <w:rPr>
          <w:rFonts w:ascii="Arial" w:hAnsi="Arial" w:cs="Arial"/>
          <w:b/>
          <w:bCs/>
          <w:sz w:val="24"/>
          <w:szCs w:val="24"/>
        </w:rPr>
      </w:pPr>
      <w:r w:rsidRPr="003D0A55">
        <w:rPr>
          <w:rFonts w:ascii="Arial" w:hAnsi="Arial" w:cs="Arial"/>
          <w:b/>
          <w:bCs/>
          <w:sz w:val="24"/>
          <w:szCs w:val="24"/>
        </w:rPr>
        <w:t>Key Takeaways:</w:t>
      </w:r>
    </w:p>
    <w:p w14:paraId="3099637D" w14:textId="1CA7D1E9" w:rsidR="00E333BA" w:rsidRPr="003D0A55" w:rsidRDefault="00E333BA" w:rsidP="002F2F82">
      <w:pPr>
        <w:pStyle w:val="ListParagraph"/>
        <w:numPr>
          <w:ilvl w:val="0"/>
          <w:numId w:val="15"/>
        </w:numPr>
        <w:spacing w:before="240" w:after="0" w:line="360" w:lineRule="auto"/>
        <w:jc w:val="both"/>
        <w:rPr>
          <w:rFonts w:ascii="Arial" w:hAnsi="Arial" w:cs="Arial"/>
          <w:sz w:val="24"/>
          <w:szCs w:val="24"/>
        </w:rPr>
      </w:pPr>
      <w:r w:rsidRPr="003D0A55">
        <w:rPr>
          <w:rFonts w:ascii="Arial" w:hAnsi="Arial" w:cs="Arial"/>
          <w:sz w:val="24"/>
          <w:szCs w:val="24"/>
        </w:rPr>
        <w:t>To remain competitive, strategic integration of market penetration, cost leadership, and focused differentiation is combined by the followers.</w:t>
      </w:r>
    </w:p>
    <w:p w14:paraId="69CE7DF0" w14:textId="31CE2681" w:rsidR="00E333BA" w:rsidRPr="003D0A55" w:rsidRDefault="00E333BA" w:rsidP="002F2F82">
      <w:pPr>
        <w:pStyle w:val="ListParagraph"/>
        <w:numPr>
          <w:ilvl w:val="0"/>
          <w:numId w:val="15"/>
        </w:numPr>
        <w:spacing w:before="240" w:after="0" w:line="360" w:lineRule="auto"/>
        <w:jc w:val="both"/>
        <w:rPr>
          <w:rFonts w:ascii="Arial" w:hAnsi="Arial" w:cs="Arial"/>
          <w:sz w:val="24"/>
          <w:szCs w:val="24"/>
        </w:rPr>
      </w:pPr>
      <w:r w:rsidRPr="003D0A55">
        <w:rPr>
          <w:rFonts w:ascii="Arial" w:hAnsi="Arial" w:cs="Arial"/>
          <w:sz w:val="24"/>
          <w:szCs w:val="24"/>
        </w:rPr>
        <w:t>The technological imitation, regulatory learning, and the optimization of costs enable the followers to have an efficient entry into the markets and reduce risk.</w:t>
      </w:r>
    </w:p>
    <w:p w14:paraId="3969BDA4" w14:textId="4E228048" w:rsidR="003D0A55" w:rsidRPr="009F3413" w:rsidRDefault="00E333BA" w:rsidP="002F2F82">
      <w:pPr>
        <w:pStyle w:val="ListParagraph"/>
        <w:numPr>
          <w:ilvl w:val="0"/>
          <w:numId w:val="15"/>
        </w:numPr>
        <w:spacing w:before="240" w:after="0" w:line="360" w:lineRule="auto"/>
        <w:jc w:val="both"/>
        <w:rPr>
          <w:rFonts w:ascii="Arial" w:hAnsi="Arial" w:cs="Arial"/>
          <w:sz w:val="24"/>
          <w:szCs w:val="24"/>
        </w:rPr>
      </w:pPr>
      <w:r w:rsidRPr="003D0A55">
        <w:rPr>
          <w:rFonts w:ascii="Arial" w:hAnsi="Arial" w:cs="Arial"/>
          <w:sz w:val="24"/>
          <w:szCs w:val="24"/>
        </w:rPr>
        <w:t>The combination of the Ansoff and Porters models will guarantee the followers to come up with strategic decisions that are coherent in relation to external opportunities and threats.</w:t>
      </w:r>
    </w:p>
    <w:p w14:paraId="10005814" w14:textId="3F53D465" w:rsidR="00C75D62" w:rsidRPr="00E84D32" w:rsidRDefault="00C75D62" w:rsidP="005B0461">
      <w:pPr>
        <w:pStyle w:val="Heading1"/>
        <w:jc w:val="both"/>
        <w:rPr>
          <w:rFonts w:cs="Arial"/>
          <w:b/>
          <w:bCs/>
        </w:rPr>
      </w:pPr>
      <w:bookmarkStart w:id="17" w:name="_Toc214520393"/>
      <w:r w:rsidRPr="00E84D32">
        <w:rPr>
          <w:rFonts w:cs="Arial"/>
          <w:b/>
          <w:bCs/>
        </w:rPr>
        <w:lastRenderedPageBreak/>
        <w:t>Conclusion</w:t>
      </w:r>
      <w:bookmarkEnd w:id="17"/>
    </w:p>
    <w:p w14:paraId="03F4F603" w14:textId="59C5E760" w:rsidR="003D0A55" w:rsidRPr="003D0A55" w:rsidRDefault="003D0A55" w:rsidP="003D0A55">
      <w:pPr>
        <w:spacing w:before="240" w:line="360" w:lineRule="auto"/>
        <w:jc w:val="both"/>
        <w:rPr>
          <w:rFonts w:ascii="Arial" w:hAnsi="Arial" w:cs="Arial"/>
          <w:sz w:val="24"/>
          <w:szCs w:val="24"/>
        </w:rPr>
      </w:pPr>
      <w:r w:rsidRPr="003D0A55">
        <w:rPr>
          <w:rFonts w:ascii="Arial" w:hAnsi="Arial" w:cs="Arial"/>
          <w:sz w:val="24"/>
          <w:szCs w:val="24"/>
        </w:rPr>
        <w:t>The report has critically analysed how macro marketing environment affects pioneering and follower organisations with emphasis on how the external forces influence the strategic decision of marketing. With the help of the PESTEL framework, technology and regulatory/political forces were pointed at as the ones that significantly impacted the electric vehicle sector. Battery innovation, quick-charging systems, and AI-based vehicle systems are both opportunities to differentiate and threats to obsolescence, because of technological innovation. The political and regulatory changes, such as subsidies, emissions standards, and trade policies also play a role in market entry, adoption and competitive positioning. Analysis showed that first-mover advantages, sustained innovation, and proactive policy engagement are leading strategies of pioneers like Tesla, whereas cost-efficient imitation, niche differentiation, and regulatory learning are cost-efficient strategies of followers like BYD and Volkswagen.</w:t>
      </w:r>
    </w:p>
    <w:p w14:paraId="783FC244" w14:textId="76459FA8" w:rsidR="00C75D62" w:rsidRPr="00E84D32" w:rsidRDefault="003D0A55" w:rsidP="003D0A55">
      <w:pPr>
        <w:spacing w:before="240" w:line="360" w:lineRule="auto"/>
        <w:jc w:val="both"/>
        <w:rPr>
          <w:rFonts w:ascii="Arial" w:hAnsi="Arial" w:cs="Arial"/>
          <w:sz w:val="24"/>
          <w:szCs w:val="24"/>
        </w:rPr>
      </w:pPr>
      <w:r w:rsidRPr="003D0A55">
        <w:rPr>
          <w:rFonts w:ascii="Arial" w:hAnsi="Arial" w:cs="Arial"/>
          <w:sz w:val="24"/>
          <w:szCs w:val="24"/>
        </w:rPr>
        <w:t xml:space="preserve">The strategic analysis showed that it is necessary to respond to competitiveness in changing markets through adaptive marketing. Using the Growth Matrix by Ansoff and generic strategies by Porter, the report was used to demonstrate how pioneers aim at developing products, expanding into new markets, and differentiating whilst the followers aim at entering the markets, becoming cost leaders and target segmentation. </w:t>
      </w:r>
      <w:r w:rsidR="00C75D62" w:rsidRPr="00E84D32">
        <w:rPr>
          <w:rFonts w:ascii="Arial" w:hAnsi="Arial" w:cs="Arial"/>
          <w:sz w:val="24"/>
          <w:szCs w:val="24"/>
        </w:rPr>
        <w:br w:type="page"/>
      </w:r>
    </w:p>
    <w:p w14:paraId="07773920" w14:textId="470CE435" w:rsidR="00F974A8" w:rsidRPr="00E84D32" w:rsidRDefault="00656ECB" w:rsidP="005B0461">
      <w:pPr>
        <w:pStyle w:val="Heading1"/>
        <w:jc w:val="both"/>
        <w:rPr>
          <w:rFonts w:cs="Arial"/>
          <w:b/>
          <w:bCs/>
        </w:rPr>
      </w:pPr>
      <w:bookmarkStart w:id="18" w:name="_Toc214520394"/>
      <w:r w:rsidRPr="00E84D32">
        <w:rPr>
          <w:rFonts w:cs="Arial"/>
          <w:b/>
          <w:bCs/>
        </w:rPr>
        <w:lastRenderedPageBreak/>
        <w:t>References</w:t>
      </w:r>
      <w:bookmarkEnd w:id="18"/>
    </w:p>
    <w:p w14:paraId="2D798264" w14:textId="1820B398" w:rsidR="009F3413" w:rsidRPr="00A43816" w:rsidRDefault="003D0A55" w:rsidP="00A43816">
      <w:pPr>
        <w:spacing w:line="360" w:lineRule="auto"/>
        <w:jc w:val="both"/>
        <w:rPr>
          <w:rFonts w:ascii="Arial" w:hAnsi="Arial" w:cs="Arial"/>
        </w:rPr>
      </w:pPr>
      <w:r w:rsidRPr="00A43816">
        <w:rPr>
          <w:rFonts w:ascii="Arial" w:hAnsi="Arial" w:cs="Arial"/>
        </w:rPr>
        <w:t>Ansoff, H. I. (1957) Strategies for Diversification. Harvard Business Review. Available at: https://hbr.org/1957/09/strategies-for-diversification (Accessed: 19 November 2025).</w:t>
      </w:r>
    </w:p>
    <w:p w14:paraId="7E870D02" w14:textId="223AE318" w:rsidR="003D0A55" w:rsidRPr="00A43816" w:rsidRDefault="003D0A55" w:rsidP="00A43816">
      <w:pPr>
        <w:spacing w:line="360" w:lineRule="auto"/>
        <w:jc w:val="both"/>
        <w:rPr>
          <w:rFonts w:ascii="Arial" w:hAnsi="Arial" w:cs="Arial"/>
        </w:rPr>
      </w:pPr>
      <w:r w:rsidRPr="00A43816">
        <w:rPr>
          <w:rFonts w:ascii="Arial" w:hAnsi="Arial" w:cs="Arial"/>
        </w:rPr>
        <w:t xml:space="preserve">BNEF (2025) Electric Vehicle Outlook 2025. Available at: </w:t>
      </w:r>
      <w:r w:rsidRPr="00870CED">
        <w:rPr>
          <w:rFonts w:ascii="Arial" w:hAnsi="Arial" w:cs="Arial"/>
        </w:rPr>
        <w:t>https://about.bnef.com/insights/clean-transport/electric-vehicle-outlook/</w:t>
      </w:r>
      <w:r w:rsidRPr="00A43816">
        <w:rPr>
          <w:rFonts w:ascii="Arial" w:hAnsi="Arial" w:cs="Arial"/>
        </w:rPr>
        <w:t xml:space="preserve"> (Accessed: 19 November 2025).</w:t>
      </w:r>
    </w:p>
    <w:p w14:paraId="1E0B0914" w14:textId="1653F636" w:rsidR="003D0A55" w:rsidRPr="00A43816" w:rsidRDefault="003D0A55" w:rsidP="00A43816">
      <w:pPr>
        <w:spacing w:line="360" w:lineRule="auto"/>
        <w:jc w:val="both"/>
        <w:rPr>
          <w:rFonts w:ascii="Arial" w:hAnsi="Arial" w:cs="Arial"/>
        </w:rPr>
      </w:pPr>
      <w:r w:rsidRPr="00A43816">
        <w:rPr>
          <w:rFonts w:ascii="Arial" w:hAnsi="Arial" w:cs="Arial"/>
        </w:rPr>
        <w:t xml:space="preserve">IEA (2025) Global EV Outlook 2025. Available at: </w:t>
      </w:r>
      <w:r w:rsidRPr="00870CED">
        <w:rPr>
          <w:rFonts w:ascii="Arial" w:hAnsi="Arial" w:cs="Arial"/>
        </w:rPr>
        <w:t>https://www.iea.org/reports/global-ev-outlook-2025</w:t>
      </w:r>
      <w:r w:rsidRPr="00A43816">
        <w:rPr>
          <w:rFonts w:ascii="Arial" w:hAnsi="Arial" w:cs="Arial"/>
        </w:rPr>
        <w:t xml:space="preserve"> (Accessed: 19 November 2025).</w:t>
      </w:r>
    </w:p>
    <w:p w14:paraId="286807C7" w14:textId="19B9E7D2" w:rsidR="003D0A55" w:rsidRPr="00A43816" w:rsidRDefault="003D0A55" w:rsidP="00A43816">
      <w:pPr>
        <w:spacing w:line="360" w:lineRule="auto"/>
        <w:jc w:val="both"/>
        <w:rPr>
          <w:rFonts w:ascii="Arial" w:hAnsi="Arial" w:cs="Arial"/>
        </w:rPr>
      </w:pPr>
      <w:proofErr w:type="spellStart"/>
      <w:r w:rsidRPr="00A43816">
        <w:rPr>
          <w:rFonts w:ascii="Arial" w:hAnsi="Arial" w:cs="Arial"/>
        </w:rPr>
        <w:t>InsideEVs</w:t>
      </w:r>
      <w:proofErr w:type="spellEnd"/>
      <w:r w:rsidRPr="00A43816">
        <w:rPr>
          <w:rFonts w:ascii="Arial" w:hAnsi="Arial" w:cs="Arial"/>
        </w:rPr>
        <w:t xml:space="preserve"> (2025) All Current and Upcoming EVs With Solid-State Batteries. Available at: </w:t>
      </w:r>
      <w:r w:rsidRPr="00870CED">
        <w:rPr>
          <w:rFonts w:ascii="Arial" w:hAnsi="Arial" w:cs="Arial"/>
        </w:rPr>
        <w:t>https://insideevs.com/news/771402/every-solid-state-battery-ev/</w:t>
      </w:r>
      <w:r w:rsidRPr="00A43816">
        <w:rPr>
          <w:rFonts w:ascii="Arial" w:hAnsi="Arial" w:cs="Arial"/>
        </w:rPr>
        <w:t xml:space="preserve"> (Accessed: 19 November 2025).</w:t>
      </w:r>
    </w:p>
    <w:p w14:paraId="39FF2A05" w14:textId="54C5A71D" w:rsidR="003D0A55" w:rsidRPr="00A43816" w:rsidRDefault="003D0A55" w:rsidP="00A43816">
      <w:pPr>
        <w:spacing w:line="360" w:lineRule="auto"/>
        <w:jc w:val="both"/>
        <w:rPr>
          <w:rFonts w:ascii="Arial" w:hAnsi="Arial" w:cs="Arial"/>
        </w:rPr>
      </w:pPr>
      <w:r w:rsidRPr="00A43816">
        <w:rPr>
          <w:rFonts w:ascii="Arial" w:hAnsi="Arial" w:cs="Arial"/>
        </w:rPr>
        <w:t xml:space="preserve">Alternative Fuels Observatory (EU) (2025) Incentives and Legislation — France. Available at: </w:t>
      </w:r>
      <w:r w:rsidRPr="00870CED">
        <w:rPr>
          <w:rFonts w:ascii="Arial" w:hAnsi="Arial" w:cs="Arial"/>
        </w:rPr>
        <w:t>https://alternative-fuels-observatory.ec.europa.eu/transport-mode/road/france/incentives-legislations</w:t>
      </w:r>
      <w:r w:rsidRPr="00A43816">
        <w:rPr>
          <w:rFonts w:ascii="Arial" w:hAnsi="Arial" w:cs="Arial"/>
        </w:rPr>
        <w:t xml:space="preserve"> (Accessed: 19 November 2025).</w:t>
      </w:r>
    </w:p>
    <w:p w14:paraId="0CFBDBA9" w14:textId="15609999" w:rsidR="003D0A55" w:rsidRPr="00A43816" w:rsidRDefault="003D0A55" w:rsidP="00A43816">
      <w:pPr>
        <w:spacing w:line="360" w:lineRule="auto"/>
        <w:jc w:val="both"/>
        <w:rPr>
          <w:rFonts w:ascii="Arial" w:hAnsi="Arial" w:cs="Arial"/>
        </w:rPr>
      </w:pPr>
      <w:r w:rsidRPr="00A43816">
        <w:rPr>
          <w:rFonts w:ascii="Arial" w:hAnsi="Arial" w:cs="Arial"/>
        </w:rPr>
        <w:t xml:space="preserve">Oxford College of Marketing (2016) What is a PESTEL analysis? Available at: </w:t>
      </w:r>
      <w:r w:rsidRPr="00870CED">
        <w:rPr>
          <w:rFonts w:ascii="Arial" w:hAnsi="Arial" w:cs="Arial"/>
        </w:rPr>
        <w:t>https://blog.oxfordcollegeofmarketing.com/2016/06/30/pestel-analysis/</w:t>
      </w:r>
      <w:r w:rsidRPr="00A43816">
        <w:rPr>
          <w:rFonts w:ascii="Arial" w:hAnsi="Arial" w:cs="Arial"/>
        </w:rPr>
        <w:t xml:space="preserve"> (Accessed: 19 November 2025).</w:t>
      </w:r>
    </w:p>
    <w:p w14:paraId="35268DB4" w14:textId="026BA6D9" w:rsidR="003D0A55" w:rsidRPr="00A43816" w:rsidRDefault="003D0A55" w:rsidP="00A43816">
      <w:pPr>
        <w:spacing w:line="360" w:lineRule="auto"/>
        <w:jc w:val="both"/>
        <w:rPr>
          <w:rFonts w:ascii="Arial" w:hAnsi="Arial" w:cs="Arial"/>
        </w:rPr>
      </w:pPr>
      <w:proofErr w:type="spellStart"/>
      <w:r w:rsidRPr="00A43816">
        <w:rPr>
          <w:rFonts w:ascii="Arial" w:hAnsi="Arial" w:cs="Arial"/>
        </w:rPr>
        <w:t>KBManage</w:t>
      </w:r>
      <w:proofErr w:type="spellEnd"/>
      <w:r w:rsidRPr="00A43816">
        <w:rPr>
          <w:rFonts w:ascii="Arial" w:hAnsi="Arial" w:cs="Arial"/>
        </w:rPr>
        <w:t xml:space="preserve"> (2020) PESTEL Analysis – What is it? Available at: </w:t>
      </w:r>
      <w:r w:rsidRPr="00870CED">
        <w:rPr>
          <w:rFonts w:ascii="Arial" w:hAnsi="Arial" w:cs="Arial"/>
        </w:rPr>
        <w:t>https://www.kbmanage.com/concept/pestel-analysis</w:t>
      </w:r>
      <w:r w:rsidRPr="00A43816">
        <w:rPr>
          <w:rFonts w:ascii="Arial" w:hAnsi="Arial" w:cs="Arial"/>
        </w:rPr>
        <w:t xml:space="preserve"> (Accessed: 19 November 2025).</w:t>
      </w:r>
    </w:p>
    <w:p w14:paraId="23170BC8" w14:textId="6B900EDF" w:rsidR="003D0A55" w:rsidRPr="00A43816" w:rsidRDefault="003D0A55" w:rsidP="00A43816">
      <w:pPr>
        <w:spacing w:line="360" w:lineRule="auto"/>
        <w:jc w:val="both"/>
        <w:rPr>
          <w:rFonts w:ascii="Arial" w:hAnsi="Arial" w:cs="Arial"/>
        </w:rPr>
      </w:pPr>
      <w:proofErr w:type="spellStart"/>
      <w:r w:rsidRPr="00A43816">
        <w:rPr>
          <w:rFonts w:ascii="Arial" w:hAnsi="Arial" w:cs="Arial"/>
        </w:rPr>
        <w:t>Vedantu</w:t>
      </w:r>
      <w:proofErr w:type="spellEnd"/>
      <w:r w:rsidRPr="00A43816">
        <w:rPr>
          <w:rFonts w:ascii="Arial" w:hAnsi="Arial" w:cs="Arial"/>
        </w:rPr>
        <w:t xml:space="preserve"> (2020) Macro Environment: Definitions, Factors, Components, and Classification. Available at: </w:t>
      </w:r>
      <w:r w:rsidRPr="00870CED">
        <w:rPr>
          <w:rFonts w:ascii="Arial" w:hAnsi="Arial" w:cs="Arial"/>
        </w:rPr>
        <w:t>https://www.vedantu.com/commerce/macro-environment</w:t>
      </w:r>
      <w:r w:rsidRPr="00A43816">
        <w:rPr>
          <w:rFonts w:ascii="Arial" w:hAnsi="Arial" w:cs="Arial"/>
        </w:rPr>
        <w:t xml:space="preserve"> (Accessed: 19 November 2025).</w:t>
      </w:r>
    </w:p>
    <w:p w14:paraId="462BC5E2" w14:textId="5B9B4F63" w:rsidR="003D0A55" w:rsidRPr="00A43816" w:rsidRDefault="003D0A55" w:rsidP="00A43816">
      <w:pPr>
        <w:spacing w:line="360" w:lineRule="auto"/>
        <w:jc w:val="both"/>
        <w:rPr>
          <w:rFonts w:ascii="Arial" w:hAnsi="Arial" w:cs="Arial"/>
        </w:rPr>
      </w:pPr>
      <w:r w:rsidRPr="00A43816">
        <w:rPr>
          <w:rFonts w:ascii="Arial" w:hAnsi="Arial" w:cs="Arial"/>
        </w:rPr>
        <w:t xml:space="preserve">Porter, M. E. (1980) Competitive Strategy: Techniques for </w:t>
      </w:r>
      <w:proofErr w:type="spellStart"/>
      <w:r w:rsidRPr="00A43816">
        <w:rPr>
          <w:rFonts w:ascii="Arial" w:hAnsi="Arial" w:cs="Arial"/>
        </w:rPr>
        <w:t>Analyzing</w:t>
      </w:r>
      <w:proofErr w:type="spellEnd"/>
      <w:r w:rsidRPr="00A43816">
        <w:rPr>
          <w:rFonts w:ascii="Arial" w:hAnsi="Arial" w:cs="Arial"/>
        </w:rPr>
        <w:t xml:space="preserve"> Industries and Competitors. Free Press, New York.</w:t>
      </w:r>
    </w:p>
    <w:p w14:paraId="18533ADB" w14:textId="1B961726" w:rsidR="003D0A55" w:rsidRPr="00A43816" w:rsidRDefault="003D0A55" w:rsidP="00A43816">
      <w:pPr>
        <w:spacing w:line="360" w:lineRule="auto"/>
        <w:jc w:val="both"/>
        <w:rPr>
          <w:rFonts w:ascii="Arial" w:hAnsi="Arial" w:cs="Arial"/>
        </w:rPr>
      </w:pPr>
      <w:r w:rsidRPr="00A43816">
        <w:rPr>
          <w:rFonts w:ascii="Arial" w:hAnsi="Arial" w:cs="Arial"/>
        </w:rPr>
        <w:t xml:space="preserve">IEA (2025) Electric Vehicles Policy and Market Insights. Available at: </w:t>
      </w:r>
      <w:r w:rsidRPr="00870CED">
        <w:rPr>
          <w:rFonts w:ascii="Arial" w:hAnsi="Arial" w:cs="Arial"/>
        </w:rPr>
        <w:t>https://www.iea.org/reports/global-ev-outlook-2025</w:t>
      </w:r>
      <w:r w:rsidRPr="00A43816">
        <w:rPr>
          <w:rFonts w:ascii="Arial" w:hAnsi="Arial" w:cs="Arial"/>
        </w:rPr>
        <w:t xml:space="preserve"> (Accessed: 19 November 2025).</w:t>
      </w:r>
    </w:p>
    <w:p w14:paraId="4C05AF89" w14:textId="4EEA610F" w:rsidR="003D0A55" w:rsidRPr="00A43816" w:rsidRDefault="003D0A55" w:rsidP="00A43816">
      <w:pPr>
        <w:spacing w:line="360" w:lineRule="auto"/>
        <w:jc w:val="both"/>
        <w:rPr>
          <w:rFonts w:ascii="Arial" w:hAnsi="Arial" w:cs="Arial"/>
        </w:rPr>
      </w:pPr>
      <w:r w:rsidRPr="00A43816">
        <w:rPr>
          <w:rFonts w:ascii="Arial" w:hAnsi="Arial" w:cs="Arial"/>
        </w:rPr>
        <w:t xml:space="preserve">BNEF (2025) Battery and Energy Storage Insights. Available at: </w:t>
      </w:r>
      <w:r w:rsidRPr="00870CED">
        <w:rPr>
          <w:rFonts w:ascii="Arial" w:hAnsi="Arial" w:cs="Arial"/>
        </w:rPr>
        <w:t>https://about.bnef.com/insights/clean-transport/electric-vehicle-outlook/</w:t>
      </w:r>
      <w:r w:rsidRPr="00A43816">
        <w:rPr>
          <w:rFonts w:ascii="Arial" w:hAnsi="Arial" w:cs="Arial"/>
        </w:rPr>
        <w:t xml:space="preserve"> (Accessed: 19 November 2025).</w:t>
      </w:r>
    </w:p>
    <w:p w14:paraId="112BFBA8" w14:textId="17EA10BA" w:rsidR="003D0A55" w:rsidRPr="00A43816" w:rsidRDefault="003D0A55" w:rsidP="00A43816">
      <w:pPr>
        <w:spacing w:line="360" w:lineRule="auto"/>
        <w:jc w:val="both"/>
        <w:rPr>
          <w:rFonts w:ascii="Arial" w:hAnsi="Arial" w:cs="Arial"/>
        </w:rPr>
      </w:pPr>
      <w:proofErr w:type="spellStart"/>
      <w:r w:rsidRPr="00A43816">
        <w:rPr>
          <w:rFonts w:ascii="Arial" w:hAnsi="Arial" w:cs="Arial"/>
        </w:rPr>
        <w:lastRenderedPageBreak/>
        <w:t>InsideEVs</w:t>
      </w:r>
      <w:proofErr w:type="spellEnd"/>
      <w:r w:rsidRPr="00A43816">
        <w:rPr>
          <w:rFonts w:ascii="Arial" w:hAnsi="Arial" w:cs="Arial"/>
        </w:rPr>
        <w:t xml:space="preserve"> (2025) EV Technology Adoption Analysis. Available at: </w:t>
      </w:r>
      <w:r w:rsidRPr="00CB2130">
        <w:rPr>
          <w:rFonts w:ascii="Arial" w:hAnsi="Arial" w:cs="Arial"/>
        </w:rPr>
        <w:t>https://insideevs.com/news/771402/every-solid-state-battery-ev/</w:t>
      </w:r>
      <w:r w:rsidRPr="00A43816">
        <w:rPr>
          <w:rFonts w:ascii="Arial" w:hAnsi="Arial" w:cs="Arial"/>
        </w:rPr>
        <w:t xml:space="preserve"> (Accessed: 19 November 2025).</w:t>
      </w:r>
    </w:p>
    <w:p w14:paraId="5F620A2F" w14:textId="025CFEBC" w:rsidR="003D0A55" w:rsidRPr="00A43816" w:rsidRDefault="003D0A55" w:rsidP="00A43816">
      <w:pPr>
        <w:spacing w:line="360" w:lineRule="auto"/>
        <w:jc w:val="both"/>
        <w:rPr>
          <w:rFonts w:ascii="Arial" w:hAnsi="Arial" w:cs="Arial"/>
        </w:rPr>
      </w:pPr>
      <w:r w:rsidRPr="00A43816">
        <w:rPr>
          <w:rFonts w:ascii="Arial" w:hAnsi="Arial" w:cs="Arial"/>
        </w:rPr>
        <w:t xml:space="preserve">EU Alternative Fuels Observatory (2025) Regulatory Framework Overview for EVs. Available at: </w:t>
      </w:r>
      <w:r w:rsidRPr="00CB2130">
        <w:rPr>
          <w:rFonts w:ascii="Arial" w:hAnsi="Arial" w:cs="Arial"/>
        </w:rPr>
        <w:t>https://alternative-fuels-observatory.ec.europa.eu/transport-mode/road/france/incentives-legislations</w:t>
      </w:r>
      <w:r w:rsidRPr="00A43816">
        <w:rPr>
          <w:rFonts w:ascii="Arial" w:hAnsi="Arial" w:cs="Arial"/>
        </w:rPr>
        <w:t xml:space="preserve"> (Accessed: 19 November 2025).</w:t>
      </w:r>
    </w:p>
    <w:p w14:paraId="4F2DA914" w14:textId="0EE90BA2" w:rsidR="003D0A55" w:rsidRPr="00A43816" w:rsidRDefault="003D0A55" w:rsidP="00A43816">
      <w:pPr>
        <w:spacing w:line="360" w:lineRule="auto"/>
        <w:jc w:val="both"/>
        <w:rPr>
          <w:rFonts w:ascii="Arial" w:hAnsi="Arial" w:cs="Arial"/>
        </w:rPr>
      </w:pPr>
      <w:r w:rsidRPr="00A43816">
        <w:rPr>
          <w:rFonts w:ascii="Arial" w:hAnsi="Arial" w:cs="Arial"/>
        </w:rPr>
        <w:t xml:space="preserve">Oxford College of Marketing (2016) Strategic Marketing Environment Analysis. Available at: </w:t>
      </w:r>
      <w:r w:rsidRPr="00CB2130">
        <w:rPr>
          <w:rFonts w:ascii="Arial" w:hAnsi="Arial" w:cs="Arial"/>
        </w:rPr>
        <w:t>https://blog.oxfordcollegeofmarketing.com/2016/06/30/pestel-analysis/</w:t>
      </w:r>
      <w:r w:rsidRPr="00A43816">
        <w:rPr>
          <w:rFonts w:ascii="Arial" w:hAnsi="Arial" w:cs="Arial"/>
        </w:rPr>
        <w:t xml:space="preserve"> (Accessed: 19 November 2025).</w:t>
      </w:r>
    </w:p>
    <w:p w14:paraId="093C7AFC" w14:textId="77777777" w:rsidR="0029493D" w:rsidRPr="0029493D" w:rsidRDefault="0029493D" w:rsidP="0029493D">
      <w:pPr>
        <w:pStyle w:val="NormalWeb"/>
        <w:spacing w:after="0"/>
        <w:jc w:val="both"/>
        <w:rPr>
          <w:rFonts w:ascii="Arial" w:hAnsi="Arial" w:cs="Arial"/>
        </w:rPr>
      </w:pPr>
      <w:bookmarkStart w:id="19" w:name="_GoBack"/>
      <w:bookmarkEnd w:id="19"/>
    </w:p>
    <w:sectPr w:rsidR="0029493D" w:rsidRPr="0029493D" w:rsidSect="00C75D62">
      <w:foot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4AAF3" w14:textId="77777777" w:rsidR="00440A75" w:rsidRDefault="00440A75">
      <w:pPr>
        <w:spacing w:after="0" w:line="240" w:lineRule="auto"/>
      </w:pPr>
      <w:r>
        <w:separator/>
      </w:r>
    </w:p>
  </w:endnote>
  <w:endnote w:type="continuationSeparator" w:id="0">
    <w:p w14:paraId="1C0E8D1D" w14:textId="77777777" w:rsidR="00440A75" w:rsidRDefault="00440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sidR="00323B76">
          <w:rPr>
            <w:noProof/>
          </w:rPr>
          <w:t>13</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3FAFE" w14:textId="77777777" w:rsidR="00440A75" w:rsidRDefault="00440A75">
      <w:pPr>
        <w:spacing w:after="0" w:line="240" w:lineRule="auto"/>
      </w:pPr>
      <w:r>
        <w:separator/>
      </w:r>
    </w:p>
  </w:footnote>
  <w:footnote w:type="continuationSeparator" w:id="0">
    <w:p w14:paraId="327BFAEC" w14:textId="77777777" w:rsidR="00440A75" w:rsidRDefault="00440A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E076E"/>
    <w:multiLevelType w:val="hybridMultilevel"/>
    <w:tmpl w:val="4D40F3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E7923"/>
    <w:multiLevelType w:val="hybridMultilevel"/>
    <w:tmpl w:val="087E4E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D5F95"/>
    <w:multiLevelType w:val="hybridMultilevel"/>
    <w:tmpl w:val="25FCA1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235C6"/>
    <w:multiLevelType w:val="hybridMultilevel"/>
    <w:tmpl w:val="6B785A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9654A"/>
    <w:multiLevelType w:val="hybridMultilevel"/>
    <w:tmpl w:val="1348F9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F91FC0"/>
    <w:multiLevelType w:val="hybridMultilevel"/>
    <w:tmpl w:val="913E5AF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0F3C8F"/>
    <w:multiLevelType w:val="hybridMultilevel"/>
    <w:tmpl w:val="CF48A9A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0E6F48"/>
    <w:multiLevelType w:val="hybridMultilevel"/>
    <w:tmpl w:val="DEF6075A"/>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7CF1920"/>
    <w:multiLevelType w:val="hybridMultilevel"/>
    <w:tmpl w:val="4B00C3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73F43"/>
    <w:multiLevelType w:val="hybridMultilevel"/>
    <w:tmpl w:val="5106A5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FA14DB"/>
    <w:multiLevelType w:val="hybridMultilevel"/>
    <w:tmpl w:val="B34ACE1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EF6E3D"/>
    <w:multiLevelType w:val="hybridMultilevel"/>
    <w:tmpl w:val="AFA277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DC44DC"/>
    <w:multiLevelType w:val="hybridMultilevel"/>
    <w:tmpl w:val="EF72AA8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FA11F9"/>
    <w:multiLevelType w:val="hybridMultilevel"/>
    <w:tmpl w:val="501CA3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854EE5"/>
    <w:multiLevelType w:val="hybridMultilevel"/>
    <w:tmpl w:val="CDEE98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4F012C"/>
    <w:multiLevelType w:val="hybridMultilevel"/>
    <w:tmpl w:val="6A86F3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4"/>
  </w:num>
  <w:num w:numId="3">
    <w:abstractNumId w:val="9"/>
  </w:num>
  <w:num w:numId="4">
    <w:abstractNumId w:val="0"/>
  </w:num>
  <w:num w:numId="5">
    <w:abstractNumId w:val="8"/>
  </w:num>
  <w:num w:numId="6">
    <w:abstractNumId w:val="7"/>
  </w:num>
  <w:num w:numId="7">
    <w:abstractNumId w:val="10"/>
  </w:num>
  <w:num w:numId="8">
    <w:abstractNumId w:val="13"/>
  </w:num>
  <w:num w:numId="9">
    <w:abstractNumId w:val="1"/>
  </w:num>
  <w:num w:numId="10">
    <w:abstractNumId w:val="11"/>
  </w:num>
  <w:num w:numId="11">
    <w:abstractNumId w:val="4"/>
  </w:num>
  <w:num w:numId="12">
    <w:abstractNumId w:val="5"/>
  </w:num>
  <w:num w:numId="13">
    <w:abstractNumId w:val="6"/>
  </w:num>
  <w:num w:numId="14">
    <w:abstractNumId w:val="15"/>
  </w:num>
  <w:num w:numId="15">
    <w:abstractNumId w:val="3"/>
  </w:num>
  <w:num w:numId="16">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E7F"/>
    <w:rsid w:val="00002F4C"/>
    <w:rsid w:val="0000708E"/>
    <w:rsid w:val="000123C5"/>
    <w:rsid w:val="000123E1"/>
    <w:rsid w:val="0001478E"/>
    <w:rsid w:val="00014A09"/>
    <w:rsid w:val="00017B73"/>
    <w:rsid w:val="00021029"/>
    <w:rsid w:val="00023BF7"/>
    <w:rsid w:val="00024678"/>
    <w:rsid w:val="00026C8F"/>
    <w:rsid w:val="00027CEE"/>
    <w:rsid w:val="0003061F"/>
    <w:rsid w:val="00030717"/>
    <w:rsid w:val="000312BF"/>
    <w:rsid w:val="000317C0"/>
    <w:rsid w:val="00031E8C"/>
    <w:rsid w:val="000349F9"/>
    <w:rsid w:val="00036A85"/>
    <w:rsid w:val="00045019"/>
    <w:rsid w:val="00045D82"/>
    <w:rsid w:val="00047722"/>
    <w:rsid w:val="00050B4C"/>
    <w:rsid w:val="00051B60"/>
    <w:rsid w:val="00064BC5"/>
    <w:rsid w:val="00064C57"/>
    <w:rsid w:val="000669F5"/>
    <w:rsid w:val="00067BC8"/>
    <w:rsid w:val="00067F58"/>
    <w:rsid w:val="000705A0"/>
    <w:rsid w:val="00071625"/>
    <w:rsid w:val="00071A78"/>
    <w:rsid w:val="000722E1"/>
    <w:rsid w:val="00073459"/>
    <w:rsid w:val="00073C5C"/>
    <w:rsid w:val="00075BF6"/>
    <w:rsid w:val="00076C98"/>
    <w:rsid w:val="000779A5"/>
    <w:rsid w:val="000806BC"/>
    <w:rsid w:val="00080A67"/>
    <w:rsid w:val="0008152D"/>
    <w:rsid w:val="000821B9"/>
    <w:rsid w:val="00084F01"/>
    <w:rsid w:val="00093050"/>
    <w:rsid w:val="00093C8A"/>
    <w:rsid w:val="00096C37"/>
    <w:rsid w:val="00096D50"/>
    <w:rsid w:val="00097806"/>
    <w:rsid w:val="000A4107"/>
    <w:rsid w:val="000B18A8"/>
    <w:rsid w:val="000C5C18"/>
    <w:rsid w:val="000D0E91"/>
    <w:rsid w:val="000D1255"/>
    <w:rsid w:val="000D1701"/>
    <w:rsid w:val="000D4B7C"/>
    <w:rsid w:val="000D7541"/>
    <w:rsid w:val="000E035F"/>
    <w:rsid w:val="000E35CE"/>
    <w:rsid w:val="000E6C74"/>
    <w:rsid w:val="000E711E"/>
    <w:rsid w:val="000F1618"/>
    <w:rsid w:val="000F4413"/>
    <w:rsid w:val="000F5212"/>
    <w:rsid w:val="000F52E4"/>
    <w:rsid w:val="000F5384"/>
    <w:rsid w:val="000F566C"/>
    <w:rsid w:val="000F708C"/>
    <w:rsid w:val="000F728B"/>
    <w:rsid w:val="000F7A57"/>
    <w:rsid w:val="00105B9B"/>
    <w:rsid w:val="00110E86"/>
    <w:rsid w:val="001150E9"/>
    <w:rsid w:val="001157E6"/>
    <w:rsid w:val="001177EC"/>
    <w:rsid w:val="00120CEF"/>
    <w:rsid w:val="0012180A"/>
    <w:rsid w:val="001269CF"/>
    <w:rsid w:val="001275E6"/>
    <w:rsid w:val="00130535"/>
    <w:rsid w:val="001312B6"/>
    <w:rsid w:val="00133B0B"/>
    <w:rsid w:val="00136D17"/>
    <w:rsid w:val="00140639"/>
    <w:rsid w:val="00150AA1"/>
    <w:rsid w:val="00151DDB"/>
    <w:rsid w:val="00152DF8"/>
    <w:rsid w:val="00160D30"/>
    <w:rsid w:val="00161420"/>
    <w:rsid w:val="001629CB"/>
    <w:rsid w:val="001633F4"/>
    <w:rsid w:val="00164663"/>
    <w:rsid w:val="001657D4"/>
    <w:rsid w:val="00172636"/>
    <w:rsid w:val="0017289F"/>
    <w:rsid w:val="001746BE"/>
    <w:rsid w:val="0017678B"/>
    <w:rsid w:val="00182419"/>
    <w:rsid w:val="001834D9"/>
    <w:rsid w:val="00183CF0"/>
    <w:rsid w:val="0018660A"/>
    <w:rsid w:val="001875E7"/>
    <w:rsid w:val="001908F2"/>
    <w:rsid w:val="00191D91"/>
    <w:rsid w:val="00192098"/>
    <w:rsid w:val="00194141"/>
    <w:rsid w:val="00194D1C"/>
    <w:rsid w:val="00195304"/>
    <w:rsid w:val="0019546C"/>
    <w:rsid w:val="00195FD7"/>
    <w:rsid w:val="00196033"/>
    <w:rsid w:val="001A0BE6"/>
    <w:rsid w:val="001A1026"/>
    <w:rsid w:val="001A28C9"/>
    <w:rsid w:val="001A71E5"/>
    <w:rsid w:val="001B0C67"/>
    <w:rsid w:val="001B1DA4"/>
    <w:rsid w:val="001B2990"/>
    <w:rsid w:val="001B74A4"/>
    <w:rsid w:val="001B7C70"/>
    <w:rsid w:val="001C0A8B"/>
    <w:rsid w:val="001C2010"/>
    <w:rsid w:val="001C2030"/>
    <w:rsid w:val="001C43A1"/>
    <w:rsid w:val="001C5589"/>
    <w:rsid w:val="001C5BF8"/>
    <w:rsid w:val="001D3118"/>
    <w:rsid w:val="001D4327"/>
    <w:rsid w:val="001D5A80"/>
    <w:rsid w:val="001D5EF2"/>
    <w:rsid w:val="001D6A5B"/>
    <w:rsid w:val="001E05EC"/>
    <w:rsid w:val="001E097B"/>
    <w:rsid w:val="001E202C"/>
    <w:rsid w:val="001E6182"/>
    <w:rsid w:val="001E784C"/>
    <w:rsid w:val="001E7A0E"/>
    <w:rsid w:val="001F0930"/>
    <w:rsid w:val="001F1D2E"/>
    <w:rsid w:val="001F2E82"/>
    <w:rsid w:val="001F4039"/>
    <w:rsid w:val="001F5314"/>
    <w:rsid w:val="001F5B91"/>
    <w:rsid w:val="001F6847"/>
    <w:rsid w:val="001F7C7A"/>
    <w:rsid w:val="0020062C"/>
    <w:rsid w:val="00200632"/>
    <w:rsid w:val="0020544D"/>
    <w:rsid w:val="00207823"/>
    <w:rsid w:val="00212ED5"/>
    <w:rsid w:val="00213995"/>
    <w:rsid w:val="002176B5"/>
    <w:rsid w:val="00220AC4"/>
    <w:rsid w:val="00225052"/>
    <w:rsid w:val="00226529"/>
    <w:rsid w:val="002317BC"/>
    <w:rsid w:val="002346A1"/>
    <w:rsid w:val="002362DB"/>
    <w:rsid w:val="002374F2"/>
    <w:rsid w:val="00237E2B"/>
    <w:rsid w:val="00241308"/>
    <w:rsid w:val="00241B9A"/>
    <w:rsid w:val="00251FE6"/>
    <w:rsid w:val="00252FEA"/>
    <w:rsid w:val="002557ED"/>
    <w:rsid w:val="002607FF"/>
    <w:rsid w:val="0026227A"/>
    <w:rsid w:val="00263B55"/>
    <w:rsid w:val="00266F4D"/>
    <w:rsid w:val="00267B7F"/>
    <w:rsid w:val="00270258"/>
    <w:rsid w:val="0027073A"/>
    <w:rsid w:val="00271F58"/>
    <w:rsid w:val="00272FE9"/>
    <w:rsid w:val="0027333C"/>
    <w:rsid w:val="0027421B"/>
    <w:rsid w:val="00276746"/>
    <w:rsid w:val="00280E6C"/>
    <w:rsid w:val="002833A7"/>
    <w:rsid w:val="0028356C"/>
    <w:rsid w:val="00284EB0"/>
    <w:rsid w:val="00286C94"/>
    <w:rsid w:val="00290345"/>
    <w:rsid w:val="002907FB"/>
    <w:rsid w:val="0029111B"/>
    <w:rsid w:val="00294100"/>
    <w:rsid w:val="0029493D"/>
    <w:rsid w:val="002A075A"/>
    <w:rsid w:val="002A1048"/>
    <w:rsid w:val="002A4082"/>
    <w:rsid w:val="002A6C91"/>
    <w:rsid w:val="002A6CE5"/>
    <w:rsid w:val="002A7B99"/>
    <w:rsid w:val="002B64CD"/>
    <w:rsid w:val="002C470B"/>
    <w:rsid w:val="002C568D"/>
    <w:rsid w:val="002C60AB"/>
    <w:rsid w:val="002D5C2A"/>
    <w:rsid w:val="002D70D3"/>
    <w:rsid w:val="002D73B2"/>
    <w:rsid w:val="002E24B4"/>
    <w:rsid w:val="002E5823"/>
    <w:rsid w:val="002E6E48"/>
    <w:rsid w:val="002F2F82"/>
    <w:rsid w:val="002F3CEA"/>
    <w:rsid w:val="002F4481"/>
    <w:rsid w:val="002F46C8"/>
    <w:rsid w:val="002F4B5D"/>
    <w:rsid w:val="002F5DD1"/>
    <w:rsid w:val="003051A8"/>
    <w:rsid w:val="00306F27"/>
    <w:rsid w:val="00310629"/>
    <w:rsid w:val="00310F16"/>
    <w:rsid w:val="003150FD"/>
    <w:rsid w:val="00316E7D"/>
    <w:rsid w:val="003207D6"/>
    <w:rsid w:val="003223FF"/>
    <w:rsid w:val="0032327F"/>
    <w:rsid w:val="00323B76"/>
    <w:rsid w:val="00323D47"/>
    <w:rsid w:val="003260F0"/>
    <w:rsid w:val="00327CF1"/>
    <w:rsid w:val="0033036A"/>
    <w:rsid w:val="00331F86"/>
    <w:rsid w:val="003328EE"/>
    <w:rsid w:val="00344805"/>
    <w:rsid w:val="003500E7"/>
    <w:rsid w:val="00353246"/>
    <w:rsid w:val="00361E3B"/>
    <w:rsid w:val="00362B1D"/>
    <w:rsid w:val="00365EBA"/>
    <w:rsid w:val="003670BD"/>
    <w:rsid w:val="00372725"/>
    <w:rsid w:val="003733CB"/>
    <w:rsid w:val="00373DE5"/>
    <w:rsid w:val="00376F5E"/>
    <w:rsid w:val="00382AB4"/>
    <w:rsid w:val="00385789"/>
    <w:rsid w:val="0038582E"/>
    <w:rsid w:val="003873CC"/>
    <w:rsid w:val="00387751"/>
    <w:rsid w:val="00394E95"/>
    <w:rsid w:val="0039506D"/>
    <w:rsid w:val="00396338"/>
    <w:rsid w:val="003A1E08"/>
    <w:rsid w:val="003A2BCB"/>
    <w:rsid w:val="003B0064"/>
    <w:rsid w:val="003B3F62"/>
    <w:rsid w:val="003B4220"/>
    <w:rsid w:val="003B6299"/>
    <w:rsid w:val="003B6503"/>
    <w:rsid w:val="003C08B8"/>
    <w:rsid w:val="003C236B"/>
    <w:rsid w:val="003C25D3"/>
    <w:rsid w:val="003C4795"/>
    <w:rsid w:val="003D0A55"/>
    <w:rsid w:val="003D16E1"/>
    <w:rsid w:val="003D2122"/>
    <w:rsid w:val="003D2E75"/>
    <w:rsid w:val="003D4B97"/>
    <w:rsid w:val="003E0687"/>
    <w:rsid w:val="003E06F0"/>
    <w:rsid w:val="003E1B25"/>
    <w:rsid w:val="003E231E"/>
    <w:rsid w:val="003E3136"/>
    <w:rsid w:val="003E3E10"/>
    <w:rsid w:val="003E56C9"/>
    <w:rsid w:val="003E5F9E"/>
    <w:rsid w:val="003F0A58"/>
    <w:rsid w:val="003F29F5"/>
    <w:rsid w:val="003F2A3B"/>
    <w:rsid w:val="003F31AF"/>
    <w:rsid w:val="003F598D"/>
    <w:rsid w:val="003F66BC"/>
    <w:rsid w:val="004018FB"/>
    <w:rsid w:val="00401F37"/>
    <w:rsid w:val="00402174"/>
    <w:rsid w:val="00402387"/>
    <w:rsid w:val="004031CC"/>
    <w:rsid w:val="004039EC"/>
    <w:rsid w:val="0040596C"/>
    <w:rsid w:val="004104E3"/>
    <w:rsid w:val="00411180"/>
    <w:rsid w:val="00411A82"/>
    <w:rsid w:val="00421B06"/>
    <w:rsid w:val="00427D76"/>
    <w:rsid w:val="004331C5"/>
    <w:rsid w:val="00434B95"/>
    <w:rsid w:val="00440A75"/>
    <w:rsid w:val="00441F54"/>
    <w:rsid w:val="00441FCE"/>
    <w:rsid w:val="004455EC"/>
    <w:rsid w:val="0044641F"/>
    <w:rsid w:val="00452664"/>
    <w:rsid w:val="00454104"/>
    <w:rsid w:val="00455A98"/>
    <w:rsid w:val="00456B7A"/>
    <w:rsid w:val="00461C35"/>
    <w:rsid w:val="00462850"/>
    <w:rsid w:val="004662EA"/>
    <w:rsid w:val="00467E27"/>
    <w:rsid w:val="004718A8"/>
    <w:rsid w:val="0047409B"/>
    <w:rsid w:val="00475A6C"/>
    <w:rsid w:val="00476B26"/>
    <w:rsid w:val="004812BC"/>
    <w:rsid w:val="00481F48"/>
    <w:rsid w:val="00483C57"/>
    <w:rsid w:val="004844FE"/>
    <w:rsid w:val="004863CD"/>
    <w:rsid w:val="00486C3C"/>
    <w:rsid w:val="00492247"/>
    <w:rsid w:val="00492E6C"/>
    <w:rsid w:val="004939EF"/>
    <w:rsid w:val="004940AD"/>
    <w:rsid w:val="00494E99"/>
    <w:rsid w:val="00495670"/>
    <w:rsid w:val="004A2A4B"/>
    <w:rsid w:val="004A3BD2"/>
    <w:rsid w:val="004A4660"/>
    <w:rsid w:val="004B019A"/>
    <w:rsid w:val="004B1659"/>
    <w:rsid w:val="004B3D1B"/>
    <w:rsid w:val="004B5010"/>
    <w:rsid w:val="004B593D"/>
    <w:rsid w:val="004B59B1"/>
    <w:rsid w:val="004B6E06"/>
    <w:rsid w:val="004C1255"/>
    <w:rsid w:val="004C218B"/>
    <w:rsid w:val="004C22CC"/>
    <w:rsid w:val="004C5D1C"/>
    <w:rsid w:val="004C6869"/>
    <w:rsid w:val="004C78BD"/>
    <w:rsid w:val="004C7E29"/>
    <w:rsid w:val="004D1DB4"/>
    <w:rsid w:val="004D4825"/>
    <w:rsid w:val="004D5009"/>
    <w:rsid w:val="004E213F"/>
    <w:rsid w:val="004E3693"/>
    <w:rsid w:val="004E41C1"/>
    <w:rsid w:val="004E4B29"/>
    <w:rsid w:val="004E78F4"/>
    <w:rsid w:val="004F11A7"/>
    <w:rsid w:val="004F1746"/>
    <w:rsid w:val="004F4359"/>
    <w:rsid w:val="00510A96"/>
    <w:rsid w:val="0051115A"/>
    <w:rsid w:val="0051141C"/>
    <w:rsid w:val="00511814"/>
    <w:rsid w:val="00520C58"/>
    <w:rsid w:val="00521BCF"/>
    <w:rsid w:val="005255B7"/>
    <w:rsid w:val="0052769E"/>
    <w:rsid w:val="00530DC0"/>
    <w:rsid w:val="005344F0"/>
    <w:rsid w:val="00534CDB"/>
    <w:rsid w:val="00534F03"/>
    <w:rsid w:val="0054050D"/>
    <w:rsid w:val="00553271"/>
    <w:rsid w:val="00557538"/>
    <w:rsid w:val="00560A31"/>
    <w:rsid w:val="00562326"/>
    <w:rsid w:val="005634B7"/>
    <w:rsid w:val="0056737F"/>
    <w:rsid w:val="0057000A"/>
    <w:rsid w:val="005704B5"/>
    <w:rsid w:val="005732FC"/>
    <w:rsid w:val="00575D16"/>
    <w:rsid w:val="00581C0E"/>
    <w:rsid w:val="00591F91"/>
    <w:rsid w:val="005924F5"/>
    <w:rsid w:val="00595715"/>
    <w:rsid w:val="00595940"/>
    <w:rsid w:val="00596F60"/>
    <w:rsid w:val="0059718A"/>
    <w:rsid w:val="005A140F"/>
    <w:rsid w:val="005A7CAA"/>
    <w:rsid w:val="005A7CB8"/>
    <w:rsid w:val="005B0461"/>
    <w:rsid w:val="005B1710"/>
    <w:rsid w:val="005B2730"/>
    <w:rsid w:val="005B39F5"/>
    <w:rsid w:val="005B4651"/>
    <w:rsid w:val="005B4690"/>
    <w:rsid w:val="005B546D"/>
    <w:rsid w:val="005B77D8"/>
    <w:rsid w:val="005C1A9E"/>
    <w:rsid w:val="005C6F89"/>
    <w:rsid w:val="005C78C1"/>
    <w:rsid w:val="005D14F8"/>
    <w:rsid w:val="005D46C0"/>
    <w:rsid w:val="005D640E"/>
    <w:rsid w:val="005D7425"/>
    <w:rsid w:val="005D7DE9"/>
    <w:rsid w:val="005E1B7A"/>
    <w:rsid w:val="005E2BE6"/>
    <w:rsid w:val="005E30C7"/>
    <w:rsid w:val="005E3D46"/>
    <w:rsid w:val="005E644C"/>
    <w:rsid w:val="005E700E"/>
    <w:rsid w:val="005F0AE1"/>
    <w:rsid w:val="005F311E"/>
    <w:rsid w:val="005F72C2"/>
    <w:rsid w:val="005F7458"/>
    <w:rsid w:val="00601DBE"/>
    <w:rsid w:val="00601F4B"/>
    <w:rsid w:val="00604FE4"/>
    <w:rsid w:val="0060521D"/>
    <w:rsid w:val="00606ACB"/>
    <w:rsid w:val="00611858"/>
    <w:rsid w:val="0061521C"/>
    <w:rsid w:val="00616079"/>
    <w:rsid w:val="0061778A"/>
    <w:rsid w:val="00620E7C"/>
    <w:rsid w:val="00627311"/>
    <w:rsid w:val="006304F9"/>
    <w:rsid w:val="006336ED"/>
    <w:rsid w:val="00634077"/>
    <w:rsid w:val="00635405"/>
    <w:rsid w:val="0063544E"/>
    <w:rsid w:val="00641CA8"/>
    <w:rsid w:val="00645BC7"/>
    <w:rsid w:val="0065509B"/>
    <w:rsid w:val="0065540B"/>
    <w:rsid w:val="00656ECB"/>
    <w:rsid w:val="00660211"/>
    <w:rsid w:val="0066073F"/>
    <w:rsid w:val="00663127"/>
    <w:rsid w:val="00667389"/>
    <w:rsid w:val="00670600"/>
    <w:rsid w:val="00670ED1"/>
    <w:rsid w:val="00671F5A"/>
    <w:rsid w:val="006740E7"/>
    <w:rsid w:val="00674F59"/>
    <w:rsid w:val="00680BE0"/>
    <w:rsid w:val="0068180C"/>
    <w:rsid w:val="006830D1"/>
    <w:rsid w:val="00683B86"/>
    <w:rsid w:val="0068631D"/>
    <w:rsid w:val="006A293B"/>
    <w:rsid w:val="006A5754"/>
    <w:rsid w:val="006A6180"/>
    <w:rsid w:val="006A6F38"/>
    <w:rsid w:val="006A72F3"/>
    <w:rsid w:val="006B0B6F"/>
    <w:rsid w:val="006B1F26"/>
    <w:rsid w:val="006B3389"/>
    <w:rsid w:val="006B5464"/>
    <w:rsid w:val="006B593F"/>
    <w:rsid w:val="006C0B99"/>
    <w:rsid w:val="006C1224"/>
    <w:rsid w:val="006C3640"/>
    <w:rsid w:val="006C65E1"/>
    <w:rsid w:val="006C6DAC"/>
    <w:rsid w:val="006C72CC"/>
    <w:rsid w:val="006C75C9"/>
    <w:rsid w:val="006C7A26"/>
    <w:rsid w:val="006C7FCF"/>
    <w:rsid w:val="006D11E0"/>
    <w:rsid w:val="006D210D"/>
    <w:rsid w:val="006D22D8"/>
    <w:rsid w:val="006D3CAB"/>
    <w:rsid w:val="006D5F30"/>
    <w:rsid w:val="006D6BB3"/>
    <w:rsid w:val="006D6F45"/>
    <w:rsid w:val="006E0F85"/>
    <w:rsid w:val="006E10D3"/>
    <w:rsid w:val="006E12B0"/>
    <w:rsid w:val="006E187B"/>
    <w:rsid w:val="006E3717"/>
    <w:rsid w:val="006F2809"/>
    <w:rsid w:val="006F2A4B"/>
    <w:rsid w:val="006F52CA"/>
    <w:rsid w:val="0070114E"/>
    <w:rsid w:val="007015D6"/>
    <w:rsid w:val="00707F2A"/>
    <w:rsid w:val="00710DA0"/>
    <w:rsid w:val="00720FDF"/>
    <w:rsid w:val="00721639"/>
    <w:rsid w:val="00721BBB"/>
    <w:rsid w:val="00723863"/>
    <w:rsid w:val="007246D7"/>
    <w:rsid w:val="0072713F"/>
    <w:rsid w:val="007305D8"/>
    <w:rsid w:val="0073295D"/>
    <w:rsid w:val="007332E4"/>
    <w:rsid w:val="00734DE3"/>
    <w:rsid w:val="00735A08"/>
    <w:rsid w:val="00736352"/>
    <w:rsid w:val="00740C47"/>
    <w:rsid w:val="00741581"/>
    <w:rsid w:val="00742ECA"/>
    <w:rsid w:val="00744A0A"/>
    <w:rsid w:val="00746A04"/>
    <w:rsid w:val="00746D52"/>
    <w:rsid w:val="00750F89"/>
    <w:rsid w:val="0075117A"/>
    <w:rsid w:val="007516D5"/>
    <w:rsid w:val="0075466F"/>
    <w:rsid w:val="00756421"/>
    <w:rsid w:val="00757528"/>
    <w:rsid w:val="00764D28"/>
    <w:rsid w:val="007662D1"/>
    <w:rsid w:val="007663B9"/>
    <w:rsid w:val="00770046"/>
    <w:rsid w:val="007740B9"/>
    <w:rsid w:val="0077487E"/>
    <w:rsid w:val="007763B3"/>
    <w:rsid w:val="00776D17"/>
    <w:rsid w:val="00777124"/>
    <w:rsid w:val="0077794B"/>
    <w:rsid w:val="007800EF"/>
    <w:rsid w:val="007865E7"/>
    <w:rsid w:val="00790347"/>
    <w:rsid w:val="007925CA"/>
    <w:rsid w:val="00793043"/>
    <w:rsid w:val="00794701"/>
    <w:rsid w:val="007A0883"/>
    <w:rsid w:val="007A3359"/>
    <w:rsid w:val="007A35C5"/>
    <w:rsid w:val="007B2095"/>
    <w:rsid w:val="007B3EAE"/>
    <w:rsid w:val="007B436C"/>
    <w:rsid w:val="007B4653"/>
    <w:rsid w:val="007C19FD"/>
    <w:rsid w:val="007C1E54"/>
    <w:rsid w:val="007C373B"/>
    <w:rsid w:val="007C5D7E"/>
    <w:rsid w:val="007C6240"/>
    <w:rsid w:val="007C6E3B"/>
    <w:rsid w:val="007C746D"/>
    <w:rsid w:val="007D52C0"/>
    <w:rsid w:val="007D56A6"/>
    <w:rsid w:val="007D689E"/>
    <w:rsid w:val="007E2A80"/>
    <w:rsid w:val="007E3A90"/>
    <w:rsid w:val="007E417B"/>
    <w:rsid w:val="007E494A"/>
    <w:rsid w:val="007E58C7"/>
    <w:rsid w:val="007E6E7F"/>
    <w:rsid w:val="007F06C1"/>
    <w:rsid w:val="007F45A6"/>
    <w:rsid w:val="007F50C1"/>
    <w:rsid w:val="007F557D"/>
    <w:rsid w:val="007F6753"/>
    <w:rsid w:val="007F6804"/>
    <w:rsid w:val="008025F3"/>
    <w:rsid w:val="00802DE2"/>
    <w:rsid w:val="0080508F"/>
    <w:rsid w:val="00807163"/>
    <w:rsid w:val="00810979"/>
    <w:rsid w:val="00813E8D"/>
    <w:rsid w:val="008140AD"/>
    <w:rsid w:val="00814301"/>
    <w:rsid w:val="00814779"/>
    <w:rsid w:val="00820843"/>
    <w:rsid w:val="00821199"/>
    <w:rsid w:val="00822811"/>
    <w:rsid w:val="00825FC9"/>
    <w:rsid w:val="0082670F"/>
    <w:rsid w:val="00827818"/>
    <w:rsid w:val="00827BA4"/>
    <w:rsid w:val="008327D3"/>
    <w:rsid w:val="008334EF"/>
    <w:rsid w:val="00837DEC"/>
    <w:rsid w:val="0084162C"/>
    <w:rsid w:val="00841B91"/>
    <w:rsid w:val="00843632"/>
    <w:rsid w:val="00847438"/>
    <w:rsid w:val="00850259"/>
    <w:rsid w:val="00853022"/>
    <w:rsid w:val="00853094"/>
    <w:rsid w:val="00853C6C"/>
    <w:rsid w:val="008618BE"/>
    <w:rsid w:val="008650B2"/>
    <w:rsid w:val="00867752"/>
    <w:rsid w:val="00870CED"/>
    <w:rsid w:val="00873DB8"/>
    <w:rsid w:val="00875202"/>
    <w:rsid w:val="0087668D"/>
    <w:rsid w:val="00880392"/>
    <w:rsid w:val="008831F6"/>
    <w:rsid w:val="008836D8"/>
    <w:rsid w:val="00883AAE"/>
    <w:rsid w:val="0088432C"/>
    <w:rsid w:val="008845B4"/>
    <w:rsid w:val="00884F13"/>
    <w:rsid w:val="008876FA"/>
    <w:rsid w:val="008911BA"/>
    <w:rsid w:val="00892DD1"/>
    <w:rsid w:val="00893401"/>
    <w:rsid w:val="00896700"/>
    <w:rsid w:val="008A0031"/>
    <w:rsid w:val="008A0460"/>
    <w:rsid w:val="008A58F6"/>
    <w:rsid w:val="008A7E64"/>
    <w:rsid w:val="008B2D5B"/>
    <w:rsid w:val="008B3ED8"/>
    <w:rsid w:val="008B5F26"/>
    <w:rsid w:val="008B79B1"/>
    <w:rsid w:val="008B7AE2"/>
    <w:rsid w:val="008D47E1"/>
    <w:rsid w:val="008E0FE2"/>
    <w:rsid w:val="008E1C51"/>
    <w:rsid w:val="008E27E0"/>
    <w:rsid w:val="008F099E"/>
    <w:rsid w:val="008F171E"/>
    <w:rsid w:val="008F25C5"/>
    <w:rsid w:val="008F3971"/>
    <w:rsid w:val="008F6AC1"/>
    <w:rsid w:val="008F7260"/>
    <w:rsid w:val="0090014E"/>
    <w:rsid w:val="00902F04"/>
    <w:rsid w:val="00904533"/>
    <w:rsid w:val="00912A99"/>
    <w:rsid w:val="009170E9"/>
    <w:rsid w:val="0091788B"/>
    <w:rsid w:val="009211ED"/>
    <w:rsid w:val="009226C6"/>
    <w:rsid w:val="00926260"/>
    <w:rsid w:val="0093018B"/>
    <w:rsid w:val="00930F62"/>
    <w:rsid w:val="00934A39"/>
    <w:rsid w:val="00936028"/>
    <w:rsid w:val="009360CC"/>
    <w:rsid w:val="009403CE"/>
    <w:rsid w:val="009440BC"/>
    <w:rsid w:val="00950C3B"/>
    <w:rsid w:val="00954589"/>
    <w:rsid w:val="00954D80"/>
    <w:rsid w:val="00956362"/>
    <w:rsid w:val="00956B45"/>
    <w:rsid w:val="00956D40"/>
    <w:rsid w:val="00957E73"/>
    <w:rsid w:val="00960D91"/>
    <w:rsid w:val="009619D1"/>
    <w:rsid w:val="00965B54"/>
    <w:rsid w:val="00966E25"/>
    <w:rsid w:val="00967102"/>
    <w:rsid w:val="00971FAC"/>
    <w:rsid w:val="00972CC3"/>
    <w:rsid w:val="00973848"/>
    <w:rsid w:val="0097453B"/>
    <w:rsid w:val="00974E4D"/>
    <w:rsid w:val="00975253"/>
    <w:rsid w:val="00981EC8"/>
    <w:rsid w:val="00982CB8"/>
    <w:rsid w:val="009841DF"/>
    <w:rsid w:val="0099454B"/>
    <w:rsid w:val="00996517"/>
    <w:rsid w:val="00996BFE"/>
    <w:rsid w:val="009A1E2D"/>
    <w:rsid w:val="009A7376"/>
    <w:rsid w:val="009A7425"/>
    <w:rsid w:val="009B1793"/>
    <w:rsid w:val="009B350B"/>
    <w:rsid w:val="009C328A"/>
    <w:rsid w:val="009D12BE"/>
    <w:rsid w:val="009D17DB"/>
    <w:rsid w:val="009D3755"/>
    <w:rsid w:val="009D4942"/>
    <w:rsid w:val="009D4F39"/>
    <w:rsid w:val="009D663C"/>
    <w:rsid w:val="009D6BCB"/>
    <w:rsid w:val="009E062F"/>
    <w:rsid w:val="009E129A"/>
    <w:rsid w:val="009E2306"/>
    <w:rsid w:val="009E31F8"/>
    <w:rsid w:val="009E3887"/>
    <w:rsid w:val="009E54EB"/>
    <w:rsid w:val="009E6462"/>
    <w:rsid w:val="009E72F3"/>
    <w:rsid w:val="009F0014"/>
    <w:rsid w:val="009F3413"/>
    <w:rsid w:val="009F5199"/>
    <w:rsid w:val="009F6A0D"/>
    <w:rsid w:val="009F744F"/>
    <w:rsid w:val="00A04435"/>
    <w:rsid w:val="00A04C7F"/>
    <w:rsid w:val="00A04D79"/>
    <w:rsid w:val="00A10903"/>
    <w:rsid w:val="00A12168"/>
    <w:rsid w:val="00A13298"/>
    <w:rsid w:val="00A150E4"/>
    <w:rsid w:val="00A1794E"/>
    <w:rsid w:val="00A204FC"/>
    <w:rsid w:val="00A24C8A"/>
    <w:rsid w:val="00A26048"/>
    <w:rsid w:val="00A2707B"/>
    <w:rsid w:val="00A325C3"/>
    <w:rsid w:val="00A32E58"/>
    <w:rsid w:val="00A342EF"/>
    <w:rsid w:val="00A35381"/>
    <w:rsid w:val="00A365B1"/>
    <w:rsid w:val="00A36AB5"/>
    <w:rsid w:val="00A37883"/>
    <w:rsid w:val="00A404FD"/>
    <w:rsid w:val="00A40D1E"/>
    <w:rsid w:val="00A40D69"/>
    <w:rsid w:val="00A43816"/>
    <w:rsid w:val="00A44299"/>
    <w:rsid w:val="00A45345"/>
    <w:rsid w:val="00A45469"/>
    <w:rsid w:val="00A50873"/>
    <w:rsid w:val="00A51479"/>
    <w:rsid w:val="00A52546"/>
    <w:rsid w:val="00A55173"/>
    <w:rsid w:val="00A55E3D"/>
    <w:rsid w:val="00A55EC4"/>
    <w:rsid w:val="00A56C0B"/>
    <w:rsid w:val="00A610E4"/>
    <w:rsid w:val="00A64D0E"/>
    <w:rsid w:val="00A65160"/>
    <w:rsid w:val="00A67861"/>
    <w:rsid w:val="00A7047A"/>
    <w:rsid w:val="00A724E3"/>
    <w:rsid w:val="00A732B2"/>
    <w:rsid w:val="00A768CC"/>
    <w:rsid w:val="00A81551"/>
    <w:rsid w:val="00A8548D"/>
    <w:rsid w:val="00A857A5"/>
    <w:rsid w:val="00A9591B"/>
    <w:rsid w:val="00AA1658"/>
    <w:rsid w:val="00AA17FD"/>
    <w:rsid w:val="00AA2262"/>
    <w:rsid w:val="00AA4CB4"/>
    <w:rsid w:val="00AB0508"/>
    <w:rsid w:val="00AB1F70"/>
    <w:rsid w:val="00AB5F12"/>
    <w:rsid w:val="00AB7A01"/>
    <w:rsid w:val="00AC1E15"/>
    <w:rsid w:val="00AC24F6"/>
    <w:rsid w:val="00AC3F86"/>
    <w:rsid w:val="00AC4383"/>
    <w:rsid w:val="00AC4C95"/>
    <w:rsid w:val="00AC6497"/>
    <w:rsid w:val="00AC7392"/>
    <w:rsid w:val="00AD0A7D"/>
    <w:rsid w:val="00AD1D27"/>
    <w:rsid w:val="00AD3FBE"/>
    <w:rsid w:val="00AD4C9F"/>
    <w:rsid w:val="00AE2B05"/>
    <w:rsid w:val="00AE30CB"/>
    <w:rsid w:val="00AE587E"/>
    <w:rsid w:val="00AE5B86"/>
    <w:rsid w:val="00AE7C18"/>
    <w:rsid w:val="00AE7C3D"/>
    <w:rsid w:val="00AF0537"/>
    <w:rsid w:val="00AF519F"/>
    <w:rsid w:val="00AF7E3C"/>
    <w:rsid w:val="00B00228"/>
    <w:rsid w:val="00B021FE"/>
    <w:rsid w:val="00B03541"/>
    <w:rsid w:val="00B054AF"/>
    <w:rsid w:val="00B064F7"/>
    <w:rsid w:val="00B07437"/>
    <w:rsid w:val="00B11E5F"/>
    <w:rsid w:val="00B12160"/>
    <w:rsid w:val="00B15AB9"/>
    <w:rsid w:val="00B15FEC"/>
    <w:rsid w:val="00B2603A"/>
    <w:rsid w:val="00B27F5A"/>
    <w:rsid w:val="00B30EC7"/>
    <w:rsid w:val="00B31AA5"/>
    <w:rsid w:val="00B3246F"/>
    <w:rsid w:val="00B37317"/>
    <w:rsid w:val="00B405B8"/>
    <w:rsid w:val="00B441F4"/>
    <w:rsid w:val="00B44420"/>
    <w:rsid w:val="00B4488F"/>
    <w:rsid w:val="00B44FE7"/>
    <w:rsid w:val="00B45402"/>
    <w:rsid w:val="00B5177D"/>
    <w:rsid w:val="00B56BA9"/>
    <w:rsid w:val="00B56F3E"/>
    <w:rsid w:val="00B57EB3"/>
    <w:rsid w:val="00B603E0"/>
    <w:rsid w:val="00B60EDA"/>
    <w:rsid w:val="00B6154A"/>
    <w:rsid w:val="00B63D5E"/>
    <w:rsid w:val="00B663D1"/>
    <w:rsid w:val="00B66539"/>
    <w:rsid w:val="00B667F2"/>
    <w:rsid w:val="00B67EFF"/>
    <w:rsid w:val="00B70704"/>
    <w:rsid w:val="00B74524"/>
    <w:rsid w:val="00B76F7E"/>
    <w:rsid w:val="00B77EFD"/>
    <w:rsid w:val="00B82577"/>
    <w:rsid w:val="00B83737"/>
    <w:rsid w:val="00B84592"/>
    <w:rsid w:val="00B85F6F"/>
    <w:rsid w:val="00B864C7"/>
    <w:rsid w:val="00B864EB"/>
    <w:rsid w:val="00B86DAA"/>
    <w:rsid w:val="00B87148"/>
    <w:rsid w:val="00B90985"/>
    <w:rsid w:val="00B91344"/>
    <w:rsid w:val="00B913EC"/>
    <w:rsid w:val="00B94754"/>
    <w:rsid w:val="00B95778"/>
    <w:rsid w:val="00B96DF4"/>
    <w:rsid w:val="00BA0E6A"/>
    <w:rsid w:val="00BA372A"/>
    <w:rsid w:val="00BA5868"/>
    <w:rsid w:val="00BA5F3F"/>
    <w:rsid w:val="00BA6390"/>
    <w:rsid w:val="00BA7DC1"/>
    <w:rsid w:val="00BB22A4"/>
    <w:rsid w:val="00BC3C78"/>
    <w:rsid w:val="00BC45AB"/>
    <w:rsid w:val="00BC5885"/>
    <w:rsid w:val="00BC75BB"/>
    <w:rsid w:val="00BD2720"/>
    <w:rsid w:val="00BD3829"/>
    <w:rsid w:val="00BD46E0"/>
    <w:rsid w:val="00BD5DD7"/>
    <w:rsid w:val="00BD68B9"/>
    <w:rsid w:val="00BE2302"/>
    <w:rsid w:val="00BE393F"/>
    <w:rsid w:val="00BE405C"/>
    <w:rsid w:val="00BE6013"/>
    <w:rsid w:val="00BE65A3"/>
    <w:rsid w:val="00BF1AD1"/>
    <w:rsid w:val="00BF3B96"/>
    <w:rsid w:val="00BF70BF"/>
    <w:rsid w:val="00BF7389"/>
    <w:rsid w:val="00BF7774"/>
    <w:rsid w:val="00C01133"/>
    <w:rsid w:val="00C01456"/>
    <w:rsid w:val="00C01593"/>
    <w:rsid w:val="00C020C8"/>
    <w:rsid w:val="00C0487D"/>
    <w:rsid w:val="00C0692D"/>
    <w:rsid w:val="00C07533"/>
    <w:rsid w:val="00C13ADD"/>
    <w:rsid w:val="00C15594"/>
    <w:rsid w:val="00C21CD3"/>
    <w:rsid w:val="00C22969"/>
    <w:rsid w:val="00C23CA7"/>
    <w:rsid w:val="00C23D86"/>
    <w:rsid w:val="00C244C8"/>
    <w:rsid w:val="00C24C1A"/>
    <w:rsid w:val="00C30290"/>
    <w:rsid w:val="00C3203C"/>
    <w:rsid w:val="00C32B72"/>
    <w:rsid w:val="00C32EDF"/>
    <w:rsid w:val="00C3456F"/>
    <w:rsid w:val="00C345E9"/>
    <w:rsid w:val="00C36EA1"/>
    <w:rsid w:val="00C37570"/>
    <w:rsid w:val="00C37A3F"/>
    <w:rsid w:val="00C40CB0"/>
    <w:rsid w:val="00C423C5"/>
    <w:rsid w:val="00C45317"/>
    <w:rsid w:val="00C51997"/>
    <w:rsid w:val="00C56582"/>
    <w:rsid w:val="00C5688B"/>
    <w:rsid w:val="00C653E5"/>
    <w:rsid w:val="00C65D68"/>
    <w:rsid w:val="00C67E3D"/>
    <w:rsid w:val="00C70CA5"/>
    <w:rsid w:val="00C7277B"/>
    <w:rsid w:val="00C7299A"/>
    <w:rsid w:val="00C755B7"/>
    <w:rsid w:val="00C75D62"/>
    <w:rsid w:val="00C77AAB"/>
    <w:rsid w:val="00C830D7"/>
    <w:rsid w:val="00C8362C"/>
    <w:rsid w:val="00C83ED0"/>
    <w:rsid w:val="00C86528"/>
    <w:rsid w:val="00C872BB"/>
    <w:rsid w:val="00C90977"/>
    <w:rsid w:val="00C937C1"/>
    <w:rsid w:val="00C950E3"/>
    <w:rsid w:val="00C956A5"/>
    <w:rsid w:val="00C95F86"/>
    <w:rsid w:val="00C97CD6"/>
    <w:rsid w:val="00C97D54"/>
    <w:rsid w:val="00CA2CD4"/>
    <w:rsid w:val="00CA35F9"/>
    <w:rsid w:val="00CB0A07"/>
    <w:rsid w:val="00CB1426"/>
    <w:rsid w:val="00CB2130"/>
    <w:rsid w:val="00CB57B6"/>
    <w:rsid w:val="00CB7004"/>
    <w:rsid w:val="00CB748E"/>
    <w:rsid w:val="00CC17B7"/>
    <w:rsid w:val="00CC18CF"/>
    <w:rsid w:val="00CC45BF"/>
    <w:rsid w:val="00CD0794"/>
    <w:rsid w:val="00CD3972"/>
    <w:rsid w:val="00CD5ED5"/>
    <w:rsid w:val="00CD6AE9"/>
    <w:rsid w:val="00CE10FC"/>
    <w:rsid w:val="00CE16B3"/>
    <w:rsid w:val="00CE3BE5"/>
    <w:rsid w:val="00CE5816"/>
    <w:rsid w:val="00CE7B44"/>
    <w:rsid w:val="00CF12B0"/>
    <w:rsid w:val="00CF42D8"/>
    <w:rsid w:val="00CF58B1"/>
    <w:rsid w:val="00CF5FEA"/>
    <w:rsid w:val="00CF603C"/>
    <w:rsid w:val="00CF6253"/>
    <w:rsid w:val="00CF6B64"/>
    <w:rsid w:val="00D03141"/>
    <w:rsid w:val="00D04687"/>
    <w:rsid w:val="00D051B3"/>
    <w:rsid w:val="00D06D35"/>
    <w:rsid w:val="00D0766E"/>
    <w:rsid w:val="00D113B5"/>
    <w:rsid w:val="00D11713"/>
    <w:rsid w:val="00D12BE9"/>
    <w:rsid w:val="00D153F6"/>
    <w:rsid w:val="00D17A3C"/>
    <w:rsid w:val="00D22A7F"/>
    <w:rsid w:val="00D2367B"/>
    <w:rsid w:val="00D24999"/>
    <w:rsid w:val="00D339F4"/>
    <w:rsid w:val="00D3463D"/>
    <w:rsid w:val="00D372BB"/>
    <w:rsid w:val="00D37DA6"/>
    <w:rsid w:val="00D41E72"/>
    <w:rsid w:val="00D43632"/>
    <w:rsid w:val="00D47280"/>
    <w:rsid w:val="00D50911"/>
    <w:rsid w:val="00D53958"/>
    <w:rsid w:val="00D53C53"/>
    <w:rsid w:val="00D53D5A"/>
    <w:rsid w:val="00D55FA3"/>
    <w:rsid w:val="00D5673A"/>
    <w:rsid w:val="00D56A87"/>
    <w:rsid w:val="00D61B1B"/>
    <w:rsid w:val="00D65519"/>
    <w:rsid w:val="00D672C0"/>
    <w:rsid w:val="00D6743B"/>
    <w:rsid w:val="00D74C4F"/>
    <w:rsid w:val="00D75149"/>
    <w:rsid w:val="00D83E22"/>
    <w:rsid w:val="00D86258"/>
    <w:rsid w:val="00D86E68"/>
    <w:rsid w:val="00D92D0F"/>
    <w:rsid w:val="00DA4483"/>
    <w:rsid w:val="00DB0864"/>
    <w:rsid w:val="00DB3E5D"/>
    <w:rsid w:val="00DB40F5"/>
    <w:rsid w:val="00DC6CEC"/>
    <w:rsid w:val="00DC7053"/>
    <w:rsid w:val="00DC7A3E"/>
    <w:rsid w:val="00DD0E15"/>
    <w:rsid w:val="00DD1508"/>
    <w:rsid w:val="00DD1C66"/>
    <w:rsid w:val="00DD1CC6"/>
    <w:rsid w:val="00DD25DE"/>
    <w:rsid w:val="00DD3A10"/>
    <w:rsid w:val="00DD4A0C"/>
    <w:rsid w:val="00DD6085"/>
    <w:rsid w:val="00DD798A"/>
    <w:rsid w:val="00DE06B8"/>
    <w:rsid w:val="00DE0CA2"/>
    <w:rsid w:val="00DE5CF4"/>
    <w:rsid w:val="00DE674D"/>
    <w:rsid w:val="00DF210F"/>
    <w:rsid w:val="00DF3AA6"/>
    <w:rsid w:val="00DF3BBF"/>
    <w:rsid w:val="00DF691E"/>
    <w:rsid w:val="00E0010C"/>
    <w:rsid w:val="00E00F17"/>
    <w:rsid w:val="00E0154A"/>
    <w:rsid w:val="00E015C2"/>
    <w:rsid w:val="00E01D33"/>
    <w:rsid w:val="00E05857"/>
    <w:rsid w:val="00E07E23"/>
    <w:rsid w:val="00E1064A"/>
    <w:rsid w:val="00E10967"/>
    <w:rsid w:val="00E12C7F"/>
    <w:rsid w:val="00E1365C"/>
    <w:rsid w:val="00E13E3C"/>
    <w:rsid w:val="00E15D05"/>
    <w:rsid w:val="00E16B8F"/>
    <w:rsid w:val="00E17271"/>
    <w:rsid w:val="00E17317"/>
    <w:rsid w:val="00E17EA3"/>
    <w:rsid w:val="00E215C4"/>
    <w:rsid w:val="00E21FB7"/>
    <w:rsid w:val="00E2406E"/>
    <w:rsid w:val="00E256C9"/>
    <w:rsid w:val="00E2586E"/>
    <w:rsid w:val="00E26E2C"/>
    <w:rsid w:val="00E30A64"/>
    <w:rsid w:val="00E31321"/>
    <w:rsid w:val="00E333BA"/>
    <w:rsid w:val="00E3446E"/>
    <w:rsid w:val="00E475DA"/>
    <w:rsid w:val="00E476D4"/>
    <w:rsid w:val="00E4786D"/>
    <w:rsid w:val="00E513D5"/>
    <w:rsid w:val="00E53889"/>
    <w:rsid w:val="00E560FD"/>
    <w:rsid w:val="00E56E54"/>
    <w:rsid w:val="00E60EE0"/>
    <w:rsid w:val="00E63173"/>
    <w:rsid w:val="00E63D74"/>
    <w:rsid w:val="00E71CFF"/>
    <w:rsid w:val="00E72AD3"/>
    <w:rsid w:val="00E754FB"/>
    <w:rsid w:val="00E7564C"/>
    <w:rsid w:val="00E764A4"/>
    <w:rsid w:val="00E771B0"/>
    <w:rsid w:val="00E816CD"/>
    <w:rsid w:val="00E83251"/>
    <w:rsid w:val="00E83536"/>
    <w:rsid w:val="00E84D32"/>
    <w:rsid w:val="00E869C5"/>
    <w:rsid w:val="00E87462"/>
    <w:rsid w:val="00E900A1"/>
    <w:rsid w:val="00E905C4"/>
    <w:rsid w:val="00E939CE"/>
    <w:rsid w:val="00E93BE3"/>
    <w:rsid w:val="00E93C77"/>
    <w:rsid w:val="00E9427E"/>
    <w:rsid w:val="00E94AE1"/>
    <w:rsid w:val="00E966A5"/>
    <w:rsid w:val="00EA0767"/>
    <w:rsid w:val="00EA213E"/>
    <w:rsid w:val="00EA2965"/>
    <w:rsid w:val="00EA2BEF"/>
    <w:rsid w:val="00EA4F1F"/>
    <w:rsid w:val="00EA5C5F"/>
    <w:rsid w:val="00EA7065"/>
    <w:rsid w:val="00EA7B6E"/>
    <w:rsid w:val="00EA7CF0"/>
    <w:rsid w:val="00EB0109"/>
    <w:rsid w:val="00EB703C"/>
    <w:rsid w:val="00EC160A"/>
    <w:rsid w:val="00EC2D25"/>
    <w:rsid w:val="00EC408F"/>
    <w:rsid w:val="00EC5551"/>
    <w:rsid w:val="00EC69F8"/>
    <w:rsid w:val="00ED2A23"/>
    <w:rsid w:val="00ED4B66"/>
    <w:rsid w:val="00ED60F8"/>
    <w:rsid w:val="00ED7069"/>
    <w:rsid w:val="00ED7F79"/>
    <w:rsid w:val="00EE15AB"/>
    <w:rsid w:val="00EF0FD5"/>
    <w:rsid w:val="00EF2B81"/>
    <w:rsid w:val="00EF3AD9"/>
    <w:rsid w:val="00EF3DA2"/>
    <w:rsid w:val="00EF55CA"/>
    <w:rsid w:val="00F00857"/>
    <w:rsid w:val="00F01E25"/>
    <w:rsid w:val="00F05E08"/>
    <w:rsid w:val="00F10657"/>
    <w:rsid w:val="00F10AD4"/>
    <w:rsid w:val="00F13881"/>
    <w:rsid w:val="00F16BD8"/>
    <w:rsid w:val="00F16ED9"/>
    <w:rsid w:val="00F20736"/>
    <w:rsid w:val="00F21503"/>
    <w:rsid w:val="00F21B2B"/>
    <w:rsid w:val="00F2257F"/>
    <w:rsid w:val="00F22E69"/>
    <w:rsid w:val="00F23E47"/>
    <w:rsid w:val="00F250D2"/>
    <w:rsid w:val="00F301AA"/>
    <w:rsid w:val="00F31AF4"/>
    <w:rsid w:val="00F34235"/>
    <w:rsid w:val="00F34B73"/>
    <w:rsid w:val="00F35986"/>
    <w:rsid w:val="00F41641"/>
    <w:rsid w:val="00F43786"/>
    <w:rsid w:val="00F4455D"/>
    <w:rsid w:val="00F45FAA"/>
    <w:rsid w:val="00F50374"/>
    <w:rsid w:val="00F519B5"/>
    <w:rsid w:val="00F548A2"/>
    <w:rsid w:val="00F5549B"/>
    <w:rsid w:val="00F55A2F"/>
    <w:rsid w:val="00F56603"/>
    <w:rsid w:val="00F603DB"/>
    <w:rsid w:val="00F623F4"/>
    <w:rsid w:val="00F65623"/>
    <w:rsid w:val="00F67437"/>
    <w:rsid w:val="00F74B5C"/>
    <w:rsid w:val="00F7673E"/>
    <w:rsid w:val="00F775A8"/>
    <w:rsid w:val="00F80D87"/>
    <w:rsid w:val="00F81F7F"/>
    <w:rsid w:val="00F822FB"/>
    <w:rsid w:val="00F83734"/>
    <w:rsid w:val="00F837F8"/>
    <w:rsid w:val="00F83D70"/>
    <w:rsid w:val="00F85EEC"/>
    <w:rsid w:val="00F93408"/>
    <w:rsid w:val="00F93B7A"/>
    <w:rsid w:val="00F974A8"/>
    <w:rsid w:val="00FA518E"/>
    <w:rsid w:val="00FA7C75"/>
    <w:rsid w:val="00FA7EC9"/>
    <w:rsid w:val="00FB0F75"/>
    <w:rsid w:val="00FB3C9C"/>
    <w:rsid w:val="00FB6683"/>
    <w:rsid w:val="00FB726F"/>
    <w:rsid w:val="00FC3BDC"/>
    <w:rsid w:val="00FC5FA3"/>
    <w:rsid w:val="00FC5FFC"/>
    <w:rsid w:val="00FD0091"/>
    <w:rsid w:val="00FD0756"/>
    <w:rsid w:val="00FD470C"/>
    <w:rsid w:val="00FD5999"/>
    <w:rsid w:val="00FD6897"/>
    <w:rsid w:val="00FD7543"/>
    <w:rsid w:val="00FD7A42"/>
    <w:rsid w:val="00FE1652"/>
    <w:rsid w:val="00FE29C8"/>
    <w:rsid w:val="00FE301C"/>
    <w:rsid w:val="00FE3830"/>
    <w:rsid w:val="00FE3D1B"/>
    <w:rsid w:val="00FE47BC"/>
    <w:rsid w:val="00FE4CBF"/>
    <w:rsid w:val="00FE7761"/>
    <w:rsid w:val="00FF0D9A"/>
    <w:rsid w:val="00FF0E96"/>
    <w:rsid w:val="00FF1E5B"/>
    <w:rsid w:val="00FF2142"/>
    <w:rsid w:val="00FF6621"/>
    <w:rsid w:val="00FF68A8"/>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B40F5"/>
    <w:pPr>
      <w:keepNext/>
      <w:keepLines/>
      <w:spacing w:before="360" w:after="80"/>
      <w:outlineLvl w:val="0"/>
    </w:pPr>
    <w:rPr>
      <w:rFonts w:ascii="Arial" w:eastAsiaTheme="majorEastAsia" w:hAnsi="Arial" w:cstheme="majorBidi"/>
      <w:color w:val="000000" w:themeColor="text1"/>
      <w:sz w:val="32"/>
      <w:szCs w:val="40"/>
    </w:rPr>
  </w:style>
  <w:style w:type="paragraph" w:styleId="Heading2">
    <w:name w:val="heading 2"/>
    <w:basedOn w:val="Normal"/>
    <w:next w:val="Normal"/>
    <w:link w:val="Heading2Char"/>
    <w:uiPriority w:val="9"/>
    <w:unhideWhenUsed/>
    <w:qFormat/>
    <w:rsid w:val="00DB40F5"/>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0F5"/>
    <w:rPr>
      <w:rFonts w:ascii="Arial" w:eastAsiaTheme="majorEastAsia" w:hAnsi="Arial" w:cstheme="majorBidi"/>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B40F5"/>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3D16E1"/>
    <w:pPr>
      <w:tabs>
        <w:tab w:val="right" w:leader="dot" w:pos="9016"/>
      </w:tabs>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3328EE"/>
    <w:pPr>
      <w:spacing w:after="100"/>
      <w:ind w:left="440"/>
    </w:pPr>
  </w:style>
  <w:style w:type="character" w:customStyle="1" w:styleId="UnresolvedMention1">
    <w:name w:val="Unresolved Mention1"/>
    <w:basedOn w:val="DefaultParagraphFont"/>
    <w:uiPriority w:val="99"/>
    <w:semiHidden/>
    <w:unhideWhenUsed/>
    <w:rsid w:val="00294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968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15</Pages>
  <Words>3183</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Forhad Hossen Rony (2433472)</cp:lastModifiedBy>
  <cp:revision>268</cp:revision>
  <dcterms:created xsi:type="dcterms:W3CDTF">2025-08-08T09:58:00Z</dcterms:created>
  <dcterms:modified xsi:type="dcterms:W3CDTF">2025-11-20T12:17:00Z</dcterms:modified>
</cp:coreProperties>
</file>