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1ABC6" w14:textId="77777777" w:rsidR="003929DB" w:rsidRDefault="000B1818">
      <w:pPr>
        <w:pStyle w:val="Normal1"/>
        <w:spacing w:line="276" w:lineRule="auto"/>
        <w:jc w:val="center"/>
        <w:rPr>
          <w:b/>
          <w:i/>
          <w:sz w:val="48"/>
          <w:szCs w:val="48"/>
        </w:rPr>
      </w:pPr>
      <w:r w:rsidRPr="000B1818">
        <w:rPr>
          <w:b/>
          <w:i/>
          <w:sz w:val="48"/>
          <w:szCs w:val="48"/>
        </w:rPr>
        <w:t>LCBB5008</w:t>
      </w:r>
      <w:r>
        <w:rPr>
          <w:b/>
          <w:i/>
          <w:sz w:val="48"/>
          <w:szCs w:val="48"/>
        </w:rPr>
        <w:t>:</w:t>
      </w:r>
      <w:r w:rsidRPr="000B1818">
        <w:rPr>
          <w:b/>
          <w:i/>
          <w:sz w:val="48"/>
          <w:szCs w:val="48"/>
        </w:rPr>
        <w:t xml:space="preserve"> </w:t>
      </w:r>
      <w:r w:rsidR="00461CAF">
        <w:rPr>
          <w:b/>
          <w:i/>
          <w:sz w:val="48"/>
          <w:szCs w:val="48"/>
        </w:rPr>
        <w:t>Management Economics</w:t>
      </w:r>
    </w:p>
    <w:p w14:paraId="751776C3" w14:textId="529F0F68" w:rsidR="000B1818" w:rsidRDefault="000B1818">
      <w:pPr>
        <w:pStyle w:val="Normal1"/>
        <w:spacing w:line="276" w:lineRule="auto"/>
        <w:jc w:val="center"/>
        <w:rPr>
          <w:b/>
          <w:i/>
          <w:sz w:val="36"/>
          <w:szCs w:val="36"/>
        </w:rPr>
      </w:pPr>
      <w:r>
        <w:rPr>
          <w:b/>
          <w:i/>
          <w:sz w:val="36"/>
          <w:szCs w:val="36"/>
        </w:rPr>
        <w:t>Student Id:</w:t>
      </w:r>
      <w:r w:rsidRPr="000B1818">
        <w:rPr>
          <w:b/>
          <w:i/>
          <w:sz w:val="36"/>
          <w:szCs w:val="36"/>
        </w:rPr>
        <w:t xml:space="preserve"> </w:t>
      </w:r>
      <w:r w:rsidR="005835DB">
        <w:rPr>
          <w:b/>
          <w:i/>
          <w:sz w:val="36"/>
          <w:szCs w:val="36"/>
        </w:rPr>
        <w:t>2126929</w:t>
      </w:r>
    </w:p>
    <w:p w14:paraId="2033FAA6" w14:textId="77777777" w:rsidR="003929DB" w:rsidRDefault="00461CAF">
      <w:pPr>
        <w:pStyle w:val="Normal1"/>
        <w:spacing w:line="276" w:lineRule="auto"/>
        <w:jc w:val="center"/>
        <w:rPr>
          <w:sz w:val="50"/>
          <w:szCs w:val="50"/>
        </w:rPr>
      </w:pPr>
      <w:r>
        <w:rPr>
          <w:b/>
          <w:i/>
          <w:sz w:val="36"/>
          <w:szCs w:val="36"/>
        </w:rPr>
        <w:t xml:space="preserve">Submitted by: </w:t>
      </w:r>
      <w:r>
        <w:rPr>
          <w:b/>
          <w:i/>
          <w:color w:val="222222"/>
          <w:sz w:val="36"/>
          <w:szCs w:val="36"/>
          <w:highlight w:val="white"/>
        </w:rPr>
        <w:t>SERGIU DIACONU</w:t>
      </w:r>
    </w:p>
    <w:p w14:paraId="05237AC4" w14:textId="77777777" w:rsidR="003929DB" w:rsidRDefault="00461CAF">
      <w:pPr>
        <w:pStyle w:val="Normal1"/>
        <w:rPr>
          <w:b/>
        </w:rPr>
      </w:pPr>
      <w:r>
        <w:br w:type="page"/>
      </w:r>
    </w:p>
    <w:p w14:paraId="3D29571E" w14:textId="77777777" w:rsidR="003929DB" w:rsidRDefault="00461CAF">
      <w:pPr>
        <w:pStyle w:val="Normal1"/>
        <w:rPr>
          <w:b/>
        </w:rPr>
      </w:pPr>
      <w:r>
        <w:rPr>
          <w:b/>
        </w:rPr>
        <w:lastRenderedPageBreak/>
        <w:t>Table of Contents</w:t>
      </w:r>
    </w:p>
    <w:sdt>
      <w:sdtPr>
        <w:rPr>
          <w:rFonts w:ascii="Times New Roman" w:eastAsia="Times New Roman" w:hAnsi="Times New Roman" w:cs="Times New Roman"/>
          <w:b w:val="0"/>
          <w:bCs w:val="0"/>
          <w:color w:val="auto"/>
          <w:sz w:val="24"/>
          <w:szCs w:val="24"/>
        </w:rPr>
        <w:id w:val="375973334"/>
        <w:docPartObj>
          <w:docPartGallery w:val="Table of Contents"/>
          <w:docPartUnique/>
        </w:docPartObj>
      </w:sdtPr>
      <w:sdtEndPr/>
      <w:sdtContent>
        <w:p w14:paraId="75FFF04A" w14:textId="77777777" w:rsidR="00512963" w:rsidRDefault="00512963">
          <w:pPr>
            <w:pStyle w:val="TOCHeading"/>
          </w:pPr>
        </w:p>
        <w:p w14:paraId="76B23147" w14:textId="77777777" w:rsidR="004231A4" w:rsidRDefault="00505201">
          <w:pPr>
            <w:pStyle w:val="TOC1"/>
            <w:tabs>
              <w:tab w:val="right" w:leader="dot" w:pos="9350"/>
            </w:tabs>
            <w:rPr>
              <w:rFonts w:asciiTheme="minorHAnsi" w:eastAsiaTheme="minorEastAsia" w:hAnsiTheme="minorHAnsi" w:cstheme="minorBidi"/>
              <w:noProof/>
              <w:sz w:val="22"/>
              <w:szCs w:val="22"/>
            </w:rPr>
          </w:pPr>
          <w:r>
            <w:fldChar w:fldCharType="begin"/>
          </w:r>
          <w:r w:rsidR="00512963">
            <w:instrText xml:space="preserve"> TOC \o "1-3" \h \z \u </w:instrText>
          </w:r>
          <w:r>
            <w:fldChar w:fldCharType="separate"/>
          </w:r>
          <w:hyperlink w:anchor="_Toc159777429" w:history="1">
            <w:r w:rsidR="004231A4" w:rsidRPr="008F3C16">
              <w:rPr>
                <w:rStyle w:val="Hyperlink"/>
                <w:noProof/>
              </w:rPr>
              <w:t>Introduction</w:t>
            </w:r>
            <w:r w:rsidR="004231A4">
              <w:rPr>
                <w:noProof/>
                <w:webHidden/>
              </w:rPr>
              <w:tab/>
            </w:r>
            <w:r w:rsidR="004231A4">
              <w:rPr>
                <w:noProof/>
                <w:webHidden/>
              </w:rPr>
              <w:fldChar w:fldCharType="begin"/>
            </w:r>
            <w:r w:rsidR="004231A4">
              <w:rPr>
                <w:noProof/>
                <w:webHidden/>
              </w:rPr>
              <w:instrText xml:space="preserve"> PAGEREF _Toc159777429 \h </w:instrText>
            </w:r>
            <w:r w:rsidR="004231A4">
              <w:rPr>
                <w:noProof/>
                <w:webHidden/>
              </w:rPr>
            </w:r>
            <w:r w:rsidR="004231A4">
              <w:rPr>
                <w:noProof/>
                <w:webHidden/>
              </w:rPr>
              <w:fldChar w:fldCharType="separate"/>
            </w:r>
            <w:r w:rsidR="004231A4">
              <w:rPr>
                <w:noProof/>
                <w:webHidden/>
              </w:rPr>
              <w:t>3</w:t>
            </w:r>
            <w:r w:rsidR="004231A4">
              <w:rPr>
                <w:noProof/>
                <w:webHidden/>
              </w:rPr>
              <w:fldChar w:fldCharType="end"/>
            </w:r>
          </w:hyperlink>
        </w:p>
        <w:p w14:paraId="2D196E4D" w14:textId="77777777" w:rsidR="004231A4" w:rsidRDefault="005835DB">
          <w:pPr>
            <w:pStyle w:val="TOC1"/>
            <w:tabs>
              <w:tab w:val="right" w:leader="dot" w:pos="9350"/>
            </w:tabs>
            <w:rPr>
              <w:rFonts w:asciiTheme="minorHAnsi" w:eastAsiaTheme="minorEastAsia" w:hAnsiTheme="minorHAnsi" w:cstheme="minorBidi"/>
              <w:noProof/>
              <w:sz w:val="22"/>
              <w:szCs w:val="22"/>
            </w:rPr>
          </w:pPr>
          <w:hyperlink w:anchor="_Toc159777430" w:history="1">
            <w:r w:rsidR="004231A4" w:rsidRPr="008F3C16">
              <w:rPr>
                <w:rStyle w:val="Hyperlink"/>
                <w:noProof/>
              </w:rPr>
              <w:t>Main Body</w:t>
            </w:r>
            <w:r w:rsidR="004231A4">
              <w:rPr>
                <w:noProof/>
                <w:webHidden/>
              </w:rPr>
              <w:tab/>
            </w:r>
            <w:r w:rsidR="004231A4">
              <w:rPr>
                <w:noProof/>
                <w:webHidden/>
              </w:rPr>
              <w:fldChar w:fldCharType="begin"/>
            </w:r>
            <w:r w:rsidR="004231A4">
              <w:rPr>
                <w:noProof/>
                <w:webHidden/>
              </w:rPr>
              <w:instrText xml:space="preserve"> PAGEREF _Toc159777430 \h </w:instrText>
            </w:r>
            <w:r w:rsidR="004231A4">
              <w:rPr>
                <w:noProof/>
                <w:webHidden/>
              </w:rPr>
            </w:r>
            <w:r w:rsidR="004231A4">
              <w:rPr>
                <w:noProof/>
                <w:webHidden/>
              </w:rPr>
              <w:fldChar w:fldCharType="separate"/>
            </w:r>
            <w:r w:rsidR="004231A4">
              <w:rPr>
                <w:noProof/>
                <w:webHidden/>
              </w:rPr>
              <w:t>4</w:t>
            </w:r>
            <w:r w:rsidR="004231A4">
              <w:rPr>
                <w:noProof/>
                <w:webHidden/>
              </w:rPr>
              <w:fldChar w:fldCharType="end"/>
            </w:r>
          </w:hyperlink>
        </w:p>
        <w:p w14:paraId="43A93D0A" w14:textId="77777777" w:rsidR="004231A4" w:rsidRDefault="005835DB">
          <w:pPr>
            <w:pStyle w:val="TOC1"/>
            <w:tabs>
              <w:tab w:val="right" w:leader="dot" w:pos="9350"/>
            </w:tabs>
            <w:rPr>
              <w:rFonts w:asciiTheme="minorHAnsi" w:eastAsiaTheme="minorEastAsia" w:hAnsiTheme="minorHAnsi" w:cstheme="minorBidi"/>
              <w:noProof/>
              <w:sz w:val="22"/>
              <w:szCs w:val="22"/>
            </w:rPr>
          </w:pPr>
          <w:hyperlink w:anchor="_Toc159777431" w:history="1">
            <w:r w:rsidR="004231A4" w:rsidRPr="008F3C16">
              <w:rPr>
                <w:rStyle w:val="Hyperlink"/>
                <w:noProof/>
              </w:rPr>
              <w:t>Conclusion</w:t>
            </w:r>
            <w:r w:rsidR="004231A4">
              <w:rPr>
                <w:noProof/>
                <w:webHidden/>
              </w:rPr>
              <w:tab/>
            </w:r>
            <w:r w:rsidR="004231A4">
              <w:rPr>
                <w:noProof/>
                <w:webHidden/>
              </w:rPr>
              <w:fldChar w:fldCharType="begin"/>
            </w:r>
            <w:r w:rsidR="004231A4">
              <w:rPr>
                <w:noProof/>
                <w:webHidden/>
              </w:rPr>
              <w:instrText xml:space="preserve"> PAGEREF _Toc159777431 \h </w:instrText>
            </w:r>
            <w:r w:rsidR="004231A4">
              <w:rPr>
                <w:noProof/>
                <w:webHidden/>
              </w:rPr>
            </w:r>
            <w:r w:rsidR="004231A4">
              <w:rPr>
                <w:noProof/>
                <w:webHidden/>
              </w:rPr>
              <w:fldChar w:fldCharType="separate"/>
            </w:r>
            <w:r w:rsidR="004231A4">
              <w:rPr>
                <w:noProof/>
                <w:webHidden/>
              </w:rPr>
              <w:t>9</w:t>
            </w:r>
            <w:r w:rsidR="004231A4">
              <w:rPr>
                <w:noProof/>
                <w:webHidden/>
              </w:rPr>
              <w:fldChar w:fldCharType="end"/>
            </w:r>
          </w:hyperlink>
        </w:p>
        <w:p w14:paraId="4E9783E5" w14:textId="77777777" w:rsidR="004231A4" w:rsidRDefault="005835DB">
          <w:pPr>
            <w:pStyle w:val="TOC1"/>
            <w:tabs>
              <w:tab w:val="right" w:leader="dot" w:pos="9350"/>
            </w:tabs>
            <w:rPr>
              <w:rFonts w:asciiTheme="minorHAnsi" w:eastAsiaTheme="minorEastAsia" w:hAnsiTheme="minorHAnsi" w:cstheme="minorBidi"/>
              <w:noProof/>
              <w:sz w:val="22"/>
              <w:szCs w:val="22"/>
            </w:rPr>
          </w:pPr>
          <w:hyperlink w:anchor="_Toc159777432" w:history="1">
            <w:r w:rsidR="004231A4" w:rsidRPr="008F3C16">
              <w:rPr>
                <w:rStyle w:val="Hyperlink"/>
                <w:noProof/>
              </w:rPr>
              <w:t>References</w:t>
            </w:r>
            <w:r w:rsidR="004231A4">
              <w:rPr>
                <w:noProof/>
                <w:webHidden/>
              </w:rPr>
              <w:tab/>
            </w:r>
            <w:r w:rsidR="004231A4">
              <w:rPr>
                <w:noProof/>
                <w:webHidden/>
              </w:rPr>
              <w:fldChar w:fldCharType="begin"/>
            </w:r>
            <w:r w:rsidR="004231A4">
              <w:rPr>
                <w:noProof/>
                <w:webHidden/>
              </w:rPr>
              <w:instrText xml:space="preserve"> PAGEREF _Toc159777432 \h </w:instrText>
            </w:r>
            <w:r w:rsidR="004231A4">
              <w:rPr>
                <w:noProof/>
                <w:webHidden/>
              </w:rPr>
            </w:r>
            <w:r w:rsidR="004231A4">
              <w:rPr>
                <w:noProof/>
                <w:webHidden/>
              </w:rPr>
              <w:fldChar w:fldCharType="separate"/>
            </w:r>
            <w:r w:rsidR="004231A4">
              <w:rPr>
                <w:noProof/>
                <w:webHidden/>
              </w:rPr>
              <w:t>10</w:t>
            </w:r>
            <w:r w:rsidR="004231A4">
              <w:rPr>
                <w:noProof/>
                <w:webHidden/>
              </w:rPr>
              <w:fldChar w:fldCharType="end"/>
            </w:r>
          </w:hyperlink>
        </w:p>
        <w:p w14:paraId="25ABCB2C" w14:textId="77777777" w:rsidR="00512963" w:rsidRDefault="00505201">
          <w:r>
            <w:fldChar w:fldCharType="end"/>
          </w:r>
        </w:p>
      </w:sdtContent>
    </w:sdt>
    <w:p w14:paraId="4A9E2ECD" w14:textId="77777777" w:rsidR="003929DB" w:rsidRDefault="00461CAF">
      <w:pPr>
        <w:pStyle w:val="Normal1"/>
      </w:pPr>
      <w:r>
        <w:br w:type="page"/>
      </w:r>
    </w:p>
    <w:p w14:paraId="317643D1" w14:textId="77777777" w:rsidR="003929DB" w:rsidRDefault="00461CAF">
      <w:pPr>
        <w:pStyle w:val="Heading1"/>
      </w:pPr>
      <w:bookmarkStart w:id="0" w:name="_Toc159777429"/>
      <w:r>
        <w:lastRenderedPageBreak/>
        <w:t>Introduction</w:t>
      </w:r>
      <w:bookmarkEnd w:id="0"/>
    </w:p>
    <w:p w14:paraId="21147E7F" w14:textId="77777777" w:rsidR="003929DB" w:rsidRDefault="00461CAF">
      <w:pPr>
        <w:pStyle w:val="Normal1"/>
      </w:pPr>
      <w:r>
        <w:t xml:space="preserve">The road haulage and courier industry </w:t>
      </w:r>
      <w:proofErr w:type="gramStart"/>
      <w:r>
        <w:t>is</w:t>
      </w:r>
      <w:proofErr w:type="gramEnd"/>
      <w:r>
        <w:t xml:space="preserve"> a sector that can play a critical role in determining the level of development a country showcases. In addition, the efficiency level with which a large number of day-to-day operations run in a region is also strongly dependent on the quality of road haulage and courier services present there. Similarly in the UK, this industry has effectively acted as the backbone of the large amount of growth the nation's economy has witnessed in the past few decades (</w:t>
      </w:r>
      <w:proofErr w:type="spellStart"/>
      <w:r>
        <w:t>Bosona</w:t>
      </w:r>
      <w:proofErr w:type="spellEnd"/>
      <w:r>
        <w:t xml:space="preserve">, 2020). Other sectors such as the retail industry operating in the country, the manufacturing businesses which have plants set up in the region as well as the various E-commerce platforms that provide services in the country also strongly depend on the courier and road haulage companies operating in the UK for making sure that they can properly fulfill the demands of their consumers. The road haulage and courier industry </w:t>
      </w:r>
      <w:proofErr w:type="gramStart"/>
      <w:r>
        <w:t>comprises</w:t>
      </w:r>
      <w:proofErr w:type="gramEnd"/>
      <w:r>
        <w:t xml:space="preserve"> a large number of businesses operating on different levels of scale and catering to the needs of different sections of the demand witnessed by the industry. Ranging from multinational companies that can provide courier services to all regions in the UK to small-level business owners who try to fulfill the local transportation and logistics needs within an area, the sector of road haulage and courier in the UK is an extremely vast one.</w:t>
      </w:r>
    </w:p>
    <w:p w14:paraId="2A459240" w14:textId="77777777" w:rsidR="003929DB" w:rsidRDefault="003929DB">
      <w:pPr>
        <w:pStyle w:val="Normal1"/>
      </w:pPr>
    </w:p>
    <w:p w14:paraId="4A0858FF" w14:textId="77777777" w:rsidR="003929DB" w:rsidRDefault="00461CAF">
      <w:pPr>
        <w:pStyle w:val="Normal1"/>
      </w:pPr>
      <w:r>
        <w:br w:type="page"/>
      </w:r>
    </w:p>
    <w:p w14:paraId="3D4B0DDF" w14:textId="77777777" w:rsidR="003929DB" w:rsidRDefault="001D1A3B">
      <w:pPr>
        <w:pStyle w:val="Heading1"/>
      </w:pPr>
      <w:bookmarkStart w:id="1" w:name="_Toc159777430"/>
      <w:r>
        <w:lastRenderedPageBreak/>
        <w:t>Main Body</w:t>
      </w:r>
      <w:bookmarkEnd w:id="1"/>
    </w:p>
    <w:p w14:paraId="035FF8AF" w14:textId="77777777" w:rsidR="003929DB" w:rsidRDefault="00461CAF">
      <w:pPr>
        <w:pStyle w:val="Normal1"/>
      </w:pPr>
      <w:r>
        <w:t>Even though the road haulage and courier industry has been operating successfully in the UK for a large amount of time, it has been facing various challenges from time to time. While some challenges such as changing policies and regulations can have a huge amount of impact on the working methods and running operations in the industry, there also exist other issues that can be easily dealt with by the business owners and trade associations.</w:t>
      </w:r>
    </w:p>
    <w:p w14:paraId="13D40ECB" w14:textId="77777777" w:rsidR="003929DB" w:rsidRDefault="00461CAF">
      <w:pPr>
        <w:pStyle w:val="Normal1"/>
      </w:pPr>
      <w:r>
        <w:t xml:space="preserve">One of the biggest </w:t>
      </w:r>
      <w:proofErr w:type="gramStart"/>
      <w:r>
        <w:t>set</w:t>
      </w:r>
      <w:proofErr w:type="gramEnd"/>
      <w:r>
        <w:t xml:space="preserve"> of regulatory challenges and risks the road haulage and courier industry faces is due to the occurrence of the BREXIT event in Europe. The exit that the UK has taken from the European Union has had a large number of implications on the road haulage industry in terms of its methods of operating. One of the biggest issues the industry is facing due to the BREXIT is the increase in the amount of time it needs to transport goods coming from other European nations into the UK (Kumar et al., 2023). The increased amount of paperwork the companies operating in the sector need to go through while moving goods from other countries into the nation as well as the new border control measures that have been implemented post-Brexit have played a major role in decreasing the level of ease with which the companies were operating and the level of efficiency they showcased in delivering goods in a time-efficient manner as well as in mahjong logistics effectively. The companies based in the UK are also facing a large number of issues with the level of consumer base they were providing services to in the past (Ekici et al., 2022). The occurrence of BREXIT has led to the development of various free trade barriers which affect the ability of these companies to provide services to the citizens of other European countries in an easeful manner and has thus significantly reduced the market share of these organizations.</w:t>
      </w:r>
    </w:p>
    <w:p w14:paraId="49484495" w14:textId="77777777" w:rsidR="003929DB" w:rsidRDefault="003929DB">
      <w:pPr>
        <w:pStyle w:val="Heading2"/>
      </w:pPr>
      <w:bookmarkStart w:id="2" w:name="_obx47634r27l" w:colFirst="0" w:colLast="0"/>
      <w:bookmarkEnd w:id="2"/>
    </w:p>
    <w:p w14:paraId="747BE2DD" w14:textId="77777777" w:rsidR="003929DB" w:rsidRDefault="00461CAF">
      <w:pPr>
        <w:pStyle w:val="Heading2"/>
      </w:pPr>
      <w:bookmarkStart w:id="3" w:name="_2zeb3cred7o3" w:colFirst="0" w:colLast="0"/>
      <w:bookmarkEnd w:id="3"/>
      <w:r>
        <w:br w:type="page"/>
      </w:r>
    </w:p>
    <w:p w14:paraId="4FBB3737" w14:textId="77777777" w:rsidR="003929DB" w:rsidRDefault="00461CAF">
      <w:pPr>
        <w:pStyle w:val="Normal1"/>
      </w:pPr>
      <w:r>
        <w:lastRenderedPageBreak/>
        <w:t>There is also an extensive set of economic issues that have also affected the workings as well as the performance of the road hauling and courier industry. The onset of the COVID-19 virus and the pandemic it brought with itself has played a major role in the generation of the global recession that has affected the revenue generated by a large number of industries, one of them being the road haulage and courier sectors (Tseng et al., 2022). The recession has witnessed a large degree of decline in the amount of shopping and spending done by consumers in general. This reduced number of goods being purchased by the consumers of the UK has led to a decrease in the amount of transportation services that are required to move these goods from their seller to the buyer. Industries that depend largely on the services provided by the road haulage sector such as the construction and infrastructure development industry have been hit by the recession most severely. Hence, the amount of goods that are needed by these sectors has reduced drastically. All these factors have led to a steep decline in the revenue generated by the road haulage and courier sector (Abdi et al., 2020). The pandemic and the post-pandemic world have also witnessed the rising prices of crude oil and the resultant increase in cost generated in the price of petrol and diesel. The increase in fuel prices also poses a significant challenge for the coroner and road haulage industry as the operational costs have hence increased substantially.</w:t>
      </w:r>
    </w:p>
    <w:p w14:paraId="5C42076E" w14:textId="77777777" w:rsidR="003929DB" w:rsidRDefault="00461CAF">
      <w:pPr>
        <w:pStyle w:val="Normal1"/>
      </w:pPr>
      <w:bookmarkStart w:id="4" w:name="_84hemk60rewb" w:colFirst="0" w:colLast="0"/>
      <w:bookmarkEnd w:id="4"/>
      <w:r>
        <w:t>In addition to a large number of challenges, threats, and risks that have been developed for the road Hua leg and courier industry in the last few years, the industry has also witnessed the generation of some positive elements as well. The sector also has the chance to improve upon its way of working and the methods through which it runs its operations by utilizing the several opportunities that are present with it (</w:t>
      </w:r>
      <w:proofErr w:type="spellStart"/>
      <w:r>
        <w:t>Rajaeifar</w:t>
      </w:r>
      <w:proofErr w:type="spellEnd"/>
      <w:r>
        <w:t xml:space="preserve"> et al., 2022). The past few years have witnessed a large amount of development in the field of technology, various incentives related to sustainability being developed worldwide as well the growth of the market potential for the road haulage and courier industry. Making the pope or some of these developments can play a major role in helping the industry to increase the revenue it is generating, the efficiency with which it is catering to the needs of its consumers as well as mitigating the different risks it faces.</w:t>
      </w:r>
    </w:p>
    <w:p w14:paraId="6C23E79E" w14:textId="77777777" w:rsidR="003929DB" w:rsidRDefault="00461CAF">
      <w:pPr>
        <w:pStyle w:val="Normal1"/>
      </w:pPr>
      <w:r>
        <w:t xml:space="preserve">The pandemic has played the role of a catalyst in advancing the growth witnessed by the software and the technology industry. These last couple of years have led to the development of a large number of technological goods and prospects that have the potential to improve the operational efficiency as well as the work output showcased by the road </w:t>
      </w:r>
      <w:proofErr w:type="spellStart"/>
      <w:r>
        <w:t>highgate</w:t>
      </w:r>
      <w:proofErr w:type="spellEnd"/>
      <w:r>
        <w:t xml:space="preserve"> and courier industry (Pan et </w:t>
      </w:r>
      <w:r>
        <w:lastRenderedPageBreak/>
        <w:t xml:space="preserve">al., 2021). The industry can make use of advanced GPS products and can integrate the use of smart route optimization algorithms in these navigation systems. Software of this kind can play an integral role in reducing the amount go fuel needed by vehicles used for transportation, can help in making the optimal use of the fuel present in the venules by recording the mileage as well as creating a </w:t>
      </w:r>
      <w:proofErr w:type="spellStart"/>
      <w:r>
        <w:t>high,y</w:t>
      </w:r>
      <w:proofErr w:type="spellEnd"/>
      <w:r>
        <w:t xml:space="preserve"> efficient delivery schedule which can reduce the time needed by the goods to be delivered to the houses of the consumers.</w:t>
      </w:r>
    </w:p>
    <w:p w14:paraId="38797E60" w14:textId="77777777" w:rsidR="003929DB" w:rsidRDefault="00461CAF">
      <w:pPr>
        <w:pStyle w:val="Normal1"/>
      </w:pPr>
      <w:r>
        <w:t xml:space="preserve">The companies operating the sector of road haulage and courier services in the UK can try to expand the section of the consumer base on which they are focusing. The companies can try to explore the various niche markets that are present in the transportation sector such as heavy cargo transportation, time-efficient transition of perishable products, and delivery of large-sized goods amongst various other sections. Indulgence in such specific-sized sections of the market can help </w:t>
      </w:r>
      <w:proofErr w:type="spellStart"/>
      <w:r>
        <w:t>Esdaa</w:t>
      </w:r>
      <w:proofErr w:type="spellEnd"/>
      <w:r>
        <w:t xml:space="preserve"> lose stronger control over the market segment and can hence create a narrow stable stream of revenue for the organization (Ibn-Mohammed et al., 2021). The company can also try to make partnerships and collaborations with the company operating in the same industry in neighboring countries. Post-Brexit, these collaborations can play a major role in helping both the collaborating companies cater to a large section of the </w:t>
      </w:r>
      <w:proofErr w:type="spellStart"/>
      <w:r>
        <w:t>mooncussers</w:t>
      </w:r>
      <w:proofErr w:type="spellEnd"/>
      <w:r>
        <w:t xml:space="preserve"> as well as in fulfilling their demands in a much better manner. With the help of these partnerships, the companies can try to cater to their base of consumers that is present on either side of the order with the help of their partner company present in that region.</w:t>
      </w:r>
    </w:p>
    <w:p w14:paraId="27F20AF5" w14:textId="77777777" w:rsidR="003929DB" w:rsidRDefault="00461CAF" w:rsidP="001D1A3B">
      <w:pPr>
        <w:pStyle w:val="Normal1"/>
      </w:pPr>
      <w:r>
        <w:t xml:space="preserve">There has been a significant increase in the level of awareness that the general masses have regarding the importance of substantiality and the integration of this value in the operations of the companies of which they are a consumer. Hence, it is extremely essential to integrate this value as a core part of the operations run by the organization working in this sector. Changing the fuel used by eyeholes operating in the road haulage and courier services industry from crude oil-based fuels to sustainable ones can bring about a large number of diverse benefits for the environment (Ma et al., 2023). The higher costs of uproarious being witnessed by the companies operating in this sector due to the increasing price of crude oil-related fuels can be easily handled by transitioning from these non-subduable fuels to environmentally </w:t>
      </w:r>
      <w:proofErr w:type="spellStart"/>
      <w:proofErr w:type="gramStart"/>
      <w:r>
        <w:t>friendly;t</w:t>
      </w:r>
      <w:proofErr w:type="spellEnd"/>
      <w:proofErr w:type="gramEnd"/>
      <w:r>
        <w:t xml:space="preserve"> ones such as biodiesel, CNG, or hydrogen. In addition to this, the use of such fuels can also help in showcasing to the consumer base that their </w:t>
      </w:r>
      <w:r>
        <w:lastRenderedPageBreak/>
        <w:t>organization is also aware of the dangerous condition of the environment and is putting in efforts to make the environment safe.</w:t>
      </w:r>
    </w:p>
    <w:p w14:paraId="0B9B29EE" w14:textId="77777777" w:rsidR="003929DB" w:rsidRDefault="00461CAF">
      <w:pPr>
        <w:pStyle w:val="Normal1"/>
      </w:pPr>
      <w:r>
        <w:t>The profit management theory is an economic concept that is used by organizations to determine the amount of goods they need to prove so that the profit generated by it can be maximized. In technical terms, the profit aviation theory can be used to determine the level of output that is generated by an organization so that the marginal cost for its goods is the same as the marginal revenue produced by them. In the sector of road haulage and courier delivery service, the profit maximization theory can be used to improve the feint of the operations done by a company operating in the sector to make the maximum possible profit (</w:t>
      </w:r>
      <w:proofErr w:type="spellStart"/>
      <w:r>
        <w:t>Notteboom</w:t>
      </w:r>
      <w:proofErr w:type="spellEnd"/>
      <w:r>
        <w:t xml:space="preserve"> and </w:t>
      </w:r>
      <w:proofErr w:type="spellStart"/>
      <w:r>
        <w:t>Haralambides</w:t>
      </w:r>
      <w:proofErr w:type="spellEnd"/>
      <w:r>
        <w:t xml:space="preserve">, 2020). While simple, this theory, the organization also needs to focus on the environmental conditions and elements present in the market that affect the efficiency and performance of the operations done by it, the costs that are being required to run the operations as well and the various revenue opportunities that are present in the market. </w:t>
      </w:r>
    </w:p>
    <w:p w14:paraId="5AA44987" w14:textId="77777777" w:rsidR="003929DB" w:rsidRDefault="00461CAF" w:rsidP="001D1A3B">
      <w:pPr>
        <w:pStyle w:val="Normal1"/>
      </w:pPr>
      <w:r>
        <w:t>The theory can be applied to develop the strategy used by the company for processing its services. The precise should be set in a manner that can easily cause the different costs that will suffered by the company while providing the services such as the current price for the fuel used, the competition that is present in the sector and the impact on price to has a song with the degree of elasticity that is represented with demand witnessed by the company (Hoang et al., 2021). The company can also try to integrate a dynamic pricing strategy for its services depending on the existing market conditions.  The cost of dynamic commodities, the changing demands of the consumers, as well as the capacity of the organization to generate profit from particular services, can all play a huge role in determining what the particular service will cost to the consumer.</w:t>
      </w:r>
    </w:p>
    <w:p w14:paraId="6BA5B77A" w14:textId="77777777" w:rsidR="003929DB" w:rsidRDefault="00461CAF">
      <w:pPr>
        <w:pStyle w:val="Normal1"/>
      </w:pPr>
      <w:r>
        <w:t xml:space="preserve">The demand and supply theory can play a major role in helping an organization to understand how the price of its goods along with the quality with which they are present in the market is related to the level of demand the market has for such products. The theory suggests that goods that witnessed higher economic activity are usually the ones that have a higher degree of demand in the market (Hafner and Raimondi, 2020). The increase in the sale of such products can provide a huge </w:t>
      </w:r>
      <w:proofErr w:type="gramStart"/>
      <w:r>
        <w:t>amount</w:t>
      </w:r>
      <w:proofErr w:type="gramEnd"/>
      <w:r>
        <w:t xml:space="preserve"> of benefits for the transportation sector as such products have the potential to move fast. The theory also focuses on the impact witnessed by the respiration sector through the notes of the e-commerce industry. The phenomenon of online shopping increased by a Stuart degree </w:t>
      </w:r>
      <w:r>
        <w:lastRenderedPageBreak/>
        <w:t xml:space="preserve">during the lockdown and hence, the need for last-mile delivery of these goods also saw a significant increase. </w:t>
      </w:r>
    </w:p>
    <w:p w14:paraId="4F7CB1B0" w14:textId="77777777" w:rsidR="003929DB" w:rsidRDefault="00461CAF">
      <w:pPr>
        <w:pStyle w:val="Normal1"/>
      </w:pPr>
      <w:r>
        <w:t>The structure of the market in the road haulage and courier service industry has also had a huge amount of impact on the operations of the companies working in this industry as well as the profit generated by these organizations. The road haulage industry resort in the UK is mostly controlled and managed by a small number of large companies that control almost all of the market share (Ahmad et al., 2022). The only small firms that are present in the sector are the ones that are operating in some specific niche markets or providing their services to a small region. The leading players that are present in this sector have a large amount of pricing power, both due to a large amount of existing share of the market they have along with the benefit gained by the economies of scale (Ahmad et al., 2021). It is due to this factor that new companies are finding it difficult to enter the mainstream translation market other than operating in niche sections of the industry.</w:t>
      </w:r>
    </w:p>
    <w:p w14:paraId="7DB99C34" w14:textId="77777777" w:rsidR="004231A4" w:rsidRDefault="004231A4">
      <w:pPr>
        <w:pStyle w:val="Normal1"/>
      </w:pPr>
      <w:r>
        <w:t xml:space="preserve">Some of the important </w:t>
      </w:r>
      <w:proofErr w:type="gramStart"/>
      <w:r>
        <w:t>recommendation</w:t>
      </w:r>
      <w:proofErr w:type="gramEnd"/>
      <w:r>
        <w:t xml:space="preserve"> are stated below:</w:t>
      </w:r>
    </w:p>
    <w:p w14:paraId="54AA6CFA" w14:textId="77777777" w:rsidR="003929DB" w:rsidRDefault="00461CAF" w:rsidP="004231A4">
      <w:pPr>
        <w:pStyle w:val="Normal1"/>
      </w:pPr>
      <w:r>
        <w:t>The organizations that are operating in the road haulage and courier service industry need to focus on integrating it into the primary strategy that they develop for their future operations. Empowering the benefits that can be pursued by utilizing this value in the operations of the organization as well as developing a culture of sub-</w:t>
      </w:r>
      <w:proofErr w:type="spellStart"/>
      <w:r>
        <w:t>tuality</w:t>
      </w:r>
      <w:proofErr w:type="spellEnd"/>
      <w:r>
        <w:t xml:space="preserve"> in the company can help in creating an image among the masses that the organization is an environmentally conscious one (Barman et al., 2023).</w:t>
      </w:r>
    </w:p>
    <w:p w14:paraId="292396DA" w14:textId="77777777" w:rsidR="003929DB" w:rsidRDefault="00461CAF" w:rsidP="004231A4">
      <w:pPr>
        <w:pStyle w:val="Normal1"/>
      </w:pPr>
      <w:r>
        <w:t>The organization should also focus on communicating the different intervals that it is taking regarding the integration of sustainability in its operations to its stakeholders as well as to its base of consumers. Showcasing the efforts made by them can help in inhaling the image of the company and further can play a major role in increasing the level of loyalty the consumers of the company have towards itself (Xiang et al., 2021).</w:t>
      </w:r>
    </w:p>
    <w:p w14:paraId="555EEF7A" w14:textId="77777777" w:rsidR="003929DB" w:rsidRDefault="00461CAF" w:rsidP="004231A4">
      <w:pPr>
        <w:pStyle w:val="Normal1"/>
      </w:pPr>
      <w:r>
        <w:t xml:space="preserve">The organization must also try to enter into partnerships with various governmental agencies as well as with academic institutions so that it can align its operations with the best industry practices that are being recommended by the government. </w:t>
      </w:r>
      <w:proofErr w:type="spellStart"/>
      <w:r>
        <w:t>ALogning</w:t>
      </w:r>
      <w:proofErr w:type="spellEnd"/>
      <w:r>
        <w:t xml:space="preserve"> with academic sanctions can also help the organization to get deeper information about how sustainability can be further integrated into its methods of working.</w:t>
      </w:r>
    </w:p>
    <w:p w14:paraId="361603B2" w14:textId="77777777" w:rsidR="003929DB" w:rsidRDefault="00461CAF">
      <w:pPr>
        <w:pStyle w:val="Heading1"/>
      </w:pPr>
      <w:bookmarkStart w:id="5" w:name="_Toc159777431"/>
      <w:r>
        <w:lastRenderedPageBreak/>
        <w:t>Conclusion</w:t>
      </w:r>
      <w:bookmarkEnd w:id="5"/>
    </w:p>
    <w:p w14:paraId="05989E7B" w14:textId="77777777" w:rsidR="003929DB" w:rsidRDefault="00461CAF">
      <w:pPr>
        <w:pStyle w:val="Normal1"/>
      </w:pPr>
      <w:r>
        <w:t xml:space="preserve">The road haulage and courier service industry </w:t>
      </w:r>
      <w:proofErr w:type="gramStart"/>
      <w:r>
        <w:t>is</w:t>
      </w:r>
      <w:proofErr w:type="gramEnd"/>
      <w:r>
        <w:t xml:space="preserve"> one of the most significant as well as crucial industries that are operating in the UK. The sector is not only responsible for laying the foundation for the operation of e-commerce and conduction sectors but is also an integral part of the smooth function of the entire nation. Even though the sector faced a large number of challenges during the past few years, the industry is showcasing a significant amount of improvement in its methods of working and has been able to capitalize on a large number of opportunities presented to it such as technological advancements and increased focus on sustainability initiatives.</w:t>
      </w:r>
    </w:p>
    <w:p w14:paraId="4B048DDB" w14:textId="77777777" w:rsidR="004231A4" w:rsidRDefault="004231A4">
      <w:pPr>
        <w:rPr>
          <w:b/>
          <w:color w:val="000000"/>
          <w:sz w:val="28"/>
          <w:szCs w:val="28"/>
        </w:rPr>
      </w:pPr>
      <w:r>
        <w:br w:type="page"/>
      </w:r>
    </w:p>
    <w:p w14:paraId="08C2D4BE" w14:textId="77777777" w:rsidR="003929DB" w:rsidRDefault="00461CAF">
      <w:pPr>
        <w:pStyle w:val="Heading1"/>
      </w:pPr>
      <w:bookmarkStart w:id="6" w:name="_Toc159777432"/>
      <w:r>
        <w:lastRenderedPageBreak/>
        <w:t>References</w:t>
      </w:r>
      <w:bookmarkEnd w:id="6"/>
    </w:p>
    <w:p w14:paraId="356829C2" w14:textId="77777777" w:rsidR="00AF6D19" w:rsidRDefault="00AF6D19">
      <w:pPr>
        <w:pStyle w:val="Normal1"/>
      </w:pPr>
      <w:r>
        <w:t xml:space="preserve">Abdi, Y., Li, X. and </w:t>
      </w:r>
      <w:proofErr w:type="spellStart"/>
      <w:r>
        <w:t>Càmara</w:t>
      </w:r>
      <w:proofErr w:type="spellEnd"/>
      <w:r>
        <w:t>-Turull, X., 2020. Impact of sustainability on firm value and financial performance in the air transport industry. Sustainability, 12(23), p.9957.</w:t>
      </w:r>
    </w:p>
    <w:p w14:paraId="7816BBCF" w14:textId="77777777" w:rsidR="00AF6D19" w:rsidRDefault="00AF6D19">
      <w:pPr>
        <w:pStyle w:val="Normal1"/>
      </w:pPr>
      <w:r>
        <w:t xml:space="preserve">Ahmad, T., </w:t>
      </w:r>
      <w:proofErr w:type="spellStart"/>
      <w:r>
        <w:t>Madonski</w:t>
      </w:r>
      <w:proofErr w:type="spellEnd"/>
      <w:r>
        <w:t>, R., Zhang, D., Huang, C. and Mujeeb, A., 2022. Data-driven probabilistic machine learning in sustainable smart energy/smart energy systems: Key developments, challenges, and future research opportunities in the context of smart grid paradigm. Renewable and Sustainable Energy Reviews, 160, p.112128.</w:t>
      </w:r>
    </w:p>
    <w:p w14:paraId="1B2FE737" w14:textId="77777777" w:rsidR="00AF6D19" w:rsidRDefault="00AF6D19">
      <w:pPr>
        <w:pStyle w:val="Normal1"/>
      </w:pPr>
      <w:r>
        <w:t>Ahmad, T., Zhang, D., Huang, C., Zhang, H., Dai, N., Song, Y. and Chen, H., 2021. Artificial intelligence in sustainable energy industry: Status Quo, challenges and opportunities. Journal of Cleaner Production, 289, p.125834.</w:t>
      </w:r>
    </w:p>
    <w:p w14:paraId="17C5FBEE" w14:textId="77777777" w:rsidR="00AF6D19" w:rsidRDefault="00AF6D19">
      <w:pPr>
        <w:pStyle w:val="Normal1"/>
      </w:pPr>
      <w:r>
        <w:t>Barman, P., Dutta, L., Bordoloi, S., Kalita, A., Buragohain, P., Bharali, S. and Azzopardi, B., 2023. Renewable energy integration with electric vehicle technology: A review of the existing smart charging approaches. Renewable and Sustainable Energy Reviews, 183, p.113518.</w:t>
      </w:r>
    </w:p>
    <w:p w14:paraId="215E8FDC" w14:textId="77777777" w:rsidR="00AF6D19" w:rsidRDefault="00AF6D19">
      <w:pPr>
        <w:pStyle w:val="Normal1"/>
      </w:pPr>
      <w:proofErr w:type="spellStart"/>
      <w:r>
        <w:t>Bosona</w:t>
      </w:r>
      <w:proofErr w:type="spellEnd"/>
      <w:r>
        <w:t>, T., 2020. Urban freight last mile logistics—Challenges and opportunities to improve sustainability: A literature review. Sustainability, 12(21), p.8769.</w:t>
      </w:r>
    </w:p>
    <w:p w14:paraId="43C1BFD1" w14:textId="77777777" w:rsidR="00AF6D19" w:rsidRDefault="00AF6D19">
      <w:pPr>
        <w:pStyle w:val="Normal1"/>
      </w:pPr>
      <w:r>
        <w:t xml:space="preserve">Ekici, F., Orhan, G., Gümüş, Ö. and </w:t>
      </w:r>
      <w:proofErr w:type="spellStart"/>
      <w:r>
        <w:t>Bahce</w:t>
      </w:r>
      <w:proofErr w:type="spellEnd"/>
      <w:r>
        <w:t>, A.B., 2022. A policy on the externality problem and solution suggestions in air transportation: The environment and sustainability. Energy, 258, p.124827.</w:t>
      </w:r>
    </w:p>
    <w:p w14:paraId="7AE8870B" w14:textId="77777777" w:rsidR="00AF6D19" w:rsidRDefault="00AF6D19">
      <w:pPr>
        <w:pStyle w:val="Normal1"/>
      </w:pPr>
      <w:r>
        <w:t>Hafner, M. and Raimondi, P.P., 2020. Priorities and challenges of the EU energy transition: From the European Green Package to the new Green Deal. Russian Journal of Economics, 6(4), pp.374-389.</w:t>
      </w:r>
    </w:p>
    <w:p w14:paraId="4591B432" w14:textId="77777777" w:rsidR="00AF6D19" w:rsidRDefault="00AF6D19">
      <w:pPr>
        <w:pStyle w:val="Normal1"/>
      </w:pPr>
      <w:r>
        <w:t xml:space="preserve">Hoang, A.T., </w:t>
      </w:r>
      <w:proofErr w:type="spellStart"/>
      <w:r>
        <w:t>Nižetić</w:t>
      </w:r>
      <w:proofErr w:type="spellEnd"/>
      <w:r>
        <w:t xml:space="preserve">, S., </w:t>
      </w:r>
      <w:proofErr w:type="spellStart"/>
      <w:r>
        <w:t>Olcer</w:t>
      </w:r>
      <w:proofErr w:type="spellEnd"/>
      <w:r>
        <w:t>, A.I., Ong, H.C., Chen, W.H., Chong, C.T., Thomas, S., Bandh, S.A. and Nguyen, X.P., 2021. Impacts of COVID-19 pandemic on the global energy system and the shift progress to renewable energy: Opportunities, challenges, and policy implications. Energy Policy, 154, p.112322.</w:t>
      </w:r>
    </w:p>
    <w:p w14:paraId="01BABE1B" w14:textId="77777777" w:rsidR="00AF6D19" w:rsidRDefault="00AF6D19">
      <w:pPr>
        <w:pStyle w:val="Normal1"/>
      </w:pPr>
      <w:r>
        <w:t xml:space="preserve">Ibn-Mohammed, T., Mustapha, K.B., Godsell, J., Adamu, Z., Babatunde, K.A., Akintade, D.D., Acquaye, A., Fujii, H., Ndiaye, M.M., Yamoah, F.A. and Koh, S.C.L., 2021. A critical analysis of </w:t>
      </w:r>
      <w:r>
        <w:lastRenderedPageBreak/>
        <w:t>the impacts of COVID-19 on the global economy and ecosystems and opportunities for circular economy strategies. Resources, Conservation and Recycling, 164, p.105169.</w:t>
      </w:r>
    </w:p>
    <w:p w14:paraId="741BC069" w14:textId="77777777" w:rsidR="00AF6D19" w:rsidRDefault="00AF6D19">
      <w:pPr>
        <w:pStyle w:val="Normal1"/>
      </w:pPr>
      <w:r>
        <w:t xml:space="preserve">Kumar, S., </w:t>
      </w:r>
      <w:proofErr w:type="spellStart"/>
      <w:r>
        <w:t>Baalisampang</w:t>
      </w:r>
      <w:proofErr w:type="spellEnd"/>
      <w:r>
        <w:t xml:space="preserve">, T., </w:t>
      </w:r>
      <w:proofErr w:type="spellStart"/>
      <w:r>
        <w:t>Arzaghi</w:t>
      </w:r>
      <w:proofErr w:type="spellEnd"/>
      <w:r>
        <w:t xml:space="preserve">, E., </w:t>
      </w:r>
      <w:proofErr w:type="spellStart"/>
      <w:r>
        <w:t>Garaniya</w:t>
      </w:r>
      <w:proofErr w:type="spellEnd"/>
      <w:r>
        <w:t>, V., Abbassi, R. and Salehi, F., 2023. Synergy of green hydrogen sector with offshore industries: Opportunities and challenges for a safe and sustainable hydrogen economy. Journal of Cleaner Production, 384, p.135545.</w:t>
      </w:r>
    </w:p>
    <w:p w14:paraId="67B17B99" w14:textId="77777777" w:rsidR="00AF6D19" w:rsidRDefault="00AF6D19">
      <w:pPr>
        <w:pStyle w:val="Normal1"/>
      </w:pPr>
      <w:r>
        <w:t>Ma, N., Zhao, W., Wang, W., Li, X. and Zhou, H., 2023. Large scale of green hydrogen storage: Opportunities and challenges. International Journal of Hydrogen Energy.</w:t>
      </w:r>
    </w:p>
    <w:p w14:paraId="1EDF8C4D" w14:textId="77777777" w:rsidR="00AF6D19" w:rsidRDefault="00AF6D19">
      <w:pPr>
        <w:pStyle w:val="Normal1"/>
      </w:pPr>
      <w:proofErr w:type="spellStart"/>
      <w:r>
        <w:t>Notteboom</w:t>
      </w:r>
      <w:proofErr w:type="spellEnd"/>
      <w:r>
        <w:t xml:space="preserve">, T.E. and </w:t>
      </w:r>
      <w:proofErr w:type="spellStart"/>
      <w:r>
        <w:t>Haralambides</w:t>
      </w:r>
      <w:proofErr w:type="spellEnd"/>
      <w:r>
        <w:t xml:space="preserve">, H.E., 2020. Port management and governance in a post-COVID-19 era: quo </w:t>
      </w:r>
      <w:proofErr w:type="spellStart"/>
      <w:proofErr w:type="gramStart"/>
      <w:r>
        <w:t>vadis</w:t>
      </w:r>
      <w:proofErr w:type="spellEnd"/>
      <w:r>
        <w:t>?.</w:t>
      </w:r>
      <w:proofErr w:type="gramEnd"/>
      <w:r>
        <w:t xml:space="preserve"> Maritime Economics &amp; Logistics, 22, pp.329-352.</w:t>
      </w:r>
    </w:p>
    <w:p w14:paraId="01163926" w14:textId="77777777" w:rsidR="00AF6D19" w:rsidRDefault="00AF6D19">
      <w:pPr>
        <w:pStyle w:val="Normal1"/>
      </w:pPr>
      <w:r>
        <w:t xml:space="preserve">Pan, S., Zhou, W., </w:t>
      </w:r>
      <w:proofErr w:type="spellStart"/>
      <w:r>
        <w:t>Piramuthu</w:t>
      </w:r>
      <w:proofErr w:type="spellEnd"/>
      <w:r>
        <w:t>, S., Giannikas, V. and Chen, C., 2021. Smart city for sustainable urban freight logistics. International Journal of Production Research, 59(7), pp.2079-2089.</w:t>
      </w:r>
    </w:p>
    <w:p w14:paraId="4C9B0BBE" w14:textId="77777777" w:rsidR="00AF6D19" w:rsidRDefault="00AF6D19">
      <w:pPr>
        <w:pStyle w:val="Normal1"/>
      </w:pPr>
      <w:proofErr w:type="spellStart"/>
      <w:r>
        <w:t>Rajaeifar</w:t>
      </w:r>
      <w:proofErr w:type="spellEnd"/>
      <w:r>
        <w:t xml:space="preserve">, M.A., </w:t>
      </w:r>
      <w:proofErr w:type="spellStart"/>
      <w:r>
        <w:t>Ghadimi</w:t>
      </w:r>
      <w:proofErr w:type="spellEnd"/>
      <w:r>
        <w:t xml:space="preserve">, P., </w:t>
      </w:r>
      <w:proofErr w:type="spellStart"/>
      <w:r>
        <w:t>Raugei</w:t>
      </w:r>
      <w:proofErr w:type="spellEnd"/>
      <w:r>
        <w:t>, M., Wu, Y. and Heidrich, O., 2022. Challenges and recent developments in supply and value chains of electric vehicle batteries: A sustainability perspective. Resources, Conservation and Recycling, 180, p.106144.</w:t>
      </w:r>
    </w:p>
    <w:p w14:paraId="731E66EA" w14:textId="77777777" w:rsidR="00AF6D19" w:rsidRDefault="00AF6D19">
      <w:pPr>
        <w:pStyle w:val="Normal1"/>
      </w:pPr>
      <w:r>
        <w:t>Tseng, M.L., Bui, T.D., Lim, M.K., Fujii, M. and Mishra, U., 2022. Assessing data-driven sustainable supply chain management indicators for the textile industry under industrial disruption and ambidexterity. International Journal of Production Economics, 245, p.108401.</w:t>
      </w:r>
    </w:p>
    <w:p w14:paraId="705F2414" w14:textId="77777777" w:rsidR="00AF6D19" w:rsidRDefault="00AF6D19">
      <w:pPr>
        <w:pStyle w:val="Normal1"/>
      </w:pPr>
      <w:r>
        <w:t xml:space="preserve">Xiang, S., Rasool, S., Hang, Y., Javid, K., Javed, T. and </w:t>
      </w:r>
      <w:proofErr w:type="spellStart"/>
      <w:r>
        <w:t>Artene</w:t>
      </w:r>
      <w:proofErr w:type="spellEnd"/>
      <w:r>
        <w:t>, A.E., 2021. The effect of COVID-19 pandemic on service sector sustainability and growth. Frontiers in psychology, 12, p.1178.</w:t>
      </w:r>
    </w:p>
    <w:p w14:paraId="0CF803E3" w14:textId="77777777" w:rsidR="003929DB" w:rsidRDefault="003929DB">
      <w:pPr>
        <w:pStyle w:val="Normal1"/>
        <w:spacing w:after="0" w:line="276" w:lineRule="auto"/>
        <w:jc w:val="left"/>
        <w:rPr>
          <w:rFonts w:ascii="Arial" w:eastAsia="Arial" w:hAnsi="Arial" w:cs="Arial"/>
          <w:sz w:val="22"/>
          <w:szCs w:val="22"/>
        </w:rPr>
      </w:pPr>
    </w:p>
    <w:p w14:paraId="21B9CF3E" w14:textId="77777777" w:rsidR="003929DB" w:rsidRDefault="003929DB">
      <w:pPr>
        <w:pStyle w:val="Normal1"/>
        <w:spacing w:after="0" w:line="276" w:lineRule="auto"/>
        <w:jc w:val="left"/>
        <w:rPr>
          <w:rFonts w:ascii="Arial" w:eastAsia="Arial" w:hAnsi="Arial" w:cs="Arial"/>
          <w:sz w:val="22"/>
          <w:szCs w:val="22"/>
        </w:rPr>
      </w:pPr>
    </w:p>
    <w:p w14:paraId="705044B4" w14:textId="77777777" w:rsidR="003929DB" w:rsidRDefault="003929DB">
      <w:pPr>
        <w:pStyle w:val="Normal1"/>
        <w:spacing w:after="0" w:line="276" w:lineRule="auto"/>
        <w:jc w:val="left"/>
        <w:rPr>
          <w:rFonts w:ascii="Arial" w:eastAsia="Arial" w:hAnsi="Arial" w:cs="Arial"/>
          <w:sz w:val="22"/>
          <w:szCs w:val="22"/>
        </w:rPr>
      </w:pPr>
    </w:p>
    <w:p w14:paraId="52689CA9" w14:textId="77777777" w:rsidR="003929DB" w:rsidRDefault="003929DB">
      <w:pPr>
        <w:pStyle w:val="Normal1"/>
      </w:pPr>
    </w:p>
    <w:sectPr w:rsidR="003929DB" w:rsidSect="003929DB">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7779F4" w14:textId="77777777" w:rsidR="009E45AB" w:rsidRDefault="009E45AB" w:rsidP="00F1270D">
      <w:pPr>
        <w:spacing w:after="0" w:line="240" w:lineRule="auto"/>
      </w:pPr>
      <w:r>
        <w:separator/>
      </w:r>
    </w:p>
  </w:endnote>
  <w:endnote w:type="continuationSeparator" w:id="0">
    <w:p w14:paraId="478A7385" w14:textId="77777777" w:rsidR="009E45AB" w:rsidRDefault="009E45AB" w:rsidP="00F127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A8D9B" w14:textId="77777777" w:rsidR="009E45AB" w:rsidRDefault="009E45AB" w:rsidP="00F1270D">
      <w:pPr>
        <w:spacing w:after="0" w:line="240" w:lineRule="auto"/>
      </w:pPr>
      <w:r>
        <w:separator/>
      </w:r>
    </w:p>
  </w:footnote>
  <w:footnote w:type="continuationSeparator" w:id="0">
    <w:p w14:paraId="7019215F" w14:textId="77777777" w:rsidR="009E45AB" w:rsidRDefault="009E45AB" w:rsidP="00F127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F73DFD"/>
    <w:multiLevelType w:val="multilevel"/>
    <w:tmpl w:val="CABE99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176654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9DB"/>
    <w:rsid w:val="000B1818"/>
    <w:rsid w:val="001D1A3B"/>
    <w:rsid w:val="003929DB"/>
    <w:rsid w:val="004231A4"/>
    <w:rsid w:val="00461CAF"/>
    <w:rsid w:val="00505201"/>
    <w:rsid w:val="00512963"/>
    <w:rsid w:val="00560728"/>
    <w:rsid w:val="005835DB"/>
    <w:rsid w:val="009E45AB"/>
    <w:rsid w:val="00AF6D19"/>
    <w:rsid w:val="00B211EE"/>
    <w:rsid w:val="00B33FAC"/>
    <w:rsid w:val="00D81C40"/>
    <w:rsid w:val="00F1270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07871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5201"/>
  </w:style>
  <w:style w:type="paragraph" w:styleId="Heading1">
    <w:name w:val="heading 1"/>
    <w:basedOn w:val="Normal1"/>
    <w:next w:val="Normal1"/>
    <w:rsid w:val="003929DB"/>
    <w:pPr>
      <w:keepNext/>
      <w:keepLines/>
      <w:spacing w:before="480" w:after="0" w:line="480" w:lineRule="auto"/>
      <w:outlineLvl w:val="0"/>
    </w:pPr>
    <w:rPr>
      <w:b/>
      <w:color w:val="000000"/>
      <w:sz w:val="28"/>
      <w:szCs w:val="28"/>
    </w:rPr>
  </w:style>
  <w:style w:type="paragraph" w:styleId="Heading2">
    <w:name w:val="heading 2"/>
    <w:basedOn w:val="Normal1"/>
    <w:next w:val="Normal1"/>
    <w:rsid w:val="003929DB"/>
    <w:pPr>
      <w:keepNext/>
      <w:keepLines/>
      <w:spacing w:before="200" w:after="0"/>
      <w:outlineLvl w:val="1"/>
    </w:pPr>
    <w:rPr>
      <w:b/>
      <w:i/>
      <w:u w:val="single"/>
    </w:rPr>
  </w:style>
  <w:style w:type="paragraph" w:styleId="Heading3">
    <w:name w:val="heading 3"/>
    <w:basedOn w:val="Normal1"/>
    <w:next w:val="Normal1"/>
    <w:rsid w:val="003929DB"/>
    <w:pPr>
      <w:keepNext/>
      <w:keepLines/>
      <w:spacing w:before="280" w:after="80"/>
      <w:outlineLvl w:val="2"/>
    </w:pPr>
    <w:rPr>
      <w:b/>
      <w:sz w:val="28"/>
      <w:szCs w:val="28"/>
    </w:rPr>
  </w:style>
  <w:style w:type="paragraph" w:styleId="Heading4">
    <w:name w:val="heading 4"/>
    <w:basedOn w:val="Normal1"/>
    <w:next w:val="Normal1"/>
    <w:rsid w:val="003929DB"/>
    <w:pPr>
      <w:keepNext/>
      <w:keepLines/>
      <w:spacing w:before="240" w:after="40"/>
      <w:outlineLvl w:val="3"/>
    </w:pPr>
    <w:rPr>
      <w:b/>
    </w:rPr>
  </w:style>
  <w:style w:type="paragraph" w:styleId="Heading5">
    <w:name w:val="heading 5"/>
    <w:basedOn w:val="Normal1"/>
    <w:next w:val="Normal1"/>
    <w:rsid w:val="003929DB"/>
    <w:pPr>
      <w:keepNext/>
      <w:keepLines/>
      <w:spacing w:before="220" w:after="40"/>
      <w:outlineLvl w:val="4"/>
    </w:pPr>
    <w:rPr>
      <w:b/>
      <w:sz w:val="22"/>
      <w:szCs w:val="22"/>
    </w:rPr>
  </w:style>
  <w:style w:type="paragraph" w:styleId="Heading6">
    <w:name w:val="heading 6"/>
    <w:basedOn w:val="Normal1"/>
    <w:next w:val="Normal1"/>
    <w:rsid w:val="003929DB"/>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929DB"/>
  </w:style>
  <w:style w:type="paragraph" w:styleId="Title">
    <w:name w:val="Title"/>
    <w:basedOn w:val="Normal1"/>
    <w:next w:val="Normal1"/>
    <w:rsid w:val="003929DB"/>
    <w:pPr>
      <w:keepNext/>
      <w:keepLines/>
      <w:spacing w:before="480" w:after="120"/>
    </w:pPr>
    <w:rPr>
      <w:b/>
      <w:sz w:val="72"/>
      <w:szCs w:val="72"/>
    </w:rPr>
  </w:style>
  <w:style w:type="paragraph" w:styleId="Subtitle">
    <w:name w:val="Subtitle"/>
    <w:basedOn w:val="Normal1"/>
    <w:next w:val="Normal1"/>
    <w:rsid w:val="003929DB"/>
    <w:pPr>
      <w:keepNext/>
      <w:keepLines/>
      <w:spacing w:before="360" w:after="80"/>
    </w:pPr>
    <w:rPr>
      <w:rFonts w:ascii="Georgia" w:eastAsia="Georgia" w:hAnsi="Georgia" w:cs="Georgia"/>
      <w:i/>
      <w:color w:val="666666"/>
      <w:sz w:val="48"/>
      <w:szCs w:val="48"/>
    </w:rPr>
  </w:style>
  <w:style w:type="paragraph" w:styleId="BalloonText">
    <w:name w:val="Balloon Text"/>
    <w:basedOn w:val="Normal"/>
    <w:link w:val="BalloonTextChar"/>
    <w:uiPriority w:val="99"/>
    <w:semiHidden/>
    <w:unhideWhenUsed/>
    <w:rsid w:val="000B181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B1818"/>
    <w:rPr>
      <w:rFonts w:ascii="Tahoma" w:hAnsi="Tahoma" w:cs="Tahoma"/>
      <w:sz w:val="16"/>
      <w:szCs w:val="16"/>
    </w:rPr>
  </w:style>
  <w:style w:type="paragraph" w:styleId="Header">
    <w:name w:val="header"/>
    <w:basedOn w:val="Normal"/>
    <w:link w:val="HeaderChar"/>
    <w:uiPriority w:val="99"/>
    <w:semiHidden/>
    <w:unhideWhenUsed/>
    <w:rsid w:val="00F1270D"/>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F1270D"/>
  </w:style>
  <w:style w:type="paragraph" w:styleId="Footer">
    <w:name w:val="footer"/>
    <w:basedOn w:val="Normal"/>
    <w:link w:val="FooterChar"/>
    <w:uiPriority w:val="99"/>
    <w:semiHidden/>
    <w:unhideWhenUsed/>
    <w:rsid w:val="00F1270D"/>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F1270D"/>
  </w:style>
  <w:style w:type="paragraph" w:styleId="TOCHeading">
    <w:name w:val="TOC Heading"/>
    <w:basedOn w:val="Heading1"/>
    <w:next w:val="Normal"/>
    <w:uiPriority w:val="39"/>
    <w:semiHidden/>
    <w:unhideWhenUsed/>
    <w:qFormat/>
    <w:rsid w:val="00512963"/>
    <w:pPr>
      <w:spacing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512963"/>
    <w:pPr>
      <w:spacing w:after="100"/>
    </w:pPr>
  </w:style>
  <w:style w:type="paragraph" w:styleId="TOC2">
    <w:name w:val="toc 2"/>
    <w:basedOn w:val="Normal"/>
    <w:next w:val="Normal"/>
    <w:autoRedefine/>
    <w:uiPriority w:val="39"/>
    <w:unhideWhenUsed/>
    <w:rsid w:val="00512963"/>
    <w:pPr>
      <w:spacing w:after="100"/>
      <w:ind w:left="240"/>
    </w:pPr>
  </w:style>
  <w:style w:type="character" w:styleId="Hyperlink">
    <w:name w:val="Hyperlink"/>
    <w:basedOn w:val="DefaultParagraphFont"/>
    <w:uiPriority w:val="99"/>
    <w:unhideWhenUsed/>
    <w:rsid w:val="0051296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CDDB17-EFC4-4117-8FA4-536A8230ADB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2826</Words>
  <Characters>16113</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2024-02-25T22:07:00Z</dcterms:created>
  <dcterms:modified xsi:type="dcterms:W3CDTF">2024-03-02T08:42:00Z</dcterms:modified>
</cp:coreProperties>
</file>