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2443A" w14:textId="77777777" w:rsidR="00ED5831" w:rsidRDefault="00ED5831" w:rsidP="00ED5831">
      <w:r>
        <w:t xml:space="preserve">Preparing for Police Professional Practice Assignment 2 – Daniel Phillips – 2305529 </w:t>
      </w:r>
    </w:p>
    <w:p w14:paraId="6F90607A" w14:textId="77777777" w:rsidR="00ED5831" w:rsidRDefault="00ED5831" w:rsidP="00ED5831"/>
    <w:p w14:paraId="1FF0344D" w14:textId="212D883D" w:rsidR="00787F17" w:rsidRDefault="00ED5831" w:rsidP="00ED5831">
      <w:r>
        <w:t>This assignment will explore the concept of policing by consent. It will begin by explaining what it is, the importance surrounding it and then the subsequent impact on society. The following assignment will also include considerations of the impact of prior historical incidents that have shaped the idea of policing by consent. Policing by consent is a vitally important concept that is paramount to the foundations of policing as a whole and society's general trust in the police force. This is because the police would not be able to carry out their duties if they did not have the public's consent to do so. For the concept of policing by consent to be used successfully in society, then the police must be extremely transparent in the sense of the work that they do and be held accountable for any mistakes made. An agreed definition of policing by consent can be found on the online website, (GOV.UK, 2012). This source states that the concept of policing by consent refers to the authority and policing powers of the police force, which derives from consent from the public, as opposed to state powers. It is of the utmost importance to make clear that policing by consent refers to the police's authority coming from the general public's consent rather than from the authority given to the police by the state. That does not mean any single person or group's consent. Nobody has the right to not give their consent to the police or any other law enforcement agency. The concept of policing by consent is vastly important to ensuring an effective standard of policing is delivered. This is displayed in the report, (Desai, 2020). This report reaffirms the importance of policing by consent. This report also infers that policing by consent is a key component of the idea that widespread public support for police activities is necessary for an effective level of policing. This is also supported in, (College of Policing A, 2024). This source supports the notion that the public's faith and confidence in the police force is essential to the concept of policing by consent. Policing by consent is also important because if the police did not have the public's confidence and trust, they would not be able to do their role of crime prevention and investigation. This is because the police force is constantly relying on public support in disclosing any crime and assisting with criminal investigations and subsequent outcomes. This is shown in (Tyler, Huo and Thacher, 2004). This review theorises that it is evident that for the police force to effectively ensure that they can fulfil their duties, the public's collaboration and support are necessary. The police forces roles and potential investigations will benefit especially when a significant amount of the public cooperates and offers their support. This again supports the importance of policing by consent and its subsequent advantages in ensuring an effective level of policing in the United Kingdom. Policing by consent will also lead to more people complying with the law. This is sustained by (Jackson and Bradford, 2010). This source implies that policing by consent will only promote trust and confidence in the police across the United Kingdom. This will subsequently lead to the public complying with the law as they will have trust and confidence that the police will carry out their duties and arrest any individual not complying with the law. Policing by consent is also vitally important in preventing abuse of power in the police force. This is displayed in (</w:t>
      </w:r>
      <w:proofErr w:type="spellStart"/>
      <w:r>
        <w:t>Melkamu</w:t>
      </w:r>
      <w:proofErr w:type="spellEnd"/>
      <w:r>
        <w:t xml:space="preserve"> and Teshome, 2023). This source states that poor trust in the police can result in police procedural unfairness or the police not treating the public properly when carrying out their duties. Subsequently, it can be inferred that it is more likely that police officers will follow the law and professional standards when the community they work in trust them. Policing by consent impacts society in a positive way. Firstly, policing by consent will improve collaboration between communities and the police force. This is due to policing by consent </w:t>
      </w:r>
      <w:r>
        <w:lastRenderedPageBreak/>
        <w:t xml:space="preserve">urging people in the community to actively assist the police. The notion of policing by consent will also improve public safety overall, help the police complete investigations quicker, and ensure a higher level of effective crime prevention. This is highlighted in (Brown and Hobbs, 2023). This source supports the idea that policing by consent will improve collaboration between the police and communities. The previous source gathers that In England and Wales, it has been demonstrated that prominent levels of trust and confidence in the police encourage compliance and collaboration between communities and the police force. Overall, this will impact society greatly as there will be less crime and the public will feel safer. Another impact caused on society by the concept of policing by consent, is that the levels and standard of engagement by the police to communities will be increased. This is displayed in the source, (College of Policing B, 2024). This source states that the legitimacy of the police force will also be increased by participating in community engagement. This is because policing by consent improves the standard of engagement present in communities by the police service. The source also infers that research indicates that the public's trust in law enforcement can be considerably raised through efficient community engagement and collaborative problem-solving. Furthermore, policing by consent also ensures that the police carry out their duties with human rights in mind. This is a positive impact on society as human rights must be respected and maintained by the police in the United Kingdom. Protecting an individual's or a group of persons' rights is emphasised in policing by consent. This is because when the police carry out their duties under the notion of consent, they are more likely to respect people's rights and liberties, such as the freedom of speech, privacy, and the avoidance of unlawful arrests or grievances against the force. This is supported in, (College of Policing C, 2024). This source supports policing by consent ensuring human rights because the foundation of all police activity considers the human rights act. Human rights must be central to the idea, planning, execution, and oversight of every aspect of the police forces activities. This infers that if the police did not police by consent, then they would be disregarding human rights altogether. Policing, in general, has not always been the way it is now. Although the police force has a strong belief of and follows the concept of policing by consent, it has taken several historical incidents to structure the proposition of policing by consent. The following historical incidents have impacted the way that the police force carries out their roles and duties to the public. One historical incident that majorly affected policing was the Brixton Riots in 1981. After hearing reports of police brutality against a black man on April 10, 1981, an enraged crowd confronted police for several hours. This violence was contained. However, the following night violence broke out in the streets of Brixton. For three days, rioters, who were mostly young black, men attacked buildings, set fire to motor vehicles, and engaged in physical confrontations with police. This description of events is supported by, (BBC, 2021). Following the riots, the home secretary appointed Lord Leslie George Scarman Baron Scarman to investigate and publish a report on how the riots started. The subsequent report found that loss of faith in the police, mistrust of the processes for looking into complaints against the police, and racist actions by some police personnel were significant factors contributing to the riots. The importance of racial discrimination issues, trust-building, and community policing was highlighted in the report. This is shown in, (Scarman Report, 2007). This source displays that the report was also significantly influential in shaping the new direction of policing in the United Kingdom. It also paved the way for policing by consent to start being utilised as the report highlighted the need for the public to be able to have trust and confidence in the police, for policing to be effective. Another historical incident that </w:t>
      </w:r>
      <w:r>
        <w:lastRenderedPageBreak/>
        <w:t>significantly impacted the police force and shaped the idea of policing by consent was the Racially aggravated murder of Stephen Lawrence and the subsequent Macpherson report. Stephen Lawrence was attacked and repeatedly wounded on April 22, 1993, when he was waiting for a bus with his friend. He was then left to die on the pavement. Shown in, (Narwal, 2024). This source sustains the gruesome details in which Stephen Lawrence was maliciously attacked. It also highlights the fact that the crime was motivated by race and was committed without provocation. Then, four years after Stephen Lawrence was killed, the home secretary at the time declared that an inquiry into his passing would be launched, this was called the Macpherson Report. The Metropolitan Police Service's handling of the inquiry and policing's overall inability to adequately monitor, comprehend, or investigate racist offences were both heavily criticised in the report. This is identified in, (Parliament, 2021). This source displays that the report went into detail about how communities, particularly those who identified as minority ethnic, require a greater trust and confidence in the police. Police methods for identifying and investigating racist incidents and crimes have also changed because of the Macpherson report. It is apparent from this that the murder of Stephen Lawrence and the subsequent Macpherson report, had a substantial impact on the police service and most definitely had a role in forming the idea of policing by consent. One final incident that is extremely prevalent to shaping the idea of policing by consent is that of the London riots in 2011. The 2011 riots started as a nonviolent protest to obtain information over the death of Mark Duggan, who was shot dead in a police operation. This is supported by, (Bell, 2021). This source alludes to how the 2011 riots began and further states that, the once peaceful protest soon turned in to a riot. Others were inspired by these photos of rioters fighting the police. Unrest spread throughout UK towns and cities over the following five nights, this resulted in five people sadly losing their lives. There was no official government inquiry in to the 2011 London riots, therefore no recommendations in to how the police could have improved. However, it was the Metropolitan Police Services lack of communication to the family of Mark Duggan and the peaceful protest that had gathered outside of Tottenham police station that initially started the riots. This is sustained in, (Reicher, 2019). This source states that Mark Duggan's family were encouraging peace and restraint in the community, until they got answers, but the police never responded to them. More people then gathered. The family of Mark Duggan, who were encouraging the peace then left. The rioting then started. This identifies that the police forces failure to engage with the family and protestors was one of the factors that resulted in the riots. After this, the police identified that engagement was essential in maintaining a good standard of policing and the need for and importance of policing by consent. To conclude, policing by consent is key in guaranteeing that police forces across the United Kingdom deliver a service that is legal and fair on the communities that they serve. Policing by consent is also very important in police investigations as the police would not be able to establish the facts of the case if they did not have the public’s trust and confidence. Policing by consent also establishes a higher level of the public complying with the law as the public would trust the police to carry out their duty in upholding the law. Policing by consent has also had a profound effect on society. This is because policing by consent will lead to ensuring human rights are being thought of and adhered to. Historical events such as the Brixton riots and the tragic unprovoked murder of Stephen Lawrence have also played a significant role of shaping policing by consent. If it were not for these events, subsequent reports and changes, then policing by consent would not have been shaped as efficiently.</w:t>
      </w:r>
    </w:p>
    <w:p w14:paraId="7C23F828" w14:textId="6F75810A" w:rsidR="00B01AC2" w:rsidRDefault="00B01AC2" w:rsidP="00B01AC2">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lastRenderedPageBreak/>
        <w:t>Preparing for Police Professional Practice Assignment 2 – Daniel Phillips – Reference List</w:t>
      </w:r>
      <w:r>
        <w:rPr>
          <w:rStyle w:val="eop"/>
          <w:rFonts w:ascii="Arial" w:hAnsi="Arial" w:cs="Arial"/>
          <w:color w:val="000000"/>
        </w:rPr>
        <w:t> </w:t>
      </w:r>
    </w:p>
    <w:p w14:paraId="09E45858"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0AF40175" w14:textId="77777777" w:rsidR="00B01AC2" w:rsidRDefault="00B01AC2" w:rsidP="00B01AC2">
      <w:pPr>
        <w:pStyle w:val="paragraph"/>
        <w:shd w:val="clear" w:color="auto" w:fill="FFFFFF"/>
        <w:spacing w:before="0" w:beforeAutospacing="0" w:after="0" w:afterAutospacing="0"/>
        <w:textAlignment w:val="baseline"/>
        <w:rPr>
          <w:rFonts w:ascii="Segoe UI" w:hAnsi="Segoe UI" w:cs="Segoe UI"/>
          <w:color w:val="2F5496"/>
          <w:sz w:val="18"/>
          <w:szCs w:val="18"/>
        </w:rPr>
      </w:pPr>
      <w:r>
        <w:rPr>
          <w:rStyle w:val="normaltextrun"/>
          <w:rFonts w:ascii="Arial" w:hAnsi="Arial" w:cs="Arial"/>
          <w:color w:val="000000"/>
          <w:lang w:val="en-US"/>
        </w:rPr>
        <w:t>BBC (2021)</w:t>
      </w:r>
      <w:r>
        <w:rPr>
          <w:rStyle w:val="normaltextrun"/>
          <w:rFonts w:ascii="Arial" w:hAnsi="Arial" w:cs="Arial"/>
          <w:i/>
          <w:iCs/>
          <w:color w:val="000000"/>
          <w:lang w:val="en-US"/>
        </w:rPr>
        <w:t xml:space="preserve"> </w:t>
      </w:r>
      <w:r>
        <w:rPr>
          <w:rStyle w:val="normaltextrun"/>
          <w:rFonts w:ascii="Arial" w:hAnsi="Arial" w:cs="Arial"/>
          <w:i/>
          <w:iCs/>
          <w:color w:val="141414"/>
          <w:lang w:val="en-US"/>
        </w:rPr>
        <w:t xml:space="preserve">Brixton riots 1981: What happened 40 years ago in London. </w:t>
      </w:r>
      <w:r>
        <w:rPr>
          <w:rStyle w:val="normaltextrun"/>
          <w:rFonts w:ascii="Arial" w:hAnsi="Arial" w:cs="Arial"/>
          <w:color w:val="141414"/>
          <w:lang w:val="en-US"/>
        </w:rPr>
        <w:t xml:space="preserve">Available At: </w:t>
      </w:r>
      <w:hyperlink r:id="rId4" w:tgtFrame="_blank" w:history="1">
        <w:r>
          <w:rPr>
            <w:rStyle w:val="normaltextrun"/>
            <w:rFonts w:ascii="Arial" w:hAnsi="Arial" w:cs="Arial"/>
            <w:color w:val="0563C1"/>
            <w:u w:val="single"/>
            <w:lang w:val="en-US"/>
          </w:rPr>
          <w:t>https://www.bbc.co.uk/newsround/50035769</w:t>
        </w:r>
      </w:hyperlink>
      <w:r>
        <w:rPr>
          <w:rStyle w:val="normaltextrun"/>
          <w:rFonts w:ascii="Arial" w:hAnsi="Arial" w:cs="Arial"/>
          <w:color w:val="141414"/>
          <w:lang w:val="en-US"/>
        </w:rPr>
        <w:t xml:space="preserve"> (Accessed on 9/03/2024)</w:t>
      </w:r>
      <w:r>
        <w:rPr>
          <w:rStyle w:val="eop"/>
          <w:rFonts w:ascii="Arial" w:hAnsi="Arial" w:cs="Arial"/>
          <w:color w:val="141414"/>
        </w:rPr>
        <w:t> </w:t>
      </w:r>
    </w:p>
    <w:p w14:paraId="4DE8A0C6"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06C9967" w14:textId="77777777" w:rsidR="00B01AC2" w:rsidRDefault="00B01AC2" w:rsidP="00B01AC2">
      <w:pPr>
        <w:pStyle w:val="paragraph"/>
        <w:shd w:val="clear" w:color="auto" w:fill="FFFFFF"/>
        <w:spacing w:before="0" w:beforeAutospacing="0" w:after="0" w:afterAutospacing="0"/>
        <w:textAlignment w:val="baseline"/>
        <w:rPr>
          <w:rFonts w:ascii="Segoe UI" w:hAnsi="Segoe UI" w:cs="Segoe UI"/>
          <w:color w:val="2F5496"/>
          <w:sz w:val="18"/>
          <w:szCs w:val="18"/>
        </w:rPr>
      </w:pPr>
      <w:r>
        <w:rPr>
          <w:rStyle w:val="normaltextrun"/>
          <w:rFonts w:ascii="Arial" w:hAnsi="Arial" w:cs="Arial"/>
          <w:lang w:val="en-US"/>
        </w:rPr>
        <w:t xml:space="preserve">Bell, B. (2021) </w:t>
      </w:r>
      <w:r>
        <w:rPr>
          <w:rStyle w:val="normaltextrun"/>
          <w:rFonts w:ascii="Helvetica" w:hAnsi="Helvetica" w:cs="Segoe UI"/>
          <w:i/>
          <w:iCs/>
          <w:lang w:val="en-US"/>
        </w:rPr>
        <w:t xml:space="preserve">Riots 10 years on: The five summer nights when London burned. </w:t>
      </w:r>
      <w:r>
        <w:rPr>
          <w:rStyle w:val="normaltextrun"/>
          <w:rFonts w:ascii="Helvetica" w:hAnsi="Helvetica" w:cs="Segoe UI"/>
          <w:lang w:val="en-US"/>
        </w:rPr>
        <w:t xml:space="preserve">Available At: </w:t>
      </w:r>
      <w:hyperlink r:id="rId5" w:tgtFrame="_blank" w:history="1">
        <w:r>
          <w:rPr>
            <w:rStyle w:val="normaltextrun"/>
            <w:rFonts w:ascii="Helvetica" w:hAnsi="Helvetica" w:cs="Segoe UI"/>
            <w:color w:val="0563C1"/>
            <w:u w:val="single"/>
            <w:lang w:val="en-US"/>
          </w:rPr>
          <w:t>https://www.bbc.co.uk/news/uk-england-london-58058031</w:t>
        </w:r>
      </w:hyperlink>
      <w:r>
        <w:rPr>
          <w:rStyle w:val="normaltextrun"/>
          <w:rFonts w:ascii="Helvetica" w:hAnsi="Helvetica" w:cs="Segoe UI"/>
          <w:lang w:val="en-US"/>
        </w:rPr>
        <w:t xml:space="preserve"> (Accessed on 10/03/2024)</w:t>
      </w:r>
      <w:r>
        <w:rPr>
          <w:rStyle w:val="eop"/>
          <w:rFonts w:ascii="Helvetica" w:hAnsi="Helvetica" w:cs="Segoe UI"/>
        </w:rPr>
        <w:t> </w:t>
      </w:r>
    </w:p>
    <w:p w14:paraId="1145FD95"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51DE5AA" w14:textId="447A8B33" w:rsidR="00B01AC2" w:rsidRDefault="00B01AC2" w:rsidP="00B01AC2">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t xml:space="preserve">Brown, R. and Hobbs, A. (2023) </w:t>
      </w:r>
      <w:r>
        <w:rPr>
          <w:rStyle w:val="normaltextrun"/>
          <w:rFonts w:ascii="Arial" w:hAnsi="Arial" w:cs="Arial"/>
          <w:i/>
          <w:iCs/>
          <w:color w:val="000000"/>
          <w:lang w:val="en-US"/>
        </w:rPr>
        <w:t xml:space="preserve">Trust in the Police. </w:t>
      </w:r>
      <w:r>
        <w:rPr>
          <w:rStyle w:val="normaltextrun"/>
          <w:rFonts w:ascii="Arial" w:hAnsi="Arial" w:cs="Arial"/>
          <w:color w:val="000000"/>
          <w:lang w:val="en-US"/>
        </w:rPr>
        <w:t xml:space="preserve">p.2. Available At: </w:t>
      </w:r>
      <w:hyperlink r:id="rId6" w:tgtFrame="_blank" w:history="1">
        <w:r>
          <w:rPr>
            <w:rStyle w:val="normaltextrun"/>
            <w:rFonts w:ascii="Arial" w:hAnsi="Arial" w:cs="Arial"/>
            <w:color w:val="0563C1"/>
            <w:u w:val="single"/>
            <w:lang w:val="en-US"/>
          </w:rPr>
          <w:t>https://researchbriefings.files.parliament.uk/documents/POST-PN-0693/POST-PN-0693.pdf</w:t>
        </w:r>
      </w:hyperlink>
      <w:r>
        <w:rPr>
          <w:rStyle w:val="normaltextrun"/>
          <w:rFonts w:ascii="Arial" w:hAnsi="Arial" w:cs="Arial"/>
          <w:color w:val="000000"/>
          <w:lang w:val="en-US"/>
        </w:rPr>
        <w:t xml:space="preserve"> (Accessed on 9/03/2024)</w:t>
      </w:r>
      <w:r>
        <w:rPr>
          <w:rStyle w:val="eop"/>
          <w:rFonts w:ascii="Arial" w:hAnsi="Arial" w:cs="Arial"/>
          <w:color w:val="000000"/>
        </w:rPr>
        <w:t> </w:t>
      </w:r>
    </w:p>
    <w:p w14:paraId="2C3B0682"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4BD77D54" w14:textId="77777777" w:rsidR="00B01AC2" w:rsidRDefault="00B01AC2" w:rsidP="00B01AC2">
      <w:pPr>
        <w:pStyle w:val="paragraph"/>
        <w:spacing w:before="0" w:beforeAutospacing="0" w:after="0" w:afterAutospacing="0"/>
        <w:textAlignment w:val="baseline"/>
        <w:rPr>
          <w:rStyle w:val="normaltextrun"/>
          <w:rFonts w:ascii="Arial" w:hAnsi="Arial" w:cs="Arial"/>
          <w:color w:val="000000"/>
          <w:lang w:val="en-US"/>
        </w:rPr>
      </w:pPr>
      <w:r>
        <w:rPr>
          <w:rStyle w:val="normaltextrun"/>
          <w:rFonts w:ascii="Arial" w:hAnsi="Arial" w:cs="Arial"/>
          <w:color w:val="000000"/>
          <w:lang w:val="en-US"/>
        </w:rPr>
        <w:t xml:space="preserve">College of Policing C (2024) </w:t>
      </w:r>
      <w:r>
        <w:rPr>
          <w:rStyle w:val="normaltextrun"/>
          <w:rFonts w:ascii="Arial" w:hAnsi="Arial" w:cs="Arial"/>
          <w:i/>
          <w:iCs/>
          <w:color w:val="000000"/>
          <w:lang w:val="en-US"/>
        </w:rPr>
        <w:t xml:space="preserve">Core Planning Principles. </w:t>
      </w:r>
      <w:r>
        <w:rPr>
          <w:rStyle w:val="normaltextrun"/>
          <w:rFonts w:ascii="Arial" w:hAnsi="Arial" w:cs="Arial"/>
          <w:color w:val="000000"/>
          <w:lang w:val="en-US"/>
        </w:rPr>
        <w:t xml:space="preserve">Available At: </w:t>
      </w:r>
      <w:hyperlink r:id="rId7" w:tgtFrame="_blank" w:history="1">
        <w:r>
          <w:rPr>
            <w:rStyle w:val="normaltextrun"/>
            <w:rFonts w:ascii="Arial" w:hAnsi="Arial" w:cs="Arial"/>
            <w:color w:val="0563C1"/>
            <w:u w:val="single"/>
            <w:lang w:val="en-US"/>
          </w:rPr>
          <w:t>https://www.college.police.uk/app/operations/operational-planning/core-planning-principles</w:t>
        </w:r>
      </w:hyperlink>
      <w:r>
        <w:rPr>
          <w:rStyle w:val="normaltextrun"/>
          <w:rFonts w:ascii="Arial" w:hAnsi="Arial" w:cs="Arial"/>
          <w:color w:val="000000"/>
          <w:lang w:val="en-US"/>
        </w:rPr>
        <w:t xml:space="preserve"> (Accessed on 9/03/2024)</w:t>
      </w:r>
    </w:p>
    <w:p w14:paraId="27008EDD" w14:textId="181DD740"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5B758189" w14:textId="24EFD982" w:rsidR="00B01AC2" w:rsidRDefault="00B01AC2" w:rsidP="00B01AC2">
      <w:pPr>
        <w:pStyle w:val="paragraph"/>
        <w:spacing w:before="0" w:beforeAutospacing="0" w:after="0" w:afterAutospacing="0"/>
        <w:textAlignment w:val="baseline"/>
        <w:rPr>
          <w:rStyle w:val="eop"/>
          <w:rFonts w:ascii="Arial" w:hAnsi="Arial" w:cs="Arial"/>
        </w:rPr>
      </w:pPr>
      <w:r>
        <w:rPr>
          <w:rStyle w:val="normaltextrun"/>
          <w:rFonts w:ascii="Arial" w:hAnsi="Arial" w:cs="Arial"/>
          <w:color w:val="000000"/>
          <w:lang w:val="en-US"/>
        </w:rPr>
        <w:t xml:space="preserve">College of Policing B (2024) </w:t>
      </w:r>
      <w:r>
        <w:rPr>
          <w:rStyle w:val="normaltextrun"/>
          <w:rFonts w:ascii="Arial" w:hAnsi="Arial" w:cs="Arial"/>
          <w:i/>
          <w:iCs/>
          <w:color w:val="000000"/>
          <w:lang w:val="en-US"/>
        </w:rPr>
        <w:t>Engagement.</w:t>
      </w:r>
      <w:r>
        <w:rPr>
          <w:rStyle w:val="normaltextrun"/>
          <w:rFonts w:ascii="Arial" w:hAnsi="Arial" w:cs="Arial"/>
          <w:color w:val="000000"/>
          <w:lang w:val="en-US"/>
        </w:rPr>
        <w:t xml:space="preserve"> Available At: </w:t>
      </w:r>
      <w:hyperlink r:id="rId8" w:tgtFrame="_blank" w:history="1">
        <w:r>
          <w:rPr>
            <w:rStyle w:val="normaltextrun"/>
            <w:rFonts w:ascii="Arial" w:hAnsi="Arial" w:cs="Arial"/>
            <w:color w:val="0563C1"/>
            <w:u w:val="single"/>
            <w:lang w:val="en-US"/>
          </w:rPr>
          <w:t>https://www.college.police.uk/app/engagement-and-communication/engagement</w:t>
        </w:r>
      </w:hyperlink>
      <w:r>
        <w:rPr>
          <w:rStyle w:val="normaltextrun"/>
          <w:rFonts w:ascii="Arial" w:hAnsi="Arial" w:cs="Arial"/>
          <w:lang w:val="en-US"/>
        </w:rPr>
        <w:t xml:space="preserve"> (Accessed on 9/03/2024)</w:t>
      </w:r>
      <w:r>
        <w:rPr>
          <w:rStyle w:val="eop"/>
          <w:rFonts w:ascii="Arial" w:hAnsi="Arial" w:cs="Arial"/>
        </w:rPr>
        <w:t> </w:t>
      </w:r>
    </w:p>
    <w:p w14:paraId="20780979"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45F74906" w14:textId="52AB2DCC" w:rsidR="00B01AC2" w:rsidRDefault="00B01AC2" w:rsidP="00B01AC2">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t xml:space="preserve">College of Policing A (2024) </w:t>
      </w:r>
      <w:r>
        <w:rPr>
          <w:rStyle w:val="normaltextrun"/>
          <w:rFonts w:ascii="Arial" w:hAnsi="Arial" w:cs="Arial"/>
          <w:i/>
          <w:iCs/>
          <w:color w:val="000000"/>
          <w:lang w:val="en-US"/>
        </w:rPr>
        <w:t>Professional Standards.</w:t>
      </w:r>
      <w:r>
        <w:rPr>
          <w:rStyle w:val="normaltextrun"/>
          <w:rFonts w:ascii="Arial" w:hAnsi="Arial" w:cs="Arial"/>
          <w:color w:val="000000"/>
          <w:lang w:val="en-US"/>
        </w:rPr>
        <w:t xml:space="preserve"> Available At: </w:t>
      </w:r>
      <w:hyperlink r:id="rId9" w:tgtFrame="_blank" w:history="1">
        <w:r>
          <w:rPr>
            <w:rStyle w:val="normaltextrun"/>
            <w:rFonts w:ascii="Arial" w:hAnsi="Arial" w:cs="Arial"/>
            <w:color w:val="0563C1"/>
            <w:u w:val="single"/>
            <w:lang w:val="en-US"/>
          </w:rPr>
          <w:t>https://www.college.police.uk/app/professional-standards</w:t>
        </w:r>
      </w:hyperlink>
      <w:r>
        <w:rPr>
          <w:rStyle w:val="normaltextrun"/>
          <w:rFonts w:ascii="Arial" w:hAnsi="Arial" w:cs="Arial"/>
          <w:color w:val="000000"/>
          <w:lang w:val="en-US"/>
        </w:rPr>
        <w:t xml:space="preserve"> (Accessed on 8/03/2024)</w:t>
      </w:r>
      <w:r>
        <w:rPr>
          <w:rStyle w:val="eop"/>
          <w:rFonts w:ascii="Arial" w:hAnsi="Arial" w:cs="Arial"/>
          <w:color w:val="000000"/>
        </w:rPr>
        <w:t> </w:t>
      </w:r>
    </w:p>
    <w:p w14:paraId="0C08BC09"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3AB9465E" w14:textId="3810381B" w:rsidR="00B01AC2" w:rsidRDefault="00B01AC2" w:rsidP="00B01AC2">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t xml:space="preserve">Desai, U. (2020) </w:t>
      </w:r>
      <w:r>
        <w:rPr>
          <w:rStyle w:val="normaltextrun"/>
          <w:rFonts w:ascii="Arial" w:hAnsi="Arial" w:cs="Arial"/>
          <w:i/>
          <w:iCs/>
          <w:color w:val="000000"/>
          <w:lang w:val="en-US"/>
        </w:rPr>
        <w:t>Policing with Consent. p</w:t>
      </w:r>
      <w:r>
        <w:rPr>
          <w:rStyle w:val="normaltextrun"/>
          <w:rFonts w:ascii="Arial" w:hAnsi="Arial" w:cs="Arial"/>
          <w:color w:val="000000"/>
          <w:lang w:val="en-US"/>
        </w:rPr>
        <w:t xml:space="preserve">.2. Available At: </w:t>
      </w:r>
      <w:hyperlink r:id="rId10" w:tgtFrame="_blank" w:history="1">
        <w:r>
          <w:rPr>
            <w:rStyle w:val="normaltextrun"/>
            <w:rFonts w:ascii="Arial" w:hAnsi="Arial" w:cs="Arial"/>
            <w:color w:val="0563C1"/>
            <w:u w:val="single"/>
            <w:lang w:val="en-US"/>
          </w:rPr>
          <w:t>https://www.london.gov.uk/sites/default/files/policing_with_consent.pdf</w:t>
        </w:r>
      </w:hyperlink>
      <w:r>
        <w:rPr>
          <w:rStyle w:val="normaltextrun"/>
          <w:rFonts w:ascii="Arial" w:hAnsi="Arial" w:cs="Arial"/>
          <w:color w:val="000000"/>
          <w:lang w:val="en-US"/>
        </w:rPr>
        <w:t xml:space="preserve"> (Accessed on 8/03/2024)</w:t>
      </w:r>
      <w:r>
        <w:rPr>
          <w:rStyle w:val="eop"/>
          <w:rFonts w:ascii="Arial" w:hAnsi="Arial" w:cs="Arial"/>
          <w:color w:val="000000"/>
        </w:rPr>
        <w:t> </w:t>
      </w:r>
    </w:p>
    <w:p w14:paraId="614532C8"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70CD6028" w14:textId="17C3842D" w:rsidR="00B01AC2" w:rsidRDefault="00B01AC2" w:rsidP="00B01AC2">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color w:val="000000"/>
          <w:lang w:val="en-US"/>
        </w:rPr>
        <w:t xml:space="preserve">GOV.UK (2012) </w:t>
      </w:r>
      <w:r>
        <w:rPr>
          <w:rStyle w:val="normaltextrun"/>
          <w:rFonts w:ascii="Arial" w:hAnsi="Arial" w:cs="Arial"/>
          <w:i/>
          <w:iCs/>
          <w:color w:val="000000"/>
          <w:lang w:val="en-US"/>
        </w:rPr>
        <w:t xml:space="preserve">Definition of policing by consent. </w:t>
      </w:r>
      <w:r>
        <w:rPr>
          <w:rStyle w:val="normaltextrun"/>
          <w:rFonts w:ascii="Arial" w:hAnsi="Arial" w:cs="Arial"/>
          <w:color w:val="000000"/>
          <w:lang w:val="en-US"/>
        </w:rPr>
        <w:t xml:space="preserve">Available At: </w:t>
      </w:r>
      <w:hyperlink r:id="rId11" w:tgtFrame="_blank" w:history="1">
        <w:r>
          <w:rPr>
            <w:rStyle w:val="normaltextrun"/>
            <w:rFonts w:ascii="Arial" w:hAnsi="Arial" w:cs="Arial"/>
            <w:color w:val="0563C1"/>
            <w:u w:val="single"/>
            <w:lang w:val="en-US"/>
          </w:rPr>
          <w:t>https://www.gov.uk/government/publications/policing-by-consent/definition-of-policing-by-consent</w:t>
        </w:r>
      </w:hyperlink>
      <w:r>
        <w:rPr>
          <w:rStyle w:val="normaltextrun"/>
          <w:rFonts w:ascii="Arial" w:hAnsi="Arial" w:cs="Arial"/>
          <w:color w:val="000000"/>
          <w:lang w:val="en-US"/>
        </w:rPr>
        <w:t xml:space="preserve"> (Accessed on 7/03/2024)</w:t>
      </w:r>
      <w:r>
        <w:rPr>
          <w:rStyle w:val="eop"/>
          <w:rFonts w:ascii="Arial" w:hAnsi="Arial" w:cs="Arial"/>
          <w:color w:val="000000"/>
        </w:rPr>
        <w:t> </w:t>
      </w:r>
    </w:p>
    <w:p w14:paraId="42B27123"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11EEE0D6" w14:textId="36BA0DBB" w:rsidR="00B01AC2" w:rsidRDefault="00B01AC2" w:rsidP="00B01AC2">
      <w:pPr>
        <w:pStyle w:val="paragraph"/>
        <w:spacing w:before="0" w:beforeAutospacing="0" w:after="0" w:afterAutospacing="0"/>
        <w:textAlignment w:val="baseline"/>
        <w:rPr>
          <w:rStyle w:val="eop"/>
          <w:rFonts w:ascii="Arial" w:hAnsi="Arial" w:cs="Arial"/>
        </w:rPr>
      </w:pPr>
      <w:r>
        <w:rPr>
          <w:rStyle w:val="normaltextrun"/>
          <w:rFonts w:ascii="Arial" w:hAnsi="Arial" w:cs="Arial"/>
          <w:color w:val="000000"/>
          <w:lang w:val="en-US"/>
        </w:rPr>
        <w:t xml:space="preserve">Jackson, J. and Bradford, B. </w:t>
      </w:r>
      <w:r>
        <w:rPr>
          <w:rStyle w:val="normaltextrun"/>
          <w:rFonts w:ascii="Arial" w:hAnsi="Arial" w:cs="Arial"/>
          <w:lang w:val="en-US"/>
        </w:rPr>
        <w:t xml:space="preserve">(2010) </w:t>
      </w:r>
      <w:r>
        <w:rPr>
          <w:rStyle w:val="normaltextrun"/>
          <w:rFonts w:ascii="Arial" w:hAnsi="Arial" w:cs="Arial"/>
          <w:i/>
          <w:iCs/>
          <w:lang w:val="en-US"/>
        </w:rPr>
        <w:t xml:space="preserve">What is trust and confidence in the police. </w:t>
      </w:r>
      <w:r>
        <w:rPr>
          <w:rStyle w:val="normaltextrun"/>
          <w:rFonts w:ascii="Arial" w:hAnsi="Arial" w:cs="Arial"/>
          <w:lang w:val="en-US"/>
        </w:rPr>
        <w:t xml:space="preserve">p.2. Available At: </w:t>
      </w:r>
      <w:hyperlink r:id="rId12" w:tgtFrame="_blank" w:history="1">
        <w:r>
          <w:rPr>
            <w:rStyle w:val="normaltextrun"/>
            <w:rFonts w:ascii="Arial" w:hAnsi="Arial" w:cs="Arial"/>
            <w:color w:val="0563C1"/>
            <w:u w:val="single"/>
            <w:lang w:val="en-US"/>
          </w:rPr>
          <w:t>https://eprints.lse.ac.uk/27716/1/What%20is%20trust%20and%20confidence%20in%20the%20police%20%28LSERO%29%20.pdf</w:t>
        </w:r>
      </w:hyperlink>
      <w:r>
        <w:rPr>
          <w:rStyle w:val="normaltextrun"/>
          <w:rFonts w:ascii="Arial" w:hAnsi="Arial" w:cs="Arial"/>
          <w:lang w:val="en-US"/>
        </w:rPr>
        <w:t xml:space="preserve"> (Accessed on 9/03/2024)</w:t>
      </w:r>
      <w:r>
        <w:rPr>
          <w:rStyle w:val="eop"/>
          <w:rFonts w:ascii="Arial" w:hAnsi="Arial" w:cs="Arial"/>
        </w:rPr>
        <w:t> </w:t>
      </w:r>
    </w:p>
    <w:p w14:paraId="1AAD8811"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1434206D" w14:textId="0E49B272" w:rsidR="00B01AC2" w:rsidRDefault="00B01AC2" w:rsidP="00B01AC2">
      <w:pPr>
        <w:pStyle w:val="paragraph"/>
        <w:spacing w:before="0" w:beforeAutospacing="0" w:after="0" w:afterAutospacing="0"/>
        <w:textAlignment w:val="baseline"/>
        <w:rPr>
          <w:rStyle w:val="eop"/>
          <w:rFonts w:ascii="Arial" w:hAnsi="Arial" w:cs="Arial"/>
        </w:rPr>
      </w:pPr>
      <w:proofErr w:type="spellStart"/>
      <w:r>
        <w:rPr>
          <w:rStyle w:val="normaltextrun"/>
          <w:rFonts w:ascii="Arial" w:hAnsi="Arial" w:cs="Arial"/>
          <w:lang w:val="en-US"/>
        </w:rPr>
        <w:t>Melkamu</w:t>
      </w:r>
      <w:proofErr w:type="spellEnd"/>
      <w:r>
        <w:rPr>
          <w:rStyle w:val="normaltextrun"/>
          <w:rFonts w:ascii="Arial" w:hAnsi="Arial" w:cs="Arial"/>
          <w:lang w:val="en-US"/>
        </w:rPr>
        <w:t xml:space="preserve">, M. and Teshome, W. (2023) </w:t>
      </w:r>
      <w:r>
        <w:rPr>
          <w:rStyle w:val="normaltextrun"/>
          <w:rFonts w:ascii="Arial" w:hAnsi="Arial" w:cs="Arial"/>
          <w:i/>
          <w:iCs/>
          <w:lang w:val="en-US"/>
        </w:rPr>
        <w:t>Public trust in the police: Investigating the influence of police performance, procedural fairness, and police-community relations in Addis Ababa, Ethiopia. p</w:t>
      </w:r>
      <w:r>
        <w:rPr>
          <w:rStyle w:val="normaltextrun"/>
          <w:rFonts w:ascii="Arial" w:hAnsi="Arial" w:cs="Arial"/>
          <w:lang w:val="en-US"/>
        </w:rPr>
        <w:t xml:space="preserve">.1. Available At: </w:t>
      </w:r>
      <w:hyperlink r:id="rId13" w:tgtFrame="_blank" w:history="1">
        <w:r>
          <w:rPr>
            <w:rStyle w:val="normaltextrun"/>
            <w:rFonts w:ascii="Arial" w:hAnsi="Arial" w:cs="Arial"/>
            <w:color w:val="0563C1"/>
            <w:u w:val="single"/>
            <w:lang w:val="en-US"/>
          </w:rPr>
          <w:t>https://www.tandfonline.com/doi/epdf/10.1080/23311886.2023.2199559?needAccess=true</w:t>
        </w:r>
      </w:hyperlink>
      <w:r>
        <w:rPr>
          <w:rStyle w:val="normaltextrun"/>
          <w:rFonts w:ascii="Arial" w:hAnsi="Arial" w:cs="Arial"/>
          <w:lang w:val="en-US"/>
        </w:rPr>
        <w:t xml:space="preserve"> (Accessed on 9/03/2024)</w:t>
      </w:r>
      <w:r>
        <w:rPr>
          <w:rStyle w:val="eop"/>
          <w:rFonts w:ascii="Arial" w:hAnsi="Arial" w:cs="Arial"/>
        </w:rPr>
        <w:t> </w:t>
      </w:r>
    </w:p>
    <w:p w14:paraId="3C4F70B8"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2ECCAF4B"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Narwal, M. (2024) Remembering Stephen Lawrence 30 Years On. Available At: </w:t>
      </w:r>
      <w:hyperlink r:id="rId14" w:tgtFrame="_blank" w:history="1">
        <w:r>
          <w:rPr>
            <w:rStyle w:val="normaltextrun"/>
            <w:rFonts w:ascii="Arial" w:hAnsi="Arial" w:cs="Arial"/>
            <w:color w:val="0563C1"/>
            <w:u w:val="single"/>
            <w:lang w:val="en-US"/>
          </w:rPr>
          <w:t>https://www.cps.gov.uk/stories/remembering-stephen-lawrence</w:t>
        </w:r>
      </w:hyperlink>
      <w:r>
        <w:rPr>
          <w:rStyle w:val="normaltextrun"/>
          <w:rFonts w:ascii="Arial" w:hAnsi="Arial" w:cs="Arial"/>
          <w:lang w:val="en-US"/>
        </w:rPr>
        <w:t xml:space="preserve"> (Accessed On 10/03/2024)</w:t>
      </w:r>
      <w:r>
        <w:rPr>
          <w:rStyle w:val="eop"/>
          <w:rFonts w:ascii="Arial" w:hAnsi="Arial" w:cs="Arial"/>
        </w:rPr>
        <w:t> </w:t>
      </w:r>
    </w:p>
    <w:p w14:paraId="7D6DA4D6"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259A8B7"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US"/>
        </w:rPr>
        <w:t xml:space="preserve">Parliament (2021) </w:t>
      </w:r>
      <w:r>
        <w:rPr>
          <w:rStyle w:val="normaltextrun"/>
          <w:rFonts w:ascii="Arial" w:hAnsi="Arial" w:cs="Arial"/>
          <w:i/>
          <w:iCs/>
          <w:lang w:val="en-US"/>
        </w:rPr>
        <w:t xml:space="preserve">The Macpherson Report: Twenty-two years on. </w:t>
      </w:r>
      <w:r>
        <w:rPr>
          <w:rStyle w:val="normaltextrun"/>
          <w:rFonts w:ascii="Arial" w:hAnsi="Arial" w:cs="Arial"/>
          <w:lang w:val="en-US"/>
        </w:rPr>
        <w:t xml:space="preserve">Available At: </w:t>
      </w:r>
      <w:hyperlink r:id="rId15" w:anchor=":~:text=The%20Macpherson%20report%20recommended%20that,of%20minority%20ethnic%20police%20officers" w:tgtFrame="_blank" w:history="1">
        <w:r>
          <w:rPr>
            <w:rStyle w:val="normaltextrun"/>
            <w:rFonts w:ascii="Arial" w:hAnsi="Arial" w:cs="Arial"/>
            <w:color w:val="0563C1"/>
            <w:u w:val="single"/>
            <w:lang w:val="en-US"/>
          </w:rPr>
          <w:t>https://publications.parliament.uk/pa/cm5802/cmselect/cmhaff/139/13903.htm#:~:text</w:t>
        </w:r>
        <w:r>
          <w:rPr>
            <w:rStyle w:val="normaltextrun"/>
            <w:rFonts w:ascii="Arial" w:hAnsi="Arial" w:cs="Arial"/>
            <w:color w:val="0563C1"/>
            <w:u w:val="single"/>
            <w:lang w:val="en-US"/>
          </w:rPr>
          <w:lastRenderedPageBreak/>
          <w:t>=The%20Macpherson%20report%20recommended%20that,of%20minority%20ethnic%20police%20officers</w:t>
        </w:r>
      </w:hyperlink>
      <w:r>
        <w:rPr>
          <w:rStyle w:val="normaltextrun"/>
          <w:rFonts w:ascii="Arial" w:hAnsi="Arial" w:cs="Arial"/>
          <w:lang w:val="en-US"/>
        </w:rPr>
        <w:t>. (Accessed on 10/03/2024)</w:t>
      </w:r>
      <w:r>
        <w:rPr>
          <w:rStyle w:val="eop"/>
          <w:rFonts w:ascii="Arial" w:hAnsi="Arial" w:cs="Arial"/>
        </w:rPr>
        <w:t> </w:t>
      </w:r>
    </w:p>
    <w:p w14:paraId="74AA61CC" w14:textId="77777777" w:rsidR="00B01AC2" w:rsidRDefault="00B01AC2" w:rsidP="00B01AC2">
      <w:pPr>
        <w:pStyle w:val="paragraph"/>
        <w:spacing w:before="0" w:beforeAutospacing="0" w:after="0" w:afterAutospacing="0"/>
        <w:textAlignment w:val="baseline"/>
        <w:rPr>
          <w:rFonts w:ascii="Segoe UI" w:hAnsi="Segoe UI" w:cs="Segoe UI"/>
          <w:color w:val="2F5496"/>
          <w:sz w:val="18"/>
          <w:szCs w:val="18"/>
        </w:rPr>
      </w:pPr>
      <w:r>
        <w:rPr>
          <w:rStyle w:val="normaltextrun"/>
          <w:rFonts w:ascii="Arial" w:hAnsi="Arial" w:cs="Arial"/>
          <w:lang w:val="en-US"/>
        </w:rPr>
        <w:t xml:space="preserve">Reicher, S. (2019) </w:t>
      </w:r>
      <w:r>
        <w:rPr>
          <w:rStyle w:val="normaltextrun"/>
          <w:rFonts w:ascii="Arial" w:hAnsi="Arial" w:cs="Arial"/>
          <w:i/>
          <w:iCs/>
          <w:lang w:val="en-US"/>
        </w:rPr>
        <w:t xml:space="preserve">London’s 2011 riots: Report blames deprivation and poor policing – not mad, bad, dangerous people. </w:t>
      </w:r>
      <w:r>
        <w:rPr>
          <w:rStyle w:val="normaltextrun"/>
          <w:rFonts w:ascii="Arial" w:hAnsi="Arial" w:cs="Arial"/>
          <w:lang w:val="en-US"/>
        </w:rPr>
        <w:t xml:space="preserve">Available At: </w:t>
      </w:r>
      <w:hyperlink r:id="rId16" w:tgtFrame="_blank" w:history="1">
        <w:r>
          <w:rPr>
            <w:rStyle w:val="normaltextrun"/>
            <w:rFonts w:ascii="Arial" w:hAnsi="Arial" w:cs="Arial"/>
            <w:color w:val="0563C1"/>
            <w:u w:val="single"/>
            <w:lang w:val="en-US"/>
          </w:rPr>
          <w:t>https://policinginsight.com/feature/analysis/londons-2011-riots-report-blames-deprivation-and-poor-policing-not-mad-bad-dangerous-people/</w:t>
        </w:r>
      </w:hyperlink>
      <w:r>
        <w:rPr>
          <w:rStyle w:val="normaltextrun"/>
          <w:rFonts w:ascii="Arial" w:hAnsi="Arial" w:cs="Arial"/>
          <w:lang w:val="en-US"/>
        </w:rPr>
        <w:t xml:space="preserve"> (Accessed on 10/03/2024)</w:t>
      </w:r>
      <w:r>
        <w:rPr>
          <w:rStyle w:val="eop"/>
          <w:rFonts w:ascii="Arial" w:hAnsi="Arial" w:cs="Arial"/>
        </w:rPr>
        <w:t> </w:t>
      </w:r>
    </w:p>
    <w:p w14:paraId="4776CFE9"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41300C7" w14:textId="4EA40A40" w:rsidR="00B01AC2" w:rsidRDefault="00B01AC2" w:rsidP="00B01AC2">
      <w:pPr>
        <w:pStyle w:val="paragraph"/>
        <w:spacing w:before="0" w:beforeAutospacing="0" w:after="0" w:afterAutospacing="0"/>
        <w:textAlignment w:val="baseline"/>
        <w:rPr>
          <w:rStyle w:val="eop"/>
          <w:rFonts w:ascii="Arial" w:hAnsi="Arial" w:cs="Arial"/>
        </w:rPr>
      </w:pPr>
      <w:r>
        <w:rPr>
          <w:rStyle w:val="normaltextrun"/>
          <w:rFonts w:ascii="Arial" w:hAnsi="Arial" w:cs="Arial"/>
          <w:lang w:val="en-US"/>
        </w:rPr>
        <w:t xml:space="preserve">Scarman Report (2007) </w:t>
      </w:r>
      <w:r>
        <w:rPr>
          <w:rStyle w:val="normaltextrun"/>
          <w:rFonts w:ascii="Arial" w:hAnsi="Arial" w:cs="Arial"/>
          <w:i/>
          <w:iCs/>
          <w:lang w:val="en-US"/>
        </w:rPr>
        <w:t>The Oxford Companion to Black British History</w:t>
      </w:r>
      <w:r>
        <w:rPr>
          <w:rStyle w:val="normaltextrun"/>
          <w:rFonts w:ascii="Arial" w:hAnsi="Arial" w:cs="Arial"/>
          <w:lang w:val="en-US"/>
        </w:rPr>
        <w:t xml:space="preserve">. 1st </w:t>
      </w:r>
      <w:proofErr w:type="spellStart"/>
      <w:r>
        <w:rPr>
          <w:rStyle w:val="normaltextrun"/>
          <w:rFonts w:ascii="Arial" w:hAnsi="Arial" w:cs="Arial"/>
          <w:lang w:val="en-US"/>
        </w:rPr>
        <w:t>edn</w:t>
      </w:r>
      <w:proofErr w:type="spellEnd"/>
      <w:r>
        <w:rPr>
          <w:rStyle w:val="normaltextrun"/>
          <w:rFonts w:ascii="Arial" w:hAnsi="Arial" w:cs="Arial"/>
          <w:lang w:val="en-US"/>
        </w:rPr>
        <w:t>. Oxford University Press.</w:t>
      </w:r>
      <w:r>
        <w:rPr>
          <w:rStyle w:val="eop"/>
          <w:rFonts w:ascii="Arial" w:hAnsi="Arial" w:cs="Arial"/>
        </w:rPr>
        <w:t> </w:t>
      </w:r>
    </w:p>
    <w:p w14:paraId="062A1710"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p>
    <w:p w14:paraId="581191AE" w14:textId="77777777" w:rsidR="00B01AC2" w:rsidRDefault="00B01AC2" w:rsidP="00B01AC2">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Arial" w:hAnsi="Arial" w:cs="Arial"/>
          <w:lang w:val="en-US"/>
        </w:rPr>
        <w:t xml:space="preserve">Tyler, T.R., </w:t>
      </w:r>
      <w:proofErr w:type="spellStart"/>
      <w:r>
        <w:rPr>
          <w:rStyle w:val="normaltextrun"/>
          <w:rFonts w:ascii="Arial" w:hAnsi="Arial" w:cs="Arial"/>
          <w:lang w:val="en-US"/>
        </w:rPr>
        <w:t>Huo</w:t>
      </w:r>
      <w:proofErr w:type="spellEnd"/>
      <w:r>
        <w:rPr>
          <w:rStyle w:val="normaltextrun"/>
          <w:rFonts w:ascii="Arial" w:hAnsi="Arial" w:cs="Arial"/>
          <w:lang w:val="en-US"/>
        </w:rPr>
        <w:t xml:space="preserve">, Y.J. and </w:t>
      </w:r>
      <w:proofErr w:type="spellStart"/>
      <w:r>
        <w:rPr>
          <w:rStyle w:val="normaltextrun"/>
          <w:rFonts w:ascii="Arial" w:hAnsi="Arial" w:cs="Arial"/>
          <w:lang w:val="en-US"/>
        </w:rPr>
        <w:t>Thacher</w:t>
      </w:r>
      <w:proofErr w:type="spellEnd"/>
      <w:r>
        <w:rPr>
          <w:rStyle w:val="normaltextrun"/>
          <w:rFonts w:ascii="Arial" w:hAnsi="Arial" w:cs="Arial"/>
          <w:lang w:val="en-US"/>
        </w:rPr>
        <w:t xml:space="preserve">, D. (2004) </w:t>
      </w:r>
      <w:r>
        <w:rPr>
          <w:rStyle w:val="normaltextrun"/>
          <w:rFonts w:ascii="Arial" w:hAnsi="Arial" w:cs="Arial"/>
          <w:i/>
          <w:iCs/>
          <w:lang w:val="en-US"/>
        </w:rPr>
        <w:t>Trust in the law: encouraging public cooperation with the police and courts.</w:t>
      </w:r>
      <w:r>
        <w:rPr>
          <w:rStyle w:val="normaltextrun"/>
          <w:rFonts w:ascii="Arial" w:hAnsi="Arial" w:cs="Arial"/>
          <w:lang w:val="en-US"/>
        </w:rPr>
        <w:t xml:space="preserve"> Annals of the American Academy of Political and Social Science, pp. 84-85.</w:t>
      </w:r>
      <w:r>
        <w:rPr>
          <w:rStyle w:val="eop"/>
          <w:rFonts w:ascii="Arial" w:hAnsi="Arial" w:cs="Arial"/>
        </w:rPr>
        <w:t> </w:t>
      </w:r>
    </w:p>
    <w:p w14:paraId="350EB3AD"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00FCA2B"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8CB90B0" w14:textId="77777777" w:rsidR="00B01AC2" w:rsidRDefault="00B01AC2" w:rsidP="00B01AC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AD06339" w14:textId="77777777" w:rsidR="00B01AC2" w:rsidRDefault="00B01AC2" w:rsidP="00ED5831"/>
    <w:sectPr w:rsidR="00B01A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831"/>
    <w:rsid w:val="000645D6"/>
    <w:rsid w:val="00787F17"/>
    <w:rsid w:val="00A57806"/>
    <w:rsid w:val="00B01AC2"/>
    <w:rsid w:val="00ED5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EDBCCC"/>
  <w15:chartTrackingRefBased/>
  <w15:docId w15:val="{D88C6119-584C-914F-B0BA-63A82E4C8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D583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D5831"/>
  </w:style>
  <w:style w:type="character" w:customStyle="1" w:styleId="eop">
    <w:name w:val="eop"/>
    <w:basedOn w:val="DefaultParagraphFont"/>
    <w:rsid w:val="00ED5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390756">
      <w:bodyDiv w:val="1"/>
      <w:marLeft w:val="0"/>
      <w:marRight w:val="0"/>
      <w:marTop w:val="0"/>
      <w:marBottom w:val="0"/>
      <w:divBdr>
        <w:top w:val="none" w:sz="0" w:space="0" w:color="auto"/>
        <w:left w:val="none" w:sz="0" w:space="0" w:color="auto"/>
        <w:bottom w:val="none" w:sz="0" w:space="0" w:color="auto"/>
        <w:right w:val="none" w:sz="0" w:space="0" w:color="auto"/>
      </w:divBdr>
      <w:divsChild>
        <w:div w:id="1407805065">
          <w:marLeft w:val="0"/>
          <w:marRight w:val="0"/>
          <w:marTop w:val="0"/>
          <w:marBottom w:val="0"/>
          <w:divBdr>
            <w:top w:val="none" w:sz="0" w:space="0" w:color="auto"/>
            <w:left w:val="none" w:sz="0" w:space="0" w:color="auto"/>
            <w:bottom w:val="none" w:sz="0" w:space="0" w:color="auto"/>
            <w:right w:val="none" w:sz="0" w:space="0" w:color="auto"/>
          </w:divBdr>
        </w:div>
        <w:div w:id="733357998">
          <w:marLeft w:val="0"/>
          <w:marRight w:val="0"/>
          <w:marTop w:val="0"/>
          <w:marBottom w:val="0"/>
          <w:divBdr>
            <w:top w:val="none" w:sz="0" w:space="0" w:color="auto"/>
            <w:left w:val="none" w:sz="0" w:space="0" w:color="auto"/>
            <w:bottom w:val="none" w:sz="0" w:space="0" w:color="auto"/>
            <w:right w:val="none" w:sz="0" w:space="0" w:color="auto"/>
          </w:divBdr>
        </w:div>
        <w:div w:id="1537498322">
          <w:marLeft w:val="0"/>
          <w:marRight w:val="0"/>
          <w:marTop w:val="0"/>
          <w:marBottom w:val="0"/>
          <w:divBdr>
            <w:top w:val="none" w:sz="0" w:space="0" w:color="auto"/>
            <w:left w:val="none" w:sz="0" w:space="0" w:color="auto"/>
            <w:bottom w:val="none" w:sz="0" w:space="0" w:color="auto"/>
            <w:right w:val="none" w:sz="0" w:space="0" w:color="auto"/>
          </w:divBdr>
        </w:div>
        <w:div w:id="280722144">
          <w:marLeft w:val="0"/>
          <w:marRight w:val="0"/>
          <w:marTop w:val="0"/>
          <w:marBottom w:val="0"/>
          <w:divBdr>
            <w:top w:val="none" w:sz="0" w:space="0" w:color="auto"/>
            <w:left w:val="none" w:sz="0" w:space="0" w:color="auto"/>
            <w:bottom w:val="none" w:sz="0" w:space="0" w:color="auto"/>
            <w:right w:val="none" w:sz="0" w:space="0" w:color="auto"/>
          </w:divBdr>
        </w:div>
        <w:div w:id="77675901">
          <w:marLeft w:val="0"/>
          <w:marRight w:val="0"/>
          <w:marTop w:val="0"/>
          <w:marBottom w:val="0"/>
          <w:divBdr>
            <w:top w:val="none" w:sz="0" w:space="0" w:color="auto"/>
            <w:left w:val="none" w:sz="0" w:space="0" w:color="auto"/>
            <w:bottom w:val="none" w:sz="0" w:space="0" w:color="auto"/>
            <w:right w:val="none" w:sz="0" w:space="0" w:color="auto"/>
          </w:divBdr>
        </w:div>
        <w:div w:id="2125340461">
          <w:marLeft w:val="0"/>
          <w:marRight w:val="0"/>
          <w:marTop w:val="0"/>
          <w:marBottom w:val="0"/>
          <w:divBdr>
            <w:top w:val="none" w:sz="0" w:space="0" w:color="auto"/>
            <w:left w:val="none" w:sz="0" w:space="0" w:color="auto"/>
            <w:bottom w:val="none" w:sz="0" w:space="0" w:color="auto"/>
            <w:right w:val="none" w:sz="0" w:space="0" w:color="auto"/>
          </w:divBdr>
        </w:div>
        <w:div w:id="158693652">
          <w:marLeft w:val="0"/>
          <w:marRight w:val="0"/>
          <w:marTop w:val="0"/>
          <w:marBottom w:val="0"/>
          <w:divBdr>
            <w:top w:val="none" w:sz="0" w:space="0" w:color="auto"/>
            <w:left w:val="none" w:sz="0" w:space="0" w:color="auto"/>
            <w:bottom w:val="none" w:sz="0" w:space="0" w:color="auto"/>
            <w:right w:val="none" w:sz="0" w:space="0" w:color="auto"/>
          </w:divBdr>
        </w:div>
        <w:div w:id="559902720">
          <w:marLeft w:val="0"/>
          <w:marRight w:val="0"/>
          <w:marTop w:val="0"/>
          <w:marBottom w:val="0"/>
          <w:divBdr>
            <w:top w:val="none" w:sz="0" w:space="0" w:color="auto"/>
            <w:left w:val="none" w:sz="0" w:space="0" w:color="auto"/>
            <w:bottom w:val="none" w:sz="0" w:space="0" w:color="auto"/>
            <w:right w:val="none" w:sz="0" w:space="0" w:color="auto"/>
          </w:divBdr>
        </w:div>
        <w:div w:id="1792165610">
          <w:marLeft w:val="0"/>
          <w:marRight w:val="0"/>
          <w:marTop w:val="0"/>
          <w:marBottom w:val="0"/>
          <w:divBdr>
            <w:top w:val="none" w:sz="0" w:space="0" w:color="auto"/>
            <w:left w:val="none" w:sz="0" w:space="0" w:color="auto"/>
            <w:bottom w:val="none" w:sz="0" w:space="0" w:color="auto"/>
            <w:right w:val="none" w:sz="0" w:space="0" w:color="auto"/>
          </w:divBdr>
        </w:div>
        <w:div w:id="429550437">
          <w:marLeft w:val="0"/>
          <w:marRight w:val="0"/>
          <w:marTop w:val="0"/>
          <w:marBottom w:val="0"/>
          <w:divBdr>
            <w:top w:val="none" w:sz="0" w:space="0" w:color="auto"/>
            <w:left w:val="none" w:sz="0" w:space="0" w:color="auto"/>
            <w:bottom w:val="none" w:sz="0" w:space="0" w:color="auto"/>
            <w:right w:val="none" w:sz="0" w:space="0" w:color="auto"/>
          </w:divBdr>
        </w:div>
        <w:div w:id="663511555">
          <w:marLeft w:val="0"/>
          <w:marRight w:val="0"/>
          <w:marTop w:val="0"/>
          <w:marBottom w:val="0"/>
          <w:divBdr>
            <w:top w:val="none" w:sz="0" w:space="0" w:color="auto"/>
            <w:left w:val="none" w:sz="0" w:space="0" w:color="auto"/>
            <w:bottom w:val="none" w:sz="0" w:space="0" w:color="auto"/>
            <w:right w:val="none" w:sz="0" w:space="0" w:color="auto"/>
          </w:divBdr>
        </w:div>
        <w:div w:id="847716150">
          <w:marLeft w:val="0"/>
          <w:marRight w:val="0"/>
          <w:marTop w:val="0"/>
          <w:marBottom w:val="0"/>
          <w:divBdr>
            <w:top w:val="none" w:sz="0" w:space="0" w:color="auto"/>
            <w:left w:val="none" w:sz="0" w:space="0" w:color="auto"/>
            <w:bottom w:val="none" w:sz="0" w:space="0" w:color="auto"/>
            <w:right w:val="none" w:sz="0" w:space="0" w:color="auto"/>
          </w:divBdr>
        </w:div>
        <w:div w:id="2081097831">
          <w:marLeft w:val="0"/>
          <w:marRight w:val="0"/>
          <w:marTop w:val="0"/>
          <w:marBottom w:val="0"/>
          <w:divBdr>
            <w:top w:val="none" w:sz="0" w:space="0" w:color="auto"/>
            <w:left w:val="none" w:sz="0" w:space="0" w:color="auto"/>
            <w:bottom w:val="none" w:sz="0" w:space="0" w:color="auto"/>
            <w:right w:val="none" w:sz="0" w:space="0" w:color="auto"/>
          </w:divBdr>
        </w:div>
        <w:div w:id="1433352218">
          <w:marLeft w:val="0"/>
          <w:marRight w:val="0"/>
          <w:marTop w:val="0"/>
          <w:marBottom w:val="0"/>
          <w:divBdr>
            <w:top w:val="none" w:sz="0" w:space="0" w:color="auto"/>
            <w:left w:val="none" w:sz="0" w:space="0" w:color="auto"/>
            <w:bottom w:val="none" w:sz="0" w:space="0" w:color="auto"/>
            <w:right w:val="none" w:sz="0" w:space="0" w:color="auto"/>
          </w:divBdr>
        </w:div>
        <w:div w:id="1181317826">
          <w:marLeft w:val="0"/>
          <w:marRight w:val="0"/>
          <w:marTop w:val="0"/>
          <w:marBottom w:val="0"/>
          <w:divBdr>
            <w:top w:val="none" w:sz="0" w:space="0" w:color="auto"/>
            <w:left w:val="none" w:sz="0" w:space="0" w:color="auto"/>
            <w:bottom w:val="none" w:sz="0" w:space="0" w:color="auto"/>
            <w:right w:val="none" w:sz="0" w:space="0" w:color="auto"/>
          </w:divBdr>
        </w:div>
        <w:div w:id="31542751">
          <w:marLeft w:val="0"/>
          <w:marRight w:val="0"/>
          <w:marTop w:val="0"/>
          <w:marBottom w:val="0"/>
          <w:divBdr>
            <w:top w:val="none" w:sz="0" w:space="0" w:color="auto"/>
            <w:left w:val="none" w:sz="0" w:space="0" w:color="auto"/>
            <w:bottom w:val="none" w:sz="0" w:space="0" w:color="auto"/>
            <w:right w:val="none" w:sz="0" w:space="0" w:color="auto"/>
          </w:divBdr>
        </w:div>
        <w:div w:id="280650915">
          <w:marLeft w:val="0"/>
          <w:marRight w:val="0"/>
          <w:marTop w:val="0"/>
          <w:marBottom w:val="0"/>
          <w:divBdr>
            <w:top w:val="none" w:sz="0" w:space="0" w:color="auto"/>
            <w:left w:val="none" w:sz="0" w:space="0" w:color="auto"/>
            <w:bottom w:val="none" w:sz="0" w:space="0" w:color="auto"/>
            <w:right w:val="none" w:sz="0" w:space="0" w:color="auto"/>
          </w:divBdr>
        </w:div>
        <w:div w:id="1519857285">
          <w:marLeft w:val="0"/>
          <w:marRight w:val="0"/>
          <w:marTop w:val="0"/>
          <w:marBottom w:val="0"/>
          <w:divBdr>
            <w:top w:val="none" w:sz="0" w:space="0" w:color="auto"/>
            <w:left w:val="none" w:sz="0" w:space="0" w:color="auto"/>
            <w:bottom w:val="none" w:sz="0" w:space="0" w:color="auto"/>
            <w:right w:val="none" w:sz="0" w:space="0" w:color="auto"/>
          </w:divBdr>
        </w:div>
        <w:div w:id="682051897">
          <w:marLeft w:val="0"/>
          <w:marRight w:val="0"/>
          <w:marTop w:val="0"/>
          <w:marBottom w:val="0"/>
          <w:divBdr>
            <w:top w:val="none" w:sz="0" w:space="0" w:color="auto"/>
            <w:left w:val="none" w:sz="0" w:space="0" w:color="auto"/>
            <w:bottom w:val="none" w:sz="0" w:space="0" w:color="auto"/>
            <w:right w:val="none" w:sz="0" w:space="0" w:color="auto"/>
          </w:divBdr>
        </w:div>
        <w:div w:id="626156162">
          <w:marLeft w:val="0"/>
          <w:marRight w:val="0"/>
          <w:marTop w:val="0"/>
          <w:marBottom w:val="0"/>
          <w:divBdr>
            <w:top w:val="none" w:sz="0" w:space="0" w:color="auto"/>
            <w:left w:val="none" w:sz="0" w:space="0" w:color="auto"/>
            <w:bottom w:val="none" w:sz="0" w:space="0" w:color="auto"/>
            <w:right w:val="none" w:sz="0" w:space="0" w:color="auto"/>
          </w:divBdr>
        </w:div>
        <w:div w:id="1053428273">
          <w:marLeft w:val="0"/>
          <w:marRight w:val="0"/>
          <w:marTop w:val="0"/>
          <w:marBottom w:val="0"/>
          <w:divBdr>
            <w:top w:val="none" w:sz="0" w:space="0" w:color="auto"/>
            <w:left w:val="none" w:sz="0" w:space="0" w:color="auto"/>
            <w:bottom w:val="none" w:sz="0" w:space="0" w:color="auto"/>
            <w:right w:val="none" w:sz="0" w:space="0" w:color="auto"/>
          </w:divBdr>
        </w:div>
        <w:div w:id="2131364043">
          <w:marLeft w:val="0"/>
          <w:marRight w:val="0"/>
          <w:marTop w:val="0"/>
          <w:marBottom w:val="0"/>
          <w:divBdr>
            <w:top w:val="none" w:sz="0" w:space="0" w:color="auto"/>
            <w:left w:val="none" w:sz="0" w:space="0" w:color="auto"/>
            <w:bottom w:val="none" w:sz="0" w:space="0" w:color="auto"/>
            <w:right w:val="none" w:sz="0" w:space="0" w:color="auto"/>
          </w:divBdr>
        </w:div>
        <w:div w:id="1499419508">
          <w:marLeft w:val="0"/>
          <w:marRight w:val="0"/>
          <w:marTop w:val="0"/>
          <w:marBottom w:val="0"/>
          <w:divBdr>
            <w:top w:val="none" w:sz="0" w:space="0" w:color="auto"/>
            <w:left w:val="none" w:sz="0" w:space="0" w:color="auto"/>
            <w:bottom w:val="none" w:sz="0" w:space="0" w:color="auto"/>
            <w:right w:val="none" w:sz="0" w:space="0" w:color="auto"/>
          </w:divBdr>
        </w:div>
      </w:divsChild>
    </w:div>
    <w:div w:id="1096748952">
      <w:bodyDiv w:val="1"/>
      <w:marLeft w:val="0"/>
      <w:marRight w:val="0"/>
      <w:marTop w:val="0"/>
      <w:marBottom w:val="0"/>
      <w:divBdr>
        <w:top w:val="none" w:sz="0" w:space="0" w:color="auto"/>
        <w:left w:val="none" w:sz="0" w:space="0" w:color="auto"/>
        <w:bottom w:val="none" w:sz="0" w:space="0" w:color="auto"/>
        <w:right w:val="none" w:sz="0" w:space="0" w:color="auto"/>
      </w:divBdr>
      <w:divsChild>
        <w:div w:id="588273870">
          <w:marLeft w:val="0"/>
          <w:marRight w:val="0"/>
          <w:marTop w:val="0"/>
          <w:marBottom w:val="0"/>
          <w:divBdr>
            <w:top w:val="none" w:sz="0" w:space="0" w:color="auto"/>
            <w:left w:val="none" w:sz="0" w:space="0" w:color="auto"/>
            <w:bottom w:val="none" w:sz="0" w:space="0" w:color="auto"/>
            <w:right w:val="none" w:sz="0" w:space="0" w:color="auto"/>
          </w:divBdr>
        </w:div>
        <w:div w:id="17157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engagement-and-communication/engagement" TargetMode="External"/><Relationship Id="rId13" Type="http://schemas.openxmlformats.org/officeDocument/2006/relationships/hyperlink" Target="https://www.tandfonline.com/doi/epdf/10.1080/23311886.2023.2199559?needAccess=true"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ollege.police.uk/app/operations/operational-planning/core-planning-principles" TargetMode="External"/><Relationship Id="rId12" Type="http://schemas.openxmlformats.org/officeDocument/2006/relationships/hyperlink" Target="https://eprints.lse.ac.uk/27716/1/What%20is%20trust%20and%20confidence%20in%20the%20police%20%28LSERO%29%20.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olicinginsight.com/feature/analysis/londons-2011-riots-report-blames-deprivation-and-poor-policing-not-mad-bad-dangerous-people/" TargetMode="External"/><Relationship Id="rId1" Type="http://schemas.openxmlformats.org/officeDocument/2006/relationships/styles" Target="styles.xml"/><Relationship Id="rId6" Type="http://schemas.openxmlformats.org/officeDocument/2006/relationships/hyperlink" Target="https://researchbriefings.files.parliament.uk/documents/POST-PN-0693/POST-PN-0693.pdf" TargetMode="External"/><Relationship Id="rId11" Type="http://schemas.openxmlformats.org/officeDocument/2006/relationships/hyperlink" Target="https://www.gov.uk/government/publications/policing-by-consent/definition-of-policing-by-consent" TargetMode="External"/><Relationship Id="rId5" Type="http://schemas.openxmlformats.org/officeDocument/2006/relationships/hyperlink" Target="https://www.bbc.co.uk/news/uk-england-london-58058031" TargetMode="External"/><Relationship Id="rId15" Type="http://schemas.openxmlformats.org/officeDocument/2006/relationships/hyperlink" Target="https://publications.parliament.uk/pa/cm5802/cmselect/cmhaff/139/13903.htm" TargetMode="External"/><Relationship Id="rId10" Type="http://schemas.openxmlformats.org/officeDocument/2006/relationships/hyperlink" Target="https://www.london.gov.uk/sites/default/files/policing_with_consent.pdf" TargetMode="External"/><Relationship Id="rId4" Type="http://schemas.openxmlformats.org/officeDocument/2006/relationships/hyperlink" Target="https://www.bbc.co.uk/newsround/50035769" TargetMode="External"/><Relationship Id="rId9" Type="http://schemas.openxmlformats.org/officeDocument/2006/relationships/hyperlink" Target="https://www.college.police.uk/app/professional-standards" TargetMode="External"/><Relationship Id="rId14" Type="http://schemas.openxmlformats.org/officeDocument/2006/relationships/hyperlink" Target="https://www.cps.gov.uk/stories/remembering-stephen-law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2556</Words>
  <Characters>14572</Characters>
  <Application>Microsoft Office Word</Application>
  <DocSecurity>0</DocSecurity>
  <Lines>121</Lines>
  <Paragraphs>34</Paragraphs>
  <ScaleCrop>false</ScaleCrop>
  <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Phillips (Gendros Primary School)</dc:creator>
  <cp:keywords/>
  <dc:description/>
  <cp:lastModifiedBy>D Phillips (Gendros Primary School)</cp:lastModifiedBy>
  <cp:revision>2</cp:revision>
  <dcterms:created xsi:type="dcterms:W3CDTF">2024-03-15T18:23:00Z</dcterms:created>
  <dcterms:modified xsi:type="dcterms:W3CDTF">2024-03-15T18:23:00Z</dcterms:modified>
</cp:coreProperties>
</file>