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5885A" w14:textId="4EF8F399" w:rsidR="004602E5" w:rsidRDefault="002D744E">
      <w:r>
        <w:t xml:space="preserve">Part 2 – </w:t>
      </w:r>
      <w:r w:rsidR="007A00ED">
        <w:t>20 min speech</w:t>
      </w:r>
    </w:p>
    <w:p w14:paraId="2DEF6020" w14:textId="77777777" w:rsidR="002D744E" w:rsidRDefault="002D744E"/>
    <w:p w14:paraId="61810B86" w14:textId="77777777" w:rsidR="007A00ED" w:rsidRDefault="007A00ED">
      <w:pPr>
        <w:rPr>
          <w:highlight w:val="yellow"/>
        </w:rPr>
      </w:pPr>
    </w:p>
    <w:p w14:paraId="5782B5CC" w14:textId="3FA61504" w:rsidR="002D744E" w:rsidRDefault="002D744E">
      <w:r w:rsidRPr="002D744E">
        <w:rPr>
          <w:highlight w:val="yellow"/>
        </w:rPr>
        <w:t>A</w:t>
      </w:r>
    </w:p>
    <w:p w14:paraId="726CF9EA" w14:textId="4290C242" w:rsidR="002D744E" w:rsidRDefault="002D744E"/>
    <w:p w14:paraId="3766089E" w14:textId="3AABA581" w:rsidR="00751B61" w:rsidRPr="00070A91" w:rsidRDefault="00751B61" w:rsidP="00751B61">
      <w:pPr>
        <w:pStyle w:val="NormalWeb"/>
        <w:rPr>
          <w:rFonts w:asciiTheme="minorHAnsi" w:hAnsiTheme="minorHAnsi"/>
          <w:color w:val="000000"/>
        </w:rPr>
      </w:pPr>
      <w:r w:rsidRPr="00070A91">
        <w:rPr>
          <w:rFonts w:asciiTheme="minorHAnsi" w:hAnsiTheme="minorHAnsi"/>
          <w:color w:val="000000"/>
        </w:rPr>
        <w:t xml:space="preserve">Good morning/afternoon </w:t>
      </w:r>
    </w:p>
    <w:p w14:paraId="6CFDD1F6" w14:textId="77777777" w:rsidR="001A4885" w:rsidRPr="00070A91" w:rsidRDefault="00751B61" w:rsidP="00751B61">
      <w:pPr>
        <w:pStyle w:val="NormalWeb"/>
        <w:rPr>
          <w:rFonts w:asciiTheme="minorHAnsi" w:hAnsiTheme="minorHAnsi"/>
          <w:color w:val="000000"/>
        </w:rPr>
      </w:pPr>
      <w:r w:rsidRPr="00070A91">
        <w:rPr>
          <w:rFonts w:asciiTheme="minorHAnsi" w:hAnsiTheme="minorHAnsi"/>
          <w:color w:val="000000"/>
        </w:rPr>
        <w:t xml:space="preserve">My name is </w:t>
      </w:r>
      <w:r w:rsidR="001A4885" w:rsidRPr="00070A91">
        <w:rPr>
          <w:rFonts w:asciiTheme="minorHAnsi" w:hAnsiTheme="minorHAnsi"/>
          <w:color w:val="000000"/>
        </w:rPr>
        <w:t xml:space="preserve">Phoebe </w:t>
      </w:r>
      <w:r w:rsidRPr="00070A91">
        <w:rPr>
          <w:rFonts w:asciiTheme="minorHAnsi" w:hAnsiTheme="minorHAnsi"/>
          <w:color w:val="000000"/>
        </w:rPr>
        <w:t>, and today I’ll be talking about my experience completing the John Muir Award.</w:t>
      </w:r>
    </w:p>
    <w:p w14:paraId="2DCE0FD1" w14:textId="04DB52A2" w:rsidR="00751B61" w:rsidRPr="00070A91" w:rsidRDefault="00751B61" w:rsidP="00751B61">
      <w:pPr>
        <w:pStyle w:val="NormalWeb"/>
        <w:rPr>
          <w:rFonts w:asciiTheme="minorHAnsi" w:hAnsiTheme="minorHAnsi"/>
          <w:color w:val="000000"/>
        </w:rPr>
      </w:pPr>
      <w:r w:rsidRPr="00070A91">
        <w:rPr>
          <w:rFonts w:asciiTheme="minorHAnsi" w:hAnsiTheme="minorHAnsi"/>
          <w:color w:val="000000"/>
        </w:rPr>
        <w:t>For my award, I explored</w:t>
      </w:r>
      <w:r w:rsidRPr="00070A91">
        <w:rPr>
          <w:rStyle w:val="apple-converted-space"/>
          <w:rFonts w:asciiTheme="minorHAnsi" w:eastAsiaTheme="majorEastAsia" w:hAnsiTheme="minorHAnsi"/>
          <w:color w:val="000000"/>
        </w:rPr>
        <w:t> </w:t>
      </w:r>
      <w:proofErr w:type="spellStart"/>
      <w:r w:rsidRPr="00070A91">
        <w:rPr>
          <w:rStyle w:val="whitespace-normal"/>
          <w:rFonts w:asciiTheme="minorHAnsi" w:eastAsiaTheme="majorEastAsia" w:hAnsiTheme="minorHAnsi"/>
          <w:color w:val="000000"/>
        </w:rPr>
        <w:t>Bryngarw</w:t>
      </w:r>
      <w:proofErr w:type="spellEnd"/>
      <w:r w:rsidRPr="00070A91">
        <w:rPr>
          <w:rStyle w:val="whitespace-normal"/>
          <w:rFonts w:asciiTheme="minorHAnsi" w:eastAsiaTheme="majorEastAsia" w:hAnsiTheme="minorHAnsi"/>
          <w:color w:val="000000"/>
        </w:rPr>
        <w:t xml:space="preserve"> Country Park</w:t>
      </w:r>
      <w:r w:rsidRPr="00070A91">
        <w:rPr>
          <w:rFonts w:asciiTheme="minorHAnsi" w:hAnsiTheme="minorHAnsi"/>
          <w:color w:val="000000"/>
        </w:rPr>
        <w:t>. During this experience, I spent time learning about the natural environment, observing wildlife, and understanding the importance of protecting green spaces within the local community.</w:t>
      </w:r>
    </w:p>
    <w:p w14:paraId="554196AC" w14:textId="77777777" w:rsidR="00751B61" w:rsidRPr="00070A91" w:rsidRDefault="00751B61" w:rsidP="00751B61">
      <w:pPr>
        <w:pStyle w:val="NormalWeb"/>
        <w:rPr>
          <w:rFonts w:asciiTheme="minorHAnsi" w:hAnsiTheme="minorHAnsi"/>
          <w:color w:val="000000"/>
        </w:rPr>
      </w:pPr>
      <w:r w:rsidRPr="00070A91">
        <w:rPr>
          <w:rFonts w:asciiTheme="minorHAnsi" w:hAnsiTheme="minorHAnsi"/>
          <w:color w:val="000000"/>
        </w:rPr>
        <w:t xml:space="preserve">I chose </w:t>
      </w:r>
      <w:proofErr w:type="spellStart"/>
      <w:r w:rsidRPr="00070A91">
        <w:rPr>
          <w:rFonts w:asciiTheme="minorHAnsi" w:hAnsiTheme="minorHAnsi"/>
          <w:color w:val="000000"/>
        </w:rPr>
        <w:t>Bryngarw</w:t>
      </w:r>
      <w:proofErr w:type="spellEnd"/>
      <w:r w:rsidRPr="00070A91">
        <w:rPr>
          <w:rFonts w:asciiTheme="minorHAnsi" w:hAnsiTheme="minorHAnsi"/>
          <w:color w:val="000000"/>
        </w:rPr>
        <w:t xml:space="preserve"> Country Park because it is a peaceful and diverse natural area with woodlands, grasslands, and riverside habitats. I also chose this site because it is accessible, well maintained, and provides opportunities to explore nature while learning about conservation and the environment.</w:t>
      </w:r>
    </w:p>
    <w:p w14:paraId="503E24D7" w14:textId="77777777" w:rsidR="00751B61" w:rsidRPr="00070A91" w:rsidRDefault="00751B61" w:rsidP="00751B61">
      <w:pPr>
        <w:pStyle w:val="NormalWeb"/>
        <w:rPr>
          <w:rFonts w:asciiTheme="minorHAnsi" w:hAnsiTheme="minorHAnsi"/>
          <w:color w:val="000000"/>
        </w:rPr>
      </w:pPr>
      <w:proofErr w:type="spellStart"/>
      <w:r w:rsidRPr="00070A91">
        <w:rPr>
          <w:rFonts w:asciiTheme="minorHAnsi" w:hAnsiTheme="minorHAnsi"/>
          <w:color w:val="000000"/>
        </w:rPr>
        <w:t>Bryngarw Country</w:t>
      </w:r>
      <w:proofErr w:type="spellEnd"/>
      <w:r w:rsidRPr="00070A91">
        <w:rPr>
          <w:rFonts w:asciiTheme="minorHAnsi" w:hAnsiTheme="minorHAnsi"/>
          <w:color w:val="000000"/>
        </w:rPr>
        <w:t xml:space="preserve"> Park </w:t>
      </w:r>
      <w:proofErr w:type="gramStart"/>
      <w:r w:rsidRPr="00070A91">
        <w:rPr>
          <w:rFonts w:asciiTheme="minorHAnsi" w:hAnsiTheme="minorHAnsi"/>
          <w:color w:val="000000"/>
        </w:rPr>
        <w:t>is located in</w:t>
      </w:r>
      <w:proofErr w:type="gramEnd"/>
      <w:r w:rsidRPr="00070A91">
        <w:rPr>
          <w:rFonts w:asciiTheme="minorHAnsi" w:hAnsiTheme="minorHAnsi"/>
          <w:color w:val="000000"/>
        </w:rPr>
        <w:t xml:space="preserve"> Bridgend, South Wales, and it is considered a country park and woodland nature area. The park includes walking trails, open green spaces, wildlife habitats, and areas used for recreation and education. It is an important place for both biodiversity and the local community.</w:t>
      </w:r>
    </w:p>
    <w:p w14:paraId="567AFEEA"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Today I am going to share my personal reflection on completing the John Muir Award and my experience exploring</w:t>
      </w:r>
      <w:r w:rsidRPr="00070A91">
        <w:rPr>
          <w:rStyle w:val="apple-converted-space"/>
          <w:rFonts w:asciiTheme="minorHAnsi" w:eastAsiaTheme="majorEastAsia" w:hAnsiTheme="minorHAnsi"/>
          <w:color w:val="000000"/>
        </w:rPr>
        <w:t> </w:t>
      </w:r>
      <w:proofErr w:type="spellStart"/>
      <w:r w:rsidRPr="00070A91">
        <w:rPr>
          <w:rStyle w:val="whitespace-normal"/>
          <w:rFonts w:asciiTheme="minorHAnsi" w:eastAsiaTheme="majorEastAsia" w:hAnsiTheme="minorHAnsi"/>
          <w:color w:val="000000"/>
        </w:rPr>
        <w:t>Bryngarw</w:t>
      </w:r>
      <w:proofErr w:type="spellEnd"/>
      <w:r w:rsidRPr="00070A91">
        <w:rPr>
          <w:rStyle w:val="whitespace-normal"/>
          <w:rFonts w:asciiTheme="minorHAnsi" w:eastAsiaTheme="majorEastAsia" w:hAnsiTheme="minorHAnsi"/>
          <w:color w:val="000000"/>
        </w:rPr>
        <w:t xml:space="preserve"> Country Park</w:t>
      </w:r>
      <w:r w:rsidRPr="00070A91">
        <w:rPr>
          <w:rFonts w:asciiTheme="minorHAnsi" w:hAnsiTheme="minorHAnsi"/>
          <w:color w:val="000000"/>
        </w:rPr>
        <w:t>.</w:t>
      </w:r>
    </w:p>
    <w:p w14:paraId="479230C6"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 xml:space="preserve">Completing the John Muir Award gave me the opportunity to spend more time outdoors and connect with nature in a way that I do not usually do in everyday life. Before starting this experience, I mainly viewed parks and outdoor spaces as places for walking or relaxing. However, during my exploration of </w:t>
      </w:r>
      <w:proofErr w:type="spellStart"/>
      <w:r w:rsidRPr="00070A91">
        <w:rPr>
          <w:rFonts w:asciiTheme="minorHAnsi" w:hAnsiTheme="minorHAnsi"/>
          <w:color w:val="000000"/>
        </w:rPr>
        <w:t>Bryngarw</w:t>
      </w:r>
      <w:proofErr w:type="spellEnd"/>
      <w:r w:rsidRPr="00070A91">
        <w:rPr>
          <w:rFonts w:asciiTheme="minorHAnsi" w:hAnsiTheme="minorHAnsi"/>
          <w:color w:val="000000"/>
        </w:rPr>
        <w:t xml:space="preserve"> Country Park, I began to understand how important these natural environments are for wildlife, education, wellbeing, and the wider community.</w:t>
      </w:r>
    </w:p>
    <w:p w14:paraId="4E65E6A2"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One of the biggest things I found out during this experience was how much biodiversity exists within one local area. While exploring the park, I noticed different types of habitats including woodland areas, open grassland, riverside environments, and areas managed for conservation. I learned that each habitat supports different species of plants, insects, birds, and animals. Before this, I had never really paid close attention to how connected ecosystems are. I realised that even small changes to the environment can affect wildlife and natural habitats.</w:t>
      </w:r>
    </w:p>
    <w:p w14:paraId="15D58AC8" w14:textId="77777777" w:rsidR="0023453A" w:rsidRPr="00070A91" w:rsidRDefault="00E5424F" w:rsidP="00E5424F">
      <w:pPr>
        <w:pStyle w:val="NormalWeb"/>
        <w:rPr>
          <w:rFonts w:asciiTheme="minorHAnsi" w:hAnsiTheme="minorHAnsi"/>
          <w:color w:val="000000"/>
        </w:rPr>
      </w:pPr>
      <w:r w:rsidRPr="00070A91">
        <w:rPr>
          <w:rFonts w:asciiTheme="minorHAnsi" w:hAnsiTheme="minorHAnsi"/>
          <w:color w:val="000000"/>
        </w:rPr>
        <w:t xml:space="preserve">I also learned more about the importance of conservation and protecting green spaces. Visiting the park helped me understand that these places are not only important for nature but also for people’s physical and mental wellbeing. Many people use </w:t>
      </w:r>
      <w:proofErr w:type="spellStart"/>
      <w:r w:rsidRPr="00070A91">
        <w:rPr>
          <w:rFonts w:asciiTheme="minorHAnsi" w:hAnsiTheme="minorHAnsi"/>
          <w:color w:val="000000"/>
        </w:rPr>
        <w:t>Bryngarw</w:t>
      </w:r>
      <w:proofErr w:type="spellEnd"/>
      <w:r w:rsidRPr="00070A91">
        <w:rPr>
          <w:rFonts w:asciiTheme="minorHAnsi" w:hAnsiTheme="minorHAnsi"/>
          <w:color w:val="000000"/>
        </w:rPr>
        <w:t xml:space="preserve"> Country Park for exercise, relaxation, family activities, and spending time away from </w:t>
      </w:r>
      <w:r w:rsidRPr="00070A91">
        <w:rPr>
          <w:rFonts w:asciiTheme="minorHAnsi" w:hAnsiTheme="minorHAnsi"/>
          <w:color w:val="000000"/>
        </w:rPr>
        <w:lastRenderedPageBreak/>
        <w:t>busy urban environments. This made me realise how valuable accessible natural spaces are within local communities.</w:t>
      </w:r>
    </w:p>
    <w:p w14:paraId="5DC067A2" w14:textId="66EC646D"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Another important part of my learning was becoming more aware of environmental issues. I noticed how litter, pollution, and damage to habitats can negatively affect wildlife and the environment. This experience changed my thinking because I realised that protecting nature is everyone’s responsibility. Even small actions, such as disposing of rubbish properly, respecting wildlife, and encouraging sustainable behaviour, can help preserve these spaces for future generations.</w:t>
      </w:r>
    </w:p>
    <w:p w14:paraId="3954A77D"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The experience also made me reflect on my own connection with nature. Spending time outdoors reminded me of childhood memories of visiting parks, exploring outdoors, and being curious about the natural world. As children, many people naturally enjoy exploring nature, climbing trees, observing animals, or simply playing outside. However, as people get older, they often spend less time outdoors because of technology, busy lifestyles, or other responsibilities.</w:t>
      </w:r>
    </w:p>
    <w:p w14:paraId="7FAA46FD"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This experience made me think about how important it is for children to stay connected with nature. Outdoor environments can help children develop creativity, confidence, curiosity, and respect for the world around them. Nature can also support mental health and emotional wellbeing by giving people space to relax and reduce stress. I believe experiences like the John Muir Award are valuable because they encourage people of all ages to appreciate and care for the environment.</w:t>
      </w:r>
    </w:p>
    <w:p w14:paraId="42725D48"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I was also inspired by how peaceful and calming the natural environment felt. Exploring the park gave me time to slow down, observe my surroundings, and appreciate things that I would normally ignore in everyday life. I became more aware of sounds, colours, wildlife, and seasonal changes within the environment. This helped me feel more connected to the natural world and appreciate the importance of protecting it.</w:t>
      </w:r>
    </w:p>
    <w:p w14:paraId="38717949"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 xml:space="preserve">Another thing I found interesting was learning about how parks such as </w:t>
      </w:r>
      <w:proofErr w:type="spellStart"/>
      <w:r w:rsidRPr="00070A91">
        <w:rPr>
          <w:rFonts w:asciiTheme="minorHAnsi" w:hAnsiTheme="minorHAnsi"/>
          <w:color w:val="000000"/>
        </w:rPr>
        <w:t>Bryngarw</w:t>
      </w:r>
      <w:proofErr w:type="spellEnd"/>
      <w:r w:rsidRPr="00070A91">
        <w:rPr>
          <w:rFonts w:asciiTheme="minorHAnsi" w:hAnsiTheme="minorHAnsi"/>
          <w:color w:val="000000"/>
        </w:rPr>
        <w:t xml:space="preserve"> Country Park are managed and maintained. I began thinking more about the work involved in conservation, including protecting habitats, maintaining walking trails, planting trees, and educating visitors about the environment. This has made me interested in learning more about conservation work and how communities can become more involved in protecting local green spaces.</w:t>
      </w:r>
    </w:p>
    <w:p w14:paraId="7446AF19" w14:textId="77777777" w:rsidR="00E5424F" w:rsidRPr="00070A91" w:rsidRDefault="00E5424F" w:rsidP="00E5424F">
      <w:pPr>
        <w:pStyle w:val="NormalWeb"/>
        <w:rPr>
          <w:rFonts w:asciiTheme="minorHAnsi" w:hAnsiTheme="minorHAnsi"/>
          <w:color w:val="000000"/>
        </w:rPr>
      </w:pPr>
      <w:r w:rsidRPr="00070A91">
        <w:rPr>
          <w:rFonts w:asciiTheme="minorHAnsi" w:hAnsiTheme="minorHAnsi"/>
          <w:color w:val="000000"/>
        </w:rPr>
        <w:t>Overall, completing the John Muir Award was a very positive and meaningful experience for me. It helped me gain a greater understanding of the natural environment, conservation, biodiversity, and the importance of protecting outdoor spaces. It also encouraged me to reflect on the relationship people have with nature and how important it is to inspire future generations to care for the world around them.</w:t>
      </w:r>
    </w:p>
    <w:p w14:paraId="20880E49" w14:textId="62D24AA5" w:rsidR="00E5424F" w:rsidRDefault="007D0FAC" w:rsidP="00751B61">
      <w:pPr>
        <w:pStyle w:val="NormalWeb"/>
        <w:rPr>
          <w:rFonts w:asciiTheme="minorHAnsi" w:hAnsiTheme="minorHAnsi"/>
          <w:color w:val="000000"/>
        </w:rPr>
      </w:pPr>
      <w:r w:rsidRPr="007D0FAC">
        <w:rPr>
          <w:rFonts w:asciiTheme="minorHAnsi" w:hAnsiTheme="minorHAnsi"/>
          <w:color w:val="000000"/>
          <w:highlight w:val="yellow"/>
        </w:rPr>
        <w:t>B</w:t>
      </w:r>
    </w:p>
    <w:p w14:paraId="6C051007" w14:textId="2622880B" w:rsidR="00563EE4" w:rsidRPr="00124C2E" w:rsidRDefault="006A4C7E" w:rsidP="00563EE4">
      <w:pPr>
        <w:pStyle w:val="NormalWeb"/>
        <w:rPr>
          <w:rFonts w:asciiTheme="minorHAnsi" w:hAnsiTheme="minorHAnsi"/>
          <w:color w:val="000000"/>
        </w:rPr>
      </w:pPr>
      <w:r w:rsidRPr="00124C2E">
        <w:rPr>
          <w:rFonts w:asciiTheme="minorHAnsi" w:hAnsiTheme="minorHAnsi"/>
          <w:color w:val="000000"/>
        </w:rPr>
        <w:t>S</w:t>
      </w:r>
      <w:r w:rsidR="00563EE4" w:rsidRPr="00124C2E">
        <w:rPr>
          <w:rFonts w:asciiTheme="minorHAnsi" w:hAnsiTheme="minorHAnsi"/>
          <w:color w:val="000000"/>
        </w:rPr>
        <w:t xml:space="preserve">ustainability can be defined as meeting the needs of the present without compromising the ability of future generations to meet their own needs (United </w:t>
      </w:r>
      <w:r w:rsidR="00563EE4" w:rsidRPr="00124C2E">
        <w:rPr>
          <w:rFonts w:asciiTheme="minorHAnsi" w:hAnsiTheme="minorHAnsi"/>
          <w:color w:val="000000"/>
        </w:rPr>
        <w:lastRenderedPageBreak/>
        <w:t>Nations, 1987). Sustainability is not only about protecting the environment, but also about supporting social, economic, and cultural wellbeing. In Wales, this is reflected within the</w:t>
      </w:r>
      <w:r w:rsidR="00563EE4" w:rsidRPr="00124C2E">
        <w:rPr>
          <w:rStyle w:val="apple-converted-space"/>
          <w:rFonts w:asciiTheme="minorHAnsi" w:eastAsiaTheme="majorEastAsia" w:hAnsiTheme="minorHAnsi"/>
          <w:color w:val="000000"/>
        </w:rPr>
        <w:t> </w:t>
      </w:r>
      <w:r w:rsidR="00563EE4" w:rsidRPr="00124C2E">
        <w:rPr>
          <w:rStyle w:val="whitespace-normal"/>
          <w:rFonts w:asciiTheme="minorHAnsi" w:eastAsiaTheme="majorEastAsia" w:hAnsiTheme="minorHAnsi"/>
          <w:color w:val="000000"/>
        </w:rPr>
        <w:t>Welsh Government</w:t>
      </w:r>
      <w:r w:rsidR="00563EE4" w:rsidRPr="00124C2E">
        <w:rPr>
          <w:rStyle w:val="apple-converted-space"/>
          <w:rFonts w:asciiTheme="minorHAnsi" w:eastAsiaTheme="majorEastAsia" w:hAnsiTheme="minorHAnsi"/>
          <w:color w:val="000000"/>
        </w:rPr>
        <w:t> </w:t>
      </w:r>
      <w:r w:rsidR="00563EE4" w:rsidRPr="00124C2E">
        <w:rPr>
          <w:rFonts w:asciiTheme="minorHAnsi" w:hAnsiTheme="minorHAnsi"/>
          <w:color w:val="000000"/>
        </w:rPr>
        <w:t>Well-being of Future Generations Act 2015, which encourages organisations and communities to think about the long-term impact of their decisions on future generations.</w:t>
      </w:r>
    </w:p>
    <w:p w14:paraId="1944C00D" w14:textId="77777777" w:rsidR="00563EE4" w:rsidRPr="00124C2E" w:rsidRDefault="00563EE4" w:rsidP="00563EE4">
      <w:pPr>
        <w:pStyle w:val="NormalWeb"/>
        <w:rPr>
          <w:rFonts w:asciiTheme="minorHAnsi" w:hAnsiTheme="minorHAnsi"/>
          <w:color w:val="000000"/>
        </w:rPr>
      </w:pPr>
      <w:r w:rsidRPr="00124C2E">
        <w:rPr>
          <w:rFonts w:asciiTheme="minorHAnsi" w:hAnsiTheme="minorHAnsi"/>
          <w:color w:val="000000"/>
        </w:rPr>
        <w:t>Sustainability is highly relevant within early years education because young children are developing attitudes, behaviours, and values that may influence them throughout life. Research suggests that children who regularly engage with nature are more likely to develop positive attitudes towards the environment and sustainability.</w:t>
      </w:r>
    </w:p>
    <w:p w14:paraId="14CC2F98" w14:textId="25590457" w:rsidR="00124C2E" w:rsidRDefault="00124C2E" w:rsidP="00563EE4">
      <w:pPr>
        <w:pStyle w:val="NormalWeb"/>
        <w:rPr>
          <w:rFonts w:asciiTheme="minorHAnsi" w:hAnsiTheme="minorHAnsi"/>
          <w:color w:val="000000"/>
        </w:rPr>
      </w:pPr>
      <w:r w:rsidRPr="00124C2E">
        <w:rPr>
          <w:rFonts w:asciiTheme="minorHAnsi" w:hAnsiTheme="minorHAnsi"/>
          <w:color w:val="000000"/>
        </w:rPr>
        <w:t xml:space="preserve">Education for Sustainable Development, often referred to as ESD, supports children in developing the knowledge, skills, and values needed for a sustainable future (Welsh Government, 2012). ESD is not simply about teaching </w:t>
      </w:r>
      <w:proofErr w:type="gramStart"/>
      <w:r w:rsidRPr="00124C2E">
        <w:rPr>
          <w:rFonts w:asciiTheme="minorHAnsi" w:hAnsiTheme="minorHAnsi"/>
          <w:color w:val="000000"/>
        </w:rPr>
        <w:t>children</w:t>
      </w:r>
      <w:proofErr w:type="gramEnd"/>
      <w:r w:rsidRPr="00124C2E">
        <w:rPr>
          <w:rFonts w:asciiTheme="minorHAnsi" w:hAnsiTheme="minorHAnsi"/>
          <w:color w:val="000000"/>
        </w:rPr>
        <w:t xml:space="preserve"> facts about recycling or climate change. Instead, it encourages critical thinking, responsibility, participation, and awareness of how human actions affect the environment and society.</w:t>
      </w:r>
    </w:p>
    <w:p w14:paraId="6AF1158F" w14:textId="77777777" w:rsidR="00F542C2" w:rsidRPr="00F542C2" w:rsidRDefault="00F542C2" w:rsidP="00F542C2">
      <w:pPr>
        <w:pStyle w:val="NormalWeb"/>
        <w:rPr>
          <w:rFonts w:asciiTheme="minorHAnsi" w:hAnsiTheme="minorHAnsi"/>
          <w:color w:val="000000"/>
        </w:rPr>
      </w:pPr>
      <w:r w:rsidRPr="00F542C2">
        <w:rPr>
          <w:rFonts w:asciiTheme="minorHAnsi" w:hAnsiTheme="minorHAnsi"/>
          <w:color w:val="000000"/>
        </w:rPr>
        <w:t>This links closely to the Curriculum for Wales, which aims to develop:</w:t>
      </w:r>
    </w:p>
    <w:p w14:paraId="3DD4F90C" w14:textId="77777777" w:rsidR="00F542C2" w:rsidRPr="00F542C2" w:rsidRDefault="00F542C2" w:rsidP="00F542C2">
      <w:pPr>
        <w:pStyle w:val="NormalWeb"/>
        <w:rPr>
          <w:rFonts w:asciiTheme="minorHAnsi" w:hAnsiTheme="minorHAnsi"/>
          <w:color w:val="000000"/>
        </w:rPr>
      </w:pPr>
      <w:r w:rsidRPr="00F542C2">
        <w:rPr>
          <w:rStyle w:val="Emphasis"/>
          <w:rFonts w:asciiTheme="minorHAnsi" w:eastAsiaTheme="majorEastAsia" w:hAnsiTheme="minorHAnsi"/>
          <w:color w:val="000000"/>
        </w:rPr>
        <w:t>‘Ethical, informed citizens of Wales and the world’</w:t>
      </w:r>
      <w:r w:rsidRPr="00F542C2">
        <w:rPr>
          <w:rStyle w:val="apple-converted-space"/>
          <w:rFonts w:asciiTheme="minorHAnsi" w:eastAsiaTheme="majorEastAsia" w:hAnsiTheme="minorHAnsi"/>
          <w:color w:val="000000"/>
        </w:rPr>
        <w:t> </w:t>
      </w:r>
      <w:r w:rsidRPr="00F542C2">
        <w:rPr>
          <w:rFonts w:asciiTheme="minorHAnsi" w:hAnsiTheme="minorHAnsi"/>
          <w:color w:val="000000"/>
        </w:rPr>
        <w:t>(Welsh Government, 2022).</w:t>
      </w:r>
    </w:p>
    <w:p w14:paraId="2E6322FE" w14:textId="77777777" w:rsidR="00F542C2" w:rsidRPr="00F542C2" w:rsidRDefault="00F542C2" w:rsidP="00F542C2">
      <w:pPr>
        <w:pStyle w:val="NormalWeb"/>
        <w:rPr>
          <w:rFonts w:asciiTheme="minorHAnsi" w:hAnsiTheme="minorHAnsi"/>
          <w:color w:val="000000"/>
        </w:rPr>
      </w:pPr>
      <w:r w:rsidRPr="00F542C2">
        <w:rPr>
          <w:rFonts w:asciiTheme="minorHAnsi" w:hAnsiTheme="minorHAnsi"/>
          <w:color w:val="000000"/>
        </w:rPr>
        <w:t>This is important because sustainability education encourages children to understand responsibility, fairness, community, and environmental care. The Curriculum for Wales also promotes experiential learning, meaning children learn best through active participation and meaningful experiences.</w:t>
      </w:r>
    </w:p>
    <w:p w14:paraId="2C4237C0" w14:textId="75F18467" w:rsidR="00F542C2" w:rsidRDefault="00F542C2" w:rsidP="00F542C2">
      <w:pPr>
        <w:pStyle w:val="NormalWeb"/>
        <w:rPr>
          <w:rFonts w:asciiTheme="minorHAnsi" w:hAnsiTheme="minorHAnsi"/>
          <w:color w:val="000000"/>
        </w:rPr>
      </w:pPr>
      <w:r w:rsidRPr="00F542C2">
        <w:rPr>
          <w:rFonts w:asciiTheme="minorHAnsi" w:hAnsiTheme="minorHAnsi"/>
          <w:color w:val="000000"/>
        </w:rPr>
        <w:t>This is especially relevant within non-maintained nursery settings and early years environments, where play-based and child-centred learning are central to practice. Rather than learning only through direct instruction, children are encouraged to explore, investigate, and discover through real-life experiences.</w:t>
      </w:r>
    </w:p>
    <w:p w14:paraId="253A96B5" w14:textId="77777777" w:rsidR="00A819EF" w:rsidRPr="00A819EF" w:rsidRDefault="00A819EF" w:rsidP="00A819EF">
      <w:pPr>
        <w:pStyle w:val="NormalWeb"/>
        <w:rPr>
          <w:rFonts w:asciiTheme="minorHAnsi" w:hAnsiTheme="minorHAnsi"/>
          <w:color w:val="000000"/>
        </w:rPr>
      </w:pPr>
      <w:r w:rsidRPr="00A819EF">
        <w:rPr>
          <w:rFonts w:asciiTheme="minorHAnsi" w:hAnsiTheme="minorHAnsi"/>
          <w:color w:val="000000"/>
        </w:rPr>
        <w:t>During my exploration of</w:t>
      </w:r>
      <w:r w:rsidRPr="00A819EF">
        <w:rPr>
          <w:rStyle w:val="apple-converted-space"/>
          <w:rFonts w:asciiTheme="minorHAnsi" w:eastAsiaTheme="majorEastAsia" w:hAnsiTheme="minorHAnsi"/>
          <w:color w:val="000000"/>
        </w:rPr>
        <w:t> </w:t>
      </w:r>
      <w:proofErr w:type="spellStart"/>
      <w:r w:rsidRPr="00A819EF">
        <w:rPr>
          <w:rStyle w:val="whitespace-normal"/>
          <w:rFonts w:asciiTheme="minorHAnsi" w:eastAsiaTheme="majorEastAsia" w:hAnsiTheme="minorHAnsi"/>
          <w:color w:val="000000"/>
        </w:rPr>
        <w:t>Bryngarw</w:t>
      </w:r>
      <w:proofErr w:type="spellEnd"/>
      <w:r w:rsidRPr="00A819EF">
        <w:rPr>
          <w:rStyle w:val="whitespace-normal"/>
          <w:rFonts w:asciiTheme="minorHAnsi" w:eastAsiaTheme="majorEastAsia" w:hAnsiTheme="minorHAnsi"/>
          <w:color w:val="000000"/>
        </w:rPr>
        <w:t xml:space="preserve"> Country Park</w:t>
      </w:r>
      <w:r w:rsidRPr="00A819EF">
        <w:rPr>
          <w:rFonts w:asciiTheme="minorHAnsi" w:hAnsiTheme="minorHAnsi"/>
          <w:color w:val="000000"/>
        </w:rPr>
        <w:t>, I observed how outdoor environments provide opportunities for hands-on learning, curiosity, and exploration. Children can interact with natural materials, observe wildlife, investigate textures, and explore their surroundings using their senses. These experiences support children’s physical, emotional, social, and cognitive development while also encouraging appreciation for the environment.</w:t>
      </w:r>
    </w:p>
    <w:p w14:paraId="53B475CB" w14:textId="77777777" w:rsidR="00A819EF" w:rsidRPr="00A819EF" w:rsidRDefault="00A819EF" w:rsidP="00A819EF">
      <w:pPr>
        <w:pStyle w:val="NormalWeb"/>
        <w:rPr>
          <w:rFonts w:asciiTheme="minorHAnsi" w:hAnsiTheme="minorHAnsi"/>
          <w:color w:val="000000"/>
        </w:rPr>
      </w:pPr>
      <w:r w:rsidRPr="00A819EF">
        <w:rPr>
          <w:rFonts w:asciiTheme="minorHAnsi" w:hAnsiTheme="minorHAnsi"/>
          <w:color w:val="000000"/>
        </w:rPr>
        <w:t>A key feature of sustainable learning in early years is that it is child-led. Child-led learning allows children to follow their own interests, ask questions, and make discoveries independently. This increases engagement and supports curiosity and problem-solving skills.</w:t>
      </w:r>
    </w:p>
    <w:p w14:paraId="4D17D6FE" w14:textId="77777777" w:rsidR="00A819EF" w:rsidRDefault="00A819EF" w:rsidP="00A819EF">
      <w:pPr>
        <w:pStyle w:val="NormalWeb"/>
        <w:rPr>
          <w:rFonts w:asciiTheme="minorHAnsi" w:hAnsiTheme="minorHAnsi"/>
          <w:color w:val="000000"/>
        </w:rPr>
      </w:pPr>
      <w:r w:rsidRPr="00A819EF">
        <w:rPr>
          <w:rFonts w:asciiTheme="minorHAnsi" w:hAnsiTheme="minorHAnsi"/>
          <w:color w:val="000000"/>
        </w:rPr>
        <w:t>Learning in real-world environments is also important because children often learn more effectively through active doing rather than passive listening. Outdoor environments provide meaningful opportunities to learn about weather, seasons, habitats, growth, and environmental responsibility.</w:t>
      </w:r>
    </w:p>
    <w:p w14:paraId="5B948817" w14:textId="77777777" w:rsidR="004C78FA" w:rsidRPr="004C78FA" w:rsidRDefault="004C78FA" w:rsidP="004C78FA">
      <w:pPr>
        <w:pStyle w:val="NormalWeb"/>
        <w:rPr>
          <w:rFonts w:asciiTheme="minorHAnsi" w:hAnsiTheme="minorHAnsi"/>
          <w:color w:val="000000"/>
        </w:rPr>
      </w:pPr>
      <w:r w:rsidRPr="004C78FA">
        <w:rPr>
          <w:rFonts w:asciiTheme="minorHAnsi" w:hAnsiTheme="minorHAnsi"/>
          <w:color w:val="000000"/>
        </w:rPr>
        <w:lastRenderedPageBreak/>
        <w:t>These approaches align closely with the principles of Education for Sustainable Development because they encourage participation, exploration, and connection with the natural world. Sustainability should therefore be embedded within everyday experiences rather than taught as a separate subject.</w:t>
      </w:r>
    </w:p>
    <w:p w14:paraId="6C35D336" w14:textId="77777777" w:rsidR="004C78FA" w:rsidRPr="004C78FA" w:rsidRDefault="004C78FA" w:rsidP="004C78FA">
      <w:pPr>
        <w:pStyle w:val="NormalWeb"/>
        <w:rPr>
          <w:rFonts w:asciiTheme="minorHAnsi" w:hAnsiTheme="minorHAnsi"/>
          <w:color w:val="000000"/>
        </w:rPr>
      </w:pPr>
      <w:r w:rsidRPr="004C78FA">
        <w:rPr>
          <w:rFonts w:asciiTheme="minorHAnsi" w:hAnsiTheme="minorHAnsi"/>
          <w:color w:val="000000"/>
        </w:rPr>
        <w:t>Another important framework is the</w:t>
      </w:r>
      <w:r w:rsidRPr="004C78FA">
        <w:rPr>
          <w:rStyle w:val="apple-converted-space"/>
          <w:rFonts w:asciiTheme="minorHAnsi" w:eastAsiaTheme="majorEastAsia" w:hAnsiTheme="minorHAnsi"/>
          <w:color w:val="000000"/>
        </w:rPr>
        <w:t> </w:t>
      </w:r>
      <w:r w:rsidRPr="004C78FA">
        <w:rPr>
          <w:rStyle w:val="whitespace-normal"/>
          <w:rFonts w:asciiTheme="minorHAnsi" w:eastAsiaTheme="majorEastAsia" w:hAnsiTheme="minorHAnsi"/>
          <w:color w:val="000000"/>
        </w:rPr>
        <w:t>United Nations Children's Fund</w:t>
      </w:r>
      <w:r w:rsidRPr="004C78FA">
        <w:rPr>
          <w:rStyle w:val="apple-converted-space"/>
          <w:rFonts w:asciiTheme="minorHAnsi" w:eastAsiaTheme="majorEastAsia" w:hAnsiTheme="minorHAnsi"/>
          <w:color w:val="000000"/>
        </w:rPr>
        <w:t> </w:t>
      </w:r>
      <w:r w:rsidRPr="004C78FA">
        <w:rPr>
          <w:rFonts w:asciiTheme="minorHAnsi" w:hAnsiTheme="minorHAnsi"/>
          <w:color w:val="000000"/>
        </w:rPr>
        <w:t>United Nations Convention on the Rights of the Child, also known as the UNCRC. Article 29 states that education should develop respect for the natural environment, while Article 31 highlights children’s rights to play and participate in recreational activities. Outdoor learning environments help support these rights while also benefiting children’s wellbeing and development.</w:t>
      </w:r>
    </w:p>
    <w:p w14:paraId="67F4BE4B" w14:textId="77777777" w:rsidR="004C78FA" w:rsidRDefault="004C78FA" w:rsidP="004C78FA">
      <w:pPr>
        <w:pStyle w:val="NormalWeb"/>
        <w:rPr>
          <w:rFonts w:asciiTheme="minorHAnsi" w:hAnsiTheme="minorHAnsi"/>
          <w:color w:val="000000"/>
        </w:rPr>
      </w:pPr>
      <w:r w:rsidRPr="004C78FA">
        <w:rPr>
          <w:rFonts w:asciiTheme="minorHAnsi" w:hAnsiTheme="minorHAnsi"/>
          <w:color w:val="000000"/>
        </w:rPr>
        <w:t>However, there are also challenges when implementing sustainability within early years settings. Some practitioners may lack confidence, training, or resources for outdoor learning. In some settings, outdoor experiences may be limited due to safety concerns, weather conditions, or curriculum pressures.</w:t>
      </w:r>
    </w:p>
    <w:p w14:paraId="01998B4D" w14:textId="77777777" w:rsidR="002D56FF" w:rsidRPr="002D56FF" w:rsidRDefault="002D56FF" w:rsidP="002D56FF">
      <w:pPr>
        <w:pStyle w:val="NormalWeb"/>
        <w:rPr>
          <w:rFonts w:asciiTheme="minorHAnsi" w:hAnsiTheme="minorHAnsi"/>
          <w:color w:val="000000"/>
        </w:rPr>
      </w:pPr>
      <w:r w:rsidRPr="002D56FF">
        <w:rPr>
          <w:rFonts w:asciiTheme="minorHAnsi" w:hAnsiTheme="minorHAnsi"/>
          <w:color w:val="000000"/>
        </w:rPr>
        <w:t>There are also concerns that structured academic targets can sometimes reduce opportunities for child-led and exploratory learning. Additionally, not all children have equal access to safe natural spaces, particularly those living in urban or disadvantaged areas.</w:t>
      </w:r>
    </w:p>
    <w:p w14:paraId="7A81CCEE" w14:textId="77777777" w:rsidR="002D56FF" w:rsidRPr="002D56FF" w:rsidRDefault="002D56FF" w:rsidP="002D56FF">
      <w:pPr>
        <w:pStyle w:val="NormalWeb"/>
        <w:rPr>
          <w:rFonts w:asciiTheme="minorHAnsi" w:hAnsiTheme="minorHAnsi"/>
          <w:color w:val="000000"/>
        </w:rPr>
      </w:pPr>
      <w:r w:rsidRPr="002D56FF">
        <w:rPr>
          <w:rFonts w:asciiTheme="minorHAnsi" w:hAnsiTheme="minorHAnsi"/>
          <w:color w:val="000000"/>
        </w:rPr>
        <w:t>Despite these challenges, research strongly supports the benefits of outdoor and sustainability-focused learning. Studies suggest that outdoor learning can improve confidence, communication, creativity, resilience, teamwork, wellbeing, and problem-solving skills.</w:t>
      </w:r>
    </w:p>
    <w:p w14:paraId="622C0AC1" w14:textId="04EFF3A3" w:rsidR="0082387E" w:rsidRPr="002D56FF" w:rsidRDefault="002D56FF" w:rsidP="002D56FF">
      <w:pPr>
        <w:pStyle w:val="NormalWeb"/>
        <w:rPr>
          <w:rFonts w:asciiTheme="minorHAnsi" w:hAnsiTheme="minorHAnsi"/>
          <w:color w:val="000000"/>
        </w:rPr>
      </w:pPr>
      <w:r w:rsidRPr="002D56FF">
        <w:rPr>
          <w:rFonts w:asciiTheme="minorHAnsi" w:hAnsiTheme="minorHAnsi"/>
          <w:color w:val="000000"/>
        </w:rPr>
        <w:t xml:space="preserve">From my own experience at </w:t>
      </w:r>
      <w:proofErr w:type="spellStart"/>
      <w:r w:rsidRPr="002D56FF">
        <w:rPr>
          <w:rFonts w:asciiTheme="minorHAnsi" w:hAnsiTheme="minorHAnsi"/>
          <w:color w:val="000000"/>
        </w:rPr>
        <w:t>Bryngarw</w:t>
      </w:r>
      <w:proofErr w:type="spellEnd"/>
      <w:r w:rsidRPr="002D56FF">
        <w:rPr>
          <w:rFonts w:asciiTheme="minorHAnsi" w:hAnsiTheme="minorHAnsi"/>
          <w:color w:val="000000"/>
        </w:rPr>
        <w:t xml:space="preserve"> Country Park, I recognised how outdoor environments encourage reflection, curiosity, and emotional connection with nature. These experiences are important for helping children develop environmental responsibility and ethical citizenship.</w:t>
      </w:r>
    </w:p>
    <w:p w14:paraId="015975D8" w14:textId="5A947154" w:rsidR="002D56FF" w:rsidRDefault="00A25975" w:rsidP="004C78FA">
      <w:pPr>
        <w:pStyle w:val="NormalWeb"/>
        <w:rPr>
          <w:rFonts w:asciiTheme="minorHAnsi" w:hAnsiTheme="minorHAnsi"/>
          <w:color w:val="000000"/>
        </w:rPr>
      </w:pPr>
      <w:r w:rsidRPr="00A25975">
        <w:rPr>
          <w:rFonts w:asciiTheme="minorHAnsi" w:hAnsiTheme="minorHAnsi"/>
          <w:color w:val="000000"/>
        </w:rPr>
        <w:t>ESD is concerned not only with environmental knowledge but also with developing values, behaviours, and dispositions that support sustainable living. It is aligned with constructivist and experiential theories of learning, particularly Kolb’s (1984) learning cycle, which emphasises that meaningful learning occurs through a process of experience, reflection, conceptualisation, and active experimentation. The John Muir Award reflects this structure through direct engagement with nature followed by reflection and environmental responsibility.</w:t>
      </w:r>
    </w:p>
    <w:p w14:paraId="65F243E0" w14:textId="77777777" w:rsidR="00AB2260" w:rsidRPr="00AB2260" w:rsidRDefault="00AB2260" w:rsidP="00AB2260">
      <w:pPr>
        <w:pStyle w:val="NormalWeb"/>
        <w:rPr>
          <w:rFonts w:asciiTheme="minorHAnsi" w:hAnsiTheme="minorHAnsi"/>
          <w:color w:val="000000"/>
        </w:rPr>
      </w:pPr>
      <w:r w:rsidRPr="00AB2260">
        <w:rPr>
          <w:rFonts w:asciiTheme="minorHAnsi" w:hAnsiTheme="minorHAnsi"/>
          <w:color w:val="000000"/>
        </w:rPr>
        <w:t>A key strength of the John Muir Award in relation to ESD is</w:t>
      </w:r>
      <w:r w:rsidRPr="00AB2260">
        <w:rPr>
          <w:rStyle w:val="apple-converted-space"/>
          <w:rFonts w:asciiTheme="minorHAnsi" w:eastAsiaTheme="majorEastAsia" w:hAnsiTheme="minorHAnsi"/>
          <w:color w:val="000000"/>
        </w:rPr>
        <w:t> </w:t>
      </w:r>
      <w:r w:rsidRPr="00AB2260">
        <w:rPr>
          <w:rStyle w:val="Strong"/>
          <w:rFonts w:asciiTheme="minorHAnsi" w:eastAsiaTheme="majorEastAsia" w:hAnsiTheme="minorHAnsi"/>
          <w:b w:val="0"/>
          <w:bCs w:val="0"/>
          <w:color w:val="000000"/>
        </w:rPr>
        <w:t>learning through direct engagement with natural environments</w:t>
      </w:r>
      <w:r w:rsidRPr="00AB2260">
        <w:rPr>
          <w:rFonts w:asciiTheme="minorHAnsi" w:hAnsiTheme="minorHAnsi"/>
          <w:color w:val="000000"/>
        </w:rPr>
        <w:t xml:space="preserve">. During my experience, </w:t>
      </w:r>
      <w:proofErr w:type="spellStart"/>
      <w:r w:rsidRPr="00AB2260">
        <w:rPr>
          <w:rFonts w:asciiTheme="minorHAnsi" w:hAnsiTheme="minorHAnsi"/>
          <w:color w:val="000000"/>
        </w:rPr>
        <w:t>Bryngarw</w:t>
      </w:r>
      <w:proofErr w:type="spellEnd"/>
      <w:r w:rsidRPr="00AB2260">
        <w:rPr>
          <w:rFonts w:asciiTheme="minorHAnsi" w:hAnsiTheme="minorHAnsi"/>
          <w:color w:val="000000"/>
        </w:rPr>
        <w:t xml:space="preserve"> Country Park provided an authentic context for observing biodiversity, ecosystems, and seasonal environmental change. This aligns with the concept of place-based education, which argues that learning is deepened when it is rooted in real, meaningful environments rather than abstract classroom contexts (Gruenewald, 2003).</w:t>
      </w:r>
    </w:p>
    <w:p w14:paraId="1A22D613" w14:textId="77777777" w:rsidR="00AB2260" w:rsidRPr="00AB2260" w:rsidRDefault="00AB2260" w:rsidP="00AB2260">
      <w:pPr>
        <w:pStyle w:val="NormalWeb"/>
        <w:rPr>
          <w:rFonts w:asciiTheme="minorHAnsi" w:hAnsiTheme="minorHAnsi"/>
          <w:color w:val="000000"/>
        </w:rPr>
      </w:pPr>
      <w:r w:rsidRPr="00AB2260">
        <w:rPr>
          <w:rFonts w:asciiTheme="minorHAnsi" w:hAnsiTheme="minorHAnsi"/>
          <w:color w:val="000000"/>
        </w:rPr>
        <w:lastRenderedPageBreak/>
        <w:t xml:space="preserve">From an early </w:t>
      </w:r>
      <w:proofErr w:type="gramStart"/>
      <w:r w:rsidRPr="00AB2260">
        <w:rPr>
          <w:rFonts w:asciiTheme="minorHAnsi" w:hAnsiTheme="minorHAnsi"/>
          <w:color w:val="000000"/>
        </w:rPr>
        <w:t>years</w:t>
      </w:r>
      <w:proofErr w:type="gramEnd"/>
      <w:r w:rsidRPr="00AB2260">
        <w:rPr>
          <w:rFonts w:asciiTheme="minorHAnsi" w:hAnsiTheme="minorHAnsi"/>
          <w:color w:val="000000"/>
        </w:rPr>
        <w:t xml:space="preserve"> perspective, this approach is particularly significant because young children learn through sensory exploration and embodied experience. Montessori (1949) emphasised that children construct understanding through interaction with their environment, and that nature should be central to early learning. This philosophy aligns closely with outdoor learning approaches in Wales, where children are encouraged to explore, observe, and develop respect for the natural world.</w:t>
      </w:r>
    </w:p>
    <w:p w14:paraId="457B4762" w14:textId="77777777" w:rsidR="00AB2260" w:rsidRPr="00AB2260" w:rsidRDefault="00AB2260" w:rsidP="00AB2260">
      <w:pPr>
        <w:pStyle w:val="NormalWeb"/>
        <w:rPr>
          <w:rFonts w:asciiTheme="minorHAnsi" w:hAnsiTheme="minorHAnsi"/>
          <w:color w:val="000000"/>
        </w:rPr>
      </w:pPr>
      <w:r w:rsidRPr="00AB2260">
        <w:rPr>
          <w:rFonts w:asciiTheme="minorHAnsi" w:hAnsiTheme="minorHAnsi"/>
          <w:color w:val="000000"/>
        </w:rPr>
        <w:t>Research in early childhood education for sustainability also suggests that early and repeated contact with nature supports environmental connectedness, curiosity, and emotional attachment to the natural world (Davis, 2015). This emotional connection is often considered a foundation for later pro-environmental behaviour.</w:t>
      </w:r>
    </w:p>
    <w:p w14:paraId="256E4216" w14:textId="77777777" w:rsidR="00AB2260" w:rsidRDefault="00AB2260" w:rsidP="00AB2260">
      <w:pPr>
        <w:pStyle w:val="NormalWeb"/>
        <w:rPr>
          <w:rFonts w:asciiTheme="minorHAnsi" w:hAnsiTheme="minorHAnsi"/>
          <w:color w:val="000000"/>
        </w:rPr>
      </w:pPr>
      <w:r w:rsidRPr="00AB2260">
        <w:rPr>
          <w:rFonts w:asciiTheme="minorHAnsi" w:hAnsiTheme="minorHAnsi"/>
          <w:color w:val="000000"/>
        </w:rPr>
        <w:t>However, critically, while nature-based experiences foster engagement and curiosity, they do not automatically develop critical understanding of sustainability issues. Chawla and Derr (2012) argue that environmental connection alone is insufficient unless it is accompanied by guided reflection and opportunities to link experience to wider environmental systems such as climate change and global inequality. This raises a limitation of purely nature-based programmes: they may risk remaining at the level of appreciation rather than critical ESD engagement.</w:t>
      </w:r>
    </w:p>
    <w:p w14:paraId="0FE2BC7E" w14:textId="77777777" w:rsidR="00D1268C" w:rsidRPr="009A5BCB" w:rsidRDefault="00D1268C" w:rsidP="00D1268C">
      <w:pPr>
        <w:pStyle w:val="NormalWeb"/>
        <w:rPr>
          <w:rFonts w:asciiTheme="minorHAnsi" w:hAnsiTheme="minorHAnsi"/>
          <w:color w:val="000000"/>
        </w:rPr>
      </w:pPr>
      <w:r w:rsidRPr="009A5BCB">
        <w:rPr>
          <w:rFonts w:asciiTheme="minorHAnsi" w:hAnsiTheme="minorHAnsi"/>
          <w:color w:val="000000"/>
        </w:rPr>
        <w:t>A second key dimension is</w:t>
      </w:r>
      <w:r w:rsidRPr="009A5BCB">
        <w:rPr>
          <w:rStyle w:val="apple-converted-space"/>
          <w:rFonts w:asciiTheme="minorHAnsi" w:eastAsiaTheme="majorEastAsia" w:hAnsiTheme="minorHAnsi"/>
          <w:color w:val="000000"/>
        </w:rPr>
        <w:t> </w:t>
      </w:r>
      <w:r w:rsidRPr="009A5BCB">
        <w:rPr>
          <w:rStyle w:val="Strong"/>
          <w:rFonts w:asciiTheme="minorHAnsi" w:eastAsiaTheme="majorEastAsia" w:hAnsiTheme="minorHAnsi"/>
          <w:color w:val="000000"/>
        </w:rPr>
        <w:t>experiential and practical learning</w:t>
      </w:r>
      <w:r w:rsidRPr="009A5BCB">
        <w:rPr>
          <w:rFonts w:asciiTheme="minorHAnsi" w:hAnsiTheme="minorHAnsi"/>
          <w:color w:val="000000"/>
        </w:rPr>
        <w:t>, which is central to both the John Muir Award and ESD pedagogy. Kolb’s (1984) experiential learning theory and Dewey’s (1938) principle of “learning by doing” both emphasise that knowledge is constructed through active engagement rather than passive reception.</w:t>
      </w:r>
    </w:p>
    <w:p w14:paraId="0865F017" w14:textId="77777777" w:rsidR="00D1268C" w:rsidRPr="009A5BCB" w:rsidRDefault="00D1268C" w:rsidP="00D1268C">
      <w:pPr>
        <w:pStyle w:val="NormalWeb"/>
        <w:rPr>
          <w:rFonts w:asciiTheme="minorHAnsi" w:hAnsiTheme="minorHAnsi"/>
          <w:color w:val="000000"/>
        </w:rPr>
      </w:pPr>
      <w:r w:rsidRPr="009A5BCB">
        <w:rPr>
          <w:rFonts w:asciiTheme="minorHAnsi" w:hAnsiTheme="minorHAnsi"/>
          <w:color w:val="000000"/>
        </w:rPr>
        <w:t xml:space="preserve">In early years education, this is reflected in play-based and child-led approaches where children explore materials, investigate natural environments, and construct meaning through interaction. During outdoor experiences such as </w:t>
      </w:r>
      <w:proofErr w:type="spellStart"/>
      <w:r w:rsidRPr="009A5BCB">
        <w:rPr>
          <w:rFonts w:asciiTheme="minorHAnsi" w:hAnsiTheme="minorHAnsi"/>
          <w:color w:val="000000"/>
        </w:rPr>
        <w:t>Bryngarw</w:t>
      </w:r>
      <w:proofErr w:type="spellEnd"/>
      <w:r w:rsidRPr="009A5BCB">
        <w:rPr>
          <w:rFonts w:asciiTheme="minorHAnsi" w:hAnsiTheme="minorHAnsi"/>
          <w:color w:val="000000"/>
        </w:rPr>
        <w:t xml:space="preserve"> Country Park, learners may engage in observing wildlife, collecting natural objects, or exploring environmental features, all of which support cognitive, physical, and social development.</w:t>
      </w:r>
    </w:p>
    <w:p w14:paraId="49B84C51" w14:textId="77777777" w:rsidR="00D1268C" w:rsidRPr="009A5BCB" w:rsidRDefault="00D1268C" w:rsidP="00D1268C">
      <w:pPr>
        <w:pStyle w:val="NormalWeb"/>
        <w:rPr>
          <w:rFonts w:asciiTheme="minorHAnsi" w:hAnsiTheme="minorHAnsi"/>
          <w:color w:val="000000"/>
        </w:rPr>
      </w:pPr>
      <w:r w:rsidRPr="009A5BCB">
        <w:rPr>
          <w:rFonts w:asciiTheme="minorHAnsi" w:hAnsiTheme="minorHAnsi"/>
          <w:color w:val="000000"/>
        </w:rPr>
        <w:t>This approach also aligns with Montessori’s (1949) concept of independence and “freedom within structure,” where children are viewed as active agents in their own learning. Outdoor environments naturally support this agency by allowing children to follow curiosity and engage in self-directed exploration.</w:t>
      </w:r>
    </w:p>
    <w:p w14:paraId="4E96FDF5" w14:textId="77777777" w:rsidR="009A5BCB" w:rsidRPr="009A5BCB" w:rsidRDefault="009A5BCB" w:rsidP="009A5BCB">
      <w:pPr>
        <w:pStyle w:val="NormalWeb"/>
        <w:rPr>
          <w:rFonts w:asciiTheme="minorHAnsi" w:hAnsiTheme="minorHAnsi"/>
          <w:color w:val="000000"/>
        </w:rPr>
      </w:pPr>
      <w:r w:rsidRPr="009A5BCB">
        <w:rPr>
          <w:rFonts w:asciiTheme="minorHAnsi" w:hAnsiTheme="minorHAnsi"/>
          <w:color w:val="000000"/>
        </w:rPr>
        <w:t>From an ESD perspective, this is highly valuable because it promotes participation, problem-solving, and responsibility. UNESCO (2017) emphasises that ESD should be participatory and action-oriented, enabling learners to develop competencies such as systems thinking and collaboration.</w:t>
      </w:r>
    </w:p>
    <w:p w14:paraId="11999186" w14:textId="77777777" w:rsidR="009A5BCB" w:rsidRPr="009A5BCB" w:rsidRDefault="009A5BCB" w:rsidP="009A5BCB">
      <w:pPr>
        <w:pStyle w:val="NormalWeb"/>
        <w:rPr>
          <w:rFonts w:asciiTheme="minorHAnsi" w:hAnsiTheme="minorHAnsi"/>
          <w:color w:val="000000"/>
        </w:rPr>
      </w:pPr>
      <w:r w:rsidRPr="009A5BCB">
        <w:rPr>
          <w:rFonts w:asciiTheme="minorHAnsi" w:hAnsiTheme="minorHAnsi"/>
          <w:color w:val="000000"/>
        </w:rPr>
        <w:t xml:space="preserve">However, there are structural limitations. Outdoor and experiential learning is often dependent on practitioner confidence, risk perception, and institutional support. Siraj-Blatchford et al. (2002) highlight that effective early </w:t>
      </w:r>
      <w:proofErr w:type="gramStart"/>
      <w:r w:rsidRPr="009A5BCB">
        <w:rPr>
          <w:rFonts w:asciiTheme="minorHAnsi" w:hAnsiTheme="minorHAnsi"/>
          <w:color w:val="000000"/>
        </w:rPr>
        <w:t>years</w:t>
      </w:r>
      <w:proofErr w:type="gramEnd"/>
      <w:r w:rsidRPr="009A5BCB">
        <w:rPr>
          <w:rFonts w:asciiTheme="minorHAnsi" w:hAnsiTheme="minorHAnsi"/>
          <w:color w:val="000000"/>
        </w:rPr>
        <w:t xml:space="preserve"> pedagogy requires skilled adults who can extend children’s thinking through sustained shared thinking and scaffolding. Without this, experiential learning may remain superficial.</w:t>
      </w:r>
    </w:p>
    <w:p w14:paraId="4B707C46" w14:textId="77777777" w:rsidR="009A5BCB" w:rsidRDefault="009A5BCB" w:rsidP="009A5BCB">
      <w:pPr>
        <w:pStyle w:val="NormalWeb"/>
        <w:rPr>
          <w:rFonts w:asciiTheme="minorHAnsi" w:hAnsiTheme="minorHAnsi"/>
          <w:color w:val="000000"/>
        </w:rPr>
      </w:pPr>
      <w:r w:rsidRPr="009A5BCB">
        <w:rPr>
          <w:rFonts w:asciiTheme="minorHAnsi" w:hAnsiTheme="minorHAnsi"/>
          <w:color w:val="000000"/>
        </w:rPr>
        <w:lastRenderedPageBreak/>
        <w:t>Additionally, inequalities in access to natural environments remain a significant issue. Children in urban or disadvantaged contexts may have fewer opportunities for sustained outdoor engagement, raising concerns about equity in ESD provision (</w:t>
      </w:r>
      <w:proofErr w:type="spellStart"/>
      <w:r w:rsidRPr="009A5BCB">
        <w:rPr>
          <w:rFonts w:asciiTheme="minorHAnsi" w:hAnsiTheme="minorHAnsi"/>
          <w:color w:val="000000"/>
        </w:rPr>
        <w:t>Rickinson</w:t>
      </w:r>
      <w:proofErr w:type="spellEnd"/>
      <w:r w:rsidRPr="009A5BCB">
        <w:rPr>
          <w:rFonts w:asciiTheme="minorHAnsi" w:hAnsiTheme="minorHAnsi"/>
          <w:color w:val="000000"/>
        </w:rPr>
        <w:t xml:space="preserve"> et al., 2004). This challenges the assumption that experiential learning is universally accessible.</w:t>
      </w:r>
    </w:p>
    <w:p w14:paraId="4B226AB9" w14:textId="77777777" w:rsidR="00302FB4" w:rsidRPr="005E6526" w:rsidRDefault="00302FB4" w:rsidP="00302FB4">
      <w:pPr>
        <w:pStyle w:val="NormalWeb"/>
        <w:rPr>
          <w:rFonts w:asciiTheme="minorHAnsi" w:hAnsiTheme="minorHAnsi"/>
          <w:color w:val="000000"/>
        </w:rPr>
      </w:pPr>
      <w:r w:rsidRPr="005E6526">
        <w:rPr>
          <w:rFonts w:asciiTheme="minorHAnsi" w:hAnsiTheme="minorHAnsi"/>
          <w:color w:val="000000"/>
        </w:rPr>
        <w:t>A third key aspect is</w:t>
      </w:r>
      <w:r w:rsidRPr="005E6526">
        <w:rPr>
          <w:rStyle w:val="apple-converted-space"/>
          <w:rFonts w:asciiTheme="minorHAnsi" w:eastAsiaTheme="majorEastAsia" w:hAnsiTheme="minorHAnsi"/>
          <w:color w:val="000000"/>
        </w:rPr>
        <w:t> </w:t>
      </w:r>
      <w:r w:rsidRPr="005E6526">
        <w:rPr>
          <w:rStyle w:val="Strong"/>
          <w:rFonts w:asciiTheme="minorHAnsi" w:eastAsiaTheme="majorEastAsia" w:hAnsiTheme="minorHAnsi"/>
          <w:color w:val="000000"/>
        </w:rPr>
        <w:t>reflection and environmental responsibility</w:t>
      </w:r>
      <w:r w:rsidRPr="005E6526">
        <w:rPr>
          <w:rFonts w:asciiTheme="minorHAnsi" w:hAnsiTheme="minorHAnsi"/>
          <w:color w:val="000000"/>
        </w:rPr>
        <w:t>, which is central to both Kolb’s learning cycle and the John Muir Award ethos of “care.” Reflection enables learners to move from experience to deeper conceptual understanding and ethical awareness.</w:t>
      </w:r>
    </w:p>
    <w:p w14:paraId="02651965" w14:textId="77777777" w:rsidR="00302FB4" w:rsidRPr="005E6526" w:rsidRDefault="00302FB4" w:rsidP="00302FB4">
      <w:pPr>
        <w:pStyle w:val="NormalWeb"/>
        <w:rPr>
          <w:rFonts w:asciiTheme="minorHAnsi" w:hAnsiTheme="minorHAnsi"/>
          <w:color w:val="000000"/>
        </w:rPr>
      </w:pPr>
      <w:r w:rsidRPr="005E6526">
        <w:rPr>
          <w:rFonts w:asciiTheme="minorHAnsi" w:hAnsiTheme="minorHAnsi"/>
          <w:color w:val="000000"/>
        </w:rPr>
        <w:t>In early years contexts, this links to the development of moral reasoning and emerging awareness of cause and consequence. The Curriculum for Wales (Welsh Government, 2022) emphasises developing “ethical, informed citizens,” which aligns with ESD goals of fostering responsibility towards both local and global environments.</w:t>
      </w:r>
    </w:p>
    <w:p w14:paraId="7B8BF787" w14:textId="77777777" w:rsidR="00302FB4" w:rsidRDefault="00302FB4" w:rsidP="00302FB4">
      <w:pPr>
        <w:pStyle w:val="NormalWeb"/>
        <w:rPr>
          <w:rFonts w:asciiTheme="minorHAnsi" w:hAnsiTheme="minorHAnsi"/>
          <w:color w:val="000000"/>
        </w:rPr>
      </w:pPr>
      <w:r w:rsidRPr="005E6526">
        <w:rPr>
          <w:rFonts w:asciiTheme="minorHAnsi" w:hAnsiTheme="minorHAnsi"/>
          <w:color w:val="000000"/>
        </w:rPr>
        <w:t>However, critically, there is a risk that outdoor programmes such as the John Muir Award can become overly focused on environmental appreciation without sufficiently addressing broader ESD dimensions such as social justice, global inequality, and economic sustainability. Sterling (2010) argues that ESD must move beyond “green learning” towards systems thinking and critical awareness of interconnected global issues.</w:t>
      </w:r>
    </w:p>
    <w:p w14:paraId="2D394A06" w14:textId="77777777" w:rsidR="00435547" w:rsidRPr="00435547" w:rsidRDefault="00435547" w:rsidP="00435547">
      <w:pPr>
        <w:pStyle w:val="NormalWeb"/>
        <w:rPr>
          <w:rFonts w:asciiTheme="minorHAnsi" w:hAnsiTheme="minorHAnsi"/>
          <w:color w:val="000000"/>
        </w:rPr>
      </w:pPr>
      <w:r w:rsidRPr="00435547">
        <w:rPr>
          <w:rFonts w:asciiTheme="minorHAnsi" w:hAnsiTheme="minorHAnsi"/>
          <w:color w:val="000000"/>
        </w:rPr>
        <w:t>Therefore, while the John Muir Award strongly supports environmental stewardship, its effectiveness as an ESD tool depends on how it is contextualised by educators. If experiences are not explicitly linked to global citizenship, there is a risk that learning remains locally focused and does not fully reflect the broader aims of ESD.</w:t>
      </w:r>
    </w:p>
    <w:p w14:paraId="09D984E0" w14:textId="77777777" w:rsidR="00435547" w:rsidRDefault="00435547" w:rsidP="00435547">
      <w:pPr>
        <w:pStyle w:val="NormalWeb"/>
        <w:rPr>
          <w:rFonts w:asciiTheme="minorHAnsi" w:hAnsiTheme="minorHAnsi"/>
          <w:color w:val="000000"/>
        </w:rPr>
      </w:pPr>
      <w:r w:rsidRPr="00435547">
        <w:rPr>
          <w:rFonts w:asciiTheme="minorHAnsi" w:hAnsiTheme="minorHAnsi"/>
          <w:color w:val="000000"/>
        </w:rPr>
        <w:t>Furthermore, there is an ongoing debate about the suitability of structured award frameworks in early years education. While nature-based learning is developmentally appropriate, formalised assessment structures may conflict with child-centred pedagogy if not adapted carefully (White, 2011). This raises important considerations about balancing structure and play in early sustainability education.</w:t>
      </w:r>
    </w:p>
    <w:p w14:paraId="726C51B8" w14:textId="77777777" w:rsidR="00BC61DB" w:rsidRPr="00BC61DB" w:rsidRDefault="00BC61DB" w:rsidP="00BC61DB">
      <w:pPr>
        <w:pStyle w:val="NormalWeb"/>
        <w:rPr>
          <w:rFonts w:asciiTheme="minorHAnsi" w:hAnsiTheme="minorHAnsi"/>
          <w:color w:val="000000"/>
        </w:rPr>
      </w:pPr>
      <w:r w:rsidRPr="00BC61DB">
        <w:rPr>
          <w:rFonts w:asciiTheme="minorHAnsi" w:hAnsiTheme="minorHAnsi"/>
          <w:color w:val="000000"/>
        </w:rPr>
        <w:t>Overall, the John Muir Award provides a strong experiential foundation for ESD through learning in nature, hands-on engagement, and reflective practice. It aligns with key theoretical perspectives including Kolb’s experiential learning cycle, Montessori’s nature-based pedagogy, and constructivist approaches to early childhood learning.</w:t>
      </w:r>
    </w:p>
    <w:p w14:paraId="4087F1E3" w14:textId="77777777" w:rsidR="00BC61DB" w:rsidRPr="00BC61DB" w:rsidRDefault="00BC61DB" w:rsidP="00BC61DB">
      <w:pPr>
        <w:pStyle w:val="NormalWeb"/>
        <w:rPr>
          <w:rFonts w:asciiTheme="minorHAnsi" w:hAnsiTheme="minorHAnsi"/>
          <w:color w:val="000000"/>
        </w:rPr>
      </w:pPr>
      <w:r w:rsidRPr="00BC61DB">
        <w:rPr>
          <w:rFonts w:asciiTheme="minorHAnsi" w:hAnsiTheme="minorHAnsi"/>
          <w:color w:val="000000"/>
        </w:rPr>
        <w:t>However, from a critical perspective, its effectiveness in supporting ESD depends on pedagogical framing. Without structured reflection and explicit links to global sustainability issues, learning may remain experiential rather than critically transformative. Additionally, issues of access, practitioner confidence, and equity limit the universality of such experiences.</w:t>
      </w:r>
    </w:p>
    <w:p w14:paraId="32A0F2EB" w14:textId="196DD7C8" w:rsidR="00C72A15" w:rsidRDefault="00BC61DB" w:rsidP="00751B61">
      <w:pPr>
        <w:pStyle w:val="NormalWeb"/>
        <w:rPr>
          <w:rFonts w:asciiTheme="minorHAnsi" w:hAnsiTheme="minorHAnsi"/>
          <w:color w:val="000000"/>
        </w:rPr>
      </w:pPr>
      <w:r w:rsidRPr="00BC61DB">
        <w:rPr>
          <w:rFonts w:asciiTheme="minorHAnsi" w:hAnsiTheme="minorHAnsi"/>
          <w:color w:val="000000"/>
        </w:rPr>
        <w:t xml:space="preserve">In conclusion, experiences such as the John Muir Award can make a significant contribution to ESD in early years education when embedded within a broader </w:t>
      </w:r>
      <w:r w:rsidRPr="00BC61DB">
        <w:rPr>
          <w:rFonts w:asciiTheme="minorHAnsi" w:hAnsiTheme="minorHAnsi"/>
          <w:color w:val="000000"/>
        </w:rPr>
        <w:lastRenderedPageBreak/>
        <w:t>pedagogical framework that includes reflection, global awareness, and critical thinking. They should therefore be viewed not as standalone solutions, but as part of a wider, integrated approach to sustainability education.</w:t>
      </w:r>
      <w:r w:rsidR="00BC2AE7">
        <w:rPr>
          <w:rFonts w:asciiTheme="minorHAnsi" w:hAnsiTheme="minorHAnsi"/>
          <w:color w:val="000000"/>
        </w:rPr>
        <w:t>§</w:t>
      </w:r>
    </w:p>
    <w:p w14:paraId="3BE2FD47" w14:textId="77777777" w:rsidR="00C72A15" w:rsidRDefault="00C72A15" w:rsidP="00751B61">
      <w:pPr>
        <w:pStyle w:val="NormalWeb"/>
        <w:rPr>
          <w:rFonts w:asciiTheme="minorHAnsi" w:hAnsiTheme="minorHAnsi"/>
          <w:color w:val="000000"/>
        </w:rPr>
      </w:pPr>
    </w:p>
    <w:p w14:paraId="7C1111CC" w14:textId="77777777" w:rsidR="00AA05C5" w:rsidRDefault="00297616" w:rsidP="00436146">
      <w:pPr>
        <w:pStyle w:val="NormalWeb"/>
        <w:rPr>
          <w:rFonts w:asciiTheme="minorHAnsi" w:hAnsiTheme="minorHAnsi"/>
          <w:color w:val="000000"/>
          <w:u w:val="single"/>
        </w:rPr>
      </w:pPr>
      <w:r w:rsidRPr="00297616">
        <w:rPr>
          <w:rFonts w:asciiTheme="minorHAnsi" w:hAnsiTheme="minorHAnsi"/>
          <w:color w:val="000000"/>
          <w:u w:val="single"/>
        </w:rPr>
        <w:t>REFERNCES</w:t>
      </w:r>
    </w:p>
    <w:p w14:paraId="2154287B" w14:textId="77777777" w:rsidR="00B87D4F" w:rsidRPr="00A24F90" w:rsidRDefault="00EC4820" w:rsidP="00436146">
      <w:pPr>
        <w:pStyle w:val="NormalWeb"/>
        <w:rPr>
          <w:rFonts w:asciiTheme="minorHAnsi" w:hAnsiTheme="minorHAnsi"/>
          <w:color w:val="000000"/>
          <w:sz w:val="20"/>
          <w:szCs w:val="20"/>
          <w:u w:val="single"/>
        </w:rPr>
      </w:pPr>
      <w:r w:rsidRPr="00A24F90">
        <w:rPr>
          <w:rFonts w:asciiTheme="minorHAnsi" w:hAnsiTheme="minorHAnsi"/>
          <w:color w:val="000000"/>
          <w:sz w:val="20"/>
          <w:szCs w:val="20"/>
        </w:rPr>
        <w:t>Chawla, L. and Derr, V. (2012)</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 xml:space="preserve">The development of conservation </w:t>
      </w:r>
      <w:proofErr w:type="spellStart"/>
      <w:r w:rsidRPr="00A24F90">
        <w:rPr>
          <w:rStyle w:val="Emphasis"/>
          <w:rFonts w:asciiTheme="minorHAnsi" w:eastAsiaTheme="majorEastAsia" w:hAnsiTheme="minorHAnsi"/>
          <w:color w:val="000000"/>
          <w:sz w:val="20"/>
          <w:szCs w:val="20"/>
        </w:rPr>
        <w:t>behaviors</w:t>
      </w:r>
      <w:proofErr w:type="spellEnd"/>
      <w:r w:rsidRPr="00A24F90">
        <w:rPr>
          <w:rStyle w:val="Emphasis"/>
          <w:rFonts w:asciiTheme="minorHAnsi" w:eastAsiaTheme="majorEastAsia" w:hAnsiTheme="minorHAnsi"/>
          <w:color w:val="000000"/>
          <w:sz w:val="20"/>
          <w:szCs w:val="20"/>
        </w:rPr>
        <w:t xml:space="preserve"> in childhood and youth</w:t>
      </w:r>
      <w:r w:rsidRPr="00A24F90">
        <w:rPr>
          <w:rFonts w:asciiTheme="minorHAnsi" w:hAnsiTheme="minorHAnsi"/>
          <w:color w:val="000000"/>
          <w:sz w:val="20"/>
          <w:szCs w:val="20"/>
        </w:rPr>
        <w:t>. Oxford: Oxford University Press. Available at:</w:t>
      </w:r>
      <w:r w:rsidRPr="00A24F90">
        <w:rPr>
          <w:rStyle w:val="apple-converted-space"/>
          <w:rFonts w:asciiTheme="minorHAnsi" w:eastAsiaTheme="majorEastAsia" w:hAnsiTheme="minorHAnsi"/>
          <w:color w:val="000000"/>
          <w:sz w:val="20"/>
          <w:szCs w:val="20"/>
        </w:rPr>
        <w:t> </w:t>
      </w:r>
      <w:hyperlink r:id="rId6" w:history="1">
        <w:r w:rsidR="00B87D4F" w:rsidRPr="00A24F90">
          <w:rPr>
            <w:rStyle w:val="Hyperlink"/>
            <w:rFonts w:asciiTheme="minorHAnsi" w:hAnsiTheme="minorHAnsi"/>
            <w:sz w:val="20"/>
            <w:szCs w:val="20"/>
          </w:rPr>
          <w:t>https://global.oup.com/academic/product/the-development-of-conservation-behaviors-in-childhood-and-youth-9780199759101</w:t>
        </w:r>
      </w:hyperlink>
      <w:r w:rsidR="00B87D4F" w:rsidRPr="00A24F90">
        <w:rPr>
          <w:rStyle w:val="apple-converted-space"/>
          <w:rFonts w:asciiTheme="minorHAnsi" w:eastAsiaTheme="majorEastAsia" w:hAnsiTheme="minorHAnsi"/>
          <w:color w:val="000000"/>
          <w:sz w:val="20"/>
          <w:szCs w:val="20"/>
        </w:rPr>
        <w:t xml:space="preserve"> </w:t>
      </w:r>
      <w:r w:rsidRPr="00A24F90">
        <w:rPr>
          <w:rFonts w:asciiTheme="minorHAnsi" w:hAnsiTheme="minorHAnsi"/>
          <w:color w:val="000000"/>
          <w:sz w:val="20"/>
          <w:szCs w:val="20"/>
        </w:rPr>
        <w:t>(Accessed: 14 May 2026).</w:t>
      </w:r>
    </w:p>
    <w:p w14:paraId="546573E0" w14:textId="1D6BDAD3" w:rsidR="006702F0" w:rsidRPr="00A24F90" w:rsidRDefault="006702F0" w:rsidP="00436146">
      <w:pPr>
        <w:pStyle w:val="NormalWeb"/>
        <w:rPr>
          <w:rFonts w:asciiTheme="minorHAnsi" w:hAnsiTheme="minorHAnsi"/>
          <w:color w:val="000000"/>
          <w:sz w:val="20"/>
          <w:szCs w:val="20"/>
        </w:rPr>
      </w:pPr>
      <w:r w:rsidRPr="00A24F90">
        <w:rPr>
          <w:rFonts w:asciiTheme="minorHAnsi" w:hAnsiTheme="minorHAnsi"/>
          <w:color w:val="000000"/>
          <w:sz w:val="20"/>
          <w:szCs w:val="20"/>
        </w:rPr>
        <w:t>Davis, J. (2015)</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Young children and the environment: Early education for sustainability</w:t>
      </w:r>
      <w:r w:rsidRPr="00A24F90">
        <w:rPr>
          <w:rFonts w:asciiTheme="minorHAnsi" w:hAnsiTheme="minorHAnsi"/>
          <w:color w:val="000000"/>
          <w:sz w:val="20"/>
          <w:szCs w:val="20"/>
        </w:rPr>
        <w:t>. Cambridge: Cambridge University Press. Available at:</w:t>
      </w:r>
      <w:r w:rsidRPr="00A24F90">
        <w:rPr>
          <w:rStyle w:val="apple-converted-space"/>
          <w:rFonts w:asciiTheme="minorHAnsi" w:eastAsiaTheme="majorEastAsia" w:hAnsiTheme="minorHAnsi"/>
          <w:color w:val="000000"/>
          <w:sz w:val="20"/>
          <w:szCs w:val="20"/>
        </w:rPr>
        <w:t> </w:t>
      </w:r>
      <w:hyperlink r:id="rId7" w:history="1">
        <w:r w:rsidRPr="00A24F90">
          <w:rPr>
            <w:rStyle w:val="Hyperlink"/>
            <w:rFonts w:asciiTheme="minorHAnsi" w:hAnsiTheme="minorHAnsi"/>
            <w:sz w:val="20"/>
            <w:szCs w:val="20"/>
          </w:rPr>
          <w:t>https://www.cambridge.org/core/books/young-children-and-the-environment/6B9D6F0D0A7A0B7B4B6A4C63D87F0A65</w:t>
        </w:r>
      </w:hyperlink>
      <w:r w:rsidRPr="00A24F90">
        <w:rPr>
          <w:rFonts w:asciiTheme="minorHAnsi" w:hAnsiTheme="minorHAnsi"/>
          <w:sz w:val="20"/>
          <w:szCs w:val="20"/>
        </w:rPr>
        <w:t xml:space="preserve"> </w:t>
      </w:r>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p>
    <w:p w14:paraId="3E74B7D8" w14:textId="45D0045E" w:rsidR="000D53AA" w:rsidRPr="00A24F90" w:rsidRDefault="000D53AA" w:rsidP="00436146">
      <w:pPr>
        <w:pStyle w:val="NormalWeb"/>
        <w:rPr>
          <w:rFonts w:asciiTheme="minorHAnsi" w:hAnsiTheme="minorHAnsi"/>
          <w:color w:val="000000"/>
          <w:sz w:val="20"/>
          <w:szCs w:val="20"/>
          <w:u w:val="single"/>
        </w:rPr>
      </w:pPr>
      <w:r w:rsidRPr="00A24F90">
        <w:rPr>
          <w:rFonts w:asciiTheme="minorHAnsi" w:hAnsiTheme="minorHAnsi"/>
          <w:color w:val="000000"/>
          <w:sz w:val="20"/>
          <w:szCs w:val="20"/>
        </w:rPr>
        <w:t>Dewey, J. (1938)</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Experience and education</w:t>
      </w:r>
      <w:r w:rsidRPr="00A24F90">
        <w:rPr>
          <w:rFonts w:asciiTheme="minorHAnsi" w:hAnsiTheme="minorHAnsi"/>
          <w:color w:val="000000"/>
          <w:sz w:val="20"/>
          <w:szCs w:val="20"/>
        </w:rPr>
        <w:t>. New York: Macmillan. Available at:</w:t>
      </w:r>
      <w:r w:rsidRPr="00A24F90">
        <w:rPr>
          <w:rStyle w:val="apple-converted-space"/>
          <w:rFonts w:asciiTheme="minorHAnsi" w:eastAsiaTheme="majorEastAsia" w:hAnsiTheme="minorHAnsi"/>
          <w:color w:val="000000"/>
          <w:sz w:val="20"/>
          <w:szCs w:val="20"/>
        </w:rPr>
        <w:t> </w:t>
      </w:r>
      <w:hyperlink r:id="rId8" w:tgtFrame="_new" w:history="1">
        <w:r w:rsidRPr="00A24F90">
          <w:rPr>
            <w:rStyle w:val="Hyperlink"/>
            <w:rFonts w:asciiTheme="minorHAnsi" w:eastAsiaTheme="majorEastAsia" w:hAnsiTheme="minorHAnsi"/>
            <w:sz w:val="20"/>
            <w:szCs w:val="20"/>
          </w:rPr>
          <w:t>https://archive.org/details/experienceeducat00dewe_0</w:t>
        </w:r>
      </w:hyperlink>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p>
    <w:p w14:paraId="52624DF9" w14:textId="6C5001E4" w:rsidR="00751B61" w:rsidRPr="00A24F90" w:rsidRDefault="00436146" w:rsidP="00436146">
      <w:pPr>
        <w:pStyle w:val="NormalWeb"/>
        <w:rPr>
          <w:rFonts w:asciiTheme="minorHAnsi" w:hAnsiTheme="minorHAnsi"/>
          <w:color w:val="000000"/>
          <w:sz w:val="20"/>
          <w:szCs w:val="20"/>
          <w:u w:val="single"/>
        </w:rPr>
      </w:pPr>
      <w:r w:rsidRPr="00A24F90">
        <w:rPr>
          <w:rFonts w:asciiTheme="minorHAnsi" w:hAnsiTheme="minorHAnsi"/>
          <w:color w:val="000000" w:themeColor="text1"/>
          <w:sz w:val="20"/>
          <w:szCs w:val="20"/>
        </w:rPr>
        <w:br/>
        <w:t>Education Scotland (2023)</w:t>
      </w:r>
      <w:r w:rsidRPr="00A24F90">
        <w:rPr>
          <w:rStyle w:val="apple-converted-space"/>
          <w:rFonts w:asciiTheme="minorHAnsi" w:eastAsiaTheme="majorEastAsia" w:hAnsiTheme="minorHAnsi"/>
          <w:color w:val="000000" w:themeColor="text1"/>
          <w:sz w:val="20"/>
          <w:szCs w:val="20"/>
        </w:rPr>
        <w:t> </w:t>
      </w:r>
      <w:r w:rsidRPr="00A24F90">
        <w:rPr>
          <w:rStyle w:val="Emphasis"/>
          <w:rFonts w:asciiTheme="minorHAnsi" w:eastAsiaTheme="majorEastAsia" w:hAnsiTheme="minorHAnsi"/>
          <w:color w:val="000000" w:themeColor="text1"/>
          <w:sz w:val="20"/>
          <w:szCs w:val="20"/>
        </w:rPr>
        <w:t>Learning for Sustainability</w:t>
      </w:r>
      <w:r w:rsidRPr="00A24F90">
        <w:rPr>
          <w:rFonts w:asciiTheme="minorHAnsi" w:hAnsiTheme="minorHAnsi"/>
          <w:color w:val="000000" w:themeColor="text1"/>
          <w:sz w:val="20"/>
          <w:szCs w:val="20"/>
        </w:rPr>
        <w:t>. Available at:</w:t>
      </w:r>
      <w:r w:rsidRPr="00A24F90">
        <w:rPr>
          <w:rStyle w:val="apple-converted-space"/>
          <w:rFonts w:asciiTheme="minorHAnsi" w:eastAsiaTheme="majorEastAsia" w:hAnsiTheme="minorHAnsi"/>
          <w:color w:val="000000" w:themeColor="text1"/>
          <w:sz w:val="20"/>
          <w:szCs w:val="20"/>
        </w:rPr>
        <w:t> </w:t>
      </w:r>
      <w:r w:rsidRPr="00A24F90">
        <w:rPr>
          <w:rFonts w:asciiTheme="minorHAnsi" w:hAnsiTheme="minorHAnsi"/>
          <w:color w:val="000000" w:themeColor="text1"/>
          <w:sz w:val="20"/>
          <w:szCs w:val="20"/>
        </w:rPr>
        <w:fldChar w:fldCharType="begin"/>
      </w:r>
      <w:r w:rsidRPr="00A24F90">
        <w:rPr>
          <w:rFonts w:asciiTheme="minorHAnsi" w:hAnsiTheme="minorHAnsi"/>
          <w:color w:val="000000" w:themeColor="text1"/>
          <w:sz w:val="20"/>
          <w:szCs w:val="20"/>
        </w:rPr>
        <w:instrText>HYPERLINK "</w:instrText>
      </w:r>
      <w:r w:rsidRPr="00A24F90">
        <w:rPr>
          <w:rFonts w:asciiTheme="minorHAnsi" w:hAnsiTheme="minorHAnsi"/>
          <w:color w:val="000000" w:themeColor="text1"/>
          <w:sz w:val="20"/>
          <w:szCs w:val="20"/>
        </w:rPr>
        <w:instrText>https://education.gov.scot/learning-in-scotland/curriculum-for-excellence/building-the-curriculum/developing-global-citizens/learning-for-sustainability/</w:instrText>
      </w:r>
      <w:r w:rsidRPr="00A24F90">
        <w:rPr>
          <w:rFonts w:asciiTheme="minorHAnsi" w:hAnsiTheme="minorHAnsi"/>
          <w:color w:val="000000" w:themeColor="text1"/>
          <w:sz w:val="20"/>
          <w:szCs w:val="20"/>
        </w:rPr>
        <w:instrText>"</w:instrText>
      </w:r>
      <w:r w:rsidRPr="00A24F90">
        <w:rPr>
          <w:rFonts w:asciiTheme="minorHAnsi" w:hAnsiTheme="minorHAnsi"/>
          <w:color w:val="000000" w:themeColor="text1"/>
          <w:sz w:val="20"/>
          <w:szCs w:val="20"/>
        </w:rPr>
        <w:fldChar w:fldCharType="separate"/>
      </w:r>
      <w:r w:rsidRPr="00A24F90">
        <w:rPr>
          <w:rStyle w:val="Hyperlink"/>
          <w:rFonts w:asciiTheme="minorHAnsi" w:hAnsiTheme="minorHAnsi"/>
          <w:color w:val="000000" w:themeColor="text1"/>
          <w:sz w:val="20"/>
          <w:szCs w:val="20"/>
        </w:rPr>
        <w:t>https://education.gov.scot/learning-in-scotland/curriculum-for-excellence/building-the-curriculum/developing-global-citizens/learning-for-sustainability/</w:t>
      </w:r>
      <w:r w:rsidRPr="00A24F90">
        <w:rPr>
          <w:rFonts w:asciiTheme="minorHAnsi" w:hAnsiTheme="minorHAnsi"/>
          <w:color w:val="000000" w:themeColor="text1"/>
          <w:sz w:val="20"/>
          <w:szCs w:val="20"/>
        </w:rPr>
        <w:fldChar w:fldCharType="end"/>
      </w:r>
      <w:r w:rsidRPr="00A24F90">
        <w:rPr>
          <w:rFonts w:asciiTheme="minorHAnsi" w:hAnsiTheme="minorHAnsi"/>
          <w:color w:val="000000" w:themeColor="text1"/>
          <w:sz w:val="20"/>
          <w:szCs w:val="20"/>
        </w:rPr>
        <w:t xml:space="preserve"> </w:t>
      </w:r>
      <w:r w:rsidRPr="00A24F90">
        <w:rPr>
          <w:rFonts w:asciiTheme="minorHAnsi" w:hAnsiTheme="minorHAnsi"/>
          <w:color w:val="000000" w:themeColor="text1"/>
          <w:sz w:val="20"/>
          <w:szCs w:val="20"/>
        </w:rPr>
        <w:t>(Accessed: 12 May 2026).</w:t>
      </w:r>
      <w:r w:rsidRPr="00A24F90">
        <w:rPr>
          <w:rFonts w:asciiTheme="minorHAnsi" w:hAnsiTheme="minorHAnsi"/>
          <w:color w:val="000000" w:themeColor="text1"/>
          <w:sz w:val="20"/>
          <w:szCs w:val="20"/>
        </w:rPr>
        <w:t xml:space="preserve"> </w:t>
      </w:r>
    </w:p>
    <w:p w14:paraId="4797435D" w14:textId="77777777" w:rsidR="00E94666" w:rsidRPr="00A24F90" w:rsidRDefault="00E94666" w:rsidP="00E94666">
      <w:pPr>
        <w:pStyle w:val="NormalWeb"/>
        <w:rPr>
          <w:rFonts w:asciiTheme="minorHAnsi" w:hAnsiTheme="minorHAnsi"/>
          <w:color w:val="000000" w:themeColor="text1"/>
          <w:sz w:val="20"/>
          <w:szCs w:val="20"/>
        </w:rPr>
      </w:pPr>
      <w:r w:rsidRPr="00A24F90">
        <w:rPr>
          <w:rFonts w:asciiTheme="minorHAnsi" w:hAnsiTheme="minorHAnsi"/>
          <w:color w:val="000000" w:themeColor="text1"/>
          <w:sz w:val="20"/>
          <w:szCs w:val="20"/>
        </w:rPr>
        <w:t>Future Generations Commissioner for Wales (2015)</w:t>
      </w:r>
      <w:r w:rsidRPr="00A24F90">
        <w:rPr>
          <w:rStyle w:val="apple-converted-space"/>
          <w:rFonts w:asciiTheme="minorHAnsi" w:eastAsiaTheme="majorEastAsia" w:hAnsiTheme="minorHAnsi"/>
          <w:color w:val="000000" w:themeColor="text1"/>
          <w:sz w:val="20"/>
          <w:szCs w:val="20"/>
        </w:rPr>
        <w:t> </w:t>
      </w:r>
      <w:r w:rsidRPr="00A24F90">
        <w:rPr>
          <w:rStyle w:val="Emphasis"/>
          <w:rFonts w:asciiTheme="minorHAnsi" w:eastAsiaTheme="majorEastAsia" w:hAnsiTheme="minorHAnsi"/>
          <w:color w:val="000000" w:themeColor="text1"/>
          <w:sz w:val="20"/>
          <w:szCs w:val="20"/>
        </w:rPr>
        <w:t>Well-being of Future Generations (Wales) Act 2015</w:t>
      </w:r>
      <w:r w:rsidRPr="00A24F90">
        <w:rPr>
          <w:rFonts w:asciiTheme="minorHAnsi" w:hAnsiTheme="minorHAnsi"/>
          <w:color w:val="000000" w:themeColor="text1"/>
          <w:sz w:val="20"/>
          <w:szCs w:val="20"/>
        </w:rPr>
        <w:t>. Available at:</w:t>
      </w:r>
      <w:r w:rsidRPr="00A24F90">
        <w:rPr>
          <w:rStyle w:val="apple-converted-space"/>
          <w:rFonts w:asciiTheme="minorHAnsi" w:eastAsiaTheme="majorEastAsia" w:hAnsiTheme="minorHAnsi"/>
          <w:color w:val="000000" w:themeColor="text1"/>
          <w:sz w:val="20"/>
          <w:szCs w:val="20"/>
        </w:rPr>
        <w:t> </w:t>
      </w:r>
      <w:hyperlink r:id="rId9" w:tgtFrame="_new" w:history="1">
        <w:r w:rsidRPr="00A24F90">
          <w:rPr>
            <w:rStyle w:val="Hyperlink"/>
            <w:rFonts w:asciiTheme="minorHAnsi" w:eastAsiaTheme="majorEastAsia" w:hAnsiTheme="minorHAnsi"/>
            <w:color w:val="000000" w:themeColor="text1"/>
            <w:sz w:val="20"/>
            <w:szCs w:val="20"/>
          </w:rPr>
          <w:t>https://www.futuregenerations.wales/about-us/future-generations-act/</w:t>
        </w:r>
      </w:hyperlink>
      <w:r w:rsidRPr="00A24F90">
        <w:rPr>
          <w:rStyle w:val="apple-converted-space"/>
          <w:rFonts w:asciiTheme="minorHAnsi" w:eastAsiaTheme="majorEastAsia" w:hAnsiTheme="minorHAnsi"/>
          <w:color w:val="000000" w:themeColor="text1"/>
          <w:sz w:val="20"/>
          <w:szCs w:val="20"/>
        </w:rPr>
        <w:t> </w:t>
      </w:r>
      <w:r w:rsidRPr="00A24F90">
        <w:rPr>
          <w:rFonts w:asciiTheme="minorHAnsi" w:hAnsiTheme="minorHAnsi"/>
          <w:color w:val="000000" w:themeColor="text1"/>
          <w:sz w:val="20"/>
          <w:szCs w:val="20"/>
        </w:rPr>
        <w:t>(Accessed: 12 May 2026).</w:t>
      </w:r>
      <w:r w:rsidRPr="00A24F90">
        <w:rPr>
          <w:rFonts w:asciiTheme="minorHAnsi" w:hAnsiTheme="minorHAnsi"/>
          <w:color w:val="000000" w:themeColor="text1"/>
          <w:sz w:val="20"/>
          <w:szCs w:val="20"/>
        </w:rPr>
        <w:t xml:space="preserve"> </w:t>
      </w:r>
    </w:p>
    <w:p w14:paraId="11228A02" w14:textId="72D2C3C6" w:rsidR="0004099E" w:rsidRPr="00A24F90" w:rsidRDefault="0004099E" w:rsidP="00E94666">
      <w:pPr>
        <w:pStyle w:val="NormalWeb"/>
        <w:rPr>
          <w:rFonts w:asciiTheme="minorHAnsi" w:hAnsiTheme="minorHAnsi"/>
          <w:color w:val="000000"/>
          <w:sz w:val="20"/>
          <w:szCs w:val="20"/>
        </w:rPr>
      </w:pPr>
      <w:r w:rsidRPr="00A24F90">
        <w:rPr>
          <w:rFonts w:asciiTheme="minorHAnsi" w:hAnsiTheme="minorHAnsi"/>
          <w:color w:val="000000"/>
          <w:sz w:val="20"/>
          <w:szCs w:val="20"/>
        </w:rPr>
        <w:t>Gruenewald, D. (2003) ‘The best of both worlds: A critical pedagogy of place’,</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Educational Researcher</w:t>
      </w:r>
      <w:r w:rsidRPr="00A24F90">
        <w:rPr>
          <w:rFonts w:asciiTheme="minorHAnsi" w:hAnsiTheme="minorHAnsi"/>
          <w:color w:val="000000"/>
          <w:sz w:val="20"/>
          <w:szCs w:val="20"/>
        </w:rPr>
        <w:t>, 32(4), pp. 3–12. Available at:</w:t>
      </w:r>
      <w:r w:rsidRPr="00A24F90">
        <w:rPr>
          <w:rStyle w:val="apple-converted-space"/>
          <w:rFonts w:asciiTheme="minorHAnsi" w:eastAsiaTheme="majorEastAsia" w:hAnsiTheme="minorHAnsi"/>
          <w:color w:val="000000"/>
          <w:sz w:val="20"/>
          <w:szCs w:val="20"/>
        </w:rPr>
        <w:t> </w:t>
      </w:r>
      <w:hyperlink r:id="rId10" w:tgtFrame="_new" w:history="1">
        <w:r w:rsidRPr="00A24F90">
          <w:rPr>
            <w:rStyle w:val="Hyperlink"/>
            <w:rFonts w:asciiTheme="minorHAnsi" w:eastAsiaTheme="majorEastAsia" w:hAnsiTheme="minorHAnsi"/>
            <w:sz w:val="20"/>
            <w:szCs w:val="20"/>
          </w:rPr>
          <w:t>https://journals.sagepub.com/doi/10.3102/0013189X032004003</w:t>
        </w:r>
      </w:hyperlink>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p>
    <w:p w14:paraId="51D0D8B5" w14:textId="57FCDA8E" w:rsidR="0036669D" w:rsidRPr="00A24F90" w:rsidRDefault="0036669D" w:rsidP="00E94666">
      <w:pPr>
        <w:pStyle w:val="NormalWeb"/>
        <w:rPr>
          <w:rFonts w:asciiTheme="minorHAnsi" w:hAnsiTheme="minorHAnsi"/>
          <w:color w:val="000000"/>
          <w:sz w:val="20"/>
          <w:szCs w:val="20"/>
        </w:rPr>
      </w:pPr>
      <w:r w:rsidRPr="00A24F90">
        <w:rPr>
          <w:rFonts w:asciiTheme="minorHAnsi" w:hAnsiTheme="minorHAnsi"/>
          <w:color w:val="000000"/>
          <w:sz w:val="20"/>
          <w:szCs w:val="20"/>
        </w:rPr>
        <w:t>Kolb, D.A. (1984)</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Experiential learning: Experience as the source of learning and development</w:t>
      </w:r>
      <w:r w:rsidRPr="00A24F90">
        <w:rPr>
          <w:rFonts w:asciiTheme="minorHAnsi" w:hAnsiTheme="minorHAnsi"/>
          <w:color w:val="000000"/>
          <w:sz w:val="20"/>
          <w:szCs w:val="20"/>
        </w:rPr>
        <w:t>. New Jersey: Prentice Hall. Available at:</w:t>
      </w:r>
      <w:r w:rsidRPr="00A24F90">
        <w:rPr>
          <w:rStyle w:val="apple-converted-space"/>
          <w:rFonts w:asciiTheme="minorHAnsi" w:eastAsiaTheme="majorEastAsia" w:hAnsiTheme="minorHAnsi"/>
          <w:color w:val="000000"/>
          <w:sz w:val="20"/>
          <w:szCs w:val="20"/>
        </w:rPr>
        <w:t> </w:t>
      </w:r>
      <w:hyperlink r:id="rId11" w:history="1">
        <w:r w:rsidRPr="00A24F90">
          <w:rPr>
            <w:rStyle w:val="Hyperlink"/>
            <w:rFonts w:asciiTheme="minorHAnsi" w:hAnsiTheme="minorHAnsi"/>
            <w:sz w:val="20"/>
            <w:szCs w:val="20"/>
          </w:rPr>
          <w:t>https://www.pearson.com/us/higher-education/program/Kolb-Experiential-Learning-Experience-as-the-Source-of-Learning-and-Development-2nd-Edition/PGM183903.html</w:t>
        </w:r>
      </w:hyperlink>
      <w:r w:rsidRPr="00A24F90">
        <w:rPr>
          <w:rFonts w:asciiTheme="minorHAnsi" w:hAnsiTheme="minorHAnsi"/>
          <w:sz w:val="20"/>
          <w:szCs w:val="20"/>
        </w:rPr>
        <w:t xml:space="preserve"> </w:t>
      </w:r>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r w:rsidRPr="00A24F90">
        <w:rPr>
          <w:rFonts w:asciiTheme="minorHAnsi" w:hAnsiTheme="minorHAnsi"/>
          <w:color w:val="000000"/>
          <w:sz w:val="20"/>
          <w:szCs w:val="20"/>
        </w:rPr>
        <w:t xml:space="preserve"> </w:t>
      </w:r>
    </w:p>
    <w:p w14:paraId="7EE0322F" w14:textId="16A56A85" w:rsidR="0036669D" w:rsidRPr="00A24F90" w:rsidRDefault="003213D2" w:rsidP="00E94666">
      <w:pPr>
        <w:pStyle w:val="NormalWeb"/>
        <w:rPr>
          <w:rFonts w:asciiTheme="minorHAnsi" w:hAnsiTheme="minorHAnsi"/>
          <w:color w:val="000000" w:themeColor="text1"/>
          <w:sz w:val="20"/>
          <w:szCs w:val="20"/>
        </w:rPr>
      </w:pPr>
      <w:r w:rsidRPr="00A24F90">
        <w:rPr>
          <w:rFonts w:asciiTheme="minorHAnsi" w:hAnsiTheme="minorHAnsi"/>
          <w:color w:val="000000"/>
          <w:sz w:val="20"/>
          <w:szCs w:val="20"/>
        </w:rPr>
        <w:t>Montessori, M. (1949)</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The absorbent mind</w:t>
      </w:r>
      <w:r w:rsidRPr="00A24F90">
        <w:rPr>
          <w:rFonts w:asciiTheme="minorHAnsi" w:hAnsiTheme="minorHAnsi"/>
          <w:color w:val="000000"/>
          <w:sz w:val="20"/>
          <w:szCs w:val="20"/>
        </w:rPr>
        <w:t>. Madras: Kalakshetra Press. Available at:</w:t>
      </w:r>
      <w:r w:rsidRPr="00A24F90">
        <w:rPr>
          <w:rStyle w:val="apple-converted-space"/>
          <w:rFonts w:asciiTheme="minorHAnsi" w:eastAsiaTheme="majorEastAsia" w:hAnsiTheme="minorHAnsi"/>
          <w:color w:val="000000"/>
          <w:sz w:val="20"/>
          <w:szCs w:val="20"/>
        </w:rPr>
        <w:t> </w:t>
      </w:r>
      <w:hyperlink r:id="rId12" w:tgtFrame="_new" w:history="1">
        <w:r w:rsidRPr="00A24F90">
          <w:rPr>
            <w:rStyle w:val="Hyperlink"/>
            <w:rFonts w:asciiTheme="minorHAnsi" w:eastAsiaTheme="majorEastAsia" w:hAnsiTheme="minorHAnsi"/>
            <w:sz w:val="20"/>
            <w:szCs w:val="20"/>
          </w:rPr>
          <w:t>https://archive.org/details/absorbentmind0000mont</w:t>
        </w:r>
      </w:hyperlink>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p>
    <w:p w14:paraId="67C91552" w14:textId="3E6F16BA" w:rsidR="007F600C" w:rsidRPr="00A24F90" w:rsidRDefault="00E94666" w:rsidP="00E94666">
      <w:pPr>
        <w:pStyle w:val="NormalWeb"/>
        <w:rPr>
          <w:rFonts w:asciiTheme="minorHAnsi" w:hAnsiTheme="minorHAnsi"/>
          <w:color w:val="000000" w:themeColor="text1"/>
          <w:sz w:val="20"/>
          <w:szCs w:val="20"/>
        </w:rPr>
      </w:pPr>
      <w:r w:rsidRPr="00E94666">
        <w:rPr>
          <w:rFonts w:asciiTheme="minorHAnsi" w:hAnsiTheme="minorHAnsi"/>
          <w:color w:val="000000" w:themeColor="text1"/>
          <w:sz w:val="20"/>
          <w:szCs w:val="20"/>
        </w:rPr>
        <w:t xml:space="preserve">  Natural Resources Wales (2024) </w:t>
      </w:r>
      <w:r w:rsidRPr="00E94666">
        <w:rPr>
          <w:rFonts w:asciiTheme="minorHAnsi" w:hAnsiTheme="minorHAnsi"/>
          <w:i/>
          <w:iCs/>
          <w:color w:val="000000" w:themeColor="text1"/>
          <w:sz w:val="20"/>
          <w:szCs w:val="20"/>
        </w:rPr>
        <w:t>Education and Learning Resources</w:t>
      </w:r>
      <w:r w:rsidRPr="00E94666">
        <w:rPr>
          <w:rFonts w:asciiTheme="minorHAnsi" w:hAnsiTheme="minorHAnsi"/>
          <w:color w:val="000000" w:themeColor="text1"/>
          <w:sz w:val="20"/>
          <w:szCs w:val="20"/>
        </w:rPr>
        <w:t>. Available at: </w:t>
      </w:r>
      <w:hyperlink r:id="rId13" w:history="1">
        <w:r w:rsidRPr="00E94666">
          <w:rPr>
            <w:rStyle w:val="Hyperlink"/>
            <w:rFonts w:asciiTheme="minorHAnsi" w:hAnsiTheme="minorHAnsi"/>
            <w:color w:val="000000" w:themeColor="text1"/>
            <w:sz w:val="20"/>
            <w:szCs w:val="20"/>
          </w:rPr>
          <w:t>https://naturalresources.wales/learning/?lang=en</w:t>
        </w:r>
      </w:hyperlink>
      <w:r w:rsidRPr="00A24F90">
        <w:rPr>
          <w:rFonts w:asciiTheme="minorHAnsi" w:hAnsiTheme="minorHAnsi"/>
          <w:color w:val="000000" w:themeColor="text1"/>
          <w:sz w:val="20"/>
          <w:szCs w:val="20"/>
        </w:rPr>
        <w:t xml:space="preserve"> </w:t>
      </w:r>
      <w:r w:rsidRPr="00E94666">
        <w:rPr>
          <w:rFonts w:asciiTheme="minorHAnsi" w:hAnsiTheme="minorHAnsi"/>
          <w:color w:val="000000" w:themeColor="text1"/>
          <w:sz w:val="20"/>
          <w:szCs w:val="20"/>
        </w:rPr>
        <w:t> (Accessed: 12 May 2026).</w:t>
      </w:r>
    </w:p>
    <w:p w14:paraId="69015C51" w14:textId="456D836E" w:rsidR="00602129" w:rsidRPr="00A24F90" w:rsidRDefault="00602129" w:rsidP="00E94666">
      <w:pPr>
        <w:pStyle w:val="NormalWeb"/>
        <w:rPr>
          <w:rFonts w:asciiTheme="minorHAnsi" w:hAnsiTheme="minorHAnsi"/>
          <w:color w:val="000000"/>
          <w:sz w:val="20"/>
          <w:szCs w:val="20"/>
        </w:rPr>
      </w:pPr>
      <w:proofErr w:type="spellStart"/>
      <w:r w:rsidRPr="00A24F90">
        <w:rPr>
          <w:rFonts w:asciiTheme="minorHAnsi" w:hAnsiTheme="minorHAnsi"/>
          <w:color w:val="000000"/>
          <w:sz w:val="20"/>
          <w:szCs w:val="20"/>
        </w:rPr>
        <w:t>Rickinson</w:t>
      </w:r>
      <w:proofErr w:type="spellEnd"/>
      <w:r w:rsidRPr="00A24F90">
        <w:rPr>
          <w:rFonts w:asciiTheme="minorHAnsi" w:hAnsiTheme="minorHAnsi"/>
          <w:color w:val="000000"/>
          <w:sz w:val="20"/>
          <w:szCs w:val="20"/>
        </w:rPr>
        <w:t>, M. et al. (2004)</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A review of research on outdoor learning</w:t>
      </w:r>
      <w:r w:rsidRPr="00A24F90">
        <w:rPr>
          <w:rFonts w:asciiTheme="minorHAnsi" w:hAnsiTheme="minorHAnsi"/>
          <w:color w:val="000000"/>
          <w:sz w:val="20"/>
          <w:szCs w:val="20"/>
        </w:rPr>
        <w:t>. Slough: National Foundation for Educational Research. Available at:</w:t>
      </w:r>
      <w:r w:rsidRPr="00A24F90">
        <w:rPr>
          <w:rStyle w:val="apple-converted-space"/>
          <w:rFonts w:asciiTheme="minorHAnsi" w:eastAsiaTheme="majorEastAsia" w:hAnsiTheme="minorHAnsi"/>
          <w:color w:val="000000"/>
          <w:sz w:val="20"/>
          <w:szCs w:val="20"/>
        </w:rPr>
        <w:t> </w:t>
      </w:r>
      <w:r w:rsidRPr="00A24F90">
        <w:rPr>
          <w:rFonts w:asciiTheme="minorHAnsi" w:hAnsiTheme="minorHAnsi"/>
          <w:sz w:val="20"/>
          <w:szCs w:val="20"/>
        </w:rPr>
        <w:t>https://www.nfer.ac.uk/publications/outdoor-learning/</w:t>
      </w:r>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r w:rsidRPr="00A24F90">
        <w:rPr>
          <w:rFonts w:asciiTheme="minorHAnsi" w:hAnsiTheme="minorHAnsi"/>
          <w:color w:val="000000"/>
          <w:sz w:val="20"/>
          <w:szCs w:val="20"/>
        </w:rPr>
        <w:t xml:space="preserve"> </w:t>
      </w:r>
    </w:p>
    <w:p w14:paraId="764CEEE4" w14:textId="0F57846D" w:rsidR="007F600C" w:rsidRPr="00A24F90" w:rsidRDefault="007F600C" w:rsidP="00E94666">
      <w:pPr>
        <w:pStyle w:val="NormalWeb"/>
        <w:rPr>
          <w:rFonts w:asciiTheme="minorHAnsi" w:hAnsiTheme="minorHAnsi"/>
          <w:color w:val="000000"/>
          <w:sz w:val="20"/>
          <w:szCs w:val="20"/>
        </w:rPr>
      </w:pPr>
      <w:r w:rsidRPr="00A24F90">
        <w:rPr>
          <w:rFonts w:asciiTheme="minorHAnsi" w:hAnsiTheme="minorHAnsi"/>
          <w:color w:val="000000"/>
          <w:sz w:val="20"/>
          <w:szCs w:val="20"/>
        </w:rPr>
        <w:t>Siraj-Blatchford, I. et al. (2002)</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Researching effective pedagogy in the early years</w:t>
      </w:r>
      <w:r w:rsidRPr="00A24F90">
        <w:rPr>
          <w:rFonts w:asciiTheme="minorHAnsi" w:hAnsiTheme="minorHAnsi"/>
          <w:color w:val="000000"/>
          <w:sz w:val="20"/>
          <w:szCs w:val="20"/>
        </w:rPr>
        <w:t>. London: Institute of Education. Available at:</w:t>
      </w:r>
      <w:r w:rsidRPr="00A24F90">
        <w:rPr>
          <w:rStyle w:val="apple-converted-space"/>
          <w:rFonts w:asciiTheme="minorHAnsi" w:eastAsiaTheme="majorEastAsia" w:hAnsiTheme="minorHAnsi"/>
          <w:color w:val="000000"/>
          <w:sz w:val="20"/>
          <w:szCs w:val="20"/>
        </w:rPr>
        <w:t> </w:t>
      </w:r>
      <w:hyperlink r:id="rId14" w:history="1">
        <w:r w:rsidRPr="00A24F90">
          <w:rPr>
            <w:rStyle w:val="Hyperlink"/>
            <w:rFonts w:asciiTheme="minorHAnsi" w:hAnsiTheme="minorHAnsi"/>
            <w:sz w:val="20"/>
            <w:szCs w:val="20"/>
          </w:rPr>
          <w:t>https://discovery.ucl.ac.uk/id/eprint/10005307/</w:t>
        </w:r>
      </w:hyperlink>
      <w:r w:rsidRPr="00A24F90">
        <w:rPr>
          <w:rFonts w:asciiTheme="minorHAnsi" w:hAnsiTheme="minorHAnsi"/>
          <w:sz w:val="20"/>
          <w:szCs w:val="20"/>
        </w:rPr>
        <w:t xml:space="preserve"> </w:t>
      </w:r>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r w:rsidRPr="00A24F90">
        <w:rPr>
          <w:rFonts w:asciiTheme="minorHAnsi" w:hAnsiTheme="minorHAnsi"/>
          <w:color w:val="000000"/>
          <w:sz w:val="20"/>
          <w:szCs w:val="20"/>
        </w:rPr>
        <w:t xml:space="preserve"> </w:t>
      </w:r>
    </w:p>
    <w:p w14:paraId="191DAB1F" w14:textId="2021C1AA" w:rsidR="007F600C" w:rsidRPr="00A24F90" w:rsidRDefault="007F600C" w:rsidP="00E94666">
      <w:pPr>
        <w:pStyle w:val="NormalWeb"/>
        <w:rPr>
          <w:rFonts w:asciiTheme="minorHAnsi" w:hAnsiTheme="minorHAnsi"/>
          <w:color w:val="000000" w:themeColor="text1"/>
          <w:sz w:val="20"/>
          <w:szCs w:val="20"/>
        </w:rPr>
      </w:pPr>
      <w:r w:rsidRPr="00A24F90">
        <w:rPr>
          <w:rFonts w:asciiTheme="minorHAnsi" w:hAnsiTheme="minorHAnsi"/>
          <w:color w:val="000000"/>
          <w:sz w:val="20"/>
          <w:szCs w:val="20"/>
        </w:rPr>
        <w:t>Sterling, S. (2010) ‘Learning for resilience, or the resilient learner? Towards a necessary reconciliation in a paradigm of sustainable education’,</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Environmental Education Research</w:t>
      </w:r>
      <w:r w:rsidRPr="00A24F90">
        <w:rPr>
          <w:rFonts w:asciiTheme="minorHAnsi" w:hAnsiTheme="minorHAnsi"/>
          <w:color w:val="000000"/>
          <w:sz w:val="20"/>
          <w:szCs w:val="20"/>
        </w:rPr>
        <w:t>, 16(5–6), pp. 511–528. Available at:</w:t>
      </w:r>
      <w:r w:rsidRPr="00A24F90">
        <w:rPr>
          <w:rStyle w:val="apple-converted-space"/>
          <w:rFonts w:asciiTheme="minorHAnsi" w:eastAsiaTheme="majorEastAsia" w:hAnsiTheme="minorHAnsi"/>
          <w:color w:val="000000"/>
          <w:sz w:val="20"/>
          <w:szCs w:val="20"/>
        </w:rPr>
        <w:t> </w:t>
      </w:r>
      <w:hyperlink r:id="rId15" w:history="1">
        <w:r w:rsidRPr="00A24F90">
          <w:rPr>
            <w:rStyle w:val="Hyperlink"/>
            <w:rFonts w:asciiTheme="minorHAnsi" w:hAnsiTheme="minorHAnsi"/>
            <w:sz w:val="20"/>
            <w:szCs w:val="20"/>
          </w:rPr>
          <w:t>https://www.researchgate.net/publication/242158938_Learning_for_Resilience_or_the_Resilient_Lea</w:t>
        </w:r>
        <w:r w:rsidRPr="00A24F90">
          <w:rPr>
            <w:rStyle w:val="Hyperlink"/>
            <w:rFonts w:asciiTheme="minorHAnsi" w:hAnsiTheme="minorHAnsi"/>
            <w:sz w:val="20"/>
            <w:szCs w:val="20"/>
          </w:rPr>
          <w:lastRenderedPageBreak/>
          <w:t>rner_Towards_a_Necessary_Reconciliation_in_a_Paradigm_of_Sustainable_Education</w:t>
        </w:r>
      </w:hyperlink>
      <w:r w:rsidRPr="00A24F90">
        <w:rPr>
          <w:rStyle w:val="apple-converted-space"/>
          <w:rFonts w:asciiTheme="minorHAnsi" w:eastAsiaTheme="majorEastAsia" w:hAnsiTheme="minorHAnsi"/>
          <w:color w:val="000000"/>
          <w:sz w:val="20"/>
          <w:szCs w:val="20"/>
        </w:rPr>
        <w:t xml:space="preserve"> </w:t>
      </w:r>
      <w:r w:rsidRPr="00A24F90">
        <w:rPr>
          <w:rFonts w:asciiTheme="minorHAnsi" w:hAnsiTheme="minorHAnsi"/>
          <w:color w:val="000000"/>
          <w:sz w:val="20"/>
          <w:szCs w:val="20"/>
        </w:rPr>
        <w:t>(Accessed: 14 May 2026).</w:t>
      </w:r>
      <w:r w:rsidRPr="00A24F90">
        <w:rPr>
          <w:rFonts w:asciiTheme="minorHAnsi" w:hAnsiTheme="minorHAnsi"/>
          <w:color w:val="000000"/>
          <w:sz w:val="20"/>
          <w:szCs w:val="20"/>
        </w:rPr>
        <w:t xml:space="preserve"> </w:t>
      </w:r>
    </w:p>
    <w:p w14:paraId="7C7A85A6" w14:textId="2891F31B" w:rsidR="00E94666" w:rsidRPr="00A24F90" w:rsidRDefault="00AA05C5" w:rsidP="00E94666">
      <w:pPr>
        <w:pStyle w:val="NormalWeb"/>
        <w:rPr>
          <w:rFonts w:asciiTheme="minorHAnsi" w:hAnsiTheme="minorHAnsi"/>
          <w:color w:val="000000" w:themeColor="text1"/>
          <w:sz w:val="20"/>
          <w:szCs w:val="20"/>
        </w:rPr>
      </w:pPr>
      <w:r w:rsidRPr="00A24F90">
        <w:rPr>
          <w:rFonts w:asciiTheme="minorHAnsi" w:hAnsiTheme="minorHAnsi"/>
          <w:color w:val="000000" w:themeColor="text1"/>
          <w:sz w:val="20"/>
          <w:szCs w:val="20"/>
        </w:rPr>
        <w:t>UNICEF UK (1989)</w:t>
      </w:r>
      <w:r w:rsidRPr="00A24F90">
        <w:rPr>
          <w:rStyle w:val="apple-converted-space"/>
          <w:rFonts w:asciiTheme="minorHAnsi" w:eastAsiaTheme="majorEastAsia" w:hAnsiTheme="minorHAnsi"/>
          <w:color w:val="000000" w:themeColor="text1"/>
          <w:sz w:val="20"/>
          <w:szCs w:val="20"/>
        </w:rPr>
        <w:t> </w:t>
      </w:r>
      <w:r w:rsidRPr="00A24F90">
        <w:rPr>
          <w:rStyle w:val="Emphasis"/>
          <w:rFonts w:asciiTheme="minorHAnsi" w:eastAsiaTheme="majorEastAsia" w:hAnsiTheme="minorHAnsi"/>
          <w:color w:val="000000" w:themeColor="text1"/>
          <w:sz w:val="20"/>
          <w:szCs w:val="20"/>
        </w:rPr>
        <w:t>UN Convention on the Rights of the Child</w:t>
      </w:r>
      <w:r w:rsidRPr="00A24F90">
        <w:rPr>
          <w:rFonts w:asciiTheme="minorHAnsi" w:hAnsiTheme="minorHAnsi"/>
          <w:color w:val="000000" w:themeColor="text1"/>
          <w:sz w:val="20"/>
          <w:szCs w:val="20"/>
        </w:rPr>
        <w:t>. Available at:</w:t>
      </w:r>
      <w:r w:rsidRPr="00A24F90">
        <w:rPr>
          <w:rStyle w:val="apple-converted-space"/>
          <w:rFonts w:asciiTheme="minorHAnsi" w:eastAsiaTheme="majorEastAsia" w:hAnsiTheme="minorHAnsi"/>
          <w:color w:val="000000" w:themeColor="text1"/>
          <w:sz w:val="20"/>
          <w:szCs w:val="20"/>
        </w:rPr>
        <w:t> </w:t>
      </w:r>
      <w:hyperlink r:id="rId16" w:tgtFrame="_new" w:history="1">
        <w:r w:rsidRPr="00A24F90">
          <w:rPr>
            <w:rStyle w:val="Hyperlink"/>
            <w:rFonts w:asciiTheme="minorHAnsi" w:eastAsiaTheme="majorEastAsia" w:hAnsiTheme="minorHAnsi"/>
            <w:color w:val="000000" w:themeColor="text1"/>
            <w:sz w:val="20"/>
            <w:szCs w:val="20"/>
          </w:rPr>
          <w:t>https://www.unicef.org.uk/what-we-do/un-convention-child-rights/</w:t>
        </w:r>
      </w:hyperlink>
      <w:r w:rsidRPr="00A24F90">
        <w:rPr>
          <w:rStyle w:val="apple-converted-space"/>
          <w:rFonts w:asciiTheme="minorHAnsi" w:eastAsiaTheme="majorEastAsia" w:hAnsiTheme="minorHAnsi"/>
          <w:color w:val="000000" w:themeColor="text1"/>
          <w:sz w:val="20"/>
          <w:szCs w:val="20"/>
        </w:rPr>
        <w:t> </w:t>
      </w:r>
      <w:r w:rsidRPr="00A24F90">
        <w:rPr>
          <w:rFonts w:asciiTheme="minorHAnsi" w:hAnsiTheme="minorHAnsi"/>
          <w:color w:val="000000" w:themeColor="text1"/>
          <w:sz w:val="20"/>
          <w:szCs w:val="20"/>
        </w:rPr>
        <w:t>(Accessed: 12 May 2026).</w:t>
      </w:r>
      <w:r w:rsidRPr="00A24F90">
        <w:rPr>
          <w:rFonts w:asciiTheme="minorHAnsi" w:hAnsiTheme="minorHAnsi"/>
          <w:color w:val="000000" w:themeColor="text1"/>
          <w:sz w:val="20"/>
          <w:szCs w:val="20"/>
        </w:rPr>
        <w:t xml:space="preserve"> </w:t>
      </w:r>
    </w:p>
    <w:p w14:paraId="0190BDB0" w14:textId="6C188864" w:rsidR="00D8225A" w:rsidRPr="00A24F90" w:rsidRDefault="00D8225A" w:rsidP="00E94666">
      <w:pPr>
        <w:pStyle w:val="NormalWeb"/>
        <w:rPr>
          <w:rFonts w:asciiTheme="minorHAnsi" w:hAnsiTheme="minorHAnsi"/>
          <w:color w:val="000000" w:themeColor="text1"/>
          <w:sz w:val="20"/>
          <w:szCs w:val="20"/>
        </w:rPr>
      </w:pPr>
      <w:r w:rsidRPr="00A24F90">
        <w:rPr>
          <w:rFonts w:asciiTheme="minorHAnsi" w:hAnsiTheme="minorHAnsi"/>
          <w:color w:val="000000"/>
          <w:sz w:val="20"/>
          <w:szCs w:val="20"/>
        </w:rPr>
        <w:t>UNESCO (2017)</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Education for sustainable development goals: Learning objectives</w:t>
      </w:r>
      <w:r w:rsidRPr="00A24F90">
        <w:rPr>
          <w:rFonts w:asciiTheme="minorHAnsi" w:hAnsiTheme="minorHAnsi"/>
          <w:color w:val="000000"/>
          <w:sz w:val="20"/>
          <w:szCs w:val="20"/>
        </w:rPr>
        <w:t>. Paris: UNESCO. Available at:</w:t>
      </w:r>
      <w:r w:rsidRPr="00A24F90">
        <w:rPr>
          <w:rStyle w:val="apple-converted-space"/>
          <w:rFonts w:asciiTheme="minorHAnsi" w:eastAsiaTheme="majorEastAsia" w:hAnsiTheme="minorHAnsi"/>
          <w:color w:val="000000"/>
          <w:sz w:val="20"/>
          <w:szCs w:val="20"/>
        </w:rPr>
        <w:t> </w:t>
      </w:r>
      <w:hyperlink r:id="rId17" w:history="1">
        <w:r w:rsidRPr="00A24F90">
          <w:rPr>
            <w:rStyle w:val="Hyperlink"/>
            <w:rFonts w:asciiTheme="minorHAnsi" w:hAnsiTheme="minorHAnsi"/>
            <w:sz w:val="20"/>
            <w:szCs w:val="20"/>
          </w:rPr>
          <w:t>https://unesdoc.unesco.org/ark:/48223/pf0000247444</w:t>
        </w:r>
      </w:hyperlink>
      <w:r w:rsidRPr="00A24F90">
        <w:rPr>
          <w:rStyle w:val="apple-converted-space"/>
          <w:rFonts w:asciiTheme="minorHAnsi" w:eastAsiaTheme="majorEastAsia" w:hAnsiTheme="minorHAnsi"/>
          <w:color w:val="000000"/>
          <w:sz w:val="20"/>
          <w:szCs w:val="20"/>
        </w:rPr>
        <w:t xml:space="preserve"> </w:t>
      </w:r>
      <w:r w:rsidRPr="00A24F90">
        <w:rPr>
          <w:rFonts w:asciiTheme="minorHAnsi" w:hAnsiTheme="minorHAnsi"/>
          <w:color w:val="000000"/>
          <w:sz w:val="20"/>
          <w:szCs w:val="20"/>
        </w:rPr>
        <w:t>(Accessed: 14 May 2026).</w:t>
      </w:r>
      <w:r w:rsidRPr="00A24F90">
        <w:rPr>
          <w:rFonts w:asciiTheme="minorHAnsi" w:hAnsiTheme="minorHAnsi"/>
          <w:color w:val="000000"/>
          <w:sz w:val="20"/>
          <w:szCs w:val="20"/>
        </w:rPr>
        <w:t xml:space="preserve"> </w:t>
      </w:r>
    </w:p>
    <w:p w14:paraId="5A682C6C" w14:textId="1709FB86" w:rsidR="00AA05C5" w:rsidRPr="00A24F90" w:rsidRDefault="00AA05C5" w:rsidP="00E94666">
      <w:pPr>
        <w:pStyle w:val="NormalWeb"/>
        <w:rPr>
          <w:rFonts w:asciiTheme="minorHAnsi" w:hAnsiTheme="minorHAnsi"/>
          <w:color w:val="000000" w:themeColor="text1"/>
          <w:sz w:val="20"/>
          <w:szCs w:val="20"/>
        </w:rPr>
      </w:pPr>
      <w:r w:rsidRPr="00A24F90">
        <w:rPr>
          <w:rFonts w:asciiTheme="minorHAnsi" w:hAnsiTheme="minorHAnsi"/>
          <w:color w:val="000000" w:themeColor="text1"/>
          <w:sz w:val="20"/>
          <w:szCs w:val="20"/>
        </w:rPr>
        <w:t>Welsh Government (2022)</w:t>
      </w:r>
      <w:r w:rsidRPr="00A24F90">
        <w:rPr>
          <w:rStyle w:val="apple-converted-space"/>
          <w:rFonts w:asciiTheme="minorHAnsi" w:eastAsiaTheme="majorEastAsia" w:hAnsiTheme="minorHAnsi"/>
          <w:color w:val="000000" w:themeColor="text1"/>
          <w:sz w:val="20"/>
          <w:szCs w:val="20"/>
        </w:rPr>
        <w:t> </w:t>
      </w:r>
      <w:r w:rsidRPr="00A24F90">
        <w:rPr>
          <w:rStyle w:val="Emphasis"/>
          <w:rFonts w:asciiTheme="minorHAnsi" w:eastAsiaTheme="majorEastAsia" w:hAnsiTheme="minorHAnsi"/>
          <w:color w:val="000000" w:themeColor="text1"/>
          <w:sz w:val="20"/>
          <w:szCs w:val="20"/>
        </w:rPr>
        <w:t>Curriculum for Wales</w:t>
      </w:r>
      <w:r w:rsidRPr="00A24F90">
        <w:rPr>
          <w:rFonts w:asciiTheme="minorHAnsi" w:hAnsiTheme="minorHAnsi"/>
          <w:color w:val="000000" w:themeColor="text1"/>
          <w:sz w:val="20"/>
          <w:szCs w:val="20"/>
        </w:rPr>
        <w:t>. Available at:</w:t>
      </w:r>
      <w:r w:rsidRPr="00A24F90">
        <w:rPr>
          <w:rStyle w:val="apple-converted-space"/>
          <w:rFonts w:asciiTheme="minorHAnsi" w:eastAsiaTheme="majorEastAsia" w:hAnsiTheme="minorHAnsi"/>
          <w:color w:val="000000" w:themeColor="text1"/>
          <w:sz w:val="20"/>
          <w:szCs w:val="20"/>
        </w:rPr>
        <w:t> </w:t>
      </w:r>
      <w:hyperlink r:id="rId18" w:history="1">
        <w:r w:rsidRPr="00A24F90">
          <w:rPr>
            <w:rStyle w:val="Hyperlink"/>
            <w:rFonts w:asciiTheme="minorHAnsi" w:hAnsiTheme="minorHAnsi"/>
            <w:color w:val="000000" w:themeColor="text1"/>
            <w:sz w:val="20"/>
            <w:szCs w:val="20"/>
          </w:rPr>
          <w:t>https://www.gov.wales/curriculum-wales</w:t>
        </w:r>
      </w:hyperlink>
      <w:r w:rsidRPr="00A24F90">
        <w:rPr>
          <w:rStyle w:val="apple-converted-space"/>
          <w:rFonts w:asciiTheme="minorHAnsi" w:eastAsiaTheme="majorEastAsia" w:hAnsiTheme="minorHAnsi"/>
          <w:color w:val="000000" w:themeColor="text1"/>
          <w:sz w:val="20"/>
          <w:szCs w:val="20"/>
        </w:rPr>
        <w:t xml:space="preserve"> </w:t>
      </w:r>
      <w:r w:rsidRPr="00A24F90">
        <w:rPr>
          <w:rFonts w:asciiTheme="minorHAnsi" w:hAnsiTheme="minorHAnsi"/>
          <w:color w:val="000000" w:themeColor="text1"/>
          <w:sz w:val="20"/>
          <w:szCs w:val="20"/>
        </w:rPr>
        <w:t>(Accessed: 12 May 2026).</w:t>
      </w:r>
      <w:r w:rsidRPr="00A24F90">
        <w:rPr>
          <w:rFonts w:asciiTheme="minorHAnsi" w:hAnsiTheme="minorHAnsi"/>
          <w:color w:val="000000" w:themeColor="text1"/>
          <w:sz w:val="20"/>
          <w:szCs w:val="20"/>
        </w:rPr>
        <w:t xml:space="preserve">  </w:t>
      </w:r>
    </w:p>
    <w:p w14:paraId="3276B6AB" w14:textId="6DB653E2" w:rsidR="00AA05C5" w:rsidRPr="00A24F90" w:rsidRDefault="00AA05C5" w:rsidP="00E94666">
      <w:pPr>
        <w:pStyle w:val="NormalWeb"/>
        <w:rPr>
          <w:rFonts w:asciiTheme="minorHAnsi" w:hAnsiTheme="minorHAnsi"/>
          <w:color w:val="000000" w:themeColor="text1"/>
          <w:sz w:val="20"/>
          <w:szCs w:val="20"/>
        </w:rPr>
      </w:pPr>
      <w:r w:rsidRPr="00A24F90">
        <w:rPr>
          <w:rFonts w:asciiTheme="minorHAnsi" w:hAnsiTheme="minorHAnsi"/>
          <w:color w:val="000000" w:themeColor="text1"/>
          <w:sz w:val="20"/>
          <w:szCs w:val="20"/>
        </w:rPr>
        <w:t>Welsh Government (2012)</w:t>
      </w:r>
      <w:r w:rsidRPr="00A24F90">
        <w:rPr>
          <w:rStyle w:val="apple-converted-space"/>
          <w:rFonts w:asciiTheme="minorHAnsi" w:eastAsiaTheme="majorEastAsia" w:hAnsiTheme="minorHAnsi"/>
          <w:color w:val="000000" w:themeColor="text1"/>
          <w:sz w:val="20"/>
          <w:szCs w:val="20"/>
        </w:rPr>
        <w:t> </w:t>
      </w:r>
      <w:r w:rsidRPr="00A24F90">
        <w:rPr>
          <w:rStyle w:val="Emphasis"/>
          <w:rFonts w:asciiTheme="minorHAnsi" w:eastAsiaTheme="majorEastAsia" w:hAnsiTheme="minorHAnsi"/>
          <w:color w:val="000000" w:themeColor="text1"/>
          <w:sz w:val="20"/>
          <w:szCs w:val="20"/>
        </w:rPr>
        <w:t>Education for Sustainable Development and Global Citizenship: A Common Understanding</w:t>
      </w:r>
      <w:r w:rsidRPr="00A24F90">
        <w:rPr>
          <w:rFonts w:asciiTheme="minorHAnsi" w:hAnsiTheme="minorHAnsi"/>
          <w:color w:val="000000" w:themeColor="text1"/>
          <w:sz w:val="20"/>
          <w:szCs w:val="20"/>
        </w:rPr>
        <w:t>. Available at:</w:t>
      </w:r>
      <w:r w:rsidRPr="00A24F90">
        <w:rPr>
          <w:rStyle w:val="apple-converted-space"/>
          <w:rFonts w:asciiTheme="minorHAnsi" w:eastAsiaTheme="majorEastAsia" w:hAnsiTheme="minorHAnsi"/>
          <w:color w:val="000000" w:themeColor="text1"/>
          <w:sz w:val="20"/>
          <w:szCs w:val="20"/>
        </w:rPr>
        <w:t> </w:t>
      </w:r>
      <w:hyperlink r:id="rId19" w:tgtFrame="_new" w:history="1">
        <w:r w:rsidRPr="00A24F90">
          <w:rPr>
            <w:rStyle w:val="Hyperlink"/>
            <w:rFonts w:asciiTheme="minorHAnsi" w:eastAsiaTheme="majorEastAsia" w:hAnsiTheme="minorHAnsi"/>
            <w:color w:val="000000" w:themeColor="text1"/>
            <w:sz w:val="20"/>
            <w:szCs w:val="20"/>
          </w:rPr>
          <w:t>https://dera.ioe.ac.uk/id/eprint/14894/</w:t>
        </w:r>
      </w:hyperlink>
      <w:r w:rsidRPr="00A24F90">
        <w:rPr>
          <w:rStyle w:val="apple-converted-space"/>
          <w:rFonts w:asciiTheme="minorHAnsi" w:eastAsiaTheme="majorEastAsia" w:hAnsiTheme="minorHAnsi"/>
          <w:color w:val="000000" w:themeColor="text1"/>
          <w:sz w:val="20"/>
          <w:szCs w:val="20"/>
        </w:rPr>
        <w:t> </w:t>
      </w:r>
      <w:r w:rsidRPr="00A24F90">
        <w:rPr>
          <w:rFonts w:asciiTheme="minorHAnsi" w:hAnsiTheme="minorHAnsi"/>
          <w:color w:val="000000" w:themeColor="text1"/>
          <w:sz w:val="20"/>
          <w:szCs w:val="20"/>
        </w:rPr>
        <w:t>(Accessed: 12 May 2026).</w:t>
      </w:r>
      <w:r w:rsidRPr="00A24F90">
        <w:rPr>
          <w:rFonts w:asciiTheme="minorHAnsi" w:hAnsiTheme="minorHAnsi"/>
          <w:color w:val="000000" w:themeColor="text1"/>
          <w:sz w:val="20"/>
          <w:szCs w:val="20"/>
        </w:rPr>
        <w:t xml:space="preserve"> </w:t>
      </w:r>
    </w:p>
    <w:p w14:paraId="49A2F0E4" w14:textId="28DA6588" w:rsidR="00D8225A" w:rsidRPr="00A24F90" w:rsidRDefault="00D8225A" w:rsidP="00E94666">
      <w:pPr>
        <w:pStyle w:val="NormalWeb"/>
        <w:rPr>
          <w:rFonts w:asciiTheme="minorHAnsi" w:hAnsiTheme="minorHAnsi"/>
          <w:color w:val="000000"/>
          <w:sz w:val="20"/>
          <w:szCs w:val="20"/>
        </w:rPr>
      </w:pPr>
      <w:r w:rsidRPr="00A24F90">
        <w:rPr>
          <w:rFonts w:asciiTheme="minorHAnsi" w:hAnsiTheme="minorHAnsi"/>
          <w:color w:val="000000"/>
          <w:sz w:val="20"/>
          <w:szCs w:val="20"/>
        </w:rPr>
        <w:t>Welsh Government (2022)</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Curriculum for Wales</w:t>
      </w:r>
      <w:r w:rsidRPr="00A24F90">
        <w:rPr>
          <w:rFonts w:asciiTheme="minorHAnsi" w:hAnsiTheme="minorHAnsi"/>
          <w:color w:val="000000"/>
          <w:sz w:val="20"/>
          <w:szCs w:val="20"/>
        </w:rPr>
        <w:t>. Cardiff: Welsh Government. Available at:</w:t>
      </w:r>
      <w:r w:rsidRPr="00A24F90">
        <w:rPr>
          <w:rStyle w:val="apple-converted-space"/>
          <w:rFonts w:asciiTheme="minorHAnsi" w:eastAsiaTheme="majorEastAsia" w:hAnsiTheme="minorHAnsi"/>
          <w:color w:val="000000"/>
          <w:sz w:val="20"/>
          <w:szCs w:val="20"/>
        </w:rPr>
        <w:t> </w:t>
      </w:r>
      <w:hyperlink r:id="rId20" w:history="1">
        <w:r w:rsidRPr="00A24F90">
          <w:rPr>
            <w:rStyle w:val="Hyperlink"/>
            <w:rFonts w:asciiTheme="minorHAnsi" w:hAnsiTheme="minorHAnsi"/>
            <w:sz w:val="20"/>
            <w:szCs w:val="20"/>
          </w:rPr>
          <w:t>https://www.gov.wales/curriculum-wales</w:t>
        </w:r>
      </w:hyperlink>
      <w:r w:rsidRPr="00A24F90">
        <w:rPr>
          <w:rStyle w:val="apple-converted-space"/>
          <w:rFonts w:asciiTheme="minorHAnsi" w:eastAsiaTheme="majorEastAsia" w:hAnsiTheme="minorHAnsi"/>
          <w:color w:val="000000"/>
          <w:sz w:val="20"/>
          <w:szCs w:val="20"/>
        </w:rPr>
        <w:t xml:space="preserve"> </w:t>
      </w:r>
      <w:r w:rsidRPr="00A24F90">
        <w:rPr>
          <w:rFonts w:asciiTheme="minorHAnsi" w:hAnsiTheme="minorHAnsi"/>
          <w:color w:val="000000"/>
          <w:sz w:val="20"/>
          <w:szCs w:val="20"/>
        </w:rPr>
        <w:t>(Accessed: 14 May 2026).</w:t>
      </w:r>
      <w:r w:rsidRPr="00A24F90">
        <w:rPr>
          <w:rFonts w:asciiTheme="minorHAnsi" w:hAnsiTheme="minorHAnsi"/>
          <w:color w:val="000000"/>
          <w:sz w:val="20"/>
          <w:szCs w:val="20"/>
        </w:rPr>
        <w:t xml:space="preserve"> </w:t>
      </w:r>
    </w:p>
    <w:p w14:paraId="4DAB0A08" w14:textId="4862400B" w:rsidR="00D8225A" w:rsidRPr="00E94666" w:rsidRDefault="00A24F90" w:rsidP="00E94666">
      <w:pPr>
        <w:pStyle w:val="NormalWeb"/>
        <w:rPr>
          <w:rFonts w:asciiTheme="minorHAnsi" w:eastAsiaTheme="majorEastAsia" w:hAnsiTheme="minorHAnsi"/>
          <w:color w:val="000000" w:themeColor="text1"/>
          <w:sz w:val="20"/>
          <w:szCs w:val="20"/>
        </w:rPr>
      </w:pPr>
      <w:r w:rsidRPr="00A24F90">
        <w:rPr>
          <w:rFonts w:asciiTheme="minorHAnsi" w:hAnsiTheme="minorHAnsi"/>
          <w:color w:val="000000"/>
          <w:sz w:val="20"/>
          <w:szCs w:val="20"/>
        </w:rPr>
        <w:t>White, J. (2011)</w:t>
      </w:r>
      <w:r w:rsidRPr="00A24F90">
        <w:rPr>
          <w:rStyle w:val="apple-converted-space"/>
          <w:rFonts w:asciiTheme="minorHAnsi" w:eastAsiaTheme="majorEastAsia" w:hAnsiTheme="minorHAnsi"/>
          <w:color w:val="000000"/>
          <w:sz w:val="20"/>
          <w:szCs w:val="20"/>
        </w:rPr>
        <w:t> </w:t>
      </w:r>
      <w:r w:rsidRPr="00A24F90">
        <w:rPr>
          <w:rStyle w:val="Emphasis"/>
          <w:rFonts w:asciiTheme="minorHAnsi" w:eastAsiaTheme="majorEastAsia" w:hAnsiTheme="minorHAnsi"/>
          <w:color w:val="000000"/>
          <w:sz w:val="20"/>
          <w:szCs w:val="20"/>
        </w:rPr>
        <w:t>Outdoor provision in the early years</w:t>
      </w:r>
      <w:r w:rsidRPr="00A24F90">
        <w:rPr>
          <w:rFonts w:asciiTheme="minorHAnsi" w:hAnsiTheme="minorHAnsi"/>
          <w:color w:val="000000"/>
          <w:sz w:val="20"/>
          <w:szCs w:val="20"/>
        </w:rPr>
        <w:t>. London: SAGE Publications. Available at:</w:t>
      </w:r>
      <w:r w:rsidRPr="00A24F90">
        <w:rPr>
          <w:rStyle w:val="apple-converted-space"/>
          <w:rFonts w:asciiTheme="minorHAnsi" w:eastAsiaTheme="majorEastAsia" w:hAnsiTheme="minorHAnsi"/>
          <w:color w:val="000000"/>
          <w:sz w:val="20"/>
          <w:szCs w:val="20"/>
        </w:rPr>
        <w:t> </w:t>
      </w:r>
      <w:hyperlink r:id="rId21" w:history="1">
        <w:r w:rsidRPr="00A24F90">
          <w:rPr>
            <w:rStyle w:val="Hyperlink"/>
            <w:rFonts w:asciiTheme="minorHAnsi" w:hAnsiTheme="minorHAnsi"/>
            <w:sz w:val="20"/>
            <w:szCs w:val="20"/>
          </w:rPr>
          <w:t>https://uk.jkp.com/products/outdoor-provision-in-the-early-years</w:t>
        </w:r>
      </w:hyperlink>
      <w:r w:rsidRPr="00A24F90">
        <w:rPr>
          <w:rFonts w:asciiTheme="minorHAnsi" w:hAnsiTheme="minorHAnsi"/>
          <w:sz w:val="20"/>
          <w:szCs w:val="20"/>
        </w:rPr>
        <w:t xml:space="preserve"> </w:t>
      </w:r>
      <w:r w:rsidRPr="00A24F90">
        <w:rPr>
          <w:rStyle w:val="apple-converted-space"/>
          <w:rFonts w:asciiTheme="minorHAnsi" w:eastAsiaTheme="majorEastAsia" w:hAnsiTheme="minorHAnsi"/>
          <w:color w:val="000000"/>
          <w:sz w:val="20"/>
          <w:szCs w:val="20"/>
        </w:rPr>
        <w:t> </w:t>
      </w:r>
      <w:r w:rsidRPr="00A24F90">
        <w:rPr>
          <w:rFonts w:asciiTheme="minorHAnsi" w:hAnsiTheme="minorHAnsi"/>
          <w:color w:val="000000"/>
          <w:sz w:val="20"/>
          <w:szCs w:val="20"/>
        </w:rPr>
        <w:t>(Accessed: 14 May 2026).</w:t>
      </w:r>
    </w:p>
    <w:p w14:paraId="56F67287" w14:textId="492F5E4C" w:rsidR="00E94666" w:rsidRPr="00E94666" w:rsidRDefault="00E94666" w:rsidP="00E94666">
      <w:pPr>
        <w:rPr>
          <w:rFonts w:ascii="Times New Roman" w:eastAsia="Times New Roman" w:hAnsi="Times New Roman" w:cs="Times New Roman"/>
          <w:kern w:val="0"/>
          <w:lang w:val="en-GB" w:eastAsia="en-GB"/>
          <w14:ligatures w14:val="none"/>
        </w:rPr>
      </w:pPr>
    </w:p>
    <w:sectPr w:rsidR="00E94666" w:rsidRPr="00E946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DFF6E" w14:textId="77777777" w:rsidR="00450969" w:rsidRDefault="00450969" w:rsidP="002D744E">
      <w:r>
        <w:separator/>
      </w:r>
    </w:p>
  </w:endnote>
  <w:endnote w:type="continuationSeparator" w:id="0">
    <w:p w14:paraId="5A671B6B" w14:textId="77777777" w:rsidR="00450969" w:rsidRDefault="00450969" w:rsidP="002D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07E0" w14:textId="77777777" w:rsidR="00450969" w:rsidRDefault="00450969" w:rsidP="002D744E">
      <w:r>
        <w:separator/>
      </w:r>
    </w:p>
  </w:footnote>
  <w:footnote w:type="continuationSeparator" w:id="0">
    <w:p w14:paraId="66CD6FB8" w14:textId="77777777" w:rsidR="00450969" w:rsidRDefault="00450969" w:rsidP="002D74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FC0"/>
    <w:rsid w:val="0004099E"/>
    <w:rsid w:val="00070A91"/>
    <w:rsid w:val="000A136C"/>
    <w:rsid w:val="000C5382"/>
    <w:rsid w:val="000D53AA"/>
    <w:rsid w:val="000E3836"/>
    <w:rsid w:val="000F5A3E"/>
    <w:rsid w:val="001022BB"/>
    <w:rsid w:val="00124C2E"/>
    <w:rsid w:val="001A4885"/>
    <w:rsid w:val="002137E5"/>
    <w:rsid w:val="00214375"/>
    <w:rsid w:val="0023453A"/>
    <w:rsid w:val="0026679F"/>
    <w:rsid w:val="00277228"/>
    <w:rsid w:val="00297616"/>
    <w:rsid w:val="002D56FF"/>
    <w:rsid w:val="002D744E"/>
    <w:rsid w:val="00302FB4"/>
    <w:rsid w:val="003213D2"/>
    <w:rsid w:val="0036669D"/>
    <w:rsid w:val="00435547"/>
    <w:rsid w:val="00436146"/>
    <w:rsid w:val="00450969"/>
    <w:rsid w:val="004602E5"/>
    <w:rsid w:val="004C78FA"/>
    <w:rsid w:val="004E50FE"/>
    <w:rsid w:val="004E69D6"/>
    <w:rsid w:val="004F463E"/>
    <w:rsid w:val="00563EE4"/>
    <w:rsid w:val="005E6526"/>
    <w:rsid w:val="00602129"/>
    <w:rsid w:val="006702F0"/>
    <w:rsid w:val="00681FC0"/>
    <w:rsid w:val="0069729D"/>
    <w:rsid w:val="006A4C7E"/>
    <w:rsid w:val="006D312B"/>
    <w:rsid w:val="0073069F"/>
    <w:rsid w:val="00745879"/>
    <w:rsid w:val="00751B61"/>
    <w:rsid w:val="007A00ED"/>
    <w:rsid w:val="007D0FAC"/>
    <w:rsid w:val="007F600C"/>
    <w:rsid w:val="0082387E"/>
    <w:rsid w:val="009140A9"/>
    <w:rsid w:val="009143EE"/>
    <w:rsid w:val="00962F00"/>
    <w:rsid w:val="009A5BCB"/>
    <w:rsid w:val="009F33F3"/>
    <w:rsid w:val="00A24F90"/>
    <w:rsid w:val="00A25975"/>
    <w:rsid w:val="00A25B6C"/>
    <w:rsid w:val="00A45A7D"/>
    <w:rsid w:val="00A70EE6"/>
    <w:rsid w:val="00A819EF"/>
    <w:rsid w:val="00AA05C5"/>
    <w:rsid w:val="00AA7F01"/>
    <w:rsid w:val="00AB2260"/>
    <w:rsid w:val="00AD7851"/>
    <w:rsid w:val="00AE2E0A"/>
    <w:rsid w:val="00B87D4F"/>
    <w:rsid w:val="00BC2AE7"/>
    <w:rsid w:val="00BC61DB"/>
    <w:rsid w:val="00C44981"/>
    <w:rsid w:val="00C72A15"/>
    <w:rsid w:val="00D029C8"/>
    <w:rsid w:val="00D1268C"/>
    <w:rsid w:val="00D8225A"/>
    <w:rsid w:val="00E5424F"/>
    <w:rsid w:val="00E62875"/>
    <w:rsid w:val="00E94666"/>
    <w:rsid w:val="00EC4820"/>
    <w:rsid w:val="00F542C2"/>
    <w:rsid w:val="00F90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C7C39E"/>
  <w15:chartTrackingRefBased/>
  <w15:docId w15:val="{D6F683C3-7121-A940-8FFC-152A4C28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81F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F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F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F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F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F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F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F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F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FC0"/>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681FC0"/>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81FC0"/>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681FC0"/>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81FC0"/>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81FC0"/>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81FC0"/>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81FC0"/>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81FC0"/>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81F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FC0"/>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81F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FC0"/>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81F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1FC0"/>
    <w:rPr>
      <w:i/>
      <w:iCs/>
      <w:color w:val="404040" w:themeColor="text1" w:themeTint="BF"/>
      <w:lang w:val="cy-GB"/>
    </w:rPr>
  </w:style>
  <w:style w:type="paragraph" w:styleId="ListParagraph">
    <w:name w:val="List Paragraph"/>
    <w:basedOn w:val="Normal"/>
    <w:uiPriority w:val="34"/>
    <w:qFormat/>
    <w:rsid w:val="00681FC0"/>
    <w:pPr>
      <w:ind w:left="720"/>
      <w:contextualSpacing/>
    </w:pPr>
  </w:style>
  <w:style w:type="character" w:styleId="IntenseEmphasis">
    <w:name w:val="Intense Emphasis"/>
    <w:basedOn w:val="DefaultParagraphFont"/>
    <w:uiPriority w:val="21"/>
    <w:qFormat/>
    <w:rsid w:val="00681FC0"/>
    <w:rPr>
      <w:i/>
      <w:iCs/>
      <w:color w:val="0F4761" w:themeColor="accent1" w:themeShade="BF"/>
    </w:rPr>
  </w:style>
  <w:style w:type="paragraph" w:styleId="IntenseQuote">
    <w:name w:val="Intense Quote"/>
    <w:basedOn w:val="Normal"/>
    <w:next w:val="Normal"/>
    <w:link w:val="IntenseQuoteChar"/>
    <w:uiPriority w:val="30"/>
    <w:qFormat/>
    <w:rsid w:val="00681F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FC0"/>
    <w:rPr>
      <w:i/>
      <w:iCs/>
      <w:color w:val="0F4761" w:themeColor="accent1" w:themeShade="BF"/>
      <w:lang w:val="cy-GB"/>
    </w:rPr>
  </w:style>
  <w:style w:type="character" w:styleId="IntenseReference">
    <w:name w:val="Intense Reference"/>
    <w:basedOn w:val="DefaultParagraphFont"/>
    <w:uiPriority w:val="32"/>
    <w:qFormat/>
    <w:rsid w:val="00681FC0"/>
    <w:rPr>
      <w:b/>
      <w:bCs/>
      <w:smallCaps/>
      <w:color w:val="0F4761" w:themeColor="accent1" w:themeShade="BF"/>
      <w:spacing w:val="5"/>
    </w:rPr>
  </w:style>
  <w:style w:type="paragraph" w:styleId="Header">
    <w:name w:val="header"/>
    <w:basedOn w:val="Normal"/>
    <w:link w:val="HeaderChar"/>
    <w:uiPriority w:val="99"/>
    <w:unhideWhenUsed/>
    <w:rsid w:val="002D744E"/>
    <w:pPr>
      <w:tabs>
        <w:tab w:val="center" w:pos="4513"/>
        <w:tab w:val="right" w:pos="9026"/>
      </w:tabs>
    </w:pPr>
  </w:style>
  <w:style w:type="character" w:customStyle="1" w:styleId="HeaderChar">
    <w:name w:val="Header Char"/>
    <w:basedOn w:val="DefaultParagraphFont"/>
    <w:link w:val="Header"/>
    <w:uiPriority w:val="99"/>
    <w:rsid w:val="002D744E"/>
    <w:rPr>
      <w:lang w:val="cy-GB"/>
    </w:rPr>
  </w:style>
  <w:style w:type="paragraph" w:styleId="Footer">
    <w:name w:val="footer"/>
    <w:basedOn w:val="Normal"/>
    <w:link w:val="FooterChar"/>
    <w:uiPriority w:val="99"/>
    <w:unhideWhenUsed/>
    <w:rsid w:val="002D744E"/>
    <w:pPr>
      <w:tabs>
        <w:tab w:val="center" w:pos="4513"/>
        <w:tab w:val="right" w:pos="9026"/>
      </w:tabs>
    </w:pPr>
  </w:style>
  <w:style w:type="character" w:customStyle="1" w:styleId="FooterChar">
    <w:name w:val="Footer Char"/>
    <w:basedOn w:val="DefaultParagraphFont"/>
    <w:link w:val="Footer"/>
    <w:uiPriority w:val="99"/>
    <w:rsid w:val="002D744E"/>
    <w:rPr>
      <w:lang w:val="cy-GB"/>
    </w:rPr>
  </w:style>
  <w:style w:type="paragraph" w:styleId="NormalWeb">
    <w:name w:val="Normal (Web)"/>
    <w:basedOn w:val="Normal"/>
    <w:uiPriority w:val="99"/>
    <w:unhideWhenUsed/>
    <w:rsid w:val="00751B61"/>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customStyle="1" w:styleId="apple-converted-space">
    <w:name w:val="apple-converted-space"/>
    <w:basedOn w:val="DefaultParagraphFont"/>
    <w:rsid w:val="00751B61"/>
  </w:style>
  <w:style w:type="character" w:customStyle="1" w:styleId="whitespace-normal">
    <w:name w:val="whitespace-normal"/>
    <w:basedOn w:val="DefaultParagraphFont"/>
    <w:rsid w:val="00751B61"/>
  </w:style>
  <w:style w:type="character" w:styleId="Hyperlink">
    <w:name w:val="Hyperlink"/>
    <w:basedOn w:val="DefaultParagraphFont"/>
    <w:uiPriority w:val="99"/>
    <w:unhideWhenUsed/>
    <w:rsid w:val="009143EE"/>
    <w:rPr>
      <w:color w:val="0000FF"/>
      <w:u w:val="single"/>
    </w:rPr>
  </w:style>
  <w:style w:type="character" w:styleId="Emphasis">
    <w:name w:val="Emphasis"/>
    <w:basedOn w:val="DefaultParagraphFont"/>
    <w:uiPriority w:val="20"/>
    <w:qFormat/>
    <w:rsid w:val="009143EE"/>
    <w:rPr>
      <w:i/>
      <w:iCs/>
    </w:rPr>
  </w:style>
  <w:style w:type="character" w:styleId="UnresolvedMention">
    <w:name w:val="Unresolved Mention"/>
    <w:basedOn w:val="DefaultParagraphFont"/>
    <w:uiPriority w:val="99"/>
    <w:semiHidden/>
    <w:unhideWhenUsed/>
    <w:rsid w:val="00436146"/>
    <w:rPr>
      <w:color w:val="605E5C"/>
      <w:shd w:val="clear" w:color="auto" w:fill="E1DFDD"/>
    </w:rPr>
  </w:style>
  <w:style w:type="character" w:styleId="Strong">
    <w:name w:val="Strong"/>
    <w:basedOn w:val="DefaultParagraphFont"/>
    <w:uiPriority w:val="22"/>
    <w:qFormat/>
    <w:rsid w:val="00AB22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experienceeducat00dewe_0" TargetMode="External"/><Relationship Id="rId13" Type="http://schemas.openxmlformats.org/officeDocument/2006/relationships/hyperlink" Target="https://naturalresources.wales/learning/?lang=en" TargetMode="External"/><Relationship Id="rId18" Type="http://schemas.openxmlformats.org/officeDocument/2006/relationships/hyperlink" Target="https://www.gov.wales/curriculum-wales" TargetMode="External"/><Relationship Id="rId3" Type="http://schemas.openxmlformats.org/officeDocument/2006/relationships/webSettings" Target="webSettings.xml"/><Relationship Id="rId21" Type="http://schemas.openxmlformats.org/officeDocument/2006/relationships/hyperlink" Target="https://uk.jkp.com/products/outdoor-provision-in-the-early-years" TargetMode="External"/><Relationship Id="rId7" Type="http://schemas.openxmlformats.org/officeDocument/2006/relationships/hyperlink" Target="https://www.cambridge.org/core/books/young-children-and-the-environment/6B9D6F0D0A7A0B7B4B6A4C63D87F0A65" TargetMode="External"/><Relationship Id="rId12" Type="http://schemas.openxmlformats.org/officeDocument/2006/relationships/hyperlink" Target="https://archive.org/details/absorbentmind0000mont" TargetMode="External"/><Relationship Id="rId17" Type="http://schemas.openxmlformats.org/officeDocument/2006/relationships/hyperlink" Target="https://unesdoc.unesco.org/ark:/48223/pf0000247444" TargetMode="External"/><Relationship Id="rId2" Type="http://schemas.openxmlformats.org/officeDocument/2006/relationships/settings" Target="settings.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gov.wales/curriculum-wales" TargetMode="External"/><Relationship Id="rId1" Type="http://schemas.openxmlformats.org/officeDocument/2006/relationships/styles" Target="styles.xml"/><Relationship Id="rId6" Type="http://schemas.openxmlformats.org/officeDocument/2006/relationships/hyperlink" Target="https://global.oup.com/academic/product/the-development-of-conservation-behaviors-in-childhood-and-youth-9780199759101" TargetMode="External"/><Relationship Id="rId11" Type="http://schemas.openxmlformats.org/officeDocument/2006/relationships/hyperlink" Target="https://www.pearson.com/us/higher-education/program/Kolb-Experiential-Learning-Experience-as-the-Source-of-Learning-and-Development-2nd-Edition/PGM183903.html" TargetMode="External"/><Relationship Id="rId5" Type="http://schemas.openxmlformats.org/officeDocument/2006/relationships/endnotes" Target="endnotes.xml"/><Relationship Id="rId15" Type="http://schemas.openxmlformats.org/officeDocument/2006/relationships/hyperlink" Target="https://www.researchgate.net/publication/242158938_Learning_for_Resilience_or_the_Resilient_Learner_Towards_a_Necessary_Reconciliation_in_a_Paradigm_of_Sustainable_Education" TargetMode="External"/><Relationship Id="rId23" Type="http://schemas.openxmlformats.org/officeDocument/2006/relationships/theme" Target="theme/theme1.xml"/><Relationship Id="rId10" Type="http://schemas.openxmlformats.org/officeDocument/2006/relationships/hyperlink" Target="https://journals.sagepub.com/doi/10.3102/0013189X032004003" TargetMode="External"/><Relationship Id="rId19" Type="http://schemas.openxmlformats.org/officeDocument/2006/relationships/hyperlink" Target="https://dera.ioe.ac.uk/id/eprint/14894/?utm_source=chatgpt.com" TargetMode="External"/><Relationship Id="rId4" Type="http://schemas.openxmlformats.org/officeDocument/2006/relationships/footnotes" Target="footnotes.xml"/><Relationship Id="rId9" Type="http://schemas.openxmlformats.org/officeDocument/2006/relationships/hyperlink" Target="https://www.futuregenerations.wales/about-us/future-generations-act/" TargetMode="External"/><Relationship Id="rId14" Type="http://schemas.openxmlformats.org/officeDocument/2006/relationships/hyperlink" Target="https://discovery.ucl.ac.uk/id/eprint/1000530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8</Pages>
  <Words>3441</Words>
  <Characters>19616</Characters>
  <Application>Microsoft Office Word</Application>
  <DocSecurity>0</DocSecurity>
  <Lines>163</Lines>
  <Paragraphs>46</Paragraphs>
  <ScaleCrop>false</ScaleCrop>
  <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Davies (2305895)</dc:creator>
  <cp:keywords/>
  <dc:description/>
  <cp:lastModifiedBy>Phoebe Davies (2305895)</cp:lastModifiedBy>
  <cp:revision>71</cp:revision>
  <dcterms:created xsi:type="dcterms:W3CDTF">2026-05-11T13:57:00Z</dcterms:created>
  <dcterms:modified xsi:type="dcterms:W3CDTF">2026-05-15T11:35:00Z</dcterms:modified>
</cp:coreProperties>
</file>