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235E1" w14:textId="4EFFFA13" w:rsidR="00773E00" w:rsidRDefault="00202F78" w:rsidP="00773E00">
      <w:pPr>
        <w:ind w:left="2160" w:firstLine="720"/>
      </w:pPr>
      <w:r>
        <w:t xml:space="preserve">   </w:t>
      </w:r>
      <w:r w:rsidR="00773E00">
        <w:t>Module: Finance Management</w:t>
      </w:r>
    </w:p>
    <w:p w14:paraId="4C7D2FF8" w14:textId="79A60FBD" w:rsidR="00773E00" w:rsidRDefault="00773E00" w:rsidP="00773E00">
      <w:pPr>
        <w:ind w:left="2160" w:firstLine="720"/>
      </w:pPr>
    </w:p>
    <w:p w14:paraId="72B6ACE9" w14:textId="65144C2C" w:rsidR="00773E00" w:rsidRDefault="00773E00" w:rsidP="00773E00">
      <w:pPr>
        <w:ind w:left="2160" w:firstLine="720"/>
      </w:pPr>
    </w:p>
    <w:p w14:paraId="56BB129E" w14:textId="61C6210C" w:rsidR="00773E00" w:rsidRDefault="00773E00" w:rsidP="00773E00">
      <w:pPr>
        <w:ind w:left="2160" w:firstLine="720"/>
      </w:pPr>
    </w:p>
    <w:p w14:paraId="08EEA78C" w14:textId="469E65B3" w:rsidR="00773E00" w:rsidRDefault="00773E00" w:rsidP="00773E00">
      <w:pPr>
        <w:ind w:left="2160" w:firstLine="720"/>
      </w:pPr>
    </w:p>
    <w:p w14:paraId="45B05493" w14:textId="18A96F5C" w:rsidR="00773E00" w:rsidRDefault="00773E00" w:rsidP="00773E00">
      <w:pPr>
        <w:ind w:left="2160" w:firstLine="720"/>
      </w:pPr>
    </w:p>
    <w:p w14:paraId="3721DBBD" w14:textId="28F7A7CB" w:rsidR="00773E00" w:rsidRDefault="00773E00" w:rsidP="00773E00">
      <w:pPr>
        <w:ind w:left="2160" w:firstLine="720"/>
      </w:pPr>
    </w:p>
    <w:p w14:paraId="3FECF12F" w14:textId="01B1B864" w:rsidR="00773E00" w:rsidRPr="00202F78" w:rsidRDefault="00202F78" w:rsidP="00202F78">
      <w:pPr>
        <w:rPr>
          <w:b/>
          <w:bCs/>
          <w:sz w:val="36"/>
          <w:szCs w:val="36"/>
        </w:rPr>
      </w:pPr>
      <w:r>
        <w:rPr>
          <w:b/>
          <w:bCs/>
          <w:sz w:val="36"/>
          <w:szCs w:val="36"/>
        </w:rPr>
        <w:t xml:space="preserve">                      </w:t>
      </w:r>
      <w:r w:rsidR="00773E00" w:rsidRPr="00202F78">
        <w:rPr>
          <w:b/>
          <w:bCs/>
          <w:sz w:val="36"/>
          <w:szCs w:val="36"/>
        </w:rPr>
        <w:t>FINANCE MANAGEMENT – ASSIGNMENT</w:t>
      </w:r>
    </w:p>
    <w:p w14:paraId="2BF0EA98" w14:textId="162BF2B2" w:rsidR="00773E00" w:rsidRPr="00202F78" w:rsidRDefault="00202F78" w:rsidP="00202F78">
      <w:pPr>
        <w:rPr>
          <w:sz w:val="24"/>
          <w:szCs w:val="24"/>
        </w:rPr>
      </w:pPr>
      <w:r>
        <w:t xml:space="preserve">                                                </w:t>
      </w:r>
      <w:r w:rsidR="00773E00" w:rsidRPr="00202F78">
        <w:rPr>
          <w:sz w:val="24"/>
          <w:szCs w:val="24"/>
        </w:rPr>
        <w:t>Daniela Cotenescu, student number 1815754</w:t>
      </w:r>
    </w:p>
    <w:p w14:paraId="128D11B6" w14:textId="0FFADCE2" w:rsidR="00773E00" w:rsidRPr="00202F78" w:rsidRDefault="00202F78" w:rsidP="00773E00">
      <w:pPr>
        <w:ind w:left="2160" w:firstLine="720"/>
        <w:rPr>
          <w:sz w:val="24"/>
          <w:szCs w:val="24"/>
        </w:rPr>
      </w:pPr>
      <w:r w:rsidRPr="00202F78">
        <w:rPr>
          <w:sz w:val="24"/>
          <w:szCs w:val="24"/>
        </w:rPr>
        <w:t xml:space="preserve">           </w:t>
      </w:r>
      <w:r w:rsidR="00773E00" w:rsidRPr="00202F78">
        <w:rPr>
          <w:sz w:val="24"/>
          <w:szCs w:val="24"/>
        </w:rPr>
        <w:t>27</w:t>
      </w:r>
      <w:r w:rsidR="00773E00" w:rsidRPr="00202F78">
        <w:rPr>
          <w:sz w:val="24"/>
          <w:szCs w:val="24"/>
          <w:vertAlign w:val="superscript"/>
        </w:rPr>
        <w:t>th</w:t>
      </w:r>
      <w:r w:rsidR="00773E00" w:rsidRPr="00202F78">
        <w:rPr>
          <w:sz w:val="24"/>
          <w:szCs w:val="24"/>
        </w:rPr>
        <w:t xml:space="preserve"> of August 2019</w:t>
      </w:r>
    </w:p>
    <w:p w14:paraId="0B8B96E9" w14:textId="05291B86" w:rsidR="00773E00" w:rsidRDefault="00773E00" w:rsidP="00773E00">
      <w:pPr>
        <w:ind w:left="2160" w:firstLine="720"/>
      </w:pPr>
    </w:p>
    <w:p w14:paraId="1511A3F9" w14:textId="60CC3516" w:rsidR="00773E00" w:rsidRDefault="00773E00" w:rsidP="00773E00">
      <w:pPr>
        <w:ind w:left="2160" w:firstLine="720"/>
      </w:pPr>
    </w:p>
    <w:p w14:paraId="151D7E96" w14:textId="278E020E" w:rsidR="00773E00" w:rsidRDefault="00773E00" w:rsidP="00773E00">
      <w:pPr>
        <w:ind w:left="2160" w:firstLine="720"/>
      </w:pPr>
    </w:p>
    <w:p w14:paraId="0DF1AA75" w14:textId="0B24F60A" w:rsidR="00773E00" w:rsidRDefault="00773E00" w:rsidP="00773E00">
      <w:pPr>
        <w:ind w:left="2160" w:firstLine="720"/>
      </w:pPr>
    </w:p>
    <w:p w14:paraId="23FFA591" w14:textId="6689D20C" w:rsidR="00773E00" w:rsidRDefault="00773E00" w:rsidP="00773E00">
      <w:pPr>
        <w:ind w:left="2160" w:firstLine="720"/>
      </w:pPr>
    </w:p>
    <w:p w14:paraId="504C0148" w14:textId="0EDA08B7" w:rsidR="00202F78" w:rsidRDefault="00202F78" w:rsidP="00773E00">
      <w:pPr>
        <w:ind w:left="2160" w:firstLine="720"/>
      </w:pPr>
    </w:p>
    <w:p w14:paraId="5D8D1AFD" w14:textId="095132D5" w:rsidR="00202F78" w:rsidRDefault="00202F78" w:rsidP="00773E00">
      <w:pPr>
        <w:ind w:left="2160" w:firstLine="720"/>
      </w:pPr>
    </w:p>
    <w:p w14:paraId="0B17BD78" w14:textId="28CC5EE4" w:rsidR="00202F78" w:rsidRDefault="00202F78" w:rsidP="00773E00">
      <w:pPr>
        <w:ind w:left="2160" w:firstLine="720"/>
      </w:pPr>
    </w:p>
    <w:p w14:paraId="43611071" w14:textId="7DC0A10E" w:rsidR="00202F78" w:rsidRDefault="00202F78" w:rsidP="00773E00">
      <w:pPr>
        <w:ind w:left="2160" w:firstLine="720"/>
      </w:pPr>
    </w:p>
    <w:p w14:paraId="61EF8667" w14:textId="3D04020C" w:rsidR="00202F78" w:rsidRDefault="00202F78" w:rsidP="00773E00">
      <w:pPr>
        <w:ind w:left="2160" w:firstLine="720"/>
      </w:pPr>
    </w:p>
    <w:p w14:paraId="5DCF5E06" w14:textId="7756F9F2" w:rsidR="00202F78" w:rsidRDefault="00202F78" w:rsidP="00773E00">
      <w:pPr>
        <w:ind w:left="2160" w:firstLine="720"/>
      </w:pPr>
    </w:p>
    <w:p w14:paraId="5EBFBD16" w14:textId="7CC5DEB6" w:rsidR="00202F78" w:rsidRDefault="00202F78" w:rsidP="00773E00">
      <w:pPr>
        <w:ind w:left="2160" w:firstLine="720"/>
      </w:pPr>
    </w:p>
    <w:p w14:paraId="4DFDF7A2" w14:textId="2311E416" w:rsidR="00202F78" w:rsidRDefault="00202F78" w:rsidP="00773E00">
      <w:pPr>
        <w:ind w:left="2160" w:firstLine="720"/>
      </w:pPr>
    </w:p>
    <w:p w14:paraId="0067D87E" w14:textId="2AE90B9A" w:rsidR="00202F78" w:rsidRDefault="00202F78" w:rsidP="00773E00">
      <w:pPr>
        <w:ind w:left="2160" w:firstLine="720"/>
      </w:pPr>
    </w:p>
    <w:p w14:paraId="496EE4C5" w14:textId="3E4B28EA" w:rsidR="00202F78" w:rsidRDefault="00202F78" w:rsidP="00773E00">
      <w:pPr>
        <w:ind w:left="2160" w:firstLine="720"/>
      </w:pPr>
    </w:p>
    <w:p w14:paraId="646D808F" w14:textId="57E9C8D6" w:rsidR="00202F78" w:rsidRDefault="00202F78" w:rsidP="00773E00">
      <w:pPr>
        <w:ind w:left="2160" w:firstLine="720"/>
      </w:pPr>
    </w:p>
    <w:p w14:paraId="3ECAA03F" w14:textId="77777777" w:rsidR="00202F78" w:rsidRDefault="00202F78" w:rsidP="00773E00">
      <w:pPr>
        <w:ind w:left="2160" w:firstLine="720"/>
      </w:pPr>
    </w:p>
    <w:p w14:paraId="309A1403" w14:textId="4896D2CB" w:rsidR="00773E00" w:rsidRPr="00202F78" w:rsidRDefault="00773E00" w:rsidP="00773E00">
      <w:pPr>
        <w:ind w:left="2160" w:firstLine="720"/>
        <w:rPr>
          <w:b/>
          <w:bCs/>
        </w:rPr>
      </w:pPr>
      <w:r w:rsidRPr="00202F78">
        <w:rPr>
          <w:b/>
          <w:bCs/>
        </w:rPr>
        <w:t>Module Lecturer: Jia Miao</w:t>
      </w:r>
    </w:p>
    <w:p w14:paraId="5D21A2C4" w14:textId="6E6E1E0E" w:rsidR="00773E00" w:rsidRDefault="00773E00" w:rsidP="00773E00">
      <w:pPr>
        <w:ind w:left="2160" w:firstLine="720"/>
      </w:pPr>
    </w:p>
    <w:p w14:paraId="181A207F" w14:textId="3D5D5CD0" w:rsidR="00773E00" w:rsidRDefault="00773E00" w:rsidP="00202F78"/>
    <w:p w14:paraId="41BE65A3" w14:textId="7FF3AD8D" w:rsidR="00773E00" w:rsidRDefault="00202F78" w:rsidP="00202F78">
      <w:r>
        <w:lastRenderedPageBreak/>
        <w:t xml:space="preserve">The aim of this report is to analyse the profitability of Jaguar Land Rover company </w:t>
      </w:r>
      <w:proofErr w:type="gramStart"/>
      <w:r>
        <w:t>and also</w:t>
      </w:r>
      <w:proofErr w:type="gramEnd"/>
      <w:r>
        <w:t xml:space="preserve"> the provide suggestions over the financial improvements and investments</w:t>
      </w:r>
    </w:p>
    <w:p w14:paraId="4255E452" w14:textId="4BC4E984" w:rsidR="00202F78" w:rsidRDefault="00202F78" w:rsidP="00202F78">
      <w:r>
        <w:t xml:space="preserve">Jaguar Land Rover company </w:t>
      </w:r>
      <w:r w:rsidR="002E4A1F">
        <w:t xml:space="preserve">is on the major investors in auto industry in the UK. The company includes two car brands internationally recognised and these are Jaguar and Land Rover. Jaguar is for sport cars and Land Rover is a part </w:t>
      </w:r>
      <w:proofErr w:type="gramStart"/>
      <w:r w:rsidR="002E4A1F">
        <w:t>of  the</w:t>
      </w:r>
      <w:proofErr w:type="gramEnd"/>
      <w:r w:rsidR="002E4A1F">
        <w:t xml:space="preserve"> luxury Sport Utility Vehicles (SUV). The company has most of the operations in the UK sites, they extend their production in China, India, Brazil, Slovakia.</w:t>
      </w:r>
    </w:p>
    <w:p w14:paraId="5D890435" w14:textId="3363C346" w:rsidR="002E4A1F" w:rsidRDefault="002E4A1F" w:rsidP="00202F78">
      <w:r>
        <w:t>The company has developed the whole strategy on Customer First and each department and each area from the production to sales is focus over the customer satisfaction. The are environment friendly and their new model Jaguar I-Pace has obtained in 2019 the award “World Car of the year” for the reduce CO2 emissions.</w:t>
      </w:r>
    </w:p>
    <w:p w14:paraId="6594AB3D" w14:textId="0D9E0C5D" w:rsidR="002E4A1F" w:rsidRDefault="002E4A1F" w:rsidP="00202F78">
      <w:r>
        <w:t xml:space="preserve">Mercedes Benz the competitor of Jaguar Land Rover </w:t>
      </w:r>
      <w:proofErr w:type="gramStart"/>
      <w:r>
        <w:t>is located in</w:t>
      </w:r>
      <w:proofErr w:type="gramEnd"/>
      <w:r>
        <w:t xml:space="preserve"> Germany and is an international brand, recognized for quality, professionalism and reliability. Mercedes Benz is a bigger company than Jaguar Land </w:t>
      </w:r>
      <w:proofErr w:type="gramStart"/>
      <w:r>
        <w:t>Rover</w:t>
      </w:r>
      <w:proofErr w:type="gramEnd"/>
      <w:r>
        <w:t xml:space="preserve"> but they build SUV`s and they are on the same auto market segment as Jaguar Land Rover.</w:t>
      </w:r>
    </w:p>
    <w:p w14:paraId="2F0E2AB7" w14:textId="4D89694C" w:rsidR="00773E00" w:rsidRDefault="00773E00" w:rsidP="00773E00">
      <w:pPr>
        <w:ind w:left="2160" w:firstLine="720"/>
      </w:pPr>
    </w:p>
    <w:p w14:paraId="22BB0F9A" w14:textId="3843F831" w:rsidR="00773E00" w:rsidRPr="002E4A1F" w:rsidRDefault="002E4A1F" w:rsidP="00773E00">
      <w:pPr>
        <w:rPr>
          <w:b/>
          <w:bCs/>
        </w:rPr>
      </w:pPr>
      <w:r w:rsidRPr="002E4A1F">
        <w:rPr>
          <w:b/>
          <w:bCs/>
        </w:rPr>
        <w:t xml:space="preserve">B.1 </w:t>
      </w:r>
      <w:r w:rsidR="00202F78" w:rsidRPr="002E4A1F">
        <w:rPr>
          <w:b/>
          <w:bCs/>
        </w:rPr>
        <w:t>Jaguar Land Rover financial performance analysis</w:t>
      </w:r>
    </w:p>
    <w:p w14:paraId="58A73D77" w14:textId="74ABB1E3" w:rsidR="00773E00" w:rsidRDefault="002E4A1F" w:rsidP="00773E00">
      <w:r>
        <w:t xml:space="preserve">We are going to calculate the key financial ratios for the period 2014-2018 for </w:t>
      </w:r>
      <w:r w:rsidR="00295A16">
        <w:t>Jaguar Land Rover</w:t>
      </w:r>
      <w:r>
        <w:t xml:space="preserve"> and for 2018 for the competitor Mercedes Benz.</w:t>
      </w:r>
    </w:p>
    <w:p w14:paraId="215AC847" w14:textId="15F954C9" w:rsidR="00773E00" w:rsidRPr="00202F78" w:rsidRDefault="007160C3" w:rsidP="00773E00">
      <w:pPr>
        <w:rPr>
          <w:b/>
          <w:bCs/>
        </w:rPr>
      </w:pPr>
      <w:r w:rsidRPr="00202F78">
        <w:rPr>
          <w:b/>
          <w:bCs/>
        </w:rPr>
        <w:t>B</w:t>
      </w:r>
      <w:r w:rsidR="00773E00" w:rsidRPr="00202F78">
        <w:rPr>
          <w:b/>
          <w:bCs/>
        </w:rPr>
        <w:t xml:space="preserve">.1. </w:t>
      </w:r>
      <w:r w:rsidRPr="00202F78">
        <w:rPr>
          <w:b/>
          <w:bCs/>
        </w:rPr>
        <w:t>1.</w:t>
      </w:r>
      <w:r w:rsidR="00773E00" w:rsidRPr="00202F78">
        <w:rPr>
          <w:b/>
          <w:bCs/>
        </w:rPr>
        <w:t xml:space="preserve"> Profitability Ratios</w:t>
      </w:r>
    </w:p>
    <w:p w14:paraId="193656F3" w14:textId="6DE4EB8D" w:rsidR="00D7471B" w:rsidRDefault="00D7471B" w:rsidP="00773E00">
      <w:r>
        <w:t xml:space="preserve">It is important for a company to know how much </w:t>
      </w:r>
      <w:r w:rsidR="00455602">
        <w:t xml:space="preserve">income </w:t>
      </w:r>
      <w:proofErr w:type="gramStart"/>
      <w:r w:rsidR="00455602">
        <w:t>is able to</w:t>
      </w:r>
      <w:proofErr w:type="gramEnd"/>
      <w:r w:rsidR="00455602">
        <w:t xml:space="preserve"> generate </w:t>
      </w:r>
      <w:r w:rsidR="00D952F0">
        <w:t>relative to sales, operating cost</w:t>
      </w:r>
      <w:r w:rsidR="00307FFE">
        <w:t>.</w:t>
      </w:r>
    </w:p>
    <w:p w14:paraId="266A3C9B" w14:textId="64B7A443" w:rsidR="001941D9" w:rsidRDefault="00307FFE" w:rsidP="00773E00">
      <w:r>
        <w:t xml:space="preserve">In order to calculate the profitability </w:t>
      </w:r>
      <w:proofErr w:type="gramStart"/>
      <w:r>
        <w:t>ratios</w:t>
      </w:r>
      <w:proofErr w:type="gramEnd"/>
      <w:r>
        <w:t xml:space="preserve"> we need to know the revenue / sales values, the Gross profit</w:t>
      </w:r>
      <w:r w:rsidR="0047763F">
        <w:t>, the operating income and the net income</w:t>
      </w:r>
      <w:r w:rsidR="001941D9">
        <w:t xml:space="preserve">. </w:t>
      </w:r>
      <w:r w:rsidR="002E4A1F">
        <w:t xml:space="preserve"> </w:t>
      </w:r>
      <w:r w:rsidR="001941D9">
        <w:t>For Jaguar Land Rover the Annual Financial Report</w:t>
      </w:r>
      <w:r w:rsidR="008D5F07">
        <w:t>s does not give us</w:t>
      </w:r>
      <w:r w:rsidR="00DD47E5">
        <w:t xml:space="preserve"> </w:t>
      </w:r>
      <w:r w:rsidR="00B342B5">
        <w:t>directly Operating</w:t>
      </w:r>
      <w:r w:rsidR="008D5F07">
        <w:t xml:space="preserve"> Income </w:t>
      </w:r>
      <w:r w:rsidR="00DD47E5">
        <w:t>or the Gross profit and the calculation formulas could be found in the Appendix</w:t>
      </w:r>
      <w:r w:rsidR="00B342B5">
        <w:t>.</w:t>
      </w:r>
    </w:p>
    <w:p w14:paraId="221B39C9" w14:textId="7FE4C10E" w:rsidR="00FD73CD" w:rsidRDefault="00F44635" w:rsidP="00773E00">
      <w:r>
        <w:t xml:space="preserve">Tab.1. </w:t>
      </w:r>
      <w:r w:rsidR="00610933">
        <w:t>The profitability ratios calculation elements</w:t>
      </w:r>
    </w:p>
    <w:tbl>
      <w:tblPr>
        <w:tblW w:w="9488" w:type="dxa"/>
        <w:tblLook w:val="04A0" w:firstRow="1" w:lastRow="0" w:firstColumn="1" w:lastColumn="0" w:noHBand="0" w:noVBand="1"/>
      </w:tblPr>
      <w:tblGrid>
        <w:gridCol w:w="2015"/>
        <w:gridCol w:w="1169"/>
        <w:gridCol w:w="1169"/>
        <w:gridCol w:w="1169"/>
        <w:gridCol w:w="1169"/>
        <w:gridCol w:w="1174"/>
        <w:gridCol w:w="1623"/>
      </w:tblGrid>
      <w:tr w:rsidR="00773E00" w:rsidRPr="00773E00" w14:paraId="57B91A2B" w14:textId="77777777" w:rsidTr="002E4A1F">
        <w:trPr>
          <w:trHeight w:val="213"/>
        </w:trPr>
        <w:tc>
          <w:tcPr>
            <w:tcW w:w="2015" w:type="dxa"/>
            <w:vMerge w:val="restart"/>
            <w:tcBorders>
              <w:top w:val="single" w:sz="8" w:space="0" w:color="auto"/>
              <w:left w:val="single" w:sz="8" w:space="0" w:color="auto"/>
              <w:bottom w:val="single" w:sz="4" w:space="0" w:color="000000"/>
              <w:right w:val="single" w:sz="4" w:space="0" w:color="auto"/>
            </w:tcBorders>
            <w:shd w:val="clear" w:color="auto" w:fill="auto"/>
            <w:noWrap/>
            <w:vAlign w:val="bottom"/>
            <w:hideMark/>
          </w:tcPr>
          <w:p w14:paraId="1E7245FC"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w:t>
            </w:r>
          </w:p>
        </w:tc>
        <w:tc>
          <w:tcPr>
            <w:tcW w:w="5850" w:type="dxa"/>
            <w:gridSpan w:val="5"/>
            <w:tcBorders>
              <w:top w:val="single" w:sz="8" w:space="0" w:color="auto"/>
              <w:left w:val="nil"/>
              <w:bottom w:val="single" w:sz="4" w:space="0" w:color="auto"/>
              <w:right w:val="single" w:sz="4" w:space="0" w:color="auto"/>
            </w:tcBorders>
            <w:shd w:val="clear" w:color="auto" w:fill="auto"/>
            <w:noWrap/>
            <w:vAlign w:val="bottom"/>
            <w:hideMark/>
          </w:tcPr>
          <w:p w14:paraId="20F39297"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The chosen company</w:t>
            </w:r>
          </w:p>
        </w:tc>
        <w:tc>
          <w:tcPr>
            <w:tcW w:w="1623" w:type="dxa"/>
            <w:tcBorders>
              <w:top w:val="single" w:sz="8" w:space="0" w:color="auto"/>
              <w:left w:val="nil"/>
              <w:bottom w:val="single" w:sz="4" w:space="0" w:color="auto"/>
              <w:right w:val="single" w:sz="8" w:space="0" w:color="auto"/>
            </w:tcBorders>
            <w:shd w:val="clear" w:color="auto" w:fill="auto"/>
            <w:noWrap/>
            <w:vAlign w:val="bottom"/>
            <w:hideMark/>
          </w:tcPr>
          <w:p w14:paraId="3B4B6D9E" w14:textId="77777777" w:rsidR="00773E00" w:rsidRPr="00773E00" w:rsidRDefault="00773E00" w:rsidP="00773E00">
            <w:pPr>
              <w:spacing w:after="0" w:line="240" w:lineRule="auto"/>
              <w:rPr>
                <w:rFonts w:ascii="Calibri" w:eastAsia="Times New Roman" w:hAnsi="Calibri" w:cs="Calibri"/>
                <w:lang w:eastAsia="en-GB"/>
              </w:rPr>
            </w:pPr>
            <w:r w:rsidRPr="00773E00">
              <w:rPr>
                <w:rFonts w:ascii="Calibri" w:eastAsia="Times New Roman" w:hAnsi="Calibri" w:cs="Calibri"/>
                <w:lang w:eastAsia="en-GB"/>
              </w:rPr>
              <w:t>Competitor</w:t>
            </w:r>
          </w:p>
        </w:tc>
      </w:tr>
      <w:tr w:rsidR="00773E00" w:rsidRPr="00773E00" w14:paraId="7FAC069B" w14:textId="77777777" w:rsidTr="002E4A1F">
        <w:trPr>
          <w:trHeight w:val="426"/>
        </w:trPr>
        <w:tc>
          <w:tcPr>
            <w:tcW w:w="2015" w:type="dxa"/>
            <w:vMerge/>
            <w:tcBorders>
              <w:top w:val="single" w:sz="8" w:space="0" w:color="auto"/>
              <w:left w:val="single" w:sz="8" w:space="0" w:color="auto"/>
              <w:bottom w:val="single" w:sz="4" w:space="0" w:color="000000"/>
              <w:right w:val="single" w:sz="4" w:space="0" w:color="auto"/>
            </w:tcBorders>
            <w:vAlign w:val="center"/>
            <w:hideMark/>
          </w:tcPr>
          <w:p w14:paraId="732DC04E" w14:textId="77777777" w:rsidR="00773E00" w:rsidRPr="00773E00" w:rsidRDefault="00773E00" w:rsidP="00773E00">
            <w:pPr>
              <w:spacing w:after="0" w:line="240" w:lineRule="auto"/>
              <w:rPr>
                <w:rFonts w:ascii="Calibri" w:eastAsia="Times New Roman" w:hAnsi="Calibri" w:cs="Calibri"/>
                <w:color w:val="000000"/>
                <w:lang w:eastAsia="en-GB"/>
              </w:rPr>
            </w:pPr>
          </w:p>
        </w:tc>
        <w:tc>
          <w:tcPr>
            <w:tcW w:w="5850" w:type="dxa"/>
            <w:gridSpan w:val="5"/>
            <w:tcBorders>
              <w:top w:val="single" w:sz="4" w:space="0" w:color="auto"/>
              <w:left w:val="nil"/>
              <w:bottom w:val="single" w:sz="4" w:space="0" w:color="auto"/>
              <w:right w:val="single" w:sz="4" w:space="0" w:color="auto"/>
            </w:tcBorders>
            <w:shd w:val="clear" w:color="auto" w:fill="auto"/>
            <w:noWrap/>
            <w:vAlign w:val="bottom"/>
            <w:hideMark/>
          </w:tcPr>
          <w:p w14:paraId="3D3764A0" w14:textId="77777777" w:rsidR="00773E00" w:rsidRPr="00773E00" w:rsidRDefault="00773E00" w:rsidP="00773E00">
            <w:pPr>
              <w:spacing w:after="0" w:line="240" w:lineRule="auto"/>
              <w:jc w:val="center"/>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Jaguar Land Rover (£M)</w:t>
            </w:r>
          </w:p>
        </w:tc>
        <w:tc>
          <w:tcPr>
            <w:tcW w:w="1623" w:type="dxa"/>
            <w:tcBorders>
              <w:top w:val="nil"/>
              <w:left w:val="nil"/>
              <w:bottom w:val="single" w:sz="4" w:space="0" w:color="auto"/>
              <w:right w:val="single" w:sz="8" w:space="0" w:color="auto"/>
            </w:tcBorders>
            <w:shd w:val="clear" w:color="auto" w:fill="auto"/>
            <w:vAlign w:val="bottom"/>
            <w:hideMark/>
          </w:tcPr>
          <w:p w14:paraId="111C245F" w14:textId="77777777" w:rsidR="00773E00" w:rsidRPr="00773E00" w:rsidRDefault="00773E00" w:rsidP="00773E00">
            <w:pPr>
              <w:spacing w:after="0" w:line="240" w:lineRule="auto"/>
              <w:rPr>
                <w:rFonts w:ascii="Calibri" w:eastAsia="Times New Roman" w:hAnsi="Calibri" w:cs="Calibri"/>
                <w:b/>
                <w:bCs/>
                <w:lang w:eastAsia="en-GB"/>
              </w:rPr>
            </w:pPr>
            <w:r w:rsidRPr="00773E00">
              <w:rPr>
                <w:rFonts w:ascii="Calibri" w:eastAsia="Times New Roman" w:hAnsi="Calibri" w:cs="Calibri"/>
                <w:b/>
                <w:bCs/>
                <w:lang w:eastAsia="en-GB"/>
              </w:rPr>
              <w:t>Mercedes Benz 2018 (€M)</w:t>
            </w:r>
          </w:p>
        </w:tc>
      </w:tr>
      <w:tr w:rsidR="002E4A1F" w:rsidRPr="00773E00" w14:paraId="3253E99E" w14:textId="77777777" w:rsidTr="002E4A1F">
        <w:trPr>
          <w:trHeight w:val="384"/>
        </w:trPr>
        <w:tc>
          <w:tcPr>
            <w:tcW w:w="2015" w:type="dxa"/>
            <w:tcBorders>
              <w:top w:val="nil"/>
              <w:left w:val="single" w:sz="8" w:space="0" w:color="auto"/>
              <w:bottom w:val="single" w:sz="8" w:space="0" w:color="auto"/>
              <w:right w:val="single" w:sz="4" w:space="0" w:color="auto"/>
            </w:tcBorders>
            <w:shd w:val="clear" w:color="auto" w:fill="auto"/>
            <w:vAlign w:val="bottom"/>
            <w:hideMark/>
          </w:tcPr>
          <w:p w14:paraId="05866E0F"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Year / Ratio</w:t>
            </w:r>
          </w:p>
        </w:tc>
        <w:tc>
          <w:tcPr>
            <w:tcW w:w="1169" w:type="dxa"/>
            <w:tcBorders>
              <w:top w:val="nil"/>
              <w:left w:val="nil"/>
              <w:bottom w:val="single" w:sz="8" w:space="0" w:color="auto"/>
              <w:right w:val="single" w:sz="4" w:space="0" w:color="auto"/>
            </w:tcBorders>
            <w:shd w:val="clear" w:color="auto" w:fill="auto"/>
            <w:noWrap/>
            <w:vAlign w:val="bottom"/>
            <w:hideMark/>
          </w:tcPr>
          <w:p w14:paraId="1138F1C5" w14:textId="77777777" w:rsidR="00773E00" w:rsidRPr="00773E00" w:rsidRDefault="00773E00" w:rsidP="00773E00">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2014</w:t>
            </w:r>
          </w:p>
        </w:tc>
        <w:tc>
          <w:tcPr>
            <w:tcW w:w="1169" w:type="dxa"/>
            <w:tcBorders>
              <w:top w:val="nil"/>
              <w:left w:val="nil"/>
              <w:bottom w:val="single" w:sz="8" w:space="0" w:color="auto"/>
              <w:right w:val="single" w:sz="4" w:space="0" w:color="auto"/>
            </w:tcBorders>
            <w:shd w:val="clear" w:color="auto" w:fill="auto"/>
            <w:noWrap/>
            <w:vAlign w:val="bottom"/>
            <w:hideMark/>
          </w:tcPr>
          <w:p w14:paraId="509FCE82" w14:textId="77777777" w:rsidR="00773E00" w:rsidRPr="00773E00" w:rsidRDefault="00773E00" w:rsidP="00773E00">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2015</w:t>
            </w:r>
          </w:p>
        </w:tc>
        <w:tc>
          <w:tcPr>
            <w:tcW w:w="1169" w:type="dxa"/>
            <w:tcBorders>
              <w:top w:val="nil"/>
              <w:left w:val="nil"/>
              <w:bottom w:val="single" w:sz="8" w:space="0" w:color="auto"/>
              <w:right w:val="single" w:sz="4" w:space="0" w:color="auto"/>
            </w:tcBorders>
            <w:shd w:val="clear" w:color="auto" w:fill="auto"/>
            <w:noWrap/>
            <w:vAlign w:val="bottom"/>
            <w:hideMark/>
          </w:tcPr>
          <w:p w14:paraId="1DC2370E" w14:textId="77777777" w:rsidR="00773E00" w:rsidRPr="00773E00" w:rsidRDefault="00773E00" w:rsidP="00773E00">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2016</w:t>
            </w:r>
          </w:p>
        </w:tc>
        <w:tc>
          <w:tcPr>
            <w:tcW w:w="1169" w:type="dxa"/>
            <w:tcBorders>
              <w:top w:val="nil"/>
              <w:left w:val="nil"/>
              <w:bottom w:val="single" w:sz="8" w:space="0" w:color="auto"/>
              <w:right w:val="single" w:sz="4" w:space="0" w:color="auto"/>
            </w:tcBorders>
            <w:shd w:val="clear" w:color="auto" w:fill="auto"/>
            <w:noWrap/>
            <w:vAlign w:val="bottom"/>
            <w:hideMark/>
          </w:tcPr>
          <w:p w14:paraId="3EC6E828" w14:textId="77777777" w:rsidR="00773E00" w:rsidRPr="00773E00" w:rsidRDefault="00773E00" w:rsidP="00773E00">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2017</w:t>
            </w:r>
          </w:p>
        </w:tc>
        <w:tc>
          <w:tcPr>
            <w:tcW w:w="1170" w:type="dxa"/>
            <w:tcBorders>
              <w:top w:val="nil"/>
              <w:left w:val="nil"/>
              <w:bottom w:val="single" w:sz="8" w:space="0" w:color="auto"/>
              <w:right w:val="single" w:sz="4" w:space="0" w:color="auto"/>
            </w:tcBorders>
            <w:shd w:val="clear" w:color="auto" w:fill="auto"/>
            <w:noWrap/>
            <w:vAlign w:val="bottom"/>
            <w:hideMark/>
          </w:tcPr>
          <w:p w14:paraId="6FC518BA" w14:textId="77777777" w:rsidR="00773E00" w:rsidRPr="00773E00" w:rsidRDefault="00773E00" w:rsidP="00773E00">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2018</w:t>
            </w:r>
          </w:p>
        </w:tc>
        <w:tc>
          <w:tcPr>
            <w:tcW w:w="1623" w:type="dxa"/>
            <w:tcBorders>
              <w:top w:val="nil"/>
              <w:left w:val="nil"/>
              <w:bottom w:val="single" w:sz="8" w:space="0" w:color="auto"/>
              <w:right w:val="single" w:sz="8" w:space="0" w:color="auto"/>
            </w:tcBorders>
            <w:shd w:val="clear" w:color="auto" w:fill="auto"/>
            <w:noWrap/>
            <w:vAlign w:val="bottom"/>
            <w:hideMark/>
          </w:tcPr>
          <w:p w14:paraId="77527B5F" w14:textId="77777777" w:rsidR="00773E00" w:rsidRPr="00773E00" w:rsidRDefault="00773E00" w:rsidP="00773E00">
            <w:pPr>
              <w:spacing w:after="0" w:line="240" w:lineRule="auto"/>
              <w:jc w:val="right"/>
              <w:rPr>
                <w:rFonts w:ascii="Calibri" w:eastAsia="Times New Roman" w:hAnsi="Calibri" w:cs="Calibri"/>
                <w:lang w:eastAsia="en-GB"/>
              </w:rPr>
            </w:pPr>
            <w:r w:rsidRPr="00773E00">
              <w:rPr>
                <w:rFonts w:ascii="Calibri" w:eastAsia="Times New Roman" w:hAnsi="Calibri" w:cs="Calibri"/>
                <w:lang w:eastAsia="en-GB"/>
              </w:rPr>
              <w:t>2018</w:t>
            </w:r>
          </w:p>
        </w:tc>
      </w:tr>
      <w:tr w:rsidR="002E4A1F" w:rsidRPr="00773E00" w14:paraId="2039F51A" w14:textId="77777777" w:rsidTr="002E4A1F">
        <w:trPr>
          <w:trHeight w:val="213"/>
        </w:trPr>
        <w:tc>
          <w:tcPr>
            <w:tcW w:w="2015" w:type="dxa"/>
            <w:tcBorders>
              <w:top w:val="nil"/>
              <w:left w:val="single" w:sz="8" w:space="0" w:color="auto"/>
              <w:bottom w:val="single" w:sz="4" w:space="0" w:color="auto"/>
              <w:right w:val="single" w:sz="4" w:space="0" w:color="auto"/>
            </w:tcBorders>
            <w:shd w:val="clear" w:color="auto" w:fill="auto"/>
            <w:vAlign w:val="bottom"/>
            <w:hideMark/>
          </w:tcPr>
          <w:p w14:paraId="583620D9" w14:textId="77777777" w:rsidR="00773E00" w:rsidRPr="00773E00" w:rsidRDefault="00773E00" w:rsidP="00773E00">
            <w:pPr>
              <w:spacing w:after="0" w:line="240" w:lineRule="auto"/>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Sales</w:t>
            </w:r>
          </w:p>
        </w:tc>
        <w:tc>
          <w:tcPr>
            <w:tcW w:w="1169" w:type="dxa"/>
            <w:tcBorders>
              <w:top w:val="nil"/>
              <w:left w:val="nil"/>
              <w:bottom w:val="single" w:sz="4" w:space="0" w:color="auto"/>
              <w:right w:val="single" w:sz="4" w:space="0" w:color="auto"/>
            </w:tcBorders>
            <w:shd w:val="clear" w:color="auto" w:fill="auto"/>
            <w:noWrap/>
            <w:vAlign w:val="bottom"/>
            <w:hideMark/>
          </w:tcPr>
          <w:p w14:paraId="2F97057E"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£19,386</w:t>
            </w:r>
          </w:p>
        </w:tc>
        <w:tc>
          <w:tcPr>
            <w:tcW w:w="1169" w:type="dxa"/>
            <w:tcBorders>
              <w:top w:val="nil"/>
              <w:left w:val="nil"/>
              <w:bottom w:val="single" w:sz="4" w:space="0" w:color="auto"/>
              <w:right w:val="single" w:sz="4" w:space="0" w:color="auto"/>
            </w:tcBorders>
            <w:shd w:val="clear" w:color="auto" w:fill="auto"/>
            <w:noWrap/>
            <w:vAlign w:val="bottom"/>
            <w:hideMark/>
          </w:tcPr>
          <w:p w14:paraId="4FBA7263"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£21,866</w:t>
            </w:r>
          </w:p>
        </w:tc>
        <w:tc>
          <w:tcPr>
            <w:tcW w:w="1169" w:type="dxa"/>
            <w:tcBorders>
              <w:top w:val="nil"/>
              <w:left w:val="nil"/>
              <w:bottom w:val="single" w:sz="4" w:space="0" w:color="auto"/>
              <w:right w:val="single" w:sz="4" w:space="0" w:color="auto"/>
            </w:tcBorders>
            <w:shd w:val="clear" w:color="auto" w:fill="auto"/>
            <w:noWrap/>
            <w:vAlign w:val="bottom"/>
            <w:hideMark/>
          </w:tcPr>
          <w:p w14:paraId="3EC321F9"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£22,286</w:t>
            </w:r>
          </w:p>
        </w:tc>
        <w:tc>
          <w:tcPr>
            <w:tcW w:w="1169" w:type="dxa"/>
            <w:tcBorders>
              <w:top w:val="nil"/>
              <w:left w:val="nil"/>
              <w:bottom w:val="single" w:sz="4" w:space="0" w:color="auto"/>
              <w:right w:val="single" w:sz="4" w:space="0" w:color="auto"/>
            </w:tcBorders>
            <w:shd w:val="clear" w:color="auto" w:fill="auto"/>
            <w:noWrap/>
            <w:vAlign w:val="bottom"/>
            <w:hideMark/>
          </w:tcPr>
          <w:p w14:paraId="5EFB1769"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£24,339</w:t>
            </w:r>
          </w:p>
        </w:tc>
        <w:tc>
          <w:tcPr>
            <w:tcW w:w="1170" w:type="dxa"/>
            <w:tcBorders>
              <w:top w:val="nil"/>
              <w:left w:val="nil"/>
              <w:bottom w:val="single" w:sz="4" w:space="0" w:color="auto"/>
              <w:right w:val="single" w:sz="4" w:space="0" w:color="auto"/>
            </w:tcBorders>
            <w:shd w:val="clear" w:color="auto" w:fill="auto"/>
            <w:noWrap/>
            <w:vAlign w:val="bottom"/>
            <w:hideMark/>
          </w:tcPr>
          <w:p w14:paraId="61BDFBB2"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£25,786</w:t>
            </w:r>
          </w:p>
        </w:tc>
        <w:tc>
          <w:tcPr>
            <w:tcW w:w="1623" w:type="dxa"/>
            <w:tcBorders>
              <w:top w:val="nil"/>
              <w:left w:val="nil"/>
              <w:bottom w:val="single" w:sz="4" w:space="0" w:color="auto"/>
              <w:right w:val="single" w:sz="8" w:space="0" w:color="auto"/>
            </w:tcBorders>
            <w:shd w:val="clear" w:color="auto" w:fill="auto"/>
            <w:noWrap/>
            <w:vAlign w:val="bottom"/>
            <w:hideMark/>
          </w:tcPr>
          <w:p w14:paraId="506DD2B9" w14:textId="77777777" w:rsidR="00773E00" w:rsidRPr="00773E00" w:rsidRDefault="00773E00" w:rsidP="00773E00">
            <w:pPr>
              <w:spacing w:after="0" w:line="240" w:lineRule="auto"/>
              <w:jc w:val="right"/>
              <w:rPr>
                <w:rFonts w:ascii="Calibri" w:eastAsia="Times New Roman" w:hAnsi="Calibri" w:cs="Calibri"/>
                <w:b/>
                <w:bCs/>
                <w:lang w:eastAsia="en-GB"/>
              </w:rPr>
            </w:pPr>
            <w:r w:rsidRPr="00773E00">
              <w:rPr>
                <w:rFonts w:ascii="Calibri" w:eastAsia="Times New Roman" w:hAnsi="Calibri" w:cs="Calibri"/>
                <w:b/>
                <w:bCs/>
                <w:lang w:eastAsia="en-GB"/>
              </w:rPr>
              <w:t>€ 167,362</w:t>
            </w:r>
          </w:p>
        </w:tc>
      </w:tr>
      <w:tr w:rsidR="002E4A1F" w:rsidRPr="00773E00" w14:paraId="5E990E13" w14:textId="77777777" w:rsidTr="002E4A1F">
        <w:trPr>
          <w:trHeight w:val="224"/>
        </w:trPr>
        <w:tc>
          <w:tcPr>
            <w:tcW w:w="2015" w:type="dxa"/>
            <w:tcBorders>
              <w:top w:val="nil"/>
              <w:left w:val="single" w:sz="8" w:space="0" w:color="auto"/>
              <w:bottom w:val="single" w:sz="8" w:space="0" w:color="auto"/>
              <w:right w:val="single" w:sz="4" w:space="0" w:color="auto"/>
            </w:tcBorders>
            <w:shd w:val="clear" w:color="auto" w:fill="auto"/>
            <w:vAlign w:val="bottom"/>
            <w:hideMark/>
          </w:tcPr>
          <w:p w14:paraId="6A7C9D84" w14:textId="77777777" w:rsidR="00773E00" w:rsidRPr="00773E00" w:rsidRDefault="00773E00" w:rsidP="00773E00">
            <w:pPr>
              <w:spacing w:after="0" w:line="240" w:lineRule="auto"/>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Gross Profit</w:t>
            </w:r>
          </w:p>
        </w:tc>
        <w:tc>
          <w:tcPr>
            <w:tcW w:w="1169" w:type="dxa"/>
            <w:tcBorders>
              <w:top w:val="nil"/>
              <w:left w:val="nil"/>
              <w:bottom w:val="single" w:sz="8" w:space="0" w:color="auto"/>
              <w:right w:val="single" w:sz="4" w:space="0" w:color="auto"/>
            </w:tcBorders>
            <w:shd w:val="clear" w:color="auto" w:fill="auto"/>
            <w:noWrap/>
            <w:vAlign w:val="bottom"/>
            <w:hideMark/>
          </w:tcPr>
          <w:p w14:paraId="49B3BE33"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£7,482</w:t>
            </w:r>
          </w:p>
        </w:tc>
        <w:tc>
          <w:tcPr>
            <w:tcW w:w="1169" w:type="dxa"/>
            <w:tcBorders>
              <w:top w:val="nil"/>
              <w:left w:val="nil"/>
              <w:bottom w:val="single" w:sz="8" w:space="0" w:color="auto"/>
              <w:right w:val="single" w:sz="4" w:space="0" w:color="auto"/>
            </w:tcBorders>
            <w:shd w:val="clear" w:color="auto" w:fill="auto"/>
            <w:noWrap/>
            <w:vAlign w:val="bottom"/>
            <w:hideMark/>
          </w:tcPr>
          <w:p w14:paraId="0F947DED"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£8,681</w:t>
            </w:r>
          </w:p>
        </w:tc>
        <w:tc>
          <w:tcPr>
            <w:tcW w:w="1169" w:type="dxa"/>
            <w:tcBorders>
              <w:top w:val="nil"/>
              <w:left w:val="nil"/>
              <w:bottom w:val="single" w:sz="8" w:space="0" w:color="auto"/>
              <w:right w:val="single" w:sz="4" w:space="0" w:color="auto"/>
            </w:tcBorders>
            <w:shd w:val="clear" w:color="auto" w:fill="auto"/>
            <w:noWrap/>
            <w:vAlign w:val="bottom"/>
            <w:hideMark/>
          </w:tcPr>
          <w:p w14:paraId="4EAFA6F1"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£9,038</w:t>
            </w:r>
          </w:p>
        </w:tc>
        <w:tc>
          <w:tcPr>
            <w:tcW w:w="1169" w:type="dxa"/>
            <w:tcBorders>
              <w:top w:val="nil"/>
              <w:left w:val="nil"/>
              <w:bottom w:val="single" w:sz="8" w:space="0" w:color="auto"/>
              <w:right w:val="single" w:sz="4" w:space="0" w:color="auto"/>
            </w:tcBorders>
            <w:shd w:val="clear" w:color="auto" w:fill="auto"/>
            <w:noWrap/>
            <w:vAlign w:val="bottom"/>
            <w:hideMark/>
          </w:tcPr>
          <w:p w14:paraId="43A44E15"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£9,117</w:t>
            </w:r>
          </w:p>
        </w:tc>
        <w:tc>
          <w:tcPr>
            <w:tcW w:w="1170" w:type="dxa"/>
            <w:tcBorders>
              <w:top w:val="nil"/>
              <w:left w:val="nil"/>
              <w:bottom w:val="single" w:sz="8" w:space="0" w:color="auto"/>
              <w:right w:val="single" w:sz="4" w:space="0" w:color="auto"/>
            </w:tcBorders>
            <w:shd w:val="clear" w:color="auto" w:fill="auto"/>
            <w:noWrap/>
            <w:vAlign w:val="bottom"/>
            <w:hideMark/>
          </w:tcPr>
          <w:p w14:paraId="11545000"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£9,458</w:t>
            </w:r>
          </w:p>
        </w:tc>
        <w:tc>
          <w:tcPr>
            <w:tcW w:w="1623" w:type="dxa"/>
            <w:tcBorders>
              <w:top w:val="nil"/>
              <w:left w:val="nil"/>
              <w:bottom w:val="single" w:sz="8" w:space="0" w:color="auto"/>
              <w:right w:val="single" w:sz="8" w:space="0" w:color="auto"/>
            </w:tcBorders>
            <w:shd w:val="clear" w:color="auto" w:fill="auto"/>
            <w:noWrap/>
            <w:vAlign w:val="bottom"/>
            <w:hideMark/>
          </w:tcPr>
          <w:p w14:paraId="6A8DD7B4" w14:textId="77777777" w:rsidR="00773E00" w:rsidRPr="00773E00" w:rsidRDefault="00773E00" w:rsidP="00773E00">
            <w:pPr>
              <w:spacing w:after="0" w:line="240" w:lineRule="auto"/>
              <w:jc w:val="right"/>
              <w:rPr>
                <w:rFonts w:ascii="Calibri" w:eastAsia="Times New Roman" w:hAnsi="Calibri" w:cs="Calibri"/>
                <w:b/>
                <w:bCs/>
                <w:lang w:eastAsia="en-GB"/>
              </w:rPr>
            </w:pPr>
            <w:r w:rsidRPr="00773E00">
              <w:rPr>
                <w:rFonts w:ascii="Calibri" w:eastAsia="Times New Roman" w:hAnsi="Calibri" w:cs="Calibri"/>
                <w:b/>
                <w:bCs/>
                <w:lang w:eastAsia="en-GB"/>
              </w:rPr>
              <w:t>€ 33,067</w:t>
            </w:r>
          </w:p>
        </w:tc>
      </w:tr>
      <w:tr w:rsidR="002E4A1F" w:rsidRPr="00773E00" w14:paraId="6597B6F9" w14:textId="77777777" w:rsidTr="002E4A1F">
        <w:trPr>
          <w:trHeight w:val="437"/>
        </w:trPr>
        <w:tc>
          <w:tcPr>
            <w:tcW w:w="2015" w:type="dxa"/>
            <w:tcBorders>
              <w:top w:val="nil"/>
              <w:left w:val="single" w:sz="8" w:space="0" w:color="auto"/>
              <w:bottom w:val="nil"/>
              <w:right w:val="single" w:sz="4" w:space="0" w:color="auto"/>
            </w:tcBorders>
            <w:shd w:val="clear" w:color="auto" w:fill="auto"/>
            <w:vAlign w:val="bottom"/>
            <w:hideMark/>
          </w:tcPr>
          <w:p w14:paraId="30BDC825" w14:textId="77777777" w:rsidR="00773E00" w:rsidRPr="00773E00" w:rsidRDefault="00773E00" w:rsidP="00773E00">
            <w:pPr>
              <w:spacing w:after="0" w:line="240" w:lineRule="auto"/>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Materials and other Cost of Sales</w:t>
            </w:r>
          </w:p>
        </w:tc>
        <w:tc>
          <w:tcPr>
            <w:tcW w:w="1169" w:type="dxa"/>
            <w:tcBorders>
              <w:top w:val="nil"/>
              <w:left w:val="nil"/>
              <w:bottom w:val="nil"/>
              <w:right w:val="single" w:sz="4" w:space="0" w:color="auto"/>
            </w:tcBorders>
            <w:shd w:val="clear" w:color="auto" w:fill="auto"/>
            <w:noWrap/>
            <w:vAlign w:val="bottom"/>
            <w:hideMark/>
          </w:tcPr>
          <w:p w14:paraId="7BB3F3BA"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£11,904</w:t>
            </w:r>
          </w:p>
        </w:tc>
        <w:tc>
          <w:tcPr>
            <w:tcW w:w="1169" w:type="dxa"/>
            <w:tcBorders>
              <w:top w:val="nil"/>
              <w:left w:val="nil"/>
              <w:bottom w:val="nil"/>
              <w:right w:val="single" w:sz="4" w:space="0" w:color="auto"/>
            </w:tcBorders>
            <w:shd w:val="clear" w:color="auto" w:fill="auto"/>
            <w:noWrap/>
            <w:vAlign w:val="bottom"/>
            <w:hideMark/>
          </w:tcPr>
          <w:p w14:paraId="419A20EE"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£13,185</w:t>
            </w:r>
          </w:p>
        </w:tc>
        <w:tc>
          <w:tcPr>
            <w:tcW w:w="1169" w:type="dxa"/>
            <w:tcBorders>
              <w:top w:val="nil"/>
              <w:left w:val="nil"/>
              <w:bottom w:val="nil"/>
              <w:right w:val="single" w:sz="4" w:space="0" w:color="auto"/>
            </w:tcBorders>
            <w:shd w:val="clear" w:color="auto" w:fill="auto"/>
            <w:noWrap/>
            <w:vAlign w:val="bottom"/>
            <w:hideMark/>
          </w:tcPr>
          <w:p w14:paraId="50EE15C3"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£13,562</w:t>
            </w:r>
          </w:p>
        </w:tc>
        <w:tc>
          <w:tcPr>
            <w:tcW w:w="1169" w:type="dxa"/>
            <w:tcBorders>
              <w:top w:val="nil"/>
              <w:left w:val="nil"/>
              <w:bottom w:val="nil"/>
              <w:right w:val="single" w:sz="4" w:space="0" w:color="auto"/>
            </w:tcBorders>
            <w:shd w:val="clear" w:color="auto" w:fill="auto"/>
            <w:noWrap/>
            <w:vAlign w:val="bottom"/>
            <w:hideMark/>
          </w:tcPr>
          <w:p w14:paraId="58C5C8BC"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£15,222</w:t>
            </w:r>
          </w:p>
        </w:tc>
        <w:tc>
          <w:tcPr>
            <w:tcW w:w="1170" w:type="dxa"/>
            <w:tcBorders>
              <w:top w:val="nil"/>
              <w:left w:val="nil"/>
              <w:bottom w:val="nil"/>
              <w:right w:val="single" w:sz="4" w:space="0" w:color="auto"/>
            </w:tcBorders>
            <w:shd w:val="clear" w:color="auto" w:fill="auto"/>
            <w:noWrap/>
            <w:vAlign w:val="bottom"/>
            <w:hideMark/>
          </w:tcPr>
          <w:p w14:paraId="36B2A78B"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£16,328</w:t>
            </w:r>
          </w:p>
        </w:tc>
        <w:tc>
          <w:tcPr>
            <w:tcW w:w="1623" w:type="dxa"/>
            <w:tcBorders>
              <w:top w:val="nil"/>
              <w:left w:val="nil"/>
              <w:bottom w:val="nil"/>
              <w:right w:val="single" w:sz="8" w:space="0" w:color="auto"/>
            </w:tcBorders>
            <w:shd w:val="clear" w:color="auto" w:fill="auto"/>
            <w:noWrap/>
            <w:vAlign w:val="bottom"/>
            <w:hideMark/>
          </w:tcPr>
          <w:p w14:paraId="7ED251C4" w14:textId="77777777" w:rsidR="00773E00" w:rsidRPr="00773E00" w:rsidRDefault="00773E00" w:rsidP="00773E00">
            <w:pPr>
              <w:spacing w:after="0" w:line="240" w:lineRule="auto"/>
              <w:jc w:val="right"/>
              <w:rPr>
                <w:rFonts w:ascii="Calibri" w:eastAsia="Times New Roman" w:hAnsi="Calibri" w:cs="Calibri"/>
                <w:i/>
                <w:iCs/>
                <w:lang w:eastAsia="en-GB"/>
              </w:rPr>
            </w:pPr>
            <w:r w:rsidRPr="00773E00">
              <w:rPr>
                <w:rFonts w:ascii="Calibri" w:eastAsia="Times New Roman" w:hAnsi="Calibri" w:cs="Calibri"/>
                <w:i/>
                <w:iCs/>
                <w:lang w:eastAsia="en-GB"/>
              </w:rPr>
              <w:t>€ 134,295</w:t>
            </w:r>
          </w:p>
        </w:tc>
      </w:tr>
      <w:tr w:rsidR="002E4A1F" w:rsidRPr="00773E00" w14:paraId="1A0B39F6" w14:textId="77777777" w:rsidTr="002E4A1F">
        <w:trPr>
          <w:trHeight w:val="224"/>
        </w:trPr>
        <w:tc>
          <w:tcPr>
            <w:tcW w:w="2015"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08536885" w14:textId="77777777" w:rsidR="00773E00" w:rsidRPr="00773E00" w:rsidRDefault="00773E00" w:rsidP="00773E00">
            <w:pPr>
              <w:spacing w:after="0" w:line="240" w:lineRule="auto"/>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Operating Income</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02DD65AD"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£2,648</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02924989"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£2,701</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411BBC47"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£1,609</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6012C069"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£1,645</w:t>
            </w:r>
          </w:p>
        </w:tc>
        <w:tc>
          <w:tcPr>
            <w:tcW w:w="1170" w:type="dxa"/>
            <w:tcBorders>
              <w:top w:val="single" w:sz="8" w:space="0" w:color="auto"/>
              <w:left w:val="nil"/>
              <w:bottom w:val="single" w:sz="8" w:space="0" w:color="auto"/>
              <w:right w:val="single" w:sz="4" w:space="0" w:color="auto"/>
            </w:tcBorders>
            <w:shd w:val="clear" w:color="auto" w:fill="auto"/>
            <w:noWrap/>
            <w:vAlign w:val="bottom"/>
            <w:hideMark/>
          </w:tcPr>
          <w:p w14:paraId="4A6C5F6D"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£1,564</w:t>
            </w:r>
          </w:p>
        </w:tc>
        <w:tc>
          <w:tcPr>
            <w:tcW w:w="1623" w:type="dxa"/>
            <w:tcBorders>
              <w:top w:val="single" w:sz="8" w:space="0" w:color="auto"/>
              <w:left w:val="nil"/>
              <w:bottom w:val="single" w:sz="8" w:space="0" w:color="auto"/>
              <w:right w:val="single" w:sz="8" w:space="0" w:color="auto"/>
            </w:tcBorders>
            <w:shd w:val="clear" w:color="auto" w:fill="auto"/>
            <w:noWrap/>
            <w:vAlign w:val="bottom"/>
            <w:hideMark/>
          </w:tcPr>
          <w:p w14:paraId="3A95A5ED" w14:textId="77777777" w:rsidR="00773E00" w:rsidRPr="00773E00" w:rsidRDefault="00773E00" w:rsidP="00773E00">
            <w:pPr>
              <w:spacing w:after="0" w:line="240" w:lineRule="auto"/>
              <w:jc w:val="right"/>
              <w:rPr>
                <w:rFonts w:ascii="Calibri" w:eastAsia="Times New Roman" w:hAnsi="Calibri" w:cs="Calibri"/>
                <w:b/>
                <w:bCs/>
                <w:lang w:eastAsia="en-GB"/>
              </w:rPr>
            </w:pPr>
            <w:r w:rsidRPr="00773E00">
              <w:rPr>
                <w:rFonts w:ascii="Calibri" w:eastAsia="Times New Roman" w:hAnsi="Calibri" w:cs="Calibri"/>
                <w:b/>
                <w:bCs/>
                <w:lang w:eastAsia="en-GB"/>
              </w:rPr>
              <w:t>€ 11,117</w:t>
            </w:r>
          </w:p>
        </w:tc>
      </w:tr>
      <w:tr w:rsidR="002E4A1F" w:rsidRPr="00773E00" w14:paraId="359691F9" w14:textId="77777777" w:rsidTr="002E4A1F">
        <w:trPr>
          <w:trHeight w:val="213"/>
        </w:trPr>
        <w:tc>
          <w:tcPr>
            <w:tcW w:w="2015" w:type="dxa"/>
            <w:tcBorders>
              <w:top w:val="nil"/>
              <w:left w:val="single" w:sz="8" w:space="0" w:color="auto"/>
              <w:bottom w:val="single" w:sz="4" w:space="0" w:color="auto"/>
              <w:right w:val="single" w:sz="4" w:space="0" w:color="auto"/>
            </w:tcBorders>
            <w:shd w:val="clear" w:color="auto" w:fill="auto"/>
            <w:vAlign w:val="bottom"/>
            <w:hideMark/>
          </w:tcPr>
          <w:p w14:paraId="3BBB4312" w14:textId="77777777" w:rsidR="00773E00" w:rsidRPr="00773E00" w:rsidRDefault="00773E00" w:rsidP="00773E00">
            <w:pPr>
              <w:spacing w:after="0" w:line="240" w:lineRule="auto"/>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Profit before Tax</w:t>
            </w:r>
          </w:p>
        </w:tc>
        <w:tc>
          <w:tcPr>
            <w:tcW w:w="1169" w:type="dxa"/>
            <w:tcBorders>
              <w:top w:val="nil"/>
              <w:left w:val="nil"/>
              <w:bottom w:val="single" w:sz="4" w:space="0" w:color="auto"/>
              <w:right w:val="single" w:sz="4" w:space="0" w:color="auto"/>
            </w:tcBorders>
            <w:shd w:val="clear" w:color="auto" w:fill="auto"/>
            <w:noWrap/>
            <w:vAlign w:val="bottom"/>
            <w:hideMark/>
          </w:tcPr>
          <w:p w14:paraId="1A08E5EE"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£2,501</w:t>
            </w:r>
          </w:p>
        </w:tc>
        <w:tc>
          <w:tcPr>
            <w:tcW w:w="1169" w:type="dxa"/>
            <w:tcBorders>
              <w:top w:val="nil"/>
              <w:left w:val="nil"/>
              <w:bottom w:val="single" w:sz="4" w:space="0" w:color="auto"/>
              <w:right w:val="single" w:sz="4" w:space="0" w:color="auto"/>
            </w:tcBorders>
            <w:shd w:val="clear" w:color="auto" w:fill="auto"/>
            <w:noWrap/>
            <w:vAlign w:val="bottom"/>
            <w:hideMark/>
          </w:tcPr>
          <w:p w14:paraId="62698D83"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£2,614</w:t>
            </w:r>
          </w:p>
        </w:tc>
        <w:tc>
          <w:tcPr>
            <w:tcW w:w="1169" w:type="dxa"/>
            <w:tcBorders>
              <w:top w:val="nil"/>
              <w:left w:val="nil"/>
              <w:bottom w:val="single" w:sz="4" w:space="0" w:color="auto"/>
              <w:right w:val="single" w:sz="4" w:space="0" w:color="auto"/>
            </w:tcBorders>
            <w:shd w:val="clear" w:color="auto" w:fill="auto"/>
            <w:noWrap/>
            <w:vAlign w:val="bottom"/>
            <w:hideMark/>
          </w:tcPr>
          <w:p w14:paraId="0666C152"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£1,557</w:t>
            </w:r>
          </w:p>
        </w:tc>
        <w:tc>
          <w:tcPr>
            <w:tcW w:w="1169" w:type="dxa"/>
            <w:tcBorders>
              <w:top w:val="nil"/>
              <w:left w:val="nil"/>
              <w:bottom w:val="single" w:sz="4" w:space="0" w:color="auto"/>
              <w:right w:val="single" w:sz="4" w:space="0" w:color="auto"/>
            </w:tcBorders>
            <w:shd w:val="clear" w:color="auto" w:fill="auto"/>
            <w:noWrap/>
            <w:vAlign w:val="bottom"/>
            <w:hideMark/>
          </w:tcPr>
          <w:p w14:paraId="2F131B64"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£1,610</w:t>
            </w:r>
          </w:p>
        </w:tc>
        <w:tc>
          <w:tcPr>
            <w:tcW w:w="1170" w:type="dxa"/>
            <w:tcBorders>
              <w:top w:val="nil"/>
              <w:left w:val="nil"/>
              <w:bottom w:val="single" w:sz="4" w:space="0" w:color="auto"/>
              <w:right w:val="single" w:sz="4" w:space="0" w:color="auto"/>
            </w:tcBorders>
            <w:shd w:val="clear" w:color="auto" w:fill="auto"/>
            <w:noWrap/>
            <w:vAlign w:val="bottom"/>
            <w:hideMark/>
          </w:tcPr>
          <w:p w14:paraId="0B0E9270"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£1,512</w:t>
            </w:r>
          </w:p>
        </w:tc>
        <w:tc>
          <w:tcPr>
            <w:tcW w:w="1623" w:type="dxa"/>
            <w:tcBorders>
              <w:top w:val="nil"/>
              <w:left w:val="nil"/>
              <w:bottom w:val="single" w:sz="4" w:space="0" w:color="auto"/>
              <w:right w:val="single" w:sz="8" w:space="0" w:color="auto"/>
            </w:tcBorders>
            <w:shd w:val="clear" w:color="auto" w:fill="auto"/>
            <w:noWrap/>
            <w:vAlign w:val="bottom"/>
            <w:hideMark/>
          </w:tcPr>
          <w:p w14:paraId="491494A0" w14:textId="77777777" w:rsidR="00773E00" w:rsidRPr="00773E00" w:rsidRDefault="00773E00" w:rsidP="00773E00">
            <w:pPr>
              <w:spacing w:after="0" w:line="240" w:lineRule="auto"/>
              <w:jc w:val="right"/>
              <w:rPr>
                <w:rFonts w:ascii="Calibri" w:eastAsia="Times New Roman" w:hAnsi="Calibri" w:cs="Calibri"/>
                <w:i/>
                <w:iCs/>
                <w:lang w:eastAsia="en-GB"/>
              </w:rPr>
            </w:pPr>
            <w:r w:rsidRPr="00773E00">
              <w:rPr>
                <w:rFonts w:ascii="Calibri" w:eastAsia="Times New Roman" w:hAnsi="Calibri" w:cs="Calibri"/>
                <w:i/>
                <w:iCs/>
                <w:lang w:eastAsia="en-GB"/>
              </w:rPr>
              <w:t>€ 10,595</w:t>
            </w:r>
          </w:p>
        </w:tc>
      </w:tr>
      <w:tr w:rsidR="002E4A1F" w:rsidRPr="00773E00" w14:paraId="1B3631D9" w14:textId="77777777" w:rsidTr="002E4A1F">
        <w:trPr>
          <w:trHeight w:val="213"/>
        </w:trPr>
        <w:tc>
          <w:tcPr>
            <w:tcW w:w="2015" w:type="dxa"/>
            <w:tcBorders>
              <w:top w:val="nil"/>
              <w:left w:val="single" w:sz="8" w:space="0" w:color="auto"/>
              <w:bottom w:val="single" w:sz="4" w:space="0" w:color="auto"/>
              <w:right w:val="single" w:sz="4" w:space="0" w:color="auto"/>
            </w:tcBorders>
            <w:shd w:val="clear" w:color="auto" w:fill="auto"/>
            <w:vAlign w:val="bottom"/>
            <w:hideMark/>
          </w:tcPr>
          <w:p w14:paraId="6C6ABABF" w14:textId="77777777" w:rsidR="00773E00" w:rsidRPr="00773E00" w:rsidRDefault="00773E00" w:rsidP="00773E00">
            <w:pPr>
              <w:spacing w:after="0" w:line="240" w:lineRule="auto"/>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Interest</w:t>
            </w:r>
          </w:p>
        </w:tc>
        <w:tc>
          <w:tcPr>
            <w:tcW w:w="1169" w:type="dxa"/>
            <w:tcBorders>
              <w:top w:val="nil"/>
              <w:left w:val="nil"/>
              <w:bottom w:val="single" w:sz="4" w:space="0" w:color="auto"/>
              <w:right w:val="single" w:sz="4" w:space="0" w:color="auto"/>
            </w:tcBorders>
            <w:shd w:val="clear" w:color="auto" w:fill="auto"/>
            <w:noWrap/>
            <w:vAlign w:val="bottom"/>
            <w:hideMark/>
          </w:tcPr>
          <w:p w14:paraId="558B218E"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£147</w:t>
            </w:r>
          </w:p>
        </w:tc>
        <w:tc>
          <w:tcPr>
            <w:tcW w:w="1169" w:type="dxa"/>
            <w:tcBorders>
              <w:top w:val="nil"/>
              <w:left w:val="nil"/>
              <w:bottom w:val="single" w:sz="4" w:space="0" w:color="auto"/>
              <w:right w:val="single" w:sz="4" w:space="0" w:color="auto"/>
            </w:tcBorders>
            <w:shd w:val="clear" w:color="auto" w:fill="auto"/>
            <w:noWrap/>
            <w:vAlign w:val="bottom"/>
            <w:hideMark/>
          </w:tcPr>
          <w:p w14:paraId="55931B47"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£87</w:t>
            </w:r>
          </w:p>
        </w:tc>
        <w:tc>
          <w:tcPr>
            <w:tcW w:w="1169" w:type="dxa"/>
            <w:tcBorders>
              <w:top w:val="nil"/>
              <w:left w:val="nil"/>
              <w:bottom w:val="single" w:sz="4" w:space="0" w:color="auto"/>
              <w:right w:val="single" w:sz="4" w:space="0" w:color="auto"/>
            </w:tcBorders>
            <w:shd w:val="clear" w:color="auto" w:fill="auto"/>
            <w:noWrap/>
            <w:vAlign w:val="bottom"/>
            <w:hideMark/>
          </w:tcPr>
          <w:p w14:paraId="078A52B4"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£52</w:t>
            </w:r>
          </w:p>
        </w:tc>
        <w:tc>
          <w:tcPr>
            <w:tcW w:w="1169" w:type="dxa"/>
            <w:tcBorders>
              <w:top w:val="nil"/>
              <w:left w:val="nil"/>
              <w:bottom w:val="single" w:sz="4" w:space="0" w:color="auto"/>
              <w:right w:val="single" w:sz="4" w:space="0" w:color="auto"/>
            </w:tcBorders>
            <w:shd w:val="clear" w:color="auto" w:fill="auto"/>
            <w:noWrap/>
            <w:vAlign w:val="bottom"/>
            <w:hideMark/>
          </w:tcPr>
          <w:p w14:paraId="60938A0C"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£35</w:t>
            </w:r>
          </w:p>
        </w:tc>
        <w:tc>
          <w:tcPr>
            <w:tcW w:w="1170" w:type="dxa"/>
            <w:tcBorders>
              <w:top w:val="nil"/>
              <w:left w:val="nil"/>
              <w:bottom w:val="single" w:sz="4" w:space="0" w:color="auto"/>
              <w:right w:val="single" w:sz="4" w:space="0" w:color="auto"/>
            </w:tcBorders>
            <w:shd w:val="clear" w:color="auto" w:fill="auto"/>
            <w:noWrap/>
            <w:vAlign w:val="bottom"/>
            <w:hideMark/>
          </w:tcPr>
          <w:p w14:paraId="1723D337"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£52</w:t>
            </w:r>
          </w:p>
        </w:tc>
        <w:tc>
          <w:tcPr>
            <w:tcW w:w="1623" w:type="dxa"/>
            <w:tcBorders>
              <w:top w:val="nil"/>
              <w:left w:val="nil"/>
              <w:bottom w:val="single" w:sz="4" w:space="0" w:color="auto"/>
              <w:right w:val="single" w:sz="8" w:space="0" w:color="auto"/>
            </w:tcBorders>
            <w:shd w:val="clear" w:color="auto" w:fill="auto"/>
            <w:noWrap/>
            <w:vAlign w:val="bottom"/>
            <w:hideMark/>
          </w:tcPr>
          <w:p w14:paraId="546AAB30" w14:textId="77777777" w:rsidR="00773E00" w:rsidRPr="00773E00" w:rsidRDefault="00773E00" w:rsidP="00773E00">
            <w:pPr>
              <w:spacing w:after="0" w:line="240" w:lineRule="auto"/>
              <w:jc w:val="right"/>
              <w:rPr>
                <w:rFonts w:ascii="Calibri" w:eastAsia="Times New Roman" w:hAnsi="Calibri" w:cs="Calibri"/>
                <w:i/>
                <w:iCs/>
                <w:lang w:eastAsia="en-GB"/>
              </w:rPr>
            </w:pPr>
            <w:r w:rsidRPr="00773E00">
              <w:rPr>
                <w:rFonts w:ascii="Calibri" w:eastAsia="Times New Roman" w:hAnsi="Calibri" w:cs="Calibri"/>
                <w:i/>
                <w:iCs/>
                <w:lang w:eastAsia="en-GB"/>
              </w:rPr>
              <w:t>€ 522</w:t>
            </w:r>
          </w:p>
        </w:tc>
      </w:tr>
      <w:tr w:rsidR="002E4A1F" w:rsidRPr="00773E00" w14:paraId="271CECBC" w14:textId="77777777" w:rsidTr="002E4A1F">
        <w:trPr>
          <w:trHeight w:val="213"/>
        </w:trPr>
        <w:tc>
          <w:tcPr>
            <w:tcW w:w="2015" w:type="dxa"/>
            <w:tcBorders>
              <w:top w:val="nil"/>
              <w:left w:val="single" w:sz="8" w:space="0" w:color="auto"/>
              <w:bottom w:val="single" w:sz="4" w:space="0" w:color="auto"/>
              <w:right w:val="single" w:sz="4" w:space="0" w:color="auto"/>
            </w:tcBorders>
            <w:shd w:val="clear" w:color="auto" w:fill="auto"/>
            <w:vAlign w:val="bottom"/>
            <w:hideMark/>
          </w:tcPr>
          <w:p w14:paraId="09230A68" w14:textId="77777777" w:rsidR="00773E00" w:rsidRPr="00773E00" w:rsidRDefault="00773E00" w:rsidP="00773E00">
            <w:pPr>
              <w:spacing w:after="0" w:line="240" w:lineRule="auto"/>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Finance income</w:t>
            </w:r>
          </w:p>
        </w:tc>
        <w:tc>
          <w:tcPr>
            <w:tcW w:w="1169" w:type="dxa"/>
            <w:tcBorders>
              <w:top w:val="nil"/>
              <w:left w:val="nil"/>
              <w:bottom w:val="single" w:sz="4" w:space="0" w:color="auto"/>
              <w:right w:val="single" w:sz="4" w:space="0" w:color="auto"/>
            </w:tcBorders>
            <w:shd w:val="clear" w:color="auto" w:fill="auto"/>
            <w:noWrap/>
            <w:vAlign w:val="bottom"/>
            <w:hideMark/>
          </w:tcPr>
          <w:p w14:paraId="2052F094"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£38</w:t>
            </w:r>
          </w:p>
        </w:tc>
        <w:tc>
          <w:tcPr>
            <w:tcW w:w="1169" w:type="dxa"/>
            <w:tcBorders>
              <w:top w:val="nil"/>
              <w:left w:val="nil"/>
              <w:bottom w:val="single" w:sz="4" w:space="0" w:color="auto"/>
              <w:right w:val="single" w:sz="4" w:space="0" w:color="auto"/>
            </w:tcBorders>
            <w:shd w:val="clear" w:color="auto" w:fill="auto"/>
            <w:noWrap/>
            <w:vAlign w:val="bottom"/>
            <w:hideMark/>
          </w:tcPr>
          <w:p w14:paraId="28E42B78"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£48</w:t>
            </w:r>
          </w:p>
        </w:tc>
        <w:tc>
          <w:tcPr>
            <w:tcW w:w="1169" w:type="dxa"/>
            <w:tcBorders>
              <w:top w:val="nil"/>
              <w:left w:val="nil"/>
              <w:bottom w:val="single" w:sz="4" w:space="0" w:color="auto"/>
              <w:right w:val="single" w:sz="4" w:space="0" w:color="auto"/>
            </w:tcBorders>
            <w:shd w:val="clear" w:color="auto" w:fill="auto"/>
            <w:noWrap/>
            <w:vAlign w:val="bottom"/>
            <w:hideMark/>
          </w:tcPr>
          <w:p w14:paraId="54645BEE"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£38</w:t>
            </w:r>
          </w:p>
        </w:tc>
        <w:tc>
          <w:tcPr>
            <w:tcW w:w="1169" w:type="dxa"/>
            <w:tcBorders>
              <w:top w:val="nil"/>
              <w:left w:val="nil"/>
              <w:bottom w:val="single" w:sz="4" w:space="0" w:color="auto"/>
              <w:right w:val="single" w:sz="4" w:space="0" w:color="auto"/>
            </w:tcBorders>
            <w:shd w:val="clear" w:color="auto" w:fill="auto"/>
            <w:noWrap/>
            <w:vAlign w:val="bottom"/>
            <w:hideMark/>
          </w:tcPr>
          <w:p w14:paraId="2927A24A"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£33</w:t>
            </w:r>
          </w:p>
        </w:tc>
        <w:tc>
          <w:tcPr>
            <w:tcW w:w="1170" w:type="dxa"/>
            <w:tcBorders>
              <w:top w:val="nil"/>
              <w:left w:val="nil"/>
              <w:bottom w:val="single" w:sz="4" w:space="0" w:color="auto"/>
              <w:right w:val="single" w:sz="4" w:space="0" w:color="auto"/>
            </w:tcBorders>
            <w:shd w:val="clear" w:color="auto" w:fill="auto"/>
            <w:noWrap/>
            <w:vAlign w:val="bottom"/>
            <w:hideMark/>
          </w:tcPr>
          <w:p w14:paraId="7089A8C7"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£33</w:t>
            </w:r>
          </w:p>
        </w:tc>
        <w:tc>
          <w:tcPr>
            <w:tcW w:w="1623" w:type="dxa"/>
            <w:tcBorders>
              <w:top w:val="nil"/>
              <w:left w:val="nil"/>
              <w:bottom w:val="single" w:sz="4" w:space="0" w:color="auto"/>
              <w:right w:val="single" w:sz="8" w:space="0" w:color="auto"/>
            </w:tcBorders>
            <w:shd w:val="clear" w:color="auto" w:fill="auto"/>
            <w:noWrap/>
            <w:vAlign w:val="bottom"/>
            <w:hideMark/>
          </w:tcPr>
          <w:p w14:paraId="6C1CC776" w14:textId="77777777" w:rsidR="00773E00" w:rsidRPr="00773E00" w:rsidRDefault="00773E00" w:rsidP="00773E00">
            <w:pPr>
              <w:spacing w:after="0" w:line="240" w:lineRule="auto"/>
              <w:jc w:val="right"/>
              <w:rPr>
                <w:rFonts w:ascii="Calibri" w:eastAsia="Times New Roman" w:hAnsi="Calibri" w:cs="Calibri"/>
                <w:i/>
                <w:iCs/>
                <w:lang w:eastAsia="en-GB"/>
              </w:rPr>
            </w:pPr>
            <w:r w:rsidRPr="00773E00">
              <w:rPr>
                <w:rFonts w:ascii="Calibri" w:eastAsia="Times New Roman" w:hAnsi="Calibri" w:cs="Calibri"/>
                <w:i/>
                <w:iCs/>
                <w:lang w:eastAsia="en-GB"/>
              </w:rPr>
              <w:t>€ 271</w:t>
            </w:r>
          </w:p>
        </w:tc>
      </w:tr>
      <w:tr w:rsidR="002E4A1F" w:rsidRPr="00773E00" w14:paraId="72FD1EA7" w14:textId="77777777" w:rsidTr="002E4A1F">
        <w:trPr>
          <w:trHeight w:val="437"/>
        </w:trPr>
        <w:tc>
          <w:tcPr>
            <w:tcW w:w="2015" w:type="dxa"/>
            <w:tcBorders>
              <w:top w:val="nil"/>
              <w:left w:val="single" w:sz="8" w:space="0" w:color="auto"/>
              <w:bottom w:val="nil"/>
              <w:right w:val="single" w:sz="4" w:space="0" w:color="auto"/>
            </w:tcBorders>
            <w:shd w:val="clear" w:color="auto" w:fill="auto"/>
            <w:vAlign w:val="bottom"/>
            <w:hideMark/>
          </w:tcPr>
          <w:p w14:paraId="1BB2AD4F" w14:textId="77777777" w:rsidR="00773E00" w:rsidRPr="00773E00" w:rsidRDefault="00773E00" w:rsidP="00773E00">
            <w:pPr>
              <w:spacing w:after="0" w:line="240" w:lineRule="auto"/>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Finance expense (net)</w:t>
            </w:r>
          </w:p>
        </w:tc>
        <w:tc>
          <w:tcPr>
            <w:tcW w:w="1169" w:type="dxa"/>
            <w:tcBorders>
              <w:top w:val="nil"/>
              <w:left w:val="nil"/>
              <w:bottom w:val="nil"/>
              <w:right w:val="single" w:sz="4" w:space="0" w:color="auto"/>
            </w:tcBorders>
            <w:shd w:val="clear" w:color="auto" w:fill="auto"/>
            <w:noWrap/>
            <w:vAlign w:val="bottom"/>
            <w:hideMark/>
          </w:tcPr>
          <w:p w14:paraId="30AF6E57"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£185</w:t>
            </w:r>
          </w:p>
        </w:tc>
        <w:tc>
          <w:tcPr>
            <w:tcW w:w="1169" w:type="dxa"/>
            <w:tcBorders>
              <w:top w:val="nil"/>
              <w:left w:val="nil"/>
              <w:bottom w:val="nil"/>
              <w:right w:val="single" w:sz="4" w:space="0" w:color="auto"/>
            </w:tcBorders>
            <w:shd w:val="clear" w:color="auto" w:fill="auto"/>
            <w:noWrap/>
            <w:vAlign w:val="bottom"/>
            <w:hideMark/>
          </w:tcPr>
          <w:p w14:paraId="5528D3C0"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£135</w:t>
            </w:r>
          </w:p>
        </w:tc>
        <w:tc>
          <w:tcPr>
            <w:tcW w:w="1169" w:type="dxa"/>
            <w:tcBorders>
              <w:top w:val="nil"/>
              <w:left w:val="nil"/>
              <w:bottom w:val="nil"/>
              <w:right w:val="single" w:sz="4" w:space="0" w:color="auto"/>
            </w:tcBorders>
            <w:shd w:val="clear" w:color="auto" w:fill="auto"/>
            <w:noWrap/>
            <w:vAlign w:val="bottom"/>
            <w:hideMark/>
          </w:tcPr>
          <w:p w14:paraId="1A5045EB"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£90</w:t>
            </w:r>
          </w:p>
        </w:tc>
        <w:tc>
          <w:tcPr>
            <w:tcW w:w="1169" w:type="dxa"/>
            <w:tcBorders>
              <w:top w:val="nil"/>
              <w:left w:val="nil"/>
              <w:bottom w:val="nil"/>
              <w:right w:val="single" w:sz="4" w:space="0" w:color="auto"/>
            </w:tcBorders>
            <w:shd w:val="clear" w:color="auto" w:fill="auto"/>
            <w:noWrap/>
            <w:vAlign w:val="bottom"/>
            <w:hideMark/>
          </w:tcPr>
          <w:p w14:paraId="149701B2"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£68</w:t>
            </w:r>
          </w:p>
        </w:tc>
        <w:tc>
          <w:tcPr>
            <w:tcW w:w="1170" w:type="dxa"/>
            <w:tcBorders>
              <w:top w:val="nil"/>
              <w:left w:val="nil"/>
              <w:bottom w:val="nil"/>
              <w:right w:val="single" w:sz="4" w:space="0" w:color="auto"/>
            </w:tcBorders>
            <w:shd w:val="clear" w:color="auto" w:fill="auto"/>
            <w:noWrap/>
            <w:vAlign w:val="bottom"/>
            <w:hideMark/>
          </w:tcPr>
          <w:p w14:paraId="0028BB6C" w14:textId="77777777" w:rsidR="00773E00" w:rsidRPr="00773E00" w:rsidRDefault="00773E00" w:rsidP="00773E00">
            <w:pPr>
              <w:spacing w:after="0" w:line="240" w:lineRule="auto"/>
              <w:jc w:val="right"/>
              <w:rPr>
                <w:rFonts w:ascii="Calibri" w:eastAsia="Times New Roman" w:hAnsi="Calibri" w:cs="Calibri"/>
                <w:i/>
                <w:iCs/>
                <w:color w:val="000000"/>
                <w:lang w:eastAsia="en-GB"/>
              </w:rPr>
            </w:pPr>
            <w:r w:rsidRPr="00773E00">
              <w:rPr>
                <w:rFonts w:ascii="Calibri" w:eastAsia="Times New Roman" w:hAnsi="Calibri" w:cs="Calibri"/>
                <w:i/>
                <w:iCs/>
                <w:color w:val="000000"/>
                <w:lang w:eastAsia="en-GB"/>
              </w:rPr>
              <w:t>£85</w:t>
            </w:r>
          </w:p>
        </w:tc>
        <w:tc>
          <w:tcPr>
            <w:tcW w:w="1623" w:type="dxa"/>
            <w:tcBorders>
              <w:top w:val="nil"/>
              <w:left w:val="nil"/>
              <w:bottom w:val="nil"/>
              <w:right w:val="single" w:sz="8" w:space="0" w:color="auto"/>
            </w:tcBorders>
            <w:shd w:val="clear" w:color="auto" w:fill="auto"/>
            <w:noWrap/>
            <w:vAlign w:val="bottom"/>
            <w:hideMark/>
          </w:tcPr>
          <w:p w14:paraId="35AAC2BA" w14:textId="77777777" w:rsidR="00773E00" w:rsidRPr="00773E00" w:rsidRDefault="00773E00" w:rsidP="00773E00">
            <w:pPr>
              <w:spacing w:after="0" w:line="240" w:lineRule="auto"/>
              <w:jc w:val="right"/>
              <w:rPr>
                <w:rFonts w:ascii="Calibri" w:eastAsia="Times New Roman" w:hAnsi="Calibri" w:cs="Calibri"/>
                <w:i/>
                <w:iCs/>
                <w:lang w:eastAsia="en-GB"/>
              </w:rPr>
            </w:pPr>
            <w:r w:rsidRPr="00773E00">
              <w:rPr>
                <w:rFonts w:ascii="Calibri" w:eastAsia="Times New Roman" w:hAnsi="Calibri" w:cs="Calibri"/>
                <w:i/>
                <w:iCs/>
                <w:lang w:eastAsia="en-GB"/>
              </w:rPr>
              <w:t>€ 793</w:t>
            </w:r>
          </w:p>
        </w:tc>
      </w:tr>
      <w:tr w:rsidR="002E4A1F" w:rsidRPr="00773E00" w14:paraId="2BE77F80" w14:textId="77777777" w:rsidTr="002E4A1F">
        <w:trPr>
          <w:trHeight w:val="224"/>
        </w:trPr>
        <w:tc>
          <w:tcPr>
            <w:tcW w:w="2015"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738DE706" w14:textId="77777777" w:rsidR="00773E00" w:rsidRPr="00773E00" w:rsidRDefault="00773E00" w:rsidP="00773E00">
            <w:pPr>
              <w:spacing w:after="0" w:line="240" w:lineRule="auto"/>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Net Income</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25E4C2D9"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£1,879</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5413C770"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£2,038</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15D6EDE7"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£1,312</w:t>
            </w:r>
          </w:p>
        </w:tc>
        <w:tc>
          <w:tcPr>
            <w:tcW w:w="1169" w:type="dxa"/>
            <w:tcBorders>
              <w:top w:val="single" w:sz="8" w:space="0" w:color="auto"/>
              <w:left w:val="nil"/>
              <w:bottom w:val="single" w:sz="8" w:space="0" w:color="auto"/>
              <w:right w:val="single" w:sz="4" w:space="0" w:color="auto"/>
            </w:tcBorders>
            <w:shd w:val="clear" w:color="auto" w:fill="auto"/>
            <w:noWrap/>
            <w:vAlign w:val="bottom"/>
            <w:hideMark/>
          </w:tcPr>
          <w:p w14:paraId="71718511"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£1,272</w:t>
            </w:r>
          </w:p>
        </w:tc>
        <w:tc>
          <w:tcPr>
            <w:tcW w:w="1170" w:type="dxa"/>
            <w:tcBorders>
              <w:top w:val="single" w:sz="8" w:space="0" w:color="auto"/>
              <w:left w:val="nil"/>
              <w:bottom w:val="single" w:sz="8" w:space="0" w:color="auto"/>
              <w:right w:val="single" w:sz="4" w:space="0" w:color="auto"/>
            </w:tcBorders>
            <w:shd w:val="clear" w:color="auto" w:fill="auto"/>
            <w:noWrap/>
            <w:vAlign w:val="bottom"/>
            <w:hideMark/>
          </w:tcPr>
          <w:p w14:paraId="2B0AC853" w14:textId="77777777" w:rsidR="00773E00" w:rsidRPr="00773E00" w:rsidRDefault="00773E00" w:rsidP="00773E00">
            <w:pPr>
              <w:spacing w:after="0" w:line="240" w:lineRule="auto"/>
              <w:jc w:val="right"/>
              <w:rPr>
                <w:rFonts w:ascii="Calibri" w:eastAsia="Times New Roman" w:hAnsi="Calibri" w:cs="Calibri"/>
                <w:b/>
                <w:bCs/>
                <w:color w:val="000000"/>
                <w:lang w:eastAsia="en-GB"/>
              </w:rPr>
            </w:pPr>
            <w:r w:rsidRPr="00773E00">
              <w:rPr>
                <w:rFonts w:ascii="Calibri" w:eastAsia="Times New Roman" w:hAnsi="Calibri" w:cs="Calibri"/>
                <w:b/>
                <w:bCs/>
                <w:color w:val="000000"/>
                <w:lang w:eastAsia="en-GB"/>
              </w:rPr>
              <w:t>£1,114</w:t>
            </w:r>
          </w:p>
        </w:tc>
        <w:tc>
          <w:tcPr>
            <w:tcW w:w="1623" w:type="dxa"/>
            <w:tcBorders>
              <w:top w:val="single" w:sz="8" w:space="0" w:color="auto"/>
              <w:left w:val="nil"/>
              <w:bottom w:val="single" w:sz="8" w:space="0" w:color="auto"/>
              <w:right w:val="single" w:sz="8" w:space="0" w:color="auto"/>
            </w:tcBorders>
            <w:shd w:val="clear" w:color="auto" w:fill="auto"/>
            <w:noWrap/>
            <w:vAlign w:val="bottom"/>
            <w:hideMark/>
          </w:tcPr>
          <w:p w14:paraId="57B3E866" w14:textId="77777777" w:rsidR="00773E00" w:rsidRPr="00773E00" w:rsidRDefault="00773E00" w:rsidP="00773E00">
            <w:pPr>
              <w:spacing w:after="0" w:line="240" w:lineRule="auto"/>
              <w:jc w:val="right"/>
              <w:rPr>
                <w:rFonts w:ascii="Calibri" w:eastAsia="Times New Roman" w:hAnsi="Calibri" w:cs="Calibri"/>
                <w:b/>
                <w:bCs/>
                <w:lang w:eastAsia="en-GB"/>
              </w:rPr>
            </w:pPr>
            <w:r w:rsidRPr="00773E00">
              <w:rPr>
                <w:rFonts w:ascii="Calibri" w:eastAsia="Times New Roman" w:hAnsi="Calibri" w:cs="Calibri"/>
                <w:b/>
                <w:bCs/>
                <w:lang w:eastAsia="en-GB"/>
              </w:rPr>
              <w:t>€ 7,582</w:t>
            </w:r>
          </w:p>
        </w:tc>
      </w:tr>
    </w:tbl>
    <w:p w14:paraId="533063B7" w14:textId="336230F4" w:rsidR="00773E00" w:rsidRDefault="002E4A1F" w:rsidP="00773E00">
      <w:r>
        <w:t xml:space="preserve">Source: Author`s calculations and Annual Financial Reports of Jaguar Land Rover </w:t>
      </w:r>
    </w:p>
    <w:p w14:paraId="04DC93B0" w14:textId="77777777" w:rsidR="00241DAE" w:rsidRDefault="00B342B5" w:rsidP="00773E00">
      <w:r>
        <w:lastRenderedPageBreak/>
        <w:t xml:space="preserve">The </w:t>
      </w:r>
      <w:r w:rsidR="00E57D0B">
        <w:t xml:space="preserve">profitability ratios </w:t>
      </w:r>
      <w:proofErr w:type="gramStart"/>
      <w:r w:rsidR="00E57D0B">
        <w:t>are:</w:t>
      </w:r>
      <w:proofErr w:type="gramEnd"/>
      <w:r w:rsidR="00E57D0B">
        <w:t xml:space="preserve"> the </w:t>
      </w:r>
      <w:r w:rsidR="001F059C">
        <w:t>G</w:t>
      </w:r>
      <w:r w:rsidR="00E57D0B">
        <w:t>ross Margin</w:t>
      </w:r>
      <w:r w:rsidR="001F059C">
        <w:t xml:space="preserve">, Operating Margin and Net Profit Margin. </w:t>
      </w:r>
    </w:p>
    <w:p w14:paraId="61B732A1" w14:textId="18EF8367" w:rsidR="00B342B5" w:rsidRDefault="001F059C" w:rsidP="00773E00">
      <w:r>
        <w:t>The Gross Margin</w:t>
      </w:r>
      <w:r w:rsidR="001A2209">
        <w:t xml:space="preserve"> is shown how profitable is sold the inventory</w:t>
      </w:r>
      <w:r w:rsidR="00864891">
        <w:t xml:space="preserve">, this is the </w:t>
      </w:r>
      <w:r w:rsidR="00E859EC">
        <w:t>profit that come up after the sale of the inventory.</w:t>
      </w:r>
      <w:r w:rsidR="00241DAE">
        <w:t xml:space="preserve"> The operating margin is shown how</w:t>
      </w:r>
      <w:r w:rsidR="00515108">
        <w:t xml:space="preserve"> much from the revenue is made by </w:t>
      </w:r>
      <w:r w:rsidR="00866846">
        <w:t xml:space="preserve">operating income. </w:t>
      </w:r>
      <w:r w:rsidR="00224D4E">
        <w:t xml:space="preserve">The Net profit margin </w:t>
      </w:r>
      <w:r w:rsidR="00563EEB">
        <w:t xml:space="preserve">known as Net margin </w:t>
      </w:r>
      <w:r w:rsidR="00434AF5">
        <w:t xml:space="preserve">is telling us how much </w:t>
      </w:r>
      <w:r w:rsidR="009518DA">
        <w:t>from the sales figures is transformed in profit</w:t>
      </w:r>
      <w:r w:rsidR="003D1117">
        <w:t xml:space="preserve">, the income made </w:t>
      </w:r>
      <w:r w:rsidR="002F2037">
        <w:t>from each pound sales.</w:t>
      </w:r>
      <w:r w:rsidR="00D94F88">
        <w:t xml:space="preserve"> </w:t>
      </w:r>
    </w:p>
    <w:p w14:paraId="0B9C8E00" w14:textId="69930501" w:rsidR="00B342B5" w:rsidRDefault="002F2037" w:rsidP="00773E00">
      <w:r>
        <w:t xml:space="preserve">On Tab.2. are presented the </w:t>
      </w:r>
      <w:r w:rsidR="005F087D">
        <w:t xml:space="preserve">calculated </w:t>
      </w:r>
      <w:r>
        <w:t xml:space="preserve">profitability ratios </w:t>
      </w:r>
      <w:r w:rsidR="005F087D">
        <w:t xml:space="preserve">for Jaguar Land Rover </w:t>
      </w:r>
      <w:proofErr w:type="gramStart"/>
      <w:r w:rsidR="005F087D">
        <w:t>and  the</w:t>
      </w:r>
      <w:proofErr w:type="gramEnd"/>
      <w:r w:rsidR="005F087D">
        <w:t xml:space="preserve"> competitor Mercedes Benz. </w:t>
      </w:r>
      <w:r w:rsidR="00130919">
        <w:t xml:space="preserve"> It should be mentioned despite the fact the companies are located on different countries, </w:t>
      </w:r>
      <w:r w:rsidR="004251CF">
        <w:t xml:space="preserve">and the financial statements are in different currencies, the profitability ratios allow us to </w:t>
      </w:r>
      <w:r w:rsidR="00CD30AD">
        <w:t xml:space="preserve">understand how profitable </w:t>
      </w:r>
      <w:r w:rsidR="00202F78">
        <w:t>they on the auto market are</w:t>
      </w:r>
      <w:r w:rsidR="0005196C">
        <w:t>.</w:t>
      </w:r>
    </w:p>
    <w:p w14:paraId="0764ADF3" w14:textId="376144B8" w:rsidR="00773E00" w:rsidRDefault="00610933" w:rsidP="00773E00">
      <w:r>
        <w:t>Tab.</w:t>
      </w:r>
      <w:proofErr w:type="gramStart"/>
      <w:r>
        <w:t xml:space="preserve">2  </w:t>
      </w:r>
      <w:r w:rsidR="00E003EE">
        <w:t>Profitability</w:t>
      </w:r>
      <w:proofErr w:type="gramEnd"/>
      <w:r w:rsidR="00E003EE">
        <w:t xml:space="preserve"> ratios</w:t>
      </w:r>
    </w:p>
    <w:tbl>
      <w:tblPr>
        <w:tblW w:w="9694" w:type="dxa"/>
        <w:tblLook w:val="04A0" w:firstRow="1" w:lastRow="0" w:firstColumn="1" w:lastColumn="0" w:noHBand="0" w:noVBand="1"/>
      </w:tblPr>
      <w:tblGrid>
        <w:gridCol w:w="1469"/>
        <w:gridCol w:w="954"/>
        <w:gridCol w:w="1469"/>
        <w:gridCol w:w="916"/>
        <w:gridCol w:w="1965"/>
        <w:gridCol w:w="1318"/>
        <w:gridCol w:w="1603"/>
      </w:tblGrid>
      <w:tr w:rsidR="00773E00" w:rsidRPr="00773E00" w14:paraId="2D045569" w14:textId="77777777" w:rsidTr="00773E00">
        <w:trPr>
          <w:trHeight w:val="294"/>
        </w:trPr>
        <w:tc>
          <w:tcPr>
            <w:tcW w:w="1469"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316E8C9"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w:t>
            </w:r>
          </w:p>
        </w:tc>
        <w:tc>
          <w:tcPr>
            <w:tcW w:w="6622" w:type="dxa"/>
            <w:gridSpan w:val="5"/>
            <w:tcBorders>
              <w:top w:val="single" w:sz="8" w:space="0" w:color="auto"/>
              <w:left w:val="nil"/>
              <w:bottom w:val="single" w:sz="4" w:space="0" w:color="auto"/>
              <w:right w:val="single" w:sz="4" w:space="0" w:color="auto"/>
            </w:tcBorders>
            <w:shd w:val="clear" w:color="auto" w:fill="auto"/>
            <w:noWrap/>
            <w:vAlign w:val="bottom"/>
            <w:hideMark/>
          </w:tcPr>
          <w:p w14:paraId="10ED2596"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 The chosen company </w:t>
            </w:r>
          </w:p>
        </w:tc>
        <w:tc>
          <w:tcPr>
            <w:tcW w:w="1603" w:type="dxa"/>
            <w:tcBorders>
              <w:top w:val="single" w:sz="8" w:space="0" w:color="auto"/>
              <w:left w:val="nil"/>
              <w:bottom w:val="single" w:sz="4" w:space="0" w:color="auto"/>
              <w:right w:val="single" w:sz="8" w:space="0" w:color="auto"/>
            </w:tcBorders>
            <w:shd w:val="clear" w:color="auto" w:fill="auto"/>
            <w:noWrap/>
            <w:vAlign w:val="bottom"/>
            <w:hideMark/>
          </w:tcPr>
          <w:p w14:paraId="74C7B8AA"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The competitor</w:t>
            </w:r>
          </w:p>
        </w:tc>
      </w:tr>
      <w:tr w:rsidR="00773E00" w:rsidRPr="00773E00" w14:paraId="1BC835B6" w14:textId="77777777" w:rsidTr="00773E00">
        <w:trPr>
          <w:trHeight w:val="882"/>
        </w:trPr>
        <w:tc>
          <w:tcPr>
            <w:tcW w:w="1469" w:type="dxa"/>
            <w:tcBorders>
              <w:top w:val="nil"/>
              <w:left w:val="single" w:sz="8" w:space="0" w:color="auto"/>
              <w:bottom w:val="single" w:sz="4" w:space="0" w:color="auto"/>
              <w:right w:val="single" w:sz="4" w:space="0" w:color="auto"/>
            </w:tcBorders>
            <w:shd w:val="clear" w:color="000000" w:fill="FFFFFF"/>
            <w:noWrap/>
            <w:vAlign w:val="bottom"/>
            <w:hideMark/>
          </w:tcPr>
          <w:p w14:paraId="1A4D562B"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 Company </w:t>
            </w:r>
          </w:p>
        </w:tc>
        <w:tc>
          <w:tcPr>
            <w:tcW w:w="6622" w:type="dxa"/>
            <w:gridSpan w:val="5"/>
            <w:tcBorders>
              <w:top w:val="single" w:sz="4" w:space="0" w:color="auto"/>
              <w:left w:val="nil"/>
              <w:bottom w:val="single" w:sz="4" w:space="0" w:color="auto"/>
              <w:right w:val="single" w:sz="4" w:space="0" w:color="auto"/>
            </w:tcBorders>
            <w:shd w:val="clear" w:color="000000" w:fill="FFFFFF"/>
            <w:noWrap/>
            <w:vAlign w:val="bottom"/>
            <w:hideMark/>
          </w:tcPr>
          <w:p w14:paraId="23EF6BDE"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Jaguar Land Rover</w:t>
            </w:r>
          </w:p>
        </w:tc>
        <w:tc>
          <w:tcPr>
            <w:tcW w:w="1603" w:type="dxa"/>
            <w:tcBorders>
              <w:top w:val="nil"/>
              <w:left w:val="nil"/>
              <w:bottom w:val="single" w:sz="4" w:space="0" w:color="auto"/>
              <w:right w:val="single" w:sz="8" w:space="0" w:color="auto"/>
            </w:tcBorders>
            <w:shd w:val="clear" w:color="000000" w:fill="FFFFFF"/>
            <w:noWrap/>
            <w:vAlign w:val="bottom"/>
            <w:hideMark/>
          </w:tcPr>
          <w:p w14:paraId="3309D8A0"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Mercedes Benz</w:t>
            </w:r>
          </w:p>
        </w:tc>
      </w:tr>
      <w:tr w:rsidR="00773E00" w:rsidRPr="00773E00" w14:paraId="753358CE" w14:textId="77777777" w:rsidTr="0005196C">
        <w:trPr>
          <w:trHeight w:val="294"/>
        </w:trPr>
        <w:tc>
          <w:tcPr>
            <w:tcW w:w="1469" w:type="dxa"/>
            <w:tcBorders>
              <w:top w:val="nil"/>
              <w:left w:val="single" w:sz="8" w:space="0" w:color="auto"/>
              <w:bottom w:val="single" w:sz="4" w:space="0" w:color="auto"/>
              <w:right w:val="single" w:sz="4" w:space="0" w:color="auto"/>
            </w:tcBorders>
            <w:shd w:val="clear" w:color="000000" w:fill="FFFFFF"/>
            <w:noWrap/>
            <w:vAlign w:val="bottom"/>
            <w:hideMark/>
          </w:tcPr>
          <w:p w14:paraId="6AC15ACF"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Year/ Ratio</w:t>
            </w:r>
          </w:p>
        </w:tc>
        <w:tc>
          <w:tcPr>
            <w:tcW w:w="954" w:type="dxa"/>
            <w:tcBorders>
              <w:top w:val="nil"/>
              <w:left w:val="nil"/>
              <w:bottom w:val="single" w:sz="4" w:space="0" w:color="auto"/>
              <w:right w:val="single" w:sz="4" w:space="0" w:color="auto"/>
            </w:tcBorders>
            <w:shd w:val="clear" w:color="000000" w:fill="FFFFFF"/>
            <w:noWrap/>
            <w:vAlign w:val="center"/>
            <w:hideMark/>
          </w:tcPr>
          <w:p w14:paraId="16C5B349"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2014 </w:t>
            </w:r>
          </w:p>
        </w:tc>
        <w:tc>
          <w:tcPr>
            <w:tcW w:w="1469" w:type="dxa"/>
            <w:tcBorders>
              <w:top w:val="nil"/>
              <w:left w:val="nil"/>
              <w:bottom w:val="single" w:sz="4" w:space="0" w:color="auto"/>
              <w:right w:val="single" w:sz="4" w:space="0" w:color="auto"/>
            </w:tcBorders>
            <w:shd w:val="clear" w:color="000000" w:fill="FFFFFF"/>
            <w:noWrap/>
            <w:vAlign w:val="center"/>
            <w:hideMark/>
          </w:tcPr>
          <w:p w14:paraId="397BA334"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2015 </w:t>
            </w:r>
          </w:p>
        </w:tc>
        <w:tc>
          <w:tcPr>
            <w:tcW w:w="916" w:type="dxa"/>
            <w:tcBorders>
              <w:top w:val="nil"/>
              <w:left w:val="nil"/>
              <w:bottom w:val="single" w:sz="4" w:space="0" w:color="auto"/>
              <w:right w:val="single" w:sz="4" w:space="0" w:color="auto"/>
            </w:tcBorders>
            <w:shd w:val="clear" w:color="000000" w:fill="FFFFFF"/>
            <w:noWrap/>
            <w:vAlign w:val="center"/>
            <w:hideMark/>
          </w:tcPr>
          <w:p w14:paraId="5730D7C2"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2016 </w:t>
            </w:r>
          </w:p>
        </w:tc>
        <w:tc>
          <w:tcPr>
            <w:tcW w:w="1965" w:type="dxa"/>
            <w:tcBorders>
              <w:top w:val="nil"/>
              <w:left w:val="nil"/>
              <w:bottom w:val="single" w:sz="4" w:space="0" w:color="auto"/>
              <w:right w:val="single" w:sz="4" w:space="0" w:color="auto"/>
            </w:tcBorders>
            <w:shd w:val="clear" w:color="000000" w:fill="FFFFFF"/>
            <w:noWrap/>
            <w:vAlign w:val="center"/>
            <w:hideMark/>
          </w:tcPr>
          <w:p w14:paraId="07D20D77"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2017 </w:t>
            </w:r>
          </w:p>
        </w:tc>
        <w:tc>
          <w:tcPr>
            <w:tcW w:w="1318" w:type="dxa"/>
            <w:tcBorders>
              <w:top w:val="nil"/>
              <w:left w:val="nil"/>
              <w:bottom w:val="single" w:sz="4" w:space="0" w:color="auto"/>
              <w:right w:val="single" w:sz="4" w:space="0" w:color="auto"/>
            </w:tcBorders>
            <w:shd w:val="clear" w:color="000000" w:fill="FFFFFF"/>
            <w:noWrap/>
            <w:vAlign w:val="center"/>
            <w:hideMark/>
          </w:tcPr>
          <w:p w14:paraId="205B357F"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2018 </w:t>
            </w:r>
          </w:p>
        </w:tc>
        <w:tc>
          <w:tcPr>
            <w:tcW w:w="1603" w:type="dxa"/>
            <w:tcBorders>
              <w:top w:val="nil"/>
              <w:left w:val="nil"/>
              <w:bottom w:val="single" w:sz="4" w:space="0" w:color="auto"/>
              <w:right w:val="single" w:sz="8" w:space="0" w:color="auto"/>
            </w:tcBorders>
            <w:shd w:val="clear" w:color="000000" w:fill="FFFFFF"/>
            <w:noWrap/>
            <w:vAlign w:val="center"/>
            <w:hideMark/>
          </w:tcPr>
          <w:p w14:paraId="66200381"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2018</w:t>
            </w:r>
          </w:p>
        </w:tc>
      </w:tr>
      <w:tr w:rsidR="00773E00" w:rsidRPr="00773E00" w14:paraId="2D4B213B" w14:textId="77777777" w:rsidTr="0005196C">
        <w:trPr>
          <w:trHeight w:val="294"/>
        </w:trPr>
        <w:tc>
          <w:tcPr>
            <w:tcW w:w="1469" w:type="dxa"/>
            <w:tcBorders>
              <w:top w:val="nil"/>
              <w:left w:val="single" w:sz="8" w:space="0" w:color="auto"/>
              <w:bottom w:val="single" w:sz="4" w:space="0" w:color="auto"/>
              <w:right w:val="single" w:sz="4" w:space="0" w:color="auto"/>
            </w:tcBorders>
            <w:shd w:val="clear" w:color="000000" w:fill="FFFFFF"/>
            <w:vAlign w:val="bottom"/>
            <w:hideMark/>
          </w:tcPr>
          <w:p w14:paraId="4DE2DB15"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Gross Margin</w:t>
            </w:r>
          </w:p>
        </w:tc>
        <w:tc>
          <w:tcPr>
            <w:tcW w:w="954" w:type="dxa"/>
            <w:tcBorders>
              <w:top w:val="nil"/>
              <w:left w:val="nil"/>
              <w:bottom w:val="single" w:sz="4" w:space="0" w:color="auto"/>
              <w:right w:val="single" w:sz="4" w:space="0" w:color="auto"/>
            </w:tcBorders>
            <w:shd w:val="clear" w:color="000000" w:fill="FFFFFF"/>
            <w:vAlign w:val="center"/>
            <w:hideMark/>
          </w:tcPr>
          <w:p w14:paraId="12FBA566"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38.59%</w:t>
            </w:r>
          </w:p>
        </w:tc>
        <w:tc>
          <w:tcPr>
            <w:tcW w:w="1469" w:type="dxa"/>
            <w:tcBorders>
              <w:top w:val="nil"/>
              <w:left w:val="nil"/>
              <w:bottom w:val="single" w:sz="4" w:space="0" w:color="auto"/>
              <w:right w:val="single" w:sz="4" w:space="0" w:color="auto"/>
            </w:tcBorders>
            <w:shd w:val="clear" w:color="000000" w:fill="FFFFFF"/>
            <w:vAlign w:val="center"/>
            <w:hideMark/>
          </w:tcPr>
          <w:p w14:paraId="5B04FBB1"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39.70%</w:t>
            </w:r>
          </w:p>
        </w:tc>
        <w:tc>
          <w:tcPr>
            <w:tcW w:w="916" w:type="dxa"/>
            <w:tcBorders>
              <w:top w:val="nil"/>
              <w:left w:val="nil"/>
              <w:bottom w:val="single" w:sz="4" w:space="0" w:color="auto"/>
              <w:right w:val="single" w:sz="4" w:space="0" w:color="auto"/>
            </w:tcBorders>
            <w:shd w:val="clear" w:color="000000" w:fill="FFFFFF"/>
            <w:vAlign w:val="center"/>
            <w:hideMark/>
          </w:tcPr>
          <w:p w14:paraId="693893A2"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40.55%</w:t>
            </w:r>
          </w:p>
        </w:tc>
        <w:tc>
          <w:tcPr>
            <w:tcW w:w="1965" w:type="dxa"/>
            <w:tcBorders>
              <w:top w:val="nil"/>
              <w:left w:val="nil"/>
              <w:bottom w:val="single" w:sz="4" w:space="0" w:color="auto"/>
              <w:right w:val="single" w:sz="4" w:space="0" w:color="auto"/>
            </w:tcBorders>
            <w:shd w:val="clear" w:color="000000" w:fill="FFFFFF"/>
            <w:vAlign w:val="center"/>
            <w:hideMark/>
          </w:tcPr>
          <w:p w14:paraId="3A84A1FE"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37.46%</w:t>
            </w:r>
          </w:p>
        </w:tc>
        <w:tc>
          <w:tcPr>
            <w:tcW w:w="1318" w:type="dxa"/>
            <w:tcBorders>
              <w:top w:val="nil"/>
              <w:left w:val="nil"/>
              <w:bottom w:val="single" w:sz="4" w:space="0" w:color="auto"/>
              <w:right w:val="single" w:sz="4" w:space="0" w:color="auto"/>
            </w:tcBorders>
            <w:shd w:val="clear" w:color="000000" w:fill="FFFFFF"/>
            <w:vAlign w:val="center"/>
            <w:hideMark/>
          </w:tcPr>
          <w:p w14:paraId="0D475595"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36.68%</w:t>
            </w:r>
          </w:p>
        </w:tc>
        <w:tc>
          <w:tcPr>
            <w:tcW w:w="1603" w:type="dxa"/>
            <w:tcBorders>
              <w:top w:val="nil"/>
              <w:left w:val="nil"/>
              <w:bottom w:val="single" w:sz="4" w:space="0" w:color="auto"/>
              <w:right w:val="single" w:sz="8" w:space="0" w:color="auto"/>
            </w:tcBorders>
            <w:shd w:val="clear" w:color="000000" w:fill="FFFFFF"/>
            <w:noWrap/>
            <w:vAlign w:val="center"/>
            <w:hideMark/>
          </w:tcPr>
          <w:p w14:paraId="04AAF379"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19.76%</w:t>
            </w:r>
          </w:p>
        </w:tc>
      </w:tr>
      <w:tr w:rsidR="00773E00" w:rsidRPr="00773E00" w14:paraId="3515C14B" w14:textId="77777777" w:rsidTr="0005196C">
        <w:trPr>
          <w:trHeight w:val="588"/>
        </w:trPr>
        <w:tc>
          <w:tcPr>
            <w:tcW w:w="1469" w:type="dxa"/>
            <w:tcBorders>
              <w:top w:val="nil"/>
              <w:left w:val="single" w:sz="8" w:space="0" w:color="auto"/>
              <w:bottom w:val="single" w:sz="4" w:space="0" w:color="auto"/>
              <w:right w:val="single" w:sz="4" w:space="0" w:color="auto"/>
            </w:tcBorders>
            <w:shd w:val="clear" w:color="000000" w:fill="FFFFFF"/>
            <w:vAlign w:val="bottom"/>
            <w:hideMark/>
          </w:tcPr>
          <w:p w14:paraId="364697B8"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Operating Margin</w:t>
            </w:r>
          </w:p>
        </w:tc>
        <w:tc>
          <w:tcPr>
            <w:tcW w:w="954" w:type="dxa"/>
            <w:tcBorders>
              <w:top w:val="nil"/>
              <w:left w:val="nil"/>
              <w:bottom w:val="single" w:sz="4" w:space="0" w:color="auto"/>
              <w:right w:val="single" w:sz="4" w:space="0" w:color="auto"/>
            </w:tcBorders>
            <w:shd w:val="clear" w:color="000000" w:fill="FFFFFF"/>
            <w:vAlign w:val="center"/>
            <w:hideMark/>
          </w:tcPr>
          <w:p w14:paraId="4D374C07"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13.66%</w:t>
            </w:r>
          </w:p>
        </w:tc>
        <w:tc>
          <w:tcPr>
            <w:tcW w:w="1469" w:type="dxa"/>
            <w:tcBorders>
              <w:top w:val="nil"/>
              <w:left w:val="nil"/>
              <w:bottom w:val="single" w:sz="4" w:space="0" w:color="auto"/>
              <w:right w:val="single" w:sz="4" w:space="0" w:color="auto"/>
            </w:tcBorders>
            <w:shd w:val="clear" w:color="000000" w:fill="FFFFFF"/>
            <w:vAlign w:val="center"/>
            <w:hideMark/>
          </w:tcPr>
          <w:p w14:paraId="5D6C8EBE"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12.35%</w:t>
            </w:r>
          </w:p>
        </w:tc>
        <w:tc>
          <w:tcPr>
            <w:tcW w:w="916" w:type="dxa"/>
            <w:tcBorders>
              <w:top w:val="nil"/>
              <w:left w:val="nil"/>
              <w:bottom w:val="single" w:sz="4" w:space="0" w:color="auto"/>
              <w:right w:val="single" w:sz="4" w:space="0" w:color="auto"/>
            </w:tcBorders>
            <w:shd w:val="clear" w:color="000000" w:fill="FFFFFF"/>
            <w:vAlign w:val="center"/>
            <w:hideMark/>
          </w:tcPr>
          <w:p w14:paraId="28AD05F0"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7.22%</w:t>
            </w:r>
          </w:p>
        </w:tc>
        <w:tc>
          <w:tcPr>
            <w:tcW w:w="1965" w:type="dxa"/>
            <w:tcBorders>
              <w:top w:val="nil"/>
              <w:left w:val="nil"/>
              <w:bottom w:val="single" w:sz="4" w:space="0" w:color="auto"/>
              <w:right w:val="single" w:sz="4" w:space="0" w:color="auto"/>
            </w:tcBorders>
            <w:shd w:val="clear" w:color="000000" w:fill="FFFFFF"/>
            <w:vAlign w:val="center"/>
            <w:hideMark/>
          </w:tcPr>
          <w:p w14:paraId="10C985C8"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6.76%</w:t>
            </w:r>
          </w:p>
        </w:tc>
        <w:tc>
          <w:tcPr>
            <w:tcW w:w="1318" w:type="dxa"/>
            <w:tcBorders>
              <w:top w:val="nil"/>
              <w:left w:val="nil"/>
              <w:bottom w:val="single" w:sz="4" w:space="0" w:color="auto"/>
              <w:right w:val="single" w:sz="4" w:space="0" w:color="auto"/>
            </w:tcBorders>
            <w:shd w:val="clear" w:color="000000" w:fill="FFFFFF"/>
            <w:vAlign w:val="center"/>
            <w:hideMark/>
          </w:tcPr>
          <w:p w14:paraId="1E1E08F9"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6.07%</w:t>
            </w:r>
          </w:p>
        </w:tc>
        <w:tc>
          <w:tcPr>
            <w:tcW w:w="1603" w:type="dxa"/>
            <w:tcBorders>
              <w:top w:val="nil"/>
              <w:left w:val="nil"/>
              <w:bottom w:val="single" w:sz="4" w:space="0" w:color="auto"/>
              <w:right w:val="single" w:sz="8" w:space="0" w:color="auto"/>
            </w:tcBorders>
            <w:shd w:val="clear" w:color="000000" w:fill="FFFFFF"/>
            <w:noWrap/>
            <w:vAlign w:val="center"/>
            <w:hideMark/>
          </w:tcPr>
          <w:p w14:paraId="014AFE98"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6.64%</w:t>
            </w:r>
          </w:p>
        </w:tc>
      </w:tr>
      <w:tr w:rsidR="00773E00" w:rsidRPr="00773E00" w14:paraId="43B91EC7" w14:textId="77777777" w:rsidTr="0005196C">
        <w:trPr>
          <w:trHeight w:val="603"/>
        </w:trPr>
        <w:tc>
          <w:tcPr>
            <w:tcW w:w="1469" w:type="dxa"/>
            <w:tcBorders>
              <w:top w:val="nil"/>
              <w:left w:val="single" w:sz="8" w:space="0" w:color="auto"/>
              <w:bottom w:val="single" w:sz="8" w:space="0" w:color="auto"/>
              <w:right w:val="single" w:sz="4" w:space="0" w:color="auto"/>
            </w:tcBorders>
            <w:shd w:val="clear" w:color="000000" w:fill="FFFFFF"/>
            <w:vAlign w:val="bottom"/>
            <w:hideMark/>
          </w:tcPr>
          <w:p w14:paraId="1EA53D4E" w14:textId="77777777" w:rsidR="00773E00" w:rsidRPr="00773E00" w:rsidRDefault="00773E00" w:rsidP="00773E00">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Net Profit Margin</w:t>
            </w:r>
          </w:p>
        </w:tc>
        <w:tc>
          <w:tcPr>
            <w:tcW w:w="954" w:type="dxa"/>
            <w:tcBorders>
              <w:top w:val="nil"/>
              <w:left w:val="nil"/>
              <w:bottom w:val="single" w:sz="8" w:space="0" w:color="auto"/>
              <w:right w:val="single" w:sz="4" w:space="0" w:color="auto"/>
            </w:tcBorders>
            <w:shd w:val="clear" w:color="000000" w:fill="FFFFFF"/>
            <w:vAlign w:val="center"/>
            <w:hideMark/>
          </w:tcPr>
          <w:p w14:paraId="442D9D42"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9.69%</w:t>
            </w:r>
          </w:p>
        </w:tc>
        <w:tc>
          <w:tcPr>
            <w:tcW w:w="1469" w:type="dxa"/>
            <w:tcBorders>
              <w:top w:val="nil"/>
              <w:left w:val="nil"/>
              <w:bottom w:val="single" w:sz="8" w:space="0" w:color="auto"/>
              <w:right w:val="single" w:sz="4" w:space="0" w:color="auto"/>
            </w:tcBorders>
            <w:shd w:val="clear" w:color="000000" w:fill="FFFFFF"/>
            <w:vAlign w:val="center"/>
            <w:hideMark/>
          </w:tcPr>
          <w:p w14:paraId="24F6CCD9"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9.32%</w:t>
            </w:r>
          </w:p>
        </w:tc>
        <w:tc>
          <w:tcPr>
            <w:tcW w:w="916" w:type="dxa"/>
            <w:tcBorders>
              <w:top w:val="nil"/>
              <w:left w:val="nil"/>
              <w:bottom w:val="single" w:sz="8" w:space="0" w:color="auto"/>
              <w:right w:val="single" w:sz="4" w:space="0" w:color="auto"/>
            </w:tcBorders>
            <w:shd w:val="clear" w:color="000000" w:fill="FFFFFF"/>
            <w:vAlign w:val="center"/>
            <w:hideMark/>
          </w:tcPr>
          <w:p w14:paraId="2B1D7727"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5.89%</w:t>
            </w:r>
          </w:p>
        </w:tc>
        <w:tc>
          <w:tcPr>
            <w:tcW w:w="1965" w:type="dxa"/>
            <w:tcBorders>
              <w:top w:val="nil"/>
              <w:left w:val="nil"/>
              <w:bottom w:val="single" w:sz="8" w:space="0" w:color="auto"/>
              <w:right w:val="single" w:sz="4" w:space="0" w:color="auto"/>
            </w:tcBorders>
            <w:shd w:val="clear" w:color="000000" w:fill="FFFFFF"/>
            <w:vAlign w:val="center"/>
            <w:hideMark/>
          </w:tcPr>
          <w:p w14:paraId="2470D03D"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5.23%</w:t>
            </w:r>
          </w:p>
        </w:tc>
        <w:tc>
          <w:tcPr>
            <w:tcW w:w="1318" w:type="dxa"/>
            <w:tcBorders>
              <w:top w:val="nil"/>
              <w:left w:val="nil"/>
              <w:bottom w:val="single" w:sz="8" w:space="0" w:color="auto"/>
              <w:right w:val="single" w:sz="4" w:space="0" w:color="auto"/>
            </w:tcBorders>
            <w:shd w:val="clear" w:color="000000" w:fill="FFFFFF"/>
            <w:vAlign w:val="center"/>
            <w:hideMark/>
          </w:tcPr>
          <w:p w14:paraId="16F16910"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4.32%</w:t>
            </w:r>
          </w:p>
        </w:tc>
        <w:tc>
          <w:tcPr>
            <w:tcW w:w="1603" w:type="dxa"/>
            <w:tcBorders>
              <w:top w:val="nil"/>
              <w:left w:val="nil"/>
              <w:bottom w:val="single" w:sz="8" w:space="0" w:color="auto"/>
              <w:right w:val="single" w:sz="8" w:space="0" w:color="auto"/>
            </w:tcBorders>
            <w:shd w:val="clear" w:color="000000" w:fill="FFFFFF"/>
            <w:noWrap/>
            <w:vAlign w:val="center"/>
            <w:hideMark/>
          </w:tcPr>
          <w:p w14:paraId="4658476E" w14:textId="77777777" w:rsidR="00773E00" w:rsidRPr="00773E00" w:rsidRDefault="00773E00" w:rsidP="00773E00">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4.53%</w:t>
            </w:r>
          </w:p>
        </w:tc>
      </w:tr>
    </w:tbl>
    <w:p w14:paraId="7DA93E09" w14:textId="2EB2B26E" w:rsidR="00773E00" w:rsidRDefault="00202F78" w:rsidP="00773E00">
      <w:r>
        <w:t xml:space="preserve">Source: </w:t>
      </w:r>
      <w:r w:rsidR="002E4A1F">
        <w:t xml:space="preserve">Author`s calculations </w:t>
      </w:r>
    </w:p>
    <w:p w14:paraId="3DC58DC2" w14:textId="6CF68003" w:rsidR="00773E00" w:rsidRPr="00202F78" w:rsidRDefault="007160C3" w:rsidP="00773E00">
      <w:pPr>
        <w:rPr>
          <w:b/>
          <w:bCs/>
        </w:rPr>
      </w:pPr>
      <w:r w:rsidRPr="00202F78">
        <w:rPr>
          <w:b/>
          <w:bCs/>
        </w:rPr>
        <w:t>B</w:t>
      </w:r>
      <w:r w:rsidR="00773E00" w:rsidRPr="00202F78">
        <w:rPr>
          <w:b/>
          <w:bCs/>
        </w:rPr>
        <w:t>.1.</w:t>
      </w:r>
      <w:r w:rsidRPr="00202F78">
        <w:rPr>
          <w:b/>
          <w:bCs/>
        </w:rPr>
        <w:t>2.</w:t>
      </w:r>
      <w:r w:rsidR="00773E00" w:rsidRPr="00202F78">
        <w:rPr>
          <w:b/>
          <w:bCs/>
        </w:rPr>
        <w:t xml:space="preserve"> Efficiency</w:t>
      </w:r>
      <w:r w:rsidRPr="00202F78">
        <w:rPr>
          <w:b/>
          <w:bCs/>
        </w:rPr>
        <w:t xml:space="preserve"> ratios</w:t>
      </w:r>
    </w:p>
    <w:p w14:paraId="2F0F07D7" w14:textId="58D47A06" w:rsidR="0005196C" w:rsidRDefault="0005196C" w:rsidP="00773E00">
      <w:r>
        <w:t xml:space="preserve">The efficiency ratios </w:t>
      </w:r>
      <w:r w:rsidR="00202F78">
        <w:t xml:space="preserve">are the one who is showing how well the company </w:t>
      </w:r>
      <w:proofErr w:type="gramStart"/>
      <w:r w:rsidR="00202F78">
        <w:t>is able to</w:t>
      </w:r>
      <w:proofErr w:type="gramEnd"/>
      <w:r w:rsidR="00202F78">
        <w:t xml:space="preserve"> use the assets and resources. The efficiency ratios are the Asset Turnover and the Fixed Asset Turnover</w:t>
      </w:r>
    </w:p>
    <w:p w14:paraId="621EF08B" w14:textId="636651B5" w:rsidR="00202F78" w:rsidRDefault="00202F78" w:rsidP="00773E00">
      <w:r>
        <w:t>On Tab.3 are presented the elements from the Financial statements, that are required in order to do the calculation.</w:t>
      </w:r>
    </w:p>
    <w:p w14:paraId="2AAD00AD" w14:textId="6CA1A020" w:rsidR="000F2BD2" w:rsidRDefault="000F2BD2" w:rsidP="00773E00">
      <w:r>
        <w:t>Tab.</w:t>
      </w:r>
      <w:proofErr w:type="gramStart"/>
      <w:r>
        <w:t>3  Efficiency</w:t>
      </w:r>
      <w:proofErr w:type="gramEnd"/>
      <w:r>
        <w:t xml:space="preserve"> ratios calculation elements</w:t>
      </w:r>
    </w:p>
    <w:tbl>
      <w:tblPr>
        <w:tblW w:w="9480" w:type="dxa"/>
        <w:tblLook w:val="04A0" w:firstRow="1" w:lastRow="0" w:firstColumn="1" w:lastColumn="0" w:noHBand="0" w:noVBand="1"/>
      </w:tblPr>
      <w:tblGrid>
        <w:gridCol w:w="1580"/>
        <w:gridCol w:w="1260"/>
        <w:gridCol w:w="1260"/>
        <w:gridCol w:w="1260"/>
        <w:gridCol w:w="1260"/>
        <w:gridCol w:w="1260"/>
        <w:gridCol w:w="1600"/>
      </w:tblGrid>
      <w:tr w:rsidR="007160C3" w:rsidRPr="007160C3" w14:paraId="05D693DA" w14:textId="77777777" w:rsidTr="007160C3">
        <w:trPr>
          <w:trHeight w:val="300"/>
        </w:trPr>
        <w:tc>
          <w:tcPr>
            <w:tcW w:w="1580" w:type="dxa"/>
            <w:vMerge w:val="restart"/>
            <w:tcBorders>
              <w:top w:val="single" w:sz="8" w:space="0" w:color="auto"/>
              <w:left w:val="single" w:sz="8" w:space="0" w:color="auto"/>
              <w:bottom w:val="single" w:sz="8" w:space="0" w:color="000000"/>
              <w:right w:val="single" w:sz="4" w:space="0" w:color="auto"/>
            </w:tcBorders>
            <w:shd w:val="clear" w:color="auto" w:fill="auto"/>
            <w:noWrap/>
            <w:vAlign w:val="bottom"/>
            <w:hideMark/>
          </w:tcPr>
          <w:p w14:paraId="51BFABC1"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 </w:t>
            </w:r>
          </w:p>
        </w:tc>
        <w:tc>
          <w:tcPr>
            <w:tcW w:w="6300" w:type="dxa"/>
            <w:gridSpan w:val="5"/>
            <w:tcBorders>
              <w:top w:val="single" w:sz="8" w:space="0" w:color="auto"/>
              <w:left w:val="nil"/>
              <w:bottom w:val="single" w:sz="4" w:space="0" w:color="auto"/>
              <w:right w:val="single" w:sz="4" w:space="0" w:color="auto"/>
            </w:tcBorders>
            <w:shd w:val="clear" w:color="auto" w:fill="auto"/>
            <w:noWrap/>
            <w:vAlign w:val="bottom"/>
            <w:hideMark/>
          </w:tcPr>
          <w:p w14:paraId="412CEC3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The chosen company</w:t>
            </w:r>
          </w:p>
        </w:tc>
        <w:tc>
          <w:tcPr>
            <w:tcW w:w="1600" w:type="dxa"/>
            <w:tcBorders>
              <w:top w:val="single" w:sz="8" w:space="0" w:color="auto"/>
              <w:left w:val="nil"/>
              <w:bottom w:val="single" w:sz="4" w:space="0" w:color="auto"/>
              <w:right w:val="single" w:sz="8" w:space="0" w:color="auto"/>
            </w:tcBorders>
            <w:shd w:val="clear" w:color="auto" w:fill="auto"/>
            <w:noWrap/>
            <w:vAlign w:val="bottom"/>
            <w:hideMark/>
          </w:tcPr>
          <w:p w14:paraId="736F09C4"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Competitor</w:t>
            </w:r>
          </w:p>
        </w:tc>
      </w:tr>
      <w:tr w:rsidR="007160C3" w:rsidRPr="007160C3" w14:paraId="0F751377" w14:textId="77777777" w:rsidTr="007160C3">
        <w:trPr>
          <w:trHeight w:val="735"/>
        </w:trPr>
        <w:tc>
          <w:tcPr>
            <w:tcW w:w="1580" w:type="dxa"/>
            <w:vMerge/>
            <w:tcBorders>
              <w:top w:val="single" w:sz="8" w:space="0" w:color="auto"/>
              <w:left w:val="single" w:sz="8" w:space="0" w:color="auto"/>
              <w:bottom w:val="single" w:sz="8" w:space="0" w:color="000000"/>
              <w:right w:val="single" w:sz="4" w:space="0" w:color="auto"/>
            </w:tcBorders>
            <w:vAlign w:val="center"/>
            <w:hideMark/>
          </w:tcPr>
          <w:p w14:paraId="13F2B830" w14:textId="77777777" w:rsidR="007160C3" w:rsidRPr="007160C3" w:rsidRDefault="007160C3" w:rsidP="007160C3">
            <w:pPr>
              <w:spacing w:after="0" w:line="240" w:lineRule="auto"/>
              <w:rPr>
                <w:rFonts w:ascii="Calibri" w:eastAsia="Times New Roman" w:hAnsi="Calibri" w:cs="Calibri"/>
                <w:color w:val="000000"/>
                <w:lang w:eastAsia="en-GB"/>
              </w:rPr>
            </w:pPr>
          </w:p>
        </w:tc>
        <w:tc>
          <w:tcPr>
            <w:tcW w:w="6300" w:type="dxa"/>
            <w:gridSpan w:val="5"/>
            <w:tcBorders>
              <w:top w:val="single" w:sz="4" w:space="0" w:color="auto"/>
              <w:left w:val="nil"/>
              <w:bottom w:val="single" w:sz="8" w:space="0" w:color="auto"/>
              <w:right w:val="single" w:sz="4" w:space="0" w:color="auto"/>
            </w:tcBorders>
            <w:shd w:val="clear" w:color="auto" w:fill="auto"/>
            <w:noWrap/>
            <w:vAlign w:val="bottom"/>
            <w:hideMark/>
          </w:tcPr>
          <w:p w14:paraId="6190C06F"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Jaguar Land (£M)</w:t>
            </w:r>
          </w:p>
        </w:tc>
        <w:tc>
          <w:tcPr>
            <w:tcW w:w="1600" w:type="dxa"/>
            <w:tcBorders>
              <w:top w:val="nil"/>
              <w:left w:val="nil"/>
              <w:bottom w:val="single" w:sz="8" w:space="0" w:color="auto"/>
              <w:right w:val="single" w:sz="8" w:space="0" w:color="auto"/>
            </w:tcBorders>
            <w:shd w:val="clear" w:color="auto" w:fill="auto"/>
            <w:vAlign w:val="bottom"/>
            <w:hideMark/>
          </w:tcPr>
          <w:p w14:paraId="0933489B"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Mercedes Benz (€M)</w:t>
            </w:r>
          </w:p>
        </w:tc>
      </w:tr>
      <w:tr w:rsidR="007160C3" w:rsidRPr="007160C3" w14:paraId="6B22B465" w14:textId="77777777" w:rsidTr="007160C3">
        <w:trPr>
          <w:trHeight w:val="315"/>
        </w:trPr>
        <w:tc>
          <w:tcPr>
            <w:tcW w:w="1580" w:type="dxa"/>
            <w:tcBorders>
              <w:top w:val="nil"/>
              <w:left w:val="single" w:sz="8" w:space="0" w:color="auto"/>
              <w:bottom w:val="single" w:sz="8" w:space="0" w:color="auto"/>
              <w:right w:val="single" w:sz="4" w:space="0" w:color="auto"/>
            </w:tcBorders>
            <w:shd w:val="clear" w:color="auto" w:fill="auto"/>
            <w:noWrap/>
            <w:vAlign w:val="bottom"/>
            <w:hideMark/>
          </w:tcPr>
          <w:p w14:paraId="197875B4"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 xml:space="preserve">Year </w:t>
            </w:r>
          </w:p>
        </w:tc>
        <w:tc>
          <w:tcPr>
            <w:tcW w:w="1260" w:type="dxa"/>
            <w:tcBorders>
              <w:top w:val="nil"/>
              <w:left w:val="nil"/>
              <w:bottom w:val="single" w:sz="8" w:space="0" w:color="auto"/>
              <w:right w:val="single" w:sz="4" w:space="0" w:color="auto"/>
            </w:tcBorders>
            <w:shd w:val="clear" w:color="auto" w:fill="auto"/>
            <w:noWrap/>
            <w:vAlign w:val="bottom"/>
            <w:hideMark/>
          </w:tcPr>
          <w:p w14:paraId="3D483A15"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2014</w:t>
            </w:r>
          </w:p>
        </w:tc>
        <w:tc>
          <w:tcPr>
            <w:tcW w:w="1260" w:type="dxa"/>
            <w:tcBorders>
              <w:top w:val="nil"/>
              <w:left w:val="nil"/>
              <w:bottom w:val="single" w:sz="8" w:space="0" w:color="auto"/>
              <w:right w:val="single" w:sz="4" w:space="0" w:color="auto"/>
            </w:tcBorders>
            <w:shd w:val="clear" w:color="auto" w:fill="auto"/>
            <w:noWrap/>
            <w:vAlign w:val="bottom"/>
            <w:hideMark/>
          </w:tcPr>
          <w:p w14:paraId="16E8FA3E"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2015</w:t>
            </w:r>
          </w:p>
        </w:tc>
        <w:tc>
          <w:tcPr>
            <w:tcW w:w="1260" w:type="dxa"/>
            <w:tcBorders>
              <w:top w:val="nil"/>
              <w:left w:val="nil"/>
              <w:bottom w:val="single" w:sz="8" w:space="0" w:color="auto"/>
              <w:right w:val="single" w:sz="4" w:space="0" w:color="auto"/>
            </w:tcBorders>
            <w:shd w:val="clear" w:color="auto" w:fill="auto"/>
            <w:noWrap/>
            <w:vAlign w:val="bottom"/>
            <w:hideMark/>
          </w:tcPr>
          <w:p w14:paraId="02D4E25C"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2016</w:t>
            </w:r>
          </w:p>
        </w:tc>
        <w:tc>
          <w:tcPr>
            <w:tcW w:w="1260" w:type="dxa"/>
            <w:tcBorders>
              <w:top w:val="nil"/>
              <w:left w:val="nil"/>
              <w:bottom w:val="single" w:sz="8" w:space="0" w:color="auto"/>
              <w:right w:val="single" w:sz="4" w:space="0" w:color="auto"/>
            </w:tcBorders>
            <w:shd w:val="clear" w:color="auto" w:fill="auto"/>
            <w:noWrap/>
            <w:vAlign w:val="bottom"/>
            <w:hideMark/>
          </w:tcPr>
          <w:p w14:paraId="3BFCA1FD"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2017</w:t>
            </w:r>
          </w:p>
        </w:tc>
        <w:tc>
          <w:tcPr>
            <w:tcW w:w="1260" w:type="dxa"/>
            <w:tcBorders>
              <w:top w:val="nil"/>
              <w:left w:val="nil"/>
              <w:bottom w:val="single" w:sz="8" w:space="0" w:color="auto"/>
              <w:right w:val="single" w:sz="4" w:space="0" w:color="auto"/>
            </w:tcBorders>
            <w:shd w:val="clear" w:color="auto" w:fill="auto"/>
            <w:noWrap/>
            <w:vAlign w:val="bottom"/>
            <w:hideMark/>
          </w:tcPr>
          <w:p w14:paraId="65DF3416"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c>
          <w:tcPr>
            <w:tcW w:w="1600" w:type="dxa"/>
            <w:tcBorders>
              <w:top w:val="nil"/>
              <w:left w:val="nil"/>
              <w:bottom w:val="single" w:sz="8" w:space="0" w:color="auto"/>
              <w:right w:val="single" w:sz="8" w:space="0" w:color="auto"/>
            </w:tcBorders>
            <w:shd w:val="clear" w:color="auto" w:fill="auto"/>
            <w:noWrap/>
            <w:vAlign w:val="bottom"/>
            <w:hideMark/>
          </w:tcPr>
          <w:p w14:paraId="3EDE2448"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r>
      <w:tr w:rsidR="007160C3" w:rsidRPr="007160C3" w14:paraId="57850DCF" w14:textId="77777777" w:rsidTr="007160C3">
        <w:trPr>
          <w:trHeight w:val="300"/>
        </w:trPr>
        <w:tc>
          <w:tcPr>
            <w:tcW w:w="1580" w:type="dxa"/>
            <w:tcBorders>
              <w:top w:val="nil"/>
              <w:left w:val="single" w:sz="8" w:space="0" w:color="auto"/>
              <w:bottom w:val="single" w:sz="4" w:space="0" w:color="auto"/>
              <w:right w:val="single" w:sz="4" w:space="0" w:color="auto"/>
            </w:tcBorders>
            <w:shd w:val="clear" w:color="auto" w:fill="auto"/>
            <w:noWrap/>
            <w:vAlign w:val="bottom"/>
            <w:hideMark/>
          </w:tcPr>
          <w:p w14:paraId="2D6F8985"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Sales</w:t>
            </w:r>
          </w:p>
        </w:tc>
        <w:tc>
          <w:tcPr>
            <w:tcW w:w="1260" w:type="dxa"/>
            <w:tcBorders>
              <w:top w:val="nil"/>
              <w:left w:val="nil"/>
              <w:bottom w:val="single" w:sz="4" w:space="0" w:color="auto"/>
              <w:right w:val="single" w:sz="4" w:space="0" w:color="auto"/>
            </w:tcBorders>
            <w:shd w:val="clear" w:color="auto" w:fill="auto"/>
            <w:noWrap/>
            <w:vAlign w:val="bottom"/>
            <w:hideMark/>
          </w:tcPr>
          <w:p w14:paraId="2AFB6C7D"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£19,386</w:t>
            </w:r>
          </w:p>
        </w:tc>
        <w:tc>
          <w:tcPr>
            <w:tcW w:w="1260" w:type="dxa"/>
            <w:tcBorders>
              <w:top w:val="nil"/>
              <w:left w:val="nil"/>
              <w:bottom w:val="single" w:sz="4" w:space="0" w:color="auto"/>
              <w:right w:val="single" w:sz="4" w:space="0" w:color="auto"/>
            </w:tcBorders>
            <w:shd w:val="clear" w:color="auto" w:fill="auto"/>
            <w:noWrap/>
            <w:vAlign w:val="bottom"/>
            <w:hideMark/>
          </w:tcPr>
          <w:p w14:paraId="0A7DC198"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£21,866</w:t>
            </w:r>
          </w:p>
        </w:tc>
        <w:tc>
          <w:tcPr>
            <w:tcW w:w="1260" w:type="dxa"/>
            <w:tcBorders>
              <w:top w:val="nil"/>
              <w:left w:val="nil"/>
              <w:bottom w:val="single" w:sz="4" w:space="0" w:color="auto"/>
              <w:right w:val="single" w:sz="4" w:space="0" w:color="auto"/>
            </w:tcBorders>
            <w:shd w:val="clear" w:color="auto" w:fill="auto"/>
            <w:noWrap/>
            <w:vAlign w:val="bottom"/>
            <w:hideMark/>
          </w:tcPr>
          <w:p w14:paraId="157890F4"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£22,286</w:t>
            </w:r>
          </w:p>
        </w:tc>
        <w:tc>
          <w:tcPr>
            <w:tcW w:w="1260" w:type="dxa"/>
            <w:tcBorders>
              <w:top w:val="nil"/>
              <w:left w:val="nil"/>
              <w:bottom w:val="single" w:sz="4" w:space="0" w:color="auto"/>
              <w:right w:val="single" w:sz="4" w:space="0" w:color="auto"/>
            </w:tcBorders>
            <w:shd w:val="clear" w:color="auto" w:fill="auto"/>
            <w:noWrap/>
            <w:vAlign w:val="bottom"/>
            <w:hideMark/>
          </w:tcPr>
          <w:p w14:paraId="4D5DA4FA"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£24,339</w:t>
            </w:r>
          </w:p>
        </w:tc>
        <w:tc>
          <w:tcPr>
            <w:tcW w:w="1260" w:type="dxa"/>
            <w:tcBorders>
              <w:top w:val="nil"/>
              <w:left w:val="nil"/>
              <w:bottom w:val="single" w:sz="4" w:space="0" w:color="auto"/>
              <w:right w:val="single" w:sz="4" w:space="0" w:color="auto"/>
            </w:tcBorders>
            <w:shd w:val="clear" w:color="auto" w:fill="auto"/>
            <w:noWrap/>
            <w:vAlign w:val="bottom"/>
            <w:hideMark/>
          </w:tcPr>
          <w:p w14:paraId="1C8ED779"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£25,786</w:t>
            </w:r>
          </w:p>
        </w:tc>
        <w:tc>
          <w:tcPr>
            <w:tcW w:w="1600" w:type="dxa"/>
            <w:tcBorders>
              <w:top w:val="nil"/>
              <w:left w:val="nil"/>
              <w:bottom w:val="single" w:sz="4" w:space="0" w:color="auto"/>
              <w:right w:val="single" w:sz="8" w:space="0" w:color="auto"/>
            </w:tcBorders>
            <w:shd w:val="clear" w:color="auto" w:fill="auto"/>
            <w:noWrap/>
            <w:vAlign w:val="bottom"/>
            <w:hideMark/>
          </w:tcPr>
          <w:p w14:paraId="2EED0FD4"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£167,362</w:t>
            </w:r>
          </w:p>
        </w:tc>
      </w:tr>
      <w:tr w:rsidR="007160C3" w:rsidRPr="007160C3" w14:paraId="56564E12" w14:textId="77777777" w:rsidTr="007160C3">
        <w:trPr>
          <w:trHeight w:val="300"/>
        </w:trPr>
        <w:tc>
          <w:tcPr>
            <w:tcW w:w="1580" w:type="dxa"/>
            <w:tcBorders>
              <w:top w:val="nil"/>
              <w:left w:val="single" w:sz="8" w:space="0" w:color="auto"/>
              <w:bottom w:val="single" w:sz="4" w:space="0" w:color="auto"/>
              <w:right w:val="single" w:sz="4" w:space="0" w:color="auto"/>
            </w:tcBorders>
            <w:shd w:val="clear" w:color="auto" w:fill="auto"/>
            <w:noWrap/>
            <w:vAlign w:val="bottom"/>
            <w:hideMark/>
          </w:tcPr>
          <w:p w14:paraId="266F9737"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Total Assets</w:t>
            </w:r>
          </w:p>
        </w:tc>
        <w:tc>
          <w:tcPr>
            <w:tcW w:w="1260" w:type="dxa"/>
            <w:tcBorders>
              <w:top w:val="nil"/>
              <w:left w:val="nil"/>
              <w:bottom w:val="single" w:sz="4" w:space="0" w:color="auto"/>
              <w:right w:val="single" w:sz="4" w:space="0" w:color="auto"/>
            </w:tcBorders>
            <w:shd w:val="clear" w:color="auto" w:fill="auto"/>
            <w:noWrap/>
            <w:vAlign w:val="bottom"/>
            <w:hideMark/>
          </w:tcPr>
          <w:p w14:paraId="2208EABB"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£15,589</w:t>
            </w:r>
          </w:p>
        </w:tc>
        <w:tc>
          <w:tcPr>
            <w:tcW w:w="1260" w:type="dxa"/>
            <w:tcBorders>
              <w:top w:val="nil"/>
              <w:left w:val="nil"/>
              <w:bottom w:val="single" w:sz="4" w:space="0" w:color="auto"/>
              <w:right w:val="single" w:sz="4" w:space="0" w:color="auto"/>
            </w:tcBorders>
            <w:shd w:val="clear" w:color="auto" w:fill="auto"/>
            <w:noWrap/>
            <w:vAlign w:val="bottom"/>
            <w:hideMark/>
          </w:tcPr>
          <w:p w14:paraId="4B21C1EE"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£18,563</w:t>
            </w:r>
          </w:p>
        </w:tc>
        <w:tc>
          <w:tcPr>
            <w:tcW w:w="1260" w:type="dxa"/>
            <w:tcBorders>
              <w:top w:val="nil"/>
              <w:left w:val="nil"/>
              <w:bottom w:val="single" w:sz="4" w:space="0" w:color="auto"/>
              <w:right w:val="single" w:sz="4" w:space="0" w:color="auto"/>
            </w:tcBorders>
            <w:shd w:val="clear" w:color="auto" w:fill="auto"/>
            <w:noWrap/>
            <w:vAlign w:val="bottom"/>
            <w:hideMark/>
          </w:tcPr>
          <w:p w14:paraId="69199190"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£20,567</w:t>
            </w:r>
          </w:p>
        </w:tc>
        <w:tc>
          <w:tcPr>
            <w:tcW w:w="1260" w:type="dxa"/>
            <w:tcBorders>
              <w:top w:val="nil"/>
              <w:left w:val="nil"/>
              <w:bottom w:val="single" w:sz="4" w:space="0" w:color="auto"/>
              <w:right w:val="single" w:sz="4" w:space="0" w:color="auto"/>
            </w:tcBorders>
            <w:shd w:val="clear" w:color="auto" w:fill="auto"/>
            <w:noWrap/>
            <w:vAlign w:val="bottom"/>
            <w:hideMark/>
          </w:tcPr>
          <w:p w14:paraId="14F233CE"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£24,350</w:t>
            </w:r>
          </w:p>
        </w:tc>
        <w:tc>
          <w:tcPr>
            <w:tcW w:w="1260" w:type="dxa"/>
            <w:tcBorders>
              <w:top w:val="nil"/>
              <w:left w:val="nil"/>
              <w:bottom w:val="single" w:sz="4" w:space="0" w:color="auto"/>
              <w:right w:val="single" w:sz="4" w:space="0" w:color="auto"/>
            </w:tcBorders>
            <w:shd w:val="clear" w:color="auto" w:fill="auto"/>
            <w:noWrap/>
            <w:vAlign w:val="bottom"/>
            <w:hideMark/>
          </w:tcPr>
          <w:p w14:paraId="2ABA2E4B"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£26,775</w:t>
            </w:r>
          </w:p>
        </w:tc>
        <w:tc>
          <w:tcPr>
            <w:tcW w:w="1600" w:type="dxa"/>
            <w:tcBorders>
              <w:top w:val="nil"/>
              <w:left w:val="nil"/>
              <w:bottom w:val="single" w:sz="4" w:space="0" w:color="auto"/>
              <w:right w:val="single" w:sz="8" w:space="0" w:color="auto"/>
            </w:tcBorders>
            <w:shd w:val="clear" w:color="auto" w:fill="auto"/>
            <w:noWrap/>
            <w:vAlign w:val="bottom"/>
            <w:hideMark/>
          </w:tcPr>
          <w:p w14:paraId="438EBF86"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£281,619</w:t>
            </w:r>
          </w:p>
        </w:tc>
      </w:tr>
      <w:tr w:rsidR="007160C3" w:rsidRPr="007160C3" w14:paraId="2DE9A51C" w14:textId="77777777" w:rsidTr="007160C3">
        <w:trPr>
          <w:trHeight w:val="315"/>
        </w:trPr>
        <w:tc>
          <w:tcPr>
            <w:tcW w:w="1580" w:type="dxa"/>
            <w:tcBorders>
              <w:top w:val="nil"/>
              <w:left w:val="single" w:sz="8" w:space="0" w:color="auto"/>
              <w:bottom w:val="single" w:sz="8" w:space="0" w:color="auto"/>
              <w:right w:val="single" w:sz="4" w:space="0" w:color="auto"/>
            </w:tcBorders>
            <w:shd w:val="clear" w:color="auto" w:fill="auto"/>
            <w:noWrap/>
            <w:vAlign w:val="bottom"/>
            <w:hideMark/>
          </w:tcPr>
          <w:p w14:paraId="47FDF2F0"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Fixed Assets</w:t>
            </w:r>
          </w:p>
        </w:tc>
        <w:tc>
          <w:tcPr>
            <w:tcW w:w="1260" w:type="dxa"/>
            <w:tcBorders>
              <w:top w:val="nil"/>
              <w:left w:val="nil"/>
              <w:bottom w:val="single" w:sz="8" w:space="0" w:color="auto"/>
              <w:right w:val="single" w:sz="4" w:space="0" w:color="auto"/>
            </w:tcBorders>
            <w:shd w:val="clear" w:color="auto" w:fill="auto"/>
            <w:noWrap/>
            <w:vAlign w:val="bottom"/>
            <w:hideMark/>
          </w:tcPr>
          <w:p w14:paraId="745DB854"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£3,184</w:t>
            </w:r>
          </w:p>
        </w:tc>
        <w:tc>
          <w:tcPr>
            <w:tcW w:w="1260" w:type="dxa"/>
            <w:tcBorders>
              <w:top w:val="nil"/>
              <w:left w:val="nil"/>
              <w:bottom w:val="single" w:sz="8" w:space="0" w:color="auto"/>
              <w:right w:val="single" w:sz="4" w:space="0" w:color="auto"/>
            </w:tcBorders>
            <w:shd w:val="clear" w:color="auto" w:fill="auto"/>
            <w:noWrap/>
            <w:vAlign w:val="bottom"/>
            <w:hideMark/>
          </w:tcPr>
          <w:p w14:paraId="4A7551DF"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£4,474</w:t>
            </w:r>
          </w:p>
        </w:tc>
        <w:tc>
          <w:tcPr>
            <w:tcW w:w="1260" w:type="dxa"/>
            <w:tcBorders>
              <w:top w:val="nil"/>
              <w:left w:val="nil"/>
              <w:bottom w:val="single" w:sz="8" w:space="0" w:color="auto"/>
              <w:right w:val="single" w:sz="4" w:space="0" w:color="auto"/>
            </w:tcBorders>
            <w:shd w:val="clear" w:color="auto" w:fill="auto"/>
            <w:noWrap/>
            <w:vAlign w:val="bottom"/>
            <w:hideMark/>
          </w:tcPr>
          <w:p w14:paraId="11D2AC76"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£5,175</w:t>
            </w:r>
          </w:p>
        </w:tc>
        <w:tc>
          <w:tcPr>
            <w:tcW w:w="1260" w:type="dxa"/>
            <w:tcBorders>
              <w:top w:val="nil"/>
              <w:left w:val="nil"/>
              <w:bottom w:val="single" w:sz="8" w:space="0" w:color="auto"/>
              <w:right w:val="single" w:sz="4" w:space="0" w:color="auto"/>
            </w:tcBorders>
            <w:shd w:val="clear" w:color="auto" w:fill="auto"/>
            <w:noWrap/>
            <w:vAlign w:val="bottom"/>
            <w:hideMark/>
          </w:tcPr>
          <w:p w14:paraId="5A2ED32D"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£5,885</w:t>
            </w:r>
          </w:p>
        </w:tc>
        <w:tc>
          <w:tcPr>
            <w:tcW w:w="1260" w:type="dxa"/>
            <w:tcBorders>
              <w:top w:val="nil"/>
              <w:left w:val="nil"/>
              <w:bottom w:val="single" w:sz="8" w:space="0" w:color="auto"/>
              <w:right w:val="single" w:sz="4" w:space="0" w:color="auto"/>
            </w:tcBorders>
            <w:shd w:val="clear" w:color="auto" w:fill="auto"/>
            <w:noWrap/>
            <w:vAlign w:val="bottom"/>
            <w:hideMark/>
          </w:tcPr>
          <w:p w14:paraId="51685AE9"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£7,417</w:t>
            </w:r>
          </w:p>
        </w:tc>
        <w:tc>
          <w:tcPr>
            <w:tcW w:w="1600" w:type="dxa"/>
            <w:tcBorders>
              <w:top w:val="nil"/>
              <w:left w:val="nil"/>
              <w:bottom w:val="single" w:sz="8" w:space="0" w:color="auto"/>
              <w:right w:val="single" w:sz="8" w:space="0" w:color="auto"/>
            </w:tcBorders>
            <w:shd w:val="clear" w:color="auto" w:fill="auto"/>
            <w:noWrap/>
            <w:vAlign w:val="bottom"/>
            <w:hideMark/>
          </w:tcPr>
          <w:p w14:paraId="2B747643"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£30,948</w:t>
            </w:r>
          </w:p>
        </w:tc>
      </w:tr>
    </w:tbl>
    <w:p w14:paraId="631B41EC" w14:textId="241D14B5" w:rsidR="00773E00" w:rsidRDefault="00202F78" w:rsidP="00773E00">
      <w:r>
        <w:t xml:space="preserve">Source: </w:t>
      </w:r>
      <w:r w:rsidR="002E4A1F">
        <w:t>Author`s calculation and Annual Financial Statements of Jaguar Land Rover and Mercedes Benz</w:t>
      </w:r>
    </w:p>
    <w:p w14:paraId="2C78B2D2" w14:textId="3F13C352" w:rsidR="00202F78" w:rsidRDefault="00202F78" w:rsidP="00773E00">
      <w:r>
        <w:t>The formulas used to calculate the efficiency ratios can be found on the Appendix.</w:t>
      </w:r>
    </w:p>
    <w:p w14:paraId="7438F9F3" w14:textId="48D9E553" w:rsidR="002E4A1F" w:rsidRDefault="002E4A1F" w:rsidP="00773E00"/>
    <w:p w14:paraId="6A3F7957" w14:textId="77777777" w:rsidR="002E4A1F" w:rsidRDefault="002E4A1F" w:rsidP="00773E00"/>
    <w:p w14:paraId="4A48CCF4" w14:textId="71E3D291" w:rsidR="007160C3" w:rsidRDefault="00FA121B" w:rsidP="00773E00">
      <w:r>
        <w:lastRenderedPageBreak/>
        <w:t>Tab. 4 Efficiency ratios</w:t>
      </w:r>
    </w:p>
    <w:tbl>
      <w:tblPr>
        <w:tblW w:w="9540" w:type="dxa"/>
        <w:tblLook w:val="04A0" w:firstRow="1" w:lastRow="0" w:firstColumn="1" w:lastColumn="0" w:noHBand="0" w:noVBand="1"/>
      </w:tblPr>
      <w:tblGrid>
        <w:gridCol w:w="2140"/>
        <w:gridCol w:w="1120"/>
        <w:gridCol w:w="1120"/>
        <w:gridCol w:w="1120"/>
        <w:gridCol w:w="1120"/>
        <w:gridCol w:w="1120"/>
        <w:gridCol w:w="1800"/>
      </w:tblGrid>
      <w:tr w:rsidR="007160C3" w:rsidRPr="007160C3" w14:paraId="3B9F49E7" w14:textId="77777777" w:rsidTr="007160C3">
        <w:trPr>
          <w:trHeight w:val="615"/>
        </w:trPr>
        <w:tc>
          <w:tcPr>
            <w:tcW w:w="21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53EBA78"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Company</w:t>
            </w:r>
          </w:p>
        </w:tc>
        <w:tc>
          <w:tcPr>
            <w:tcW w:w="5600" w:type="dxa"/>
            <w:gridSpan w:val="5"/>
            <w:tcBorders>
              <w:top w:val="single" w:sz="8" w:space="0" w:color="auto"/>
              <w:left w:val="nil"/>
              <w:bottom w:val="single" w:sz="8" w:space="0" w:color="auto"/>
              <w:right w:val="single" w:sz="4" w:space="0" w:color="auto"/>
            </w:tcBorders>
            <w:shd w:val="clear" w:color="auto" w:fill="auto"/>
            <w:noWrap/>
            <w:vAlign w:val="bottom"/>
            <w:hideMark/>
          </w:tcPr>
          <w:p w14:paraId="52844ABC"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Jaguar Land Rover</w:t>
            </w:r>
          </w:p>
        </w:tc>
        <w:tc>
          <w:tcPr>
            <w:tcW w:w="1800" w:type="dxa"/>
            <w:tcBorders>
              <w:top w:val="single" w:sz="8" w:space="0" w:color="auto"/>
              <w:left w:val="nil"/>
              <w:bottom w:val="single" w:sz="8" w:space="0" w:color="auto"/>
              <w:right w:val="single" w:sz="8" w:space="0" w:color="auto"/>
            </w:tcBorders>
            <w:shd w:val="clear" w:color="auto" w:fill="auto"/>
            <w:noWrap/>
            <w:vAlign w:val="bottom"/>
            <w:hideMark/>
          </w:tcPr>
          <w:p w14:paraId="3833F087"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Mercedes Benz</w:t>
            </w:r>
          </w:p>
        </w:tc>
      </w:tr>
      <w:tr w:rsidR="007160C3" w:rsidRPr="007160C3" w14:paraId="0035EB17" w14:textId="77777777" w:rsidTr="007160C3">
        <w:trPr>
          <w:trHeight w:val="315"/>
        </w:trPr>
        <w:tc>
          <w:tcPr>
            <w:tcW w:w="2140" w:type="dxa"/>
            <w:tcBorders>
              <w:top w:val="nil"/>
              <w:left w:val="single" w:sz="8" w:space="0" w:color="auto"/>
              <w:bottom w:val="single" w:sz="8" w:space="0" w:color="auto"/>
              <w:right w:val="single" w:sz="4" w:space="0" w:color="auto"/>
            </w:tcBorders>
            <w:shd w:val="clear" w:color="auto" w:fill="auto"/>
            <w:noWrap/>
            <w:vAlign w:val="bottom"/>
            <w:hideMark/>
          </w:tcPr>
          <w:p w14:paraId="68E2FB1B"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Year / Ratio</w:t>
            </w:r>
          </w:p>
        </w:tc>
        <w:tc>
          <w:tcPr>
            <w:tcW w:w="1120" w:type="dxa"/>
            <w:tcBorders>
              <w:top w:val="nil"/>
              <w:left w:val="nil"/>
              <w:bottom w:val="single" w:sz="8" w:space="0" w:color="auto"/>
              <w:right w:val="single" w:sz="4" w:space="0" w:color="auto"/>
            </w:tcBorders>
            <w:shd w:val="clear" w:color="auto" w:fill="auto"/>
            <w:noWrap/>
            <w:vAlign w:val="center"/>
            <w:hideMark/>
          </w:tcPr>
          <w:p w14:paraId="66C832FE"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2014</w:t>
            </w:r>
          </w:p>
        </w:tc>
        <w:tc>
          <w:tcPr>
            <w:tcW w:w="1120" w:type="dxa"/>
            <w:tcBorders>
              <w:top w:val="nil"/>
              <w:left w:val="nil"/>
              <w:bottom w:val="single" w:sz="8" w:space="0" w:color="auto"/>
              <w:right w:val="single" w:sz="4" w:space="0" w:color="auto"/>
            </w:tcBorders>
            <w:shd w:val="clear" w:color="auto" w:fill="auto"/>
            <w:noWrap/>
            <w:vAlign w:val="center"/>
            <w:hideMark/>
          </w:tcPr>
          <w:p w14:paraId="2959219A"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2015</w:t>
            </w:r>
          </w:p>
        </w:tc>
        <w:tc>
          <w:tcPr>
            <w:tcW w:w="1120" w:type="dxa"/>
            <w:tcBorders>
              <w:top w:val="nil"/>
              <w:left w:val="nil"/>
              <w:bottom w:val="single" w:sz="8" w:space="0" w:color="auto"/>
              <w:right w:val="single" w:sz="4" w:space="0" w:color="auto"/>
            </w:tcBorders>
            <w:shd w:val="clear" w:color="auto" w:fill="auto"/>
            <w:noWrap/>
            <w:vAlign w:val="center"/>
            <w:hideMark/>
          </w:tcPr>
          <w:p w14:paraId="5B6AD6ED"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2016</w:t>
            </w:r>
          </w:p>
        </w:tc>
        <w:tc>
          <w:tcPr>
            <w:tcW w:w="1120" w:type="dxa"/>
            <w:tcBorders>
              <w:top w:val="nil"/>
              <w:left w:val="nil"/>
              <w:bottom w:val="single" w:sz="8" w:space="0" w:color="auto"/>
              <w:right w:val="single" w:sz="4" w:space="0" w:color="auto"/>
            </w:tcBorders>
            <w:shd w:val="clear" w:color="auto" w:fill="auto"/>
            <w:noWrap/>
            <w:vAlign w:val="center"/>
            <w:hideMark/>
          </w:tcPr>
          <w:p w14:paraId="2CC434F7"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2017</w:t>
            </w:r>
          </w:p>
        </w:tc>
        <w:tc>
          <w:tcPr>
            <w:tcW w:w="1120" w:type="dxa"/>
            <w:tcBorders>
              <w:top w:val="nil"/>
              <w:left w:val="nil"/>
              <w:bottom w:val="single" w:sz="8" w:space="0" w:color="auto"/>
              <w:right w:val="single" w:sz="4" w:space="0" w:color="auto"/>
            </w:tcBorders>
            <w:shd w:val="clear" w:color="000000" w:fill="FFFFFF"/>
            <w:noWrap/>
            <w:vAlign w:val="center"/>
            <w:hideMark/>
          </w:tcPr>
          <w:p w14:paraId="7E30ACA9"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c>
          <w:tcPr>
            <w:tcW w:w="1800" w:type="dxa"/>
            <w:tcBorders>
              <w:top w:val="nil"/>
              <w:left w:val="nil"/>
              <w:bottom w:val="single" w:sz="8" w:space="0" w:color="auto"/>
              <w:right w:val="single" w:sz="8" w:space="0" w:color="auto"/>
            </w:tcBorders>
            <w:shd w:val="clear" w:color="auto" w:fill="auto"/>
            <w:noWrap/>
            <w:vAlign w:val="center"/>
            <w:hideMark/>
          </w:tcPr>
          <w:p w14:paraId="2C5CD3CB"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r>
      <w:tr w:rsidR="007160C3" w:rsidRPr="007160C3" w14:paraId="5F2958D7" w14:textId="77777777" w:rsidTr="007160C3">
        <w:trPr>
          <w:trHeight w:val="300"/>
        </w:trPr>
        <w:tc>
          <w:tcPr>
            <w:tcW w:w="2140" w:type="dxa"/>
            <w:tcBorders>
              <w:top w:val="nil"/>
              <w:left w:val="single" w:sz="8" w:space="0" w:color="auto"/>
              <w:bottom w:val="single" w:sz="4" w:space="0" w:color="auto"/>
              <w:right w:val="single" w:sz="4" w:space="0" w:color="auto"/>
            </w:tcBorders>
            <w:shd w:val="clear" w:color="auto" w:fill="auto"/>
            <w:noWrap/>
            <w:vAlign w:val="bottom"/>
            <w:hideMark/>
          </w:tcPr>
          <w:p w14:paraId="2F888AC0"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Asset Turnover</w:t>
            </w:r>
          </w:p>
        </w:tc>
        <w:tc>
          <w:tcPr>
            <w:tcW w:w="1120" w:type="dxa"/>
            <w:tcBorders>
              <w:top w:val="nil"/>
              <w:left w:val="nil"/>
              <w:bottom w:val="single" w:sz="4" w:space="0" w:color="auto"/>
              <w:right w:val="single" w:sz="4" w:space="0" w:color="auto"/>
            </w:tcBorders>
            <w:shd w:val="clear" w:color="auto" w:fill="auto"/>
            <w:noWrap/>
            <w:vAlign w:val="bottom"/>
            <w:hideMark/>
          </w:tcPr>
          <w:p w14:paraId="243FC6D6"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1.24</w:t>
            </w:r>
          </w:p>
        </w:tc>
        <w:tc>
          <w:tcPr>
            <w:tcW w:w="1120" w:type="dxa"/>
            <w:tcBorders>
              <w:top w:val="nil"/>
              <w:left w:val="nil"/>
              <w:bottom w:val="single" w:sz="4" w:space="0" w:color="auto"/>
              <w:right w:val="single" w:sz="4" w:space="0" w:color="auto"/>
            </w:tcBorders>
            <w:shd w:val="clear" w:color="auto" w:fill="auto"/>
            <w:noWrap/>
            <w:vAlign w:val="bottom"/>
            <w:hideMark/>
          </w:tcPr>
          <w:p w14:paraId="3DBBD4DC"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1.18</w:t>
            </w:r>
          </w:p>
        </w:tc>
        <w:tc>
          <w:tcPr>
            <w:tcW w:w="1120" w:type="dxa"/>
            <w:tcBorders>
              <w:top w:val="nil"/>
              <w:left w:val="nil"/>
              <w:bottom w:val="single" w:sz="4" w:space="0" w:color="auto"/>
              <w:right w:val="single" w:sz="4" w:space="0" w:color="auto"/>
            </w:tcBorders>
            <w:shd w:val="clear" w:color="auto" w:fill="auto"/>
            <w:noWrap/>
            <w:vAlign w:val="bottom"/>
            <w:hideMark/>
          </w:tcPr>
          <w:p w14:paraId="69E1E2F2"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1.08</w:t>
            </w:r>
          </w:p>
        </w:tc>
        <w:tc>
          <w:tcPr>
            <w:tcW w:w="1120" w:type="dxa"/>
            <w:tcBorders>
              <w:top w:val="nil"/>
              <w:left w:val="nil"/>
              <w:bottom w:val="single" w:sz="4" w:space="0" w:color="auto"/>
              <w:right w:val="single" w:sz="4" w:space="0" w:color="auto"/>
            </w:tcBorders>
            <w:shd w:val="clear" w:color="auto" w:fill="auto"/>
            <w:noWrap/>
            <w:vAlign w:val="bottom"/>
            <w:hideMark/>
          </w:tcPr>
          <w:p w14:paraId="19CC54C1"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1.00</w:t>
            </w:r>
          </w:p>
        </w:tc>
        <w:tc>
          <w:tcPr>
            <w:tcW w:w="1120" w:type="dxa"/>
            <w:tcBorders>
              <w:top w:val="nil"/>
              <w:left w:val="nil"/>
              <w:bottom w:val="single" w:sz="4" w:space="0" w:color="auto"/>
              <w:right w:val="single" w:sz="4" w:space="0" w:color="auto"/>
            </w:tcBorders>
            <w:shd w:val="clear" w:color="000000" w:fill="FFFFFF"/>
            <w:noWrap/>
            <w:vAlign w:val="bottom"/>
            <w:hideMark/>
          </w:tcPr>
          <w:p w14:paraId="4EDC26BC"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0.96</w:t>
            </w:r>
          </w:p>
        </w:tc>
        <w:tc>
          <w:tcPr>
            <w:tcW w:w="1800" w:type="dxa"/>
            <w:tcBorders>
              <w:top w:val="nil"/>
              <w:left w:val="nil"/>
              <w:bottom w:val="single" w:sz="4" w:space="0" w:color="auto"/>
              <w:right w:val="single" w:sz="8" w:space="0" w:color="auto"/>
            </w:tcBorders>
            <w:shd w:val="clear" w:color="auto" w:fill="auto"/>
            <w:noWrap/>
            <w:vAlign w:val="bottom"/>
            <w:hideMark/>
          </w:tcPr>
          <w:p w14:paraId="6EC6E41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0.59</w:t>
            </w:r>
          </w:p>
        </w:tc>
      </w:tr>
      <w:tr w:rsidR="007160C3" w:rsidRPr="007160C3" w14:paraId="76DA7FF3" w14:textId="77777777" w:rsidTr="007160C3">
        <w:trPr>
          <w:trHeight w:val="315"/>
        </w:trPr>
        <w:tc>
          <w:tcPr>
            <w:tcW w:w="2140" w:type="dxa"/>
            <w:tcBorders>
              <w:top w:val="nil"/>
              <w:left w:val="single" w:sz="8" w:space="0" w:color="auto"/>
              <w:bottom w:val="single" w:sz="8" w:space="0" w:color="auto"/>
              <w:right w:val="single" w:sz="4" w:space="0" w:color="auto"/>
            </w:tcBorders>
            <w:shd w:val="clear" w:color="auto" w:fill="auto"/>
            <w:noWrap/>
            <w:vAlign w:val="bottom"/>
            <w:hideMark/>
          </w:tcPr>
          <w:p w14:paraId="50420E24"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Fixed Asset Turnover</w:t>
            </w:r>
          </w:p>
        </w:tc>
        <w:tc>
          <w:tcPr>
            <w:tcW w:w="1120" w:type="dxa"/>
            <w:tcBorders>
              <w:top w:val="nil"/>
              <w:left w:val="nil"/>
              <w:bottom w:val="single" w:sz="8" w:space="0" w:color="auto"/>
              <w:right w:val="single" w:sz="4" w:space="0" w:color="auto"/>
            </w:tcBorders>
            <w:shd w:val="clear" w:color="auto" w:fill="auto"/>
            <w:noWrap/>
            <w:vAlign w:val="bottom"/>
            <w:hideMark/>
          </w:tcPr>
          <w:p w14:paraId="11255359"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6.09</w:t>
            </w:r>
          </w:p>
        </w:tc>
        <w:tc>
          <w:tcPr>
            <w:tcW w:w="1120" w:type="dxa"/>
            <w:tcBorders>
              <w:top w:val="nil"/>
              <w:left w:val="nil"/>
              <w:bottom w:val="single" w:sz="8" w:space="0" w:color="auto"/>
              <w:right w:val="single" w:sz="4" w:space="0" w:color="auto"/>
            </w:tcBorders>
            <w:shd w:val="clear" w:color="auto" w:fill="auto"/>
            <w:noWrap/>
            <w:vAlign w:val="bottom"/>
            <w:hideMark/>
          </w:tcPr>
          <w:p w14:paraId="5FFB2FC2"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4.89</w:t>
            </w:r>
          </w:p>
        </w:tc>
        <w:tc>
          <w:tcPr>
            <w:tcW w:w="1120" w:type="dxa"/>
            <w:tcBorders>
              <w:top w:val="nil"/>
              <w:left w:val="nil"/>
              <w:bottom w:val="single" w:sz="8" w:space="0" w:color="auto"/>
              <w:right w:val="single" w:sz="4" w:space="0" w:color="auto"/>
            </w:tcBorders>
            <w:shd w:val="clear" w:color="auto" w:fill="auto"/>
            <w:noWrap/>
            <w:vAlign w:val="bottom"/>
            <w:hideMark/>
          </w:tcPr>
          <w:p w14:paraId="426408AF"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4.31</w:t>
            </w:r>
          </w:p>
        </w:tc>
        <w:tc>
          <w:tcPr>
            <w:tcW w:w="1120" w:type="dxa"/>
            <w:tcBorders>
              <w:top w:val="nil"/>
              <w:left w:val="nil"/>
              <w:bottom w:val="single" w:sz="8" w:space="0" w:color="auto"/>
              <w:right w:val="single" w:sz="4" w:space="0" w:color="auto"/>
            </w:tcBorders>
            <w:shd w:val="clear" w:color="auto" w:fill="auto"/>
            <w:noWrap/>
            <w:vAlign w:val="bottom"/>
            <w:hideMark/>
          </w:tcPr>
          <w:p w14:paraId="12ADE7EF"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4.14</w:t>
            </w:r>
          </w:p>
        </w:tc>
        <w:tc>
          <w:tcPr>
            <w:tcW w:w="1120" w:type="dxa"/>
            <w:tcBorders>
              <w:top w:val="nil"/>
              <w:left w:val="nil"/>
              <w:bottom w:val="single" w:sz="8" w:space="0" w:color="auto"/>
              <w:right w:val="single" w:sz="4" w:space="0" w:color="auto"/>
            </w:tcBorders>
            <w:shd w:val="clear" w:color="000000" w:fill="FFFFFF"/>
            <w:noWrap/>
            <w:vAlign w:val="bottom"/>
            <w:hideMark/>
          </w:tcPr>
          <w:p w14:paraId="34A784CE"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3.48</w:t>
            </w:r>
          </w:p>
        </w:tc>
        <w:tc>
          <w:tcPr>
            <w:tcW w:w="1800" w:type="dxa"/>
            <w:tcBorders>
              <w:top w:val="nil"/>
              <w:left w:val="nil"/>
              <w:bottom w:val="single" w:sz="8" w:space="0" w:color="auto"/>
              <w:right w:val="single" w:sz="8" w:space="0" w:color="auto"/>
            </w:tcBorders>
            <w:shd w:val="clear" w:color="auto" w:fill="auto"/>
            <w:noWrap/>
            <w:vAlign w:val="bottom"/>
            <w:hideMark/>
          </w:tcPr>
          <w:p w14:paraId="199EA98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5.41</w:t>
            </w:r>
          </w:p>
        </w:tc>
      </w:tr>
    </w:tbl>
    <w:p w14:paraId="172B7304" w14:textId="792D80C3" w:rsidR="007160C3" w:rsidRDefault="002E4A1F" w:rsidP="00773E00">
      <w:r>
        <w:t>Source: Author`s calculations</w:t>
      </w:r>
    </w:p>
    <w:p w14:paraId="2CCF1325" w14:textId="6DC31E95" w:rsidR="007160C3" w:rsidRDefault="007160C3" w:rsidP="00773E00">
      <w:r>
        <w:t>B.1.3. Liquidity ratios</w:t>
      </w:r>
    </w:p>
    <w:p w14:paraId="71792294" w14:textId="085B837C" w:rsidR="00202F78" w:rsidRDefault="00202F78" w:rsidP="00773E00">
      <w:r>
        <w:t xml:space="preserve">Liquidity ratios is shown if the company </w:t>
      </w:r>
      <w:proofErr w:type="gramStart"/>
      <w:r>
        <w:t>is able to</w:t>
      </w:r>
      <w:proofErr w:type="gramEnd"/>
      <w:r>
        <w:t xml:space="preserve"> pay the current liabilities either by using cash, or the current assets. On Tab 5 are presented the elements from the financial statements necessary to calculate the liquidity ratios.</w:t>
      </w:r>
    </w:p>
    <w:p w14:paraId="2A914761" w14:textId="585A8763" w:rsidR="00540484" w:rsidRDefault="00540484" w:rsidP="00773E00">
      <w:r>
        <w:t>Tab. 5 Liquidity ratios calculation elements</w:t>
      </w:r>
    </w:p>
    <w:tbl>
      <w:tblPr>
        <w:tblW w:w="9411" w:type="dxa"/>
        <w:tblLook w:val="04A0" w:firstRow="1" w:lastRow="0" w:firstColumn="1" w:lastColumn="0" w:noHBand="0" w:noVBand="1"/>
      </w:tblPr>
      <w:tblGrid>
        <w:gridCol w:w="2837"/>
        <w:gridCol w:w="948"/>
        <w:gridCol w:w="948"/>
        <w:gridCol w:w="948"/>
        <w:gridCol w:w="1075"/>
        <w:gridCol w:w="1077"/>
        <w:gridCol w:w="1578"/>
      </w:tblGrid>
      <w:tr w:rsidR="00FB6A7C" w:rsidRPr="00FB6A7C" w14:paraId="189C1891" w14:textId="77777777" w:rsidTr="00FB6A7C">
        <w:trPr>
          <w:trHeight w:val="303"/>
        </w:trPr>
        <w:tc>
          <w:tcPr>
            <w:tcW w:w="2837" w:type="dxa"/>
            <w:tcBorders>
              <w:top w:val="single" w:sz="8" w:space="0" w:color="auto"/>
              <w:left w:val="single" w:sz="8" w:space="0" w:color="auto"/>
              <w:bottom w:val="single" w:sz="4" w:space="0" w:color="auto"/>
              <w:right w:val="nil"/>
            </w:tcBorders>
            <w:shd w:val="clear" w:color="auto" w:fill="auto"/>
            <w:noWrap/>
            <w:vAlign w:val="bottom"/>
            <w:hideMark/>
          </w:tcPr>
          <w:p w14:paraId="77D6A797"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 </w:t>
            </w:r>
          </w:p>
        </w:tc>
        <w:tc>
          <w:tcPr>
            <w:tcW w:w="4996" w:type="dxa"/>
            <w:gridSpan w:val="5"/>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0E849E4" w14:textId="77777777" w:rsidR="00FB6A7C" w:rsidRPr="00FB6A7C" w:rsidRDefault="00FB6A7C" w:rsidP="00FB6A7C">
            <w:pPr>
              <w:spacing w:after="0" w:line="240" w:lineRule="auto"/>
              <w:jc w:val="center"/>
              <w:rPr>
                <w:rFonts w:ascii="Calibri" w:eastAsia="Times New Roman" w:hAnsi="Calibri" w:cs="Calibri"/>
                <w:color w:val="000000"/>
                <w:lang w:eastAsia="en-GB"/>
              </w:rPr>
            </w:pPr>
            <w:r w:rsidRPr="00FB6A7C">
              <w:rPr>
                <w:rFonts w:ascii="Calibri" w:eastAsia="Times New Roman" w:hAnsi="Calibri" w:cs="Calibri"/>
                <w:color w:val="000000"/>
                <w:lang w:eastAsia="en-GB"/>
              </w:rPr>
              <w:t>The chosen company</w:t>
            </w:r>
          </w:p>
        </w:tc>
        <w:tc>
          <w:tcPr>
            <w:tcW w:w="1578" w:type="dxa"/>
            <w:tcBorders>
              <w:top w:val="single" w:sz="8" w:space="0" w:color="auto"/>
              <w:left w:val="nil"/>
              <w:bottom w:val="single" w:sz="4" w:space="0" w:color="auto"/>
              <w:right w:val="single" w:sz="8" w:space="0" w:color="auto"/>
            </w:tcBorders>
            <w:shd w:val="clear" w:color="auto" w:fill="auto"/>
            <w:noWrap/>
            <w:vAlign w:val="bottom"/>
            <w:hideMark/>
          </w:tcPr>
          <w:p w14:paraId="6A675105"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Competitor</w:t>
            </w:r>
          </w:p>
        </w:tc>
      </w:tr>
      <w:tr w:rsidR="00FB6A7C" w:rsidRPr="00FB6A7C" w14:paraId="10285612" w14:textId="77777777" w:rsidTr="00FB6A7C">
        <w:trPr>
          <w:trHeight w:val="924"/>
        </w:trPr>
        <w:tc>
          <w:tcPr>
            <w:tcW w:w="2837" w:type="dxa"/>
            <w:tcBorders>
              <w:top w:val="nil"/>
              <w:left w:val="single" w:sz="8" w:space="0" w:color="auto"/>
              <w:bottom w:val="single" w:sz="8" w:space="0" w:color="auto"/>
              <w:right w:val="nil"/>
            </w:tcBorders>
            <w:shd w:val="clear" w:color="auto" w:fill="auto"/>
            <w:noWrap/>
            <w:vAlign w:val="bottom"/>
            <w:hideMark/>
          </w:tcPr>
          <w:p w14:paraId="37673942"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 </w:t>
            </w:r>
          </w:p>
        </w:tc>
        <w:tc>
          <w:tcPr>
            <w:tcW w:w="4996" w:type="dxa"/>
            <w:gridSpan w:val="5"/>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0E0C76DD" w14:textId="77777777" w:rsidR="00FB6A7C" w:rsidRPr="00FB6A7C" w:rsidRDefault="00FB6A7C" w:rsidP="00FB6A7C">
            <w:pPr>
              <w:spacing w:after="0" w:line="240" w:lineRule="auto"/>
              <w:jc w:val="center"/>
              <w:rPr>
                <w:rFonts w:ascii="Calibri" w:eastAsia="Times New Roman" w:hAnsi="Calibri" w:cs="Calibri"/>
                <w:color w:val="000000"/>
                <w:lang w:eastAsia="en-GB"/>
              </w:rPr>
            </w:pPr>
            <w:r w:rsidRPr="00FB6A7C">
              <w:rPr>
                <w:rFonts w:ascii="Calibri" w:eastAsia="Times New Roman" w:hAnsi="Calibri" w:cs="Calibri"/>
                <w:color w:val="000000"/>
                <w:lang w:eastAsia="en-GB"/>
              </w:rPr>
              <w:t>Jaguar Land Rover</w:t>
            </w:r>
          </w:p>
        </w:tc>
        <w:tc>
          <w:tcPr>
            <w:tcW w:w="1578" w:type="dxa"/>
            <w:tcBorders>
              <w:top w:val="nil"/>
              <w:left w:val="nil"/>
              <w:bottom w:val="single" w:sz="8" w:space="0" w:color="auto"/>
              <w:right w:val="single" w:sz="8" w:space="0" w:color="auto"/>
            </w:tcBorders>
            <w:shd w:val="clear" w:color="auto" w:fill="auto"/>
            <w:vAlign w:val="bottom"/>
            <w:hideMark/>
          </w:tcPr>
          <w:p w14:paraId="0F38C69E"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Mercedes Benz 2018 (€M)</w:t>
            </w:r>
          </w:p>
        </w:tc>
      </w:tr>
      <w:tr w:rsidR="00FB6A7C" w:rsidRPr="00FB6A7C" w14:paraId="11138E8B" w14:textId="77777777" w:rsidTr="00FB6A7C">
        <w:trPr>
          <w:trHeight w:val="318"/>
        </w:trPr>
        <w:tc>
          <w:tcPr>
            <w:tcW w:w="2837" w:type="dxa"/>
            <w:tcBorders>
              <w:top w:val="nil"/>
              <w:left w:val="single" w:sz="8" w:space="0" w:color="auto"/>
              <w:bottom w:val="single" w:sz="8" w:space="0" w:color="auto"/>
              <w:right w:val="nil"/>
            </w:tcBorders>
            <w:shd w:val="clear" w:color="auto" w:fill="auto"/>
            <w:noWrap/>
            <w:vAlign w:val="bottom"/>
            <w:hideMark/>
          </w:tcPr>
          <w:p w14:paraId="767AACA1"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Year</w:t>
            </w:r>
          </w:p>
        </w:tc>
        <w:tc>
          <w:tcPr>
            <w:tcW w:w="948" w:type="dxa"/>
            <w:tcBorders>
              <w:top w:val="nil"/>
              <w:left w:val="single" w:sz="8" w:space="0" w:color="auto"/>
              <w:bottom w:val="single" w:sz="8" w:space="0" w:color="auto"/>
              <w:right w:val="single" w:sz="4" w:space="0" w:color="auto"/>
            </w:tcBorders>
            <w:shd w:val="clear" w:color="auto" w:fill="auto"/>
            <w:noWrap/>
            <w:vAlign w:val="bottom"/>
            <w:hideMark/>
          </w:tcPr>
          <w:p w14:paraId="5B3D9040"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2014</w:t>
            </w:r>
          </w:p>
        </w:tc>
        <w:tc>
          <w:tcPr>
            <w:tcW w:w="948" w:type="dxa"/>
            <w:tcBorders>
              <w:top w:val="nil"/>
              <w:left w:val="nil"/>
              <w:bottom w:val="single" w:sz="8" w:space="0" w:color="auto"/>
              <w:right w:val="single" w:sz="4" w:space="0" w:color="auto"/>
            </w:tcBorders>
            <w:shd w:val="clear" w:color="auto" w:fill="auto"/>
            <w:noWrap/>
            <w:vAlign w:val="bottom"/>
            <w:hideMark/>
          </w:tcPr>
          <w:p w14:paraId="63D3D984"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2015</w:t>
            </w:r>
          </w:p>
        </w:tc>
        <w:tc>
          <w:tcPr>
            <w:tcW w:w="948" w:type="dxa"/>
            <w:tcBorders>
              <w:top w:val="nil"/>
              <w:left w:val="nil"/>
              <w:bottom w:val="single" w:sz="8" w:space="0" w:color="auto"/>
              <w:right w:val="single" w:sz="4" w:space="0" w:color="auto"/>
            </w:tcBorders>
            <w:shd w:val="clear" w:color="auto" w:fill="auto"/>
            <w:noWrap/>
            <w:vAlign w:val="bottom"/>
            <w:hideMark/>
          </w:tcPr>
          <w:p w14:paraId="514C76DE"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2016</w:t>
            </w:r>
          </w:p>
        </w:tc>
        <w:tc>
          <w:tcPr>
            <w:tcW w:w="1075" w:type="dxa"/>
            <w:tcBorders>
              <w:top w:val="nil"/>
              <w:left w:val="nil"/>
              <w:bottom w:val="single" w:sz="8" w:space="0" w:color="auto"/>
              <w:right w:val="single" w:sz="4" w:space="0" w:color="auto"/>
            </w:tcBorders>
            <w:shd w:val="clear" w:color="auto" w:fill="auto"/>
            <w:noWrap/>
            <w:vAlign w:val="bottom"/>
            <w:hideMark/>
          </w:tcPr>
          <w:p w14:paraId="7D78FB49"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2017</w:t>
            </w:r>
          </w:p>
        </w:tc>
        <w:tc>
          <w:tcPr>
            <w:tcW w:w="1075" w:type="dxa"/>
            <w:tcBorders>
              <w:top w:val="nil"/>
              <w:left w:val="nil"/>
              <w:bottom w:val="single" w:sz="8" w:space="0" w:color="auto"/>
              <w:right w:val="single" w:sz="8" w:space="0" w:color="auto"/>
            </w:tcBorders>
            <w:shd w:val="clear" w:color="auto" w:fill="auto"/>
            <w:noWrap/>
            <w:vAlign w:val="bottom"/>
            <w:hideMark/>
          </w:tcPr>
          <w:p w14:paraId="254D1B27"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2018</w:t>
            </w:r>
          </w:p>
        </w:tc>
        <w:tc>
          <w:tcPr>
            <w:tcW w:w="1578" w:type="dxa"/>
            <w:tcBorders>
              <w:top w:val="nil"/>
              <w:left w:val="nil"/>
              <w:bottom w:val="single" w:sz="8" w:space="0" w:color="auto"/>
              <w:right w:val="single" w:sz="8" w:space="0" w:color="auto"/>
            </w:tcBorders>
            <w:shd w:val="clear" w:color="auto" w:fill="auto"/>
            <w:noWrap/>
            <w:vAlign w:val="bottom"/>
            <w:hideMark/>
          </w:tcPr>
          <w:p w14:paraId="1A1775EC"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2018</w:t>
            </w:r>
          </w:p>
        </w:tc>
      </w:tr>
      <w:tr w:rsidR="00FB6A7C" w:rsidRPr="00FB6A7C" w14:paraId="63B54C4A" w14:textId="77777777" w:rsidTr="00FB6A7C">
        <w:trPr>
          <w:trHeight w:val="621"/>
        </w:trPr>
        <w:tc>
          <w:tcPr>
            <w:tcW w:w="2837" w:type="dxa"/>
            <w:tcBorders>
              <w:top w:val="nil"/>
              <w:left w:val="single" w:sz="8" w:space="0" w:color="auto"/>
              <w:bottom w:val="single" w:sz="4" w:space="0" w:color="auto"/>
              <w:right w:val="nil"/>
            </w:tcBorders>
            <w:shd w:val="clear" w:color="auto" w:fill="auto"/>
            <w:noWrap/>
            <w:vAlign w:val="bottom"/>
            <w:hideMark/>
          </w:tcPr>
          <w:p w14:paraId="365019A0" w14:textId="47B9C589"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Current Assets</w:t>
            </w:r>
          </w:p>
        </w:tc>
        <w:tc>
          <w:tcPr>
            <w:tcW w:w="948" w:type="dxa"/>
            <w:tcBorders>
              <w:top w:val="nil"/>
              <w:left w:val="single" w:sz="8" w:space="0" w:color="auto"/>
              <w:bottom w:val="single" w:sz="4" w:space="0" w:color="auto"/>
              <w:right w:val="single" w:sz="4" w:space="0" w:color="auto"/>
            </w:tcBorders>
            <w:shd w:val="clear" w:color="auto" w:fill="auto"/>
            <w:noWrap/>
            <w:vAlign w:val="bottom"/>
            <w:hideMark/>
          </w:tcPr>
          <w:p w14:paraId="39F3F2A1"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£7,230</w:t>
            </w:r>
          </w:p>
        </w:tc>
        <w:tc>
          <w:tcPr>
            <w:tcW w:w="948" w:type="dxa"/>
            <w:tcBorders>
              <w:top w:val="nil"/>
              <w:left w:val="nil"/>
              <w:bottom w:val="single" w:sz="4" w:space="0" w:color="auto"/>
              <w:right w:val="single" w:sz="4" w:space="0" w:color="auto"/>
            </w:tcBorders>
            <w:shd w:val="clear" w:color="auto" w:fill="auto"/>
            <w:noWrap/>
            <w:vAlign w:val="bottom"/>
            <w:hideMark/>
          </w:tcPr>
          <w:p w14:paraId="5EAFECB8"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£8,410</w:t>
            </w:r>
          </w:p>
        </w:tc>
        <w:tc>
          <w:tcPr>
            <w:tcW w:w="948" w:type="dxa"/>
            <w:tcBorders>
              <w:top w:val="nil"/>
              <w:left w:val="nil"/>
              <w:bottom w:val="single" w:sz="4" w:space="0" w:color="auto"/>
              <w:right w:val="single" w:sz="4" w:space="0" w:color="auto"/>
            </w:tcBorders>
            <w:shd w:val="clear" w:color="auto" w:fill="auto"/>
            <w:noWrap/>
            <w:vAlign w:val="bottom"/>
            <w:hideMark/>
          </w:tcPr>
          <w:p w14:paraId="1E192DB5"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£8,972</w:t>
            </w:r>
          </w:p>
        </w:tc>
        <w:tc>
          <w:tcPr>
            <w:tcW w:w="1075" w:type="dxa"/>
            <w:tcBorders>
              <w:top w:val="nil"/>
              <w:left w:val="nil"/>
              <w:bottom w:val="single" w:sz="4" w:space="0" w:color="auto"/>
              <w:right w:val="single" w:sz="4" w:space="0" w:color="auto"/>
            </w:tcBorders>
            <w:shd w:val="clear" w:color="auto" w:fill="auto"/>
            <w:noWrap/>
            <w:vAlign w:val="bottom"/>
            <w:hideMark/>
          </w:tcPr>
          <w:p w14:paraId="46FB2A95"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£10,962</w:t>
            </w:r>
          </w:p>
        </w:tc>
        <w:tc>
          <w:tcPr>
            <w:tcW w:w="1075" w:type="dxa"/>
            <w:tcBorders>
              <w:top w:val="nil"/>
              <w:left w:val="nil"/>
              <w:bottom w:val="single" w:sz="4" w:space="0" w:color="auto"/>
              <w:right w:val="single" w:sz="8" w:space="0" w:color="auto"/>
            </w:tcBorders>
            <w:shd w:val="clear" w:color="auto" w:fill="auto"/>
            <w:noWrap/>
            <w:vAlign w:val="bottom"/>
            <w:hideMark/>
          </w:tcPr>
          <w:p w14:paraId="2C9D67F4"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£11,170</w:t>
            </w:r>
          </w:p>
        </w:tc>
        <w:tc>
          <w:tcPr>
            <w:tcW w:w="1578" w:type="dxa"/>
            <w:tcBorders>
              <w:top w:val="nil"/>
              <w:left w:val="nil"/>
              <w:bottom w:val="single" w:sz="4" w:space="0" w:color="auto"/>
              <w:right w:val="single" w:sz="8" w:space="0" w:color="auto"/>
            </w:tcBorders>
            <w:shd w:val="clear" w:color="auto" w:fill="auto"/>
            <w:noWrap/>
            <w:vAlign w:val="bottom"/>
            <w:hideMark/>
          </w:tcPr>
          <w:p w14:paraId="2DA9BC9B"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€ 121,613</w:t>
            </w:r>
          </w:p>
        </w:tc>
      </w:tr>
      <w:tr w:rsidR="00FB6A7C" w:rsidRPr="00FB6A7C" w14:paraId="7B486BE5" w14:textId="77777777" w:rsidTr="00FB6A7C">
        <w:trPr>
          <w:trHeight w:val="530"/>
        </w:trPr>
        <w:tc>
          <w:tcPr>
            <w:tcW w:w="2837" w:type="dxa"/>
            <w:tcBorders>
              <w:top w:val="nil"/>
              <w:left w:val="single" w:sz="8" w:space="0" w:color="auto"/>
              <w:bottom w:val="single" w:sz="4" w:space="0" w:color="auto"/>
              <w:right w:val="nil"/>
            </w:tcBorders>
            <w:shd w:val="clear" w:color="auto" w:fill="auto"/>
            <w:noWrap/>
            <w:vAlign w:val="bottom"/>
            <w:hideMark/>
          </w:tcPr>
          <w:p w14:paraId="3D3CA5C0"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Current Liabilities</w:t>
            </w:r>
          </w:p>
        </w:tc>
        <w:tc>
          <w:tcPr>
            <w:tcW w:w="948" w:type="dxa"/>
            <w:tcBorders>
              <w:top w:val="nil"/>
              <w:left w:val="single" w:sz="8" w:space="0" w:color="auto"/>
              <w:bottom w:val="single" w:sz="4" w:space="0" w:color="auto"/>
              <w:right w:val="single" w:sz="4" w:space="0" w:color="auto"/>
            </w:tcBorders>
            <w:shd w:val="clear" w:color="auto" w:fill="auto"/>
            <w:noWrap/>
            <w:vAlign w:val="bottom"/>
            <w:hideMark/>
          </w:tcPr>
          <w:p w14:paraId="5AAF7BAF"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£6,134</w:t>
            </w:r>
          </w:p>
        </w:tc>
        <w:tc>
          <w:tcPr>
            <w:tcW w:w="948" w:type="dxa"/>
            <w:tcBorders>
              <w:top w:val="nil"/>
              <w:left w:val="nil"/>
              <w:bottom w:val="single" w:sz="4" w:space="0" w:color="auto"/>
              <w:right w:val="single" w:sz="4" w:space="0" w:color="auto"/>
            </w:tcBorders>
            <w:shd w:val="clear" w:color="auto" w:fill="auto"/>
            <w:noWrap/>
            <w:vAlign w:val="bottom"/>
            <w:hideMark/>
          </w:tcPr>
          <w:p w14:paraId="1928C69D"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£7,457</w:t>
            </w:r>
          </w:p>
        </w:tc>
        <w:tc>
          <w:tcPr>
            <w:tcW w:w="948" w:type="dxa"/>
            <w:tcBorders>
              <w:top w:val="nil"/>
              <w:left w:val="nil"/>
              <w:bottom w:val="single" w:sz="4" w:space="0" w:color="auto"/>
              <w:right w:val="single" w:sz="4" w:space="0" w:color="auto"/>
            </w:tcBorders>
            <w:shd w:val="clear" w:color="auto" w:fill="auto"/>
            <w:noWrap/>
            <w:vAlign w:val="bottom"/>
            <w:hideMark/>
          </w:tcPr>
          <w:p w14:paraId="4C5826F0"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£7,875</w:t>
            </w:r>
          </w:p>
        </w:tc>
        <w:tc>
          <w:tcPr>
            <w:tcW w:w="1075" w:type="dxa"/>
            <w:tcBorders>
              <w:top w:val="nil"/>
              <w:left w:val="nil"/>
              <w:bottom w:val="single" w:sz="4" w:space="0" w:color="auto"/>
              <w:right w:val="single" w:sz="4" w:space="0" w:color="auto"/>
            </w:tcBorders>
            <w:shd w:val="clear" w:color="auto" w:fill="auto"/>
            <w:noWrap/>
            <w:vAlign w:val="bottom"/>
            <w:hideMark/>
          </w:tcPr>
          <w:p w14:paraId="6CDA9DFA"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£10,104</w:t>
            </w:r>
          </w:p>
        </w:tc>
        <w:tc>
          <w:tcPr>
            <w:tcW w:w="1075" w:type="dxa"/>
            <w:tcBorders>
              <w:top w:val="nil"/>
              <w:left w:val="nil"/>
              <w:bottom w:val="single" w:sz="4" w:space="0" w:color="auto"/>
              <w:right w:val="single" w:sz="8" w:space="0" w:color="auto"/>
            </w:tcBorders>
            <w:shd w:val="clear" w:color="auto" w:fill="auto"/>
            <w:noWrap/>
            <w:vAlign w:val="bottom"/>
            <w:hideMark/>
          </w:tcPr>
          <w:p w14:paraId="19EB6307"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£10,920</w:t>
            </w:r>
          </w:p>
        </w:tc>
        <w:tc>
          <w:tcPr>
            <w:tcW w:w="1578" w:type="dxa"/>
            <w:tcBorders>
              <w:top w:val="nil"/>
              <w:left w:val="nil"/>
              <w:bottom w:val="single" w:sz="4" w:space="0" w:color="auto"/>
              <w:right w:val="single" w:sz="8" w:space="0" w:color="auto"/>
            </w:tcBorders>
            <w:shd w:val="clear" w:color="auto" w:fill="auto"/>
            <w:noWrap/>
            <w:vAlign w:val="bottom"/>
            <w:hideMark/>
          </w:tcPr>
          <w:p w14:paraId="7642C9E6"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€ 97,962</w:t>
            </w:r>
          </w:p>
        </w:tc>
      </w:tr>
      <w:tr w:rsidR="00FB6A7C" w:rsidRPr="00FB6A7C" w14:paraId="24E50C13" w14:textId="77777777" w:rsidTr="00FB6A7C">
        <w:trPr>
          <w:trHeight w:val="470"/>
        </w:trPr>
        <w:tc>
          <w:tcPr>
            <w:tcW w:w="2837" w:type="dxa"/>
            <w:tcBorders>
              <w:top w:val="nil"/>
              <w:left w:val="single" w:sz="8" w:space="0" w:color="auto"/>
              <w:bottom w:val="single" w:sz="4" w:space="0" w:color="auto"/>
              <w:right w:val="nil"/>
            </w:tcBorders>
            <w:shd w:val="clear" w:color="auto" w:fill="auto"/>
            <w:noWrap/>
            <w:vAlign w:val="bottom"/>
            <w:hideMark/>
          </w:tcPr>
          <w:p w14:paraId="24602D66"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Cash</w:t>
            </w:r>
          </w:p>
        </w:tc>
        <w:tc>
          <w:tcPr>
            <w:tcW w:w="948" w:type="dxa"/>
            <w:tcBorders>
              <w:top w:val="nil"/>
              <w:left w:val="single" w:sz="8" w:space="0" w:color="auto"/>
              <w:bottom w:val="single" w:sz="4" w:space="0" w:color="auto"/>
              <w:right w:val="single" w:sz="4" w:space="0" w:color="auto"/>
            </w:tcBorders>
            <w:shd w:val="clear" w:color="auto" w:fill="auto"/>
            <w:noWrap/>
            <w:vAlign w:val="bottom"/>
            <w:hideMark/>
          </w:tcPr>
          <w:p w14:paraId="18BA699D"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£2,260</w:t>
            </w:r>
          </w:p>
        </w:tc>
        <w:tc>
          <w:tcPr>
            <w:tcW w:w="948" w:type="dxa"/>
            <w:tcBorders>
              <w:top w:val="nil"/>
              <w:left w:val="nil"/>
              <w:bottom w:val="single" w:sz="4" w:space="0" w:color="auto"/>
              <w:right w:val="single" w:sz="4" w:space="0" w:color="auto"/>
            </w:tcBorders>
            <w:shd w:val="clear" w:color="auto" w:fill="auto"/>
            <w:noWrap/>
            <w:vAlign w:val="bottom"/>
            <w:hideMark/>
          </w:tcPr>
          <w:p w14:paraId="4272716B"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£3,208</w:t>
            </w:r>
          </w:p>
        </w:tc>
        <w:tc>
          <w:tcPr>
            <w:tcW w:w="948" w:type="dxa"/>
            <w:tcBorders>
              <w:top w:val="nil"/>
              <w:left w:val="nil"/>
              <w:bottom w:val="single" w:sz="4" w:space="0" w:color="auto"/>
              <w:right w:val="single" w:sz="4" w:space="0" w:color="auto"/>
            </w:tcBorders>
            <w:shd w:val="clear" w:color="auto" w:fill="auto"/>
            <w:noWrap/>
            <w:vAlign w:val="bottom"/>
            <w:hideMark/>
          </w:tcPr>
          <w:p w14:paraId="3B75F75A"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£3,399</w:t>
            </w:r>
          </w:p>
        </w:tc>
        <w:tc>
          <w:tcPr>
            <w:tcW w:w="1075" w:type="dxa"/>
            <w:tcBorders>
              <w:top w:val="nil"/>
              <w:left w:val="nil"/>
              <w:bottom w:val="single" w:sz="4" w:space="0" w:color="auto"/>
              <w:right w:val="single" w:sz="4" w:space="0" w:color="auto"/>
            </w:tcBorders>
            <w:shd w:val="clear" w:color="auto" w:fill="auto"/>
            <w:noWrap/>
            <w:vAlign w:val="bottom"/>
            <w:hideMark/>
          </w:tcPr>
          <w:p w14:paraId="379F1D99"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£2,878</w:t>
            </w:r>
          </w:p>
        </w:tc>
        <w:tc>
          <w:tcPr>
            <w:tcW w:w="1075" w:type="dxa"/>
            <w:tcBorders>
              <w:top w:val="nil"/>
              <w:left w:val="nil"/>
              <w:bottom w:val="single" w:sz="4" w:space="0" w:color="auto"/>
              <w:right w:val="single" w:sz="8" w:space="0" w:color="auto"/>
            </w:tcBorders>
            <w:shd w:val="clear" w:color="auto" w:fill="auto"/>
            <w:noWrap/>
            <w:vAlign w:val="bottom"/>
            <w:hideMark/>
          </w:tcPr>
          <w:p w14:paraId="6E3F519E"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£2,626</w:t>
            </w:r>
          </w:p>
        </w:tc>
        <w:tc>
          <w:tcPr>
            <w:tcW w:w="1578" w:type="dxa"/>
            <w:tcBorders>
              <w:top w:val="nil"/>
              <w:left w:val="nil"/>
              <w:bottom w:val="single" w:sz="4" w:space="0" w:color="auto"/>
              <w:right w:val="single" w:sz="8" w:space="0" w:color="auto"/>
            </w:tcBorders>
            <w:shd w:val="clear" w:color="auto" w:fill="auto"/>
            <w:noWrap/>
            <w:vAlign w:val="bottom"/>
            <w:hideMark/>
          </w:tcPr>
          <w:p w14:paraId="0E2B0ED7"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€ 15,853</w:t>
            </w:r>
          </w:p>
        </w:tc>
      </w:tr>
      <w:tr w:rsidR="00FB6A7C" w:rsidRPr="00FB6A7C" w14:paraId="2729D700" w14:textId="77777777" w:rsidTr="00FB6A7C">
        <w:trPr>
          <w:trHeight w:val="439"/>
        </w:trPr>
        <w:tc>
          <w:tcPr>
            <w:tcW w:w="2837" w:type="dxa"/>
            <w:tcBorders>
              <w:top w:val="nil"/>
              <w:left w:val="single" w:sz="8" w:space="0" w:color="auto"/>
              <w:bottom w:val="single" w:sz="4" w:space="0" w:color="auto"/>
              <w:right w:val="nil"/>
            </w:tcBorders>
            <w:shd w:val="clear" w:color="auto" w:fill="auto"/>
            <w:noWrap/>
            <w:vAlign w:val="bottom"/>
            <w:hideMark/>
          </w:tcPr>
          <w:p w14:paraId="020CF0B3" w14:textId="77777777" w:rsidR="00FB6A7C" w:rsidRPr="00FB6A7C" w:rsidRDefault="00FB6A7C" w:rsidP="00FB6A7C">
            <w:pPr>
              <w:spacing w:after="0" w:line="240" w:lineRule="auto"/>
              <w:rPr>
                <w:rFonts w:ascii="Calibri" w:eastAsia="Times New Roman" w:hAnsi="Calibri" w:cs="Calibri"/>
                <w:color w:val="000000"/>
                <w:lang w:eastAsia="en-GB"/>
              </w:rPr>
            </w:pPr>
            <w:r w:rsidRPr="00FB6A7C">
              <w:rPr>
                <w:rFonts w:ascii="Calibri" w:eastAsia="Times New Roman" w:hAnsi="Calibri" w:cs="Calibri"/>
                <w:color w:val="000000"/>
                <w:lang w:eastAsia="en-GB"/>
              </w:rPr>
              <w:t>Inventory</w:t>
            </w:r>
          </w:p>
        </w:tc>
        <w:tc>
          <w:tcPr>
            <w:tcW w:w="948" w:type="dxa"/>
            <w:tcBorders>
              <w:top w:val="nil"/>
              <w:left w:val="single" w:sz="8" w:space="0" w:color="auto"/>
              <w:bottom w:val="single" w:sz="4" w:space="0" w:color="auto"/>
              <w:right w:val="single" w:sz="4" w:space="0" w:color="auto"/>
            </w:tcBorders>
            <w:shd w:val="clear" w:color="auto" w:fill="auto"/>
            <w:noWrap/>
            <w:vAlign w:val="bottom"/>
            <w:hideMark/>
          </w:tcPr>
          <w:p w14:paraId="457AB48E"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£2,174</w:t>
            </w:r>
          </w:p>
        </w:tc>
        <w:tc>
          <w:tcPr>
            <w:tcW w:w="948" w:type="dxa"/>
            <w:tcBorders>
              <w:top w:val="nil"/>
              <w:left w:val="nil"/>
              <w:bottom w:val="single" w:sz="4" w:space="0" w:color="auto"/>
              <w:right w:val="single" w:sz="4" w:space="0" w:color="auto"/>
            </w:tcBorders>
            <w:shd w:val="clear" w:color="auto" w:fill="auto"/>
            <w:noWrap/>
            <w:vAlign w:val="bottom"/>
            <w:hideMark/>
          </w:tcPr>
          <w:p w14:paraId="0F6D87E7"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£2,416</w:t>
            </w:r>
          </w:p>
        </w:tc>
        <w:tc>
          <w:tcPr>
            <w:tcW w:w="948" w:type="dxa"/>
            <w:tcBorders>
              <w:top w:val="nil"/>
              <w:left w:val="nil"/>
              <w:bottom w:val="single" w:sz="4" w:space="0" w:color="auto"/>
              <w:right w:val="single" w:sz="4" w:space="0" w:color="auto"/>
            </w:tcBorders>
            <w:shd w:val="clear" w:color="auto" w:fill="auto"/>
            <w:noWrap/>
            <w:vAlign w:val="bottom"/>
            <w:hideMark/>
          </w:tcPr>
          <w:p w14:paraId="78036B00"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£2,685</w:t>
            </w:r>
          </w:p>
        </w:tc>
        <w:tc>
          <w:tcPr>
            <w:tcW w:w="1075" w:type="dxa"/>
            <w:tcBorders>
              <w:top w:val="nil"/>
              <w:left w:val="nil"/>
              <w:bottom w:val="single" w:sz="4" w:space="0" w:color="auto"/>
              <w:right w:val="single" w:sz="4" w:space="0" w:color="auto"/>
            </w:tcBorders>
            <w:shd w:val="clear" w:color="auto" w:fill="auto"/>
            <w:noWrap/>
            <w:vAlign w:val="bottom"/>
            <w:hideMark/>
          </w:tcPr>
          <w:p w14:paraId="362CE725"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£3,464</w:t>
            </w:r>
          </w:p>
        </w:tc>
        <w:tc>
          <w:tcPr>
            <w:tcW w:w="1075" w:type="dxa"/>
            <w:tcBorders>
              <w:top w:val="nil"/>
              <w:left w:val="nil"/>
              <w:bottom w:val="single" w:sz="4" w:space="0" w:color="auto"/>
              <w:right w:val="single" w:sz="8" w:space="0" w:color="auto"/>
            </w:tcBorders>
            <w:shd w:val="clear" w:color="auto" w:fill="auto"/>
            <w:noWrap/>
            <w:vAlign w:val="bottom"/>
            <w:hideMark/>
          </w:tcPr>
          <w:p w14:paraId="73AC51ED"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£3,767</w:t>
            </w:r>
          </w:p>
        </w:tc>
        <w:tc>
          <w:tcPr>
            <w:tcW w:w="1578" w:type="dxa"/>
            <w:tcBorders>
              <w:top w:val="nil"/>
              <w:left w:val="nil"/>
              <w:bottom w:val="single" w:sz="4" w:space="0" w:color="auto"/>
              <w:right w:val="single" w:sz="8" w:space="0" w:color="auto"/>
            </w:tcBorders>
            <w:shd w:val="clear" w:color="auto" w:fill="auto"/>
            <w:noWrap/>
            <w:vAlign w:val="bottom"/>
            <w:hideMark/>
          </w:tcPr>
          <w:p w14:paraId="34CFE8FC" w14:textId="77777777" w:rsidR="00FB6A7C" w:rsidRPr="00FB6A7C" w:rsidRDefault="00FB6A7C" w:rsidP="00FB6A7C">
            <w:pPr>
              <w:spacing w:after="0" w:line="240" w:lineRule="auto"/>
              <w:jc w:val="right"/>
              <w:rPr>
                <w:rFonts w:ascii="Calibri" w:eastAsia="Times New Roman" w:hAnsi="Calibri" w:cs="Calibri"/>
                <w:color w:val="000000"/>
                <w:lang w:eastAsia="en-GB"/>
              </w:rPr>
            </w:pPr>
            <w:r w:rsidRPr="00FB6A7C">
              <w:rPr>
                <w:rFonts w:ascii="Calibri" w:eastAsia="Times New Roman" w:hAnsi="Calibri" w:cs="Calibri"/>
                <w:color w:val="000000"/>
                <w:lang w:eastAsia="en-GB"/>
              </w:rPr>
              <w:t>€ 29,489</w:t>
            </w:r>
          </w:p>
        </w:tc>
      </w:tr>
      <w:tr w:rsidR="00FB6A7C" w:rsidRPr="00FB6A7C" w14:paraId="5FAE3680" w14:textId="77777777" w:rsidTr="00FB6A7C">
        <w:trPr>
          <w:trHeight w:val="485"/>
        </w:trPr>
        <w:tc>
          <w:tcPr>
            <w:tcW w:w="2837" w:type="dxa"/>
            <w:tcBorders>
              <w:top w:val="nil"/>
              <w:left w:val="single" w:sz="8" w:space="0" w:color="auto"/>
              <w:bottom w:val="single" w:sz="8" w:space="0" w:color="auto"/>
              <w:right w:val="nil"/>
            </w:tcBorders>
            <w:shd w:val="clear" w:color="auto" w:fill="auto"/>
            <w:noWrap/>
            <w:vAlign w:val="bottom"/>
            <w:hideMark/>
          </w:tcPr>
          <w:p w14:paraId="0B29F179" w14:textId="77777777" w:rsidR="00FB6A7C" w:rsidRPr="00FB6A7C" w:rsidRDefault="00FB6A7C" w:rsidP="00FB6A7C">
            <w:pPr>
              <w:spacing w:after="0" w:line="240" w:lineRule="auto"/>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Current Assets-Inventory</w:t>
            </w:r>
          </w:p>
        </w:tc>
        <w:tc>
          <w:tcPr>
            <w:tcW w:w="948" w:type="dxa"/>
            <w:tcBorders>
              <w:top w:val="nil"/>
              <w:left w:val="single" w:sz="8" w:space="0" w:color="auto"/>
              <w:bottom w:val="single" w:sz="8" w:space="0" w:color="auto"/>
              <w:right w:val="single" w:sz="4" w:space="0" w:color="auto"/>
            </w:tcBorders>
            <w:shd w:val="clear" w:color="auto" w:fill="auto"/>
            <w:noWrap/>
            <w:vAlign w:val="bottom"/>
            <w:hideMark/>
          </w:tcPr>
          <w:p w14:paraId="63215398"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£5,056</w:t>
            </w:r>
          </w:p>
        </w:tc>
        <w:tc>
          <w:tcPr>
            <w:tcW w:w="948" w:type="dxa"/>
            <w:tcBorders>
              <w:top w:val="nil"/>
              <w:left w:val="nil"/>
              <w:bottom w:val="single" w:sz="8" w:space="0" w:color="auto"/>
              <w:right w:val="single" w:sz="4" w:space="0" w:color="auto"/>
            </w:tcBorders>
            <w:shd w:val="clear" w:color="auto" w:fill="auto"/>
            <w:noWrap/>
            <w:vAlign w:val="bottom"/>
            <w:hideMark/>
          </w:tcPr>
          <w:p w14:paraId="1090E79B"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£5,994</w:t>
            </w:r>
          </w:p>
        </w:tc>
        <w:tc>
          <w:tcPr>
            <w:tcW w:w="948" w:type="dxa"/>
            <w:tcBorders>
              <w:top w:val="nil"/>
              <w:left w:val="nil"/>
              <w:bottom w:val="single" w:sz="8" w:space="0" w:color="auto"/>
              <w:right w:val="single" w:sz="4" w:space="0" w:color="auto"/>
            </w:tcBorders>
            <w:shd w:val="clear" w:color="auto" w:fill="auto"/>
            <w:noWrap/>
            <w:vAlign w:val="bottom"/>
            <w:hideMark/>
          </w:tcPr>
          <w:p w14:paraId="2211E2AD"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£6,287</w:t>
            </w:r>
          </w:p>
        </w:tc>
        <w:tc>
          <w:tcPr>
            <w:tcW w:w="1075" w:type="dxa"/>
            <w:tcBorders>
              <w:top w:val="nil"/>
              <w:left w:val="nil"/>
              <w:bottom w:val="single" w:sz="8" w:space="0" w:color="auto"/>
              <w:right w:val="single" w:sz="4" w:space="0" w:color="auto"/>
            </w:tcBorders>
            <w:shd w:val="clear" w:color="auto" w:fill="auto"/>
            <w:noWrap/>
            <w:vAlign w:val="bottom"/>
            <w:hideMark/>
          </w:tcPr>
          <w:p w14:paraId="2331D79F"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£7,498</w:t>
            </w:r>
          </w:p>
        </w:tc>
        <w:tc>
          <w:tcPr>
            <w:tcW w:w="1075" w:type="dxa"/>
            <w:tcBorders>
              <w:top w:val="nil"/>
              <w:left w:val="nil"/>
              <w:bottom w:val="single" w:sz="8" w:space="0" w:color="auto"/>
              <w:right w:val="single" w:sz="8" w:space="0" w:color="auto"/>
            </w:tcBorders>
            <w:shd w:val="clear" w:color="auto" w:fill="auto"/>
            <w:noWrap/>
            <w:vAlign w:val="bottom"/>
            <w:hideMark/>
          </w:tcPr>
          <w:p w14:paraId="4A29C142"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£7,403</w:t>
            </w:r>
          </w:p>
        </w:tc>
        <w:tc>
          <w:tcPr>
            <w:tcW w:w="1578" w:type="dxa"/>
            <w:tcBorders>
              <w:top w:val="nil"/>
              <w:left w:val="nil"/>
              <w:bottom w:val="single" w:sz="8" w:space="0" w:color="auto"/>
              <w:right w:val="single" w:sz="8" w:space="0" w:color="auto"/>
            </w:tcBorders>
            <w:shd w:val="clear" w:color="auto" w:fill="auto"/>
            <w:noWrap/>
            <w:vAlign w:val="bottom"/>
            <w:hideMark/>
          </w:tcPr>
          <w:p w14:paraId="3EE7DA4B" w14:textId="77777777" w:rsidR="00FB6A7C" w:rsidRPr="00FB6A7C" w:rsidRDefault="00FB6A7C" w:rsidP="00FB6A7C">
            <w:pPr>
              <w:spacing w:after="0" w:line="240" w:lineRule="auto"/>
              <w:jc w:val="right"/>
              <w:rPr>
                <w:rFonts w:ascii="Calibri" w:eastAsia="Times New Roman" w:hAnsi="Calibri" w:cs="Calibri"/>
                <w:i/>
                <w:iCs/>
                <w:color w:val="000000"/>
                <w:lang w:eastAsia="en-GB"/>
              </w:rPr>
            </w:pPr>
            <w:r w:rsidRPr="00FB6A7C">
              <w:rPr>
                <w:rFonts w:ascii="Calibri" w:eastAsia="Times New Roman" w:hAnsi="Calibri" w:cs="Calibri"/>
                <w:i/>
                <w:iCs/>
                <w:color w:val="000000"/>
                <w:lang w:eastAsia="en-GB"/>
              </w:rPr>
              <w:t>€ 92,124</w:t>
            </w:r>
          </w:p>
        </w:tc>
      </w:tr>
    </w:tbl>
    <w:p w14:paraId="30D5BD6E" w14:textId="5EAECCB5" w:rsidR="007160C3" w:rsidRDefault="00202F78" w:rsidP="00773E00">
      <w:r>
        <w:t xml:space="preserve">Source: </w:t>
      </w:r>
      <w:r w:rsidR="002E4A1F">
        <w:t>Author`s calculations and Annual Financial Reports for Jaguar Land Rover and Mercedes Benz</w:t>
      </w:r>
    </w:p>
    <w:p w14:paraId="00DEA0E3" w14:textId="2EEBF48E" w:rsidR="00540484" w:rsidRDefault="00202F78" w:rsidP="00773E00">
      <w:r>
        <w:t>The liquidity ratios have been calculated by using the formulas presented on the Appendix</w:t>
      </w:r>
    </w:p>
    <w:p w14:paraId="55954658" w14:textId="18013C40" w:rsidR="00540484" w:rsidRDefault="00540484" w:rsidP="00773E00">
      <w:r>
        <w:t xml:space="preserve">Tab.6 </w:t>
      </w:r>
      <w:r w:rsidR="00A31FC1">
        <w:t>Liquidity ratios</w:t>
      </w:r>
    </w:p>
    <w:tbl>
      <w:tblPr>
        <w:tblW w:w="9419" w:type="dxa"/>
        <w:tblLook w:val="04A0" w:firstRow="1" w:lastRow="0" w:firstColumn="1" w:lastColumn="0" w:noHBand="0" w:noVBand="1"/>
      </w:tblPr>
      <w:tblGrid>
        <w:gridCol w:w="2426"/>
        <w:gridCol w:w="1003"/>
        <w:gridCol w:w="1003"/>
        <w:gridCol w:w="1003"/>
        <w:gridCol w:w="1003"/>
        <w:gridCol w:w="1007"/>
        <w:gridCol w:w="1974"/>
      </w:tblGrid>
      <w:tr w:rsidR="001F4C49" w:rsidRPr="001F4C49" w14:paraId="5DC69BD0" w14:textId="77777777" w:rsidTr="001F4C49">
        <w:trPr>
          <w:trHeight w:val="325"/>
        </w:trPr>
        <w:tc>
          <w:tcPr>
            <w:tcW w:w="2426" w:type="dxa"/>
            <w:tcBorders>
              <w:top w:val="single" w:sz="8" w:space="0" w:color="auto"/>
              <w:left w:val="single" w:sz="8" w:space="0" w:color="auto"/>
              <w:bottom w:val="nil"/>
              <w:right w:val="single" w:sz="4" w:space="0" w:color="auto"/>
            </w:tcBorders>
            <w:shd w:val="clear" w:color="auto" w:fill="auto"/>
            <w:noWrap/>
            <w:vAlign w:val="bottom"/>
            <w:hideMark/>
          </w:tcPr>
          <w:p w14:paraId="455F4548"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 </w:t>
            </w:r>
          </w:p>
        </w:tc>
        <w:tc>
          <w:tcPr>
            <w:tcW w:w="5019" w:type="dxa"/>
            <w:gridSpan w:val="5"/>
            <w:tcBorders>
              <w:top w:val="single" w:sz="8" w:space="0" w:color="auto"/>
              <w:left w:val="nil"/>
              <w:bottom w:val="nil"/>
              <w:right w:val="single" w:sz="4" w:space="0" w:color="auto"/>
            </w:tcBorders>
            <w:shd w:val="clear" w:color="auto" w:fill="auto"/>
            <w:noWrap/>
            <w:vAlign w:val="bottom"/>
            <w:hideMark/>
          </w:tcPr>
          <w:p w14:paraId="72F1C70D"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The chosen company</w:t>
            </w:r>
          </w:p>
        </w:tc>
        <w:tc>
          <w:tcPr>
            <w:tcW w:w="1974" w:type="dxa"/>
            <w:tcBorders>
              <w:top w:val="single" w:sz="8" w:space="0" w:color="auto"/>
              <w:left w:val="nil"/>
              <w:bottom w:val="nil"/>
              <w:right w:val="single" w:sz="8" w:space="0" w:color="auto"/>
            </w:tcBorders>
            <w:shd w:val="clear" w:color="auto" w:fill="auto"/>
            <w:noWrap/>
            <w:vAlign w:val="bottom"/>
            <w:hideMark/>
          </w:tcPr>
          <w:p w14:paraId="406E2D24"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Competitor</w:t>
            </w:r>
          </w:p>
        </w:tc>
      </w:tr>
      <w:tr w:rsidR="001F4C49" w:rsidRPr="001F4C49" w14:paraId="6A21A1BD" w14:textId="77777777" w:rsidTr="001F4C49">
        <w:trPr>
          <w:trHeight w:val="341"/>
        </w:trPr>
        <w:tc>
          <w:tcPr>
            <w:tcW w:w="2426"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27545D52"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Company</w:t>
            </w:r>
          </w:p>
        </w:tc>
        <w:tc>
          <w:tcPr>
            <w:tcW w:w="5019" w:type="dxa"/>
            <w:gridSpan w:val="5"/>
            <w:tcBorders>
              <w:top w:val="single" w:sz="4" w:space="0" w:color="auto"/>
              <w:left w:val="nil"/>
              <w:bottom w:val="single" w:sz="8" w:space="0" w:color="auto"/>
              <w:right w:val="single" w:sz="4" w:space="0" w:color="auto"/>
            </w:tcBorders>
            <w:shd w:val="clear" w:color="auto" w:fill="auto"/>
            <w:noWrap/>
            <w:vAlign w:val="bottom"/>
            <w:hideMark/>
          </w:tcPr>
          <w:p w14:paraId="6A8CD5B3" w14:textId="77777777" w:rsidR="001F4C49" w:rsidRPr="001F4C49" w:rsidRDefault="001F4C49" w:rsidP="001F4C49">
            <w:pPr>
              <w:spacing w:after="0" w:line="240" w:lineRule="auto"/>
              <w:jc w:val="center"/>
              <w:rPr>
                <w:rFonts w:ascii="Calibri" w:eastAsia="Times New Roman" w:hAnsi="Calibri" w:cs="Calibri"/>
                <w:b/>
                <w:bCs/>
                <w:color w:val="000000"/>
                <w:lang w:eastAsia="en-GB"/>
              </w:rPr>
            </w:pPr>
            <w:r w:rsidRPr="001F4C49">
              <w:rPr>
                <w:rFonts w:ascii="Calibri" w:eastAsia="Times New Roman" w:hAnsi="Calibri" w:cs="Calibri"/>
                <w:b/>
                <w:bCs/>
                <w:color w:val="000000"/>
                <w:lang w:eastAsia="en-GB"/>
              </w:rPr>
              <w:t>Jaguar Land Rover</w:t>
            </w:r>
          </w:p>
        </w:tc>
        <w:tc>
          <w:tcPr>
            <w:tcW w:w="1974" w:type="dxa"/>
            <w:tcBorders>
              <w:top w:val="single" w:sz="4" w:space="0" w:color="auto"/>
              <w:left w:val="nil"/>
              <w:bottom w:val="single" w:sz="8" w:space="0" w:color="auto"/>
              <w:right w:val="single" w:sz="8" w:space="0" w:color="auto"/>
            </w:tcBorders>
            <w:shd w:val="clear" w:color="auto" w:fill="auto"/>
            <w:noWrap/>
            <w:vAlign w:val="bottom"/>
            <w:hideMark/>
          </w:tcPr>
          <w:p w14:paraId="37EF15BC" w14:textId="77777777" w:rsidR="001F4C49" w:rsidRPr="001F4C49" w:rsidRDefault="001F4C49" w:rsidP="001F4C49">
            <w:pPr>
              <w:spacing w:after="0" w:line="240" w:lineRule="auto"/>
              <w:rPr>
                <w:rFonts w:ascii="Calibri" w:eastAsia="Times New Roman" w:hAnsi="Calibri" w:cs="Calibri"/>
                <w:b/>
                <w:bCs/>
                <w:color w:val="000000"/>
                <w:lang w:eastAsia="en-GB"/>
              </w:rPr>
            </w:pPr>
            <w:r w:rsidRPr="001F4C49">
              <w:rPr>
                <w:rFonts w:ascii="Calibri" w:eastAsia="Times New Roman" w:hAnsi="Calibri" w:cs="Calibri"/>
                <w:b/>
                <w:bCs/>
                <w:color w:val="000000"/>
                <w:lang w:eastAsia="en-GB"/>
              </w:rPr>
              <w:t>Mercedes Benz</w:t>
            </w:r>
          </w:p>
        </w:tc>
      </w:tr>
      <w:tr w:rsidR="001F4C49" w:rsidRPr="001F4C49" w14:paraId="1047A7F1" w14:textId="77777777" w:rsidTr="001F4C49">
        <w:trPr>
          <w:trHeight w:val="341"/>
        </w:trPr>
        <w:tc>
          <w:tcPr>
            <w:tcW w:w="2426" w:type="dxa"/>
            <w:tcBorders>
              <w:top w:val="nil"/>
              <w:left w:val="single" w:sz="8" w:space="0" w:color="auto"/>
              <w:bottom w:val="single" w:sz="8" w:space="0" w:color="auto"/>
              <w:right w:val="single" w:sz="4" w:space="0" w:color="auto"/>
            </w:tcBorders>
            <w:shd w:val="clear" w:color="auto" w:fill="auto"/>
            <w:noWrap/>
            <w:vAlign w:val="bottom"/>
            <w:hideMark/>
          </w:tcPr>
          <w:p w14:paraId="2746C4B3"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Year / Ratio</w:t>
            </w:r>
          </w:p>
        </w:tc>
        <w:tc>
          <w:tcPr>
            <w:tcW w:w="1003" w:type="dxa"/>
            <w:tcBorders>
              <w:top w:val="nil"/>
              <w:left w:val="nil"/>
              <w:bottom w:val="single" w:sz="8" w:space="0" w:color="auto"/>
              <w:right w:val="single" w:sz="4" w:space="0" w:color="auto"/>
            </w:tcBorders>
            <w:shd w:val="clear" w:color="auto" w:fill="auto"/>
            <w:noWrap/>
            <w:vAlign w:val="bottom"/>
            <w:hideMark/>
          </w:tcPr>
          <w:p w14:paraId="60F4D63A"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2014</w:t>
            </w:r>
          </w:p>
        </w:tc>
        <w:tc>
          <w:tcPr>
            <w:tcW w:w="1003" w:type="dxa"/>
            <w:tcBorders>
              <w:top w:val="nil"/>
              <w:left w:val="nil"/>
              <w:bottom w:val="single" w:sz="8" w:space="0" w:color="auto"/>
              <w:right w:val="single" w:sz="4" w:space="0" w:color="auto"/>
            </w:tcBorders>
            <w:shd w:val="clear" w:color="auto" w:fill="auto"/>
            <w:noWrap/>
            <w:vAlign w:val="bottom"/>
            <w:hideMark/>
          </w:tcPr>
          <w:p w14:paraId="2BCB48B0"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2015</w:t>
            </w:r>
          </w:p>
        </w:tc>
        <w:tc>
          <w:tcPr>
            <w:tcW w:w="1003" w:type="dxa"/>
            <w:tcBorders>
              <w:top w:val="nil"/>
              <w:left w:val="nil"/>
              <w:bottom w:val="single" w:sz="8" w:space="0" w:color="auto"/>
              <w:right w:val="single" w:sz="4" w:space="0" w:color="auto"/>
            </w:tcBorders>
            <w:shd w:val="clear" w:color="auto" w:fill="auto"/>
            <w:noWrap/>
            <w:vAlign w:val="bottom"/>
            <w:hideMark/>
          </w:tcPr>
          <w:p w14:paraId="30B044B5"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2016</w:t>
            </w:r>
          </w:p>
        </w:tc>
        <w:tc>
          <w:tcPr>
            <w:tcW w:w="1003" w:type="dxa"/>
            <w:tcBorders>
              <w:top w:val="nil"/>
              <w:left w:val="nil"/>
              <w:bottom w:val="single" w:sz="8" w:space="0" w:color="auto"/>
              <w:right w:val="single" w:sz="4" w:space="0" w:color="auto"/>
            </w:tcBorders>
            <w:shd w:val="clear" w:color="auto" w:fill="auto"/>
            <w:noWrap/>
            <w:vAlign w:val="bottom"/>
            <w:hideMark/>
          </w:tcPr>
          <w:p w14:paraId="75489324"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2017</w:t>
            </w:r>
          </w:p>
        </w:tc>
        <w:tc>
          <w:tcPr>
            <w:tcW w:w="1003" w:type="dxa"/>
            <w:tcBorders>
              <w:top w:val="nil"/>
              <w:left w:val="nil"/>
              <w:bottom w:val="single" w:sz="8" w:space="0" w:color="auto"/>
              <w:right w:val="single" w:sz="4" w:space="0" w:color="auto"/>
            </w:tcBorders>
            <w:shd w:val="clear" w:color="auto" w:fill="auto"/>
            <w:noWrap/>
            <w:vAlign w:val="bottom"/>
            <w:hideMark/>
          </w:tcPr>
          <w:p w14:paraId="7C41BF8A"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2018</w:t>
            </w:r>
          </w:p>
        </w:tc>
        <w:tc>
          <w:tcPr>
            <w:tcW w:w="1974" w:type="dxa"/>
            <w:tcBorders>
              <w:top w:val="nil"/>
              <w:left w:val="nil"/>
              <w:bottom w:val="single" w:sz="8" w:space="0" w:color="auto"/>
              <w:right w:val="single" w:sz="8" w:space="0" w:color="auto"/>
            </w:tcBorders>
            <w:shd w:val="clear" w:color="auto" w:fill="auto"/>
            <w:noWrap/>
            <w:vAlign w:val="bottom"/>
            <w:hideMark/>
          </w:tcPr>
          <w:p w14:paraId="015E0DE4"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2018</w:t>
            </w:r>
          </w:p>
        </w:tc>
      </w:tr>
      <w:tr w:rsidR="001F4C49" w:rsidRPr="001F4C49" w14:paraId="1BC4153D" w14:textId="77777777" w:rsidTr="001F4C49">
        <w:trPr>
          <w:trHeight w:val="325"/>
        </w:trPr>
        <w:tc>
          <w:tcPr>
            <w:tcW w:w="2426" w:type="dxa"/>
            <w:tcBorders>
              <w:top w:val="nil"/>
              <w:left w:val="single" w:sz="8" w:space="0" w:color="auto"/>
              <w:bottom w:val="single" w:sz="4" w:space="0" w:color="auto"/>
              <w:right w:val="single" w:sz="4" w:space="0" w:color="auto"/>
            </w:tcBorders>
            <w:shd w:val="clear" w:color="auto" w:fill="auto"/>
            <w:noWrap/>
            <w:vAlign w:val="bottom"/>
            <w:hideMark/>
          </w:tcPr>
          <w:p w14:paraId="2802804D"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Current Ratio</w:t>
            </w:r>
          </w:p>
        </w:tc>
        <w:tc>
          <w:tcPr>
            <w:tcW w:w="1003" w:type="dxa"/>
            <w:tcBorders>
              <w:top w:val="nil"/>
              <w:left w:val="nil"/>
              <w:bottom w:val="single" w:sz="4" w:space="0" w:color="auto"/>
              <w:right w:val="single" w:sz="4" w:space="0" w:color="auto"/>
            </w:tcBorders>
            <w:shd w:val="clear" w:color="auto" w:fill="auto"/>
            <w:noWrap/>
            <w:vAlign w:val="bottom"/>
            <w:hideMark/>
          </w:tcPr>
          <w:p w14:paraId="0300CE59"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1.18</w:t>
            </w:r>
          </w:p>
        </w:tc>
        <w:tc>
          <w:tcPr>
            <w:tcW w:w="1003" w:type="dxa"/>
            <w:tcBorders>
              <w:top w:val="nil"/>
              <w:left w:val="nil"/>
              <w:bottom w:val="single" w:sz="4" w:space="0" w:color="auto"/>
              <w:right w:val="single" w:sz="4" w:space="0" w:color="auto"/>
            </w:tcBorders>
            <w:shd w:val="clear" w:color="auto" w:fill="auto"/>
            <w:noWrap/>
            <w:vAlign w:val="bottom"/>
            <w:hideMark/>
          </w:tcPr>
          <w:p w14:paraId="50F8E949"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1.13</w:t>
            </w:r>
          </w:p>
        </w:tc>
        <w:tc>
          <w:tcPr>
            <w:tcW w:w="1003" w:type="dxa"/>
            <w:tcBorders>
              <w:top w:val="nil"/>
              <w:left w:val="nil"/>
              <w:bottom w:val="single" w:sz="4" w:space="0" w:color="auto"/>
              <w:right w:val="single" w:sz="4" w:space="0" w:color="auto"/>
            </w:tcBorders>
            <w:shd w:val="clear" w:color="auto" w:fill="auto"/>
            <w:noWrap/>
            <w:vAlign w:val="bottom"/>
            <w:hideMark/>
          </w:tcPr>
          <w:p w14:paraId="781A7983"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1.14</w:t>
            </w:r>
          </w:p>
        </w:tc>
        <w:tc>
          <w:tcPr>
            <w:tcW w:w="1003" w:type="dxa"/>
            <w:tcBorders>
              <w:top w:val="nil"/>
              <w:left w:val="nil"/>
              <w:bottom w:val="single" w:sz="4" w:space="0" w:color="auto"/>
              <w:right w:val="single" w:sz="4" w:space="0" w:color="auto"/>
            </w:tcBorders>
            <w:shd w:val="clear" w:color="auto" w:fill="auto"/>
            <w:noWrap/>
            <w:vAlign w:val="bottom"/>
            <w:hideMark/>
          </w:tcPr>
          <w:p w14:paraId="2AB4838A"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1.08</w:t>
            </w:r>
          </w:p>
        </w:tc>
        <w:tc>
          <w:tcPr>
            <w:tcW w:w="1003" w:type="dxa"/>
            <w:tcBorders>
              <w:top w:val="nil"/>
              <w:left w:val="nil"/>
              <w:bottom w:val="single" w:sz="4" w:space="0" w:color="auto"/>
              <w:right w:val="single" w:sz="4" w:space="0" w:color="auto"/>
            </w:tcBorders>
            <w:shd w:val="clear" w:color="auto" w:fill="auto"/>
            <w:noWrap/>
            <w:vAlign w:val="bottom"/>
            <w:hideMark/>
          </w:tcPr>
          <w:p w14:paraId="6A26FCCD"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1.02</w:t>
            </w:r>
          </w:p>
        </w:tc>
        <w:tc>
          <w:tcPr>
            <w:tcW w:w="1974" w:type="dxa"/>
            <w:tcBorders>
              <w:top w:val="nil"/>
              <w:left w:val="nil"/>
              <w:bottom w:val="single" w:sz="4" w:space="0" w:color="auto"/>
              <w:right w:val="single" w:sz="8" w:space="0" w:color="auto"/>
            </w:tcBorders>
            <w:shd w:val="clear" w:color="auto" w:fill="auto"/>
            <w:noWrap/>
            <w:vAlign w:val="bottom"/>
            <w:hideMark/>
          </w:tcPr>
          <w:p w14:paraId="74BD4319"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1.24</w:t>
            </w:r>
          </w:p>
        </w:tc>
      </w:tr>
      <w:tr w:rsidR="001F4C49" w:rsidRPr="001F4C49" w14:paraId="6A275374" w14:textId="77777777" w:rsidTr="001F4C49">
        <w:trPr>
          <w:trHeight w:val="325"/>
        </w:trPr>
        <w:tc>
          <w:tcPr>
            <w:tcW w:w="2426" w:type="dxa"/>
            <w:tcBorders>
              <w:top w:val="nil"/>
              <w:left w:val="single" w:sz="8" w:space="0" w:color="auto"/>
              <w:bottom w:val="single" w:sz="4" w:space="0" w:color="auto"/>
              <w:right w:val="single" w:sz="4" w:space="0" w:color="auto"/>
            </w:tcBorders>
            <w:shd w:val="clear" w:color="auto" w:fill="auto"/>
            <w:noWrap/>
            <w:vAlign w:val="bottom"/>
            <w:hideMark/>
          </w:tcPr>
          <w:p w14:paraId="4C6F8214"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Quick Ratio</w:t>
            </w:r>
          </w:p>
        </w:tc>
        <w:tc>
          <w:tcPr>
            <w:tcW w:w="1003" w:type="dxa"/>
            <w:tcBorders>
              <w:top w:val="nil"/>
              <w:left w:val="nil"/>
              <w:bottom w:val="single" w:sz="4" w:space="0" w:color="auto"/>
              <w:right w:val="single" w:sz="4" w:space="0" w:color="auto"/>
            </w:tcBorders>
            <w:shd w:val="clear" w:color="auto" w:fill="auto"/>
            <w:noWrap/>
            <w:vAlign w:val="bottom"/>
            <w:hideMark/>
          </w:tcPr>
          <w:p w14:paraId="6CDE0697"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0.82</w:t>
            </w:r>
          </w:p>
        </w:tc>
        <w:tc>
          <w:tcPr>
            <w:tcW w:w="1003" w:type="dxa"/>
            <w:tcBorders>
              <w:top w:val="nil"/>
              <w:left w:val="nil"/>
              <w:bottom w:val="single" w:sz="4" w:space="0" w:color="auto"/>
              <w:right w:val="single" w:sz="4" w:space="0" w:color="auto"/>
            </w:tcBorders>
            <w:shd w:val="clear" w:color="auto" w:fill="auto"/>
            <w:noWrap/>
            <w:vAlign w:val="bottom"/>
            <w:hideMark/>
          </w:tcPr>
          <w:p w14:paraId="1CAFBA15"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0.80</w:t>
            </w:r>
          </w:p>
        </w:tc>
        <w:tc>
          <w:tcPr>
            <w:tcW w:w="1003" w:type="dxa"/>
            <w:tcBorders>
              <w:top w:val="nil"/>
              <w:left w:val="nil"/>
              <w:bottom w:val="single" w:sz="4" w:space="0" w:color="auto"/>
              <w:right w:val="single" w:sz="4" w:space="0" w:color="auto"/>
            </w:tcBorders>
            <w:shd w:val="clear" w:color="auto" w:fill="auto"/>
            <w:noWrap/>
            <w:vAlign w:val="bottom"/>
            <w:hideMark/>
          </w:tcPr>
          <w:p w14:paraId="1C826869"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0.80</w:t>
            </w:r>
          </w:p>
        </w:tc>
        <w:tc>
          <w:tcPr>
            <w:tcW w:w="1003" w:type="dxa"/>
            <w:tcBorders>
              <w:top w:val="nil"/>
              <w:left w:val="nil"/>
              <w:bottom w:val="single" w:sz="4" w:space="0" w:color="auto"/>
              <w:right w:val="single" w:sz="4" w:space="0" w:color="auto"/>
            </w:tcBorders>
            <w:shd w:val="clear" w:color="auto" w:fill="auto"/>
            <w:noWrap/>
            <w:vAlign w:val="bottom"/>
            <w:hideMark/>
          </w:tcPr>
          <w:p w14:paraId="51EC4123"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0.74</w:t>
            </w:r>
          </w:p>
        </w:tc>
        <w:tc>
          <w:tcPr>
            <w:tcW w:w="1003" w:type="dxa"/>
            <w:tcBorders>
              <w:top w:val="nil"/>
              <w:left w:val="nil"/>
              <w:bottom w:val="single" w:sz="4" w:space="0" w:color="auto"/>
              <w:right w:val="single" w:sz="4" w:space="0" w:color="auto"/>
            </w:tcBorders>
            <w:shd w:val="clear" w:color="auto" w:fill="auto"/>
            <w:noWrap/>
            <w:vAlign w:val="bottom"/>
            <w:hideMark/>
          </w:tcPr>
          <w:p w14:paraId="6F8BB002"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0.68</w:t>
            </w:r>
          </w:p>
        </w:tc>
        <w:tc>
          <w:tcPr>
            <w:tcW w:w="1974" w:type="dxa"/>
            <w:tcBorders>
              <w:top w:val="nil"/>
              <w:left w:val="nil"/>
              <w:bottom w:val="single" w:sz="4" w:space="0" w:color="auto"/>
              <w:right w:val="single" w:sz="8" w:space="0" w:color="auto"/>
            </w:tcBorders>
            <w:shd w:val="clear" w:color="auto" w:fill="auto"/>
            <w:noWrap/>
            <w:vAlign w:val="bottom"/>
            <w:hideMark/>
          </w:tcPr>
          <w:p w14:paraId="5CEC23D4"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0.94</w:t>
            </w:r>
          </w:p>
        </w:tc>
      </w:tr>
      <w:tr w:rsidR="001F4C49" w:rsidRPr="001F4C49" w14:paraId="14EA61BF" w14:textId="77777777" w:rsidTr="001F4C49">
        <w:trPr>
          <w:trHeight w:val="341"/>
        </w:trPr>
        <w:tc>
          <w:tcPr>
            <w:tcW w:w="2426" w:type="dxa"/>
            <w:tcBorders>
              <w:top w:val="nil"/>
              <w:left w:val="single" w:sz="8" w:space="0" w:color="auto"/>
              <w:bottom w:val="single" w:sz="8" w:space="0" w:color="auto"/>
              <w:right w:val="single" w:sz="4" w:space="0" w:color="auto"/>
            </w:tcBorders>
            <w:shd w:val="clear" w:color="auto" w:fill="auto"/>
            <w:noWrap/>
            <w:vAlign w:val="bottom"/>
            <w:hideMark/>
          </w:tcPr>
          <w:p w14:paraId="01B9885F" w14:textId="77777777" w:rsidR="001F4C49" w:rsidRPr="001F4C49" w:rsidRDefault="001F4C49" w:rsidP="001F4C49">
            <w:pPr>
              <w:spacing w:after="0" w:line="240" w:lineRule="auto"/>
              <w:rPr>
                <w:rFonts w:ascii="Calibri" w:eastAsia="Times New Roman" w:hAnsi="Calibri" w:cs="Calibri"/>
                <w:color w:val="000000"/>
                <w:lang w:eastAsia="en-GB"/>
              </w:rPr>
            </w:pPr>
            <w:r w:rsidRPr="001F4C49">
              <w:rPr>
                <w:rFonts w:ascii="Calibri" w:eastAsia="Times New Roman" w:hAnsi="Calibri" w:cs="Calibri"/>
                <w:color w:val="000000"/>
                <w:lang w:eastAsia="en-GB"/>
              </w:rPr>
              <w:t xml:space="preserve">Cash </w:t>
            </w:r>
          </w:p>
        </w:tc>
        <w:tc>
          <w:tcPr>
            <w:tcW w:w="1003" w:type="dxa"/>
            <w:tcBorders>
              <w:top w:val="nil"/>
              <w:left w:val="nil"/>
              <w:bottom w:val="single" w:sz="8" w:space="0" w:color="auto"/>
              <w:right w:val="single" w:sz="4" w:space="0" w:color="auto"/>
            </w:tcBorders>
            <w:shd w:val="clear" w:color="auto" w:fill="auto"/>
            <w:noWrap/>
            <w:vAlign w:val="bottom"/>
            <w:hideMark/>
          </w:tcPr>
          <w:p w14:paraId="45B16852"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0.37</w:t>
            </w:r>
          </w:p>
        </w:tc>
        <w:tc>
          <w:tcPr>
            <w:tcW w:w="1003" w:type="dxa"/>
            <w:tcBorders>
              <w:top w:val="nil"/>
              <w:left w:val="nil"/>
              <w:bottom w:val="single" w:sz="8" w:space="0" w:color="auto"/>
              <w:right w:val="single" w:sz="4" w:space="0" w:color="auto"/>
            </w:tcBorders>
            <w:shd w:val="clear" w:color="auto" w:fill="auto"/>
            <w:noWrap/>
            <w:vAlign w:val="bottom"/>
            <w:hideMark/>
          </w:tcPr>
          <w:p w14:paraId="41FBFA64"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0.43</w:t>
            </w:r>
          </w:p>
        </w:tc>
        <w:tc>
          <w:tcPr>
            <w:tcW w:w="1003" w:type="dxa"/>
            <w:tcBorders>
              <w:top w:val="nil"/>
              <w:left w:val="nil"/>
              <w:bottom w:val="single" w:sz="8" w:space="0" w:color="auto"/>
              <w:right w:val="single" w:sz="4" w:space="0" w:color="auto"/>
            </w:tcBorders>
            <w:shd w:val="clear" w:color="auto" w:fill="auto"/>
            <w:noWrap/>
            <w:vAlign w:val="bottom"/>
            <w:hideMark/>
          </w:tcPr>
          <w:p w14:paraId="7AC1AEAF"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0.43</w:t>
            </w:r>
          </w:p>
        </w:tc>
        <w:tc>
          <w:tcPr>
            <w:tcW w:w="1003" w:type="dxa"/>
            <w:tcBorders>
              <w:top w:val="nil"/>
              <w:left w:val="nil"/>
              <w:bottom w:val="single" w:sz="8" w:space="0" w:color="auto"/>
              <w:right w:val="single" w:sz="4" w:space="0" w:color="auto"/>
            </w:tcBorders>
            <w:shd w:val="clear" w:color="auto" w:fill="auto"/>
            <w:noWrap/>
            <w:vAlign w:val="bottom"/>
            <w:hideMark/>
          </w:tcPr>
          <w:p w14:paraId="7357600A"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0.28</w:t>
            </w:r>
          </w:p>
        </w:tc>
        <w:tc>
          <w:tcPr>
            <w:tcW w:w="1003" w:type="dxa"/>
            <w:tcBorders>
              <w:top w:val="nil"/>
              <w:left w:val="nil"/>
              <w:bottom w:val="single" w:sz="8" w:space="0" w:color="auto"/>
              <w:right w:val="single" w:sz="4" w:space="0" w:color="auto"/>
            </w:tcBorders>
            <w:shd w:val="clear" w:color="auto" w:fill="auto"/>
            <w:noWrap/>
            <w:vAlign w:val="bottom"/>
            <w:hideMark/>
          </w:tcPr>
          <w:p w14:paraId="7A0C5232"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0.24</w:t>
            </w:r>
          </w:p>
        </w:tc>
        <w:tc>
          <w:tcPr>
            <w:tcW w:w="1974" w:type="dxa"/>
            <w:tcBorders>
              <w:top w:val="nil"/>
              <w:left w:val="nil"/>
              <w:bottom w:val="single" w:sz="8" w:space="0" w:color="auto"/>
              <w:right w:val="single" w:sz="8" w:space="0" w:color="auto"/>
            </w:tcBorders>
            <w:shd w:val="clear" w:color="auto" w:fill="auto"/>
            <w:noWrap/>
            <w:vAlign w:val="bottom"/>
            <w:hideMark/>
          </w:tcPr>
          <w:p w14:paraId="45BA3E07" w14:textId="77777777" w:rsidR="001F4C49" w:rsidRPr="001F4C49" w:rsidRDefault="001F4C49" w:rsidP="001F4C49">
            <w:pPr>
              <w:spacing w:after="0" w:line="240" w:lineRule="auto"/>
              <w:jc w:val="center"/>
              <w:rPr>
                <w:rFonts w:ascii="Calibri" w:eastAsia="Times New Roman" w:hAnsi="Calibri" w:cs="Calibri"/>
                <w:color w:val="000000"/>
                <w:lang w:eastAsia="en-GB"/>
              </w:rPr>
            </w:pPr>
            <w:r w:rsidRPr="001F4C49">
              <w:rPr>
                <w:rFonts w:ascii="Calibri" w:eastAsia="Times New Roman" w:hAnsi="Calibri" w:cs="Calibri"/>
                <w:color w:val="000000"/>
                <w:lang w:eastAsia="en-GB"/>
              </w:rPr>
              <w:t>0.16</w:t>
            </w:r>
          </w:p>
        </w:tc>
      </w:tr>
    </w:tbl>
    <w:p w14:paraId="74D1E6E7" w14:textId="1C6C5CE4" w:rsidR="007160C3" w:rsidRDefault="002E4A1F" w:rsidP="00773E00">
      <w:r>
        <w:t>Source: Author`s calculations</w:t>
      </w:r>
    </w:p>
    <w:p w14:paraId="690FD618" w14:textId="77777777" w:rsidR="002E4A1F" w:rsidRDefault="002E4A1F" w:rsidP="00773E00"/>
    <w:p w14:paraId="3E5CD71B" w14:textId="77777777" w:rsidR="002E4A1F" w:rsidRDefault="002E4A1F" w:rsidP="00773E00"/>
    <w:p w14:paraId="3EAA44EF" w14:textId="1F95514E" w:rsidR="00773E00" w:rsidRDefault="005B5EF6" w:rsidP="00773E00">
      <w:r>
        <w:lastRenderedPageBreak/>
        <w:t>B.1.4. Leverage Ratios</w:t>
      </w:r>
    </w:p>
    <w:p w14:paraId="1C5CE8F4" w14:textId="08D5169E" w:rsidR="00202F78" w:rsidRDefault="00202F78" w:rsidP="00773E00">
      <w:r>
        <w:t xml:space="preserve">The leverage ratios have shown us how much capital is provided by the debt. These ratios provide information about the level of debt of the company. On Tab. 7 are presented the elements that contribute to the leverage ratios calculation. It should be mentioning the Total Debt formula is presented in the Appendix.  </w:t>
      </w:r>
    </w:p>
    <w:p w14:paraId="46EF15D6" w14:textId="62014472" w:rsidR="00A31FC1" w:rsidRDefault="00A31FC1" w:rsidP="00773E00">
      <w:r>
        <w:t>Tab. 7 Leverage Ratios calculation elements</w:t>
      </w:r>
    </w:p>
    <w:tbl>
      <w:tblPr>
        <w:tblW w:w="9780" w:type="dxa"/>
        <w:tblLook w:val="04A0" w:firstRow="1" w:lastRow="0" w:firstColumn="1" w:lastColumn="0" w:noHBand="0" w:noVBand="1"/>
      </w:tblPr>
      <w:tblGrid>
        <w:gridCol w:w="2260"/>
        <w:gridCol w:w="1720"/>
        <w:gridCol w:w="1420"/>
        <w:gridCol w:w="960"/>
        <w:gridCol w:w="960"/>
        <w:gridCol w:w="960"/>
        <w:gridCol w:w="1500"/>
      </w:tblGrid>
      <w:tr w:rsidR="005B5EF6" w:rsidRPr="005B5EF6" w14:paraId="4C22DD36" w14:textId="77777777" w:rsidTr="005B5EF6">
        <w:trPr>
          <w:trHeight w:val="300"/>
        </w:trPr>
        <w:tc>
          <w:tcPr>
            <w:tcW w:w="22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07050E6" w14:textId="77777777" w:rsidR="005B5EF6" w:rsidRPr="005B5EF6" w:rsidRDefault="005B5EF6" w:rsidP="005B5EF6">
            <w:pPr>
              <w:spacing w:after="0" w:line="240" w:lineRule="auto"/>
              <w:rPr>
                <w:rFonts w:ascii="Calibri" w:eastAsia="Times New Roman" w:hAnsi="Calibri" w:cs="Calibri"/>
                <w:color w:val="000000"/>
                <w:lang w:eastAsia="en-GB"/>
              </w:rPr>
            </w:pPr>
            <w:r w:rsidRPr="005B5EF6">
              <w:rPr>
                <w:rFonts w:ascii="Calibri" w:eastAsia="Times New Roman" w:hAnsi="Calibri" w:cs="Calibri"/>
                <w:color w:val="000000"/>
                <w:lang w:eastAsia="en-GB"/>
              </w:rPr>
              <w:t> </w:t>
            </w:r>
          </w:p>
        </w:tc>
        <w:tc>
          <w:tcPr>
            <w:tcW w:w="6020" w:type="dxa"/>
            <w:gridSpan w:val="5"/>
            <w:tcBorders>
              <w:top w:val="single" w:sz="8" w:space="0" w:color="auto"/>
              <w:left w:val="nil"/>
              <w:bottom w:val="single" w:sz="4" w:space="0" w:color="auto"/>
              <w:right w:val="single" w:sz="4" w:space="0" w:color="auto"/>
            </w:tcBorders>
            <w:shd w:val="clear" w:color="auto" w:fill="auto"/>
            <w:noWrap/>
            <w:vAlign w:val="bottom"/>
            <w:hideMark/>
          </w:tcPr>
          <w:p w14:paraId="5FDC503C" w14:textId="77777777" w:rsidR="005B5EF6" w:rsidRPr="005B5EF6" w:rsidRDefault="005B5EF6" w:rsidP="005B5EF6">
            <w:pPr>
              <w:spacing w:after="0" w:line="240" w:lineRule="auto"/>
              <w:jc w:val="center"/>
              <w:rPr>
                <w:rFonts w:ascii="Calibri" w:eastAsia="Times New Roman" w:hAnsi="Calibri" w:cs="Calibri"/>
                <w:color w:val="000000"/>
                <w:lang w:eastAsia="en-GB"/>
              </w:rPr>
            </w:pPr>
            <w:r w:rsidRPr="005B5EF6">
              <w:rPr>
                <w:rFonts w:ascii="Calibri" w:eastAsia="Times New Roman" w:hAnsi="Calibri" w:cs="Calibri"/>
                <w:color w:val="000000"/>
                <w:lang w:eastAsia="en-GB"/>
              </w:rPr>
              <w:t>The chosen company</w:t>
            </w:r>
          </w:p>
        </w:tc>
        <w:tc>
          <w:tcPr>
            <w:tcW w:w="1500" w:type="dxa"/>
            <w:tcBorders>
              <w:top w:val="single" w:sz="8" w:space="0" w:color="auto"/>
              <w:left w:val="nil"/>
              <w:bottom w:val="single" w:sz="4" w:space="0" w:color="auto"/>
              <w:right w:val="single" w:sz="8" w:space="0" w:color="auto"/>
            </w:tcBorders>
            <w:shd w:val="clear" w:color="auto" w:fill="auto"/>
            <w:noWrap/>
            <w:vAlign w:val="bottom"/>
            <w:hideMark/>
          </w:tcPr>
          <w:p w14:paraId="21FEEEFB" w14:textId="77777777" w:rsidR="005B5EF6" w:rsidRPr="005B5EF6" w:rsidRDefault="005B5EF6" w:rsidP="005B5EF6">
            <w:pPr>
              <w:spacing w:after="0" w:line="240" w:lineRule="auto"/>
              <w:rPr>
                <w:rFonts w:ascii="Calibri" w:eastAsia="Times New Roman" w:hAnsi="Calibri" w:cs="Calibri"/>
                <w:color w:val="000000"/>
                <w:lang w:eastAsia="en-GB"/>
              </w:rPr>
            </w:pPr>
            <w:r w:rsidRPr="005B5EF6">
              <w:rPr>
                <w:rFonts w:ascii="Calibri" w:eastAsia="Times New Roman" w:hAnsi="Calibri" w:cs="Calibri"/>
                <w:color w:val="000000"/>
                <w:lang w:eastAsia="en-GB"/>
              </w:rPr>
              <w:t>Competitor</w:t>
            </w:r>
          </w:p>
        </w:tc>
      </w:tr>
      <w:tr w:rsidR="005B5EF6" w:rsidRPr="005B5EF6" w14:paraId="1369778F" w14:textId="77777777" w:rsidTr="005B5EF6">
        <w:trPr>
          <w:trHeight w:val="645"/>
        </w:trPr>
        <w:tc>
          <w:tcPr>
            <w:tcW w:w="2260" w:type="dxa"/>
            <w:tcBorders>
              <w:top w:val="nil"/>
              <w:left w:val="single" w:sz="8" w:space="0" w:color="auto"/>
              <w:bottom w:val="single" w:sz="4" w:space="0" w:color="auto"/>
              <w:right w:val="single" w:sz="4" w:space="0" w:color="auto"/>
            </w:tcBorders>
            <w:shd w:val="clear" w:color="auto" w:fill="auto"/>
            <w:noWrap/>
            <w:vAlign w:val="bottom"/>
            <w:hideMark/>
          </w:tcPr>
          <w:p w14:paraId="708D4C23" w14:textId="77777777" w:rsidR="005B5EF6" w:rsidRPr="005B5EF6" w:rsidRDefault="005B5EF6" w:rsidP="005B5EF6">
            <w:pPr>
              <w:spacing w:after="0" w:line="240" w:lineRule="auto"/>
              <w:rPr>
                <w:rFonts w:ascii="Calibri" w:eastAsia="Times New Roman" w:hAnsi="Calibri" w:cs="Calibri"/>
                <w:color w:val="000000"/>
                <w:lang w:eastAsia="en-GB"/>
              </w:rPr>
            </w:pPr>
            <w:r w:rsidRPr="005B5EF6">
              <w:rPr>
                <w:rFonts w:ascii="Calibri" w:eastAsia="Times New Roman" w:hAnsi="Calibri" w:cs="Calibri"/>
                <w:color w:val="000000"/>
                <w:lang w:eastAsia="en-GB"/>
              </w:rPr>
              <w:t> </w:t>
            </w:r>
          </w:p>
        </w:tc>
        <w:tc>
          <w:tcPr>
            <w:tcW w:w="6020" w:type="dxa"/>
            <w:gridSpan w:val="5"/>
            <w:tcBorders>
              <w:top w:val="single" w:sz="4" w:space="0" w:color="auto"/>
              <w:left w:val="nil"/>
              <w:bottom w:val="single" w:sz="4" w:space="0" w:color="auto"/>
              <w:right w:val="single" w:sz="4" w:space="0" w:color="auto"/>
            </w:tcBorders>
            <w:shd w:val="clear" w:color="auto" w:fill="auto"/>
            <w:noWrap/>
            <w:vAlign w:val="bottom"/>
            <w:hideMark/>
          </w:tcPr>
          <w:p w14:paraId="77AECDA7" w14:textId="77777777" w:rsidR="005B5EF6" w:rsidRPr="005B5EF6" w:rsidRDefault="005B5EF6" w:rsidP="005B5EF6">
            <w:pPr>
              <w:spacing w:after="0" w:line="240" w:lineRule="auto"/>
              <w:jc w:val="center"/>
              <w:rPr>
                <w:rFonts w:ascii="Calibri" w:eastAsia="Times New Roman" w:hAnsi="Calibri" w:cs="Calibri"/>
                <w:color w:val="000000"/>
                <w:lang w:eastAsia="en-GB"/>
              </w:rPr>
            </w:pPr>
            <w:r w:rsidRPr="005B5EF6">
              <w:rPr>
                <w:rFonts w:ascii="Calibri" w:eastAsia="Times New Roman" w:hAnsi="Calibri" w:cs="Calibri"/>
                <w:color w:val="000000"/>
                <w:lang w:eastAsia="en-GB"/>
              </w:rPr>
              <w:t>Jaguar Land Rover (£M)</w:t>
            </w:r>
          </w:p>
        </w:tc>
        <w:tc>
          <w:tcPr>
            <w:tcW w:w="1500" w:type="dxa"/>
            <w:tcBorders>
              <w:top w:val="nil"/>
              <w:left w:val="nil"/>
              <w:bottom w:val="single" w:sz="4" w:space="0" w:color="auto"/>
              <w:right w:val="single" w:sz="8" w:space="0" w:color="auto"/>
            </w:tcBorders>
            <w:shd w:val="clear" w:color="auto" w:fill="auto"/>
            <w:vAlign w:val="bottom"/>
            <w:hideMark/>
          </w:tcPr>
          <w:p w14:paraId="08147216" w14:textId="77777777" w:rsidR="005B5EF6" w:rsidRPr="005B5EF6" w:rsidRDefault="005B5EF6" w:rsidP="005B5EF6">
            <w:pPr>
              <w:spacing w:after="0" w:line="240" w:lineRule="auto"/>
              <w:rPr>
                <w:rFonts w:ascii="Calibri" w:eastAsia="Times New Roman" w:hAnsi="Calibri" w:cs="Calibri"/>
                <w:color w:val="000000"/>
                <w:lang w:eastAsia="en-GB"/>
              </w:rPr>
            </w:pPr>
            <w:r w:rsidRPr="005B5EF6">
              <w:rPr>
                <w:rFonts w:ascii="Calibri" w:eastAsia="Times New Roman" w:hAnsi="Calibri" w:cs="Calibri"/>
                <w:color w:val="000000"/>
                <w:lang w:eastAsia="en-GB"/>
              </w:rPr>
              <w:t>Mercedes Benz (€M)</w:t>
            </w:r>
          </w:p>
        </w:tc>
      </w:tr>
      <w:tr w:rsidR="005B5EF6" w:rsidRPr="005B5EF6" w14:paraId="07D0EEAB" w14:textId="77777777" w:rsidTr="005B5EF6">
        <w:trPr>
          <w:trHeight w:val="315"/>
        </w:trPr>
        <w:tc>
          <w:tcPr>
            <w:tcW w:w="2260" w:type="dxa"/>
            <w:tcBorders>
              <w:top w:val="nil"/>
              <w:left w:val="single" w:sz="8" w:space="0" w:color="auto"/>
              <w:bottom w:val="single" w:sz="8" w:space="0" w:color="auto"/>
              <w:right w:val="single" w:sz="4" w:space="0" w:color="auto"/>
            </w:tcBorders>
            <w:shd w:val="clear" w:color="auto" w:fill="auto"/>
            <w:noWrap/>
            <w:vAlign w:val="bottom"/>
            <w:hideMark/>
          </w:tcPr>
          <w:p w14:paraId="501C59F4" w14:textId="77777777" w:rsidR="005B5EF6" w:rsidRPr="005B5EF6" w:rsidRDefault="005B5EF6" w:rsidP="005B5EF6">
            <w:pPr>
              <w:spacing w:after="0" w:line="240" w:lineRule="auto"/>
              <w:rPr>
                <w:rFonts w:ascii="Calibri" w:eastAsia="Times New Roman" w:hAnsi="Calibri" w:cs="Calibri"/>
                <w:color w:val="000000"/>
                <w:lang w:eastAsia="en-GB"/>
              </w:rPr>
            </w:pPr>
            <w:r w:rsidRPr="005B5EF6">
              <w:rPr>
                <w:rFonts w:ascii="Calibri" w:eastAsia="Times New Roman" w:hAnsi="Calibri" w:cs="Calibri"/>
                <w:color w:val="000000"/>
                <w:lang w:eastAsia="en-GB"/>
              </w:rPr>
              <w:t>Year</w:t>
            </w:r>
          </w:p>
        </w:tc>
        <w:tc>
          <w:tcPr>
            <w:tcW w:w="1720" w:type="dxa"/>
            <w:tcBorders>
              <w:top w:val="nil"/>
              <w:left w:val="nil"/>
              <w:bottom w:val="single" w:sz="8" w:space="0" w:color="auto"/>
              <w:right w:val="single" w:sz="4" w:space="0" w:color="auto"/>
            </w:tcBorders>
            <w:shd w:val="clear" w:color="auto" w:fill="auto"/>
            <w:noWrap/>
            <w:vAlign w:val="bottom"/>
            <w:hideMark/>
          </w:tcPr>
          <w:p w14:paraId="6AB3B789"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2014</w:t>
            </w:r>
          </w:p>
        </w:tc>
        <w:tc>
          <w:tcPr>
            <w:tcW w:w="1420" w:type="dxa"/>
            <w:tcBorders>
              <w:top w:val="nil"/>
              <w:left w:val="nil"/>
              <w:bottom w:val="single" w:sz="8" w:space="0" w:color="auto"/>
              <w:right w:val="single" w:sz="4" w:space="0" w:color="auto"/>
            </w:tcBorders>
            <w:shd w:val="clear" w:color="auto" w:fill="auto"/>
            <w:noWrap/>
            <w:vAlign w:val="bottom"/>
            <w:hideMark/>
          </w:tcPr>
          <w:p w14:paraId="0B94F111"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2015</w:t>
            </w:r>
          </w:p>
        </w:tc>
        <w:tc>
          <w:tcPr>
            <w:tcW w:w="960" w:type="dxa"/>
            <w:tcBorders>
              <w:top w:val="nil"/>
              <w:left w:val="nil"/>
              <w:bottom w:val="single" w:sz="8" w:space="0" w:color="auto"/>
              <w:right w:val="single" w:sz="4" w:space="0" w:color="auto"/>
            </w:tcBorders>
            <w:shd w:val="clear" w:color="auto" w:fill="auto"/>
            <w:noWrap/>
            <w:vAlign w:val="bottom"/>
            <w:hideMark/>
          </w:tcPr>
          <w:p w14:paraId="6BF0DB09"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2016</w:t>
            </w:r>
          </w:p>
        </w:tc>
        <w:tc>
          <w:tcPr>
            <w:tcW w:w="960" w:type="dxa"/>
            <w:tcBorders>
              <w:top w:val="nil"/>
              <w:left w:val="nil"/>
              <w:bottom w:val="single" w:sz="8" w:space="0" w:color="auto"/>
              <w:right w:val="single" w:sz="4" w:space="0" w:color="auto"/>
            </w:tcBorders>
            <w:shd w:val="clear" w:color="auto" w:fill="auto"/>
            <w:noWrap/>
            <w:vAlign w:val="bottom"/>
            <w:hideMark/>
          </w:tcPr>
          <w:p w14:paraId="120FDB83"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2017</w:t>
            </w:r>
          </w:p>
        </w:tc>
        <w:tc>
          <w:tcPr>
            <w:tcW w:w="960" w:type="dxa"/>
            <w:tcBorders>
              <w:top w:val="nil"/>
              <w:left w:val="nil"/>
              <w:bottom w:val="single" w:sz="8" w:space="0" w:color="auto"/>
              <w:right w:val="single" w:sz="4" w:space="0" w:color="auto"/>
            </w:tcBorders>
            <w:shd w:val="clear" w:color="auto" w:fill="auto"/>
            <w:noWrap/>
            <w:vAlign w:val="bottom"/>
            <w:hideMark/>
          </w:tcPr>
          <w:p w14:paraId="0564F228"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2018</w:t>
            </w:r>
          </w:p>
        </w:tc>
        <w:tc>
          <w:tcPr>
            <w:tcW w:w="1500" w:type="dxa"/>
            <w:tcBorders>
              <w:top w:val="nil"/>
              <w:left w:val="nil"/>
              <w:bottom w:val="single" w:sz="8" w:space="0" w:color="auto"/>
              <w:right w:val="single" w:sz="8" w:space="0" w:color="auto"/>
            </w:tcBorders>
            <w:shd w:val="clear" w:color="auto" w:fill="auto"/>
            <w:noWrap/>
            <w:vAlign w:val="bottom"/>
            <w:hideMark/>
          </w:tcPr>
          <w:p w14:paraId="0CAA998A" w14:textId="77777777" w:rsidR="005B5EF6" w:rsidRPr="005B5EF6" w:rsidRDefault="005B5EF6" w:rsidP="005B5EF6">
            <w:pPr>
              <w:spacing w:after="0" w:line="240" w:lineRule="auto"/>
              <w:jc w:val="right"/>
              <w:rPr>
                <w:rFonts w:ascii="Calibri" w:eastAsia="Times New Roman" w:hAnsi="Calibri" w:cs="Calibri"/>
                <w:color w:val="000000"/>
                <w:lang w:eastAsia="en-GB"/>
              </w:rPr>
            </w:pPr>
            <w:r w:rsidRPr="005B5EF6">
              <w:rPr>
                <w:rFonts w:ascii="Calibri" w:eastAsia="Times New Roman" w:hAnsi="Calibri" w:cs="Calibri"/>
                <w:color w:val="000000"/>
                <w:lang w:eastAsia="en-GB"/>
              </w:rPr>
              <w:t>2018</w:t>
            </w:r>
          </w:p>
        </w:tc>
      </w:tr>
      <w:tr w:rsidR="005B5EF6" w:rsidRPr="005B5EF6" w14:paraId="014D3948" w14:textId="77777777" w:rsidTr="005B5EF6">
        <w:trPr>
          <w:trHeight w:val="300"/>
        </w:trPr>
        <w:tc>
          <w:tcPr>
            <w:tcW w:w="2260" w:type="dxa"/>
            <w:tcBorders>
              <w:top w:val="nil"/>
              <w:left w:val="single" w:sz="8" w:space="0" w:color="auto"/>
              <w:bottom w:val="single" w:sz="4" w:space="0" w:color="auto"/>
              <w:right w:val="single" w:sz="4" w:space="0" w:color="auto"/>
            </w:tcBorders>
            <w:shd w:val="clear" w:color="auto" w:fill="auto"/>
            <w:noWrap/>
            <w:vAlign w:val="bottom"/>
            <w:hideMark/>
          </w:tcPr>
          <w:p w14:paraId="7560DE0D" w14:textId="77777777" w:rsidR="005B5EF6" w:rsidRPr="005B5EF6" w:rsidRDefault="005B5EF6" w:rsidP="005B5EF6">
            <w:pPr>
              <w:spacing w:after="0" w:line="240" w:lineRule="auto"/>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Total Debt</w:t>
            </w:r>
          </w:p>
        </w:tc>
        <w:tc>
          <w:tcPr>
            <w:tcW w:w="1720" w:type="dxa"/>
            <w:tcBorders>
              <w:top w:val="nil"/>
              <w:left w:val="nil"/>
              <w:bottom w:val="single" w:sz="4" w:space="0" w:color="auto"/>
              <w:right w:val="single" w:sz="4" w:space="0" w:color="auto"/>
            </w:tcBorders>
            <w:shd w:val="clear" w:color="auto" w:fill="auto"/>
            <w:vAlign w:val="bottom"/>
            <w:hideMark/>
          </w:tcPr>
          <w:p w14:paraId="203380F3"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£2,010</w:t>
            </w:r>
          </w:p>
        </w:tc>
        <w:tc>
          <w:tcPr>
            <w:tcW w:w="1420" w:type="dxa"/>
            <w:tcBorders>
              <w:top w:val="nil"/>
              <w:left w:val="nil"/>
              <w:bottom w:val="single" w:sz="4" w:space="0" w:color="auto"/>
              <w:right w:val="single" w:sz="4" w:space="0" w:color="auto"/>
            </w:tcBorders>
            <w:shd w:val="clear" w:color="auto" w:fill="auto"/>
            <w:vAlign w:val="bottom"/>
            <w:hideMark/>
          </w:tcPr>
          <w:p w14:paraId="72E6B73A"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£2,537</w:t>
            </w:r>
          </w:p>
        </w:tc>
        <w:tc>
          <w:tcPr>
            <w:tcW w:w="960" w:type="dxa"/>
            <w:tcBorders>
              <w:top w:val="nil"/>
              <w:left w:val="nil"/>
              <w:bottom w:val="single" w:sz="4" w:space="0" w:color="auto"/>
              <w:right w:val="single" w:sz="4" w:space="0" w:color="auto"/>
            </w:tcBorders>
            <w:shd w:val="clear" w:color="auto" w:fill="auto"/>
            <w:vAlign w:val="bottom"/>
            <w:hideMark/>
          </w:tcPr>
          <w:p w14:paraId="18101AD1"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£2,489</w:t>
            </w:r>
          </w:p>
        </w:tc>
        <w:tc>
          <w:tcPr>
            <w:tcW w:w="960" w:type="dxa"/>
            <w:tcBorders>
              <w:top w:val="nil"/>
              <w:left w:val="nil"/>
              <w:bottom w:val="single" w:sz="4" w:space="0" w:color="auto"/>
              <w:right w:val="single" w:sz="4" w:space="0" w:color="auto"/>
            </w:tcBorders>
            <w:shd w:val="clear" w:color="auto" w:fill="auto"/>
            <w:vAlign w:val="bottom"/>
            <w:hideMark/>
          </w:tcPr>
          <w:p w14:paraId="3CE18963"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£3,574</w:t>
            </w:r>
          </w:p>
        </w:tc>
        <w:tc>
          <w:tcPr>
            <w:tcW w:w="960" w:type="dxa"/>
            <w:tcBorders>
              <w:top w:val="nil"/>
              <w:left w:val="nil"/>
              <w:bottom w:val="single" w:sz="4" w:space="0" w:color="auto"/>
              <w:right w:val="single" w:sz="4" w:space="0" w:color="auto"/>
            </w:tcBorders>
            <w:shd w:val="clear" w:color="auto" w:fill="auto"/>
            <w:vAlign w:val="bottom"/>
            <w:hideMark/>
          </w:tcPr>
          <w:p w14:paraId="33605D0D"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£3,712</w:t>
            </w:r>
          </w:p>
        </w:tc>
        <w:tc>
          <w:tcPr>
            <w:tcW w:w="1500" w:type="dxa"/>
            <w:tcBorders>
              <w:top w:val="nil"/>
              <w:left w:val="nil"/>
              <w:bottom w:val="single" w:sz="4" w:space="0" w:color="auto"/>
              <w:right w:val="single" w:sz="8" w:space="0" w:color="auto"/>
            </w:tcBorders>
            <w:shd w:val="clear" w:color="auto" w:fill="auto"/>
            <w:noWrap/>
            <w:vAlign w:val="bottom"/>
            <w:hideMark/>
          </w:tcPr>
          <w:p w14:paraId="12DE9D82"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€ 144,902</w:t>
            </w:r>
          </w:p>
        </w:tc>
      </w:tr>
      <w:tr w:rsidR="005B5EF6" w:rsidRPr="005B5EF6" w14:paraId="030FE794" w14:textId="77777777" w:rsidTr="005B5EF6">
        <w:trPr>
          <w:trHeight w:val="300"/>
        </w:trPr>
        <w:tc>
          <w:tcPr>
            <w:tcW w:w="2260" w:type="dxa"/>
            <w:tcBorders>
              <w:top w:val="nil"/>
              <w:left w:val="single" w:sz="8" w:space="0" w:color="auto"/>
              <w:bottom w:val="single" w:sz="4" w:space="0" w:color="auto"/>
              <w:right w:val="single" w:sz="4" w:space="0" w:color="auto"/>
            </w:tcBorders>
            <w:shd w:val="clear" w:color="auto" w:fill="auto"/>
            <w:noWrap/>
            <w:vAlign w:val="bottom"/>
            <w:hideMark/>
          </w:tcPr>
          <w:p w14:paraId="0A9B235A" w14:textId="77777777" w:rsidR="005B5EF6" w:rsidRPr="005B5EF6" w:rsidRDefault="005B5EF6" w:rsidP="005B5EF6">
            <w:pPr>
              <w:spacing w:after="0" w:line="240" w:lineRule="auto"/>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Short-term borrowings</w:t>
            </w:r>
          </w:p>
        </w:tc>
        <w:tc>
          <w:tcPr>
            <w:tcW w:w="1720" w:type="dxa"/>
            <w:tcBorders>
              <w:top w:val="nil"/>
              <w:left w:val="nil"/>
              <w:bottom w:val="single" w:sz="4" w:space="0" w:color="auto"/>
              <w:right w:val="single" w:sz="4" w:space="0" w:color="auto"/>
            </w:tcBorders>
            <w:shd w:val="clear" w:color="auto" w:fill="auto"/>
            <w:vAlign w:val="bottom"/>
            <w:hideMark/>
          </w:tcPr>
          <w:p w14:paraId="7CA7DCE7"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£167</w:t>
            </w:r>
          </w:p>
        </w:tc>
        <w:tc>
          <w:tcPr>
            <w:tcW w:w="1420" w:type="dxa"/>
            <w:tcBorders>
              <w:top w:val="nil"/>
              <w:left w:val="nil"/>
              <w:bottom w:val="single" w:sz="4" w:space="0" w:color="auto"/>
              <w:right w:val="single" w:sz="4" w:space="0" w:color="auto"/>
            </w:tcBorders>
            <w:shd w:val="clear" w:color="auto" w:fill="auto"/>
            <w:vAlign w:val="bottom"/>
            <w:hideMark/>
          </w:tcPr>
          <w:p w14:paraId="4ED291E0"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£156</w:t>
            </w:r>
          </w:p>
        </w:tc>
        <w:tc>
          <w:tcPr>
            <w:tcW w:w="960" w:type="dxa"/>
            <w:tcBorders>
              <w:top w:val="nil"/>
              <w:left w:val="nil"/>
              <w:bottom w:val="single" w:sz="4" w:space="0" w:color="auto"/>
              <w:right w:val="single" w:sz="4" w:space="0" w:color="auto"/>
            </w:tcBorders>
            <w:shd w:val="clear" w:color="auto" w:fill="auto"/>
            <w:vAlign w:val="bottom"/>
            <w:hideMark/>
          </w:tcPr>
          <w:p w14:paraId="7F331BA8"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£116</w:t>
            </w:r>
          </w:p>
        </w:tc>
        <w:tc>
          <w:tcPr>
            <w:tcW w:w="960" w:type="dxa"/>
            <w:tcBorders>
              <w:top w:val="nil"/>
              <w:left w:val="nil"/>
              <w:bottom w:val="single" w:sz="4" w:space="0" w:color="auto"/>
              <w:right w:val="single" w:sz="4" w:space="0" w:color="auto"/>
            </w:tcBorders>
            <w:shd w:val="clear" w:color="auto" w:fill="auto"/>
            <w:vAlign w:val="bottom"/>
            <w:hideMark/>
          </w:tcPr>
          <w:p w14:paraId="66B901B4"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£179</w:t>
            </w:r>
          </w:p>
        </w:tc>
        <w:tc>
          <w:tcPr>
            <w:tcW w:w="960" w:type="dxa"/>
            <w:tcBorders>
              <w:top w:val="nil"/>
              <w:left w:val="nil"/>
              <w:bottom w:val="single" w:sz="4" w:space="0" w:color="auto"/>
              <w:right w:val="single" w:sz="4" w:space="0" w:color="auto"/>
            </w:tcBorders>
            <w:shd w:val="clear" w:color="auto" w:fill="auto"/>
            <w:vAlign w:val="bottom"/>
            <w:hideMark/>
          </w:tcPr>
          <w:p w14:paraId="62833207"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£652</w:t>
            </w:r>
          </w:p>
        </w:tc>
        <w:tc>
          <w:tcPr>
            <w:tcW w:w="1500" w:type="dxa"/>
            <w:tcBorders>
              <w:top w:val="nil"/>
              <w:left w:val="nil"/>
              <w:bottom w:val="single" w:sz="4" w:space="0" w:color="auto"/>
              <w:right w:val="single" w:sz="8" w:space="0" w:color="auto"/>
            </w:tcBorders>
            <w:shd w:val="clear" w:color="auto" w:fill="auto"/>
            <w:noWrap/>
            <w:vAlign w:val="bottom"/>
            <w:hideMark/>
          </w:tcPr>
          <w:p w14:paraId="5E231600"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€ 56,240</w:t>
            </w:r>
          </w:p>
        </w:tc>
      </w:tr>
      <w:tr w:rsidR="005B5EF6" w:rsidRPr="005B5EF6" w14:paraId="1E2720C3" w14:textId="77777777" w:rsidTr="005B5EF6">
        <w:trPr>
          <w:trHeight w:val="300"/>
        </w:trPr>
        <w:tc>
          <w:tcPr>
            <w:tcW w:w="2260" w:type="dxa"/>
            <w:tcBorders>
              <w:top w:val="nil"/>
              <w:left w:val="single" w:sz="8" w:space="0" w:color="auto"/>
              <w:bottom w:val="single" w:sz="4" w:space="0" w:color="auto"/>
              <w:right w:val="single" w:sz="4" w:space="0" w:color="auto"/>
            </w:tcBorders>
            <w:shd w:val="clear" w:color="auto" w:fill="auto"/>
            <w:noWrap/>
            <w:vAlign w:val="bottom"/>
            <w:hideMark/>
          </w:tcPr>
          <w:p w14:paraId="1433C99F" w14:textId="77777777" w:rsidR="005B5EF6" w:rsidRPr="005B5EF6" w:rsidRDefault="005B5EF6" w:rsidP="005B5EF6">
            <w:pPr>
              <w:spacing w:after="0" w:line="240" w:lineRule="auto"/>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Long-term borrowings</w:t>
            </w:r>
          </w:p>
        </w:tc>
        <w:tc>
          <w:tcPr>
            <w:tcW w:w="1720" w:type="dxa"/>
            <w:tcBorders>
              <w:top w:val="nil"/>
              <w:left w:val="nil"/>
              <w:bottom w:val="single" w:sz="4" w:space="0" w:color="auto"/>
              <w:right w:val="single" w:sz="4" w:space="0" w:color="auto"/>
            </w:tcBorders>
            <w:shd w:val="clear" w:color="auto" w:fill="auto"/>
            <w:vAlign w:val="bottom"/>
            <w:hideMark/>
          </w:tcPr>
          <w:p w14:paraId="21CA9CBA"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£1,843</w:t>
            </w:r>
          </w:p>
        </w:tc>
        <w:tc>
          <w:tcPr>
            <w:tcW w:w="1420" w:type="dxa"/>
            <w:tcBorders>
              <w:top w:val="nil"/>
              <w:left w:val="nil"/>
              <w:bottom w:val="single" w:sz="4" w:space="0" w:color="auto"/>
              <w:right w:val="single" w:sz="4" w:space="0" w:color="auto"/>
            </w:tcBorders>
            <w:shd w:val="clear" w:color="auto" w:fill="auto"/>
            <w:vAlign w:val="bottom"/>
            <w:hideMark/>
          </w:tcPr>
          <w:p w14:paraId="74EB4C61"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£2,381</w:t>
            </w:r>
          </w:p>
        </w:tc>
        <w:tc>
          <w:tcPr>
            <w:tcW w:w="960" w:type="dxa"/>
            <w:tcBorders>
              <w:top w:val="nil"/>
              <w:left w:val="nil"/>
              <w:bottom w:val="single" w:sz="4" w:space="0" w:color="auto"/>
              <w:right w:val="single" w:sz="4" w:space="0" w:color="auto"/>
            </w:tcBorders>
            <w:shd w:val="clear" w:color="auto" w:fill="auto"/>
            <w:vAlign w:val="bottom"/>
            <w:hideMark/>
          </w:tcPr>
          <w:p w14:paraId="01DE2A04"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£2,373</w:t>
            </w:r>
          </w:p>
        </w:tc>
        <w:tc>
          <w:tcPr>
            <w:tcW w:w="960" w:type="dxa"/>
            <w:tcBorders>
              <w:top w:val="nil"/>
              <w:left w:val="nil"/>
              <w:bottom w:val="single" w:sz="4" w:space="0" w:color="auto"/>
              <w:right w:val="single" w:sz="4" w:space="0" w:color="auto"/>
            </w:tcBorders>
            <w:shd w:val="clear" w:color="auto" w:fill="auto"/>
            <w:vAlign w:val="bottom"/>
            <w:hideMark/>
          </w:tcPr>
          <w:p w14:paraId="42FE89D5"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£3,395</w:t>
            </w:r>
          </w:p>
        </w:tc>
        <w:tc>
          <w:tcPr>
            <w:tcW w:w="960" w:type="dxa"/>
            <w:tcBorders>
              <w:top w:val="nil"/>
              <w:left w:val="nil"/>
              <w:bottom w:val="single" w:sz="4" w:space="0" w:color="auto"/>
              <w:right w:val="single" w:sz="4" w:space="0" w:color="auto"/>
            </w:tcBorders>
            <w:shd w:val="clear" w:color="auto" w:fill="auto"/>
            <w:vAlign w:val="bottom"/>
            <w:hideMark/>
          </w:tcPr>
          <w:p w14:paraId="39FA9AEE"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£3,060</w:t>
            </w:r>
          </w:p>
        </w:tc>
        <w:tc>
          <w:tcPr>
            <w:tcW w:w="1500" w:type="dxa"/>
            <w:tcBorders>
              <w:top w:val="nil"/>
              <w:left w:val="nil"/>
              <w:bottom w:val="single" w:sz="4" w:space="0" w:color="auto"/>
              <w:right w:val="single" w:sz="8" w:space="0" w:color="auto"/>
            </w:tcBorders>
            <w:shd w:val="clear" w:color="auto" w:fill="auto"/>
            <w:noWrap/>
            <w:vAlign w:val="bottom"/>
            <w:hideMark/>
          </w:tcPr>
          <w:p w14:paraId="5E16722D"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€ 88,662</w:t>
            </w:r>
          </w:p>
        </w:tc>
      </w:tr>
      <w:tr w:rsidR="005B5EF6" w:rsidRPr="005B5EF6" w14:paraId="352CC1FF" w14:textId="77777777" w:rsidTr="005B5EF6">
        <w:trPr>
          <w:trHeight w:val="300"/>
        </w:trPr>
        <w:tc>
          <w:tcPr>
            <w:tcW w:w="2260" w:type="dxa"/>
            <w:tcBorders>
              <w:top w:val="nil"/>
              <w:left w:val="single" w:sz="8" w:space="0" w:color="auto"/>
              <w:bottom w:val="single" w:sz="4" w:space="0" w:color="auto"/>
              <w:right w:val="single" w:sz="4" w:space="0" w:color="auto"/>
            </w:tcBorders>
            <w:shd w:val="clear" w:color="auto" w:fill="auto"/>
            <w:noWrap/>
            <w:vAlign w:val="bottom"/>
            <w:hideMark/>
          </w:tcPr>
          <w:p w14:paraId="5E208858" w14:textId="77777777" w:rsidR="005B5EF6" w:rsidRPr="005B5EF6" w:rsidRDefault="005B5EF6" w:rsidP="005B5EF6">
            <w:pPr>
              <w:spacing w:after="0" w:line="240" w:lineRule="auto"/>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Total Equity</w:t>
            </w:r>
          </w:p>
        </w:tc>
        <w:tc>
          <w:tcPr>
            <w:tcW w:w="1720" w:type="dxa"/>
            <w:tcBorders>
              <w:top w:val="nil"/>
              <w:left w:val="nil"/>
              <w:bottom w:val="single" w:sz="4" w:space="0" w:color="auto"/>
              <w:right w:val="single" w:sz="4" w:space="0" w:color="auto"/>
            </w:tcBorders>
            <w:shd w:val="clear" w:color="auto" w:fill="auto"/>
            <w:vAlign w:val="bottom"/>
            <w:hideMark/>
          </w:tcPr>
          <w:p w14:paraId="211B77F4"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£5,864</w:t>
            </w:r>
          </w:p>
        </w:tc>
        <w:tc>
          <w:tcPr>
            <w:tcW w:w="1420" w:type="dxa"/>
            <w:tcBorders>
              <w:top w:val="nil"/>
              <w:left w:val="nil"/>
              <w:bottom w:val="single" w:sz="4" w:space="0" w:color="auto"/>
              <w:right w:val="single" w:sz="4" w:space="0" w:color="auto"/>
            </w:tcBorders>
            <w:shd w:val="clear" w:color="auto" w:fill="auto"/>
            <w:vAlign w:val="bottom"/>
            <w:hideMark/>
          </w:tcPr>
          <w:p w14:paraId="35D59944"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£6,040</w:t>
            </w:r>
          </w:p>
        </w:tc>
        <w:tc>
          <w:tcPr>
            <w:tcW w:w="960" w:type="dxa"/>
            <w:tcBorders>
              <w:top w:val="nil"/>
              <w:left w:val="nil"/>
              <w:bottom w:val="single" w:sz="4" w:space="0" w:color="auto"/>
              <w:right w:val="single" w:sz="4" w:space="0" w:color="auto"/>
            </w:tcBorders>
            <w:shd w:val="clear" w:color="auto" w:fill="auto"/>
            <w:vAlign w:val="bottom"/>
            <w:hideMark/>
          </w:tcPr>
          <w:p w14:paraId="5E65A66F"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£7,614</w:t>
            </w:r>
          </w:p>
        </w:tc>
        <w:tc>
          <w:tcPr>
            <w:tcW w:w="960" w:type="dxa"/>
            <w:tcBorders>
              <w:top w:val="nil"/>
              <w:left w:val="nil"/>
              <w:bottom w:val="single" w:sz="4" w:space="0" w:color="auto"/>
              <w:right w:val="single" w:sz="4" w:space="0" w:color="auto"/>
            </w:tcBorders>
            <w:shd w:val="clear" w:color="auto" w:fill="auto"/>
            <w:vAlign w:val="bottom"/>
            <w:hideMark/>
          </w:tcPr>
          <w:p w14:paraId="7CAEDD44"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£6,581</w:t>
            </w:r>
          </w:p>
        </w:tc>
        <w:tc>
          <w:tcPr>
            <w:tcW w:w="960" w:type="dxa"/>
            <w:tcBorders>
              <w:top w:val="nil"/>
              <w:left w:val="nil"/>
              <w:bottom w:val="single" w:sz="4" w:space="0" w:color="auto"/>
              <w:right w:val="single" w:sz="4" w:space="0" w:color="auto"/>
            </w:tcBorders>
            <w:shd w:val="clear" w:color="auto" w:fill="auto"/>
            <w:vAlign w:val="bottom"/>
            <w:hideMark/>
          </w:tcPr>
          <w:p w14:paraId="5B6B7DF3"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£9,984</w:t>
            </w:r>
          </w:p>
        </w:tc>
        <w:tc>
          <w:tcPr>
            <w:tcW w:w="1500" w:type="dxa"/>
            <w:tcBorders>
              <w:top w:val="nil"/>
              <w:left w:val="nil"/>
              <w:bottom w:val="single" w:sz="4" w:space="0" w:color="auto"/>
              <w:right w:val="single" w:sz="8" w:space="0" w:color="auto"/>
            </w:tcBorders>
            <w:shd w:val="clear" w:color="auto" w:fill="auto"/>
            <w:noWrap/>
            <w:vAlign w:val="bottom"/>
            <w:hideMark/>
          </w:tcPr>
          <w:p w14:paraId="45CBC40B" w14:textId="77777777" w:rsidR="005B5EF6" w:rsidRPr="005B5EF6" w:rsidRDefault="005B5EF6" w:rsidP="005B5EF6">
            <w:pPr>
              <w:spacing w:after="0" w:line="240" w:lineRule="auto"/>
              <w:jc w:val="right"/>
              <w:rPr>
                <w:rFonts w:ascii="Calibri" w:eastAsia="Times New Roman" w:hAnsi="Calibri" w:cs="Calibri"/>
                <w:b/>
                <w:bCs/>
                <w:color w:val="000000"/>
                <w:lang w:eastAsia="en-GB"/>
              </w:rPr>
            </w:pPr>
            <w:r w:rsidRPr="005B5EF6">
              <w:rPr>
                <w:rFonts w:ascii="Calibri" w:eastAsia="Times New Roman" w:hAnsi="Calibri" w:cs="Calibri"/>
                <w:b/>
                <w:bCs/>
                <w:color w:val="000000"/>
                <w:lang w:eastAsia="en-GB"/>
              </w:rPr>
              <w:t>€ 66,053</w:t>
            </w:r>
          </w:p>
        </w:tc>
      </w:tr>
      <w:tr w:rsidR="005B5EF6" w:rsidRPr="005B5EF6" w14:paraId="02E5D58C" w14:textId="77777777" w:rsidTr="005B5EF6">
        <w:trPr>
          <w:trHeight w:val="315"/>
        </w:trPr>
        <w:tc>
          <w:tcPr>
            <w:tcW w:w="2260" w:type="dxa"/>
            <w:tcBorders>
              <w:top w:val="nil"/>
              <w:left w:val="single" w:sz="8" w:space="0" w:color="auto"/>
              <w:bottom w:val="single" w:sz="8" w:space="0" w:color="auto"/>
              <w:right w:val="single" w:sz="4" w:space="0" w:color="auto"/>
            </w:tcBorders>
            <w:shd w:val="clear" w:color="auto" w:fill="auto"/>
            <w:noWrap/>
            <w:vAlign w:val="bottom"/>
            <w:hideMark/>
          </w:tcPr>
          <w:p w14:paraId="111B31FA" w14:textId="77777777" w:rsidR="005B5EF6" w:rsidRPr="005B5EF6" w:rsidRDefault="005B5EF6" w:rsidP="005B5EF6">
            <w:pPr>
              <w:spacing w:after="0" w:line="240" w:lineRule="auto"/>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Total Equity+Total Debt</w:t>
            </w:r>
          </w:p>
        </w:tc>
        <w:tc>
          <w:tcPr>
            <w:tcW w:w="1720" w:type="dxa"/>
            <w:tcBorders>
              <w:top w:val="nil"/>
              <w:left w:val="nil"/>
              <w:bottom w:val="single" w:sz="8" w:space="0" w:color="auto"/>
              <w:right w:val="single" w:sz="4" w:space="0" w:color="auto"/>
            </w:tcBorders>
            <w:shd w:val="clear" w:color="auto" w:fill="auto"/>
            <w:vAlign w:val="bottom"/>
            <w:hideMark/>
          </w:tcPr>
          <w:p w14:paraId="5B58EB3B"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£7,874</w:t>
            </w:r>
          </w:p>
        </w:tc>
        <w:tc>
          <w:tcPr>
            <w:tcW w:w="1420" w:type="dxa"/>
            <w:tcBorders>
              <w:top w:val="nil"/>
              <w:left w:val="nil"/>
              <w:bottom w:val="single" w:sz="8" w:space="0" w:color="auto"/>
              <w:right w:val="single" w:sz="4" w:space="0" w:color="auto"/>
            </w:tcBorders>
            <w:shd w:val="clear" w:color="auto" w:fill="auto"/>
            <w:vAlign w:val="bottom"/>
            <w:hideMark/>
          </w:tcPr>
          <w:p w14:paraId="7D452519"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£8,577</w:t>
            </w:r>
          </w:p>
        </w:tc>
        <w:tc>
          <w:tcPr>
            <w:tcW w:w="960" w:type="dxa"/>
            <w:tcBorders>
              <w:top w:val="nil"/>
              <w:left w:val="nil"/>
              <w:bottom w:val="single" w:sz="8" w:space="0" w:color="auto"/>
              <w:right w:val="single" w:sz="4" w:space="0" w:color="auto"/>
            </w:tcBorders>
            <w:shd w:val="clear" w:color="auto" w:fill="auto"/>
            <w:vAlign w:val="bottom"/>
            <w:hideMark/>
          </w:tcPr>
          <w:p w14:paraId="60AD3B26"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£10,103</w:t>
            </w:r>
          </w:p>
        </w:tc>
        <w:tc>
          <w:tcPr>
            <w:tcW w:w="960" w:type="dxa"/>
            <w:tcBorders>
              <w:top w:val="nil"/>
              <w:left w:val="nil"/>
              <w:bottom w:val="single" w:sz="8" w:space="0" w:color="auto"/>
              <w:right w:val="single" w:sz="4" w:space="0" w:color="auto"/>
            </w:tcBorders>
            <w:shd w:val="clear" w:color="auto" w:fill="auto"/>
            <w:vAlign w:val="bottom"/>
            <w:hideMark/>
          </w:tcPr>
          <w:p w14:paraId="70C2FF70"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£10,155</w:t>
            </w:r>
          </w:p>
        </w:tc>
        <w:tc>
          <w:tcPr>
            <w:tcW w:w="960" w:type="dxa"/>
            <w:tcBorders>
              <w:top w:val="nil"/>
              <w:left w:val="nil"/>
              <w:bottom w:val="single" w:sz="8" w:space="0" w:color="auto"/>
              <w:right w:val="single" w:sz="4" w:space="0" w:color="auto"/>
            </w:tcBorders>
            <w:shd w:val="clear" w:color="auto" w:fill="auto"/>
            <w:vAlign w:val="bottom"/>
            <w:hideMark/>
          </w:tcPr>
          <w:p w14:paraId="03CE5557"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£13,696</w:t>
            </w:r>
          </w:p>
        </w:tc>
        <w:tc>
          <w:tcPr>
            <w:tcW w:w="1500" w:type="dxa"/>
            <w:tcBorders>
              <w:top w:val="nil"/>
              <w:left w:val="nil"/>
              <w:bottom w:val="single" w:sz="8" w:space="0" w:color="auto"/>
              <w:right w:val="single" w:sz="8" w:space="0" w:color="auto"/>
            </w:tcBorders>
            <w:shd w:val="clear" w:color="auto" w:fill="auto"/>
            <w:noWrap/>
            <w:vAlign w:val="bottom"/>
            <w:hideMark/>
          </w:tcPr>
          <w:p w14:paraId="1DACA294" w14:textId="77777777" w:rsidR="005B5EF6" w:rsidRPr="005B5EF6" w:rsidRDefault="005B5EF6" w:rsidP="005B5EF6">
            <w:pPr>
              <w:spacing w:after="0" w:line="240" w:lineRule="auto"/>
              <w:jc w:val="right"/>
              <w:rPr>
                <w:rFonts w:ascii="Calibri" w:eastAsia="Times New Roman" w:hAnsi="Calibri" w:cs="Calibri"/>
                <w:i/>
                <w:iCs/>
                <w:color w:val="000000"/>
                <w:lang w:eastAsia="en-GB"/>
              </w:rPr>
            </w:pPr>
            <w:r w:rsidRPr="005B5EF6">
              <w:rPr>
                <w:rFonts w:ascii="Calibri" w:eastAsia="Times New Roman" w:hAnsi="Calibri" w:cs="Calibri"/>
                <w:i/>
                <w:iCs/>
                <w:color w:val="000000"/>
                <w:lang w:eastAsia="en-GB"/>
              </w:rPr>
              <w:t>€ 210,955</w:t>
            </w:r>
          </w:p>
        </w:tc>
      </w:tr>
    </w:tbl>
    <w:p w14:paraId="7A3A7872" w14:textId="4A6EF48C" w:rsidR="00773E00" w:rsidRDefault="00202F78" w:rsidP="00773E00">
      <w:r>
        <w:t>Source:</w:t>
      </w:r>
      <w:r w:rsidR="002E4A1F">
        <w:t xml:space="preserve"> Author`s calculations and Annual Financial Reports of Jaguar Land Rover and Mercedes Benz</w:t>
      </w:r>
    </w:p>
    <w:p w14:paraId="06E4180D" w14:textId="5FF1D026" w:rsidR="00202F78" w:rsidRDefault="00202F78" w:rsidP="00773E00">
      <w:r>
        <w:t xml:space="preserve">The leverage ratio </w:t>
      </w:r>
      <w:proofErr w:type="gramStart"/>
      <w:r>
        <w:t>are</w:t>
      </w:r>
      <w:proofErr w:type="gramEnd"/>
      <w:r>
        <w:t xml:space="preserve"> Debt – Equity and Debt-to Capital. Debt to Equity ratio is telling us how much from the actual finance of the company is provide by creditors or investors. Debt to Capital is shown how much from the total debt the company is using to run the operations.</w:t>
      </w:r>
    </w:p>
    <w:p w14:paraId="2BE12CB8" w14:textId="0B382C99" w:rsidR="00A31FC1" w:rsidRDefault="001B0B58" w:rsidP="00773E00">
      <w:r>
        <w:t>Tab. 8 Leverage Ratios</w:t>
      </w:r>
    </w:p>
    <w:tbl>
      <w:tblPr>
        <w:tblW w:w="8940" w:type="dxa"/>
        <w:tblLook w:val="04A0" w:firstRow="1" w:lastRow="0" w:firstColumn="1" w:lastColumn="0" w:noHBand="0" w:noVBand="1"/>
      </w:tblPr>
      <w:tblGrid>
        <w:gridCol w:w="2440"/>
        <w:gridCol w:w="1060"/>
        <w:gridCol w:w="1060"/>
        <w:gridCol w:w="1060"/>
        <w:gridCol w:w="1060"/>
        <w:gridCol w:w="1060"/>
        <w:gridCol w:w="1241"/>
      </w:tblGrid>
      <w:tr w:rsidR="008928F9" w:rsidRPr="008928F9" w14:paraId="5D4DC243" w14:textId="77777777" w:rsidTr="008928F9">
        <w:trPr>
          <w:trHeight w:val="300"/>
        </w:trPr>
        <w:tc>
          <w:tcPr>
            <w:tcW w:w="24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005911F"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 </w:t>
            </w:r>
          </w:p>
        </w:tc>
        <w:tc>
          <w:tcPr>
            <w:tcW w:w="5300" w:type="dxa"/>
            <w:gridSpan w:val="5"/>
            <w:tcBorders>
              <w:top w:val="single" w:sz="8" w:space="0" w:color="auto"/>
              <w:left w:val="nil"/>
              <w:bottom w:val="single" w:sz="4" w:space="0" w:color="auto"/>
              <w:right w:val="single" w:sz="4" w:space="0" w:color="auto"/>
            </w:tcBorders>
            <w:shd w:val="clear" w:color="auto" w:fill="auto"/>
            <w:noWrap/>
            <w:vAlign w:val="bottom"/>
            <w:hideMark/>
          </w:tcPr>
          <w:p w14:paraId="409D183F"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The chosen company</w:t>
            </w:r>
          </w:p>
        </w:tc>
        <w:tc>
          <w:tcPr>
            <w:tcW w:w="1200" w:type="dxa"/>
            <w:tcBorders>
              <w:top w:val="single" w:sz="8" w:space="0" w:color="auto"/>
              <w:left w:val="nil"/>
              <w:bottom w:val="single" w:sz="4" w:space="0" w:color="auto"/>
              <w:right w:val="single" w:sz="8" w:space="0" w:color="auto"/>
            </w:tcBorders>
            <w:shd w:val="clear" w:color="auto" w:fill="auto"/>
            <w:noWrap/>
            <w:vAlign w:val="bottom"/>
            <w:hideMark/>
          </w:tcPr>
          <w:p w14:paraId="65B7F563"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Competitor</w:t>
            </w:r>
          </w:p>
        </w:tc>
      </w:tr>
      <w:tr w:rsidR="008928F9" w:rsidRPr="008928F9" w14:paraId="68088DDA" w14:textId="77777777" w:rsidTr="008928F9">
        <w:trPr>
          <w:trHeight w:val="600"/>
        </w:trPr>
        <w:tc>
          <w:tcPr>
            <w:tcW w:w="2440" w:type="dxa"/>
            <w:tcBorders>
              <w:top w:val="nil"/>
              <w:left w:val="single" w:sz="8" w:space="0" w:color="auto"/>
              <w:bottom w:val="single" w:sz="4" w:space="0" w:color="auto"/>
              <w:right w:val="single" w:sz="4" w:space="0" w:color="auto"/>
            </w:tcBorders>
            <w:shd w:val="clear" w:color="auto" w:fill="auto"/>
            <w:noWrap/>
            <w:vAlign w:val="bottom"/>
            <w:hideMark/>
          </w:tcPr>
          <w:p w14:paraId="0B226261"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Company</w:t>
            </w:r>
          </w:p>
        </w:tc>
        <w:tc>
          <w:tcPr>
            <w:tcW w:w="53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4124D524"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Jaguar Land Rover</w:t>
            </w:r>
          </w:p>
        </w:tc>
        <w:tc>
          <w:tcPr>
            <w:tcW w:w="1200" w:type="dxa"/>
            <w:tcBorders>
              <w:top w:val="nil"/>
              <w:left w:val="nil"/>
              <w:bottom w:val="single" w:sz="4" w:space="0" w:color="auto"/>
              <w:right w:val="single" w:sz="8" w:space="0" w:color="auto"/>
            </w:tcBorders>
            <w:shd w:val="clear" w:color="auto" w:fill="auto"/>
            <w:vAlign w:val="bottom"/>
            <w:hideMark/>
          </w:tcPr>
          <w:p w14:paraId="3D119EDE"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Mercedes Benz</w:t>
            </w:r>
          </w:p>
        </w:tc>
      </w:tr>
      <w:tr w:rsidR="008928F9" w:rsidRPr="008928F9" w14:paraId="29A19B23" w14:textId="77777777" w:rsidTr="008928F9">
        <w:trPr>
          <w:trHeight w:val="315"/>
        </w:trPr>
        <w:tc>
          <w:tcPr>
            <w:tcW w:w="2440" w:type="dxa"/>
            <w:tcBorders>
              <w:top w:val="nil"/>
              <w:left w:val="single" w:sz="8" w:space="0" w:color="auto"/>
              <w:bottom w:val="single" w:sz="8" w:space="0" w:color="auto"/>
              <w:right w:val="single" w:sz="4" w:space="0" w:color="auto"/>
            </w:tcBorders>
            <w:shd w:val="clear" w:color="auto" w:fill="auto"/>
            <w:noWrap/>
            <w:vAlign w:val="bottom"/>
            <w:hideMark/>
          </w:tcPr>
          <w:p w14:paraId="2B36D0EB"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Year / Ratios</w:t>
            </w:r>
          </w:p>
        </w:tc>
        <w:tc>
          <w:tcPr>
            <w:tcW w:w="1060" w:type="dxa"/>
            <w:tcBorders>
              <w:top w:val="nil"/>
              <w:left w:val="nil"/>
              <w:bottom w:val="single" w:sz="8" w:space="0" w:color="auto"/>
              <w:right w:val="single" w:sz="4" w:space="0" w:color="auto"/>
            </w:tcBorders>
            <w:shd w:val="clear" w:color="auto" w:fill="auto"/>
            <w:noWrap/>
            <w:vAlign w:val="center"/>
            <w:hideMark/>
          </w:tcPr>
          <w:p w14:paraId="70F99059"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2014</w:t>
            </w:r>
          </w:p>
        </w:tc>
        <w:tc>
          <w:tcPr>
            <w:tcW w:w="1060" w:type="dxa"/>
            <w:tcBorders>
              <w:top w:val="nil"/>
              <w:left w:val="nil"/>
              <w:bottom w:val="single" w:sz="8" w:space="0" w:color="auto"/>
              <w:right w:val="single" w:sz="4" w:space="0" w:color="auto"/>
            </w:tcBorders>
            <w:shd w:val="clear" w:color="auto" w:fill="auto"/>
            <w:noWrap/>
            <w:vAlign w:val="center"/>
            <w:hideMark/>
          </w:tcPr>
          <w:p w14:paraId="3123A363"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2015</w:t>
            </w:r>
          </w:p>
        </w:tc>
        <w:tc>
          <w:tcPr>
            <w:tcW w:w="1060" w:type="dxa"/>
            <w:tcBorders>
              <w:top w:val="nil"/>
              <w:left w:val="nil"/>
              <w:bottom w:val="single" w:sz="8" w:space="0" w:color="auto"/>
              <w:right w:val="single" w:sz="4" w:space="0" w:color="auto"/>
            </w:tcBorders>
            <w:shd w:val="clear" w:color="auto" w:fill="auto"/>
            <w:noWrap/>
            <w:vAlign w:val="center"/>
            <w:hideMark/>
          </w:tcPr>
          <w:p w14:paraId="3F3FECF3"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2016</w:t>
            </w:r>
          </w:p>
        </w:tc>
        <w:tc>
          <w:tcPr>
            <w:tcW w:w="1060" w:type="dxa"/>
            <w:tcBorders>
              <w:top w:val="nil"/>
              <w:left w:val="nil"/>
              <w:bottom w:val="single" w:sz="8" w:space="0" w:color="auto"/>
              <w:right w:val="single" w:sz="4" w:space="0" w:color="auto"/>
            </w:tcBorders>
            <w:shd w:val="clear" w:color="auto" w:fill="auto"/>
            <w:noWrap/>
            <w:vAlign w:val="center"/>
            <w:hideMark/>
          </w:tcPr>
          <w:p w14:paraId="1271F3E8"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2017</w:t>
            </w:r>
          </w:p>
        </w:tc>
        <w:tc>
          <w:tcPr>
            <w:tcW w:w="1060" w:type="dxa"/>
            <w:tcBorders>
              <w:top w:val="nil"/>
              <w:left w:val="nil"/>
              <w:bottom w:val="single" w:sz="8" w:space="0" w:color="auto"/>
              <w:right w:val="single" w:sz="4" w:space="0" w:color="auto"/>
            </w:tcBorders>
            <w:shd w:val="clear" w:color="000000" w:fill="FFFFFF"/>
            <w:noWrap/>
            <w:vAlign w:val="center"/>
            <w:hideMark/>
          </w:tcPr>
          <w:p w14:paraId="38A6C5A7"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2018</w:t>
            </w:r>
          </w:p>
        </w:tc>
        <w:tc>
          <w:tcPr>
            <w:tcW w:w="1200" w:type="dxa"/>
            <w:tcBorders>
              <w:top w:val="nil"/>
              <w:left w:val="nil"/>
              <w:bottom w:val="single" w:sz="8" w:space="0" w:color="auto"/>
              <w:right w:val="single" w:sz="8" w:space="0" w:color="auto"/>
            </w:tcBorders>
            <w:shd w:val="clear" w:color="auto" w:fill="auto"/>
            <w:noWrap/>
            <w:vAlign w:val="center"/>
            <w:hideMark/>
          </w:tcPr>
          <w:p w14:paraId="70F95E3F"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2018</w:t>
            </w:r>
          </w:p>
        </w:tc>
      </w:tr>
      <w:tr w:rsidR="008928F9" w:rsidRPr="008928F9" w14:paraId="32CD57E5" w14:textId="77777777" w:rsidTr="008928F9">
        <w:trPr>
          <w:trHeight w:val="300"/>
        </w:trPr>
        <w:tc>
          <w:tcPr>
            <w:tcW w:w="2440" w:type="dxa"/>
            <w:tcBorders>
              <w:top w:val="nil"/>
              <w:left w:val="single" w:sz="8" w:space="0" w:color="auto"/>
              <w:bottom w:val="single" w:sz="4" w:space="0" w:color="auto"/>
              <w:right w:val="single" w:sz="4" w:space="0" w:color="auto"/>
            </w:tcBorders>
            <w:shd w:val="clear" w:color="auto" w:fill="auto"/>
            <w:vAlign w:val="bottom"/>
            <w:hideMark/>
          </w:tcPr>
          <w:p w14:paraId="37C9581F"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Debt-Equity Ratio</w:t>
            </w:r>
          </w:p>
        </w:tc>
        <w:tc>
          <w:tcPr>
            <w:tcW w:w="1060" w:type="dxa"/>
            <w:tcBorders>
              <w:top w:val="nil"/>
              <w:left w:val="nil"/>
              <w:bottom w:val="single" w:sz="4" w:space="0" w:color="auto"/>
              <w:right w:val="single" w:sz="4" w:space="0" w:color="auto"/>
            </w:tcBorders>
            <w:shd w:val="clear" w:color="auto" w:fill="auto"/>
            <w:vAlign w:val="center"/>
            <w:hideMark/>
          </w:tcPr>
          <w:p w14:paraId="42465EE6"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0.34</w:t>
            </w:r>
          </w:p>
        </w:tc>
        <w:tc>
          <w:tcPr>
            <w:tcW w:w="1060" w:type="dxa"/>
            <w:tcBorders>
              <w:top w:val="nil"/>
              <w:left w:val="nil"/>
              <w:bottom w:val="single" w:sz="4" w:space="0" w:color="auto"/>
              <w:right w:val="single" w:sz="4" w:space="0" w:color="auto"/>
            </w:tcBorders>
            <w:shd w:val="clear" w:color="auto" w:fill="auto"/>
            <w:vAlign w:val="center"/>
            <w:hideMark/>
          </w:tcPr>
          <w:p w14:paraId="20B37BE4"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0.42</w:t>
            </w:r>
          </w:p>
        </w:tc>
        <w:tc>
          <w:tcPr>
            <w:tcW w:w="1060" w:type="dxa"/>
            <w:tcBorders>
              <w:top w:val="nil"/>
              <w:left w:val="nil"/>
              <w:bottom w:val="single" w:sz="4" w:space="0" w:color="auto"/>
              <w:right w:val="single" w:sz="4" w:space="0" w:color="auto"/>
            </w:tcBorders>
            <w:shd w:val="clear" w:color="auto" w:fill="auto"/>
            <w:vAlign w:val="center"/>
            <w:hideMark/>
          </w:tcPr>
          <w:p w14:paraId="20A4A79B"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0.33</w:t>
            </w:r>
          </w:p>
        </w:tc>
        <w:tc>
          <w:tcPr>
            <w:tcW w:w="1060" w:type="dxa"/>
            <w:tcBorders>
              <w:top w:val="nil"/>
              <w:left w:val="nil"/>
              <w:bottom w:val="single" w:sz="4" w:space="0" w:color="auto"/>
              <w:right w:val="single" w:sz="4" w:space="0" w:color="auto"/>
            </w:tcBorders>
            <w:shd w:val="clear" w:color="auto" w:fill="auto"/>
            <w:vAlign w:val="center"/>
            <w:hideMark/>
          </w:tcPr>
          <w:p w14:paraId="67BEAD9D"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0.54</w:t>
            </w:r>
          </w:p>
        </w:tc>
        <w:tc>
          <w:tcPr>
            <w:tcW w:w="1060" w:type="dxa"/>
            <w:tcBorders>
              <w:top w:val="nil"/>
              <w:left w:val="nil"/>
              <w:bottom w:val="single" w:sz="4" w:space="0" w:color="auto"/>
              <w:right w:val="single" w:sz="4" w:space="0" w:color="auto"/>
            </w:tcBorders>
            <w:shd w:val="clear" w:color="000000" w:fill="FFFFFF"/>
            <w:vAlign w:val="center"/>
            <w:hideMark/>
          </w:tcPr>
          <w:p w14:paraId="191744BE"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0.37</w:t>
            </w:r>
          </w:p>
        </w:tc>
        <w:tc>
          <w:tcPr>
            <w:tcW w:w="1200" w:type="dxa"/>
            <w:tcBorders>
              <w:top w:val="nil"/>
              <w:left w:val="nil"/>
              <w:bottom w:val="single" w:sz="4" w:space="0" w:color="auto"/>
              <w:right w:val="single" w:sz="8" w:space="0" w:color="auto"/>
            </w:tcBorders>
            <w:shd w:val="clear" w:color="auto" w:fill="auto"/>
            <w:noWrap/>
            <w:vAlign w:val="center"/>
            <w:hideMark/>
          </w:tcPr>
          <w:p w14:paraId="2CB4E54C"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2.19</w:t>
            </w:r>
          </w:p>
        </w:tc>
      </w:tr>
      <w:tr w:rsidR="008928F9" w:rsidRPr="008928F9" w14:paraId="642F119A" w14:textId="77777777" w:rsidTr="008928F9">
        <w:trPr>
          <w:trHeight w:val="315"/>
        </w:trPr>
        <w:tc>
          <w:tcPr>
            <w:tcW w:w="2440" w:type="dxa"/>
            <w:tcBorders>
              <w:top w:val="nil"/>
              <w:left w:val="single" w:sz="8" w:space="0" w:color="auto"/>
              <w:bottom w:val="single" w:sz="8" w:space="0" w:color="auto"/>
              <w:right w:val="single" w:sz="4" w:space="0" w:color="auto"/>
            </w:tcBorders>
            <w:shd w:val="clear" w:color="auto" w:fill="auto"/>
            <w:noWrap/>
            <w:vAlign w:val="bottom"/>
            <w:hideMark/>
          </w:tcPr>
          <w:p w14:paraId="0AB1CA61" w14:textId="77777777" w:rsidR="008928F9" w:rsidRPr="008928F9" w:rsidRDefault="008928F9" w:rsidP="008928F9">
            <w:pPr>
              <w:spacing w:after="0" w:line="240" w:lineRule="auto"/>
              <w:rPr>
                <w:rFonts w:ascii="Calibri" w:eastAsia="Times New Roman" w:hAnsi="Calibri" w:cs="Calibri"/>
                <w:color w:val="000000"/>
                <w:lang w:eastAsia="en-GB"/>
              </w:rPr>
            </w:pPr>
            <w:r w:rsidRPr="008928F9">
              <w:rPr>
                <w:rFonts w:ascii="Calibri" w:eastAsia="Times New Roman" w:hAnsi="Calibri" w:cs="Calibri"/>
                <w:color w:val="000000"/>
                <w:lang w:eastAsia="en-GB"/>
              </w:rPr>
              <w:t>Debt-To- Capital Ratio</w:t>
            </w:r>
          </w:p>
        </w:tc>
        <w:tc>
          <w:tcPr>
            <w:tcW w:w="1060" w:type="dxa"/>
            <w:tcBorders>
              <w:top w:val="nil"/>
              <w:left w:val="nil"/>
              <w:bottom w:val="single" w:sz="8" w:space="0" w:color="auto"/>
              <w:right w:val="single" w:sz="4" w:space="0" w:color="auto"/>
            </w:tcBorders>
            <w:shd w:val="clear" w:color="auto" w:fill="auto"/>
            <w:noWrap/>
            <w:vAlign w:val="center"/>
            <w:hideMark/>
          </w:tcPr>
          <w:p w14:paraId="61ADAB13"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0.26</w:t>
            </w:r>
          </w:p>
        </w:tc>
        <w:tc>
          <w:tcPr>
            <w:tcW w:w="1060" w:type="dxa"/>
            <w:tcBorders>
              <w:top w:val="nil"/>
              <w:left w:val="nil"/>
              <w:bottom w:val="single" w:sz="8" w:space="0" w:color="auto"/>
              <w:right w:val="single" w:sz="4" w:space="0" w:color="auto"/>
            </w:tcBorders>
            <w:shd w:val="clear" w:color="auto" w:fill="auto"/>
            <w:noWrap/>
            <w:vAlign w:val="center"/>
            <w:hideMark/>
          </w:tcPr>
          <w:p w14:paraId="5E88EED0"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0.30</w:t>
            </w:r>
          </w:p>
        </w:tc>
        <w:tc>
          <w:tcPr>
            <w:tcW w:w="1060" w:type="dxa"/>
            <w:tcBorders>
              <w:top w:val="nil"/>
              <w:left w:val="nil"/>
              <w:bottom w:val="single" w:sz="8" w:space="0" w:color="auto"/>
              <w:right w:val="single" w:sz="4" w:space="0" w:color="auto"/>
            </w:tcBorders>
            <w:shd w:val="clear" w:color="auto" w:fill="auto"/>
            <w:noWrap/>
            <w:vAlign w:val="center"/>
            <w:hideMark/>
          </w:tcPr>
          <w:p w14:paraId="463E8584"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0.25</w:t>
            </w:r>
          </w:p>
        </w:tc>
        <w:tc>
          <w:tcPr>
            <w:tcW w:w="1060" w:type="dxa"/>
            <w:tcBorders>
              <w:top w:val="nil"/>
              <w:left w:val="nil"/>
              <w:bottom w:val="single" w:sz="8" w:space="0" w:color="auto"/>
              <w:right w:val="single" w:sz="4" w:space="0" w:color="auto"/>
            </w:tcBorders>
            <w:shd w:val="clear" w:color="auto" w:fill="auto"/>
            <w:noWrap/>
            <w:vAlign w:val="center"/>
            <w:hideMark/>
          </w:tcPr>
          <w:p w14:paraId="6794FEA1"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0.35</w:t>
            </w:r>
          </w:p>
        </w:tc>
        <w:tc>
          <w:tcPr>
            <w:tcW w:w="1060" w:type="dxa"/>
            <w:tcBorders>
              <w:top w:val="nil"/>
              <w:left w:val="nil"/>
              <w:bottom w:val="single" w:sz="8" w:space="0" w:color="auto"/>
              <w:right w:val="single" w:sz="4" w:space="0" w:color="auto"/>
            </w:tcBorders>
            <w:shd w:val="clear" w:color="000000" w:fill="FFFFFF"/>
            <w:noWrap/>
            <w:vAlign w:val="center"/>
            <w:hideMark/>
          </w:tcPr>
          <w:p w14:paraId="59F952FC"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0.27</w:t>
            </w:r>
          </w:p>
        </w:tc>
        <w:tc>
          <w:tcPr>
            <w:tcW w:w="1200" w:type="dxa"/>
            <w:tcBorders>
              <w:top w:val="nil"/>
              <w:left w:val="nil"/>
              <w:bottom w:val="single" w:sz="8" w:space="0" w:color="auto"/>
              <w:right w:val="single" w:sz="8" w:space="0" w:color="auto"/>
            </w:tcBorders>
            <w:shd w:val="clear" w:color="auto" w:fill="auto"/>
            <w:noWrap/>
            <w:vAlign w:val="center"/>
            <w:hideMark/>
          </w:tcPr>
          <w:p w14:paraId="4CF167FC" w14:textId="77777777" w:rsidR="008928F9" w:rsidRPr="008928F9" w:rsidRDefault="008928F9" w:rsidP="008928F9">
            <w:pPr>
              <w:spacing w:after="0" w:line="240" w:lineRule="auto"/>
              <w:jc w:val="center"/>
              <w:rPr>
                <w:rFonts w:ascii="Calibri" w:eastAsia="Times New Roman" w:hAnsi="Calibri" w:cs="Calibri"/>
                <w:color w:val="000000"/>
                <w:lang w:eastAsia="en-GB"/>
              </w:rPr>
            </w:pPr>
            <w:r w:rsidRPr="008928F9">
              <w:rPr>
                <w:rFonts w:ascii="Calibri" w:eastAsia="Times New Roman" w:hAnsi="Calibri" w:cs="Calibri"/>
                <w:color w:val="000000"/>
                <w:lang w:eastAsia="en-GB"/>
              </w:rPr>
              <w:t>0.69</w:t>
            </w:r>
          </w:p>
        </w:tc>
      </w:tr>
    </w:tbl>
    <w:p w14:paraId="32B0F37B" w14:textId="7641993D" w:rsidR="00773E00" w:rsidRDefault="00202F78" w:rsidP="00773E00">
      <w:r>
        <w:t>Source:</w:t>
      </w:r>
      <w:r w:rsidR="002E4A1F">
        <w:t xml:space="preserve"> Author`s calculations</w:t>
      </w:r>
    </w:p>
    <w:p w14:paraId="33ED2BDA" w14:textId="1448B96A" w:rsidR="00CC2032" w:rsidRDefault="00CC2032" w:rsidP="00773E00"/>
    <w:p w14:paraId="44FDC271" w14:textId="561945F6" w:rsidR="00CC2032" w:rsidRDefault="00CC2032" w:rsidP="00773E00"/>
    <w:p w14:paraId="229DD133" w14:textId="1B6F5B69" w:rsidR="00CC2032" w:rsidRDefault="00CC2032" w:rsidP="00773E00"/>
    <w:p w14:paraId="1A12825F" w14:textId="532024F7" w:rsidR="00CC2032" w:rsidRDefault="00CC2032" w:rsidP="00773E00"/>
    <w:p w14:paraId="13370940" w14:textId="416A96D8" w:rsidR="00CC2032" w:rsidRDefault="00CC2032" w:rsidP="00773E00"/>
    <w:p w14:paraId="3129B7F5" w14:textId="28830387" w:rsidR="00CC2032" w:rsidRDefault="00CC2032" w:rsidP="00773E00"/>
    <w:p w14:paraId="452B1D7F" w14:textId="2217679B" w:rsidR="00CC2032" w:rsidRDefault="00CC2032" w:rsidP="00773E00"/>
    <w:p w14:paraId="76EE704F" w14:textId="34578016" w:rsidR="00CC2032" w:rsidRDefault="00CC2032" w:rsidP="00773E00"/>
    <w:p w14:paraId="1BD9895C" w14:textId="03775F33" w:rsidR="00CC2032" w:rsidRDefault="00CC2032" w:rsidP="00773E00"/>
    <w:p w14:paraId="158BD3AA" w14:textId="3043D3B6" w:rsidR="00CC2032" w:rsidRDefault="00CC2032" w:rsidP="00773E00"/>
    <w:p w14:paraId="351DB460" w14:textId="4F9D96BF" w:rsidR="00CC2032" w:rsidRDefault="00CC2032" w:rsidP="00773E00"/>
    <w:p w14:paraId="10FB1466" w14:textId="4DE060C4" w:rsidR="00773E00" w:rsidRDefault="00773E00" w:rsidP="00773E00">
      <w:r>
        <w:t>B.2 Critical evaluation of the ratios calculated</w:t>
      </w:r>
    </w:p>
    <w:p w14:paraId="2A24D443" w14:textId="77777777" w:rsidR="002E4A1F" w:rsidRDefault="002E4A1F" w:rsidP="00773E00"/>
    <w:p w14:paraId="59131002" w14:textId="4DA0BAA3" w:rsidR="00773E00" w:rsidRDefault="007160C3" w:rsidP="00773E00">
      <w:r>
        <w:t>B</w:t>
      </w:r>
      <w:r w:rsidR="00773E00">
        <w:t>.2.</w:t>
      </w:r>
      <w:r>
        <w:t>1.</w:t>
      </w:r>
      <w:r w:rsidR="00773E00">
        <w:t xml:space="preserve"> Profitability </w:t>
      </w:r>
    </w:p>
    <w:p w14:paraId="0DAE5B17" w14:textId="61EFC808" w:rsidR="00F34276" w:rsidRDefault="006B3859" w:rsidP="00773E00">
      <w:r>
        <w:t xml:space="preserve">The calculated profitability ratios for Jaguar Land Rover and Mercedes Benz </w:t>
      </w:r>
      <w:r w:rsidR="00B90608">
        <w:t xml:space="preserve">from table 8. are </w:t>
      </w:r>
      <w:r w:rsidR="00EE5F7D">
        <w:t xml:space="preserve">going to help us </w:t>
      </w:r>
      <w:r w:rsidR="0024472C">
        <w:t>find out</w:t>
      </w:r>
      <w:r w:rsidR="0099339D">
        <w:t xml:space="preserve"> more </w:t>
      </w:r>
      <w:proofErr w:type="gramStart"/>
      <w:r w:rsidR="0099339D">
        <w:t xml:space="preserve">about </w:t>
      </w:r>
      <w:r w:rsidR="0024472C">
        <w:t xml:space="preserve"> the</w:t>
      </w:r>
      <w:proofErr w:type="gramEnd"/>
      <w:r w:rsidR="0024472C">
        <w:t xml:space="preserve"> profitability of Jaguar Land Rover</w:t>
      </w:r>
      <w:r w:rsidR="0099339D">
        <w:t>.</w:t>
      </w:r>
    </w:p>
    <w:p w14:paraId="7D89F55C" w14:textId="70CE44D3" w:rsidR="001B0B58" w:rsidRDefault="001B0B58" w:rsidP="00773E00">
      <w:r>
        <w:t>Tab.</w:t>
      </w:r>
      <w:proofErr w:type="gramStart"/>
      <w:r>
        <w:t xml:space="preserve">8 </w:t>
      </w:r>
      <w:r w:rsidR="00214925">
        <w:t xml:space="preserve"> </w:t>
      </w:r>
      <w:r>
        <w:t>Profitability</w:t>
      </w:r>
      <w:proofErr w:type="gramEnd"/>
      <w:r w:rsidR="00214925">
        <w:t xml:space="preserve"> Ratios Jaguar Land Rover vs Mercedes Benz </w:t>
      </w:r>
    </w:p>
    <w:tbl>
      <w:tblPr>
        <w:tblpPr w:leftFromText="180" w:rightFromText="180" w:vertAnchor="text" w:horzAnchor="margin" w:tblpXSpec="center" w:tblpY="223"/>
        <w:tblW w:w="9568" w:type="dxa"/>
        <w:tblLook w:val="04A0" w:firstRow="1" w:lastRow="0" w:firstColumn="1" w:lastColumn="0" w:noHBand="0" w:noVBand="1"/>
      </w:tblPr>
      <w:tblGrid>
        <w:gridCol w:w="1320"/>
        <w:gridCol w:w="875"/>
        <w:gridCol w:w="1320"/>
        <w:gridCol w:w="875"/>
        <w:gridCol w:w="1766"/>
        <w:gridCol w:w="1183"/>
        <w:gridCol w:w="1440"/>
        <w:gridCol w:w="955"/>
      </w:tblGrid>
      <w:tr w:rsidR="00773E00" w:rsidRPr="00773E00" w14:paraId="3597C177" w14:textId="77777777" w:rsidTr="00785727">
        <w:trPr>
          <w:trHeight w:val="241"/>
        </w:trPr>
        <w:tc>
          <w:tcPr>
            <w:tcW w:w="13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05844255"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w:t>
            </w:r>
          </w:p>
        </w:tc>
        <w:tc>
          <w:tcPr>
            <w:tcW w:w="5951" w:type="dxa"/>
            <w:gridSpan w:val="5"/>
            <w:tcBorders>
              <w:top w:val="single" w:sz="8" w:space="0" w:color="auto"/>
              <w:left w:val="nil"/>
              <w:bottom w:val="single" w:sz="4" w:space="0" w:color="auto"/>
              <w:right w:val="single" w:sz="4" w:space="0" w:color="auto"/>
            </w:tcBorders>
            <w:shd w:val="clear" w:color="auto" w:fill="auto"/>
            <w:noWrap/>
            <w:vAlign w:val="bottom"/>
            <w:hideMark/>
          </w:tcPr>
          <w:p w14:paraId="3DF16E07"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 The chosen company </w:t>
            </w:r>
          </w:p>
        </w:tc>
        <w:tc>
          <w:tcPr>
            <w:tcW w:w="1440" w:type="dxa"/>
            <w:tcBorders>
              <w:top w:val="single" w:sz="8" w:space="0" w:color="auto"/>
              <w:left w:val="nil"/>
              <w:bottom w:val="single" w:sz="4" w:space="0" w:color="auto"/>
              <w:right w:val="single" w:sz="4" w:space="0" w:color="auto"/>
            </w:tcBorders>
            <w:shd w:val="clear" w:color="auto" w:fill="auto"/>
            <w:noWrap/>
            <w:vAlign w:val="bottom"/>
            <w:hideMark/>
          </w:tcPr>
          <w:p w14:paraId="7216D064"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The competitor</w:t>
            </w:r>
          </w:p>
        </w:tc>
        <w:tc>
          <w:tcPr>
            <w:tcW w:w="857" w:type="dxa"/>
            <w:tcBorders>
              <w:top w:val="single" w:sz="8" w:space="0" w:color="auto"/>
              <w:left w:val="nil"/>
              <w:bottom w:val="single" w:sz="4" w:space="0" w:color="auto"/>
              <w:right w:val="single" w:sz="8" w:space="0" w:color="auto"/>
            </w:tcBorders>
            <w:shd w:val="clear" w:color="auto" w:fill="auto"/>
            <w:noWrap/>
            <w:vAlign w:val="bottom"/>
            <w:hideMark/>
          </w:tcPr>
          <w:p w14:paraId="704581F7"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w:t>
            </w:r>
          </w:p>
        </w:tc>
      </w:tr>
      <w:tr w:rsidR="00773E00" w:rsidRPr="00773E00" w14:paraId="5473C8EE" w14:textId="77777777" w:rsidTr="00785727">
        <w:trPr>
          <w:trHeight w:val="725"/>
        </w:trPr>
        <w:tc>
          <w:tcPr>
            <w:tcW w:w="1320" w:type="dxa"/>
            <w:tcBorders>
              <w:top w:val="nil"/>
              <w:left w:val="single" w:sz="8" w:space="0" w:color="auto"/>
              <w:bottom w:val="single" w:sz="4" w:space="0" w:color="auto"/>
              <w:right w:val="single" w:sz="4" w:space="0" w:color="auto"/>
            </w:tcBorders>
            <w:shd w:val="clear" w:color="000000" w:fill="FFFFFF"/>
            <w:noWrap/>
            <w:vAlign w:val="bottom"/>
            <w:hideMark/>
          </w:tcPr>
          <w:p w14:paraId="19E5B8E4"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 Company </w:t>
            </w:r>
          </w:p>
        </w:tc>
        <w:tc>
          <w:tcPr>
            <w:tcW w:w="5951" w:type="dxa"/>
            <w:gridSpan w:val="5"/>
            <w:tcBorders>
              <w:top w:val="single" w:sz="4" w:space="0" w:color="auto"/>
              <w:left w:val="nil"/>
              <w:bottom w:val="single" w:sz="4" w:space="0" w:color="auto"/>
              <w:right w:val="single" w:sz="4" w:space="0" w:color="auto"/>
            </w:tcBorders>
            <w:shd w:val="clear" w:color="000000" w:fill="FFFFFF"/>
            <w:noWrap/>
            <w:vAlign w:val="bottom"/>
            <w:hideMark/>
          </w:tcPr>
          <w:p w14:paraId="1CF2C152"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Jaguar Land Rover</w:t>
            </w:r>
          </w:p>
        </w:tc>
        <w:tc>
          <w:tcPr>
            <w:tcW w:w="1440" w:type="dxa"/>
            <w:tcBorders>
              <w:top w:val="nil"/>
              <w:left w:val="nil"/>
              <w:bottom w:val="single" w:sz="4" w:space="0" w:color="auto"/>
              <w:right w:val="single" w:sz="4" w:space="0" w:color="auto"/>
            </w:tcBorders>
            <w:shd w:val="clear" w:color="000000" w:fill="FFFFFF"/>
            <w:noWrap/>
            <w:vAlign w:val="bottom"/>
            <w:hideMark/>
          </w:tcPr>
          <w:p w14:paraId="27EF2D00"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Mercedes Benz</w:t>
            </w:r>
          </w:p>
        </w:tc>
        <w:tc>
          <w:tcPr>
            <w:tcW w:w="857" w:type="dxa"/>
            <w:tcBorders>
              <w:top w:val="nil"/>
              <w:left w:val="nil"/>
              <w:bottom w:val="single" w:sz="4" w:space="0" w:color="auto"/>
              <w:right w:val="single" w:sz="8" w:space="0" w:color="auto"/>
            </w:tcBorders>
            <w:shd w:val="clear" w:color="auto" w:fill="auto"/>
            <w:vAlign w:val="bottom"/>
            <w:hideMark/>
          </w:tcPr>
          <w:p w14:paraId="1D9E140C"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Auto Industry Value</w:t>
            </w:r>
          </w:p>
        </w:tc>
      </w:tr>
      <w:tr w:rsidR="00773E00" w:rsidRPr="00773E00" w14:paraId="1917F486" w14:textId="77777777" w:rsidTr="00785727">
        <w:trPr>
          <w:trHeight w:val="241"/>
        </w:trPr>
        <w:tc>
          <w:tcPr>
            <w:tcW w:w="1320" w:type="dxa"/>
            <w:tcBorders>
              <w:top w:val="nil"/>
              <w:left w:val="single" w:sz="8" w:space="0" w:color="auto"/>
              <w:bottom w:val="single" w:sz="4" w:space="0" w:color="auto"/>
              <w:right w:val="single" w:sz="4" w:space="0" w:color="auto"/>
            </w:tcBorders>
            <w:shd w:val="clear" w:color="000000" w:fill="FFFFFF"/>
            <w:noWrap/>
            <w:vAlign w:val="bottom"/>
            <w:hideMark/>
          </w:tcPr>
          <w:p w14:paraId="78F0319E"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Year/ Ratio</w:t>
            </w:r>
          </w:p>
        </w:tc>
        <w:tc>
          <w:tcPr>
            <w:tcW w:w="857" w:type="dxa"/>
            <w:tcBorders>
              <w:top w:val="nil"/>
              <w:left w:val="nil"/>
              <w:bottom w:val="single" w:sz="4" w:space="0" w:color="auto"/>
              <w:right w:val="single" w:sz="4" w:space="0" w:color="auto"/>
            </w:tcBorders>
            <w:shd w:val="clear" w:color="000000" w:fill="FFFFFF"/>
            <w:noWrap/>
            <w:vAlign w:val="center"/>
            <w:hideMark/>
          </w:tcPr>
          <w:p w14:paraId="31AC6E77"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2014 </w:t>
            </w:r>
          </w:p>
        </w:tc>
        <w:tc>
          <w:tcPr>
            <w:tcW w:w="1320" w:type="dxa"/>
            <w:tcBorders>
              <w:top w:val="nil"/>
              <w:left w:val="nil"/>
              <w:bottom w:val="single" w:sz="4" w:space="0" w:color="auto"/>
              <w:right w:val="single" w:sz="4" w:space="0" w:color="auto"/>
            </w:tcBorders>
            <w:shd w:val="clear" w:color="000000" w:fill="FFFFFF"/>
            <w:noWrap/>
            <w:vAlign w:val="center"/>
            <w:hideMark/>
          </w:tcPr>
          <w:p w14:paraId="3F168CA5"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2015 </w:t>
            </w:r>
          </w:p>
        </w:tc>
        <w:tc>
          <w:tcPr>
            <w:tcW w:w="823" w:type="dxa"/>
            <w:tcBorders>
              <w:top w:val="nil"/>
              <w:left w:val="nil"/>
              <w:bottom w:val="single" w:sz="4" w:space="0" w:color="auto"/>
              <w:right w:val="single" w:sz="4" w:space="0" w:color="auto"/>
            </w:tcBorders>
            <w:shd w:val="clear" w:color="000000" w:fill="FFFFFF"/>
            <w:noWrap/>
            <w:vAlign w:val="center"/>
            <w:hideMark/>
          </w:tcPr>
          <w:p w14:paraId="5F1E5F5F"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2016 </w:t>
            </w:r>
          </w:p>
        </w:tc>
        <w:tc>
          <w:tcPr>
            <w:tcW w:w="1766" w:type="dxa"/>
            <w:tcBorders>
              <w:top w:val="nil"/>
              <w:left w:val="nil"/>
              <w:bottom w:val="single" w:sz="4" w:space="0" w:color="auto"/>
              <w:right w:val="single" w:sz="4" w:space="0" w:color="auto"/>
            </w:tcBorders>
            <w:shd w:val="clear" w:color="000000" w:fill="FFFFFF"/>
            <w:noWrap/>
            <w:vAlign w:val="center"/>
            <w:hideMark/>
          </w:tcPr>
          <w:p w14:paraId="2B3D99A7"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2017 </w:t>
            </w:r>
          </w:p>
        </w:tc>
        <w:tc>
          <w:tcPr>
            <w:tcW w:w="1183" w:type="dxa"/>
            <w:tcBorders>
              <w:top w:val="nil"/>
              <w:left w:val="nil"/>
              <w:bottom w:val="single" w:sz="4" w:space="0" w:color="auto"/>
              <w:right w:val="single" w:sz="4" w:space="0" w:color="auto"/>
            </w:tcBorders>
            <w:shd w:val="clear" w:color="000000" w:fill="FFFFFF"/>
            <w:noWrap/>
            <w:vAlign w:val="center"/>
            <w:hideMark/>
          </w:tcPr>
          <w:p w14:paraId="753C62D9"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 xml:space="preserve">2018 </w:t>
            </w:r>
          </w:p>
        </w:tc>
        <w:tc>
          <w:tcPr>
            <w:tcW w:w="1440" w:type="dxa"/>
            <w:tcBorders>
              <w:top w:val="nil"/>
              <w:left w:val="nil"/>
              <w:bottom w:val="single" w:sz="4" w:space="0" w:color="auto"/>
              <w:right w:val="single" w:sz="4" w:space="0" w:color="auto"/>
            </w:tcBorders>
            <w:shd w:val="clear" w:color="000000" w:fill="FFFFFF"/>
            <w:noWrap/>
            <w:vAlign w:val="center"/>
            <w:hideMark/>
          </w:tcPr>
          <w:p w14:paraId="28A90E1A"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2018</w:t>
            </w:r>
          </w:p>
        </w:tc>
        <w:tc>
          <w:tcPr>
            <w:tcW w:w="857" w:type="dxa"/>
            <w:tcBorders>
              <w:top w:val="nil"/>
              <w:left w:val="nil"/>
              <w:bottom w:val="single" w:sz="4" w:space="0" w:color="auto"/>
              <w:right w:val="single" w:sz="8" w:space="0" w:color="auto"/>
            </w:tcBorders>
            <w:shd w:val="clear" w:color="auto" w:fill="auto"/>
            <w:noWrap/>
            <w:vAlign w:val="bottom"/>
            <w:hideMark/>
          </w:tcPr>
          <w:p w14:paraId="788ECB3E"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 </w:t>
            </w:r>
          </w:p>
        </w:tc>
      </w:tr>
      <w:tr w:rsidR="00773E00" w:rsidRPr="00773E00" w14:paraId="3470CA29" w14:textId="77777777" w:rsidTr="00785727">
        <w:trPr>
          <w:trHeight w:val="241"/>
        </w:trPr>
        <w:tc>
          <w:tcPr>
            <w:tcW w:w="1320" w:type="dxa"/>
            <w:tcBorders>
              <w:top w:val="nil"/>
              <w:left w:val="single" w:sz="8" w:space="0" w:color="auto"/>
              <w:bottom w:val="single" w:sz="4" w:space="0" w:color="auto"/>
              <w:right w:val="single" w:sz="4" w:space="0" w:color="auto"/>
            </w:tcBorders>
            <w:shd w:val="clear" w:color="000000" w:fill="FFFFFF"/>
            <w:vAlign w:val="bottom"/>
            <w:hideMark/>
          </w:tcPr>
          <w:p w14:paraId="470C7AD7"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Gross Margin</w:t>
            </w:r>
          </w:p>
        </w:tc>
        <w:tc>
          <w:tcPr>
            <w:tcW w:w="857" w:type="dxa"/>
            <w:tcBorders>
              <w:top w:val="nil"/>
              <w:left w:val="nil"/>
              <w:bottom w:val="single" w:sz="4" w:space="0" w:color="auto"/>
              <w:right w:val="single" w:sz="4" w:space="0" w:color="auto"/>
            </w:tcBorders>
            <w:shd w:val="clear" w:color="000000" w:fill="FFFFFF"/>
            <w:vAlign w:val="center"/>
            <w:hideMark/>
          </w:tcPr>
          <w:p w14:paraId="44D172DB"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38.59%</w:t>
            </w:r>
          </w:p>
        </w:tc>
        <w:tc>
          <w:tcPr>
            <w:tcW w:w="1320" w:type="dxa"/>
            <w:tcBorders>
              <w:top w:val="nil"/>
              <w:left w:val="nil"/>
              <w:bottom w:val="single" w:sz="4" w:space="0" w:color="auto"/>
              <w:right w:val="single" w:sz="4" w:space="0" w:color="auto"/>
            </w:tcBorders>
            <w:shd w:val="clear" w:color="000000" w:fill="FFFFFF"/>
            <w:vAlign w:val="center"/>
            <w:hideMark/>
          </w:tcPr>
          <w:p w14:paraId="323012DA"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39.70%</w:t>
            </w:r>
          </w:p>
        </w:tc>
        <w:tc>
          <w:tcPr>
            <w:tcW w:w="823" w:type="dxa"/>
            <w:tcBorders>
              <w:top w:val="nil"/>
              <w:left w:val="nil"/>
              <w:bottom w:val="single" w:sz="4" w:space="0" w:color="auto"/>
              <w:right w:val="single" w:sz="4" w:space="0" w:color="auto"/>
            </w:tcBorders>
            <w:shd w:val="clear" w:color="000000" w:fill="FFFFFF"/>
            <w:vAlign w:val="center"/>
            <w:hideMark/>
          </w:tcPr>
          <w:p w14:paraId="7950001F"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40.55%</w:t>
            </w:r>
          </w:p>
        </w:tc>
        <w:tc>
          <w:tcPr>
            <w:tcW w:w="1766" w:type="dxa"/>
            <w:tcBorders>
              <w:top w:val="nil"/>
              <w:left w:val="nil"/>
              <w:bottom w:val="single" w:sz="4" w:space="0" w:color="auto"/>
              <w:right w:val="single" w:sz="4" w:space="0" w:color="auto"/>
            </w:tcBorders>
            <w:shd w:val="clear" w:color="000000" w:fill="FFFFFF"/>
            <w:vAlign w:val="center"/>
            <w:hideMark/>
          </w:tcPr>
          <w:p w14:paraId="0D2197AE"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37.46%</w:t>
            </w:r>
          </w:p>
        </w:tc>
        <w:tc>
          <w:tcPr>
            <w:tcW w:w="1183" w:type="dxa"/>
            <w:tcBorders>
              <w:top w:val="nil"/>
              <w:left w:val="nil"/>
              <w:bottom w:val="single" w:sz="4" w:space="0" w:color="auto"/>
              <w:right w:val="single" w:sz="4" w:space="0" w:color="auto"/>
            </w:tcBorders>
            <w:shd w:val="clear" w:color="000000" w:fill="FFFFFF"/>
            <w:vAlign w:val="center"/>
            <w:hideMark/>
          </w:tcPr>
          <w:p w14:paraId="5CC4AFC6"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36.68%</w:t>
            </w:r>
          </w:p>
        </w:tc>
        <w:tc>
          <w:tcPr>
            <w:tcW w:w="1440" w:type="dxa"/>
            <w:tcBorders>
              <w:top w:val="nil"/>
              <w:left w:val="nil"/>
              <w:bottom w:val="single" w:sz="4" w:space="0" w:color="auto"/>
              <w:right w:val="single" w:sz="4" w:space="0" w:color="auto"/>
            </w:tcBorders>
            <w:shd w:val="clear" w:color="000000" w:fill="FFFFFF"/>
            <w:noWrap/>
            <w:vAlign w:val="center"/>
            <w:hideMark/>
          </w:tcPr>
          <w:p w14:paraId="0098164D"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19.76%</w:t>
            </w:r>
          </w:p>
        </w:tc>
        <w:tc>
          <w:tcPr>
            <w:tcW w:w="857" w:type="dxa"/>
            <w:tcBorders>
              <w:top w:val="nil"/>
              <w:left w:val="nil"/>
              <w:bottom w:val="single" w:sz="4" w:space="0" w:color="auto"/>
              <w:right w:val="single" w:sz="8" w:space="0" w:color="auto"/>
            </w:tcBorders>
            <w:shd w:val="clear" w:color="auto" w:fill="auto"/>
            <w:noWrap/>
            <w:vAlign w:val="bottom"/>
            <w:hideMark/>
          </w:tcPr>
          <w:p w14:paraId="659C3381" w14:textId="77777777" w:rsidR="00773E00" w:rsidRPr="00773E00" w:rsidRDefault="00773E00" w:rsidP="00785727">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12.61%</w:t>
            </w:r>
          </w:p>
        </w:tc>
      </w:tr>
      <w:tr w:rsidR="00773E00" w:rsidRPr="00773E00" w14:paraId="2BB0526C" w14:textId="77777777" w:rsidTr="00785727">
        <w:trPr>
          <w:trHeight w:val="483"/>
        </w:trPr>
        <w:tc>
          <w:tcPr>
            <w:tcW w:w="1320" w:type="dxa"/>
            <w:tcBorders>
              <w:top w:val="nil"/>
              <w:left w:val="single" w:sz="8" w:space="0" w:color="auto"/>
              <w:bottom w:val="single" w:sz="4" w:space="0" w:color="auto"/>
              <w:right w:val="single" w:sz="4" w:space="0" w:color="auto"/>
            </w:tcBorders>
            <w:shd w:val="clear" w:color="000000" w:fill="FFFFFF"/>
            <w:vAlign w:val="bottom"/>
            <w:hideMark/>
          </w:tcPr>
          <w:p w14:paraId="66085438"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Operating Margin</w:t>
            </w:r>
          </w:p>
        </w:tc>
        <w:tc>
          <w:tcPr>
            <w:tcW w:w="857" w:type="dxa"/>
            <w:tcBorders>
              <w:top w:val="nil"/>
              <w:left w:val="nil"/>
              <w:bottom w:val="single" w:sz="4" w:space="0" w:color="auto"/>
              <w:right w:val="single" w:sz="4" w:space="0" w:color="auto"/>
            </w:tcBorders>
            <w:shd w:val="clear" w:color="000000" w:fill="FFFFFF"/>
            <w:vAlign w:val="center"/>
            <w:hideMark/>
          </w:tcPr>
          <w:p w14:paraId="6893D390"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13.66%</w:t>
            </w:r>
          </w:p>
        </w:tc>
        <w:tc>
          <w:tcPr>
            <w:tcW w:w="1320" w:type="dxa"/>
            <w:tcBorders>
              <w:top w:val="nil"/>
              <w:left w:val="nil"/>
              <w:bottom w:val="single" w:sz="4" w:space="0" w:color="auto"/>
              <w:right w:val="single" w:sz="4" w:space="0" w:color="auto"/>
            </w:tcBorders>
            <w:shd w:val="clear" w:color="000000" w:fill="FFFFFF"/>
            <w:vAlign w:val="center"/>
            <w:hideMark/>
          </w:tcPr>
          <w:p w14:paraId="0A2838BF"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12.35%</w:t>
            </w:r>
          </w:p>
        </w:tc>
        <w:tc>
          <w:tcPr>
            <w:tcW w:w="823" w:type="dxa"/>
            <w:tcBorders>
              <w:top w:val="nil"/>
              <w:left w:val="nil"/>
              <w:bottom w:val="single" w:sz="4" w:space="0" w:color="auto"/>
              <w:right w:val="single" w:sz="4" w:space="0" w:color="auto"/>
            </w:tcBorders>
            <w:shd w:val="clear" w:color="000000" w:fill="FFFFFF"/>
            <w:vAlign w:val="center"/>
            <w:hideMark/>
          </w:tcPr>
          <w:p w14:paraId="4415AD69"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7.22%</w:t>
            </w:r>
          </w:p>
        </w:tc>
        <w:tc>
          <w:tcPr>
            <w:tcW w:w="1766" w:type="dxa"/>
            <w:tcBorders>
              <w:top w:val="nil"/>
              <w:left w:val="nil"/>
              <w:bottom w:val="single" w:sz="4" w:space="0" w:color="auto"/>
              <w:right w:val="single" w:sz="4" w:space="0" w:color="auto"/>
            </w:tcBorders>
            <w:shd w:val="clear" w:color="000000" w:fill="FFFFFF"/>
            <w:vAlign w:val="center"/>
            <w:hideMark/>
          </w:tcPr>
          <w:p w14:paraId="0EAA6D90"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6.76%</w:t>
            </w:r>
          </w:p>
        </w:tc>
        <w:tc>
          <w:tcPr>
            <w:tcW w:w="1183" w:type="dxa"/>
            <w:tcBorders>
              <w:top w:val="nil"/>
              <w:left w:val="nil"/>
              <w:bottom w:val="single" w:sz="4" w:space="0" w:color="auto"/>
              <w:right w:val="single" w:sz="4" w:space="0" w:color="auto"/>
            </w:tcBorders>
            <w:shd w:val="clear" w:color="000000" w:fill="FFFFFF"/>
            <w:vAlign w:val="center"/>
            <w:hideMark/>
          </w:tcPr>
          <w:p w14:paraId="3B39EDAD"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6.07%</w:t>
            </w:r>
          </w:p>
        </w:tc>
        <w:tc>
          <w:tcPr>
            <w:tcW w:w="1440" w:type="dxa"/>
            <w:tcBorders>
              <w:top w:val="nil"/>
              <w:left w:val="nil"/>
              <w:bottom w:val="single" w:sz="4" w:space="0" w:color="auto"/>
              <w:right w:val="single" w:sz="4" w:space="0" w:color="auto"/>
            </w:tcBorders>
            <w:shd w:val="clear" w:color="000000" w:fill="FFFFFF"/>
            <w:noWrap/>
            <w:vAlign w:val="center"/>
            <w:hideMark/>
          </w:tcPr>
          <w:p w14:paraId="385FE0D0"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6.64%</w:t>
            </w:r>
          </w:p>
        </w:tc>
        <w:tc>
          <w:tcPr>
            <w:tcW w:w="857" w:type="dxa"/>
            <w:tcBorders>
              <w:top w:val="nil"/>
              <w:left w:val="nil"/>
              <w:bottom w:val="single" w:sz="4" w:space="0" w:color="auto"/>
              <w:right w:val="single" w:sz="8" w:space="0" w:color="auto"/>
            </w:tcBorders>
            <w:shd w:val="clear" w:color="auto" w:fill="auto"/>
            <w:noWrap/>
            <w:vAlign w:val="bottom"/>
            <w:hideMark/>
          </w:tcPr>
          <w:p w14:paraId="514052AB" w14:textId="77777777" w:rsidR="00773E00" w:rsidRPr="00773E00" w:rsidRDefault="00773E00" w:rsidP="00785727">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4.02%</w:t>
            </w:r>
          </w:p>
        </w:tc>
      </w:tr>
      <w:tr w:rsidR="00773E00" w:rsidRPr="00773E00" w14:paraId="2D57D5D3" w14:textId="77777777" w:rsidTr="00785727">
        <w:trPr>
          <w:trHeight w:val="495"/>
        </w:trPr>
        <w:tc>
          <w:tcPr>
            <w:tcW w:w="1320" w:type="dxa"/>
            <w:tcBorders>
              <w:top w:val="nil"/>
              <w:left w:val="single" w:sz="8" w:space="0" w:color="auto"/>
              <w:bottom w:val="single" w:sz="8" w:space="0" w:color="auto"/>
              <w:right w:val="single" w:sz="4" w:space="0" w:color="auto"/>
            </w:tcBorders>
            <w:shd w:val="clear" w:color="000000" w:fill="FFFFFF"/>
            <w:vAlign w:val="bottom"/>
            <w:hideMark/>
          </w:tcPr>
          <w:p w14:paraId="2656CD15" w14:textId="77777777" w:rsidR="00773E00" w:rsidRPr="00773E00" w:rsidRDefault="00773E00" w:rsidP="00785727">
            <w:pPr>
              <w:spacing w:after="0" w:line="240" w:lineRule="auto"/>
              <w:rPr>
                <w:rFonts w:ascii="Calibri" w:eastAsia="Times New Roman" w:hAnsi="Calibri" w:cs="Calibri"/>
                <w:color w:val="000000"/>
                <w:lang w:eastAsia="en-GB"/>
              </w:rPr>
            </w:pPr>
            <w:r w:rsidRPr="00773E00">
              <w:rPr>
                <w:rFonts w:ascii="Calibri" w:eastAsia="Times New Roman" w:hAnsi="Calibri" w:cs="Calibri"/>
                <w:color w:val="000000"/>
                <w:lang w:eastAsia="en-GB"/>
              </w:rPr>
              <w:t>Net Profit Margin</w:t>
            </w:r>
          </w:p>
        </w:tc>
        <w:tc>
          <w:tcPr>
            <w:tcW w:w="857" w:type="dxa"/>
            <w:tcBorders>
              <w:top w:val="nil"/>
              <w:left w:val="nil"/>
              <w:bottom w:val="single" w:sz="8" w:space="0" w:color="auto"/>
              <w:right w:val="single" w:sz="4" w:space="0" w:color="auto"/>
            </w:tcBorders>
            <w:shd w:val="clear" w:color="000000" w:fill="FFFFFF"/>
            <w:vAlign w:val="center"/>
            <w:hideMark/>
          </w:tcPr>
          <w:p w14:paraId="6B065BEB"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9.69%</w:t>
            </w:r>
          </w:p>
        </w:tc>
        <w:tc>
          <w:tcPr>
            <w:tcW w:w="1320" w:type="dxa"/>
            <w:tcBorders>
              <w:top w:val="nil"/>
              <w:left w:val="nil"/>
              <w:bottom w:val="single" w:sz="8" w:space="0" w:color="auto"/>
              <w:right w:val="single" w:sz="4" w:space="0" w:color="auto"/>
            </w:tcBorders>
            <w:shd w:val="clear" w:color="000000" w:fill="FFFFFF"/>
            <w:vAlign w:val="center"/>
            <w:hideMark/>
          </w:tcPr>
          <w:p w14:paraId="6E013689"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9.32%</w:t>
            </w:r>
          </w:p>
        </w:tc>
        <w:tc>
          <w:tcPr>
            <w:tcW w:w="823" w:type="dxa"/>
            <w:tcBorders>
              <w:top w:val="nil"/>
              <w:left w:val="nil"/>
              <w:bottom w:val="single" w:sz="8" w:space="0" w:color="auto"/>
              <w:right w:val="single" w:sz="4" w:space="0" w:color="auto"/>
            </w:tcBorders>
            <w:shd w:val="clear" w:color="000000" w:fill="FFFFFF"/>
            <w:vAlign w:val="center"/>
            <w:hideMark/>
          </w:tcPr>
          <w:p w14:paraId="3F9622D3"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5.89%</w:t>
            </w:r>
          </w:p>
        </w:tc>
        <w:tc>
          <w:tcPr>
            <w:tcW w:w="1766" w:type="dxa"/>
            <w:tcBorders>
              <w:top w:val="nil"/>
              <w:left w:val="nil"/>
              <w:bottom w:val="single" w:sz="8" w:space="0" w:color="auto"/>
              <w:right w:val="single" w:sz="4" w:space="0" w:color="auto"/>
            </w:tcBorders>
            <w:shd w:val="clear" w:color="000000" w:fill="FFFFFF"/>
            <w:vAlign w:val="center"/>
            <w:hideMark/>
          </w:tcPr>
          <w:p w14:paraId="7DC2D8A2"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5.23%</w:t>
            </w:r>
          </w:p>
        </w:tc>
        <w:tc>
          <w:tcPr>
            <w:tcW w:w="1183" w:type="dxa"/>
            <w:tcBorders>
              <w:top w:val="nil"/>
              <w:left w:val="nil"/>
              <w:bottom w:val="single" w:sz="8" w:space="0" w:color="auto"/>
              <w:right w:val="single" w:sz="4" w:space="0" w:color="auto"/>
            </w:tcBorders>
            <w:shd w:val="clear" w:color="000000" w:fill="FFFFFF"/>
            <w:vAlign w:val="center"/>
            <w:hideMark/>
          </w:tcPr>
          <w:p w14:paraId="36FDB2D7"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4.32%</w:t>
            </w:r>
          </w:p>
        </w:tc>
        <w:tc>
          <w:tcPr>
            <w:tcW w:w="1440" w:type="dxa"/>
            <w:tcBorders>
              <w:top w:val="nil"/>
              <w:left w:val="nil"/>
              <w:bottom w:val="single" w:sz="8" w:space="0" w:color="auto"/>
              <w:right w:val="single" w:sz="4" w:space="0" w:color="auto"/>
            </w:tcBorders>
            <w:shd w:val="clear" w:color="000000" w:fill="FFFFFF"/>
            <w:noWrap/>
            <w:vAlign w:val="center"/>
            <w:hideMark/>
          </w:tcPr>
          <w:p w14:paraId="3DC2C2D7" w14:textId="77777777" w:rsidR="00773E00" w:rsidRPr="00773E00" w:rsidRDefault="00773E00" w:rsidP="00785727">
            <w:pPr>
              <w:spacing w:after="0" w:line="240" w:lineRule="auto"/>
              <w:jc w:val="center"/>
              <w:rPr>
                <w:rFonts w:ascii="Calibri" w:eastAsia="Times New Roman" w:hAnsi="Calibri" w:cs="Calibri"/>
                <w:color w:val="000000"/>
                <w:lang w:eastAsia="en-GB"/>
              </w:rPr>
            </w:pPr>
            <w:r w:rsidRPr="00773E00">
              <w:rPr>
                <w:rFonts w:ascii="Calibri" w:eastAsia="Times New Roman" w:hAnsi="Calibri" w:cs="Calibri"/>
                <w:color w:val="000000"/>
                <w:lang w:eastAsia="en-GB"/>
              </w:rPr>
              <w:t>4.53%</w:t>
            </w:r>
          </w:p>
        </w:tc>
        <w:tc>
          <w:tcPr>
            <w:tcW w:w="857" w:type="dxa"/>
            <w:tcBorders>
              <w:top w:val="nil"/>
              <w:left w:val="nil"/>
              <w:bottom w:val="single" w:sz="8" w:space="0" w:color="auto"/>
              <w:right w:val="single" w:sz="8" w:space="0" w:color="auto"/>
            </w:tcBorders>
            <w:shd w:val="clear" w:color="auto" w:fill="auto"/>
            <w:noWrap/>
            <w:vAlign w:val="bottom"/>
            <w:hideMark/>
          </w:tcPr>
          <w:p w14:paraId="73B978AF" w14:textId="77777777" w:rsidR="00773E00" w:rsidRPr="00773E00" w:rsidRDefault="00773E00" w:rsidP="00785727">
            <w:pPr>
              <w:spacing w:after="0" w:line="240" w:lineRule="auto"/>
              <w:jc w:val="right"/>
              <w:rPr>
                <w:rFonts w:ascii="Calibri" w:eastAsia="Times New Roman" w:hAnsi="Calibri" w:cs="Calibri"/>
                <w:color w:val="000000"/>
                <w:lang w:eastAsia="en-GB"/>
              </w:rPr>
            </w:pPr>
            <w:r w:rsidRPr="00773E00">
              <w:rPr>
                <w:rFonts w:ascii="Calibri" w:eastAsia="Times New Roman" w:hAnsi="Calibri" w:cs="Calibri"/>
                <w:color w:val="000000"/>
                <w:lang w:eastAsia="en-GB"/>
              </w:rPr>
              <w:t>2.88%</w:t>
            </w:r>
          </w:p>
        </w:tc>
      </w:tr>
    </w:tbl>
    <w:p w14:paraId="285589E3" w14:textId="41687704" w:rsidR="002E4A1F" w:rsidRDefault="002E4A1F" w:rsidP="002E4A1F">
      <w:pPr>
        <w:pStyle w:val="NormalWeb"/>
        <w:shd w:val="clear" w:color="auto" w:fill="FFFFFF"/>
        <w:spacing w:before="0" w:beforeAutospacing="0" w:after="0" w:afterAutospacing="0" w:line="360" w:lineRule="atLeast"/>
        <w:ind w:hanging="120"/>
        <w:rPr>
          <w:rFonts w:ascii="Arial" w:hAnsi="Arial" w:cs="Arial"/>
          <w:color w:val="666666"/>
          <w:sz w:val="20"/>
          <w:szCs w:val="20"/>
        </w:rPr>
      </w:pPr>
      <w:r>
        <w:t xml:space="preserve">Source: Authors calculations and (auto industry market, 2019) </w:t>
      </w:r>
    </w:p>
    <w:p w14:paraId="4F6CE52D" w14:textId="55750B05" w:rsidR="00773E00" w:rsidRDefault="00773E00" w:rsidP="00773E00"/>
    <w:p w14:paraId="3FE26A56" w14:textId="2BB92812" w:rsidR="00F34276" w:rsidRDefault="00CC2032" w:rsidP="00202F78">
      <w:pPr>
        <w:pStyle w:val="ListParagraph"/>
        <w:numPr>
          <w:ilvl w:val="0"/>
          <w:numId w:val="9"/>
        </w:numPr>
      </w:pPr>
      <w:r>
        <w:t>G</w:t>
      </w:r>
      <w:r w:rsidR="00F34276">
        <w:t>ross Margin</w:t>
      </w:r>
    </w:p>
    <w:p w14:paraId="3A859252" w14:textId="623F6222" w:rsidR="00F34276" w:rsidRDefault="0005196C" w:rsidP="00351B15">
      <w:r>
        <w:t>Gross Margin</w:t>
      </w:r>
      <w:r w:rsidR="007A7A8B">
        <w:t xml:space="preserve"> </w:t>
      </w:r>
      <w:r w:rsidR="00557E04">
        <w:t xml:space="preserve">measure how profitable the company </w:t>
      </w:r>
      <w:r w:rsidR="00045F00">
        <w:t>can</w:t>
      </w:r>
      <w:r w:rsidR="00557E04">
        <w:t xml:space="preserve"> sale their inventory. </w:t>
      </w:r>
      <w:r w:rsidR="00045F00">
        <w:t xml:space="preserve">The gross margin is shown the profit that remains after the sales in order to pay the </w:t>
      </w:r>
      <w:r w:rsidR="00CA302C">
        <w:t xml:space="preserve">expenses, mainly those occur from operations. </w:t>
      </w:r>
    </w:p>
    <w:p w14:paraId="34A48C61" w14:textId="71276E15" w:rsidR="00351B15" w:rsidRDefault="00B41011" w:rsidP="00351B15">
      <w:r>
        <w:t xml:space="preserve">Figure 1: </w:t>
      </w:r>
      <w:r w:rsidR="008909BF">
        <w:t xml:space="preserve">Gross Margin </w:t>
      </w:r>
      <w:r>
        <w:t xml:space="preserve">Jaguar Land Rover </w:t>
      </w:r>
      <w:r w:rsidR="008909BF">
        <w:t xml:space="preserve">for </w:t>
      </w:r>
      <w:r w:rsidR="006630CB">
        <w:t>2014-2018 vs Auto Industry Ratio</w:t>
      </w:r>
    </w:p>
    <w:p w14:paraId="79B4412E" w14:textId="6F1E8028" w:rsidR="00773E00" w:rsidRDefault="007B4432" w:rsidP="00773E00">
      <w:r>
        <w:rPr>
          <w:noProof/>
        </w:rPr>
        <w:drawing>
          <wp:inline distT="0" distB="0" distL="0" distR="0" wp14:anchorId="0662D64D" wp14:editId="144F926E">
            <wp:extent cx="5572125" cy="2085975"/>
            <wp:effectExtent l="0" t="0" r="9525" b="9525"/>
            <wp:docPr id="1" name="Chart 1">
              <a:extLst xmlns:a="http://schemas.openxmlformats.org/drawingml/2006/main">
                <a:ext uri="{FF2B5EF4-FFF2-40B4-BE49-F238E27FC236}">
                  <a16:creationId xmlns:a16="http://schemas.microsoft.com/office/drawing/2014/main" id="{FE3EDC1E-220E-42B1-894B-4C680CA46F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C46523" w14:textId="50B0B1C1" w:rsidR="00351B15" w:rsidRDefault="00351B15" w:rsidP="00F34276">
      <w:r>
        <w:t xml:space="preserve">Source: </w:t>
      </w:r>
      <w:r w:rsidR="00CC2032">
        <w:t xml:space="preserve">Authors calculations and </w:t>
      </w:r>
      <w:r w:rsidR="00CC2032">
        <w:t>(auto industry market, 2019)</w:t>
      </w:r>
    </w:p>
    <w:p w14:paraId="47C253F4" w14:textId="1D6830BA" w:rsidR="00F34276" w:rsidRDefault="00351B15" w:rsidP="00F34276">
      <w:r>
        <w:t xml:space="preserve">As could be seen from </w:t>
      </w:r>
      <w:r w:rsidR="006630CB">
        <w:t>the Jaguar Land Rover Gross Margin is more above the auto industry rati</w:t>
      </w:r>
      <w:r w:rsidR="00290B65">
        <w:t xml:space="preserve">o. </w:t>
      </w:r>
      <w:r w:rsidR="002E7C3B">
        <w:t xml:space="preserve">The cars produced by Jaguar Land Rover are selling well on the market and generate a good gross </w:t>
      </w:r>
      <w:r w:rsidR="002E7C3B">
        <w:lastRenderedPageBreak/>
        <w:t xml:space="preserve">margin. </w:t>
      </w:r>
      <w:r w:rsidR="00966E4E">
        <w:t xml:space="preserve">During those 5 years, the company kept the same rhythm of business and generated a great gross </w:t>
      </w:r>
      <w:proofErr w:type="gramStart"/>
      <w:r w:rsidR="00966E4E">
        <w:t>margin</w:t>
      </w:r>
      <w:proofErr w:type="gramEnd"/>
      <w:r w:rsidR="00966E4E">
        <w:t xml:space="preserve"> and this is a plus for their management team.</w:t>
      </w:r>
    </w:p>
    <w:p w14:paraId="00276E2E" w14:textId="39898D14" w:rsidR="007B4432" w:rsidRPr="00202F78" w:rsidRDefault="00EF736B" w:rsidP="00202F78">
      <w:pPr>
        <w:pStyle w:val="ListParagraph"/>
        <w:numPr>
          <w:ilvl w:val="0"/>
          <w:numId w:val="9"/>
        </w:numPr>
      </w:pPr>
      <w:r w:rsidRPr="00202F78">
        <w:t>Operating Margin</w:t>
      </w:r>
    </w:p>
    <w:p w14:paraId="49F67B3A" w14:textId="7F9478B9" w:rsidR="007B4432" w:rsidRDefault="00EF736B" w:rsidP="00773E00">
      <w:r>
        <w:t xml:space="preserve">The operating margin </w:t>
      </w:r>
      <w:r w:rsidR="00560330">
        <w:t xml:space="preserve">is a very important indicator mainly for manufacturing industry. This indicator is shown </w:t>
      </w:r>
      <w:r w:rsidR="00D61729">
        <w:t xml:space="preserve">how much </w:t>
      </w:r>
      <w:r w:rsidR="00785681">
        <w:t xml:space="preserve">revenue remains after the operating expanses are covered. This indicator </w:t>
      </w:r>
      <w:r w:rsidR="00950970">
        <w:t xml:space="preserve">provides information about </w:t>
      </w:r>
      <w:r w:rsidR="00CB0FE9">
        <w:t>the operations of the company.</w:t>
      </w:r>
    </w:p>
    <w:p w14:paraId="29437F5C" w14:textId="429C39D8" w:rsidR="00EF736B" w:rsidRDefault="00EF736B" w:rsidP="00773E00">
      <w:r>
        <w:t>Figure 2: Jaguar Land Rover Operating Margin 2014-2018</w:t>
      </w:r>
    </w:p>
    <w:p w14:paraId="77F38D5C" w14:textId="1724CC23" w:rsidR="007B4432" w:rsidRDefault="00AF565B" w:rsidP="00773E00">
      <w:r>
        <w:rPr>
          <w:noProof/>
        </w:rPr>
        <w:drawing>
          <wp:inline distT="0" distB="0" distL="0" distR="0" wp14:anchorId="26EB050E" wp14:editId="21D4E0C8">
            <wp:extent cx="5781675" cy="2133600"/>
            <wp:effectExtent l="0" t="0" r="9525" b="0"/>
            <wp:docPr id="12" name="Chart 12">
              <a:extLst xmlns:a="http://schemas.openxmlformats.org/drawingml/2006/main">
                <a:ext uri="{FF2B5EF4-FFF2-40B4-BE49-F238E27FC236}">
                  <a16:creationId xmlns:a16="http://schemas.microsoft.com/office/drawing/2014/main" id="{37D22D8A-63D8-4A85-B842-BBD5F5F9CB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AA93A2" w14:textId="77777777" w:rsidR="00CC2032" w:rsidRDefault="00CC2032" w:rsidP="00CC2032">
      <w:r>
        <w:t xml:space="preserve">Source: Author`s calculations and </w:t>
      </w:r>
      <w:r>
        <w:t>(auto industry market, 2019)</w:t>
      </w:r>
    </w:p>
    <w:p w14:paraId="79B81289" w14:textId="36E5BCF6" w:rsidR="00AF565B" w:rsidRDefault="00ED50F1" w:rsidP="00773E00">
      <w:r>
        <w:t xml:space="preserve">A high operating margin is telling us the company has enough finance to pay all the costs and run the operations. In our case </w:t>
      </w:r>
      <w:r w:rsidR="008A3F99">
        <w:t xml:space="preserve">the operating margin generated by Jaguar Land Rover is higher </w:t>
      </w:r>
      <w:proofErr w:type="spellStart"/>
      <w:proofErr w:type="gramStart"/>
      <w:r w:rsidR="008A3F99">
        <w:t>then</w:t>
      </w:r>
      <w:proofErr w:type="spellEnd"/>
      <w:proofErr w:type="gramEnd"/>
      <w:r w:rsidR="008A3F99">
        <w:t xml:space="preserve"> the market </w:t>
      </w:r>
      <w:r w:rsidR="00745DDC">
        <w:t xml:space="preserve">value. </w:t>
      </w:r>
      <w:r w:rsidR="00202F78">
        <w:t>Unfortunately,</w:t>
      </w:r>
      <w:r w:rsidR="00745DDC">
        <w:t xml:space="preserve"> the decreasing trend is not a good sign</w:t>
      </w:r>
      <w:r w:rsidR="003E11F0">
        <w:t xml:space="preserve"> and we should </w:t>
      </w:r>
      <w:r w:rsidR="00202F78">
        <w:t xml:space="preserve">be </w:t>
      </w:r>
      <w:r w:rsidR="003E11F0">
        <w:t xml:space="preserve">taken in consideration the possible impact that the Brexit is bringing over the company stability. </w:t>
      </w:r>
    </w:p>
    <w:p w14:paraId="65707427" w14:textId="0DC22485" w:rsidR="003E11F0" w:rsidRDefault="003E11F0" w:rsidP="00202F78">
      <w:pPr>
        <w:pStyle w:val="ListParagraph"/>
        <w:numPr>
          <w:ilvl w:val="0"/>
          <w:numId w:val="9"/>
        </w:numPr>
      </w:pPr>
      <w:r>
        <w:t>Net Profit Margin</w:t>
      </w:r>
    </w:p>
    <w:p w14:paraId="360022C5" w14:textId="44037F21" w:rsidR="00202F78" w:rsidRDefault="00202F78" w:rsidP="00773E00">
      <w:r>
        <w:t xml:space="preserve">Net profit margin is shown how much from the revenue is used to pay the </w:t>
      </w:r>
      <w:proofErr w:type="gramStart"/>
      <w:r>
        <w:t>expenses  (</w:t>
      </w:r>
      <w:proofErr w:type="gramEnd"/>
      <w:r>
        <w:t xml:space="preserve"> operating and non-operating) and how much remains either to reinvest in the company, nor to pay the shareholders. This ratio is very important for the investors and creditors. </w:t>
      </w:r>
    </w:p>
    <w:p w14:paraId="6DB4FFBF" w14:textId="0ED2E90A" w:rsidR="003E11F0" w:rsidRDefault="003E11F0" w:rsidP="00773E00">
      <w:r>
        <w:t>Figure 3. Jaguar Land Rover Net Profit Margin 2014-2018</w:t>
      </w:r>
    </w:p>
    <w:p w14:paraId="5154DC01" w14:textId="7DD74475" w:rsidR="00AF565B" w:rsidRDefault="005E10C1" w:rsidP="00773E00">
      <w:r>
        <w:rPr>
          <w:noProof/>
        </w:rPr>
        <w:drawing>
          <wp:inline distT="0" distB="0" distL="0" distR="0" wp14:anchorId="466A325E" wp14:editId="1C6C835D">
            <wp:extent cx="5715000" cy="2162175"/>
            <wp:effectExtent l="0" t="0" r="0" b="9525"/>
            <wp:docPr id="14" name="Chart 14">
              <a:extLst xmlns:a="http://schemas.openxmlformats.org/drawingml/2006/main">
                <a:ext uri="{FF2B5EF4-FFF2-40B4-BE49-F238E27FC236}">
                  <a16:creationId xmlns:a16="http://schemas.microsoft.com/office/drawing/2014/main" id="{71037DC2-3EA7-4BC7-ACA1-0BC2DBB882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9017BC" w14:textId="77777777" w:rsidR="00CC2032" w:rsidRDefault="00CC2032" w:rsidP="00CC2032">
      <w:r>
        <w:t>Source: Author`s calculations and (auto industry market, 2019)</w:t>
      </w:r>
    </w:p>
    <w:p w14:paraId="217EEFF7" w14:textId="77777777" w:rsidR="00CC2032" w:rsidRDefault="00CC2032" w:rsidP="00773E00"/>
    <w:p w14:paraId="619FF28A" w14:textId="7EEE92B4" w:rsidR="00AF565B" w:rsidRDefault="00202F78" w:rsidP="00773E00">
      <w:r>
        <w:t>As could be seen Jaguar Land Rover is doing a net profit margin in comparison to the market trend but unfortunately the Brexit impact starts to appear.</w:t>
      </w:r>
    </w:p>
    <w:p w14:paraId="031467F3" w14:textId="052A85ED" w:rsidR="00202F78" w:rsidRDefault="00202F78" w:rsidP="00202F78">
      <w:pPr>
        <w:pStyle w:val="ListParagraph"/>
        <w:numPr>
          <w:ilvl w:val="0"/>
          <w:numId w:val="9"/>
        </w:numPr>
      </w:pPr>
      <w:r>
        <w:t>Jaguar Land Rover Profitability ratios vs. the competitor</w:t>
      </w:r>
    </w:p>
    <w:p w14:paraId="6A5DAE66" w14:textId="429D66ED" w:rsidR="00202F78" w:rsidRDefault="00202F78" w:rsidP="00773E00">
      <w:r>
        <w:t>Figure 4: Profitability ratios Jaguar Land Rover vs Mercedes Benz</w:t>
      </w:r>
    </w:p>
    <w:p w14:paraId="4BC7BC15" w14:textId="2E4D23C2" w:rsidR="00773E00" w:rsidRDefault="00773E00" w:rsidP="00773E00">
      <w:r>
        <w:rPr>
          <w:noProof/>
        </w:rPr>
        <w:drawing>
          <wp:inline distT="0" distB="0" distL="0" distR="0" wp14:anchorId="3B98144F" wp14:editId="420E9DF7">
            <wp:extent cx="5731510" cy="2155190"/>
            <wp:effectExtent l="0" t="0" r="2540" b="16510"/>
            <wp:docPr id="4" name="Chart 4">
              <a:extLst xmlns:a="http://schemas.openxmlformats.org/drawingml/2006/main">
                <a:ext uri="{FF2B5EF4-FFF2-40B4-BE49-F238E27FC236}">
                  <a16:creationId xmlns:a16="http://schemas.microsoft.com/office/drawing/2014/main" id="{C75D3E46-B984-4F1F-83CD-23A75BBDFE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DE469B" w14:textId="77777777" w:rsidR="00CC2032" w:rsidRDefault="00CC2032" w:rsidP="00CC2032">
      <w:r>
        <w:t>Source: Author`s calculations and (auto industry market, 2019)</w:t>
      </w:r>
    </w:p>
    <w:p w14:paraId="4D284B51" w14:textId="77777777" w:rsidR="00CC2032" w:rsidRDefault="00CC2032" w:rsidP="00773E00"/>
    <w:p w14:paraId="6061845E" w14:textId="6983CC73" w:rsidR="00773E00" w:rsidRDefault="00202F78" w:rsidP="00773E00">
      <w:r>
        <w:t xml:space="preserve">Despite the fact the volume of sales is different between these 2 companies and they are acting on different countries, both companies register good profitability in comparison to the auto market trend. </w:t>
      </w:r>
    </w:p>
    <w:p w14:paraId="004750B7" w14:textId="77777777" w:rsidR="00CC2032" w:rsidRDefault="00CC2032" w:rsidP="00773E00"/>
    <w:p w14:paraId="62D4B10E" w14:textId="24B79D7A" w:rsidR="007160C3" w:rsidRDefault="007160C3" w:rsidP="00773E00">
      <w:r>
        <w:t>B.2.2. Efficiency Ratios</w:t>
      </w:r>
    </w:p>
    <w:p w14:paraId="33210552" w14:textId="19927B74" w:rsidR="00202F78" w:rsidRDefault="00202F78" w:rsidP="00773E00">
      <w:r>
        <w:t xml:space="preserve">We have calculated the efficiency ratios for Jaguar Land Rover </w:t>
      </w:r>
      <w:proofErr w:type="gramStart"/>
      <w:r>
        <w:t>and also</w:t>
      </w:r>
      <w:proofErr w:type="gramEnd"/>
      <w:r>
        <w:t xml:space="preserve"> for the competitor. On Tab 9. Is presented the efficiency ratio of both companies vs. auto industry value.</w:t>
      </w:r>
    </w:p>
    <w:p w14:paraId="6D2505B0" w14:textId="013FF15D" w:rsidR="007160C3" w:rsidRDefault="0078548F" w:rsidP="00773E00">
      <w:r>
        <w:t>Tab. 9 Efficiency Ratio Jaguar Land Rover vs. Mercedes Benz</w:t>
      </w:r>
    </w:p>
    <w:tbl>
      <w:tblPr>
        <w:tblW w:w="9002" w:type="dxa"/>
        <w:tblInd w:w="-10" w:type="dxa"/>
        <w:tblLook w:val="04A0" w:firstRow="1" w:lastRow="0" w:firstColumn="1" w:lastColumn="0" w:noHBand="0" w:noVBand="1"/>
      </w:tblPr>
      <w:tblGrid>
        <w:gridCol w:w="1732"/>
        <w:gridCol w:w="906"/>
        <w:gridCol w:w="906"/>
        <w:gridCol w:w="906"/>
        <w:gridCol w:w="906"/>
        <w:gridCol w:w="910"/>
        <w:gridCol w:w="1457"/>
        <w:gridCol w:w="1279"/>
      </w:tblGrid>
      <w:tr w:rsidR="007160C3" w:rsidRPr="007160C3" w14:paraId="5F40B22B" w14:textId="77777777" w:rsidTr="00C63929">
        <w:trPr>
          <w:trHeight w:val="298"/>
        </w:trPr>
        <w:tc>
          <w:tcPr>
            <w:tcW w:w="173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5CE3C85"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 </w:t>
            </w:r>
          </w:p>
        </w:tc>
        <w:tc>
          <w:tcPr>
            <w:tcW w:w="4534" w:type="dxa"/>
            <w:gridSpan w:val="5"/>
            <w:tcBorders>
              <w:top w:val="single" w:sz="8" w:space="0" w:color="auto"/>
              <w:left w:val="nil"/>
              <w:bottom w:val="single" w:sz="4" w:space="0" w:color="auto"/>
              <w:right w:val="single" w:sz="4" w:space="0" w:color="auto"/>
            </w:tcBorders>
            <w:shd w:val="clear" w:color="auto" w:fill="auto"/>
            <w:noWrap/>
            <w:vAlign w:val="bottom"/>
            <w:hideMark/>
          </w:tcPr>
          <w:p w14:paraId="13F488FE"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The chosen company</w:t>
            </w:r>
          </w:p>
        </w:tc>
        <w:tc>
          <w:tcPr>
            <w:tcW w:w="1457" w:type="dxa"/>
            <w:tcBorders>
              <w:top w:val="single" w:sz="8" w:space="0" w:color="auto"/>
              <w:left w:val="nil"/>
              <w:bottom w:val="single" w:sz="4" w:space="0" w:color="auto"/>
              <w:right w:val="single" w:sz="4" w:space="0" w:color="auto"/>
            </w:tcBorders>
            <w:shd w:val="clear" w:color="auto" w:fill="auto"/>
            <w:noWrap/>
            <w:vAlign w:val="bottom"/>
            <w:hideMark/>
          </w:tcPr>
          <w:p w14:paraId="27384779"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Competitor</w:t>
            </w:r>
          </w:p>
        </w:tc>
        <w:tc>
          <w:tcPr>
            <w:tcW w:w="1279" w:type="dxa"/>
            <w:vMerge w:val="restart"/>
            <w:tcBorders>
              <w:top w:val="single" w:sz="8" w:space="0" w:color="auto"/>
              <w:left w:val="single" w:sz="4" w:space="0" w:color="auto"/>
              <w:bottom w:val="single" w:sz="8" w:space="0" w:color="000000"/>
              <w:right w:val="single" w:sz="8" w:space="0" w:color="auto"/>
            </w:tcBorders>
            <w:shd w:val="clear" w:color="000000" w:fill="FFFFFF"/>
            <w:vAlign w:val="bottom"/>
            <w:hideMark/>
          </w:tcPr>
          <w:p w14:paraId="351AC692" w14:textId="77777777" w:rsidR="007160C3" w:rsidRPr="007160C3" w:rsidRDefault="007160C3" w:rsidP="007160C3">
            <w:pPr>
              <w:spacing w:after="0" w:line="240" w:lineRule="auto"/>
              <w:jc w:val="center"/>
              <w:rPr>
                <w:rFonts w:ascii="Calibri" w:eastAsia="Times New Roman" w:hAnsi="Calibri" w:cs="Calibri"/>
                <w:lang w:eastAsia="en-GB"/>
              </w:rPr>
            </w:pPr>
            <w:r w:rsidRPr="007160C3">
              <w:rPr>
                <w:rFonts w:ascii="Calibri" w:eastAsia="Times New Roman" w:hAnsi="Calibri" w:cs="Calibri"/>
                <w:lang w:eastAsia="en-GB"/>
              </w:rPr>
              <w:t>Auto Industry Value</w:t>
            </w:r>
          </w:p>
        </w:tc>
      </w:tr>
      <w:tr w:rsidR="007160C3" w:rsidRPr="007160C3" w14:paraId="03B3F1B5" w14:textId="77777777" w:rsidTr="00C63929">
        <w:trPr>
          <w:trHeight w:val="612"/>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50000160"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Company</w:t>
            </w:r>
          </w:p>
        </w:tc>
        <w:tc>
          <w:tcPr>
            <w:tcW w:w="4534" w:type="dxa"/>
            <w:gridSpan w:val="5"/>
            <w:tcBorders>
              <w:top w:val="single" w:sz="4" w:space="0" w:color="auto"/>
              <w:left w:val="nil"/>
              <w:bottom w:val="single" w:sz="8" w:space="0" w:color="auto"/>
              <w:right w:val="single" w:sz="4" w:space="0" w:color="auto"/>
            </w:tcBorders>
            <w:shd w:val="clear" w:color="auto" w:fill="auto"/>
            <w:noWrap/>
            <w:vAlign w:val="bottom"/>
            <w:hideMark/>
          </w:tcPr>
          <w:p w14:paraId="2B418CFA"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Jaguar Land Rover</w:t>
            </w:r>
          </w:p>
        </w:tc>
        <w:tc>
          <w:tcPr>
            <w:tcW w:w="1457" w:type="dxa"/>
            <w:tcBorders>
              <w:top w:val="nil"/>
              <w:left w:val="nil"/>
              <w:bottom w:val="single" w:sz="8" w:space="0" w:color="auto"/>
              <w:right w:val="single" w:sz="4" w:space="0" w:color="auto"/>
            </w:tcBorders>
            <w:shd w:val="clear" w:color="auto" w:fill="auto"/>
            <w:noWrap/>
            <w:vAlign w:val="bottom"/>
            <w:hideMark/>
          </w:tcPr>
          <w:p w14:paraId="0CCA2924"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Mercedes Benz</w:t>
            </w:r>
          </w:p>
        </w:tc>
        <w:tc>
          <w:tcPr>
            <w:tcW w:w="1279" w:type="dxa"/>
            <w:vMerge/>
            <w:tcBorders>
              <w:top w:val="single" w:sz="8" w:space="0" w:color="auto"/>
              <w:left w:val="single" w:sz="4" w:space="0" w:color="auto"/>
              <w:bottom w:val="single" w:sz="8" w:space="0" w:color="000000"/>
              <w:right w:val="single" w:sz="8" w:space="0" w:color="auto"/>
            </w:tcBorders>
            <w:vAlign w:val="center"/>
            <w:hideMark/>
          </w:tcPr>
          <w:p w14:paraId="42990725" w14:textId="77777777" w:rsidR="007160C3" w:rsidRPr="007160C3" w:rsidRDefault="007160C3" w:rsidP="007160C3">
            <w:pPr>
              <w:spacing w:after="0" w:line="240" w:lineRule="auto"/>
              <w:rPr>
                <w:rFonts w:ascii="Calibri" w:eastAsia="Times New Roman" w:hAnsi="Calibri" w:cs="Calibri"/>
                <w:lang w:eastAsia="en-GB"/>
              </w:rPr>
            </w:pPr>
          </w:p>
        </w:tc>
      </w:tr>
      <w:tr w:rsidR="00C63929" w:rsidRPr="007160C3" w14:paraId="5D0C8F2E" w14:textId="77777777" w:rsidTr="00CC2032">
        <w:trPr>
          <w:trHeight w:val="313"/>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294C695F"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Year / Ratio</w:t>
            </w:r>
          </w:p>
        </w:tc>
        <w:tc>
          <w:tcPr>
            <w:tcW w:w="906" w:type="dxa"/>
            <w:tcBorders>
              <w:top w:val="nil"/>
              <w:left w:val="nil"/>
              <w:bottom w:val="single" w:sz="8" w:space="0" w:color="auto"/>
              <w:right w:val="single" w:sz="4" w:space="0" w:color="auto"/>
            </w:tcBorders>
            <w:shd w:val="clear" w:color="auto" w:fill="auto"/>
            <w:noWrap/>
            <w:vAlign w:val="center"/>
            <w:hideMark/>
          </w:tcPr>
          <w:p w14:paraId="73733953"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2014</w:t>
            </w:r>
          </w:p>
        </w:tc>
        <w:tc>
          <w:tcPr>
            <w:tcW w:w="906" w:type="dxa"/>
            <w:tcBorders>
              <w:top w:val="nil"/>
              <w:left w:val="nil"/>
              <w:bottom w:val="single" w:sz="8" w:space="0" w:color="auto"/>
              <w:right w:val="single" w:sz="4" w:space="0" w:color="auto"/>
            </w:tcBorders>
            <w:shd w:val="clear" w:color="auto" w:fill="auto"/>
            <w:noWrap/>
            <w:vAlign w:val="center"/>
            <w:hideMark/>
          </w:tcPr>
          <w:p w14:paraId="266B20DC"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2015</w:t>
            </w:r>
          </w:p>
        </w:tc>
        <w:tc>
          <w:tcPr>
            <w:tcW w:w="906" w:type="dxa"/>
            <w:tcBorders>
              <w:top w:val="nil"/>
              <w:left w:val="nil"/>
              <w:bottom w:val="single" w:sz="8" w:space="0" w:color="auto"/>
              <w:right w:val="single" w:sz="4" w:space="0" w:color="auto"/>
            </w:tcBorders>
            <w:shd w:val="clear" w:color="auto" w:fill="auto"/>
            <w:noWrap/>
            <w:vAlign w:val="center"/>
            <w:hideMark/>
          </w:tcPr>
          <w:p w14:paraId="76D86D90"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2016</w:t>
            </w:r>
          </w:p>
        </w:tc>
        <w:tc>
          <w:tcPr>
            <w:tcW w:w="906" w:type="dxa"/>
            <w:tcBorders>
              <w:top w:val="nil"/>
              <w:left w:val="nil"/>
              <w:bottom w:val="single" w:sz="8" w:space="0" w:color="auto"/>
              <w:right w:val="single" w:sz="4" w:space="0" w:color="auto"/>
            </w:tcBorders>
            <w:shd w:val="clear" w:color="auto" w:fill="auto"/>
            <w:noWrap/>
            <w:vAlign w:val="center"/>
            <w:hideMark/>
          </w:tcPr>
          <w:p w14:paraId="67F01EC0"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2017</w:t>
            </w:r>
          </w:p>
        </w:tc>
        <w:tc>
          <w:tcPr>
            <w:tcW w:w="910" w:type="dxa"/>
            <w:tcBorders>
              <w:top w:val="nil"/>
              <w:left w:val="nil"/>
              <w:bottom w:val="single" w:sz="8" w:space="0" w:color="auto"/>
              <w:right w:val="single" w:sz="4" w:space="0" w:color="auto"/>
            </w:tcBorders>
            <w:shd w:val="clear" w:color="000000" w:fill="FFFFFF"/>
            <w:noWrap/>
            <w:vAlign w:val="center"/>
            <w:hideMark/>
          </w:tcPr>
          <w:p w14:paraId="01D8AC42"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c>
          <w:tcPr>
            <w:tcW w:w="1457" w:type="dxa"/>
            <w:tcBorders>
              <w:top w:val="nil"/>
              <w:left w:val="nil"/>
              <w:bottom w:val="single" w:sz="8" w:space="0" w:color="auto"/>
              <w:right w:val="single" w:sz="4" w:space="0" w:color="auto"/>
            </w:tcBorders>
            <w:shd w:val="clear" w:color="auto" w:fill="auto"/>
            <w:noWrap/>
            <w:vAlign w:val="center"/>
            <w:hideMark/>
          </w:tcPr>
          <w:p w14:paraId="705500CB"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2018</w:t>
            </w:r>
          </w:p>
        </w:tc>
        <w:tc>
          <w:tcPr>
            <w:tcW w:w="1279" w:type="dxa"/>
            <w:tcBorders>
              <w:top w:val="nil"/>
              <w:left w:val="nil"/>
              <w:bottom w:val="single" w:sz="8" w:space="0" w:color="auto"/>
              <w:right w:val="single" w:sz="8" w:space="0" w:color="auto"/>
            </w:tcBorders>
            <w:shd w:val="clear" w:color="000000" w:fill="FFFFFF"/>
            <w:noWrap/>
            <w:vAlign w:val="bottom"/>
            <w:hideMark/>
          </w:tcPr>
          <w:p w14:paraId="080C5B05" w14:textId="77777777" w:rsidR="007160C3" w:rsidRPr="007160C3" w:rsidRDefault="007160C3" w:rsidP="007160C3">
            <w:pPr>
              <w:spacing w:after="0" w:line="240" w:lineRule="auto"/>
              <w:jc w:val="right"/>
              <w:rPr>
                <w:rFonts w:ascii="Calibri" w:eastAsia="Times New Roman" w:hAnsi="Calibri" w:cs="Calibri"/>
                <w:lang w:eastAsia="en-GB"/>
              </w:rPr>
            </w:pPr>
            <w:r w:rsidRPr="007160C3">
              <w:rPr>
                <w:rFonts w:ascii="Calibri" w:eastAsia="Times New Roman" w:hAnsi="Calibri" w:cs="Calibri"/>
                <w:lang w:eastAsia="en-GB"/>
              </w:rPr>
              <w:t>2018</w:t>
            </w:r>
          </w:p>
        </w:tc>
      </w:tr>
      <w:tr w:rsidR="00C63929" w:rsidRPr="007160C3" w14:paraId="150346F6" w14:textId="77777777" w:rsidTr="00CC2032">
        <w:trPr>
          <w:trHeight w:val="298"/>
        </w:trPr>
        <w:tc>
          <w:tcPr>
            <w:tcW w:w="1732" w:type="dxa"/>
            <w:tcBorders>
              <w:top w:val="nil"/>
              <w:left w:val="single" w:sz="8" w:space="0" w:color="auto"/>
              <w:bottom w:val="single" w:sz="4" w:space="0" w:color="auto"/>
              <w:right w:val="single" w:sz="4" w:space="0" w:color="auto"/>
            </w:tcBorders>
            <w:shd w:val="clear" w:color="auto" w:fill="auto"/>
            <w:noWrap/>
            <w:vAlign w:val="bottom"/>
            <w:hideMark/>
          </w:tcPr>
          <w:p w14:paraId="45DDB2AD"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Asset Turnover</w:t>
            </w:r>
          </w:p>
        </w:tc>
        <w:tc>
          <w:tcPr>
            <w:tcW w:w="906" w:type="dxa"/>
            <w:tcBorders>
              <w:top w:val="nil"/>
              <w:left w:val="nil"/>
              <w:bottom w:val="single" w:sz="4" w:space="0" w:color="auto"/>
              <w:right w:val="single" w:sz="4" w:space="0" w:color="auto"/>
            </w:tcBorders>
            <w:shd w:val="clear" w:color="auto" w:fill="auto"/>
            <w:noWrap/>
            <w:vAlign w:val="bottom"/>
            <w:hideMark/>
          </w:tcPr>
          <w:p w14:paraId="651C5DF4"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1.24</w:t>
            </w:r>
          </w:p>
        </w:tc>
        <w:tc>
          <w:tcPr>
            <w:tcW w:w="906" w:type="dxa"/>
            <w:tcBorders>
              <w:top w:val="nil"/>
              <w:left w:val="nil"/>
              <w:bottom w:val="single" w:sz="4" w:space="0" w:color="auto"/>
              <w:right w:val="single" w:sz="4" w:space="0" w:color="auto"/>
            </w:tcBorders>
            <w:shd w:val="clear" w:color="auto" w:fill="auto"/>
            <w:noWrap/>
            <w:vAlign w:val="bottom"/>
            <w:hideMark/>
          </w:tcPr>
          <w:p w14:paraId="0C4D41F2"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1.18</w:t>
            </w:r>
          </w:p>
        </w:tc>
        <w:tc>
          <w:tcPr>
            <w:tcW w:w="906" w:type="dxa"/>
            <w:tcBorders>
              <w:top w:val="nil"/>
              <w:left w:val="nil"/>
              <w:bottom w:val="single" w:sz="4" w:space="0" w:color="auto"/>
              <w:right w:val="single" w:sz="4" w:space="0" w:color="auto"/>
            </w:tcBorders>
            <w:shd w:val="clear" w:color="auto" w:fill="auto"/>
            <w:noWrap/>
            <w:vAlign w:val="bottom"/>
            <w:hideMark/>
          </w:tcPr>
          <w:p w14:paraId="0AE78E66"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1.08</w:t>
            </w:r>
          </w:p>
        </w:tc>
        <w:tc>
          <w:tcPr>
            <w:tcW w:w="906" w:type="dxa"/>
            <w:tcBorders>
              <w:top w:val="nil"/>
              <w:left w:val="nil"/>
              <w:bottom w:val="single" w:sz="4" w:space="0" w:color="auto"/>
              <w:right w:val="single" w:sz="4" w:space="0" w:color="auto"/>
            </w:tcBorders>
            <w:shd w:val="clear" w:color="auto" w:fill="auto"/>
            <w:noWrap/>
            <w:vAlign w:val="bottom"/>
            <w:hideMark/>
          </w:tcPr>
          <w:p w14:paraId="704E9C5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1.00</w:t>
            </w:r>
          </w:p>
        </w:tc>
        <w:tc>
          <w:tcPr>
            <w:tcW w:w="910" w:type="dxa"/>
            <w:tcBorders>
              <w:top w:val="nil"/>
              <w:left w:val="nil"/>
              <w:bottom w:val="single" w:sz="4" w:space="0" w:color="auto"/>
              <w:right w:val="single" w:sz="4" w:space="0" w:color="auto"/>
            </w:tcBorders>
            <w:shd w:val="clear" w:color="000000" w:fill="FFFFFF"/>
            <w:noWrap/>
            <w:vAlign w:val="bottom"/>
            <w:hideMark/>
          </w:tcPr>
          <w:p w14:paraId="12D0CC24"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0.96</w:t>
            </w:r>
          </w:p>
        </w:tc>
        <w:tc>
          <w:tcPr>
            <w:tcW w:w="1457" w:type="dxa"/>
            <w:tcBorders>
              <w:top w:val="nil"/>
              <w:left w:val="nil"/>
              <w:bottom w:val="single" w:sz="4" w:space="0" w:color="auto"/>
              <w:right w:val="single" w:sz="4" w:space="0" w:color="auto"/>
            </w:tcBorders>
            <w:shd w:val="clear" w:color="auto" w:fill="auto"/>
            <w:noWrap/>
            <w:vAlign w:val="bottom"/>
            <w:hideMark/>
          </w:tcPr>
          <w:p w14:paraId="6F34316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0.59</w:t>
            </w:r>
          </w:p>
        </w:tc>
        <w:tc>
          <w:tcPr>
            <w:tcW w:w="1279" w:type="dxa"/>
            <w:tcBorders>
              <w:top w:val="nil"/>
              <w:left w:val="nil"/>
              <w:bottom w:val="single" w:sz="4" w:space="0" w:color="auto"/>
              <w:right w:val="single" w:sz="8" w:space="0" w:color="auto"/>
            </w:tcBorders>
            <w:shd w:val="clear" w:color="000000" w:fill="FFFFFF"/>
            <w:noWrap/>
            <w:vAlign w:val="bottom"/>
            <w:hideMark/>
          </w:tcPr>
          <w:p w14:paraId="405842B1" w14:textId="77777777" w:rsidR="007160C3" w:rsidRPr="007160C3" w:rsidRDefault="007160C3" w:rsidP="007160C3">
            <w:pPr>
              <w:spacing w:after="0" w:line="240" w:lineRule="auto"/>
              <w:jc w:val="right"/>
              <w:rPr>
                <w:rFonts w:ascii="Calibri" w:eastAsia="Times New Roman" w:hAnsi="Calibri" w:cs="Calibri"/>
                <w:color w:val="000000"/>
                <w:lang w:eastAsia="en-GB"/>
              </w:rPr>
            </w:pPr>
            <w:r w:rsidRPr="007160C3">
              <w:rPr>
                <w:rFonts w:ascii="Calibri" w:eastAsia="Times New Roman" w:hAnsi="Calibri" w:cs="Calibri"/>
                <w:color w:val="000000"/>
                <w:lang w:eastAsia="en-GB"/>
              </w:rPr>
              <w:t>0.76</w:t>
            </w:r>
          </w:p>
        </w:tc>
      </w:tr>
      <w:tr w:rsidR="00C63929" w:rsidRPr="007160C3" w14:paraId="11063E8D" w14:textId="77777777" w:rsidTr="00CC2032">
        <w:trPr>
          <w:trHeight w:val="313"/>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39C609DC"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Fixed Asset Turnover</w:t>
            </w:r>
          </w:p>
        </w:tc>
        <w:tc>
          <w:tcPr>
            <w:tcW w:w="906" w:type="dxa"/>
            <w:tcBorders>
              <w:top w:val="nil"/>
              <w:left w:val="nil"/>
              <w:bottom w:val="single" w:sz="8" w:space="0" w:color="auto"/>
              <w:right w:val="single" w:sz="4" w:space="0" w:color="auto"/>
            </w:tcBorders>
            <w:shd w:val="clear" w:color="auto" w:fill="auto"/>
            <w:noWrap/>
            <w:vAlign w:val="bottom"/>
            <w:hideMark/>
          </w:tcPr>
          <w:p w14:paraId="7D750320"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6.09</w:t>
            </w:r>
          </w:p>
        </w:tc>
        <w:tc>
          <w:tcPr>
            <w:tcW w:w="906" w:type="dxa"/>
            <w:tcBorders>
              <w:top w:val="nil"/>
              <w:left w:val="nil"/>
              <w:bottom w:val="single" w:sz="8" w:space="0" w:color="auto"/>
              <w:right w:val="single" w:sz="4" w:space="0" w:color="auto"/>
            </w:tcBorders>
            <w:shd w:val="clear" w:color="auto" w:fill="auto"/>
            <w:noWrap/>
            <w:vAlign w:val="bottom"/>
            <w:hideMark/>
          </w:tcPr>
          <w:p w14:paraId="0D05EA66"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4.89</w:t>
            </w:r>
          </w:p>
        </w:tc>
        <w:tc>
          <w:tcPr>
            <w:tcW w:w="906" w:type="dxa"/>
            <w:tcBorders>
              <w:top w:val="nil"/>
              <w:left w:val="nil"/>
              <w:bottom w:val="single" w:sz="8" w:space="0" w:color="auto"/>
              <w:right w:val="single" w:sz="4" w:space="0" w:color="auto"/>
            </w:tcBorders>
            <w:shd w:val="clear" w:color="auto" w:fill="auto"/>
            <w:noWrap/>
            <w:vAlign w:val="bottom"/>
            <w:hideMark/>
          </w:tcPr>
          <w:p w14:paraId="36FE03A0"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4.31</w:t>
            </w:r>
          </w:p>
        </w:tc>
        <w:tc>
          <w:tcPr>
            <w:tcW w:w="906" w:type="dxa"/>
            <w:tcBorders>
              <w:top w:val="nil"/>
              <w:left w:val="nil"/>
              <w:bottom w:val="single" w:sz="8" w:space="0" w:color="auto"/>
              <w:right w:val="single" w:sz="4" w:space="0" w:color="auto"/>
            </w:tcBorders>
            <w:shd w:val="clear" w:color="auto" w:fill="auto"/>
            <w:noWrap/>
            <w:vAlign w:val="bottom"/>
            <w:hideMark/>
          </w:tcPr>
          <w:p w14:paraId="49DDF049"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4.14</w:t>
            </w:r>
          </w:p>
        </w:tc>
        <w:tc>
          <w:tcPr>
            <w:tcW w:w="910" w:type="dxa"/>
            <w:tcBorders>
              <w:top w:val="nil"/>
              <w:left w:val="nil"/>
              <w:bottom w:val="single" w:sz="8" w:space="0" w:color="auto"/>
              <w:right w:val="single" w:sz="4" w:space="0" w:color="auto"/>
            </w:tcBorders>
            <w:shd w:val="clear" w:color="000000" w:fill="FFFFFF"/>
            <w:noWrap/>
            <w:vAlign w:val="bottom"/>
            <w:hideMark/>
          </w:tcPr>
          <w:p w14:paraId="6257EE38"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3.48</w:t>
            </w:r>
          </w:p>
        </w:tc>
        <w:tc>
          <w:tcPr>
            <w:tcW w:w="1457" w:type="dxa"/>
            <w:tcBorders>
              <w:top w:val="nil"/>
              <w:left w:val="nil"/>
              <w:bottom w:val="single" w:sz="8" w:space="0" w:color="auto"/>
              <w:right w:val="single" w:sz="4" w:space="0" w:color="auto"/>
            </w:tcBorders>
            <w:shd w:val="clear" w:color="auto" w:fill="auto"/>
            <w:noWrap/>
            <w:vAlign w:val="bottom"/>
            <w:hideMark/>
          </w:tcPr>
          <w:p w14:paraId="625AC20B" w14:textId="77777777" w:rsidR="007160C3" w:rsidRPr="007160C3" w:rsidRDefault="007160C3" w:rsidP="007160C3">
            <w:pPr>
              <w:spacing w:after="0" w:line="240" w:lineRule="auto"/>
              <w:jc w:val="center"/>
              <w:rPr>
                <w:rFonts w:ascii="Calibri" w:eastAsia="Times New Roman" w:hAnsi="Calibri" w:cs="Calibri"/>
                <w:color w:val="000000"/>
                <w:lang w:eastAsia="en-GB"/>
              </w:rPr>
            </w:pPr>
            <w:r w:rsidRPr="007160C3">
              <w:rPr>
                <w:rFonts w:ascii="Calibri" w:eastAsia="Times New Roman" w:hAnsi="Calibri" w:cs="Calibri"/>
                <w:color w:val="000000"/>
                <w:lang w:eastAsia="en-GB"/>
              </w:rPr>
              <w:t>5.41</w:t>
            </w:r>
          </w:p>
        </w:tc>
        <w:tc>
          <w:tcPr>
            <w:tcW w:w="1279" w:type="dxa"/>
            <w:tcBorders>
              <w:top w:val="nil"/>
              <w:left w:val="nil"/>
              <w:bottom w:val="single" w:sz="8" w:space="0" w:color="auto"/>
              <w:right w:val="single" w:sz="8" w:space="0" w:color="auto"/>
            </w:tcBorders>
            <w:shd w:val="clear" w:color="000000" w:fill="FFFFFF"/>
            <w:noWrap/>
            <w:vAlign w:val="bottom"/>
            <w:hideMark/>
          </w:tcPr>
          <w:p w14:paraId="4ED308D2" w14:textId="77777777" w:rsidR="007160C3" w:rsidRPr="007160C3" w:rsidRDefault="007160C3" w:rsidP="007160C3">
            <w:pPr>
              <w:spacing w:after="0" w:line="240" w:lineRule="auto"/>
              <w:rPr>
                <w:rFonts w:ascii="Calibri" w:eastAsia="Times New Roman" w:hAnsi="Calibri" w:cs="Calibri"/>
                <w:color w:val="000000"/>
                <w:lang w:eastAsia="en-GB"/>
              </w:rPr>
            </w:pPr>
            <w:r w:rsidRPr="007160C3">
              <w:rPr>
                <w:rFonts w:ascii="Calibri" w:eastAsia="Times New Roman" w:hAnsi="Calibri" w:cs="Calibri"/>
                <w:color w:val="000000"/>
                <w:lang w:eastAsia="en-GB"/>
              </w:rPr>
              <w:t> </w:t>
            </w:r>
          </w:p>
        </w:tc>
      </w:tr>
    </w:tbl>
    <w:p w14:paraId="5BCE4C0F" w14:textId="77777777" w:rsidR="00CC2032" w:rsidRDefault="00CC2032" w:rsidP="00CC2032">
      <w:r>
        <w:t>Source: Author`s calculations and (auto industry market, 2019)</w:t>
      </w:r>
    </w:p>
    <w:p w14:paraId="354614FC" w14:textId="09F84D60" w:rsidR="00202F78" w:rsidRDefault="00202F78" w:rsidP="00773E00">
      <w:r>
        <w:t xml:space="preserve">Before to </w:t>
      </w:r>
      <w:proofErr w:type="gramStart"/>
      <w:r>
        <w:t>made</w:t>
      </w:r>
      <w:proofErr w:type="gramEnd"/>
      <w:r>
        <w:t xml:space="preserve"> a comparison between those two companies, we are going to analyse each efficiency ratio for Jaguar Land Rover.</w:t>
      </w:r>
    </w:p>
    <w:p w14:paraId="15BD040A" w14:textId="0F50B4E6" w:rsidR="00CC2032" w:rsidRDefault="00CC2032" w:rsidP="00773E00"/>
    <w:p w14:paraId="2638970D" w14:textId="640789BD" w:rsidR="00CC2032" w:rsidRDefault="00CC2032" w:rsidP="00773E00"/>
    <w:p w14:paraId="103C0476" w14:textId="77777777" w:rsidR="00CC2032" w:rsidRDefault="00CC2032" w:rsidP="00773E00"/>
    <w:p w14:paraId="25648C23" w14:textId="407E1ED6" w:rsidR="00202F78" w:rsidRDefault="00202F78" w:rsidP="00202F78">
      <w:pPr>
        <w:pStyle w:val="ListParagraph"/>
        <w:numPr>
          <w:ilvl w:val="0"/>
          <w:numId w:val="10"/>
        </w:numPr>
      </w:pPr>
      <w:r>
        <w:t>Asset Turnover</w:t>
      </w:r>
    </w:p>
    <w:p w14:paraId="7D319DA6" w14:textId="1DC198EB" w:rsidR="00202F78" w:rsidRDefault="00202F78" w:rsidP="00773E00">
      <w:r>
        <w:t>Figure 5.  Asset Turnover Jaguar Land Rover 2014-2018</w:t>
      </w:r>
    </w:p>
    <w:p w14:paraId="56E590E1" w14:textId="0BCF173B" w:rsidR="007160C3" w:rsidRDefault="007160C3" w:rsidP="00773E00">
      <w:r>
        <w:rPr>
          <w:noProof/>
        </w:rPr>
        <w:drawing>
          <wp:inline distT="0" distB="0" distL="0" distR="0" wp14:anchorId="22BAE457" wp14:editId="5A85A66E">
            <wp:extent cx="5715000" cy="1905000"/>
            <wp:effectExtent l="0" t="0" r="0" b="0"/>
            <wp:docPr id="5" name="Chart 5">
              <a:extLst xmlns:a="http://schemas.openxmlformats.org/drawingml/2006/main">
                <a:ext uri="{FF2B5EF4-FFF2-40B4-BE49-F238E27FC236}">
                  <a16:creationId xmlns:a16="http://schemas.microsoft.com/office/drawing/2014/main" id="{F4779382-D2E3-438D-BE8A-A20567B689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C8C4FD" w14:textId="77777777" w:rsidR="00CC2032" w:rsidRDefault="00CC2032" w:rsidP="00CC2032">
      <w:r>
        <w:t>Source: Author`s calculations and (auto industry market, 2019)</w:t>
      </w:r>
    </w:p>
    <w:p w14:paraId="1881272E" w14:textId="77777777" w:rsidR="00CC2032" w:rsidRDefault="00CC2032" w:rsidP="00773E00"/>
    <w:p w14:paraId="0CA2BF9A" w14:textId="73477C86" w:rsidR="007160C3" w:rsidRDefault="00202F78" w:rsidP="00773E00">
      <w:r>
        <w:t>For the last five years the company used with high efficiency the assets in order to generate the sales and this indicate a good management. The trend over the years is descendent, the company sales have been very much affected on the USA market, where the sales are not very good.</w:t>
      </w:r>
    </w:p>
    <w:p w14:paraId="5E904720" w14:textId="7BA6BCD3" w:rsidR="00202F78" w:rsidRDefault="00202F78" w:rsidP="00773E00">
      <w:r>
        <w:t xml:space="preserve">The ratio for 2014-2016 is higher </w:t>
      </w:r>
      <w:proofErr w:type="spellStart"/>
      <w:proofErr w:type="gramStart"/>
      <w:r>
        <w:t>then</w:t>
      </w:r>
      <w:proofErr w:type="spellEnd"/>
      <w:proofErr w:type="gramEnd"/>
      <w:r>
        <w:t xml:space="preserve"> 1 which is means they used the assets efficient. The ratio from 2017 is equal to 1 and even this is good because the sales of the company are equal to the total assets of the company. </w:t>
      </w:r>
      <w:proofErr w:type="gramStart"/>
      <w:r>
        <w:t>Unfortunately</w:t>
      </w:r>
      <w:proofErr w:type="gramEnd"/>
      <w:r>
        <w:t xml:space="preserve"> the 0.96 from 2018 is shown the company is facing problems on the production.</w:t>
      </w:r>
    </w:p>
    <w:p w14:paraId="426951C0" w14:textId="554FF43F" w:rsidR="00202F78" w:rsidRDefault="00202F78" w:rsidP="00202F78">
      <w:pPr>
        <w:pStyle w:val="ListParagraph"/>
        <w:numPr>
          <w:ilvl w:val="0"/>
          <w:numId w:val="10"/>
        </w:numPr>
      </w:pPr>
      <w:r>
        <w:t>Fixed Asset Turnover</w:t>
      </w:r>
    </w:p>
    <w:p w14:paraId="601A2258" w14:textId="5AAFE5D7" w:rsidR="00202F78" w:rsidRDefault="00202F78" w:rsidP="00773E00">
      <w:r>
        <w:t xml:space="preserve">Figure 6. Fixed Asset </w:t>
      </w:r>
      <w:proofErr w:type="gramStart"/>
      <w:r>
        <w:t>Turnover  Jaguar</w:t>
      </w:r>
      <w:proofErr w:type="gramEnd"/>
      <w:r>
        <w:t xml:space="preserve"> Land Rover 2014-2018</w:t>
      </w:r>
    </w:p>
    <w:p w14:paraId="14EBB7E9" w14:textId="611FD139" w:rsidR="007160C3" w:rsidRDefault="007160C3" w:rsidP="00773E00">
      <w:r>
        <w:rPr>
          <w:noProof/>
        </w:rPr>
        <w:drawing>
          <wp:inline distT="0" distB="0" distL="0" distR="0" wp14:anchorId="0DD98103" wp14:editId="2587B8DA">
            <wp:extent cx="5731510" cy="1704975"/>
            <wp:effectExtent l="0" t="0" r="2540" b="9525"/>
            <wp:docPr id="6" name="Chart 6">
              <a:extLst xmlns:a="http://schemas.openxmlformats.org/drawingml/2006/main">
                <a:ext uri="{FF2B5EF4-FFF2-40B4-BE49-F238E27FC236}">
                  <a16:creationId xmlns:a16="http://schemas.microsoft.com/office/drawing/2014/main" id="{F00F6DA6-143F-4636-8627-5297116CB8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FB4320" w14:textId="0AD300B1" w:rsidR="00CC2032" w:rsidRDefault="00CC2032" w:rsidP="00773E00">
      <w:r>
        <w:t>Source: Author`s calculations</w:t>
      </w:r>
    </w:p>
    <w:p w14:paraId="1CAA5D89" w14:textId="3FAA0E81" w:rsidR="007160C3" w:rsidRDefault="00202F78" w:rsidP="00773E00">
      <w:r>
        <w:t xml:space="preserve">The Fixed Asset Turnover is telling us how efficient is using the company the equipment and the production machines in order to produce sales. Jaguar Land Rover has large robots production lines </w:t>
      </w:r>
      <w:proofErr w:type="gramStart"/>
      <w:r>
        <w:t>and  very</w:t>
      </w:r>
      <w:proofErr w:type="gramEnd"/>
      <w:r>
        <w:t xml:space="preserve"> expensive, high investment in property so is expecting  to have high production and high value of sales.</w:t>
      </w:r>
    </w:p>
    <w:p w14:paraId="35432F1F" w14:textId="7277460A" w:rsidR="00202F78" w:rsidRDefault="00202F78" w:rsidP="00773E00">
      <w:r>
        <w:t xml:space="preserve">The fixed asset turnover varies from one producer to another. It seams in 2014 the company had a high ratio value and we may consider they were able to keep the same good performance trend </w:t>
      </w:r>
      <w:r>
        <w:lastRenderedPageBreak/>
        <w:t>between 2015 and 2017. 2018 performance express very clear the Brexit impact of the company. In this moment the company is looking for solutions in order to reduce the shock produced by Brexit.</w:t>
      </w:r>
    </w:p>
    <w:p w14:paraId="64C6E79D" w14:textId="04401E86" w:rsidR="00202F78" w:rsidRDefault="00202F78" w:rsidP="00202F78">
      <w:pPr>
        <w:pStyle w:val="ListParagraph"/>
        <w:numPr>
          <w:ilvl w:val="0"/>
          <w:numId w:val="10"/>
        </w:numPr>
      </w:pPr>
      <w:r>
        <w:t>Efficiency ratio comparison Jaguar Land Rover vs. Mercedes Benz 2018</w:t>
      </w:r>
    </w:p>
    <w:p w14:paraId="1136466D" w14:textId="0211B2A9" w:rsidR="00202F78" w:rsidRDefault="00202F78" w:rsidP="00773E00">
      <w:r>
        <w:t>As could be seen from figure 7., Jaguar Land Rover in 2018 had a higher Asset Turnover than Mercedes Benz and this means with all Brexit impact the management is doing the best to keep the balance. Mercedes Benz is shown a far better utilisation of the plant, equipment, properties and we should not forget, Mercedes Benz is in Germany, remains in EU and is not affected by the Brexit impact as Jaguar Land Rover is.</w:t>
      </w:r>
    </w:p>
    <w:p w14:paraId="17224580" w14:textId="082180E5" w:rsidR="00202F78" w:rsidRDefault="00202F78" w:rsidP="00773E00">
      <w:r>
        <w:t>Figure 7: Efficiency Ratios Jaguar Land Rover vs. Mercedes Benz 2018</w:t>
      </w:r>
    </w:p>
    <w:p w14:paraId="33FE14A5" w14:textId="42D822EE" w:rsidR="007160C3" w:rsidRDefault="007160C3" w:rsidP="00773E00">
      <w:r>
        <w:rPr>
          <w:noProof/>
        </w:rPr>
        <w:drawing>
          <wp:inline distT="0" distB="0" distL="0" distR="0" wp14:anchorId="4AD618A5" wp14:editId="1447BEB6">
            <wp:extent cx="5857875" cy="2114550"/>
            <wp:effectExtent l="0" t="0" r="9525" b="0"/>
            <wp:docPr id="7" name="Chart 7">
              <a:extLst xmlns:a="http://schemas.openxmlformats.org/drawingml/2006/main">
                <a:ext uri="{FF2B5EF4-FFF2-40B4-BE49-F238E27FC236}">
                  <a16:creationId xmlns:a16="http://schemas.microsoft.com/office/drawing/2014/main" id="{A0E6CE2E-23F4-46BA-880E-9504B4991F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A39D702" w14:textId="77777777" w:rsidR="00CC2032" w:rsidRDefault="00CC2032" w:rsidP="00CC2032">
      <w:r>
        <w:t>Source: Author`s calculations and (auto industry market, 2019)</w:t>
      </w:r>
    </w:p>
    <w:p w14:paraId="56212DFA" w14:textId="77777777" w:rsidR="00202F78" w:rsidRDefault="00202F78" w:rsidP="00773E00"/>
    <w:p w14:paraId="284A734E" w14:textId="7B959BCB" w:rsidR="007160C3" w:rsidRDefault="007160C3" w:rsidP="00773E00">
      <w:r>
        <w:t>B.2.3. Liquidity Ratios</w:t>
      </w:r>
    </w:p>
    <w:p w14:paraId="3586A55F" w14:textId="67C7BC4E" w:rsidR="00202F78" w:rsidRDefault="00202F78" w:rsidP="00773E00">
      <w:r>
        <w:t xml:space="preserve">The liquidity ratios </w:t>
      </w:r>
      <w:proofErr w:type="gramStart"/>
      <w:r>
        <w:t>plays</w:t>
      </w:r>
      <w:proofErr w:type="gramEnd"/>
      <w:r>
        <w:t xml:space="preserve"> a very important role in understanding if the company is making or loosing money. The liquidity ratios are current ratio, quick ratio and cash. We are going to analyse first the Jaguar Land Rover performance for each of the liquidity ratios.</w:t>
      </w:r>
    </w:p>
    <w:p w14:paraId="64798A25" w14:textId="758FEA67" w:rsidR="0078548F" w:rsidRDefault="0078548F" w:rsidP="00773E00">
      <w:r>
        <w:t>Tab. 10 L</w:t>
      </w:r>
      <w:r w:rsidR="004C32BC">
        <w:t>iquidity Ratios Jaguar Land Rover vs. Mercedes Benz</w:t>
      </w:r>
    </w:p>
    <w:tbl>
      <w:tblPr>
        <w:tblW w:w="9300" w:type="dxa"/>
        <w:tblLook w:val="04A0" w:firstRow="1" w:lastRow="0" w:firstColumn="1" w:lastColumn="0" w:noHBand="0" w:noVBand="1"/>
      </w:tblPr>
      <w:tblGrid>
        <w:gridCol w:w="2040"/>
        <w:gridCol w:w="852"/>
        <w:gridCol w:w="842"/>
        <w:gridCol w:w="842"/>
        <w:gridCol w:w="842"/>
        <w:gridCol w:w="842"/>
        <w:gridCol w:w="1660"/>
        <w:gridCol w:w="1380"/>
      </w:tblGrid>
      <w:tr w:rsidR="00974497" w:rsidRPr="00974497" w14:paraId="3DEB9E70" w14:textId="77777777" w:rsidTr="00974497">
        <w:trPr>
          <w:trHeight w:val="300"/>
        </w:trPr>
        <w:tc>
          <w:tcPr>
            <w:tcW w:w="204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58F918B"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 </w:t>
            </w:r>
          </w:p>
        </w:tc>
        <w:tc>
          <w:tcPr>
            <w:tcW w:w="4220" w:type="dxa"/>
            <w:gridSpan w:val="5"/>
            <w:tcBorders>
              <w:top w:val="single" w:sz="8" w:space="0" w:color="auto"/>
              <w:left w:val="nil"/>
              <w:bottom w:val="single" w:sz="4" w:space="0" w:color="auto"/>
              <w:right w:val="single" w:sz="4" w:space="0" w:color="auto"/>
            </w:tcBorders>
            <w:shd w:val="clear" w:color="auto" w:fill="auto"/>
            <w:noWrap/>
            <w:vAlign w:val="bottom"/>
            <w:hideMark/>
          </w:tcPr>
          <w:p w14:paraId="2FCF6501"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The chosen company</w:t>
            </w:r>
          </w:p>
        </w:tc>
        <w:tc>
          <w:tcPr>
            <w:tcW w:w="1660" w:type="dxa"/>
            <w:tcBorders>
              <w:top w:val="single" w:sz="8" w:space="0" w:color="auto"/>
              <w:left w:val="nil"/>
              <w:bottom w:val="single" w:sz="4" w:space="0" w:color="auto"/>
              <w:right w:val="single" w:sz="4" w:space="0" w:color="auto"/>
            </w:tcBorders>
            <w:shd w:val="clear" w:color="auto" w:fill="auto"/>
            <w:noWrap/>
            <w:vAlign w:val="bottom"/>
            <w:hideMark/>
          </w:tcPr>
          <w:p w14:paraId="4262933B"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Competitor</w:t>
            </w:r>
          </w:p>
        </w:tc>
        <w:tc>
          <w:tcPr>
            <w:tcW w:w="1380" w:type="dxa"/>
            <w:vMerge w:val="restart"/>
            <w:tcBorders>
              <w:top w:val="single" w:sz="8" w:space="0" w:color="auto"/>
              <w:left w:val="single" w:sz="4" w:space="0" w:color="auto"/>
              <w:bottom w:val="single" w:sz="8" w:space="0" w:color="000000"/>
              <w:right w:val="single" w:sz="8" w:space="0" w:color="auto"/>
            </w:tcBorders>
            <w:shd w:val="clear" w:color="auto" w:fill="auto"/>
            <w:vAlign w:val="bottom"/>
            <w:hideMark/>
          </w:tcPr>
          <w:p w14:paraId="5AB71D4B"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Auto Industry Value</w:t>
            </w:r>
          </w:p>
        </w:tc>
      </w:tr>
      <w:tr w:rsidR="00974497" w:rsidRPr="00974497" w14:paraId="6639916E" w14:textId="77777777" w:rsidTr="00974497">
        <w:trPr>
          <w:trHeight w:val="315"/>
        </w:trPr>
        <w:tc>
          <w:tcPr>
            <w:tcW w:w="2040" w:type="dxa"/>
            <w:tcBorders>
              <w:top w:val="nil"/>
              <w:left w:val="single" w:sz="8" w:space="0" w:color="auto"/>
              <w:bottom w:val="single" w:sz="4" w:space="0" w:color="auto"/>
              <w:right w:val="single" w:sz="8" w:space="0" w:color="auto"/>
            </w:tcBorders>
            <w:shd w:val="clear" w:color="auto" w:fill="auto"/>
            <w:noWrap/>
            <w:vAlign w:val="bottom"/>
            <w:hideMark/>
          </w:tcPr>
          <w:p w14:paraId="132A0083"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Company</w:t>
            </w:r>
          </w:p>
        </w:tc>
        <w:tc>
          <w:tcPr>
            <w:tcW w:w="4220" w:type="dxa"/>
            <w:gridSpan w:val="5"/>
            <w:tcBorders>
              <w:top w:val="single" w:sz="4" w:space="0" w:color="auto"/>
              <w:left w:val="nil"/>
              <w:bottom w:val="single" w:sz="4" w:space="0" w:color="auto"/>
              <w:right w:val="single" w:sz="4" w:space="0" w:color="auto"/>
            </w:tcBorders>
            <w:shd w:val="clear" w:color="auto" w:fill="auto"/>
            <w:noWrap/>
            <w:vAlign w:val="bottom"/>
            <w:hideMark/>
          </w:tcPr>
          <w:p w14:paraId="4D62628D" w14:textId="77777777" w:rsidR="00974497" w:rsidRPr="00974497" w:rsidRDefault="00974497" w:rsidP="00974497">
            <w:pPr>
              <w:spacing w:after="0" w:line="240" w:lineRule="auto"/>
              <w:jc w:val="center"/>
              <w:rPr>
                <w:rFonts w:ascii="Calibri" w:eastAsia="Times New Roman" w:hAnsi="Calibri" w:cs="Calibri"/>
                <w:b/>
                <w:bCs/>
                <w:color w:val="000000"/>
                <w:lang w:eastAsia="en-GB"/>
              </w:rPr>
            </w:pPr>
            <w:r w:rsidRPr="00974497">
              <w:rPr>
                <w:rFonts w:ascii="Calibri" w:eastAsia="Times New Roman" w:hAnsi="Calibri" w:cs="Calibri"/>
                <w:b/>
                <w:bCs/>
                <w:color w:val="000000"/>
                <w:lang w:eastAsia="en-GB"/>
              </w:rPr>
              <w:t>Jaguar Land Rover</w:t>
            </w:r>
          </w:p>
        </w:tc>
        <w:tc>
          <w:tcPr>
            <w:tcW w:w="1660" w:type="dxa"/>
            <w:tcBorders>
              <w:top w:val="nil"/>
              <w:left w:val="nil"/>
              <w:bottom w:val="single" w:sz="4" w:space="0" w:color="auto"/>
              <w:right w:val="single" w:sz="4" w:space="0" w:color="auto"/>
            </w:tcBorders>
            <w:shd w:val="clear" w:color="auto" w:fill="auto"/>
            <w:noWrap/>
            <w:vAlign w:val="bottom"/>
            <w:hideMark/>
          </w:tcPr>
          <w:p w14:paraId="526BA791" w14:textId="77777777" w:rsidR="00974497" w:rsidRPr="00974497" w:rsidRDefault="00974497" w:rsidP="00974497">
            <w:pPr>
              <w:spacing w:after="0" w:line="240" w:lineRule="auto"/>
              <w:rPr>
                <w:rFonts w:ascii="Calibri" w:eastAsia="Times New Roman" w:hAnsi="Calibri" w:cs="Calibri"/>
                <w:b/>
                <w:bCs/>
                <w:color w:val="000000"/>
                <w:lang w:eastAsia="en-GB"/>
              </w:rPr>
            </w:pPr>
            <w:r w:rsidRPr="00974497">
              <w:rPr>
                <w:rFonts w:ascii="Calibri" w:eastAsia="Times New Roman" w:hAnsi="Calibri" w:cs="Calibri"/>
                <w:b/>
                <w:bCs/>
                <w:color w:val="000000"/>
                <w:lang w:eastAsia="en-GB"/>
              </w:rPr>
              <w:t>Mercedes Benz</w:t>
            </w:r>
          </w:p>
        </w:tc>
        <w:tc>
          <w:tcPr>
            <w:tcW w:w="1380" w:type="dxa"/>
            <w:vMerge/>
            <w:tcBorders>
              <w:top w:val="single" w:sz="8" w:space="0" w:color="auto"/>
              <w:left w:val="single" w:sz="4" w:space="0" w:color="auto"/>
              <w:bottom w:val="single" w:sz="8" w:space="0" w:color="000000"/>
              <w:right w:val="single" w:sz="8" w:space="0" w:color="auto"/>
            </w:tcBorders>
            <w:vAlign w:val="center"/>
            <w:hideMark/>
          </w:tcPr>
          <w:p w14:paraId="0708588B" w14:textId="77777777" w:rsidR="00974497" w:rsidRPr="00974497" w:rsidRDefault="00974497" w:rsidP="00974497">
            <w:pPr>
              <w:spacing w:after="0" w:line="240" w:lineRule="auto"/>
              <w:rPr>
                <w:rFonts w:ascii="Calibri" w:eastAsia="Times New Roman" w:hAnsi="Calibri" w:cs="Calibri"/>
                <w:color w:val="000000"/>
                <w:lang w:eastAsia="en-GB"/>
              </w:rPr>
            </w:pPr>
          </w:p>
        </w:tc>
      </w:tr>
      <w:tr w:rsidR="00974497" w:rsidRPr="00974497" w14:paraId="4AADC407" w14:textId="77777777" w:rsidTr="00974497">
        <w:trPr>
          <w:trHeight w:val="315"/>
        </w:trPr>
        <w:tc>
          <w:tcPr>
            <w:tcW w:w="2040" w:type="dxa"/>
            <w:tcBorders>
              <w:top w:val="nil"/>
              <w:left w:val="single" w:sz="8" w:space="0" w:color="auto"/>
              <w:bottom w:val="single" w:sz="8" w:space="0" w:color="auto"/>
              <w:right w:val="single" w:sz="8" w:space="0" w:color="auto"/>
            </w:tcBorders>
            <w:shd w:val="clear" w:color="auto" w:fill="auto"/>
            <w:noWrap/>
            <w:vAlign w:val="bottom"/>
            <w:hideMark/>
          </w:tcPr>
          <w:p w14:paraId="498D06FF"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Year / Ratio</w:t>
            </w:r>
          </w:p>
        </w:tc>
        <w:tc>
          <w:tcPr>
            <w:tcW w:w="852" w:type="dxa"/>
            <w:tcBorders>
              <w:top w:val="nil"/>
              <w:left w:val="nil"/>
              <w:bottom w:val="single" w:sz="8" w:space="0" w:color="auto"/>
              <w:right w:val="single" w:sz="4" w:space="0" w:color="auto"/>
            </w:tcBorders>
            <w:shd w:val="clear" w:color="auto" w:fill="auto"/>
            <w:noWrap/>
            <w:vAlign w:val="bottom"/>
            <w:hideMark/>
          </w:tcPr>
          <w:p w14:paraId="42523CE7"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2014</w:t>
            </w:r>
          </w:p>
        </w:tc>
        <w:tc>
          <w:tcPr>
            <w:tcW w:w="842" w:type="dxa"/>
            <w:tcBorders>
              <w:top w:val="nil"/>
              <w:left w:val="nil"/>
              <w:bottom w:val="single" w:sz="8" w:space="0" w:color="auto"/>
              <w:right w:val="single" w:sz="4" w:space="0" w:color="auto"/>
            </w:tcBorders>
            <w:shd w:val="clear" w:color="auto" w:fill="auto"/>
            <w:noWrap/>
            <w:vAlign w:val="bottom"/>
            <w:hideMark/>
          </w:tcPr>
          <w:p w14:paraId="67F742B5"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2015</w:t>
            </w:r>
          </w:p>
        </w:tc>
        <w:tc>
          <w:tcPr>
            <w:tcW w:w="842" w:type="dxa"/>
            <w:tcBorders>
              <w:top w:val="nil"/>
              <w:left w:val="nil"/>
              <w:bottom w:val="single" w:sz="8" w:space="0" w:color="auto"/>
              <w:right w:val="single" w:sz="4" w:space="0" w:color="auto"/>
            </w:tcBorders>
            <w:shd w:val="clear" w:color="auto" w:fill="auto"/>
            <w:noWrap/>
            <w:vAlign w:val="bottom"/>
            <w:hideMark/>
          </w:tcPr>
          <w:p w14:paraId="13C6FCF6"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2016</w:t>
            </w:r>
          </w:p>
        </w:tc>
        <w:tc>
          <w:tcPr>
            <w:tcW w:w="842" w:type="dxa"/>
            <w:tcBorders>
              <w:top w:val="nil"/>
              <w:left w:val="nil"/>
              <w:bottom w:val="single" w:sz="8" w:space="0" w:color="auto"/>
              <w:right w:val="single" w:sz="4" w:space="0" w:color="auto"/>
            </w:tcBorders>
            <w:shd w:val="clear" w:color="auto" w:fill="auto"/>
            <w:noWrap/>
            <w:vAlign w:val="bottom"/>
            <w:hideMark/>
          </w:tcPr>
          <w:p w14:paraId="53E32FB9"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2017</w:t>
            </w:r>
          </w:p>
        </w:tc>
        <w:tc>
          <w:tcPr>
            <w:tcW w:w="842" w:type="dxa"/>
            <w:tcBorders>
              <w:top w:val="nil"/>
              <w:left w:val="nil"/>
              <w:bottom w:val="single" w:sz="8" w:space="0" w:color="auto"/>
              <w:right w:val="single" w:sz="4" w:space="0" w:color="auto"/>
            </w:tcBorders>
            <w:shd w:val="clear" w:color="auto" w:fill="auto"/>
            <w:noWrap/>
            <w:vAlign w:val="bottom"/>
            <w:hideMark/>
          </w:tcPr>
          <w:p w14:paraId="4DAABB8D"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2018</w:t>
            </w:r>
          </w:p>
        </w:tc>
        <w:tc>
          <w:tcPr>
            <w:tcW w:w="1660" w:type="dxa"/>
            <w:tcBorders>
              <w:top w:val="nil"/>
              <w:left w:val="nil"/>
              <w:bottom w:val="single" w:sz="8" w:space="0" w:color="auto"/>
              <w:right w:val="single" w:sz="4" w:space="0" w:color="auto"/>
            </w:tcBorders>
            <w:shd w:val="clear" w:color="auto" w:fill="auto"/>
            <w:noWrap/>
            <w:vAlign w:val="bottom"/>
            <w:hideMark/>
          </w:tcPr>
          <w:p w14:paraId="29E9E6EB"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2018</w:t>
            </w:r>
          </w:p>
        </w:tc>
        <w:tc>
          <w:tcPr>
            <w:tcW w:w="1380" w:type="dxa"/>
            <w:tcBorders>
              <w:top w:val="nil"/>
              <w:left w:val="nil"/>
              <w:bottom w:val="single" w:sz="8" w:space="0" w:color="auto"/>
              <w:right w:val="single" w:sz="8" w:space="0" w:color="auto"/>
            </w:tcBorders>
            <w:shd w:val="clear" w:color="auto" w:fill="auto"/>
            <w:noWrap/>
            <w:vAlign w:val="bottom"/>
            <w:hideMark/>
          </w:tcPr>
          <w:p w14:paraId="0D4C7EEB" w14:textId="77777777" w:rsidR="00974497" w:rsidRPr="00974497" w:rsidRDefault="00974497" w:rsidP="00974497">
            <w:pPr>
              <w:spacing w:after="0" w:line="240" w:lineRule="auto"/>
              <w:jc w:val="right"/>
              <w:rPr>
                <w:rFonts w:ascii="Calibri" w:eastAsia="Times New Roman" w:hAnsi="Calibri" w:cs="Calibri"/>
                <w:color w:val="000000"/>
                <w:lang w:eastAsia="en-GB"/>
              </w:rPr>
            </w:pPr>
            <w:r w:rsidRPr="00974497">
              <w:rPr>
                <w:rFonts w:ascii="Calibri" w:eastAsia="Times New Roman" w:hAnsi="Calibri" w:cs="Calibri"/>
                <w:color w:val="000000"/>
                <w:lang w:eastAsia="en-GB"/>
              </w:rPr>
              <w:t>2018</w:t>
            </w:r>
          </w:p>
        </w:tc>
      </w:tr>
      <w:tr w:rsidR="00974497" w:rsidRPr="00974497" w14:paraId="356C607C" w14:textId="77777777" w:rsidTr="00974497">
        <w:trPr>
          <w:trHeight w:val="300"/>
        </w:trPr>
        <w:tc>
          <w:tcPr>
            <w:tcW w:w="2040" w:type="dxa"/>
            <w:tcBorders>
              <w:top w:val="nil"/>
              <w:left w:val="single" w:sz="8" w:space="0" w:color="auto"/>
              <w:bottom w:val="single" w:sz="4" w:space="0" w:color="auto"/>
              <w:right w:val="single" w:sz="8" w:space="0" w:color="auto"/>
            </w:tcBorders>
            <w:shd w:val="clear" w:color="auto" w:fill="auto"/>
            <w:noWrap/>
            <w:vAlign w:val="bottom"/>
            <w:hideMark/>
          </w:tcPr>
          <w:p w14:paraId="07462566"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Current Ratio</w:t>
            </w:r>
          </w:p>
        </w:tc>
        <w:tc>
          <w:tcPr>
            <w:tcW w:w="852" w:type="dxa"/>
            <w:tcBorders>
              <w:top w:val="nil"/>
              <w:left w:val="nil"/>
              <w:bottom w:val="single" w:sz="4" w:space="0" w:color="auto"/>
              <w:right w:val="single" w:sz="4" w:space="0" w:color="auto"/>
            </w:tcBorders>
            <w:shd w:val="clear" w:color="auto" w:fill="auto"/>
            <w:noWrap/>
            <w:vAlign w:val="bottom"/>
            <w:hideMark/>
          </w:tcPr>
          <w:p w14:paraId="29158044"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1.18</w:t>
            </w:r>
          </w:p>
        </w:tc>
        <w:tc>
          <w:tcPr>
            <w:tcW w:w="842" w:type="dxa"/>
            <w:tcBorders>
              <w:top w:val="nil"/>
              <w:left w:val="nil"/>
              <w:bottom w:val="single" w:sz="4" w:space="0" w:color="auto"/>
              <w:right w:val="single" w:sz="4" w:space="0" w:color="auto"/>
            </w:tcBorders>
            <w:shd w:val="clear" w:color="auto" w:fill="auto"/>
            <w:noWrap/>
            <w:vAlign w:val="bottom"/>
            <w:hideMark/>
          </w:tcPr>
          <w:p w14:paraId="38E66BBF"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1.13</w:t>
            </w:r>
          </w:p>
        </w:tc>
        <w:tc>
          <w:tcPr>
            <w:tcW w:w="842" w:type="dxa"/>
            <w:tcBorders>
              <w:top w:val="nil"/>
              <w:left w:val="nil"/>
              <w:bottom w:val="single" w:sz="4" w:space="0" w:color="auto"/>
              <w:right w:val="single" w:sz="4" w:space="0" w:color="auto"/>
            </w:tcBorders>
            <w:shd w:val="clear" w:color="auto" w:fill="auto"/>
            <w:noWrap/>
            <w:vAlign w:val="bottom"/>
            <w:hideMark/>
          </w:tcPr>
          <w:p w14:paraId="7AC05D51"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1.14</w:t>
            </w:r>
          </w:p>
        </w:tc>
        <w:tc>
          <w:tcPr>
            <w:tcW w:w="842" w:type="dxa"/>
            <w:tcBorders>
              <w:top w:val="nil"/>
              <w:left w:val="nil"/>
              <w:bottom w:val="single" w:sz="4" w:space="0" w:color="auto"/>
              <w:right w:val="single" w:sz="4" w:space="0" w:color="auto"/>
            </w:tcBorders>
            <w:shd w:val="clear" w:color="auto" w:fill="auto"/>
            <w:noWrap/>
            <w:vAlign w:val="bottom"/>
            <w:hideMark/>
          </w:tcPr>
          <w:p w14:paraId="40C8F1F3"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1.08</w:t>
            </w:r>
          </w:p>
        </w:tc>
        <w:tc>
          <w:tcPr>
            <w:tcW w:w="842" w:type="dxa"/>
            <w:tcBorders>
              <w:top w:val="nil"/>
              <w:left w:val="nil"/>
              <w:bottom w:val="single" w:sz="4" w:space="0" w:color="auto"/>
              <w:right w:val="single" w:sz="4" w:space="0" w:color="auto"/>
            </w:tcBorders>
            <w:shd w:val="clear" w:color="auto" w:fill="auto"/>
            <w:noWrap/>
            <w:vAlign w:val="bottom"/>
            <w:hideMark/>
          </w:tcPr>
          <w:p w14:paraId="77F6C520"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1.02</w:t>
            </w:r>
          </w:p>
        </w:tc>
        <w:tc>
          <w:tcPr>
            <w:tcW w:w="1660" w:type="dxa"/>
            <w:tcBorders>
              <w:top w:val="nil"/>
              <w:left w:val="nil"/>
              <w:bottom w:val="single" w:sz="4" w:space="0" w:color="auto"/>
              <w:right w:val="single" w:sz="4" w:space="0" w:color="auto"/>
            </w:tcBorders>
            <w:shd w:val="clear" w:color="auto" w:fill="auto"/>
            <w:noWrap/>
            <w:vAlign w:val="bottom"/>
            <w:hideMark/>
          </w:tcPr>
          <w:p w14:paraId="50F55243"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1.24</w:t>
            </w:r>
          </w:p>
        </w:tc>
        <w:tc>
          <w:tcPr>
            <w:tcW w:w="1380" w:type="dxa"/>
            <w:tcBorders>
              <w:top w:val="nil"/>
              <w:left w:val="nil"/>
              <w:bottom w:val="single" w:sz="4" w:space="0" w:color="auto"/>
              <w:right w:val="single" w:sz="8" w:space="0" w:color="auto"/>
            </w:tcBorders>
            <w:shd w:val="clear" w:color="auto" w:fill="auto"/>
            <w:noWrap/>
            <w:vAlign w:val="bottom"/>
            <w:hideMark/>
          </w:tcPr>
          <w:p w14:paraId="6E61B512" w14:textId="77777777" w:rsidR="00974497" w:rsidRPr="00974497" w:rsidRDefault="00974497" w:rsidP="00974497">
            <w:pPr>
              <w:spacing w:after="0" w:line="240" w:lineRule="auto"/>
              <w:jc w:val="right"/>
              <w:rPr>
                <w:rFonts w:ascii="Calibri" w:eastAsia="Times New Roman" w:hAnsi="Calibri" w:cs="Calibri"/>
                <w:color w:val="000000"/>
                <w:lang w:eastAsia="en-GB"/>
              </w:rPr>
            </w:pPr>
            <w:r w:rsidRPr="00974497">
              <w:rPr>
                <w:rFonts w:ascii="Calibri" w:eastAsia="Times New Roman" w:hAnsi="Calibri" w:cs="Calibri"/>
                <w:color w:val="000000"/>
                <w:lang w:eastAsia="en-GB"/>
              </w:rPr>
              <w:t>1.05</w:t>
            </w:r>
          </w:p>
        </w:tc>
      </w:tr>
      <w:tr w:rsidR="00974497" w:rsidRPr="00974497" w14:paraId="6F872DDD" w14:textId="77777777" w:rsidTr="00974497">
        <w:trPr>
          <w:trHeight w:val="300"/>
        </w:trPr>
        <w:tc>
          <w:tcPr>
            <w:tcW w:w="2040" w:type="dxa"/>
            <w:tcBorders>
              <w:top w:val="nil"/>
              <w:left w:val="single" w:sz="8" w:space="0" w:color="auto"/>
              <w:bottom w:val="single" w:sz="4" w:space="0" w:color="auto"/>
              <w:right w:val="single" w:sz="8" w:space="0" w:color="auto"/>
            </w:tcBorders>
            <w:shd w:val="clear" w:color="auto" w:fill="auto"/>
            <w:noWrap/>
            <w:vAlign w:val="bottom"/>
            <w:hideMark/>
          </w:tcPr>
          <w:p w14:paraId="19BE5316"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Quick Ratio</w:t>
            </w:r>
          </w:p>
        </w:tc>
        <w:tc>
          <w:tcPr>
            <w:tcW w:w="852" w:type="dxa"/>
            <w:tcBorders>
              <w:top w:val="nil"/>
              <w:left w:val="nil"/>
              <w:bottom w:val="single" w:sz="4" w:space="0" w:color="auto"/>
              <w:right w:val="single" w:sz="4" w:space="0" w:color="auto"/>
            </w:tcBorders>
            <w:shd w:val="clear" w:color="auto" w:fill="auto"/>
            <w:noWrap/>
            <w:vAlign w:val="bottom"/>
            <w:hideMark/>
          </w:tcPr>
          <w:p w14:paraId="358624E5"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0.82</w:t>
            </w:r>
          </w:p>
        </w:tc>
        <w:tc>
          <w:tcPr>
            <w:tcW w:w="842" w:type="dxa"/>
            <w:tcBorders>
              <w:top w:val="nil"/>
              <w:left w:val="nil"/>
              <w:bottom w:val="single" w:sz="4" w:space="0" w:color="auto"/>
              <w:right w:val="single" w:sz="4" w:space="0" w:color="auto"/>
            </w:tcBorders>
            <w:shd w:val="clear" w:color="auto" w:fill="auto"/>
            <w:noWrap/>
            <w:vAlign w:val="bottom"/>
            <w:hideMark/>
          </w:tcPr>
          <w:p w14:paraId="76423DFA"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0.80</w:t>
            </w:r>
          </w:p>
        </w:tc>
        <w:tc>
          <w:tcPr>
            <w:tcW w:w="842" w:type="dxa"/>
            <w:tcBorders>
              <w:top w:val="nil"/>
              <w:left w:val="nil"/>
              <w:bottom w:val="single" w:sz="4" w:space="0" w:color="auto"/>
              <w:right w:val="single" w:sz="4" w:space="0" w:color="auto"/>
            </w:tcBorders>
            <w:shd w:val="clear" w:color="auto" w:fill="auto"/>
            <w:noWrap/>
            <w:vAlign w:val="bottom"/>
            <w:hideMark/>
          </w:tcPr>
          <w:p w14:paraId="6650A963"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0.80</w:t>
            </w:r>
          </w:p>
        </w:tc>
        <w:tc>
          <w:tcPr>
            <w:tcW w:w="842" w:type="dxa"/>
            <w:tcBorders>
              <w:top w:val="nil"/>
              <w:left w:val="nil"/>
              <w:bottom w:val="single" w:sz="4" w:space="0" w:color="auto"/>
              <w:right w:val="single" w:sz="4" w:space="0" w:color="auto"/>
            </w:tcBorders>
            <w:shd w:val="clear" w:color="auto" w:fill="auto"/>
            <w:noWrap/>
            <w:vAlign w:val="bottom"/>
            <w:hideMark/>
          </w:tcPr>
          <w:p w14:paraId="3F7F27B0"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0.74</w:t>
            </w:r>
          </w:p>
        </w:tc>
        <w:tc>
          <w:tcPr>
            <w:tcW w:w="842" w:type="dxa"/>
            <w:tcBorders>
              <w:top w:val="nil"/>
              <w:left w:val="nil"/>
              <w:bottom w:val="single" w:sz="4" w:space="0" w:color="auto"/>
              <w:right w:val="single" w:sz="4" w:space="0" w:color="auto"/>
            </w:tcBorders>
            <w:shd w:val="clear" w:color="auto" w:fill="auto"/>
            <w:noWrap/>
            <w:vAlign w:val="bottom"/>
            <w:hideMark/>
          </w:tcPr>
          <w:p w14:paraId="0C2253EC"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0.68</w:t>
            </w:r>
          </w:p>
        </w:tc>
        <w:tc>
          <w:tcPr>
            <w:tcW w:w="1660" w:type="dxa"/>
            <w:tcBorders>
              <w:top w:val="nil"/>
              <w:left w:val="nil"/>
              <w:bottom w:val="single" w:sz="4" w:space="0" w:color="auto"/>
              <w:right w:val="single" w:sz="4" w:space="0" w:color="auto"/>
            </w:tcBorders>
            <w:shd w:val="clear" w:color="auto" w:fill="auto"/>
            <w:noWrap/>
            <w:vAlign w:val="bottom"/>
            <w:hideMark/>
          </w:tcPr>
          <w:p w14:paraId="1BFA3511"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0.94</w:t>
            </w:r>
          </w:p>
        </w:tc>
        <w:tc>
          <w:tcPr>
            <w:tcW w:w="1380" w:type="dxa"/>
            <w:tcBorders>
              <w:top w:val="nil"/>
              <w:left w:val="nil"/>
              <w:bottom w:val="single" w:sz="4" w:space="0" w:color="auto"/>
              <w:right w:val="single" w:sz="8" w:space="0" w:color="auto"/>
            </w:tcBorders>
            <w:shd w:val="clear" w:color="auto" w:fill="auto"/>
            <w:noWrap/>
            <w:vAlign w:val="bottom"/>
            <w:hideMark/>
          </w:tcPr>
          <w:p w14:paraId="68D286B8" w14:textId="77777777" w:rsidR="00974497" w:rsidRPr="00974497" w:rsidRDefault="00974497" w:rsidP="00974497">
            <w:pPr>
              <w:spacing w:after="0" w:line="240" w:lineRule="auto"/>
              <w:jc w:val="right"/>
              <w:rPr>
                <w:rFonts w:ascii="Calibri" w:eastAsia="Times New Roman" w:hAnsi="Calibri" w:cs="Calibri"/>
                <w:color w:val="000000"/>
                <w:lang w:eastAsia="en-GB"/>
              </w:rPr>
            </w:pPr>
            <w:r w:rsidRPr="00974497">
              <w:rPr>
                <w:rFonts w:ascii="Calibri" w:eastAsia="Times New Roman" w:hAnsi="Calibri" w:cs="Calibri"/>
                <w:color w:val="000000"/>
                <w:lang w:eastAsia="en-GB"/>
              </w:rPr>
              <w:t>0.34</w:t>
            </w:r>
          </w:p>
        </w:tc>
      </w:tr>
      <w:tr w:rsidR="00974497" w:rsidRPr="00974497" w14:paraId="6C9F17AD" w14:textId="77777777" w:rsidTr="00974497">
        <w:trPr>
          <w:trHeight w:val="315"/>
        </w:trPr>
        <w:tc>
          <w:tcPr>
            <w:tcW w:w="2040" w:type="dxa"/>
            <w:tcBorders>
              <w:top w:val="nil"/>
              <w:left w:val="single" w:sz="8" w:space="0" w:color="auto"/>
              <w:bottom w:val="single" w:sz="8" w:space="0" w:color="auto"/>
              <w:right w:val="single" w:sz="8" w:space="0" w:color="auto"/>
            </w:tcBorders>
            <w:shd w:val="clear" w:color="auto" w:fill="auto"/>
            <w:noWrap/>
            <w:vAlign w:val="bottom"/>
            <w:hideMark/>
          </w:tcPr>
          <w:p w14:paraId="2FF75C24" w14:textId="77777777" w:rsidR="00974497" w:rsidRPr="00974497" w:rsidRDefault="00974497" w:rsidP="00974497">
            <w:pPr>
              <w:spacing w:after="0" w:line="240" w:lineRule="auto"/>
              <w:rPr>
                <w:rFonts w:ascii="Calibri" w:eastAsia="Times New Roman" w:hAnsi="Calibri" w:cs="Calibri"/>
                <w:color w:val="000000"/>
                <w:lang w:eastAsia="en-GB"/>
              </w:rPr>
            </w:pPr>
            <w:r w:rsidRPr="00974497">
              <w:rPr>
                <w:rFonts w:ascii="Calibri" w:eastAsia="Times New Roman" w:hAnsi="Calibri" w:cs="Calibri"/>
                <w:color w:val="000000"/>
                <w:lang w:eastAsia="en-GB"/>
              </w:rPr>
              <w:t xml:space="preserve">Cash </w:t>
            </w:r>
          </w:p>
        </w:tc>
        <w:tc>
          <w:tcPr>
            <w:tcW w:w="852" w:type="dxa"/>
            <w:tcBorders>
              <w:top w:val="nil"/>
              <w:left w:val="nil"/>
              <w:bottom w:val="single" w:sz="8" w:space="0" w:color="auto"/>
              <w:right w:val="single" w:sz="4" w:space="0" w:color="auto"/>
            </w:tcBorders>
            <w:shd w:val="clear" w:color="auto" w:fill="auto"/>
            <w:noWrap/>
            <w:vAlign w:val="bottom"/>
            <w:hideMark/>
          </w:tcPr>
          <w:p w14:paraId="3F969770"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0.37</w:t>
            </w:r>
          </w:p>
        </w:tc>
        <w:tc>
          <w:tcPr>
            <w:tcW w:w="842" w:type="dxa"/>
            <w:tcBorders>
              <w:top w:val="nil"/>
              <w:left w:val="nil"/>
              <w:bottom w:val="single" w:sz="8" w:space="0" w:color="auto"/>
              <w:right w:val="single" w:sz="4" w:space="0" w:color="auto"/>
            </w:tcBorders>
            <w:shd w:val="clear" w:color="auto" w:fill="auto"/>
            <w:noWrap/>
            <w:vAlign w:val="bottom"/>
            <w:hideMark/>
          </w:tcPr>
          <w:p w14:paraId="0F3C6CAC"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0.43</w:t>
            </w:r>
          </w:p>
        </w:tc>
        <w:tc>
          <w:tcPr>
            <w:tcW w:w="842" w:type="dxa"/>
            <w:tcBorders>
              <w:top w:val="nil"/>
              <w:left w:val="nil"/>
              <w:bottom w:val="single" w:sz="8" w:space="0" w:color="auto"/>
              <w:right w:val="single" w:sz="4" w:space="0" w:color="auto"/>
            </w:tcBorders>
            <w:shd w:val="clear" w:color="auto" w:fill="auto"/>
            <w:noWrap/>
            <w:vAlign w:val="bottom"/>
            <w:hideMark/>
          </w:tcPr>
          <w:p w14:paraId="1C21B2D1"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0.43</w:t>
            </w:r>
          </w:p>
        </w:tc>
        <w:tc>
          <w:tcPr>
            <w:tcW w:w="842" w:type="dxa"/>
            <w:tcBorders>
              <w:top w:val="nil"/>
              <w:left w:val="nil"/>
              <w:bottom w:val="single" w:sz="8" w:space="0" w:color="auto"/>
              <w:right w:val="single" w:sz="4" w:space="0" w:color="auto"/>
            </w:tcBorders>
            <w:shd w:val="clear" w:color="auto" w:fill="auto"/>
            <w:noWrap/>
            <w:vAlign w:val="bottom"/>
            <w:hideMark/>
          </w:tcPr>
          <w:p w14:paraId="53D5B578"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0.28</w:t>
            </w:r>
          </w:p>
        </w:tc>
        <w:tc>
          <w:tcPr>
            <w:tcW w:w="842" w:type="dxa"/>
            <w:tcBorders>
              <w:top w:val="nil"/>
              <w:left w:val="nil"/>
              <w:bottom w:val="single" w:sz="8" w:space="0" w:color="auto"/>
              <w:right w:val="single" w:sz="4" w:space="0" w:color="auto"/>
            </w:tcBorders>
            <w:shd w:val="clear" w:color="auto" w:fill="auto"/>
            <w:noWrap/>
            <w:vAlign w:val="bottom"/>
            <w:hideMark/>
          </w:tcPr>
          <w:p w14:paraId="489FA99D"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0.24</w:t>
            </w:r>
          </w:p>
        </w:tc>
        <w:tc>
          <w:tcPr>
            <w:tcW w:w="1660" w:type="dxa"/>
            <w:tcBorders>
              <w:top w:val="nil"/>
              <w:left w:val="nil"/>
              <w:bottom w:val="single" w:sz="8" w:space="0" w:color="auto"/>
              <w:right w:val="single" w:sz="4" w:space="0" w:color="auto"/>
            </w:tcBorders>
            <w:shd w:val="clear" w:color="auto" w:fill="auto"/>
            <w:noWrap/>
            <w:vAlign w:val="bottom"/>
            <w:hideMark/>
          </w:tcPr>
          <w:p w14:paraId="303AD0E4" w14:textId="77777777" w:rsidR="00974497" w:rsidRPr="00974497" w:rsidRDefault="00974497" w:rsidP="00974497">
            <w:pPr>
              <w:spacing w:after="0" w:line="240" w:lineRule="auto"/>
              <w:jc w:val="center"/>
              <w:rPr>
                <w:rFonts w:ascii="Calibri" w:eastAsia="Times New Roman" w:hAnsi="Calibri" w:cs="Calibri"/>
                <w:color w:val="000000"/>
                <w:lang w:eastAsia="en-GB"/>
              </w:rPr>
            </w:pPr>
            <w:r w:rsidRPr="00974497">
              <w:rPr>
                <w:rFonts w:ascii="Calibri" w:eastAsia="Times New Roman" w:hAnsi="Calibri" w:cs="Calibri"/>
                <w:color w:val="000000"/>
                <w:lang w:eastAsia="en-GB"/>
              </w:rPr>
              <w:t>0.16</w:t>
            </w:r>
          </w:p>
        </w:tc>
        <w:tc>
          <w:tcPr>
            <w:tcW w:w="1380" w:type="dxa"/>
            <w:tcBorders>
              <w:top w:val="nil"/>
              <w:left w:val="nil"/>
              <w:bottom w:val="single" w:sz="8" w:space="0" w:color="auto"/>
              <w:right w:val="single" w:sz="8" w:space="0" w:color="auto"/>
            </w:tcBorders>
            <w:shd w:val="clear" w:color="auto" w:fill="auto"/>
            <w:noWrap/>
            <w:vAlign w:val="bottom"/>
            <w:hideMark/>
          </w:tcPr>
          <w:p w14:paraId="5B6C8109" w14:textId="77777777" w:rsidR="00974497" w:rsidRPr="00974497" w:rsidRDefault="00974497" w:rsidP="00974497">
            <w:pPr>
              <w:spacing w:after="0" w:line="240" w:lineRule="auto"/>
              <w:jc w:val="right"/>
              <w:rPr>
                <w:rFonts w:ascii="Calibri" w:eastAsia="Times New Roman" w:hAnsi="Calibri" w:cs="Calibri"/>
                <w:color w:val="000000"/>
                <w:lang w:eastAsia="en-GB"/>
              </w:rPr>
            </w:pPr>
            <w:r w:rsidRPr="00974497">
              <w:rPr>
                <w:rFonts w:ascii="Calibri" w:eastAsia="Times New Roman" w:hAnsi="Calibri" w:cs="Calibri"/>
                <w:color w:val="000000"/>
                <w:lang w:eastAsia="en-GB"/>
              </w:rPr>
              <w:t>1.03</w:t>
            </w:r>
          </w:p>
        </w:tc>
      </w:tr>
    </w:tbl>
    <w:p w14:paraId="3EBEFAD8" w14:textId="77777777" w:rsidR="00CC2032" w:rsidRDefault="00CC2032" w:rsidP="00CC2032">
      <w:r>
        <w:t>Source: Author`s calculations and (auto industry market, 2019)</w:t>
      </w:r>
    </w:p>
    <w:p w14:paraId="3D46B0F1" w14:textId="4AF03666" w:rsidR="007160C3" w:rsidRDefault="007160C3" w:rsidP="00773E00"/>
    <w:p w14:paraId="7C63D08D" w14:textId="1C44B639" w:rsidR="00CC2032" w:rsidRDefault="00CC2032" w:rsidP="00773E00"/>
    <w:p w14:paraId="130F6C12" w14:textId="51B1AD54" w:rsidR="00CC2032" w:rsidRDefault="00CC2032" w:rsidP="00773E00"/>
    <w:p w14:paraId="28535199" w14:textId="77777777" w:rsidR="00CC2032" w:rsidRDefault="00CC2032" w:rsidP="00773E00"/>
    <w:p w14:paraId="3876EB25" w14:textId="51A81656" w:rsidR="00202F78" w:rsidRDefault="00202F78" w:rsidP="00202F78">
      <w:pPr>
        <w:pStyle w:val="ListParagraph"/>
        <w:numPr>
          <w:ilvl w:val="0"/>
          <w:numId w:val="11"/>
        </w:numPr>
      </w:pPr>
      <w:r>
        <w:lastRenderedPageBreak/>
        <w:t>Current Ratio</w:t>
      </w:r>
    </w:p>
    <w:p w14:paraId="386DB2B1" w14:textId="5576F8A1" w:rsidR="001C6793" w:rsidRDefault="001C6793" w:rsidP="001C6793">
      <w:r>
        <w:t xml:space="preserve">Current ratios </w:t>
      </w:r>
      <w:proofErr w:type="gramStart"/>
      <w:r>
        <w:t>is</w:t>
      </w:r>
      <w:proofErr w:type="gramEnd"/>
      <w:r>
        <w:t xml:space="preserve"> telling us if the company is straggling or nor to pay in a short period of time its liabilities with current assets. This means a higher current ratio value is showing the company is performing well.  </w:t>
      </w:r>
    </w:p>
    <w:p w14:paraId="6A582A4A" w14:textId="0E0D8A14" w:rsidR="00202F78" w:rsidRDefault="00202F78" w:rsidP="00773E00">
      <w:r>
        <w:t>Figure 8. Current Ratio Jaguar Land Rover 2014-2018</w:t>
      </w:r>
    </w:p>
    <w:p w14:paraId="0AE71BB8" w14:textId="03B39993" w:rsidR="00974497" w:rsidRDefault="00974497" w:rsidP="00773E00">
      <w:r>
        <w:rPr>
          <w:noProof/>
        </w:rPr>
        <w:drawing>
          <wp:inline distT="0" distB="0" distL="0" distR="0" wp14:anchorId="1231E82E" wp14:editId="1C3E36F4">
            <wp:extent cx="5829300" cy="2152650"/>
            <wp:effectExtent l="0" t="0" r="0" b="0"/>
            <wp:docPr id="8" name="Chart 8">
              <a:extLst xmlns:a="http://schemas.openxmlformats.org/drawingml/2006/main">
                <a:ext uri="{FF2B5EF4-FFF2-40B4-BE49-F238E27FC236}">
                  <a16:creationId xmlns:a16="http://schemas.microsoft.com/office/drawing/2014/main" id="{4506BDE8-6473-4B07-939D-FAF9521EE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FA2AEF" w14:textId="77777777" w:rsidR="00CC2032" w:rsidRDefault="00CC2032" w:rsidP="00CC2032">
      <w:r>
        <w:t>Source: Author`s calculations and (auto industry market, 2019)</w:t>
      </w:r>
    </w:p>
    <w:p w14:paraId="2231895D" w14:textId="456468E8" w:rsidR="00202F78" w:rsidRDefault="001C6793" w:rsidP="00773E00">
      <w:r>
        <w:t>Jaguar Land Rover current ratios for all 5 years is at least 1 which means the company current assets cover the actual liabilities so the level of risk in this case is acceptable by the bank for example.</w:t>
      </w:r>
    </w:p>
    <w:p w14:paraId="0D8BFB26" w14:textId="381966DF" w:rsidR="00202F78" w:rsidRDefault="00202F78" w:rsidP="00202F78">
      <w:pPr>
        <w:pStyle w:val="ListParagraph"/>
        <w:numPr>
          <w:ilvl w:val="0"/>
          <w:numId w:val="11"/>
        </w:numPr>
      </w:pPr>
      <w:r>
        <w:t>Quick Ratio</w:t>
      </w:r>
    </w:p>
    <w:p w14:paraId="418C43A4" w14:textId="65972911" w:rsidR="001C6793" w:rsidRDefault="001C6793" w:rsidP="001C6793">
      <w:pPr>
        <w:ind w:left="360"/>
      </w:pPr>
      <w:r>
        <w:t xml:space="preserve">Quick ratio is shown if the company has any assets that can be transformed in cash in a short term. The assets able to be converted in money in a short period of time are called quick assets. This ratio in the end is telling us the portion of quick assets from current assets and in this </w:t>
      </w:r>
      <w:proofErr w:type="gramStart"/>
      <w:r>
        <w:t>way</w:t>
      </w:r>
      <w:proofErr w:type="gramEnd"/>
      <w:r>
        <w:t xml:space="preserve"> we shall know if the company is able to pay off the debt or other obligations without been necessary to sale the equipment or other long term capital.</w:t>
      </w:r>
    </w:p>
    <w:p w14:paraId="617FE4E2" w14:textId="1D181510" w:rsidR="00202F78" w:rsidRDefault="00202F78" w:rsidP="00202F78">
      <w:pPr>
        <w:ind w:left="360"/>
      </w:pPr>
      <w:r>
        <w:t>Figure 9. Quick Ratio Jaguar Land Rover 2014-2019</w:t>
      </w:r>
    </w:p>
    <w:p w14:paraId="592FBEC1" w14:textId="6C659F71" w:rsidR="00974497" w:rsidRDefault="0020162C" w:rsidP="00773E00">
      <w:r>
        <w:rPr>
          <w:noProof/>
        </w:rPr>
        <w:drawing>
          <wp:inline distT="0" distB="0" distL="0" distR="0" wp14:anchorId="6A184D9D" wp14:editId="0920D011">
            <wp:extent cx="5838825" cy="2105025"/>
            <wp:effectExtent l="0" t="0" r="9525" b="9525"/>
            <wp:docPr id="9" name="Chart 9">
              <a:extLst xmlns:a="http://schemas.openxmlformats.org/drawingml/2006/main">
                <a:ext uri="{FF2B5EF4-FFF2-40B4-BE49-F238E27FC236}">
                  <a16:creationId xmlns:a16="http://schemas.microsoft.com/office/drawing/2014/main" id="{9D750708-915D-487C-B932-7BCD1CA478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0D48D44" w14:textId="77777777" w:rsidR="00CC2032" w:rsidRDefault="00CC2032" w:rsidP="00CC2032">
      <w:r>
        <w:t>Source: Author`s calculations and (auto industry market, 2019)</w:t>
      </w:r>
    </w:p>
    <w:p w14:paraId="64D829BD" w14:textId="77777777" w:rsidR="00CC2032" w:rsidRDefault="00CC2032" w:rsidP="001C6793"/>
    <w:p w14:paraId="74753D61" w14:textId="034E1068" w:rsidR="001C6793" w:rsidRDefault="001C6793" w:rsidP="001C6793">
      <w:r>
        <w:lastRenderedPageBreak/>
        <w:t xml:space="preserve">Even the Jaguar Land Rover ratios are above the industry value, unfortunately their quick assets are not enough to pay the obligations without selling long term assets.  </w:t>
      </w:r>
    </w:p>
    <w:p w14:paraId="77C799A5" w14:textId="18D2DDF2" w:rsidR="00202F78" w:rsidRDefault="00202F78" w:rsidP="001C6793">
      <w:pPr>
        <w:pStyle w:val="ListParagraph"/>
        <w:numPr>
          <w:ilvl w:val="0"/>
          <w:numId w:val="11"/>
        </w:numPr>
      </w:pPr>
      <w:r>
        <w:t>Cash</w:t>
      </w:r>
    </w:p>
    <w:p w14:paraId="6C995E95" w14:textId="13B7E100" w:rsidR="001C6793" w:rsidRDefault="001C6793" w:rsidP="001C6793">
      <w:r>
        <w:t xml:space="preserve">This ratio shows that the company </w:t>
      </w:r>
      <w:proofErr w:type="gramStart"/>
      <w:r>
        <w:t>is able to</w:t>
      </w:r>
      <w:proofErr w:type="gramEnd"/>
      <w:r>
        <w:t xml:space="preserve"> pay off the current liabilities only with cash. Cash does not </w:t>
      </w:r>
      <w:proofErr w:type="gramStart"/>
      <w:r>
        <w:t>means</w:t>
      </w:r>
      <w:proofErr w:type="gramEnd"/>
      <w:r>
        <w:t xml:space="preserve"> only cash, there could be added investments, other assets that can be transformed in cash in a short period of time.</w:t>
      </w:r>
    </w:p>
    <w:p w14:paraId="4BC1C366" w14:textId="4BDAE0F4" w:rsidR="00202F78" w:rsidRDefault="00202F78" w:rsidP="00202F78">
      <w:pPr>
        <w:ind w:left="360"/>
      </w:pPr>
      <w:r>
        <w:t xml:space="preserve">Figure 10: Cash Jaguar Land </w:t>
      </w:r>
      <w:proofErr w:type="gramStart"/>
      <w:r>
        <w:t>Rover  2014</w:t>
      </w:r>
      <w:proofErr w:type="gramEnd"/>
      <w:r>
        <w:t>-2018</w:t>
      </w:r>
    </w:p>
    <w:p w14:paraId="39147168" w14:textId="12DAFB27" w:rsidR="0020162C" w:rsidRDefault="0020162C" w:rsidP="00773E00">
      <w:r>
        <w:rPr>
          <w:noProof/>
        </w:rPr>
        <w:drawing>
          <wp:inline distT="0" distB="0" distL="0" distR="0" wp14:anchorId="4742B64D" wp14:editId="7EAF2421">
            <wp:extent cx="5991225" cy="2333625"/>
            <wp:effectExtent l="0" t="0" r="9525" b="9525"/>
            <wp:docPr id="10" name="Chart 10">
              <a:extLst xmlns:a="http://schemas.openxmlformats.org/drawingml/2006/main">
                <a:ext uri="{FF2B5EF4-FFF2-40B4-BE49-F238E27FC236}">
                  <a16:creationId xmlns:a16="http://schemas.microsoft.com/office/drawing/2014/main" id="{DC64F1AC-5E7C-4C79-B697-926C274BD9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3C5CA6" w14:textId="77777777" w:rsidR="00CC2032" w:rsidRDefault="00CC2032" w:rsidP="00CC2032">
      <w:r>
        <w:t>Source: Author`s calculations and (auto industry market, 2019)</w:t>
      </w:r>
    </w:p>
    <w:p w14:paraId="6B16E14C" w14:textId="7095DB58" w:rsidR="001C6793" w:rsidRDefault="001C6793" w:rsidP="001C6793">
      <w:pPr>
        <w:ind w:left="360"/>
      </w:pPr>
      <w:r>
        <w:t xml:space="preserve">The cash ratio of the company is below 1 and this means the company does not have enough cash to pay its current debts, and this situation is for the whole five years. </w:t>
      </w:r>
    </w:p>
    <w:p w14:paraId="75E1D58A" w14:textId="28A38203" w:rsidR="0020162C" w:rsidRDefault="00202F78" w:rsidP="001C6793">
      <w:pPr>
        <w:pStyle w:val="ListParagraph"/>
        <w:numPr>
          <w:ilvl w:val="0"/>
          <w:numId w:val="11"/>
        </w:numPr>
      </w:pPr>
      <w:r>
        <w:t xml:space="preserve">Jaguar Land Rover vs. Mercedes Benz </w:t>
      </w:r>
      <w:r w:rsidR="001C6793">
        <w:t>liquidity</w:t>
      </w:r>
      <w:r>
        <w:t xml:space="preserve"> ratios</w:t>
      </w:r>
    </w:p>
    <w:p w14:paraId="42348225" w14:textId="69DCBD0A" w:rsidR="001C6793" w:rsidRDefault="001C6793" w:rsidP="001C6793">
      <w:pPr>
        <w:ind w:left="360"/>
      </w:pPr>
      <w:r>
        <w:t xml:space="preserve">Even Mercedes Benz have more quick assets then Jaguar Land Rover, their cash is lower than Jaguar Land Rover. Both </w:t>
      </w:r>
      <w:proofErr w:type="gramStart"/>
      <w:r>
        <w:t>companies ,</w:t>
      </w:r>
      <w:proofErr w:type="gramEnd"/>
      <w:r>
        <w:t xml:space="preserve"> in 2018, on current ratio and quick ratio are above the auto market trend but on cash both need improvements.</w:t>
      </w:r>
    </w:p>
    <w:p w14:paraId="198FEEE5" w14:textId="377675A6" w:rsidR="001C6793" w:rsidRDefault="001C6793" w:rsidP="001C6793">
      <w:pPr>
        <w:ind w:left="360"/>
      </w:pPr>
      <w:r>
        <w:t>Figure 11: Liquidity Ratios Jaguar Land Rover vs. Mercedes Benz</w:t>
      </w:r>
    </w:p>
    <w:p w14:paraId="7E877943" w14:textId="464D745E" w:rsidR="0020162C" w:rsidRDefault="001C6793" w:rsidP="00773E00">
      <w:r>
        <w:rPr>
          <w:noProof/>
        </w:rPr>
        <w:drawing>
          <wp:inline distT="0" distB="0" distL="0" distR="0" wp14:anchorId="2476053B" wp14:editId="5DA4947C">
            <wp:extent cx="5731510" cy="2095500"/>
            <wp:effectExtent l="0" t="0" r="2540" b="0"/>
            <wp:docPr id="18" name="Chart 18">
              <a:extLst xmlns:a="http://schemas.openxmlformats.org/drawingml/2006/main">
                <a:ext uri="{FF2B5EF4-FFF2-40B4-BE49-F238E27FC236}">
                  <a16:creationId xmlns:a16="http://schemas.microsoft.com/office/drawing/2014/main" id="{801A4BEC-8A19-4B47-B17F-C8590D296F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BAF1D7" w14:textId="77777777" w:rsidR="00CC2032" w:rsidRDefault="00CC2032" w:rsidP="00CC2032">
      <w:r>
        <w:t>Source: Author`s calculations and (auto industry market, 2019)</w:t>
      </w:r>
    </w:p>
    <w:p w14:paraId="7C01F66A" w14:textId="77777777" w:rsidR="00202F78" w:rsidRDefault="00202F78" w:rsidP="004C32BC"/>
    <w:p w14:paraId="05CBC0BA" w14:textId="544D1B32" w:rsidR="004C32BC" w:rsidRDefault="004C32BC" w:rsidP="004C32BC">
      <w:r>
        <w:t>B.2.4. Leverage Ratios</w:t>
      </w:r>
    </w:p>
    <w:p w14:paraId="2D1942F4" w14:textId="5BE98A3B" w:rsidR="001C6793" w:rsidRDefault="001C6793" w:rsidP="004C32BC">
      <w:r>
        <w:t xml:space="preserve">Leverage ratios are telling us how much from the capital is coming from debt. Before to analyse both </w:t>
      </w:r>
      <w:proofErr w:type="gramStart"/>
      <w:r>
        <w:t>companies</w:t>
      </w:r>
      <w:proofErr w:type="gramEnd"/>
      <w:r>
        <w:t xml:space="preserve"> performance in 2018, we are going to focus over Jaguar Land Rover performance over the past five years on each ration.</w:t>
      </w:r>
    </w:p>
    <w:p w14:paraId="51B9D6B3" w14:textId="247EEF8E" w:rsidR="00A6151B" w:rsidRDefault="00F750A2" w:rsidP="00773E00">
      <w:r>
        <w:t>Tab. 11 Leverage Ratios Jaguar Land Rover vs Merc</w:t>
      </w:r>
      <w:r w:rsidR="00A12215">
        <w:t>edes Benz</w:t>
      </w:r>
    </w:p>
    <w:tbl>
      <w:tblPr>
        <w:tblW w:w="10021" w:type="dxa"/>
        <w:tblLook w:val="04A0" w:firstRow="1" w:lastRow="0" w:firstColumn="1" w:lastColumn="0" w:noHBand="0" w:noVBand="1"/>
      </w:tblPr>
      <w:tblGrid>
        <w:gridCol w:w="2440"/>
        <w:gridCol w:w="1060"/>
        <w:gridCol w:w="1060"/>
        <w:gridCol w:w="1060"/>
        <w:gridCol w:w="1060"/>
        <w:gridCol w:w="1060"/>
        <w:gridCol w:w="1241"/>
        <w:gridCol w:w="1040"/>
      </w:tblGrid>
      <w:tr w:rsidR="00F750A2" w:rsidRPr="00F750A2" w14:paraId="35C94507" w14:textId="77777777" w:rsidTr="00CC2032">
        <w:trPr>
          <w:trHeight w:val="300"/>
        </w:trPr>
        <w:tc>
          <w:tcPr>
            <w:tcW w:w="24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07C4C09"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 </w:t>
            </w:r>
          </w:p>
        </w:tc>
        <w:tc>
          <w:tcPr>
            <w:tcW w:w="5300" w:type="dxa"/>
            <w:gridSpan w:val="5"/>
            <w:tcBorders>
              <w:top w:val="single" w:sz="8" w:space="0" w:color="auto"/>
              <w:left w:val="nil"/>
              <w:bottom w:val="single" w:sz="4" w:space="0" w:color="auto"/>
              <w:right w:val="single" w:sz="4" w:space="0" w:color="auto"/>
            </w:tcBorders>
            <w:shd w:val="clear" w:color="auto" w:fill="auto"/>
            <w:noWrap/>
            <w:vAlign w:val="bottom"/>
            <w:hideMark/>
          </w:tcPr>
          <w:p w14:paraId="5B7DB0C3"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The chosen company</w:t>
            </w:r>
          </w:p>
        </w:tc>
        <w:tc>
          <w:tcPr>
            <w:tcW w:w="1241" w:type="dxa"/>
            <w:tcBorders>
              <w:top w:val="single" w:sz="8" w:space="0" w:color="auto"/>
              <w:left w:val="nil"/>
              <w:bottom w:val="single" w:sz="4" w:space="0" w:color="auto"/>
              <w:right w:val="single" w:sz="4" w:space="0" w:color="auto"/>
            </w:tcBorders>
            <w:shd w:val="clear" w:color="auto" w:fill="auto"/>
            <w:noWrap/>
            <w:vAlign w:val="bottom"/>
            <w:hideMark/>
          </w:tcPr>
          <w:p w14:paraId="7FF30B38"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Competitor</w:t>
            </w:r>
          </w:p>
        </w:tc>
        <w:tc>
          <w:tcPr>
            <w:tcW w:w="1040" w:type="dxa"/>
            <w:vMerge w:val="restart"/>
            <w:tcBorders>
              <w:top w:val="single" w:sz="8" w:space="0" w:color="auto"/>
              <w:left w:val="single" w:sz="4" w:space="0" w:color="auto"/>
              <w:bottom w:val="single" w:sz="4" w:space="0" w:color="auto"/>
              <w:right w:val="single" w:sz="8" w:space="0" w:color="auto"/>
            </w:tcBorders>
            <w:shd w:val="clear" w:color="auto" w:fill="auto"/>
            <w:vAlign w:val="bottom"/>
            <w:hideMark/>
          </w:tcPr>
          <w:p w14:paraId="2A025024"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Auto Industry Value</w:t>
            </w:r>
          </w:p>
        </w:tc>
      </w:tr>
      <w:tr w:rsidR="00F750A2" w:rsidRPr="00F750A2" w14:paraId="78AE18E9" w14:textId="77777777" w:rsidTr="00CC2032">
        <w:trPr>
          <w:trHeight w:val="600"/>
        </w:trPr>
        <w:tc>
          <w:tcPr>
            <w:tcW w:w="2440" w:type="dxa"/>
            <w:tcBorders>
              <w:top w:val="nil"/>
              <w:left w:val="single" w:sz="8" w:space="0" w:color="auto"/>
              <w:bottom w:val="single" w:sz="4" w:space="0" w:color="auto"/>
              <w:right w:val="single" w:sz="4" w:space="0" w:color="auto"/>
            </w:tcBorders>
            <w:shd w:val="clear" w:color="auto" w:fill="auto"/>
            <w:noWrap/>
            <w:vAlign w:val="bottom"/>
            <w:hideMark/>
          </w:tcPr>
          <w:p w14:paraId="0569F01E"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Company</w:t>
            </w:r>
          </w:p>
        </w:tc>
        <w:tc>
          <w:tcPr>
            <w:tcW w:w="5300" w:type="dxa"/>
            <w:gridSpan w:val="5"/>
            <w:tcBorders>
              <w:top w:val="single" w:sz="4" w:space="0" w:color="auto"/>
              <w:left w:val="nil"/>
              <w:bottom w:val="single" w:sz="4" w:space="0" w:color="auto"/>
              <w:right w:val="single" w:sz="4" w:space="0" w:color="auto"/>
            </w:tcBorders>
            <w:shd w:val="clear" w:color="auto" w:fill="auto"/>
            <w:noWrap/>
            <w:vAlign w:val="bottom"/>
            <w:hideMark/>
          </w:tcPr>
          <w:p w14:paraId="4C2D68D1"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Jaguar Land Rover</w:t>
            </w:r>
          </w:p>
        </w:tc>
        <w:tc>
          <w:tcPr>
            <w:tcW w:w="1241" w:type="dxa"/>
            <w:tcBorders>
              <w:top w:val="nil"/>
              <w:left w:val="nil"/>
              <w:bottom w:val="single" w:sz="4" w:space="0" w:color="auto"/>
              <w:right w:val="single" w:sz="4" w:space="0" w:color="auto"/>
            </w:tcBorders>
            <w:shd w:val="clear" w:color="auto" w:fill="auto"/>
            <w:vAlign w:val="bottom"/>
            <w:hideMark/>
          </w:tcPr>
          <w:p w14:paraId="051B036E"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Mercedes Benz</w:t>
            </w:r>
          </w:p>
        </w:tc>
        <w:tc>
          <w:tcPr>
            <w:tcW w:w="1040" w:type="dxa"/>
            <w:vMerge/>
            <w:tcBorders>
              <w:top w:val="single" w:sz="8" w:space="0" w:color="auto"/>
              <w:left w:val="single" w:sz="4" w:space="0" w:color="auto"/>
              <w:bottom w:val="single" w:sz="4" w:space="0" w:color="auto"/>
              <w:right w:val="single" w:sz="8" w:space="0" w:color="auto"/>
            </w:tcBorders>
            <w:vAlign w:val="center"/>
            <w:hideMark/>
          </w:tcPr>
          <w:p w14:paraId="785F3CD8" w14:textId="77777777" w:rsidR="00F750A2" w:rsidRPr="00F750A2" w:rsidRDefault="00F750A2" w:rsidP="00F750A2">
            <w:pPr>
              <w:spacing w:after="0" w:line="240" w:lineRule="auto"/>
              <w:rPr>
                <w:rFonts w:ascii="Calibri" w:eastAsia="Times New Roman" w:hAnsi="Calibri" w:cs="Calibri"/>
                <w:color w:val="000000"/>
                <w:lang w:eastAsia="en-GB"/>
              </w:rPr>
            </w:pPr>
          </w:p>
        </w:tc>
      </w:tr>
      <w:tr w:rsidR="00F750A2" w:rsidRPr="00F750A2" w14:paraId="70307681" w14:textId="77777777" w:rsidTr="00CC2032">
        <w:trPr>
          <w:trHeight w:val="315"/>
        </w:trPr>
        <w:tc>
          <w:tcPr>
            <w:tcW w:w="2440" w:type="dxa"/>
            <w:tcBorders>
              <w:top w:val="nil"/>
              <w:left w:val="single" w:sz="8" w:space="0" w:color="auto"/>
              <w:bottom w:val="single" w:sz="8" w:space="0" w:color="auto"/>
              <w:right w:val="single" w:sz="4" w:space="0" w:color="auto"/>
            </w:tcBorders>
            <w:shd w:val="clear" w:color="auto" w:fill="auto"/>
            <w:noWrap/>
            <w:vAlign w:val="bottom"/>
            <w:hideMark/>
          </w:tcPr>
          <w:p w14:paraId="49FE98F5"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Year / Ratios</w:t>
            </w:r>
          </w:p>
        </w:tc>
        <w:tc>
          <w:tcPr>
            <w:tcW w:w="1060" w:type="dxa"/>
            <w:tcBorders>
              <w:top w:val="nil"/>
              <w:left w:val="nil"/>
              <w:bottom w:val="single" w:sz="8" w:space="0" w:color="auto"/>
              <w:right w:val="single" w:sz="4" w:space="0" w:color="auto"/>
            </w:tcBorders>
            <w:shd w:val="clear" w:color="auto" w:fill="auto"/>
            <w:noWrap/>
            <w:vAlign w:val="center"/>
            <w:hideMark/>
          </w:tcPr>
          <w:p w14:paraId="473EC1A6"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2014</w:t>
            </w:r>
          </w:p>
        </w:tc>
        <w:tc>
          <w:tcPr>
            <w:tcW w:w="1060" w:type="dxa"/>
            <w:tcBorders>
              <w:top w:val="nil"/>
              <w:left w:val="nil"/>
              <w:bottom w:val="single" w:sz="8" w:space="0" w:color="auto"/>
              <w:right w:val="single" w:sz="4" w:space="0" w:color="auto"/>
            </w:tcBorders>
            <w:shd w:val="clear" w:color="auto" w:fill="auto"/>
            <w:noWrap/>
            <w:vAlign w:val="center"/>
            <w:hideMark/>
          </w:tcPr>
          <w:p w14:paraId="4D97E48E"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2015</w:t>
            </w:r>
          </w:p>
        </w:tc>
        <w:tc>
          <w:tcPr>
            <w:tcW w:w="1060" w:type="dxa"/>
            <w:tcBorders>
              <w:top w:val="nil"/>
              <w:left w:val="nil"/>
              <w:bottom w:val="single" w:sz="8" w:space="0" w:color="auto"/>
              <w:right w:val="single" w:sz="4" w:space="0" w:color="auto"/>
            </w:tcBorders>
            <w:shd w:val="clear" w:color="auto" w:fill="auto"/>
            <w:noWrap/>
            <w:vAlign w:val="center"/>
            <w:hideMark/>
          </w:tcPr>
          <w:p w14:paraId="572800F6"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2016</w:t>
            </w:r>
          </w:p>
        </w:tc>
        <w:tc>
          <w:tcPr>
            <w:tcW w:w="1060" w:type="dxa"/>
            <w:tcBorders>
              <w:top w:val="nil"/>
              <w:left w:val="nil"/>
              <w:bottom w:val="single" w:sz="8" w:space="0" w:color="auto"/>
              <w:right w:val="single" w:sz="4" w:space="0" w:color="auto"/>
            </w:tcBorders>
            <w:shd w:val="clear" w:color="auto" w:fill="auto"/>
            <w:noWrap/>
            <w:vAlign w:val="center"/>
            <w:hideMark/>
          </w:tcPr>
          <w:p w14:paraId="34B9D45B"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2017</w:t>
            </w:r>
          </w:p>
        </w:tc>
        <w:tc>
          <w:tcPr>
            <w:tcW w:w="1060" w:type="dxa"/>
            <w:tcBorders>
              <w:top w:val="nil"/>
              <w:left w:val="nil"/>
              <w:bottom w:val="single" w:sz="8" w:space="0" w:color="auto"/>
              <w:right w:val="single" w:sz="4" w:space="0" w:color="auto"/>
            </w:tcBorders>
            <w:shd w:val="clear" w:color="000000" w:fill="FFFFFF"/>
            <w:noWrap/>
            <w:vAlign w:val="center"/>
            <w:hideMark/>
          </w:tcPr>
          <w:p w14:paraId="58146B9E"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2018</w:t>
            </w:r>
          </w:p>
        </w:tc>
        <w:tc>
          <w:tcPr>
            <w:tcW w:w="1241" w:type="dxa"/>
            <w:tcBorders>
              <w:top w:val="nil"/>
              <w:left w:val="nil"/>
              <w:bottom w:val="single" w:sz="8" w:space="0" w:color="auto"/>
              <w:right w:val="single" w:sz="4" w:space="0" w:color="auto"/>
            </w:tcBorders>
            <w:shd w:val="clear" w:color="auto" w:fill="auto"/>
            <w:noWrap/>
            <w:vAlign w:val="center"/>
            <w:hideMark/>
          </w:tcPr>
          <w:p w14:paraId="22716DF5"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2018</w:t>
            </w:r>
          </w:p>
        </w:tc>
        <w:tc>
          <w:tcPr>
            <w:tcW w:w="1040" w:type="dxa"/>
            <w:tcBorders>
              <w:top w:val="nil"/>
              <w:left w:val="nil"/>
              <w:bottom w:val="single" w:sz="8" w:space="0" w:color="auto"/>
              <w:right w:val="single" w:sz="8" w:space="0" w:color="auto"/>
            </w:tcBorders>
            <w:shd w:val="clear" w:color="auto" w:fill="auto"/>
            <w:noWrap/>
            <w:vAlign w:val="center"/>
            <w:hideMark/>
          </w:tcPr>
          <w:p w14:paraId="74941682"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2018</w:t>
            </w:r>
          </w:p>
        </w:tc>
      </w:tr>
      <w:tr w:rsidR="00F750A2" w:rsidRPr="00F750A2" w14:paraId="5AB075C4" w14:textId="77777777" w:rsidTr="00CC2032">
        <w:trPr>
          <w:trHeight w:val="300"/>
        </w:trPr>
        <w:tc>
          <w:tcPr>
            <w:tcW w:w="2440" w:type="dxa"/>
            <w:tcBorders>
              <w:top w:val="nil"/>
              <w:left w:val="single" w:sz="8" w:space="0" w:color="auto"/>
              <w:bottom w:val="single" w:sz="4" w:space="0" w:color="auto"/>
              <w:right w:val="single" w:sz="4" w:space="0" w:color="auto"/>
            </w:tcBorders>
            <w:shd w:val="clear" w:color="auto" w:fill="auto"/>
            <w:vAlign w:val="bottom"/>
            <w:hideMark/>
          </w:tcPr>
          <w:p w14:paraId="0E3F27AE"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Debt-Equity Ratio</w:t>
            </w:r>
          </w:p>
        </w:tc>
        <w:tc>
          <w:tcPr>
            <w:tcW w:w="1060" w:type="dxa"/>
            <w:tcBorders>
              <w:top w:val="nil"/>
              <w:left w:val="nil"/>
              <w:bottom w:val="single" w:sz="4" w:space="0" w:color="auto"/>
              <w:right w:val="single" w:sz="4" w:space="0" w:color="auto"/>
            </w:tcBorders>
            <w:shd w:val="clear" w:color="auto" w:fill="auto"/>
            <w:vAlign w:val="center"/>
            <w:hideMark/>
          </w:tcPr>
          <w:p w14:paraId="27E1F895"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0.34</w:t>
            </w:r>
          </w:p>
        </w:tc>
        <w:tc>
          <w:tcPr>
            <w:tcW w:w="1060" w:type="dxa"/>
            <w:tcBorders>
              <w:top w:val="nil"/>
              <w:left w:val="nil"/>
              <w:bottom w:val="single" w:sz="4" w:space="0" w:color="auto"/>
              <w:right w:val="single" w:sz="4" w:space="0" w:color="auto"/>
            </w:tcBorders>
            <w:shd w:val="clear" w:color="auto" w:fill="auto"/>
            <w:vAlign w:val="center"/>
            <w:hideMark/>
          </w:tcPr>
          <w:p w14:paraId="230A32B7"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0.42</w:t>
            </w:r>
          </w:p>
        </w:tc>
        <w:tc>
          <w:tcPr>
            <w:tcW w:w="1060" w:type="dxa"/>
            <w:tcBorders>
              <w:top w:val="nil"/>
              <w:left w:val="nil"/>
              <w:bottom w:val="single" w:sz="4" w:space="0" w:color="auto"/>
              <w:right w:val="single" w:sz="4" w:space="0" w:color="auto"/>
            </w:tcBorders>
            <w:shd w:val="clear" w:color="auto" w:fill="auto"/>
            <w:vAlign w:val="center"/>
            <w:hideMark/>
          </w:tcPr>
          <w:p w14:paraId="59484E00"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0.33</w:t>
            </w:r>
          </w:p>
        </w:tc>
        <w:tc>
          <w:tcPr>
            <w:tcW w:w="1060" w:type="dxa"/>
            <w:tcBorders>
              <w:top w:val="nil"/>
              <w:left w:val="nil"/>
              <w:bottom w:val="single" w:sz="4" w:space="0" w:color="auto"/>
              <w:right w:val="single" w:sz="4" w:space="0" w:color="auto"/>
            </w:tcBorders>
            <w:shd w:val="clear" w:color="auto" w:fill="auto"/>
            <w:vAlign w:val="center"/>
            <w:hideMark/>
          </w:tcPr>
          <w:p w14:paraId="45E546B1"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0.54</w:t>
            </w:r>
          </w:p>
        </w:tc>
        <w:tc>
          <w:tcPr>
            <w:tcW w:w="1060" w:type="dxa"/>
            <w:tcBorders>
              <w:top w:val="nil"/>
              <w:left w:val="nil"/>
              <w:bottom w:val="single" w:sz="4" w:space="0" w:color="auto"/>
              <w:right w:val="single" w:sz="4" w:space="0" w:color="auto"/>
            </w:tcBorders>
            <w:shd w:val="clear" w:color="000000" w:fill="FFFFFF"/>
            <w:vAlign w:val="center"/>
            <w:hideMark/>
          </w:tcPr>
          <w:p w14:paraId="07D5D556"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0.37</w:t>
            </w:r>
          </w:p>
        </w:tc>
        <w:tc>
          <w:tcPr>
            <w:tcW w:w="1241" w:type="dxa"/>
            <w:tcBorders>
              <w:top w:val="nil"/>
              <w:left w:val="nil"/>
              <w:bottom w:val="single" w:sz="4" w:space="0" w:color="auto"/>
              <w:right w:val="single" w:sz="4" w:space="0" w:color="auto"/>
            </w:tcBorders>
            <w:shd w:val="clear" w:color="auto" w:fill="auto"/>
            <w:noWrap/>
            <w:vAlign w:val="center"/>
            <w:hideMark/>
          </w:tcPr>
          <w:p w14:paraId="31660056"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2.19</w:t>
            </w:r>
          </w:p>
        </w:tc>
        <w:tc>
          <w:tcPr>
            <w:tcW w:w="1040" w:type="dxa"/>
            <w:tcBorders>
              <w:top w:val="nil"/>
              <w:left w:val="nil"/>
              <w:bottom w:val="single" w:sz="4" w:space="0" w:color="auto"/>
              <w:right w:val="single" w:sz="8" w:space="0" w:color="auto"/>
            </w:tcBorders>
            <w:shd w:val="clear" w:color="auto" w:fill="auto"/>
            <w:vAlign w:val="center"/>
            <w:hideMark/>
          </w:tcPr>
          <w:p w14:paraId="3127B0A5"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0.40</w:t>
            </w:r>
          </w:p>
        </w:tc>
      </w:tr>
      <w:tr w:rsidR="00F750A2" w:rsidRPr="00F750A2" w14:paraId="0C29CA87" w14:textId="77777777" w:rsidTr="00CC2032">
        <w:trPr>
          <w:trHeight w:val="315"/>
        </w:trPr>
        <w:tc>
          <w:tcPr>
            <w:tcW w:w="2440" w:type="dxa"/>
            <w:tcBorders>
              <w:top w:val="nil"/>
              <w:left w:val="single" w:sz="8" w:space="0" w:color="auto"/>
              <w:bottom w:val="single" w:sz="8" w:space="0" w:color="auto"/>
              <w:right w:val="single" w:sz="4" w:space="0" w:color="auto"/>
            </w:tcBorders>
            <w:shd w:val="clear" w:color="auto" w:fill="auto"/>
            <w:noWrap/>
            <w:vAlign w:val="bottom"/>
            <w:hideMark/>
          </w:tcPr>
          <w:p w14:paraId="3EA2D983"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Debt-To- Capital Ratio</w:t>
            </w:r>
          </w:p>
        </w:tc>
        <w:tc>
          <w:tcPr>
            <w:tcW w:w="1060" w:type="dxa"/>
            <w:tcBorders>
              <w:top w:val="nil"/>
              <w:left w:val="nil"/>
              <w:bottom w:val="single" w:sz="8" w:space="0" w:color="auto"/>
              <w:right w:val="single" w:sz="4" w:space="0" w:color="auto"/>
            </w:tcBorders>
            <w:shd w:val="clear" w:color="auto" w:fill="auto"/>
            <w:noWrap/>
            <w:vAlign w:val="center"/>
            <w:hideMark/>
          </w:tcPr>
          <w:p w14:paraId="087F535B"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0.26</w:t>
            </w:r>
          </w:p>
        </w:tc>
        <w:tc>
          <w:tcPr>
            <w:tcW w:w="1060" w:type="dxa"/>
            <w:tcBorders>
              <w:top w:val="nil"/>
              <w:left w:val="nil"/>
              <w:bottom w:val="single" w:sz="8" w:space="0" w:color="auto"/>
              <w:right w:val="single" w:sz="4" w:space="0" w:color="auto"/>
            </w:tcBorders>
            <w:shd w:val="clear" w:color="auto" w:fill="auto"/>
            <w:noWrap/>
            <w:vAlign w:val="center"/>
            <w:hideMark/>
          </w:tcPr>
          <w:p w14:paraId="17AD7898"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0.30</w:t>
            </w:r>
          </w:p>
        </w:tc>
        <w:tc>
          <w:tcPr>
            <w:tcW w:w="1060" w:type="dxa"/>
            <w:tcBorders>
              <w:top w:val="nil"/>
              <w:left w:val="nil"/>
              <w:bottom w:val="single" w:sz="8" w:space="0" w:color="auto"/>
              <w:right w:val="single" w:sz="4" w:space="0" w:color="auto"/>
            </w:tcBorders>
            <w:shd w:val="clear" w:color="auto" w:fill="auto"/>
            <w:noWrap/>
            <w:vAlign w:val="center"/>
            <w:hideMark/>
          </w:tcPr>
          <w:p w14:paraId="74F80AF9"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0.25</w:t>
            </w:r>
          </w:p>
        </w:tc>
        <w:tc>
          <w:tcPr>
            <w:tcW w:w="1060" w:type="dxa"/>
            <w:tcBorders>
              <w:top w:val="nil"/>
              <w:left w:val="nil"/>
              <w:bottom w:val="single" w:sz="8" w:space="0" w:color="auto"/>
              <w:right w:val="single" w:sz="4" w:space="0" w:color="auto"/>
            </w:tcBorders>
            <w:shd w:val="clear" w:color="auto" w:fill="auto"/>
            <w:noWrap/>
            <w:vAlign w:val="center"/>
            <w:hideMark/>
          </w:tcPr>
          <w:p w14:paraId="6AC9F5A7"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0.35</w:t>
            </w:r>
          </w:p>
        </w:tc>
        <w:tc>
          <w:tcPr>
            <w:tcW w:w="1060" w:type="dxa"/>
            <w:tcBorders>
              <w:top w:val="nil"/>
              <w:left w:val="nil"/>
              <w:bottom w:val="single" w:sz="8" w:space="0" w:color="auto"/>
              <w:right w:val="single" w:sz="4" w:space="0" w:color="auto"/>
            </w:tcBorders>
            <w:shd w:val="clear" w:color="000000" w:fill="FFFFFF"/>
            <w:noWrap/>
            <w:vAlign w:val="center"/>
            <w:hideMark/>
          </w:tcPr>
          <w:p w14:paraId="60E209F7"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0.27</w:t>
            </w:r>
          </w:p>
        </w:tc>
        <w:tc>
          <w:tcPr>
            <w:tcW w:w="1241" w:type="dxa"/>
            <w:tcBorders>
              <w:top w:val="nil"/>
              <w:left w:val="nil"/>
              <w:bottom w:val="single" w:sz="8" w:space="0" w:color="auto"/>
              <w:right w:val="single" w:sz="4" w:space="0" w:color="auto"/>
            </w:tcBorders>
            <w:shd w:val="clear" w:color="auto" w:fill="auto"/>
            <w:noWrap/>
            <w:vAlign w:val="center"/>
            <w:hideMark/>
          </w:tcPr>
          <w:p w14:paraId="5AA54423" w14:textId="77777777" w:rsidR="00F750A2" w:rsidRPr="00F750A2" w:rsidRDefault="00F750A2" w:rsidP="00F750A2">
            <w:pPr>
              <w:spacing w:after="0" w:line="240" w:lineRule="auto"/>
              <w:jc w:val="center"/>
              <w:rPr>
                <w:rFonts w:ascii="Calibri" w:eastAsia="Times New Roman" w:hAnsi="Calibri" w:cs="Calibri"/>
                <w:color w:val="000000"/>
                <w:lang w:eastAsia="en-GB"/>
              </w:rPr>
            </w:pPr>
            <w:r w:rsidRPr="00F750A2">
              <w:rPr>
                <w:rFonts w:ascii="Calibri" w:eastAsia="Times New Roman" w:hAnsi="Calibri" w:cs="Calibri"/>
                <w:color w:val="000000"/>
                <w:lang w:eastAsia="en-GB"/>
              </w:rPr>
              <w:t>0.69</w:t>
            </w:r>
          </w:p>
        </w:tc>
        <w:tc>
          <w:tcPr>
            <w:tcW w:w="1040" w:type="dxa"/>
            <w:tcBorders>
              <w:top w:val="nil"/>
              <w:left w:val="nil"/>
              <w:bottom w:val="single" w:sz="8" w:space="0" w:color="auto"/>
              <w:right w:val="single" w:sz="8" w:space="0" w:color="auto"/>
            </w:tcBorders>
            <w:shd w:val="clear" w:color="auto" w:fill="auto"/>
            <w:noWrap/>
            <w:vAlign w:val="bottom"/>
            <w:hideMark/>
          </w:tcPr>
          <w:p w14:paraId="1133D2C7" w14:textId="77777777" w:rsidR="00F750A2" w:rsidRPr="00F750A2" w:rsidRDefault="00F750A2" w:rsidP="00F750A2">
            <w:pPr>
              <w:spacing w:after="0" w:line="240" w:lineRule="auto"/>
              <w:rPr>
                <w:rFonts w:ascii="Calibri" w:eastAsia="Times New Roman" w:hAnsi="Calibri" w:cs="Calibri"/>
                <w:color w:val="000000"/>
                <w:lang w:eastAsia="en-GB"/>
              </w:rPr>
            </w:pPr>
            <w:r w:rsidRPr="00F750A2">
              <w:rPr>
                <w:rFonts w:ascii="Calibri" w:eastAsia="Times New Roman" w:hAnsi="Calibri" w:cs="Calibri"/>
                <w:color w:val="000000"/>
                <w:lang w:eastAsia="en-GB"/>
              </w:rPr>
              <w:t> </w:t>
            </w:r>
          </w:p>
        </w:tc>
      </w:tr>
    </w:tbl>
    <w:p w14:paraId="59DCC562" w14:textId="77777777" w:rsidR="00CC2032" w:rsidRDefault="00CC2032" w:rsidP="00CC2032">
      <w:r>
        <w:t>Source: Author`s calculations and (auto industry market, 2019)</w:t>
      </w:r>
    </w:p>
    <w:p w14:paraId="64E3EE5C" w14:textId="4C68014B" w:rsidR="00A6151B" w:rsidRDefault="00202F78" w:rsidP="00202F78">
      <w:pPr>
        <w:pStyle w:val="ListParagraph"/>
        <w:numPr>
          <w:ilvl w:val="0"/>
          <w:numId w:val="12"/>
        </w:numPr>
      </w:pPr>
      <w:r>
        <w:t>Debt Equity Ratio</w:t>
      </w:r>
    </w:p>
    <w:p w14:paraId="4D066D0B" w14:textId="7B6909DB" w:rsidR="001C6793" w:rsidRDefault="001C6793" w:rsidP="001C6793">
      <w:r>
        <w:t>Debt Equity Ratio shown how much for the company finance are coming from creditor and investors.</w:t>
      </w:r>
    </w:p>
    <w:p w14:paraId="07AC1CD5" w14:textId="44449BB0" w:rsidR="001C6793" w:rsidRDefault="001C6793" w:rsidP="001C6793">
      <w:r>
        <w:t xml:space="preserve">The figure 12 </w:t>
      </w:r>
      <w:proofErr w:type="gramStart"/>
      <w:r>
        <w:t>is</w:t>
      </w:r>
      <w:proofErr w:type="gramEnd"/>
      <w:r>
        <w:t xml:space="preserve"> shown us in 2014,2016,2018 the assets of the company were founded by the investors. In 2018 the company invested in the new sites in Slovakia and China and this is reflected in the figures. </w:t>
      </w:r>
      <w:proofErr w:type="gramStart"/>
      <w:r>
        <w:t>Also</w:t>
      </w:r>
      <w:proofErr w:type="gramEnd"/>
      <w:r>
        <w:t xml:space="preserve"> in 2014 and 2016 had been made investments in the UK production plants. During those five years the company has proven is financially stable taken in account low debt equity values.</w:t>
      </w:r>
    </w:p>
    <w:p w14:paraId="40777F97" w14:textId="78EB15AA" w:rsidR="001C6793" w:rsidRDefault="001C6793" w:rsidP="001C6793">
      <w:r>
        <w:t>Figure 12: Debt Equity Jaguar Land Rover 2014-2018</w:t>
      </w:r>
    </w:p>
    <w:p w14:paraId="73D0AD15" w14:textId="39B073B3" w:rsidR="00A6151B" w:rsidRDefault="009E183B" w:rsidP="00773E00">
      <w:r>
        <w:rPr>
          <w:noProof/>
        </w:rPr>
        <w:drawing>
          <wp:inline distT="0" distB="0" distL="0" distR="0" wp14:anchorId="41537DAF" wp14:editId="5285BCD2">
            <wp:extent cx="6038850" cy="2247900"/>
            <wp:effectExtent l="0" t="0" r="0" b="0"/>
            <wp:docPr id="15" name="Chart 15">
              <a:extLst xmlns:a="http://schemas.openxmlformats.org/drawingml/2006/main">
                <a:ext uri="{FF2B5EF4-FFF2-40B4-BE49-F238E27FC236}">
                  <a16:creationId xmlns:a16="http://schemas.microsoft.com/office/drawing/2014/main" id="{41E8707A-A467-4246-996D-2512E51F99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58D193F" w14:textId="77777777" w:rsidR="00CC2032" w:rsidRDefault="00CC2032" w:rsidP="00CC2032">
      <w:r>
        <w:t>Source: Author`s calculations and (auto industry market, 2019)</w:t>
      </w:r>
    </w:p>
    <w:p w14:paraId="06AF522A" w14:textId="1CACAFE7" w:rsidR="001C6793" w:rsidRDefault="001C6793" w:rsidP="00CC2032">
      <w:pPr>
        <w:pStyle w:val="ListParagraph"/>
        <w:numPr>
          <w:ilvl w:val="0"/>
          <w:numId w:val="12"/>
        </w:numPr>
      </w:pPr>
      <w:r>
        <w:t xml:space="preserve">Debt to Capital Ratio </w:t>
      </w:r>
    </w:p>
    <w:p w14:paraId="61AEFC71" w14:textId="0088EA4D" w:rsidR="001C6793" w:rsidRDefault="001C6793" w:rsidP="001C6793">
      <w:r>
        <w:t xml:space="preserve">This ratio estimates the level of risk for the investors because is shown how much form daily operations are supported by debt. The values for the whole analysed period are lower </w:t>
      </w:r>
      <w:proofErr w:type="gramStart"/>
      <w:r>
        <w:t>then</w:t>
      </w:r>
      <w:proofErr w:type="gramEnd"/>
      <w:r>
        <w:t xml:space="preserve"> 1 and this means the company has a low risk and the debt are under control.</w:t>
      </w:r>
    </w:p>
    <w:p w14:paraId="237FC86B" w14:textId="5BAB3B31" w:rsidR="001B540F" w:rsidRDefault="001C6793" w:rsidP="00773E00">
      <w:r>
        <w:t>Figure 13: Debt to Capital Ratio Jaguar Land Rover 2014-2018</w:t>
      </w:r>
    </w:p>
    <w:p w14:paraId="2B06271C" w14:textId="77D033C9" w:rsidR="001B540F" w:rsidRDefault="00632EB4" w:rsidP="00773E00">
      <w:r>
        <w:rPr>
          <w:noProof/>
        </w:rPr>
        <w:drawing>
          <wp:inline distT="0" distB="0" distL="0" distR="0" wp14:anchorId="095FA404" wp14:editId="729A46FE">
            <wp:extent cx="6124575" cy="1952625"/>
            <wp:effectExtent l="0" t="0" r="9525" b="9525"/>
            <wp:docPr id="16" name="Chart 16">
              <a:extLst xmlns:a="http://schemas.openxmlformats.org/drawingml/2006/main">
                <a:ext uri="{FF2B5EF4-FFF2-40B4-BE49-F238E27FC236}">
                  <a16:creationId xmlns:a16="http://schemas.microsoft.com/office/drawing/2014/main" id="{9797C465-684A-45E3-94D5-2E909AA502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528319" w14:textId="54404D56" w:rsidR="001C6793" w:rsidRDefault="00CC2032" w:rsidP="00773E00">
      <w:r>
        <w:t>Source: Authors calculations</w:t>
      </w:r>
    </w:p>
    <w:p w14:paraId="601C63E3" w14:textId="24B2E209" w:rsidR="001C6793" w:rsidRDefault="001C6793" w:rsidP="001C6793">
      <w:pPr>
        <w:pStyle w:val="ListParagraph"/>
        <w:numPr>
          <w:ilvl w:val="0"/>
          <w:numId w:val="12"/>
        </w:numPr>
      </w:pPr>
      <w:r>
        <w:t>Jaguar Land Rover vs. Mercedes Benz comparison</w:t>
      </w:r>
    </w:p>
    <w:p w14:paraId="6598083B" w14:textId="5F5E5CC2" w:rsidR="001C6793" w:rsidRDefault="001C6793" w:rsidP="001C6793">
      <w:r>
        <w:t xml:space="preserve">Based on below figure we can say both companies present low risk over the investment and both controls well the debts taken in account the values of debt to capital ratio. </w:t>
      </w:r>
    </w:p>
    <w:p w14:paraId="74D66556" w14:textId="4295ECDA" w:rsidR="001C6793" w:rsidRDefault="001C6793" w:rsidP="001C6793">
      <w:r>
        <w:t>The situation is different when we are looking at Debt equity where Jaguar Land Rover is financially stable, low ratio, beside of Mercedes Benz that have a very high risk.</w:t>
      </w:r>
    </w:p>
    <w:p w14:paraId="63F6BC24" w14:textId="6E97D3DF" w:rsidR="001B540F" w:rsidRDefault="001C6793" w:rsidP="00773E00">
      <w:r>
        <w:t>Figure 14: Leverage Ratios Jaguar Land Rover vs Mercedes Benz</w:t>
      </w:r>
    </w:p>
    <w:p w14:paraId="0F6D6C57" w14:textId="52A2830C" w:rsidR="001B540F" w:rsidRDefault="00632EB4" w:rsidP="00773E00">
      <w:r>
        <w:rPr>
          <w:noProof/>
        </w:rPr>
        <w:drawing>
          <wp:inline distT="0" distB="0" distL="0" distR="0" wp14:anchorId="3F8A4D29" wp14:editId="6D73BE1C">
            <wp:extent cx="5629275" cy="1876425"/>
            <wp:effectExtent l="0" t="0" r="9525" b="9525"/>
            <wp:docPr id="17" name="Chart 17">
              <a:extLst xmlns:a="http://schemas.openxmlformats.org/drawingml/2006/main">
                <a:ext uri="{FF2B5EF4-FFF2-40B4-BE49-F238E27FC236}">
                  <a16:creationId xmlns:a16="http://schemas.microsoft.com/office/drawing/2014/main" id="{60065445-70B0-41C3-B9FD-D61E412829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D7F862F" w14:textId="77777777" w:rsidR="00CC2032" w:rsidRDefault="00CC2032" w:rsidP="00CC2032">
      <w:r>
        <w:t>Source: Author`s calculations and (auto industry market, 2019)</w:t>
      </w:r>
    </w:p>
    <w:p w14:paraId="5C61A01D" w14:textId="77777777" w:rsidR="007160C3" w:rsidRDefault="007160C3" w:rsidP="00773E00"/>
    <w:p w14:paraId="0CA8D53D" w14:textId="4BF8875A" w:rsidR="00773E00" w:rsidRDefault="00773E00" w:rsidP="00773E00">
      <w:r>
        <w:t>B.3 Recommendations on how to improve the financial management of the company</w:t>
      </w:r>
    </w:p>
    <w:p w14:paraId="186D70BF" w14:textId="69FA60F7" w:rsidR="00773E00" w:rsidRDefault="001C6793" w:rsidP="00773E00">
      <w:r>
        <w:t>Even in this moment UK economy is facing a huge level of unpredictable and unknown due to Brexit, Jaguar Land Rover can take some actions in order to use much better the fixed assets as well as the current assets. Another aspect that require Jaguar Land Rover management attention is the cash and quick assets, where should be found solutions to increase their portion. The uncertainty can be compensated if the company have a back up plan, more cash to manoeuvre and more quick assets that are going to help them to run even for short time in unexpected situation.</w:t>
      </w:r>
    </w:p>
    <w:p w14:paraId="58ACC530" w14:textId="0DE14C4A" w:rsidR="003E7591" w:rsidRDefault="003E7591" w:rsidP="00773E00"/>
    <w:p w14:paraId="1738744C" w14:textId="6BD25109" w:rsidR="00CC2032" w:rsidRDefault="00CC2032" w:rsidP="00773E00"/>
    <w:p w14:paraId="7E7BC6C5" w14:textId="77777777" w:rsidR="00CC2032" w:rsidRDefault="00CC2032" w:rsidP="00773E00"/>
    <w:p w14:paraId="28C53E3F" w14:textId="4566C151" w:rsidR="00773E00" w:rsidRPr="001C6793" w:rsidRDefault="00773E00" w:rsidP="00773E00">
      <w:pPr>
        <w:rPr>
          <w:b/>
          <w:bCs/>
        </w:rPr>
      </w:pPr>
      <w:r w:rsidRPr="001C6793">
        <w:rPr>
          <w:b/>
          <w:bCs/>
        </w:rPr>
        <w:t xml:space="preserve">Part C: Investments projects evaluation </w:t>
      </w:r>
    </w:p>
    <w:p w14:paraId="3579F1C4" w14:textId="157774A3" w:rsidR="00C1022D" w:rsidRPr="002C2818" w:rsidRDefault="00E76610" w:rsidP="00773E00">
      <w:pPr>
        <w:rPr>
          <w:b/>
          <w:bCs/>
        </w:rPr>
      </w:pPr>
      <w:r>
        <w:rPr>
          <w:b/>
          <w:bCs/>
        </w:rPr>
        <w:t xml:space="preserve">C.1. 1.    </w:t>
      </w:r>
      <w:r w:rsidR="00C1022D" w:rsidRPr="002C2818">
        <w:rPr>
          <w:b/>
          <w:bCs/>
        </w:rPr>
        <w:t>Pay Back Period (</w:t>
      </w:r>
      <w:r w:rsidR="0031117E" w:rsidRPr="002C2818">
        <w:rPr>
          <w:b/>
          <w:bCs/>
        </w:rPr>
        <w:t>PBP) calculation</w:t>
      </w:r>
    </w:p>
    <w:p w14:paraId="0122DD0B" w14:textId="6A971C6E" w:rsidR="001C6793" w:rsidRPr="001C6793" w:rsidRDefault="001C6793" w:rsidP="00773E00">
      <w:proofErr w:type="spellStart"/>
      <w:r w:rsidRPr="001C6793">
        <w:t>Pay back</w:t>
      </w:r>
      <w:proofErr w:type="spellEnd"/>
      <w:r w:rsidRPr="001C6793">
        <w:t xml:space="preserve"> period</w:t>
      </w:r>
      <w:r>
        <w:t xml:space="preserve"> is the time necessary to recover the made investment and shows the risk faced by the </w:t>
      </w:r>
      <w:r w:rsidR="00CC2032">
        <w:t>investor</w:t>
      </w:r>
      <w:r>
        <w:t>.</w:t>
      </w:r>
    </w:p>
    <w:p w14:paraId="0B9FFA30" w14:textId="1213153F" w:rsidR="0031117E" w:rsidRPr="00A12215" w:rsidRDefault="005D2AE9" w:rsidP="00773E00">
      <w:pPr>
        <w:rPr>
          <w:b/>
          <w:bCs/>
        </w:rPr>
      </w:pPr>
      <w:r w:rsidRPr="00A12215">
        <w:rPr>
          <w:b/>
          <w:bCs/>
        </w:rPr>
        <w:t>Project A</w:t>
      </w:r>
    </w:p>
    <w:p w14:paraId="333B912A" w14:textId="1883CC45" w:rsidR="00A12215" w:rsidRDefault="00A12215" w:rsidP="00773E00">
      <w:r>
        <w:t>Tab. 12 Pay Back Period Project A</w:t>
      </w:r>
    </w:p>
    <w:tbl>
      <w:tblPr>
        <w:tblW w:w="6080" w:type="dxa"/>
        <w:tblLook w:val="04A0" w:firstRow="1" w:lastRow="0" w:firstColumn="1" w:lastColumn="0" w:noHBand="0" w:noVBand="1"/>
      </w:tblPr>
      <w:tblGrid>
        <w:gridCol w:w="1760"/>
        <w:gridCol w:w="2800"/>
        <w:gridCol w:w="1520"/>
      </w:tblGrid>
      <w:tr w:rsidR="00D318E9" w:rsidRPr="00D318E9" w14:paraId="667CDCA8" w14:textId="77777777" w:rsidTr="00D318E9">
        <w:trPr>
          <w:trHeight w:val="315"/>
        </w:trPr>
        <w:tc>
          <w:tcPr>
            <w:tcW w:w="17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4E93555" w14:textId="77777777" w:rsidR="00D318E9" w:rsidRPr="00D318E9" w:rsidRDefault="00D318E9" w:rsidP="00D318E9">
            <w:pPr>
              <w:spacing w:after="0" w:line="240" w:lineRule="auto"/>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Year</w:t>
            </w:r>
          </w:p>
        </w:tc>
        <w:tc>
          <w:tcPr>
            <w:tcW w:w="2800" w:type="dxa"/>
            <w:tcBorders>
              <w:top w:val="single" w:sz="8" w:space="0" w:color="auto"/>
              <w:left w:val="nil"/>
              <w:bottom w:val="single" w:sz="8" w:space="0" w:color="auto"/>
              <w:right w:val="single" w:sz="4" w:space="0" w:color="auto"/>
            </w:tcBorders>
            <w:shd w:val="clear" w:color="auto" w:fill="auto"/>
            <w:noWrap/>
            <w:vAlign w:val="bottom"/>
            <w:hideMark/>
          </w:tcPr>
          <w:p w14:paraId="61AFFC82"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proofErr w:type="gramStart"/>
            <w:r w:rsidRPr="00D318E9">
              <w:rPr>
                <w:rFonts w:ascii="Calibri" w:eastAsia="Times New Roman" w:hAnsi="Calibri" w:cs="Calibri"/>
                <w:color w:val="000000"/>
                <w:lang w:eastAsia="en-GB"/>
              </w:rPr>
              <w:t>Project  A</w:t>
            </w:r>
            <w:proofErr w:type="gramEnd"/>
          </w:p>
        </w:tc>
        <w:tc>
          <w:tcPr>
            <w:tcW w:w="1520" w:type="dxa"/>
            <w:tcBorders>
              <w:top w:val="single" w:sz="8" w:space="0" w:color="auto"/>
              <w:left w:val="nil"/>
              <w:bottom w:val="single" w:sz="8" w:space="0" w:color="auto"/>
              <w:right w:val="single" w:sz="8" w:space="0" w:color="auto"/>
            </w:tcBorders>
            <w:shd w:val="clear" w:color="auto" w:fill="auto"/>
            <w:noWrap/>
            <w:vAlign w:val="bottom"/>
            <w:hideMark/>
          </w:tcPr>
          <w:p w14:paraId="3776E004" w14:textId="77777777" w:rsidR="00D318E9" w:rsidRPr="00D318E9" w:rsidRDefault="00D318E9" w:rsidP="00D318E9">
            <w:pPr>
              <w:spacing w:after="0" w:line="240" w:lineRule="auto"/>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Cumulative CF</w:t>
            </w:r>
          </w:p>
        </w:tc>
      </w:tr>
      <w:tr w:rsidR="00D318E9" w:rsidRPr="00D318E9" w14:paraId="58A9250D" w14:textId="77777777" w:rsidTr="00D318E9">
        <w:trPr>
          <w:trHeight w:val="300"/>
        </w:trPr>
        <w:tc>
          <w:tcPr>
            <w:tcW w:w="1760" w:type="dxa"/>
            <w:tcBorders>
              <w:top w:val="nil"/>
              <w:left w:val="single" w:sz="8" w:space="0" w:color="auto"/>
              <w:bottom w:val="single" w:sz="4" w:space="0" w:color="auto"/>
              <w:right w:val="single" w:sz="4" w:space="0" w:color="auto"/>
            </w:tcBorders>
            <w:shd w:val="clear" w:color="auto" w:fill="auto"/>
            <w:noWrap/>
            <w:vAlign w:val="bottom"/>
            <w:hideMark/>
          </w:tcPr>
          <w:p w14:paraId="5F2A05C0"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0</w:t>
            </w:r>
          </w:p>
        </w:tc>
        <w:tc>
          <w:tcPr>
            <w:tcW w:w="2800" w:type="dxa"/>
            <w:tcBorders>
              <w:top w:val="nil"/>
              <w:left w:val="nil"/>
              <w:bottom w:val="single" w:sz="4" w:space="0" w:color="auto"/>
              <w:right w:val="single" w:sz="4" w:space="0" w:color="auto"/>
            </w:tcBorders>
            <w:shd w:val="clear" w:color="auto" w:fill="auto"/>
            <w:noWrap/>
            <w:vAlign w:val="bottom"/>
            <w:hideMark/>
          </w:tcPr>
          <w:p w14:paraId="6A2B8617"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FF0000"/>
                <w:lang w:eastAsia="en-GB"/>
              </w:rPr>
              <w:t xml:space="preserve">-80 </w:t>
            </w:r>
          </w:p>
        </w:tc>
        <w:tc>
          <w:tcPr>
            <w:tcW w:w="1520" w:type="dxa"/>
            <w:tcBorders>
              <w:top w:val="nil"/>
              <w:left w:val="nil"/>
              <w:bottom w:val="single" w:sz="4" w:space="0" w:color="auto"/>
              <w:right w:val="single" w:sz="8" w:space="0" w:color="auto"/>
            </w:tcBorders>
            <w:shd w:val="clear" w:color="auto" w:fill="auto"/>
            <w:noWrap/>
            <w:vAlign w:val="bottom"/>
            <w:hideMark/>
          </w:tcPr>
          <w:p w14:paraId="22C41D6A" w14:textId="77777777" w:rsidR="00D318E9" w:rsidRPr="00D318E9" w:rsidRDefault="00D318E9" w:rsidP="00D318E9">
            <w:pPr>
              <w:spacing w:after="0" w:line="240" w:lineRule="auto"/>
              <w:jc w:val="right"/>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-80</w:t>
            </w:r>
          </w:p>
        </w:tc>
      </w:tr>
      <w:tr w:rsidR="00D318E9" w:rsidRPr="00D318E9" w14:paraId="2447E310" w14:textId="77777777" w:rsidTr="00D318E9">
        <w:trPr>
          <w:trHeight w:val="300"/>
        </w:trPr>
        <w:tc>
          <w:tcPr>
            <w:tcW w:w="1760" w:type="dxa"/>
            <w:tcBorders>
              <w:top w:val="nil"/>
              <w:left w:val="single" w:sz="8" w:space="0" w:color="auto"/>
              <w:bottom w:val="single" w:sz="4" w:space="0" w:color="auto"/>
              <w:right w:val="single" w:sz="4" w:space="0" w:color="auto"/>
            </w:tcBorders>
            <w:shd w:val="clear" w:color="auto" w:fill="auto"/>
            <w:noWrap/>
            <w:vAlign w:val="bottom"/>
            <w:hideMark/>
          </w:tcPr>
          <w:p w14:paraId="6BFF50BE"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1</w:t>
            </w:r>
          </w:p>
        </w:tc>
        <w:tc>
          <w:tcPr>
            <w:tcW w:w="2800" w:type="dxa"/>
            <w:tcBorders>
              <w:top w:val="nil"/>
              <w:left w:val="nil"/>
              <w:bottom w:val="single" w:sz="4" w:space="0" w:color="auto"/>
              <w:right w:val="single" w:sz="4" w:space="0" w:color="auto"/>
            </w:tcBorders>
            <w:shd w:val="clear" w:color="auto" w:fill="auto"/>
            <w:noWrap/>
            <w:vAlign w:val="bottom"/>
            <w:hideMark/>
          </w:tcPr>
          <w:p w14:paraId="3CC96DE1"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25</w:t>
            </w:r>
          </w:p>
        </w:tc>
        <w:tc>
          <w:tcPr>
            <w:tcW w:w="1520" w:type="dxa"/>
            <w:tcBorders>
              <w:top w:val="nil"/>
              <w:left w:val="nil"/>
              <w:bottom w:val="single" w:sz="4" w:space="0" w:color="auto"/>
              <w:right w:val="single" w:sz="8" w:space="0" w:color="auto"/>
            </w:tcBorders>
            <w:shd w:val="clear" w:color="auto" w:fill="auto"/>
            <w:noWrap/>
            <w:vAlign w:val="bottom"/>
            <w:hideMark/>
          </w:tcPr>
          <w:p w14:paraId="16891719" w14:textId="77777777" w:rsidR="00D318E9" w:rsidRPr="00D318E9" w:rsidRDefault="00D318E9" w:rsidP="00D318E9">
            <w:pPr>
              <w:spacing w:after="0" w:line="240" w:lineRule="auto"/>
              <w:jc w:val="right"/>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-55</w:t>
            </w:r>
          </w:p>
        </w:tc>
      </w:tr>
      <w:tr w:rsidR="00D318E9" w:rsidRPr="00D318E9" w14:paraId="72591C58" w14:textId="77777777" w:rsidTr="00D318E9">
        <w:trPr>
          <w:trHeight w:val="300"/>
        </w:trPr>
        <w:tc>
          <w:tcPr>
            <w:tcW w:w="1760" w:type="dxa"/>
            <w:tcBorders>
              <w:top w:val="nil"/>
              <w:left w:val="single" w:sz="8" w:space="0" w:color="auto"/>
              <w:bottom w:val="single" w:sz="4" w:space="0" w:color="auto"/>
              <w:right w:val="single" w:sz="4" w:space="0" w:color="auto"/>
            </w:tcBorders>
            <w:shd w:val="clear" w:color="auto" w:fill="auto"/>
            <w:noWrap/>
            <w:vAlign w:val="bottom"/>
            <w:hideMark/>
          </w:tcPr>
          <w:p w14:paraId="74DEB380"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2</w:t>
            </w:r>
          </w:p>
        </w:tc>
        <w:tc>
          <w:tcPr>
            <w:tcW w:w="2800" w:type="dxa"/>
            <w:tcBorders>
              <w:top w:val="nil"/>
              <w:left w:val="nil"/>
              <w:bottom w:val="single" w:sz="4" w:space="0" w:color="auto"/>
              <w:right w:val="single" w:sz="4" w:space="0" w:color="auto"/>
            </w:tcBorders>
            <w:shd w:val="clear" w:color="auto" w:fill="auto"/>
            <w:noWrap/>
            <w:vAlign w:val="bottom"/>
            <w:hideMark/>
          </w:tcPr>
          <w:p w14:paraId="1E993BC6"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25</w:t>
            </w:r>
          </w:p>
        </w:tc>
        <w:tc>
          <w:tcPr>
            <w:tcW w:w="1520" w:type="dxa"/>
            <w:tcBorders>
              <w:top w:val="nil"/>
              <w:left w:val="nil"/>
              <w:bottom w:val="single" w:sz="4" w:space="0" w:color="auto"/>
              <w:right w:val="single" w:sz="8" w:space="0" w:color="auto"/>
            </w:tcBorders>
            <w:shd w:val="clear" w:color="auto" w:fill="auto"/>
            <w:noWrap/>
            <w:vAlign w:val="bottom"/>
            <w:hideMark/>
          </w:tcPr>
          <w:p w14:paraId="7796E196" w14:textId="77777777" w:rsidR="00D318E9" w:rsidRPr="00D318E9" w:rsidRDefault="00D318E9" w:rsidP="00D318E9">
            <w:pPr>
              <w:spacing w:after="0" w:line="240" w:lineRule="auto"/>
              <w:jc w:val="right"/>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-30</w:t>
            </w:r>
          </w:p>
        </w:tc>
      </w:tr>
      <w:tr w:rsidR="00D318E9" w:rsidRPr="00D318E9" w14:paraId="615F5DA1" w14:textId="77777777" w:rsidTr="00D318E9">
        <w:trPr>
          <w:trHeight w:val="300"/>
        </w:trPr>
        <w:tc>
          <w:tcPr>
            <w:tcW w:w="1760" w:type="dxa"/>
            <w:tcBorders>
              <w:top w:val="nil"/>
              <w:left w:val="single" w:sz="8" w:space="0" w:color="auto"/>
              <w:bottom w:val="single" w:sz="4" w:space="0" w:color="auto"/>
              <w:right w:val="single" w:sz="4" w:space="0" w:color="auto"/>
            </w:tcBorders>
            <w:shd w:val="clear" w:color="000000" w:fill="FFFFCC"/>
            <w:noWrap/>
            <w:vAlign w:val="bottom"/>
            <w:hideMark/>
          </w:tcPr>
          <w:p w14:paraId="5FA148B0"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3</w:t>
            </w:r>
          </w:p>
        </w:tc>
        <w:tc>
          <w:tcPr>
            <w:tcW w:w="2800" w:type="dxa"/>
            <w:tcBorders>
              <w:top w:val="nil"/>
              <w:left w:val="nil"/>
              <w:bottom w:val="single" w:sz="4" w:space="0" w:color="auto"/>
              <w:right w:val="single" w:sz="4" w:space="0" w:color="auto"/>
            </w:tcBorders>
            <w:shd w:val="clear" w:color="000000" w:fill="FFFFCC"/>
            <w:noWrap/>
            <w:vAlign w:val="bottom"/>
            <w:hideMark/>
          </w:tcPr>
          <w:p w14:paraId="496E775B"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20</w:t>
            </w:r>
          </w:p>
        </w:tc>
        <w:tc>
          <w:tcPr>
            <w:tcW w:w="1520" w:type="dxa"/>
            <w:tcBorders>
              <w:top w:val="nil"/>
              <w:left w:val="nil"/>
              <w:bottom w:val="single" w:sz="4" w:space="0" w:color="auto"/>
              <w:right w:val="single" w:sz="8" w:space="0" w:color="auto"/>
            </w:tcBorders>
            <w:shd w:val="clear" w:color="000000" w:fill="FFFFCC"/>
            <w:noWrap/>
            <w:vAlign w:val="bottom"/>
            <w:hideMark/>
          </w:tcPr>
          <w:p w14:paraId="2DE5BBB8" w14:textId="77777777" w:rsidR="00D318E9" w:rsidRPr="00D318E9" w:rsidRDefault="00D318E9" w:rsidP="00D318E9">
            <w:pPr>
              <w:spacing w:after="0" w:line="240" w:lineRule="auto"/>
              <w:jc w:val="right"/>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-10</w:t>
            </w:r>
          </w:p>
        </w:tc>
      </w:tr>
      <w:tr w:rsidR="00D318E9" w:rsidRPr="00D318E9" w14:paraId="5EC77129" w14:textId="77777777" w:rsidTr="00D318E9">
        <w:trPr>
          <w:trHeight w:val="315"/>
        </w:trPr>
        <w:tc>
          <w:tcPr>
            <w:tcW w:w="1760" w:type="dxa"/>
            <w:tcBorders>
              <w:top w:val="nil"/>
              <w:left w:val="single" w:sz="8" w:space="0" w:color="auto"/>
              <w:bottom w:val="single" w:sz="8" w:space="0" w:color="auto"/>
              <w:right w:val="single" w:sz="4" w:space="0" w:color="auto"/>
            </w:tcBorders>
            <w:shd w:val="clear" w:color="000000" w:fill="FFFFCC"/>
            <w:noWrap/>
            <w:vAlign w:val="bottom"/>
            <w:hideMark/>
          </w:tcPr>
          <w:p w14:paraId="2297D6E3"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4</w:t>
            </w:r>
          </w:p>
        </w:tc>
        <w:tc>
          <w:tcPr>
            <w:tcW w:w="2800" w:type="dxa"/>
            <w:tcBorders>
              <w:top w:val="nil"/>
              <w:left w:val="nil"/>
              <w:bottom w:val="single" w:sz="8" w:space="0" w:color="auto"/>
              <w:right w:val="single" w:sz="4" w:space="0" w:color="auto"/>
            </w:tcBorders>
            <w:shd w:val="clear" w:color="000000" w:fill="FFFFCC"/>
            <w:noWrap/>
            <w:vAlign w:val="bottom"/>
            <w:hideMark/>
          </w:tcPr>
          <w:p w14:paraId="361B7D6F" w14:textId="77777777" w:rsidR="00D318E9" w:rsidRPr="00D318E9" w:rsidRDefault="00D318E9" w:rsidP="00D318E9">
            <w:pPr>
              <w:spacing w:after="0" w:line="240" w:lineRule="auto"/>
              <w:jc w:val="center"/>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55</w:t>
            </w:r>
          </w:p>
        </w:tc>
        <w:tc>
          <w:tcPr>
            <w:tcW w:w="1520" w:type="dxa"/>
            <w:tcBorders>
              <w:top w:val="nil"/>
              <w:left w:val="nil"/>
              <w:bottom w:val="single" w:sz="8" w:space="0" w:color="auto"/>
              <w:right w:val="single" w:sz="8" w:space="0" w:color="auto"/>
            </w:tcBorders>
            <w:shd w:val="clear" w:color="000000" w:fill="FFFFCC"/>
            <w:noWrap/>
            <w:vAlign w:val="bottom"/>
            <w:hideMark/>
          </w:tcPr>
          <w:p w14:paraId="57A7E34A" w14:textId="77777777" w:rsidR="00D318E9" w:rsidRPr="00D318E9" w:rsidRDefault="00D318E9" w:rsidP="00D318E9">
            <w:pPr>
              <w:spacing w:after="0" w:line="240" w:lineRule="auto"/>
              <w:jc w:val="right"/>
              <w:outlineLvl w:val="0"/>
              <w:rPr>
                <w:rFonts w:ascii="Calibri" w:eastAsia="Times New Roman" w:hAnsi="Calibri" w:cs="Calibri"/>
                <w:color w:val="000000"/>
                <w:lang w:eastAsia="en-GB"/>
              </w:rPr>
            </w:pPr>
            <w:r w:rsidRPr="00D318E9">
              <w:rPr>
                <w:rFonts w:ascii="Calibri" w:eastAsia="Times New Roman" w:hAnsi="Calibri" w:cs="Calibri"/>
                <w:color w:val="000000"/>
                <w:lang w:eastAsia="en-GB"/>
              </w:rPr>
              <w:t>45</w:t>
            </w:r>
          </w:p>
        </w:tc>
      </w:tr>
    </w:tbl>
    <w:p w14:paraId="5E7D18E5" w14:textId="77777777" w:rsidR="00324F2D" w:rsidRDefault="00324F2D" w:rsidP="00773E00"/>
    <w:p w14:paraId="5F0DBF4F" w14:textId="71477C6B" w:rsidR="005D2AE9" w:rsidRDefault="00D318E9" w:rsidP="00773E00">
      <w:r>
        <w:t xml:space="preserve"> We observe between year 3 and 4 the deficit</w:t>
      </w:r>
      <w:r w:rsidR="00604A48">
        <w:t xml:space="preserve"> (-10) changes to a surplus (+45)</w:t>
      </w:r>
      <w:r w:rsidR="00D30D73">
        <w:t xml:space="preserve">. </w:t>
      </w:r>
    </w:p>
    <w:p w14:paraId="66089BBD" w14:textId="338000CC" w:rsidR="001F5FC0" w:rsidRDefault="00D30D73" w:rsidP="00773E00">
      <w:r>
        <w:t xml:space="preserve">So the Pay Back Period= 3 years + </w:t>
      </w:r>
      <w:r w:rsidR="00FE7ACA">
        <w:t xml:space="preserve">Deficit </w:t>
      </w:r>
      <w:r w:rsidR="003B16DB">
        <w:t>(</w:t>
      </w:r>
      <w:r w:rsidR="00FE7ACA">
        <w:t>10)</w:t>
      </w:r>
      <w:proofErr w:type="gramStart"/>
      <w:r w:rsidR="00FE7ACA">
        <w:t>/(</w:t>
      </w:r>
      <w:proofErr w:type="gramEnd"/>
      <w:r w:rsidR="00FE7ACA">
        <w:t xml:space="preserve">Deficit </w:t>
      </w:r>
      <w:r w:rsidR="003B16DB">
        <w:t>(</w:t>
      </w:r>
      <w:r w:rsidR="00FE7ACA">
        <w:t>10</w:t>
      </w:r>
      <w:r w:rsidR="003B16DB">
        <w:t>)</w:t>
      </w:r>
      <w:r w:rsidR="00FE7ACA">
        <w:t>+Surplus</w:t>
      </w:r>
      <w:r w:rsidR="003B16DB">
        <w:t>(</w:t>
      </w:r>
      <w:r w:rsidR="00FE7ACA">
        <w:t>45</w:t>
      </w:r>
      <w:r w:rsidR="003B16DB">
        <w:t>)</w:t>
      </w:r>
      <w:r w:rsidR="00FE7ACA">
        <w:t>)</w:t>
      </w:r>
      <w:r w:rsidR="00F16FCD">
        <w:t xml:space="preserve"> = 3+</w:t>
      </w:r>
      <w:r w:rsidR="006A4A74">
        <w:t xml:space="preserve"> 10/55 = </w:t>
      </w:r>
      <w:r w:rsidR="00E45CE1">
        <w:t xml:space="preserve">3+ </w:t>
      </w:r>
      <w:r w:rsidR="00F16FCD">
        <w:t xml:space="preserve">0.18 </w:t>
      </w:r>
      <w:r w:rsidR="001F5FC0">
        <w:t>=3.18 years</w:t>
      </w:r>
    </w:p>
    <w:p w14:paraId="2143B683" w14:textId="53B64256" w:rsidR="001F5FC0" w:rsidRDefault="001F5FC0" w:rsidP="00773E00">
      <w:r>
        <w:t>The Pay Back Period = 3.18 years</w:t>
      </w:r>
    </w:p>
    <w:p w14:paraId="121BB2D0" w14:textId="13403887" w:rsidR="001F5FC0" w:rsidRPr="00A12215" w:rsidRDefault="001F5FC0" w:rsidP="00773E00">
      <w:pPr>
        <w:rPr>
          <w:b/>
          <w:bCs/>
        </w:rPr>
      </w:pPr>
      <w:r w:rsidRPr="00A12215">
        <w:rPr>
          <w:b/>
          <w:bCs/>
        </w:rPr>
        <w:t>Project B</w:t>
      </w:r>
    </w:p>
    <w:p w14:paraId="21C55522" w14:textId="0A826838" w:rsidR="00A12215" w:rsidRDefault="00A12215" w:rsidP="00773E00">
      <w:r>
        <w:t>Tab. 13 Pay Back Period Project B</w:t>
      </w:r>
    </w:p>
    <w:tbl>
      <w:tblPr>
        <w:tblW w:w="6949" w:type="dxa"/>
        <w:tblLook w:val="04A0" w:firstRow="1" w:lastRow="0" w:firstColumn="1" w:lastColumn="0" w:noHBand="0" w:noVBand="1"/>
      </w:tblPr>
      <w:tblGrid>
        <w:gridCol w:w="2012"/>
        <w:gridCol w:w="3200"/>
        <w:gridCol w:w="1737"/>
      </w:tblGrid>
      <w:tr w:rsidR="008D537A" w:rsidRPr="008D537A" w14:paraId="78A429CC" w14:textId="77777777" w:rsidTr="008D537A">
        <w:trPr>
          <w:trHeight w:val="324"/>
        </w:trPr>
        <w:tc>
          <w:tcPr>
            <w:tcW w:w="201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C0B6AAE" w14:textId="77777777" w:rsidR="008D537A" w:rsidRPr="008D537A" w:rsidRDefault="008D537A" w:rsidP="008D537A">
            <w:pPr>
              <w:spacing w:after="0" w:line="240" w:lineRule="auto"/>
              <w:rPr>
                <w:rFonts w:ascii="Calibri" w:eastAsia="Times New Roman" w:hAnsi="Calibri" w:cs="Calibri"/>
                <w:color w:val="000000"/>
                <w:lang w:eastAsia="en-GB"/>
              </w:rPr>
            </w:pPr>
            <w:r w:rsidRPr="008D537A">
              <w:rPr>
                <w:rFonts w:ascii="Calibri" w:eastAsia="Times New Roman" w:hAnsi="Calibri" w:cs="Calibri"/>
                <w:color w:val="000000"/>
                <w:lang w:eastAsia="en-GB"/>
              </w:rPr>
              <w:t>Year</w:t>
            </w:r>
          </w:p>
        </w:tc>
        <w:tc>
          <w:tcPr>
            <w:tcW w:w="3200" w:type="dxa"/>
            <w:tcBorders>
              <w:top w:val="single" w:sz="8" w:space="0" w:color="auto"/>
              <w:left w:val="nil"/>
              <w:bottom w:val="single" w:sz="8" w:space="0" w:color="auto"/>
              <w:right w:val="single" w:sz="4" w:space="0" w:color="auto"/>
            </w:tcBorders>
            <w:shd w:val="clear" w:color="auto" w:fill="auto"/>
            <w:noWrap/>
            <w:vAlign w:val="bottom"/>
            <w:hideMark/>
          </w:tcPr>
          <w:p w14:paraId="4D085067" w14:textId="77777777" w:rsidR="008D537A" w:rsidRPr="008D537A" w:rsidRDefault="008D537A" w:rsidP="008D537A">
            <w:pPr>
              <w:spacing w:after="0" w:line="240" w:lineRule="auto"/>
              <w:jc w:val="center"/>
              <w:rPr>
                <w:rFonts w:ascii="Calibri" w:eastAsia="Times New Roman" w:hAnsi="Calibri" w:cs="Calibri"/>
                <w:color w:val="000000"/>
                <w:lang w:eastAsia="en-GB"/>
              </w:rPr>
            </w:pPr>
            <w:proofErr w:type="gramStart"/>
            <w:r w:rsidRPr="008D537A">
              <w:rPr>
                <w:rFonts w:ascii="Calibri" w:eastAsia="Times New Roman" w:hAnsi="Calibri" w:cs="Calibri"/>
                <w:color w:val="000000"/>
                <w:lang w:eastAsia="en-GB"/>
              </w:rPr>
              <w:t>Project  B</w:t>
            </w:r>
            <w:proofErr w:type="gramEnd"/>
          </w:p>
        </w:tc>
        <w:tc>
          <w:tcPr>
            <w:tcW w:w="1737" w:type="dxa"/>
            <w:tcBorders>
              <w:top w:val="single" w:sz="8" w:space="0" w:color="auto"/>
              <w:left w:val="nil"/>
              <w:bottom w:val="single" w:sz="8" w:space="0" w:color="auto"/>
              <w:right w:val="single" w:sz="8" w:space="0" w:color="auto"/>
            </w:tcBorders>
            <w:shd w:val="clear" w:color="auto" w:fill="auto"/>
            <w:noWrap/>
            <w:vAlign w:val="bottom"/>
            <w:hideMark/>
          </w:tcPr>
          <w:p w14:paraId="53016C4A" w14:textId="77777777" w:rsidR="008D537A" w:rsidRPr="008D537A" w:rsidRDefault="008D537A" w:rsidP="008D537A">
            <w:pPr>
              <w:spacing w:after="0" w:line="240" w:lineRule="auto"/>
              <w:rPr>
                <w:rFonts w:ascii="Calibri" w:eastAsia="Times New Roman" w:hAnsi="Calibri" w:cs="Calibri"/>
                <w:color w:val="000000"/>
                <w:lang w:eastAsia="en-GB"/>
              </w:rPr>
            </w:pPr>
            <w:r w:rsidRPr="008D537A">
              <w:rPr>
                <w:rFonts w:ascii="Calibri" w:eastAsia="Times New Roman" w:hAnsi="Calibri" w:cs="Calibri"/>
                <w:color w:val="000000"/>
                <w:lang w:eastAsia="en-GB"/>
              </w:rPr>
              <w:t>Cumulative CF</w:t>
            </w:r>
          </w:p>
        </w:tc>
      </w:tr>
      <w:tr w:rsidR="008D537A" w:rsidRPr="008D537A" w14:paraId="63C0DB61" w14:textId="77777777" w:rsidTr="008D537A">
        <w:trPr>
          <w:trHeight w:val="309"/>
        </w:trPr>
        <w:tc>
          <w:tcPr>
            <w:tcW w:w="2012" w:type="dxa"/>
            <w:tcBorders>
              <w:top w:val="nil"/>
              <w:left w:val="single" w:sz="8" w:space="0" w:color="auto"/>
              <w:bottom w:val="single" w:sz="4" w:space="0" w:color="auto"/>
              <w:right w:val="single" w:sz="4" w:space="0" w:color="auto"/>
            </w:tcBorders>
            <w:shd w:val="clear" w:color="auto" w:fill="auto"/>
            <w:noWrap/>
            <w:vAlign w:val="bottom"/>
            <w:hideMark/>
          </w:tcPr>
          <w:p w14:paraId="4CE46BEC"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0</w:t>
            </w:r>
          </w:p>
        </w:tc>
        <w:tc>
          <w:tcPr>
            <w:tcW w:w="3200" w:type="dxa"/>
            <w:tcBorders>
              <w:top w:val="nil"/>
              <w:left w:val="nil"/>
              <w:bottom w:val="single" w:sz="4" w:space="0" w:color="auto"/>
              <w:right w:val="single" w:sz="4" w:space="0" w:color="auto"/>
            </w:tcBorders>
            <w:shd w:val="clear" w:color="auto" w:fill="auto"/>
            <w:noWrap/>
            <w:vAlign w:val="bottom"/>
            <w:hideMark/>
          </w:tcPr>
          <w:p w14:paraId="720D1D77"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FF0000"/>
                <w:lang w:eastAsia="en-GB"/>
              </w:rPr>
              <w:t xml:space="preserve">-75 </w:t>
            </w:r>
          </w:p>
        </w:tc>
        <w:tc>
          <w:tcPr>
            <w:tcW w:w="1737" w:type="dxa"/>
            <w:tcBorders>
              <w:top w:val="nil"/>
              <w:left w:val="nil"/>
              <w:bottom w:val="single" w:sz="4" w:space="0" w:color="auto"/>
              <w:right w:val="single" w:sz="8" w:space="0" w:color="auto"/>
            </w:tcBorders>
            <w:shd w:val="clear" w:color="auto" w:fill="auto"/>
            <w:noWrap/>
            <w:vAlign w:val="bottom"/>
            <w:hideMark/>
          </w:tcPr>
          <w:p w14:paraId="7C304B2C" w14:textId="77777777" w:rsidR="008D537A" w:rsidRPr="008D537A" w:rsidRDefault="008D537A" w:rsidP="008D537A">
            <w:pPr>
              <w:spacing w:after="0" w:line="240" w:lineRule="auto"/>
              <w:jc w:val="right"/>
              <w:rPr>
                <w:rFonts w:ascii="Calibri" w:eastAsia="Times New Roman" w:hAnsi="Calibri" w:cs="Calibri"/>
                <w:color w:val="000000"/>
                <w:lang w:eastAsia="en-GB"/>
              </w:rPr>
            </w:pPr>
            <w:r w:rsidRPr="008D537A">
              <w:rPr>
                <w:rFonts w:ascii="Calibri" w:eastAsia="Times New Roman" w:hAnsi="Calibri" w:cs="Calibri"/>
                <w:color w:val="000000"/>
                <w:lang w:eastAsia="en-GB"/>
              </w:rPr>
              <w:t>-75</w:t>
            </w:r>
          </w:p>
        </w:tc>
      </w:tr>
      <w:tr w:rsidR="008D537A" w:rsidRPr="008D537A" w14:paraId="1BD9797F" w14:textId="77777777" w:rsidTr="008D537A">
        <w:trPr>
          <w:trHeight w:val="309"/>
        </w:trPr>
        <w:tc>
          <w:tcPr>
            <w:tcW w:w="2012" w:type="dxa"/>
            <w:tcBorders>
              <w:top w:val="nil"/>
              <w:left w:val="single" w:sz="8" w:space="0" w:color="auto"/>
              <w:bottom w:val="single" w:sz="4" w:space="0" w:color="auto"/>
              <w:right w:val="single" w:sz="4" w:space="0" w:color="auto"/>
            </w:tcBorders>
            <w:shd w:val="clear" w:color="auto" w:fill="auto"/>
            <w:noWrap/>
            <w:vAlign w:val="bottom"/>
            <w:hideMark/>
          </w:tcPr>
          <w:p w14:paraId="78AD16F0"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1</w:t>
            </w:r>
          </w:p>
        </w:tc>
        <w:tc>
          <w:tcPr>
            <w:tcW w:w="3200" w:type="dxa"/>
            <w:tcBorders>
              <w:top w:val="nil"/>
              <w:left w:val="nil"/>
              <w:bottom w:val="single" w:sz="4" w:space="0" w:color="auto"/>
              <w:right w:val="single" w:sz="4" w:space="0" w:color="auto"/>
            </w:tcBorders>
            <w:shd w:val="clear" w:color="auto" w:fill="auto"/>
            <w:noWrap/>
            <w:vAlign w:val="bottom"/>
            <w:hideMark/>
          </w:tcPr>
          <w:p w14:paraId="2355FB50"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50</w:t>
            </w:r>
          </w:p>
        </w:tc>
        <w:tc>
          <w:tcPr>
            <w:tcW w:w="1737" w:type="dxa"/>
            <w:tcBorders>
              <w:top w:val="nil"/>
              <w:left w:val="nil"/>
              <w:bottom w:val="single" w:sz="4" w:space="0" w:color="auto"/>
              <w:right w:val="single" w:sz="8" w:space="0" w:color="auto"/>
            </w:tcBorders>
            <w:shd w:val="clear" w:color="auto" w:fill="auto"/>
            <w:noWrap/>
            <w:vAlign w:val="bottom"/>
            <w:hideMark/>
          </w:tcPr>
          <w:p w14:paraId="3496E4EF" w14:textId="77777777" w:rsidR="008D537A" w:rsidRPr="008D537A" w:rsidRDefault="008D537A" w:rsidP="008D537A">
            <w:pPr>
              <w:spacing w:after="0" w:line="240" w:lineRule="auto"/>
              <w:jc w:val="right"/>
              <w:rPr>
                <w:rFonts w:ascii="Calibri" w:eastAsia="Times New Roman" w:hAnsi="Calibri" w:cs="Calibri"/>
                <w:color w:val="000000"/>
                <w:lang w:eastAsia="en-GB"/>
              </w:rPr>
            </w:pPr>
            <w:r w:rsidRPr="008D537A">
              <w:rPr>
                <w:rFonts w:ascii="Calibri" w:eastAsia="Times New Roman" w:hAnsi="Calibri" w:cs="Calibri"/>
                <w:color w:val="000000"/>
                <w:lang w:eastAsia="en-GB"/>
              </w:rPr>
              <w:t>-25</w:t>
            </w:r>
          </w:p>
        </w:tc>
      </w:tr>
      <w:tr w:rsidR="008D537A" w:rsidRPr="008D537A" w14:paraId="2FC11C7E" w14:textId="77777777" w:rsidTr="008D537A">
        <w:trPr>
          <w:trHeight w:val="309"/>
        </w:trPr>
        <w:tc>
          <w:tcPr>
            <w:tcW w:w="2012" w:type="dxa"/>
            <w:tcBorders>
              <w:top w:val="nil"/>
              <w:left w:val="single" w:sz="8" w:space="0" w:color="auto"/>
              <w:bottom w:val="single" w:sz="4" w:space="0" w:color="auto"/>
              <w:right w:val="single" w:sz="4" w:space="0" w:color="auto"/>
            </w:tcBorders>
            <w:shd w:val="clear" w:color="000000" w:fill="FFFFCC"/>
            <w:noWrap/>
            <w:vAlign w:val="bottom"/>
            <w:hideMark/>
          </w:tcPr>
          <w:p w14:paraId="0116BA5B"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2</w:t>
            </w:r>
          </w:p>
        </w:tc>
        <w:tc>
          <w:tcPr>
            <w:tcW w:w="3200" w:type="dxa"/>
            <w:tcBorders>
              <w:top w:val="nil"/>
              <w:left w:val="nil"/>
              <w:bottom w:val="single" w:sz="4" w:space="0" w:color="auto"/>
              <w:right w:val="single" w:sz="4" w:space="0" w:color="auto"/>
            </w:tcBorders>
            <w:shd w:val="clear" w:color="000000" w:fill="FFFFCC"/>
            <w:noWrap/>
            <w:vAlign w:val="bottom"/>
            <w:hideMark/>
          </w:tcPr>
          <w:p w14:paraId="5FF7F7E5"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20</w:t>
            </w:r>
          </w:p>
        </w:tc>
        <w:tc>
          <w:tcPr>
            <w:tcW w:w="1737" w:type="dxa"/>
            <w:tcBorders>
              <w:top w:val="nil"/>
              <w:left w:val="nil"/>
              <w:bottom w:val="single" w:sz="4" w:space="0" w:color="auto"/>
              <w:right w:val="single" w:sz="8" w:space="0" w:color="auto"/>
            </w:tcBorders>
            <w:shd w:val="clear" w:color="000000" w:fill="FFFFCC"/>
            <w:noWrap/>
            <w:vAlign w:val="bottom"/>
            <w:hideMark/>
          </w:tcPr>
          <w:p w14:paraId="46EDE6EE" w14:textId="77777777" w:rsidR="008D537A" w:rsidRPr="008D537A" w:rsidRDefault="008D537A" w:rsidP="008D537A">
            <w:pPr>
              <w:spacing w:after="0" w:line="240" w:lineRule="auto"/>
              <w:jc w:val="right"/>
              <w:rPr>
                <w:rFonts w:ascii="Calibri" w:eastAsia="Times New Roman" w:hAnsi="Calibri" w:cs="Calibri"/>
                <w:color w:val="000000"/>
                <w:lang w:eastAsia="en-GB"/>
              </w:rPr>
            </w:pPr>
            <w:r w:rsidRPr="008D537A">
              <w:rPr>
                <w:rFonts w:ascii="Calibri" w:eastAsia="Times New Roman" w:hAnsi="Calibri" w:cs="Calibri"/>
                <w:color w:val="000000"/>
                <w:lang w:eastAsia="en-GB"/>
              </w:rPr>
              <w:t>-5</w:t>
            </w:r>
          </w:p>
        </w:tc>
      </w:tr>
      <w:tr w:rsidR="008D537A" w:rsidRPr="008D537A" w14:paraId="78E3A4BE" w14:textId="77777777" w:rsidTr="008D537A">
        <w:trPr>
          <w:trHeight w:val="309"/>
        </w:trPr>
        <w:tc>
          <w:tcPr>
            <w:tcW w:w="2012" w:type="dxa"/>
            <w:tcBorders>
              <w:top w:val="nil"/>
              <w:left w:val="single" w:sz="8" w:space="0" w:color="auto"/>
              <w:bottom w:val="single" w:sz="4" w:space="0" w:color="auto"/>
              <w:right w:val="single" w:sz="4" w:space="0" w:color="auto"/>
            </w:tcBorders>
            <w:shd w:val="clear" w:color="000000" w:fill="FFFFCC"/>
            <w:noWrap/>
            <w:vAlign w:val="bottom"/>
            <w:hideMark/>
          </w:tcPr>
          <w:p w14:paraId="1E6ED40F"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3</w:t>
            </w:r>
          </w:p>
        </w:tc>
        <w:tc>
          <w:tcPr>
            <w:tcW w:w="3200" w:type="dxa"/>
            <w:tcBorders>
              <w:top w:val="nil"/>
              <w:left w:val="nil"/>
              <w:bottom w:val="single" w:sz="4" w:space="0" w:color="auto"/>
              <w:right w:val="single" w:sz="4" w:space="0" w:color="auto"/>
            </w:tcBorders>
            <w:shd w:val="clear" w:color="000000" w:fill="FFFFCC"/>
            <w:noWrap/>
            <w:vAlign w:val="bottom"/>
            <w:hideMark/>
          </w:tcPr>
          <w:p w14:paraId="1CCA0577"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20</w:t>
            </w:r>
          </w:p>
        </w:tc>
        <w:tc>
          <w:tcPr>
            <w:tcW w:w="1737" w:type="dxa"/>
            <w:tcBorders>
              <w:top w:val="nil"/>
              <w:left w:val="nil"/>
              <w:bottom w:val="single" w:sz="4" w:space="0" w:color="auto"/>
              <w:right w:val="single" w:sz="8" w:space="0" w:color="auto"/>
            </w:tcBorders>
            <w:shd w:val="clear" w:color="000000" w:fill="FFFFCC"/>
            <w:noWrap/>
            <w:vAlign w:val="bottom"/>
            <w:hideMark/>
          </w:tcPr>
          <w:p w14:paraId="0D405AAF" w14:textId="77777777" w:rsidR="008D537A" w:rsidRPr="008D537A" w:rsidRDefault="008D537A" w:rsidP="008D537A">
            <w:pPr>
              <w:spacing w:after="0" w:line="240" w:lineRule="auto"/>
              <w:jc w:val="right"/>
              <w:rPr>
                <w:rFonts w:ascii="Calibri" w:eastAsia="Times New Roman" w:hAnsi="Calibri" w:cs="Calibri"/>
                <w:color w:val="000000"/>
                <w:lang w:eastAsia="en-GB"/>
              </w:rPr>
            </w:pPr>
            <w:r w:rsidRPr="008D537A">
              <w:rPr>
                <w:rFonts w:ascii="Calibri" w:eastAsia="Times New Roman" w:hAnsi="Calibri" w:cs="Calibri"/>
                <w:color w:val="000000"/>
                <w:lang w:eastAsia="en-GB"/>
              </w:rPr>
              <w:t>15</w:t>
            </w:r>
          </w:p>
        </w:tc>
      </w:tr>
      <w:tr w:rsidR="008D537A" w:rsidRPr="008D537A" w14:paraId="5B942749" w14:textId="77777777" w:rsidTr="008D537A">
        <w:trPr>
          <w:trHeight w:val="324"/>
        </w:trPr>
        <w:tc>
          <w:tcPr>
            <w:tcW w:w="2012" w:type="dxa"/>
            <w:tcBorders>
              <w:top w:val="nil"/>
              <w:left w:val="single" w:sz="8" w:space="0" w:color="auto"/>
              <w:bottom w:val="single" w:sz="8" w:space="0" w:color="auto"/>
              <w:right w:val="single" w:sz="4" w:space="0" w:color="auto"/>
            </w:tcBorders>
            <w:shd w:val="clear" w:color="auto" w:fill="auto"/>
            <w:noWrap/>
            <w:vAlign w:val="bottom"/>
            <w:hideMark/>
          </w:tcPr>
          <w:p w14:paraId="5033FD91"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4</w:t>
            </w:r>
          </w:p>
        </w:tc>
        <w:tc>
          <w:tcPr>
            <w:tcW w:w="3200" w:type="dxa"/>
            <w:tcBorders>
              <w:top w:val="nil"/>
              <w:left w:val="nil"/>
              <w:bottom w:val="single" w:sz="8" w:space="0" w:color="auto"/>
              <w:right w:val="single" w:sz="4" w:space="0" w:color="auto"/>
            </w:tcBorders>
            <w:shd w:val="clear" w:color="auto" w:fill="auto"/>
            <w:noWrap/>
            <w:vAlign w:val="bottom"/>
            <w:hideMark/>
          </w:tcPr>
          <w:p w14:paraId="759376EB" w14:textId="77777777" w:rsidR="008D537A" w:rsidRPr="008D537A" w:rsidRDefault="008D537A" w:rsidP="008D537A">
            <w:pPr>
              <w:spacing w:after="0" w:line="240" w:lineRule="auto"/>
              <w:jc w:val="center"/>
              <w:rPr>
                <w:rFonts w:ascii="Calibri" w:eastAsia="Times New Roman" w:hAnsi="Calibri" w:cs="Calibri"/>
                <w:color w:val="000000"/>
                <w:lang w:eastAsia="en-GB"/>
              </w:rPr>
            </w:pPr>
            <w:r w:rsidRPr="008D537A">
              <w:rPr>
                <w:rFonts w:ascii="Calibri" w:eastAsia="Times New Roman" w:hAnsi="Calibri" w:cs="Calibri"/>
                <w:color w:val="000000"/>
                <w:lang w:eastAsia="en-GB"/>
              </w:rPr>
              <w:t>20</w:t>
            </w:r>
          </w:p>
        </w:tc>
        <w:tc>
          <w:tcPr>
            <w:tcW w:w="1737" w:type="dxa"/>
            <w:tcBorders>
              <w:top w:val="nil"/>
              <w:left w:val="nil"/>
              <w:bottom w:val="single" w:sz="8" w:space="0" w:color="auto"/>
              <w:right w:val="single" w:sz="8" w:space="0" w:color="auto"/>
            </w:tcBorders>
            <w:shd w:val="clear" w:color="auto" w:fill="auto"/>
            <w:noWrap/>
            <w:vAlign w:val="bottom"/>
            <w:hideMark/>
          </w:tcPr>
          <w:p w14:paraId="35460E02" w14:textId="77777777" w:rsidR="008D537A" w:rsidRPr="008D537A" w:rsidRDefault="008D537A" w:rsidP="008D537A">
            <w:pPr>
              <w:spacing w:after="0" w:line="240" w:lineRule="auto"/>
              <w:jc w:val="right"/>
              <w:rPr>
                <w:rFonts w:ascii="Calibri" w:eastAsia="Times New Roman" w:hAnsi="Calibri" w:cs="Calibri"/>
                <w:color w:val="000000"/>
                <w:lang w:eastAsia="en-GB"/>
              </w:rPr>
            </w:pPr>
            <w:r w:rsidRPr="008D537A">
              <w:rPr>
                <w:rFonts w:ascii="Calibri" w:eastAsia="Times New Roman" w:hAnsi="Calibri" w:cs="Calibri"/>
                <w:color w:val="000000"/>
                <w:lang w:eastAsia="en-GB"/>
              </w:rPr>
              <w:t>35</w:t>
            </w:r>
          </w:p>
        </w:tc>
      </w:tr>
    </w:tbl>
    <w:p w14:paraId="23118604" w14:textId="77777777" w:rsidR="00324F2D" w:rsidRDefault="00324F2D" w:rsidP="00773E00"/>
    <w:p w14:paraId="10E6171C" w14:textId="60CC466C" w:rsidR="001F5FC0" w:rsidRDefault="00BC334E" w:rsidP="00773E00">
      <w:r>
        <w:t xml:space="preserve">We observe between year 2 and 3 </w:t>
      </w:r>
      <w:r w:rsidR="00324F2D">
        <w:t>the deficit (-5) is changing in surplus (+15)</w:t>
      </w:r>
      <w:r w:rsidR="003B16DB">
        <w:t>.</w:t>
      </w:r>
    </w:p>
    <w:p w14:paraId="17B67594" w14:textId="50AB60DC" w:rsidR="003B16DB" w:rsidRDefault="003B16DB" w:rsidP="00773E00">
      <w:r>
        <w:t>So the Pay Back Period is 2(years) + Deficit (5)/ (Deficit (</w:t>
      </w:r>
      <w:proofErr w:type="gramStart"/>
      <w:r>
        <w:t>5)+</w:t>
      </w:r>
      <w:proofErr w:type="gramEnd"/>
      <w:r>
        <w:t>Surplus(15)) = 2+ 5/20</w:t>
      </w:r>
      <w:r w:rsidR="00B861F6">
        <w:t>=2+0.25</w:t>
      </w:r>
      <w:r w:rsidR="006A4A74">
        <w:t xml:space="preserve"> = 2.25 years</w:t>
      </w:r>
    </w:p>
    <w:p w14:paraId="59AFAE17" w14:textId="54CAA2E7" w:rsidR="00E45CE1" w:rsidRDefault="00E45CE1" w:rsidP="00773E00">
      <w:r>
        <w:t>The Pay Back Period is 2.25 years</w:t>
      </w:r>
    </w:p>
    <w:p w14:paraId="105BEB99" w14:textId="6D85612F" w:rsidR="00F16FCD" w:rsidRDefault="00F16FCD" w:rsidP="00773E00"/>
    <w:p w14:paraId="30EE3E63" w14:textId="3EDC2E9C" w:rsidR="00CC2032" w:rsidRDefault="00CC2032" w:rsidP="00773E00"/>
    <w:p w14:paraId="1FF4FDED" w14:textId="14BE2C1E" w:rsidR="00CC2032" w:rsidRDefault="00CC2032" w:rsidP="00773E00"/>
    <w:p w14:paraId="5EAF2528" w14:textId="00315A75" w:rsidR="00CC2032" w:rsidRDefault="00CC2032" w:rsidP="00773E00"/>
    <w:p w14:paraId="0067F5B4" w14:textId="77777777" w:rsidR="00CC2032" w:rsidRDefault="00CC2032" w:rsidP="00773E00"/>
    <w:p w14:paraId="7ABF3A93" w14:textId="2A70BDE5" w:rsidR="0031117E" w:rsidRDefault="00D11434" w:rsidP="00773E00">
      <w:pPr>
        <w:rPr>
          <w:b/>
          <w:bCs/>
        </w:rPr>
      </w:pPr>
      <w:r>
        <w:rPr>
          <w:b/>
          <w:bCs/>
        </w:rPr>
        <w:t xml:space="preserve">C.1.2.   </w:t>
      </w:r>
      <w:r w:rsidR="0031117E" w:rsidRPr="002C2818">
        <w:rPr>
          <w:b/>
          <w:bCs/>
        </w:rPr>
        <w:t>Accounting Rate of Return (ARR)</w:t>
      </w:r>
    </w:p>
    <w:p w14:paraId="4231CCD6" w14:textId="22AB27A1" w:rsidR="001C6793" w:rsidRPr="001C6793" w:rsidRDefault="001C6793" w:rsidP="00773E00">
      <w:r>
        <w:t xml:space="preserve">Accounting Rate of Return shows the amount of money that are coming back to the investor. It </w:t>
      </w:r>
      <w:proofErr w:type="gramStart"/>
      <w:r>
        <w:t>measure</w:t>
      </w:r>
      <w:proofErr w:type="gramEnd"/>
      <w:r>
        <w:t xml:space="preserve"> how much profit is expected to make on that investment.</w:t>
      </w:r>
    </w:p>
    <w:p w14:paraId="78F6010D" w14:textId="20362ABA" w:rsidR="00C26836" w:rsidRDefault="00C26836" w:rsidP="00773E00">
      <w:r>
        <w:t>Project A</w:t>
      </w:r>
    </w:p>
    <w:p w14:paraId="5911F7BD" w14:textId="2062B619" w:rsidR="003409B5" w:rsidRDefault="007850B3" w:rsidP="00773E00">
      <w:r>
        <w:t>On project A is going to make</w:t>
      </w:r>
      <w:r w:rsidR="00E35E54">
        <w:t>,</w:t>
      </w:r>
      <w:r>
        <w:t xml:space="preserve"> an investment of 80 and the cash flow generated by the investment yearly is presented on Table</w:t>
      </w:r>
      <w:r w:rsidR="00A12215">
        <w:t xml:space="preserve"> 14</w:t>
      </w:r>
    </w:p>
    <w:p w14:paraId="05F0901D" w14:textId="71E9043B" w:rsidR="00A12215" w:rsidRDefault="00A12215" w:rsidP="00773E00">
      <w:r>
        <w:t xml:space="preserve">Tab. 14 </w:t>
      </w:r>
      <w:r w:rsidR="00617921">
        <w:t>Project A</w:t>
      </w:r>
      <w:r w:rsidR="00200306">
        <w:t xml:space="preserve"> initial data</w:t>
      </w:r>
    </w:p>
    <w:tbl>
      <w:tblPr>
        <w:tblW w:w="4115" w:type="dxa"/>
        <w:tblLook w:val="04A0" w:firstRow="1" w:lastRow="0" w:firstColumn="1" w:lastColumn="0" w:noHBand="0" w:noVBand="1"/>
      </w:tblPr>
      <w:tblGrid>
        <w:gridCol w:w="1169"/>
        <w:gridCol w:w="1777"/>
        <w:gridCol w:w="1169"/>
      </w:tblGrid>
      <w:tr w:rsidR="003409B5" w:rsidRPr="003409B5" w14:paraId="3B85677A" w14:textId="77777777" w:rsidTr="007850B3">
        <w:trPr>
          <w:trHeight w:val="321"/>
        </w:trPr>
        <w:tc>
          <w:tcPr>
            <w:tcW w:w="116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0C08118"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Year</w:t>
            </w:r>
          </w:p>
        </w:tc>
        <w:tc>
          <w:tcPr>
            <w:tcW w:w="1777" w:type="dxa"/>
            <w:tcBorders>
              <w:top w:val="single" w:sz="8" w:space="0" w:color="auto"/>
              <w:left w:val="nil"/>
              <w:bottom w:val="single" w:sz="8" w:space="0" w:color="auto"/>
              <w:right w:val="single" w:sz="4" w:space="0" w:color="auto"/>
            </w:tcBorders>
            <w:shd w:val="clear" w:color="auto" w:fill="auto"/>
            <w:noWrap/>
            <w:vAlign w:val="bottom"/>
            <w:hideMark/>
          </w:tcPr>
          <w:p w14:paraId="642545BE"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Project A</w:t>
            </w:r>
          </w:p>
        </w:tc>
        <w:tc>
          <w:tcPr>
            <w:tcW w:w="1169" w:type="dxa"/>
            <w:tcBorders>
              <w:top w:val="single" w:sz="8" w:space="0" w:color="auto"/>
              <w:left w:val="nil"/>
              <w:bottom w:val="single" w:sz="8" w:space="0" w:color="auto"/>
              <w:right w:val="single" w:sz="8" w:space="0" w:color="auto"/>
            </w:tcBorders>
            <w:shd w:val="clear" w:color="auto" w:fill="auto"/>
            <w:noWrap/>
            <w:vAlign w:val="bottom"/>
            <w:hideMark/>
          </w:tcPr>
          <w:p w14:paraId="04F16391"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Project A</w:t>
            </w:r>
          </w:p>
        </w:tc>
      </w:tr>
      <w:tr w:rsidR="003409B5" w:rsidRPr="003409B5" w14:paraId="11C8A8FB" w14:textId="77777777" w:rsidTr="007850B3">
        <w:trPr>
          <w:trHeight w:val="306"/>
        </w:trPr>
        <w:tc>
          <w:tcPr>
            <w:tcW w:w="1169" w:type="dxa"/>
            <w:tcBorders>
              <w:top w:val="nil"/>
              <w:left w:val="single" w:sz="8" w:space="0" w:color="auto"/>
              <w:bottom w:val="single" w:sz="4" w:space="0" w:color="auto"/>
              <w:right w:val="single" w:sz="4" w:space="0" w:color="auto"/>
            </w:tcBorders>
            <w:shd w:val="clear" w:color="auto" w:fill="auto"/>
            <w:noWrap/>
            <w:vAlign w:val="bottom"/>
            <w:hideMark/>
          </w:tcPr>
          <w:p w14:paraId="07DF76D6" w14:textId="77777777" w:rsidR="003409B5" w:rsidRPr="003409B5" w:rsidRDefault="003409B5" w:rsidP="003409B5">
            <w:pPr>
              <w:spacing w:after="0" w:line="240" w:lineRule="auto"/>
              <w:jc w:val="center"/>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0</w:t>
            </w:r>
          </w:p>
        </w:tc>
        <w:tc>
          <w:tcPr>
            <w:tcW w:w="1777" w:type="dxa"/>
            <w:tcBorders>
              <w:top w:val="nil"/>
              <w:left w:val="nil"/>
              <w:bottom w:val="single" w:sz="4" w:space="0" w:color="auto"/>
              <w:right w:val="single" w:sz="4" w:space="0" w:color="auto"/>
            </w:tcBorders>
            <w:shd w:val="clear" w:color="auto" w:fill="auto"/>
            <w:noWrap/>
            <w:vAlign w:val="bottom"/>
            <w:hideMark/>
          </w:tcPr>
          <w:p w14:paraId="22DE961C"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Investment</w:t>
            </w:r>
          </w:p>
        </w:tc>
        <w:tc>
          <w:tcPr>
            <w:tcW w:w="1169" w:type="dxa"/>
            <w:tcBorders>
              <w:top w:val="nil"/>
              <w:left w:val="nil"/>
              <w:bottom w:val="single" w:sz="4" w:space="0" w:color="auto"/>
              <w:right w:val="single" w:sz="8" w:space="0" w:color="auto"/>
            </w:tcBorders>
            <w:shd w:val="clear" w:color="auto" w:fill="auto"/>
            <w:noWrap/>
            <w:vAlign w:val="bottom"/>
            <w:hideMark/>
          </w:tcPr>
          <w:p w14:paraId="503163A6" w14:textId="77777777" w:rsidR="003409B5" w:rsidRPr="003409B5" w:rsidRDefault="003409B5" w:rsidP="003409B5">
            <w:pPr>
              <w:spacing w:after="0" w:line="240" w:lineRule="auto"/>
              <w:jc w:val="right"/>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-80</w:t>
            </w:r>
          </w:p>
        </w:tc>
      </w:tr>
      <w:tr w:rsidR="003409B5" w:rsidRPr="003409B5" w14:paraId="41171DAF" w14:textId="77777777" w:rsidTr="007850B3">
        <w:trPr>
          <w:trHeight w:val="306"/>
        </w:trPr>
        <w:tc>
          <w:tcPr>
            <w:tcW w:w="1169" w:type="dxa"/>
            <w:tcBorders>
              <w:top w:val="nil"/>
              <w:left w:val="single" w:sz="8" w:space="0" w:color="auto"/>
              <w:bottom w:val="single" w:sz="4" w:space="0" w:color="auto"/>
              <w:right w:val="single" w:sz="4" w:space="0" w:color="auto"/>
            </w:tcBorders>
            <w:shd w:val="clear" w:color="auto" w:fill="auto"/>
            <w:noWrap/>
            <w:vAlign w:val="bottom"/>
            <w:hideMark/>
          </w:tcPr>
          <w:p w14:paraId="5A075835" w14:textId="77777777" w:rsidR="003409B5" w:rsidRPr="003409B5" w:rsidRDefault="003409B5" w:rsidP="003409B5">
            <w:pPr>
              <w:spacing w:after="0" w:line="240" w:lineRule="auto"/>
              <w:jc w:val="center"/>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1</w:t>
            </w:r>
          </w:p>
        </w:tc>
        <w:tc>
          <w:tcPr>
            <w:tcW w:w="1777" w:type="dxa"/>
            <w:tcBorders>
              <w:top w:val="nil"/>
              <w:left w:val="nil"/>
              <w:bottom w:val="single" w:sz="4" w:space="0" w:color="auto"/>
              <w:right w:val="single" w:sz="4" w:space="0" w:color="auto"/>
            </w:tcBorders>
            <w:shd w:val="clear" w:color="auto" w:fill="auto"/>
            <w:noWrap/>
            <w:vAlign w:val="bottom"/>
            <w:hideMark/>
          </w:tcPr>
          <w:p w14:paraId="66CFDDD7"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Cash flow</w:t>
            </w:r>
          </w:p>
        </w:tc>
        <w:tc>
          <w:tcPr>
            <w:tcW w:w="1169" w:type="dxa"/>
            <w:tcBorders>
              <w:top w:val="nil"/>
              <w:left w:val="nil"/>
              <w:bottom w:val="single" w:sz="4" w:space="0" w:color="auto"/>
              <w:right w:val="single" w:sz="8" w:space="0" w:color="auto"/>
            </w:tcBorders>
            <w:shd w:val="clear" w:color="auto" w:fill="auto"/>
            <w:noWrap/>
            <w:vAlign w:val="bottom"/>
            <w:hideMark/>
          </w:tcPr>
          <w:p w14:paraId="4F7E7338" w14:textId="77777777" w:rsidR="003409B5" w:rsidRPr="003409B5" w:rsidRDefault="003409B5" w:rsidP="003409B5">
            <w:pPr>
              <w:spacing w:after="0" w:line="240" w:lineRule="auto"/>
              <w:jc w:val="right"/>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25</w:t>
            </w:r>
          </w:p>
        </w:tc>
      </w:tr>
      <w:tr w:rsidR="003409B5" w:rsidRPr="003409B5" w14:paraId="24088CBC" w14:textId="77777777" w:rsidTr="007850B3">
        <w:trPr>
          <w:trHeight w:val="306"/>
        </w:trPr>
        <w:tc>
          <w:tcPr>
            <w:tcW w:w="1169" w:type="dxa"/>
            <w:tcBorders>
              <w:top w:val="nil"/>
              <w:left w:val="single" w:sz="8" w:space="0" w:color="auto"/>
              <w:bottom w:val="single" w:sz="4" w:space="0" w:color="auto"/>
              <w:right w:val="single" w:sz="4" w:space="0" w:color="auto"/>
            </w:tcBorders>
            <w:shd w:val="clear" w:color="auto" w:fill="auto"/>
            <w:noWrap/>
            <w:vAlign w:val="bottom"/>
            <w:hideMark/>
          </w:tcPr>
          <w:p w14:paraId="2EDAA375" w14:textId="77777777" w:rsidR="003409B5" w:rsidRPr="003409B5" w:rsidRDefault="003409B5" w:rsidP="003409B5">
            <w:pPr>
              <w:spacing w:after="0" w:line="240" w:lineRule="auto"/>
              <w:jc w:val="center"/>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2</w:t>
            </w:r>
          </w:p>
        </w:tc>
        <w:tc>
          <w:tcPr>
            <w:tcW w:w="1777" w:type="dxa"/>
            <w:tcBorders>
              <w:top w:val="nil"/>
              <w:left w:val="nil"/>
              <w:bottom w:val="single" w:sz="4" w:space="0" w:color="auto"/>
              <w:right w:val="single" w:sz="4" w:space="0" w:color="auto"/>
            </w:tcBorders>
            <w:shd w:val="clear" w:color="auto" w:fill="auto"/>
            <w:noWrap/>
            <w:vAlign w:val="bottom"/>
            <w:hideMark/>
          </w:tcPr>
          <w:p w14:paraId="14BD9407"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Cash flow</w:t>
            </w:r>
          </w:p>
        </w:tc>
        <w:tc>
          <w:tcPr>
            <w:tcW w:w="1169" w:type="dxa"/>
            <w:tcBorders>
              <w:top w:val="nil"/>
              <w:left w:val="nil"/>
              <w:bottom w:val="single" w:sz="4" w:space="0" w:color="auto"/>
              <w:right w:val="single" w:sz="8" w:space="0" w:color="auto"/>
            </w:tcBorders>
            <w:shd w:val="clear" w:color="auto" w:fill="auto"/>
            <w:noWrap/>
            <w:vAlign w:val="bottom"/>
            <w:hideMark/>
          </w:tcPr>
          <w:p w14:paraId="47E47FD3" w14:textId="77777777" w:rsidR="003409B5" w:rsidRPr="003409B5" w:rsidRDefault="003409B5" w:rsidP="003409B5">
            <w:pPr>
              <w:spacing w:after="0" w:line="240" w:lineRule="auto"/>
              <w:jc w:val="right"/>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25</w:t>
            </w:r>
          </w:p>
        </w:tc>
      </w:tr>
      <w:tr w:rsidR="003409B5" w:rsidRPr="003409B5" w14:paraId="66E536DF" w14:textId="77777777" w:rsidTr="007850B3">
        <w:trPr>
          <w:trHeight w:val="306"/>
        </w:trPr>
        <w:tc>
          <w:tcPr>
            <w:tcW w:w="1169" w:type="dxa"/>
            <w:tcBorders>
              <w:top w:val="nil"/>
              <w:left w:val="single" w:sz="8" w:space="0" w:color="auto"/>
              <w:bottom w:val="single" w:sz="4" w:space="0" w:color="auto"/>
              <w:right w:val="single" w:sz="4" w:space="0" w:color="auto"/>
            </w:tcBorders>
            <w:shd w:val="clear" w:color="auto" w:fill="auto"/>
            <w:noWrap/>
            <w:vAlign w:val="bottom"/>
            <w:hideMark/>
          </w:tcPr>
          <w:p w14:paraId="770BBBEB" w14:textId="77777777" w:rsidR="003409B5" w:rsidRPr="003409B5" w:rsidRDefault="003409B5" w:rsidP="003409B5">
            <w:pPr>
              <w:spacing w:after="0" w:line="240" w:lineRule="auto"/>
              <w:jc w:val="center"/>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3</w:t>
            </w:r>
          </w:p>
        </w:tc>
        <w:tc>
          <w:tcPr>
            <w:tcW w:w="1777" w:type="dxa"/>
            <w:tcBorders>
              <w:top w:val="nil"/>
              <w:left w:val="nil"/>
              <w:bottom w:val="single" w:sz="4" w:space="0" w:color="auto"/>
              <w:right w:val="single" w:sz="4" w:space="0" w:color="auto"/>
            </w:tcBorders>
            <w:shd w:val="clear" w:color="auto" w:fill="auto"/>
            <w:noWrap/>
            <w:vAlign w:val="bottom"/>
            <w:hideMark/>
          </w:tcPr>
          <w:p w14:paraId="18352C58"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Cash flow</w:t>
            </w:r>
          </w:p>
        </w:tc>
        <w:tc>
          <w:tcPr>
            <w:tcW w:w="1169" w:type="dxa"/>
            <w:tcBorders>
              <w:top w:val="nil"/>
              <w:left w:val="nil"/>
              <w:bottom w:val="single" w:sz="4" w:space="0" w:color="auto"/>
              <w:right w:val="single" w:sz="8" w:space="0" w:color="auto"/>
            </w:tcBorders>
            <w:shd w:val="clear" w:color="auto" w:fill="auto"/>
            <w:noWrap/>
            <w:vAlign w:val="bottom"/>
            <w:hideMark/>
          </w:tcPr>
          <w:p w14:paraId="4AF2FD1E" w14:textId="77777777" w:rsidR="003409B5" w:rsidRPr="003409B5" w:rsidRDefault="003409B5" w:rsidP="003409B5">
            <w:pPr>
              <w:spacing w:after="0" w:line="240" w:lineRule="auto"/>
              <w:jc w:val="right"/>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20</w:t>
            </w:r>
          </w:p>
        </w:tc>
      </w:tr>
      <w:tr w:rsidR="003409B5" w:rsidRPr="003409B5" w14:paraId="6BF81F7F" w14:textId="77777777" w:rsidTr="007850B3">
        <w:trPr>
          <w:trHeight w:val="321"/>
        </w:trPr>
        <w:tc>
          <w:tcPr>
            <w:tcW w:w="1169" w:type="dxa"/>
            <w:tcBorders>
              <w:top w:val="nil"/>
              <w:left w:val="single" w:sz="8" w:space="0" w:color="auto"/>
              <w:bottom w:val="single" w:sz="8" w:space="0" w:color="auto"/>
              <w:right w:val="single" w:sz="4" w:space="0" w:color="auto"/>
            </w:tcBorders>
            <w:shd w:val="clear" w:color="auto" w:fill="auto"/>
            <w:noWrap/>
            <w:vAlign w:val="bottom"/>
            <w:hideMark/>
          </w:tcPr>
          <w:p w14:paraId="0276F417" w14:textId="77777777" w:rsidR="003409B5" w:rsidRPr="003409B5" w:rsidRDefault="003409B5" w:rsidP="003409B5">
            <w:pPr>
              <w:spacing w:after="0" w:line="240" w:lineRule="auto"/>
              <w:jc w:val="center"/>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4</w:t>
            </w:r>
          </w:p>
        </w:tc>
        <w:tc>
          <w:tcPr>
            <w:tcW w:w="1777" w:type="dxa"/>
            <w:tcBorders>
              <w:top w:val="nil"/>
              <w:left w:val="nil"/>
              <w:bottom w:val="single" w:sz="8" w:space="0" w:color="auto"/>
              <w:right w:val="single" w:sz="4" w:space="0" w:color="auto"/>
            </w:tcBorders>
            <w:shd w:val="clear" w:color="auto" w:fill="auto"/>
            <w:noWrap/>
            <w:vAlign w:val="bottom"/>
            <w:hideMark/>
          </w:tcPr>
          <w:p w14:paraId="287EB920" w14:textId="77777777" w:rsidR="003409B5" w:rsidRPr="003409B5" w:rsidRDefault="003409B5" w:rsidP="003409B5">
            <w:pPr>
              <w:spacing w:after="0" w:line="240" w:lineRule="auto"/>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Cash flow</w:t>
            </w:r>
          </w:p>
        </w:tc>
        <w:tc>
          <w:tcPr>
            <w:tcW w:w="1169" w:type="dxa"/>
            <w:tcBorders>
              <w:top w:val="nil"/>
              <w:left w:val="nil"/>
              <w:bottom w:val="single" w:sz="8" w:space="0" w:color="auto"/>
              <w:right w:val="single" w:sz="8" w:space="0" w:color="auto"/>
            </w:tcBorders>
            <w:shd w:val="clear" w:color="auto" w:fill="auto"/>
            <w:noWrap/>
            <w:vAlign w:val="bottom"/>
            <w:hideMark/>
          </w:tcPr>
          <w:p w14:paraId="2090BEE5" w14:textId="77777777" w:rsidR="003409B5" w:rsidRPr="003409B5" w:rsidRDefault="003409B5" w:rsidP="003409B5">
            <w:pPr>
              <w:spacing w:after="0" w:line="240" w:lineRule="auto"/>
              <w:jc w:val="right"/>
              <w:outlineLvl w:val="0"/>
              <w:rPr>
                <w:rFonts w:ascii="Calibri" w:eastAsia="Times New Roman" w:hAnsi="Calibri" w:cs="Calibri"/>
                <w:color w:val="000000"/>
                <w:lang w:eastAsia="en-GB"/>
              </w:rPr>
            </w:pPr>
            <w:r w:rsidRPr="003409B5">
              <w:rPr>
                <w:rFonts w:ascii="Calibri" w:eastAsia="Times New Roman" w:hAnsi="Calibri" w:cs="Calibri"/>
                <w:color w:val="000000"/>
                <w:lang w:eastAsia="en-GB"/>
              </w:rPr>
              <w:t>55</w:t>
            </w:r>
          </w:p>
        </w:tc>
      </w:tr>
    </w:tbl>
    <w:p w14:paraId="106C32AD" w14:textId="3476CE5D" w:rsidR="003409B5" w:rsidRDefault="003409B5" w:rsidP="00773E00"/>
    <w:p w14:paraId="4CD7A29F" w14:textId="2E93BB3B" w:rsidR="007850B3" w:rsidRDefault="00A91791" w:rsidP="00773E00">
      <w:r>
        <w:t xml:space="preserve">Taken in account the </w:t>
      </w:r>
      <w:r w:rsidR="00705B7E">
        <w:t>depreciation is straight line, each year will be depreciated the same amount as presented on Tab</w:t>
      </w:r>
      <w:r w:rsidR="001C6793">
        <w:t>.14</w:t>
      </w:r>
      <w:r w:rsidR="00E407C4">
        <w:t xml:space="preserve">. At the end of the project the </w:t>
      </w:r>
      <w:r w:rsidR="0012481D">
        <w:t>scrap value is zero.</w:t>
      </w:r>
    </w:p>
    <w:p w14:paraId="2387A24E" w14:textId="09C8B207" w:rsidR="00200306" w:rsidRDefault="00200306" w:rsidP="00773E00">
      <w:r>
        <w:t xml:space="preserve">Tab. 15 Project A </w:t>
      </w:r>
      <w:r w:rsidR="008F0EA3">
        <w:t>Depreciation and Annual Profits</w:t>
      </w:r>
    </w:p>
    <w:tbl>
      <w:tblPr>
        <w:tblW w:w="5000" w:type="dxa"/>
        <w:tblLook w:val="04A0" w:firstRow="1" w:lastRow="0" w:firstColumn="1" w:lastColumn="0" w:noHBand="0" w:noVBand="1"/>
      </w:tblPr>
      <w:tblGrid>
        <w:gridCol w:w="780"/>
        <w:gridCol w:w="1220"/>
        <w:gridCol w:w="1400"/>
        <w:gridCol w:w="1600"/>
      </w:tblGrid>
      <w:tr w:rsidR="00C26836" w:rsidRPr="00C26836" w14:paraId="06CB6BA3" w14:textId="77777777" w:rsidTr="00C26836">
        <w:trPr>
          <w:trHeight w:val="300"/>
        </w:trPr>
        <w:tc>
          <w:tcPr>
            <w:tcW w:w="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4AD17" w14:textId="77777777" w:rsidR="00C26836" w:rsidRPr="00C26836" w:rsidRDefault="00C26836" w:rsidP="00C26836">
            <w:pPr>
              <w:spacing w:after="0" w:line="240" w:lineRule="auto"/>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Year</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14:paraId="3FC10B45"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Project A</w:t>
            </w:r>
          </w:p>
        </w:tc>
        <w:tc>
          <w:tcPr>
            <w:tcW w:w="1400" w:type="dxa"/>
            <w:tcBorders>
              <w:top w:val="single" w:sz="4" w:space="0" w:color="auto"/>
              <w:left w:val="nil"/>
              <w:bottom w:val="single" w:sz="4" w:space="0" w:color="auto"/>
              <w:right w:val="single" w:sz="4" w:space="0" w:color="auto"/>
            </w:tcBorders>
            <w:shd w:val="clear" w:color="auto" w:fill="auto"/>
            <w:noWrap/>
            <w:vAlign w:val="bottom"/>
            <w:hideMark/>
          </w:tcPr>
          <w:p w14:paraId="6BDA2D95" w14:textId="77777777" w:rsidR="00C26836" w:rsidRPr="00C26836" w:rsidRDefault="00C26836" w:rsidP="00C26836">
            <w:pPr>
              <w:spacing w:after="0" w:line="240" w:lineRule="auto"/>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Depreciation</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2C13986E" w14:textId="77777777" w:rsidR="00C26836" w:rsidRPr="00C26836" w:rsidRDefault="00C26836" w:rsidP="00C26836">
            <w:pPr>
              <w:spacing w:after="0" w:line="240" w:lineRule="auto"/>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Annual profits</w:t>
            </w:r>
          </w:p>
        </w:tc>
      </w:tr>
      <w:tr w:rsidR="00C26836" w:rsidRPr="00C26836" w14:paraId="1C1F9A75" w14:textId="77777777" w:rsidTr="00C26836">
        <w:trPr>
          <w:trHeight w:val="30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44ECFE1E"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0</w:t>
            </w:r>
          </w:p>
        </w:tc>
        <w:tc>
          <w:tcPr>
            <w:tcW w:w="1220" w:type="dxa"/>
            <w:tcBorders>
              <w:top w:val="nil"/>
              <w:left w:val="nil"/>
              <w:bottom w:val="single" w:sz="4" w:space="0" w:color="auto"/>
              <w:right w:val="single" w:sz="4" w:space="0" w:color="auto"/>
            </w:tcBorders>
            <w:shd w:val="clear" w:color="auto" w:fill="auto"/>
            <w:noWrap/>
            <w:vAlign w:val="bottom"/>
            <w:hideMark/>
          </w:tcPr>
          <w:p w14:paraId="52DD9DB0"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FF0000"/>
                <w:lang w:eastAsia="en-GB"/>
              </w:rPr>
              <w:t xml:space="preserve">-80 </w:t>
            </w:r>
          </w:p>
        </w:tc>
        <w:tc>
          <w:tcPr>
            <w:tcW w:w="1400" w:type="dxa"/>
            <w:tcBorders>
              <w:top w:val="nil"/>
              <w:left w:val="nil"/>
              <w:bottom w:val="single" w:sz="4" w:space="0" w:color="auto"/>
              <w:right w:val="single" w:sz="4" w:space="0" w:color="auto"/>
            </w:tcBorders>
            <w:shd w:val="clear" w:color="auto" w:fill="auto"/>
            <w:noWrap/>
            <w:vAlign w:val="bottom"/>
            <w:hideMark/>
          </w:tcPr>
          <w:p w14:paraId="1AF74C25" w14:textId="77777777" w:rsidR="00C26836" w:rsidRPr="00C26836" w:rsidRDefault="00C26836" w:rsidP="00C26836">
            <w:pPr>
              <w:spacing w:after="0" w:line="240" w:lineRule="auto"/>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1C30EDCD" w14:textId="77777777" w:rsidR="00C26836" w:rsidRPr="00C26836" w:rsidRDefault="00C26836" w:rsidP="00C26836">
            <w:pPr>
              <w:spacing w:after="0" w:line="240" w:lineRule="auto"/>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 </w:t>
            </w:r>
          </w:p>
        </w:tc>
      </w:tr>
      <w:tr w:rsidR="00C26836" w:rsidRPr="00C26836" w14:paraId="46FB801E" w14:textId="77777777" w:rsidTr="00C26836">
        <w:trPr>
          <w:trHeight w:val="30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03752AD6"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1</w:t>
            </w:r>
          </w:p>
        </w:tc>
        <w:tc>
          <w:tcPr>
            <w:tcW w:w="1220" w:type="dxa"/>
            <w:tcBorders>
              <w:top w:val="nil"/>
              <w:left w:val="nil"/>
              <w:bottom w:val="single" w:sz="4" w:space="0" w:color="auto"/>
              <w:right w:val="single" w:sz="4" w:space="0" w:color="auto"/>
            </w:tcBorders>
            <w:shd w:val="clear" w:color="auto" w:fill="auto"/>
            <w:noWrap/>
            <w:vAlign w:val="bottom"/>
            <w:hideMark/>
          </w:tcPr>
          <w:p w14:paraId="40F90D4A"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25</w:t>
            </w:r>
          </w:p>
        </w:tc>
        <w:tc>
          <w:tcPr>
            <w:tcW w:w="1400" w:type="dxa"/>
            <w:tcBorders>
              <w:top w:val="nil"/>
              <w:left w:val="nil"/>
              <w:bottom w:val="single" w:sz="4" w:space="0" w:color="auto"/>
              <w:right w:val="single" w:sz="4" w:space="0" w:color="auto"/>
            </w:tcBorders>
            <w:shd w:val="clear" w:color="auto" w:fill="auto"/>
            <w:noWrap/>
            <w:vAlign w:val="bottom"/>
            <w:hideMark/>
          </w:tcPr>
          <w:p w14:paraId="2D7F968B"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-20</w:t>
            </w:r>
          </w:p>
        </w:tc>
        <w:tc>
          <w:tcPr>
            <w:tcW w:w="1600" w:type="dxa"/>
            <w:tcBorders>
              <w:top w:val="nil"/>
              <w:left w:val="nil"/>
              <w:bottom w:val="single" w:sz="4" w:space="0" w:color="auto"/>
              <w:right w:val="single" w:sz="4" w:space="0" w:color="auto"/>
            </w:tcBorders>
            <w:shd w:val="clear" w:color="auto" w:fill="auto"/>
            <w:noWrap/>
            <w:vAlign w:val="bottom"/>
            <w:hideMark/>
          </w:tcPr>
          <w:p w14:paraId="12BF10FD"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5</w:t>
            </w:r>
          </w:p>
        </w:tc>
      </w:tr>
      <w:tr w:rsidR="00C26836" w:rsidRPr="00C26836" w14:paraId="68A20402" w14:textId="77777777" w:rsidTr="00C26836">
        <w:trPr>
          <w:trHeight w:val="30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396EE04E"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w:t>
            </w:r>
          </w:p>
        </w:tc>
        <w:tc>
          <w:tcPr>
            <w:tcW w:w="1220" w:type="dxa"/>
            <w:tcBorders>
              <w:top w:val="nil"/>
              <w:left w:val="nil"/>
              <w:bottom w:val="single" w:sz="4" w:space="0" w:color="auto"/>
              <w:right w:val="single" w:sz="4" w:space="0" w:color="auto"/>
            </w:tcBorders>
            <w:shd w:val="clear" w:color="auto" w:fill="auto"/>
            <w:noWrap/>
            <w:vAlign w:val="bottom"/>
            <w:hideMark/>
          </w:tcPr>
          <w:p w14:paraId="6D9FEF45"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25</w:t>
            </w:r>
          </w:p>
        </w:tc>
        <w:tc>
          <w:tcPr>
            <w:tcW w:w="1400" w:type="dxa"/>
            <w:tcBorders>
              <w:top w:val="nil"/>
              <w:left w:val="nil"/>
              <w:bottom w:val="single" w:sz="4" w:space="0" w:color="auto"/>
              <w:right w:val="single" w:sz="4" w:space="0" w:color="auto"/>
            </w:tcBorders>
            <w:shd w:val="clear" w:color="auto" w:fill="auto"/>
            <w:noWrap/>
            <w:vAlign w:val="bottom"/>
            <w:hideMark/>
          </w:tcPr>
          <w:p w14:paraId="2BAB093A"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-20</w:t>
            </w:r>
          </w:p>
        </w:tc>
        <w:tc>
          <w:tcPr>
            <w:tcW w:w="1600" w:type="dxa"/>
            <w:tcBorders>
              <w:top w:val="nil"/>
              <w:left w:val="nil"/>
              <w:bottom w:val="single" w:sz="4" w:space="0" w:color="auto"/>
              <w:right w:val="single" w:sz="4" w:space="0" w:color="auto"/>
            </w:tcBorders>
            <w:shd w:val="clear" w:color="auto" w:fill="auto"/>
            <w:noWrap/>
            <w:vAlign w:val="bottom"/>
            <w:hideMark/>
          </w:tcPr>
          <w:p w14:paraId="5B8DC3EB"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5</w:t>
            </w:r>
          </w:p>
        </w:tc>
      </w:tr>
      <w:tr w:rsidR="00C26836" w:rsidRPr="00C26836" w14:paraId="18AE8D4A" w14:textId="77777777" w:rsidTr="00C26836">
        <w:trPr>
          <w:trHeight w:val="30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2A80A150"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3</w:t>
            </w:r>
          </w:p>
        </w:tc>
        <w:tc>
          <w:tcPr>
            <w:tcW w:w="1220" w:type="dxa"/>
            <w:tcBorders>
              <w:top w:val="nil"/>
              <w:left w:val="nil"/>
              <w:bottom w:val="single" w:sz="4" w:space="0" w:color="auto"/>
              <w:right w:val="single" w:sz="4" w:space="0" w:color="auto"/>
            </w:tcBorders>
            <w:shd w:val="clear" w:color="auto" w:fill="auto"/>
            <w:noWrap/>
            <w:vAlign w:val="bottom"/>
            <w:hideMark/>
          </w:tcPr>
          <w:p w14:paraId="23B932B6"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20</w:t>
            </w:r>
          </w:p>
        </w:tc>
        <w:tc>
          <w:tcPr>
            <w:tcW w:w="1400" w:type="dxa"/>
            <w:tcBorders>
              <w:top w:val="nil"/>
              <w:left w:val="nil"/>
              <w:bottom w:val="single" w:sz="4" w:space="0" w:color="auto"/>
              <w:right w:val="single" w:sz="4" w:space="0" w:color="auto"/>
            </w:tcBorders>
            <w:shd w:val="clear" w:color="auto" w:fill="auto"/>
            <w:noWrap/>
            <w:vAlign w:val="bottom"/>
            <w:hideMark/>
          </w:tcPr>
          <w:p w14:paraId="12DB2FE2"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-20</w:t>
            </w:r>
          </w:p>
        </w:tc>
        <w:tc>
          <w:tcPr>
            <w:tcW w:w="1600" w:type="dxa"/>
            <w:tcBorders>
              <w:top w:val="nil"/>
              <w:left w:val="nil"/>
              <w:bottom w:val="single" w:sz="4" w:space="0" w:color="auto"/>
              <w:right w:val="single" w:sz="4" w:space="0" w:color="auto"/>
            </w:tcBorders>
            <w:shd w:val="clear" w:color="auto" w:fill="auto"/>
            <w:noWrap/>
            <w:vAlign w:val="bottom"/>
            <w:hideMark/>
          </w:tcPr>
          <w:p w14:paraId="7DC8BAAD"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0</w:t>
            </w:r>
          </w:p>
        </w:tc>
      </w:tr>
      <w:tr w:rsidR="00C26836" w:rsidRPr="00C26836" w14:paraId="46947F81" w14:textId="77777777" w:rsidTr="00C26836">
        <w:trPr>
          <w:trHeight w:val="300"/>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14:paraId="7B6F0EE5"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4</w:t>
            </w:r>
          </w:p>
        </w:tc>
        <w:tc>
          <w:tcPr>
            <w:tcW w:w="1220" w:type="dxa"/>
            <w:tcBorders>
              <w:top w:val="nil"/>
              <w:left w:val="nil"/>
              <w:bottom w:val="single" w:sz="4" w:space="0" w:color="auto"/>
              <w:right w:val="single" w:sz="4" w:space="0" w:color="auto"/>
            </w:tcBorders>
            <w:shd w:val="clear" w:color="auto" w:fill="auto"/>
            <w:noWrap/>
            <w:vAlign w:val="bottom"/>
            <w:hideMark/>
          </w:tcPr>
          <w:p w14:paraId="6E9B5E2D" w14:textId="77777777" w:rsidR="00C26836" w:rsidRPr="00C26836" w:rsidRDefault="00C26836" w:rsidP="00C26836">
            <w:pPr>
              <w:spacing w:after="0" w:line="240" w:lineRule="auto"/>
              <w:jc w:val="center"/>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55</w:t>
            </w:r>
          </w:p>
        </w:tc>
        <w:tc>
          <w:tcPr>
            <w:tcW w:w="1400" w:type="dxa"/>
            <w:tcBorders>
              <w:top w:val="nil"/>
              <w:left w:val="nil"/>
              <w:bottom w:val="single" w:sz="4" w:space="0" w:color="auto"/>
              <w:right w:val="single" w:sz="4" w:space="0" w:color="auto"/>
            </w:tcBorders>
            <w:shd w:val="clear" w:color="auto" w:fill="auto"/>
            <w:noWrap/>
            <w:vAlign w:val="bottom"/>
            <w:hideMark/>
          </w:tcPr>
          <w:p w14:paraId="5978CF45"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-20</w:t>
            </w:r>
          </w:p>
        </w:tc>
        <w:tc>
          <w:tcPr>
            <w:tcW w:w="1600" w:type="dxa"/>
            <w:tcBorders>
              <w:top w:val="nil"/>
              <w:left w:val="nil"/>
              <w:bottom w:val="single" w:sz="4" w:space="0" w:color="auto"/>
              <w:right w:val="single" w:sz="4" w:space="0" w:color="auto"/>
            </w:tcBorders>
            <w:shd w:val="clear" w:color="auto" w:fill="auto"/>
            <w:noWrap/>
            <w:vAlign w:val="bottom"/>
            <w:hideMark/>
          </w:tcPr>
          <w:p w14:paraId="0AB46BB4" w14:textId="77777777" w:rsidR="00C26836" w:rsidRPr="00C26836" w:rsidRDefault="00C26836" w:rsidP="00C26836">
            <w:pPr>
              <w:spacing w:after="0" w:line="240" w:lineRule="auto"/>
              <w:jc w:val="right"/>
              <w:outlineLvl w:val="0"/>
              <w:rPr>
                <w:rFonts w:ascii="Calibri" w:eastAsia="Times New Roman" w:hAnsi="Calibri" w:cs="Calibri"/>
                <w:color w:val="000000"/>
                <w:lang w:eastAsia="en-GB"/>
              </w:rPr>
            </w:pPr>
            <w:r w:rsidRPr="00C26836">
              <w:rPr>
                <w:rFonts w:ascii="Calibri" w:eastAsia="Times New Roman" w:hAnsi="Calibri" w:cs="Calibri"/>
                <w:color w:val="000000"/>
                <w:lang w:eastAsia="en-GB"/>
              </w:rPr>
              <w:t>35</w:t>
            </w:r>
          </w:p>
        </w:tc>
      </w:tr>
    </w:tbl>
    <w:p w14:paraId="6413704F" w14:textId="169AD206" w:rsidR="00C26836" w:rsidRDefault="00C26836" w:rsidP="00773E00"/>
    <w:p w14:paraId="4C77F018" w14:textId="15E4066F" w:rsidR="00B34971" w:rsidRDefault="00B34971" w:rsidP="00773E00">
      <w:r>
        <w:t>We are going to calculate the Account Rate of Return by using two formulas as follow</w:t>
      </w:r>
      <w:r w:rsidR="0002605A">
        <w:t>:</w:t>
      </w:r>
    </w:p>
    <w:p w14:paraId="7762CFDA" w14:textId="56EBA365" w:rsidR="00E45CE1" w:rsidRDefault="00F86A11" w:rsidP="00773E00">
      <w:r>
        <w:t xml:space="preserve">Account Rate of Return (ARR) = </w:t>
      </w:r>
      <w:r w:rsidR="00BB66C6" w:rsidRPr="00BB66C6">
        <w:t>{(Profit year 1+Profit year 2+Profit year3+Profit year 4)/4}/(Investment/2)</w:t>
      </w:r>
      <w:r w:rsidR="00561B4C">
        <w:t xml:space="preserve"> </w:t>
      </w:r>
    </w:p>
    <w:p w14:paraId="28E84B36" w14:textId="7D60A5F3" w:rsidR="00561B4C" w:rsidRDefault="00561B4C" w:rsidP="00773E00">
      <w:r>
        <w:t>ARR =</w:t>
      </w:r>
      <w:r w:rsidR="0063613E">
        <w:t>28.125%</w:t>
      </w:r>
      <w:r w:rsidR="00DD4603">
        <w:t xml:space="preserve"> </w:t>
      </w:r>
    </w:p>
    <w:p w14:paraId="5507EAD5" w14:textId="497E028E" w:rsidR="00BB66C6" w:rsidRDefault="00BB66C6" w:rsidP="00773E00">
      <w:r>
        <w:t xml:space="preserve">Account Rate of Return (ARR) = </w:t>
      </w:r>
      <w:r w:rsidR="00561B4C" w:rsidRPr="00561B4C">
        <w:t>{(</w:t>
      </w:r>
      <w:r w:rsidR="002A0CE7">
        <w:t>Cash flow</w:t>
      </w:r>
      <w:r w:rsidR="00561B4C" w:rsidRPr="00561B4C">
        <w:t xml:space="preserve"> year 1+ </w:t>
      </w:r>
      <w:r w:rsidR="002A0CE7">
        <w:t xml:space="preserve">Cash flow </w:t>
      </w:r>
      <w:r w:rsidR="00561B4C" w:rsidRPr="00561B4C">
        <w:t>year 2+</w:t>
      </w:r>
      <w:r w:rsidR="002A0CE7">
        <w:t xml:space="preserve">Cash flow </w:t>
      </w:r>
      <w:r w:rsidR="00561B4C" w:rsidRPr="00561B4C">
        <w:t xml:space="preserve">year 3+ </w:t>
      </w:r>
      <w:r w:rsidR="002A0CE7">
        <w:t xml:space="preserve">Cash flow </w:t>
      </w:r>
      <w:r w:rsidR="00561B4C" w:rsidRPr="00561B4C">
        <w:t>year 4</w:t>
      </w:r>
      <w:r w:rsidR="00B34971">
        <w:t>)</w:t>
      </w:r>
      <w:r w:rsidR="00561B4C" w:rsidRPr="00561B4C">
        <w:t>-the Investment)/4}</w:t>
      </w:r>
      <w:r w:rsidR="0002605A" w:rsidRPr="00561B4C">
        <w:t>/(Investment</w:t>
      </w:r>
      <w:r w:rsidR="00561B4C" w:rsidRPr="00561B4C">
        <w:t>/2)</w:t>
      </w:r>
    </w:p>
    <w:p w14:paraId="359B9300" w14:textId="028142C2" w:rsidR="0063613E" w:rsidRDefault="0063613E" w:rsidP="00773E00">
      <w:r>
        <w:t>ARR=28.125%</w:t>
      </w:r>
    </w:p>
    <w:p w14:paraId="430EBC89" w14:textId="2F499A8A" w:rsidR="0002605A" w:rsidRDefault="0002605A" w:rsidP="00773E00"/>
    <w:p w14:paraId="35BA5F10" w14:textId="49DDACCF" w:rsidR="00CC2032" w:rsidRDefault="00CC2032" w:rsidP="00773E00"/>
    <w:p w14:paraId="583B6800" w14:textId="7A11A9EE" w:rsidR="00CC2032" w:rsidRDefault="00CC2032" w:rsidP="00773E00"/>
    <w:p w14:paraId="12B0F8D0" w14:textId="2A460607" w:rsidR="00CC2032" w:rsidRDefault="00CC2032" w:rsidP="00773E00"/>
    <w:p w14:paraId="5B61F270" w14:textId="77777777" w:rsidR="00CC2032" w:rsidRDefault="00CC2032" w:rsidP="00773E00"/>
    <w:p w14:paraId="33C45AE9" w14:textId="36FCD1F8" w:rsidR="002C2818" w:rsidRDefault="002C2818" w:rsidP="00773E00">
      <w:r>
        <w:t>Project B</w:t>
      </w:r>
    </w:p>
    <w:p w14:paraId="1C0FF488" w14:textId="73626140" w:rsidR="00E35E54" w:rsidRDefault="00E35E54" w:rsidP="00773E00">
      <w:r>
        <w:t xml:space="preserve">On project B, the company intend to make an </w:t>
      </w:r>
      <w:r w:rsidR="00B17A66">
        <w:t xml:space="preserve">initial </w:t>
      </w:r>
      <w:r>
        <w:t>investment of 75 and t</w:t>
      </w:r>
      <w:r w:rsidR="00B455DE">
        <w:t>hat is going to generate the yearly cash flow presented on Table</w:t>
      </w:r>
    </w:p>
    <w:p w14:paraId="2039C29F" w14:textId="428F5251" w:rsidR="008F0EA3" w:rsidRDefault="008F0EA3" w:rsidP="00773E00">
      <w:r>
        <w:t>Tab.16 Project B initial data</w:t>
      </w:r>
    </w:p>
    <w:tbl>
      <w:tblPr>
        <w:tblW w:w="3020" w:type="dxa"/>
        <w:tblLook w:val="04A0" w:firstRow="1" w:lastRow="0" w:firstColumn="1" w:lastColumn="0" w:noHBand="0" w:noVBand="1"/>
      </w:tblPr>
      <w:tblGrid>
        <w:gridCol w:w="700"/>
        <w:gridCol w:w="1360"/>
        <w:gridCol w:w="960"/>
      </w:tblGrid>
      <w:tr w:rsidR="0002605A" w:rsidRPr="0002605A" w14:paraId="562C113B" w14:textId="77777777" w:rsidTr="0002605A">
        <w:trPr>
          <w:trHeight w:val="315"/>
        </w:trPr>
        <w:tc>
          <w:tcPr>
            <w:tcW w:w="7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8B5FF55" w14:textId="77777777" w:rsidR="0002605A" w:rsidRPr="0002605A" w:rsidRDefault="0002605A" w:rsidP="0002605A">
            <w:pPr>
              <w:spacing w:after="0" w:line="240" w:lineRule="auto"/>
              <w:rPr>
                <w:rFonts w:ascii="Calibri" w:eastAsia="Times New Roman" w:hAnsi="Calibri" w:cs="Calibri"/>
                <w:color w:val="000000"/>
                <w:lang w:eastAsia="en-GB"/>
              </w:rPr>
            </w:pPr>
            <w:r w:rsidRPr="0002605A">
              <w:rPr>
                <w:rFonts w:ascii="Calibri" w:eastAsia="Times New Roman" w:hAnsi="Calibri" w:cs="Calibri"/>
                <w:color w:val="000000"/>
                <w:lang w:eastAsia="en-GB"/>
              </w:rPr>
              <w:t>Year</w:t>
            </w:r>
          </w:p>
        </w:tc>
        <w:tc>
          <w:tcPr>
            <w:tcW w:w="1360" w:type="dxa"/>
            <w:tcBorders>
              <w:top w:val="single" w:sz="8" w:space="0" w:color="auto"/>
              <w:left w:val="nil"/>
              <w:bottom w:val="single" w:sz="8" w:space="0" w:color="auto"/>
              <w:right w:val="single" w:sz="4" w:space="0" w:color="auto"/>
            </w:tcBorders>
            <w:shd w:val="clear" w:color="auto" w:fill="auto"/>
            <w:noWrap/>
            <w:vAlign w:val="bottom"/>
            <w:hideMark/>
          </w:tcPr>
          <w:p w14:paraId="4911141B" w14:textId="77777777" w:rsidR="0002605A" w:rsidRPr="0002605A" w:rsidRDefault="0002605A" w:rsidP="0002605A">
            <w:pPr>
              <w:spacing w:after="0" w:line="240" w:lineRule="auto"/>
              <w:rPr>
                <w:rFonts w:ascii="Calibri" w:eastAsia="Times New Roman" w:hAnsi="Calibri" w:cs="Calibri"/>
                <w:color w:val="000000"/>
                <w:lang w:eastAsia="en-GB"/>
              </w:rPr>
            </w:pPr>
            <w:r w:rsidRPr="0002605A">
              <w:rPr>
                <w:rFonts w:ascii="Calibri" w:eastAsia="Times New Roman" w:hAnsi="Calibri" w:cs="Calibri"/>
                <w:color w:val="000000"/>
                <w:lang w:eastAsia="en-GB"/>
              </w:rPr>
              <w:t>Project B</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2F3D1A70" w14:textId="77777777" w:rsidR="0002605A" w:rsidRPr="0002605A" w:rsidRDefault="0002605A" w:rsidP="0002605A">
            <w:pPr>
              <w:spacing w:after="0" w:line="240" w:lineRule="auto"/>
              <w:rPr>
                <w:rFonts w:ascii="Calibri" w:eastAsia="Times New Roman" w:hAnsi="Calibri" w:cs="Calibri"/>
                <w:color w:val="000000"/>
                <w:lang w:eastAsia="en-GB"/>
              </w:rPr>
            </w:pPr>
            <w:r w:rsidRPr="0002605A">
              <w:rPr>
                <w:rFonts w:ascii="Calibri" w:eastAsia="Times New Roman" w:hAnsi="Calibri" w:cs="Calibri"/>
                <w:color w:val="000000"/>
                <w:lang w:eastAsia="en-GB"/>
              </w:rPr>
              <w:t>Project B</w:t>
            </w:r>
          </w:p>
        </w:tc>
      </w:tr>
      <w:tr w:rsidR="0002605A" w:rsidRPr="0002605A" w14:paraId="0F513D8D" w14:textId="77777777" w:rsidTr="0002605A">
        <w:trPr>
          <w:trHeight w:val="300"/>
        </w:trPr>
        <w:tc>
          <w:tcPr>
            <w:tcW w:w="700" w:type="dxa"/>
            <w:tcBorders>
              <w:top w:val="nil"/>
              <w:left w:val="single" w:sz="8" w:space="0" w:color="auto"/>
              <w:bottom w:val="single" w:sz="4" w:space="0" w:color="auto"/>
              <w:right w:val="single" w:sz="4" w:space="0" w:color="auto"/>
            </w:tcBorders>
            <w:shd w:val="clear" w:color="auto" w:fill="auto"/>
            <w:noWrap/>
            <w:vAlign w:val="bottom"/>
            <w:hideMark/>
          </w:tcPr>
          <w:p w14:paraId="739DD667"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0</w:t>
            </w:r>
          </w:p>
        </w:tc>
        <w:tc>
          <w:tcPr>
            <w:tcW w:w="1360" w:type="dxa"/>
            <w:tcBorders>
              <w:top w:val="nil"/>
              <w:left w:val="nil"/>
              <w:bottom w:val="single" w:sz="4" w:space="0" w:color="auto"/>
              <w:right w:val="single" w:sz="4" w:space="0" w:color="auto"/>
            </w:tcBorders>
            <w:shd w:val="clear" w:color="auto" w:fill="auto"/>
            <w:noWrap/>
            <w:vAlign w:val="bottom"/>
            <w:hideMark/>
          </w:tcPr>
          <w:p w14:paraId="093722AF"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Investment</w:t>
            </w:r>
          </w:p>
        </w:tc>
        <w:tc>
          <w:tcPr>
            <w:tcW w:w="960" w:type="dxa"/>
            <w:tcBorders>
              <w:top w:val="nil"/>
              <w:left w:val="nil"/>
              <w:bottom w:val="single" w:sz="4" w:space="0" w:color="auto"/>
              <w:right w:val="single" w:sz="8" w:space="0" w:color="auto"/>
            </w:tcBorders>
            <w:shd w:val="clear" w:color="auto" w:fill="auto"/>
            <w:noWrap/>
            <w:vAlign w:val="bottom"/>
            <w:hideMark/>
          </w:tcPr>
          <w:p w14:paraId="233A5164"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-75</w:t>
            </w:r>
          </w:p>
        </w:tc>
      </w:tr>
      <w:tr w:rsidR="0002605A" w:rsidRPr="0002605A" w14:paraId="65735921" w14:textId="77777777" w:rsidTr="0002605A">
        <w:trPr>
          <w:trHeight w:val="300"/>
        </w:trPr>
        <w:tc>
          <w:tcPr>
            <w:tcW w:w="700" w:type="dxa"/>
            <w:tcBorders>
              <w:top w:val="nil"/>
              <w:left w:val="single" w:sz="8" w:space="0" w:color="auto"/>
              <w:bottom w:val="single" w:sz="4" w:space="0" w:color="auto"/>
              <w:right w:val="single" w:sz="4" w:space="0" w:color="auto"/>
            </w:tcBorders>
            <w:shd w:val="clear" w:color="auto" w:fill="auto"/>
            <w:noWrap/>
            <w:vAlign w:val="bottom"/>
            <w:hideMark/>
          </w:tcPr>
          <w:p w14:paraId="3AB303FE"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1</w:t>
            </w:r>
          </w:p>
        </w:tc>
        <w:tc>
          <w:tcPr>
            <w:tcW w:w="1360" w:type="dxa"/>
            <w:tcBorders>
              <w:top w:val="nil"/>
              <w:left w:val="nil"/>
              <w:bottom w:val="single" w:sz="4" w:space="0" w:color="auto"/>
              <w:right w:val="single" w:sz="4" w:space="0" w:color="auto"/>
            </w:tcBorders>
            <w:shd w:val="clear" w:color="auto" w:fill="auto"/>
            <w:noWrap/>
            <w:vAlign w:val="bottom"/>
            <w:hideMark/>
          </w:tcPr>
          <w:p w14:paraId="00AD02D7"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Cash flow</w:t>
            </w:r>
          </w:p>
        </w:tc>
        <w:tc>
          <w:tcPr>
            <w:tcW w:w="960" w:type="dxa"/>
            <w:tcBorders>
              <w:top w:val="nil"/>
              <w:left w:val="nil"/>
              <w:bottom w:val="single" w:sz="4" w:space="0" w:color="auto"/>
              <w:right w:val="single" w:sz="8" w:space="0" w:color="auto"/>
            </w:tcBorders>
            <w:shd w:val="clear" w:color="auto" w:fill="auto"/>
            <w:noWrap/>
            <w:vAlign w:val="bottom"/>
            <w:hideMark/>
          </w:tcPr>
          <w:p w14:paraId="0852A43C"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50</w:t>
            </w:r>
          </w:p>
        </w:tc>
      </w:tr>
      <w:tr w:rsidR="0002605A" w:rsidRPr="0002605A" w14:paraId="7DF343B2" w14:textId="77777777" w:rsidTr="0002605A">
        <w:trPr>
          <w:trHeight w:val="300"/>
        </w:trPr>
        <w:tc>
          <w:tcPr>
            <w:tcW w:w="700" w:type="dxa"/>
            <w:tcBorders>
              <w:top w:val="nil"/>
              <w:left w:val="single" w:sz="8" w:space="0" w:color="auto"/>
              <w:bottom w:val="single" w:sz="4" w:space="0" w:color="auto"/>
              <w:right w:val="single" w:sz="4" w:space="0" w:color="auto"/>
            </w:tcBorders>
            <w:shd w:val="clear" w:color="auto" w:fill="auto"/>
            <w:noWrap/>
            <w:vAlign w:val="bottom"/>
            <w:hideMark/>
          </w:tcPr>
          <w:p w14:paraId="152F2956"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2</w:t>
            </w:r>
          </w:p>
        </w:tc>
        <w:tc>
          <w:tcPr>
            <w:tcW w:w="1360" w:type="dxa"/>
            <w:tcBorders>
              <w:top w:val="nil"/>
              <w:left w:val="nil"/>
              <w:bottom w:val="single" w:sz="4" w:space="0" w:color="auto"/>
              <w:right w:val="single" w:sz="4" w:space="0" w:color="auto"/>
            </w:tcBorders>
            <w:shd w:val="clear" w:color="auto" w:fill="auto"/>
            <w:noWrap/>
            <w:vAlign w:val="bottom"/>
            <w:hideMark/>
          </w:tcPr>
          <w:p w14:paraId="4D51780C"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Cash flow</w:t>
            </w:r>
          </w:p>
        </w:tc>
        <w:tc>
          <w:tcPr>
            <w:tcW w:w="960" w:type="dxa"/>
            <w:tcBorders>
              <w:top w:val="nil"/>
              <w:left w:val="nil"/>
              <w:bottom w:val="single" w:sz="4" w:space="0" w:color="auto"/>
              <w:right w:val="single" w:sz="8" w:space="0" w:color="auto"/>
            </w:tcBorders>
            <w:shd w:val="clear" w:color="auto" w:fill="auto"/>
            <w:noWrap/>
            <w:vAlign w:val="bottom"/>
            <w:hideMark/>
          </w:tcPr>
          <w:p w14:paraId="497739DA"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20</w:t>
            </w:r>
          </w:p>
        </w:tc>
      </w:tr>
      <w:tr w:rsidR="0002605A" w:rsidRPr="0002605A" w14:paraId="33361F69" w14:textId="77777777" w:rsidTr="0002605A">
        <w:trPr>
          <w:trHeight w:val="300"/>
        </w:trPr>
        <w:tc>
          <w:tcPr>
            <w:tcW w:w="700" w:type="dxa"/>
            <w:tcBorders>
              <w:top w:val="nil"/>
              <w:left w:val="single" w:sz="8" w:space="0" w:color="auto"/>
              <w:bottom w:val="single" w:sz="4" w:space="0" w:color="auto"/>
              <w:right w:val="single" w:sz="4" w:space="0" w:color="auto"/>
            </w:tcBorders>
            <w:shd w:val="clear" w:color="auto" w:fill="auto"/>
            <w:noWrap/>
            <w:vAlign w:val="bottom"/>
            <w:hideMark/>
          </w:tcPr>
          <w:p w14:paraId="78790C41"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3</w:t>
            </w:r>
          </w:p>
        </w:tc>
        <w:tc>
          <w:tcPr>
            <w:tcW w:w="1360" w:type="dxa"/>
            <w:tcBorders>
              <w:top w:val="nil"/>
              <w:left w:val="nil"/>
              <w:bottom w:val="single" w:sz="4" w:space="0" w:color="auto"/>
              <w:right w:val="single" w:sz="4" w:space="0" w:color="auto"/>
            </w:tcBorders>
            <w:shd w:val="clear" w:color="auto" w:fill="auto"/>
            <w:noWrap/>
            <w:vAlign w:val="bottom"/>
            <w:hideMark/>
          </w:tcPr>
          <w:p w14:paraId="56D81EE9"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Cash flow</w:t>
            </w:r>
          </w:p>
        </w:tc>
        <w:tc>
          <w:tcPr>
            <w:tcW w:w="960" w:type="dxa"/>
            <w:tcBorders>
              <w:top w:val="nil"/>
              <w:left w:val="nil"/>
              <w:bottom w:val="single" w:sz="4" w:space="0" w:color="auto"/>
              <w:right w:val="single" w:sz="8" w:space="0" w:color="auto"/>
            </w:tcBorders>
            <w:shd w:val="clear" w:color="auto" w:fill="auto"/>
            <w:noWrap/>
            <w:vAlign w:val="bottom"/>
            <w:hideMark/>
          </w:tcPr>
          <w:p w14:paraId="3C26AFE1"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20</w:t>
            </w:r>
          </w:p>
        </w:tc>
      </w:tr>
      <w:tr w:rsidR="0002605A" w:rsidRPr="0002605A" w14:paraId="2B65AB24" w14:textId="77777777" w:rsidTr="0002605A">
        <w:trPr>
          <w:trHeight w:val="315"/>
        </w:trPr>
        <w:tc>
          <w:tcPr>
            <w:tcW w:w="700" w:type="dxa"/>
            <w:tcBorders>
              <w:top w:val="nil"/>
              <w:left w:val="single" w:sz="8" w:space="0" w:color="auto"/>
              <w:bottom w:val="single" w:sz="8" w:space="0" w:color="auto"/>
              <w:right w:val="single" w:sz="4" w:space="0" w:color="auto"/>
            </w:tcBorders>
            <w:shd w:val="clear" w:color="auto" w:fill="auto"/>
            <w:noWrap/>
            <w:vAlign w:val="bottom"/>
            <w:hideMark/>
          </w:tcPr>
          <w:p w14:paraId="3E5FBC5D"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4</w:t>
            </w:r>
          </w:p>
        </w:tc>
        <w:tc>
          <w:tcPr>
            <w:tcW w:w="1360" w:type="dxa"/>
            <w:tcBorders>
              <w:top w:val="nil"/>
              <w:left w:val="nil"/>
              <w:bottom w:val="single" w:sz="8" w:space="0" w:color="auto"/>
              <w:right w:val="single" w:sz="4" w:space="0" w:color="auto"/>
            </w:tcBorders>
            <w:shd w:val="clear" w:color="auto" w:fill="auto"/>
            <w:noWrap/>
            <w:vAlign w:val="bottom"/>
            <w:hideMark/>
          </w:tcPr>
          <w:p w14:paraId="79C9FE9E"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Cash flow</w:t>
            </w:r>
          </w:p>
        </w:tc>
        <w:tc>
          <w:tcPr>
            <w:tcW w:w="960" w:type="dxa"/>
            <w:tcBorders>
              <w:top w:val="nil"/>
              <w:left w:val="nil"/>
              <w:bottom w:val="single" w:sz="8" w:space="0" w:color="auto"/>
              <w:right w:val="single" w:sz="8" w:space="0" w:color="auto"/>
            </w:tcBorders>
            <w:shd w:val="clear" w:color="auto" w:fill="auto"/>
            <w:noWrap/>
            <w:vAlign w:val="bottom"/>
            <w:hideMark/>
          </w:tcPr>
          <w:p w14:paraId="5539F480" w14:textId="77777777" w:rsidR="0002605A" w:rsidRPr="0002605A" w:rsidRDefault="0002605A" w:rsidP="0002605A">
            <w:pPr>
              <w:spacing w:after="0" w:line="240" w:lineRule="auto"/>
              <w:jc w:val="center"/>
              <w:rPr>
                <w:rFonts w:ascii="Calibri" w:eastAsia="Times New Roman" w:hAnsi="Calibri" w:cs="Calibri"/>
                <w:color w:val="000000"/>
                <w:lang w:eastAsia="en-GB"/>
              </w:rPr>
            </w:pPr>
            <w:r w:rsidRPr="0002605A">
              <w:rPr>
                <w:rFonts w:ascii="Calibri" w:eastAsia="Times New Roman" w:hAnsi="Calibri" w:cs="Calibri"/>
                <w:color w:val="000000"/>
                <w:lang w:eastAsia="en-GB"/>
              </w:rPr>
              <w:t>20</w:t>
            </w:r>
          </w:p>
        </w:tc>
      </w:tr>
    </w:tbl>
    <w:p w14:paraId="33CC1C15" w14:textId="385E306A" w:rsidR="0002605A" w:rsidRDefault="0002605A" w:rsidP="00773E00"/>
    <w:p w14:paraId="107423BC" w14:textId="0F55C6D2" w:rsidR="0002605A" w:rsidRDefault="00B455DE" w:rsidP="00773E00">
      <w:r>
        <w:t>Taken in account the straight</w:t>
      </w:r>
      <w:r w:rsidR="0011484D">
        <w:t>-</w:t>
      </w:r>
      <w:r>
        <w:t>line depreciation</w:t>
      </w:r>
      <w:r w:rsidR="0011484D">
        <w:t>, each year the value of depreciation will be the same. A</w:t>
      </w:r>
      <w:r w:rsidR="00BF4A74">
        <w:t>nother important aspect that should be taken into consideration is t</w:t>
      </w:r>
      <w:r w:rsidR="00E407C4">
        <w:t>he scrap value, at the end of the project, which is zero.</w:t>
      </w:r>
    </w:p>
    <w:p w14:paraId="68B90E26" w14:textId="68D768A1" w:rsidR="008F0EA3" w:rsidRDefault="008F0EA3" w:rsidP="00773E00">
      <w:r>
        <w:t>Tab. 17 Project B Depreciation and Annual Profits</w:t>
      </w:r>
    </w:p>
    <w:tbl>
      <w:tblPr>
        <w:tblStyle w:val="TableGrid"/>
        <w:tblW w:w="0" w:type="auto"/>
        <w:tblLook w:val="04A0" w:firstRow="1" w:lastRow="0" w:firstColumn="1" w:lastColumn="0" w:noHBand="0" w:noVBand="1"/>
      </w:tblPr>
      <w:tblGrid>
        <w:gridCol w:w="780"/>
        <w:gridCol w:w="1220"/>
        <w:gridCol w:w="1400"/>
        <w:gridCol w:w="1600"/>
      </w:tblGrid>
      <w:tr w:rsidR="002C2818" w:rsidRPr="002C2818" w14:paraId="5404F8B1" w14:textId="77777777" w:rsidTr="002C2818">
        <w:trPr>
          <w:trHeight w:val="300"/>
        </w:trPr>
        <w:tc>
          <w:tcPr>
            <w:tcW w:w="780" w:type="dxa"/>
            <w:noWrap/>
            <w:hideMark/>
          </w:tcPr>
          <w:p w14:paraId="7E24C1F7" w14:textId="77777777" w:rsidR="002C2818" w:rsidRPr="002C2818" w:rsidRDefault="002C2818">
            <w:r w:rsidRPr="002C2818">
              <w:t>Year</w:t>
            </w:r>
          </w:p>
        </w:tc>
        <w:tc>
          <w:tcPr>
            <w:tcW w:w="1220" w:type="dxa"/>
            <w:noWrap/>
            <w:hideMark/>
          </w:tcPr>
          <w:p w14:paraId="63322700" w14:textId="0230069C" w:rsidR="002C2818" w:rsidRPr="002C2818" w:rsidRDefault="002C2818" w:rsidP="002C2818">
            <w:r w:rsidRPr="002C2818">
              <w:t xml:space="preserve">Project </w:t>
            </w:r>
            <w:r w:rsidR="008F0EA3">
              <w:t>B</w:t>
            </w:r>
          </w:p>
        </w:tc>
        <w:tc>
          <w:tcPr>
            <w:tcW w:w="1400" w:type="dxa"/>
            <w:noWrap/>
            <w:hideMark/>
          </w:tcPr>
          <w:p w14:paraId="160F1806" w14:textId="77777777" w:rsidR="002C2818" w:rsidRPr="002C2818" w:rsidRDefault="002C2818">
            <w:r w:rsidRPr="002C2818">
              <w:t>Depreciation</w:t>
            </w:r>
          </w:p>
        </w:tc>
        <w:tc>
          <w:tcPr>
            <w:tcW w:w="1600" w:type="dxa"/>
            <w:noWrap/>
            <w:hideMark/>
          </w:tcPr>
          <w:p w14:paraId="5C195CAB" w14:textId="77777777" w:rsidR="002C2818" w:rsidRPr="002C2818" w:rsidRDefault="002C2818">
            <w:r w:rsidRPr="002C2818">
              <w:t>Annual profits</w:t>
            </w:r>
          </w:p>
        </w:tc>
      </w:tr>
      <w:tr w:rsidR="002C2818" w:rsidRPr="002C2818" w14:paraId="35DC9819" w14:textId="77777777" w:rsidTr="002C2818">
        <w:trPr>
          <w:trHeight w:val="300"/>
        </w:trPr>
        <w:tc>
          <w:tcPr>
            <w:tcW w:w="780" w:type="dxa"/>
            <w:noWrap/>
            <w:hideMark/>
          </w:tcPr>
          <w:p w14:paraId="5DC57FB5" w14:textId="77777777" w:rsidR="002C2818" w:rsidRPr="002C2818" w:rsidRDefault="002C2818" w:rsidP="002C2818">
            <w:r w:rsidRPr="002C2818">
              <w:t>0</w:t>
            </w:r>
          </w:p>
        </w:tc>
        <w:tc>
          <w:tcPr>
            <w:tcW w:w="1220" w:type="dxa"/>
            <w:noWrap/>
            <w:hideMark/>
          </w:tcPr>
          <w:p w14:paraId="7CC121AF" w14:textId="77777777" w:rsidR="002C2818" w:rsidRPr="002C2818" w:rsidRDefault="002C2818" w:rsidP="002C2818">
            <w:r w:rsidRPr="002C2818">
              <w:t xml:space="preserve">-75 </w:t>
            </w:r>
          </w:p>
        </w:tc>
        <w:tc>
          <w:tcPr>
            <w:tcW w:w="1400" w:type="dxa"/>
            <w:noWrap/>
            <w:hideMark/>
          </w:tcPr>
          <w:p w14:paraId="18363C19" w14:textId="77777777" w:rsidR="002C2818" w:rsidRPr="002C2818" w:rsidRDefault="002C2818">
            <w:r w:rsidRPr="002C2818">
              <w:t> </w:t>
            </w:r>
          </w:p>
        </w:tc>
        <w:tc>
          <w:tcPr>
            <w:tcW w:w="1600" w:type="dxa"/>
            <w:noWrap/>
            <w:hideMark/>
          </w:tcPr>
          <w:p w14:paraId="73AC58EE" w14:textId="77777777" w:rsidR="002C2818" w:rsidRPr="002C2818" w:rsidRDefault="002C2818">
            <w:r w:rsidRPr="002C2818">
              <w:t> </w:t>
            </w:r>
          </w:p>
        </w:tc>
      </w:tr>
      <w:tr w:rsidR="002C2818" w:rsidRPr="002C2818" w14:paraId="28911931" w14:textId="77777777" w:rsidTr="002C2818">
        <w:trPr>
          <w:trHeight w:val="300"/>
        </w:trPr>
        <w:tc>
          <w:tcPr>
            <w:tcW w:w="780" w:type="dxa"/>
            <w:noWrap/>
            <w:hideMark/>
          </w:tcPr>
          <w:p w14:paraId="6AC3D7D0" w14:textId="77777777" w:rsidR="002C2818" w:rsidRPr="002C2818" w:rsidRDefault="002C2818" w:rsidP="002C2818">
            <w:r w:rsidRPr="002C2818">
              <w:t>1</w:t>
            </w:r>
          </w:p>
        </w:tc>
        <w:tc>
          <w:tcPr>
            <w:tcW w:w="1220" w:type="dxa"/>
            <w:noWrap/>
            <w:hideMark/>
          </w:tcPr>
          <w:p w14:paraId="763B3381" w14:textId="77777777" w:rsidR="002C2818" w:rsidRPr="002C2818" w:rsidRDefault="002C2818" w:rsidP="002C2818">
            <w:r w:rsidRPr="002C2818">
              <w:t>50</w:t>
            </w:r>
          </w:p>
        </w:tc>
        <w:tc>
          <w:tcPr>
            <w:tcW w:w="1400" w:type="dxa"/>
            <w:noWrap/>
            <w:hideMark/>
          </w:tcPr>
          <w:p w14:paraId="5833E01C" w14:textId="77777777" w:rsidR="002C2818" w:rsidRPr="002C2818" w:rsidRDefault="002C2818" w:rsidP="002C2818">
            <w:r w:rsidRPr="002C2818">
              <w:t>-18.75</w:t>
            </w:r>
          </w:p>
        </w:tc>
        <w:tc>
          <w:tcPr>
            <w:tcW w:w="1600" w:type="dxa"/>
            <w:noWrap/>
            <w:hideMark/>
          </w:tcPr>
          <w:p w14:paraId="592982F0" w14:textId="77777777" w:rsidR="002C2818" w:rsidRPr="002C2818" w:rsidRDefault="002C2818" w:rsidP="002C2818">
            <w:r w:rsidRPr="002C2818">
              <w:t>31.25</w:t>
            </w:r>
          </w:p>
        </w:tc>
      </w:tr>
      <w:tr w:rsidR="002C2818" w:rsidRPr="002C2818" w14:paraId="28FDB3CE" w14:textId="77777777" w:rsidTr="002C2818">
        <w:trPr>
          <w:trHeight w:val="300"/>
        </w:trPr>
        <w:tc>
          <w:tcPr>
            <w:tcW w:w="780" w:type="dxa"/>
            <w:noWrap/>
            <w:hideMark/>
          </w:tcPr>
          <w:p w14:paraId="618024C5" w14:textId="77777777" w:rsidR="002C2818" w:rsidRPr="002C2818" w:rsidRDefault="002C2818" w:rsidP="002C2818">
            <w:r w:rsidRPr="002C2818">
              <w:t>2</w:t>
            </w:r>
          </w:p>
        </w:tc>
        <w:tc>
          <w:tcPr>
            <w:tcW w:w="1220" w:type="dxa"/>
            <w:noWrap/>
            <w:hideMark/>
          </w:tcPr>
          <w:p w14:paraId="0C0F8DB5" w14:textId="77777777" w:rsidR="002C2818" w:rsidRPr="002C2818" w:rsidRDefault="002C2818" w:rsidP="002C2818">
            <w:r w:rsidRPr="002C2818">
              <w:t>20</w:t>
            </w:r>
          </w:p>
        </w:tc>
        <w:tc>
          <w:tcPr>
            <w:tcW w:w="1400" w:type="dxa"/>
            <w:noWrap/>
            <w:hideMark/>
          </w:tcPr>
          <w:p w14:paraId="4BBC210F" w14:textId="77777777" w:rsidR="002C2818" w:rsidRPr="002C2818" w:rsidRDefault="002C2818" w:rsidP="002C2818">
            <w:r w:rsidRPr="002C2818">
              <w:t>-18.75</w:t>
            </w:r>
          </w:p>
        </w:tc>
        <w:tc>
          <w:tcPr>
            <w:tcW w:w="1600" w:type="dxa"/>
            <w:noWrap/>
            <w:hideMark/>
          </w:tcPr>
          <w:p w14:paraId="0B4D2128" w14:textId="77777777" w:rsidR="002C2818" w:rsidRPr="002C2818" w:rsidRDefault="002C2818" w:rsidP="002C2818">
            <w:r w:rsidRPr="002C2818">
              <w:t>1.25</w:t>
            </w:r>
          </w:p>
        </w:tc>
      </w:tr>
      <w:tr w:rsidR="002C2818" w:rsidRPr="002C2818" w14:paraId="2BA92BF2" w14:textId="77777777" w:rsidTr="002C2818">
        <w:trPr>
          <w:trHeight w:val="300"/>
        </w:trPr>
        <w:tc>
          <w:tcPr>
            <w:tcW w:w="780" w:type="dxa"/>
            <w:noWrap/>
            <w:hideMark/>
          </w:tcPr>
          <w:p w14:paraId="27E7A920" w14:textId="77777777" w:rsidR="002C2818" w:rsidRPr="002C2818" w:rsidRDefault="002C2818" w:rsidP="002C2818">
            <w:r w:rsidRPr="002C2818">
              <w:t>3</w:t>
            </w:r>
          </w:p>
        </w:tc>
        <w:tc>
          <w:tcPr>
            <w:tcW w:w="1220" w:type="dxa"/>
            <w:noWrap/>
            <w:hideMark/>
          </w:tcPr>
          <w:p w14:paraId="7D4FE871" w14:textId="77777777" w:rsidR="002C2818" w:rsidRPr="002C2818" w:rsidRDefault="002C2818" w:rsidP="002C2818">
            <w:r w:rsidRPr="002C2818">
              <w:t>20</w:t>
            </w:r>
          </w:p>
        </w:tc>
        <w:tc>
          <w:tcPr>
            <w:tcW w:w="1400" w:type="dxa"/>
            <w:noWrap/>
            <w:hideMark/>
          </w:tcPr>
          <w:p w14:paraId="7D95439D" w14:textId="77777777" w:rsidR="002C2818" w:rsidRPr="002C2818" w:rsidRDefault="002C2818" w:rsidP="002C2818">
            <w:r w:rsidRPr="002C2818">
              <w:t>-18.75</w:t>
            </w:r>
          </w:p>
        </w:tc>
        <w:tc>
          <w:tcPr>
            <w:tcW w:w="1600" w:type="dxa"/>
            <w:noWrap/>
            <w:hideMark/>
          </w:tcPr>
          <w:p w14:paraId="624FD4F2" w14:textId="77777777" w:rsidR="002C2818" w:rsidRPr="002C2818" w:rsidRDefault="002C2818" w:rsidP="002C2818">
            <w:r w:rsidRPr="002C2818">
              <w:t>1.25</w:t>
            </w:r>
          </w:p>
        </w:tc>
      </w:tr>
      <w:tr w:rsidR="002C2818" w:rsidRPr="002C2818" w14:paraId="663B7C07" w14:textId="77777777" w:rsidTr="002C2818">
        <w:trPr>
          <w:trHeight w:val="300"/>
        </w:trPr>
        <w:tc>
          <w:tcPr>
            <w:tcW w:w="780" w:type="dxa"/>
            <w:noWrap/>
            <w:hideMark/>
          </w:tcPr>
          <w:p w14:paraId="1407A933" w14:textId="77777777" w:rsidR="002C2818" w:rsidRPr="002C2818" w:rsidRDefault="002C2818" w:rsidP="002C2818">
            <w:r w:rsidRPr="002C2818">
              <w:t>4</w:t>
            </w:r>
          </w:p>
        </w:tc>
        <w:tc>
          <w:tcPr>
            <w:tcW w:w="1220" w:type="dxa"/>
            <w:noWrap/>
            <w:hideMark/>
          </w:tcPr>
          <w:p w14:paraId="04F2CB8B" w14:textId="77777777" w:rsidR="002C2818" w:rsidRPr="002C2818" w:rsidRDefault="002C2818" w:rsidP="002C2818">
            <w:r w:rsidRPr="002C2818">
              <w:t>20</w:t>
            </w:r>
          </w:p>
        </w:tc>
        <w:tc>
          <w:tcPr>
            <w:tcW w:w="1400" w:type="dxa"/>
            <w:noWrap/>
            <w:hideMark/>
          </w:tcPr>
          <w:p w14:paraId="717747F1" w14:textId="77777777" w:rsidR="002C2818" w:rsidRPr="002C2818" w:rsidRDefault="002C2818" w:rsidP="002C2818">
            <w:r w:rsidRPr="002C2818">
              <w:t>-18.75</w:t>
            </w:r>
          </w:p>
        </w:tc>
        <w:tc>
          <w:tcPr>
            <w:tcW w:w="1600" w:type="dxa"/>
            <w:noWrap/>
            <w:hideMark/>
          </w:tcPr>
          <w:p w14:paraId="080FEE74" w14:textId="77777777" w:rsidR="002C2818" w:rsidRPr="002C2818" w:rsidRDefault="002C2818" w:rsidP="002C2818">
            <w:r w:rsidRPr="002C2818">
              <w:t>1.25</w:t>
            </w:r>
          </w:p>
        </w:tc>
      </w:tr>
    </w:tbl>
    <w:p w14:paraId="02AE1088" w14:textId="6ABCE58E" w:rsidR="0012481D" w:rsidRDefault="0012481D" w:rsidP="00B200B8"/>
    <w:p w14:paraId="6BBF629C" w14:textId="6EECABEB" w:rsidR="0012481D" w:rsidRDefault="0012481D" w:rsidP="00B200B8">
      <w:r>
        <w:t>We are going to calculate the Account Rate of Return by using two formulas:</w:t>
      </w:r>
    </w:p>
    <w:p w14:paraId="4ACD64F0" w14:textId="2F845498" w:rsidR="00B200B8" w:rsidRDefault="00B200B8" w:rsidP="00B200B8">
      <w:r>
        <w:t xml:space="preserve">Account Rate of Return (ARR) = </w:t>
      </w:r>
      <w:r w:rsidRPr="00BB66C6">
        <w:t>{(Profit year 1+Profit year 2+Profit year3+Profit year 4)/4}/(Investment/2)</w:t>
      </w:r>
      <w:r>
        <w:t xml:space="preserve"> </w:t>
      </w:r>
    </w:p>
    <w:p w14:paraId="43CD20E0" w14:textId="11C61E32" w:rsidR="0063613E" w:rsidRDefault="0012481D" w:rsidP="00773E00">
      <w:r>
        <w:t xml:space="preserve">ARR = </w:t>
      </w:r>
      <w:r w:rsidR="0087755A">
        <w:t>23.33%</w:t>
      </w:r>
    </w:p>
    <w:p w14:paraId="4A918D61" w14:textId="77777777" w:rsidR="0087755A" w:rsidRDefault="0087755A" w:rsidP="0087755A">
      <w:r>
        <w:t xml:space="preserve">Account Rate of Return (ARR) = </w:t>
      </w:r>
      <w:r w:rsidRPr="00561B4C">
        <w:t>{(</w:t>
      </w:r>
      <w:r>
        <w:t>Cash flow</w:t>
      </w:r>
      <w:r w:rsidRPr="00561B4C">
        <w:t xml:space="preserve"> year 1+ </w:t>
      </w:r>
      <w:r>
        <w:t xml:space="preserve">Cash flow </w:t>
      </w:r>
      <w:r w:rsidRPr="00561B4C">
        <w:t>year 2+</w:t>
      </w:r>
      <w:r>
        <w:t xml:space="preserve">Cash flow </w:t>
      </w:r>
      <w:r w:rsidRPr="00561B4C">
        <w:t xml:space="preserve">year 3+ </w:t>
      </w:r>
      <w:r>
        <w:t xml:space="preserve">Cash flow </w:t>
      </w:r>
      <w:r w:rsidRPr="00561B4C">
        <w:t>year 4</w:t>
      </w:r>
      <w:r>
        <w:t>)</w:t>
      </w:r>
      <w:r w:rsidRPr="00561B4C">
        <w:t>-the Investment)/4}/(Investment/2)</w:t>
      </w:r>
    </w:p>
    <w:p w14:paraId="69C482B2" w14:textId="32C82630" w:rsidR="0063613E" w:rsidRDefault="0087755A" w:rsidP="00773E00">
      <w:r>
        <w:t>ARR = 23.33%</w:t>
      </w:r>
    </w:p>
    <w:p w14:paraId="344B0813" w14:textId="51A0FE3B" w:rsidR="0031117E" w:rsidRPr="0087755A" w:rsidRDefault="00722D0B" w:rsidP="00773E00">
      <w:pPr>
        <w:rPr>
          <w:b/>
          <w:bCs/>
        </w:rPr>
      </w:pPr>
      <w:r>
        <w:rPr>
          <w:b/>
          <w:bCs/>
        </w:rPr>
        <w:t xml:space="preserve">C.1.3.   </w:t>
      </w:r>
      <w:r w:rsidR="0031117E" w:rsidRPr="0087755A">
        <w:rPr>
          <w:b/>
          <w:bCs/>
        </w:rPr>
        <w:t>Net Present Value (NPV)</w:t>
      </w:r>
    </w:p>
    <w:p w14:paraId="52906BFF" w14:textId="1F96237C" w:rsidR="001C6793" w:rsidRDefault="001C6793" w:rsidP="00773E00">
      <w:r>
        <w:t>Net present value shows the value of the investment / asset minus the initial investment value / purchase price. If the NPV&gt;0 this means the investment is good.</w:t>
      </w:r>
    </w:p>
    <w:p w14:paraId="2C02B61E" w14:textId="7482A211" w:rsidR="00E648E9" w:rsidRDefault="00D451DE" w:rsidP="00773E00">
      <w:r>
        <w:t>Project A</w:t>
      </w:r>
    </w:p>
    <w:p w14:paraId="73462FF7" w14:textId="71C7FEFE" w:rsidR="00D451DE" w:rsidRDefault="00E531C2" w:rsidP="00773E00">
      <w:r>
        <w:t>To calculate the NPV we are going to use the same values presented above</w:t>
      </w:r>
      <w:r w:rsidR="001A40CA">
        <w:t>, additional we are going to take in consideration</w:t>
      </w:r>
      <w:r w:rsidR="00BD5DD2">
        <w:t>, the company cost of capital at 9.75</w:t>
      </w:r>
      <w:r w:rsidR="004216CE">
        <w:t>%</w:t>
      </w:r>
      <w:r w:rsidR="0095242A">
        <w:t xml:space="preserve"> (0.0975</w:t>
      </w:r>
      <w:proofErr w:type="gramStart"/>
      <w:r w:rsidR="0095242A">
        <w:t xml:space="preserve">) </w:t>
      </w:r>
      <w:r w:rsidR="004216CE">
        <w:t>.</w:t>
      </w:r>
      <w:proofErr w:type="gramEnd"/>
    </w:p>
    <w:p w14:paraId="608AFC04" w14:textId="27A4137C" w:rsidR="004216CE" w:rsidRDefault="00D857E8" w:rsidP="00773E00">
      <w:r>
        <w:t xml:space="preserve">In order to calculate the Net Present </w:t>
      </w:r>
      <w:proofErr w:type="gramStart"/>
      <w:r>
        <w:t>Value</w:t>
      </w:r>
      <w:proofErr w:type="gramEnd"/>
      <w:r>
        <w:t xml:space="preserve"> we need the initial investment value</w:t>
      </w:r>
      <w:r w:rsidR="0095242A">
        <w:t>, the cash flow generated each year and the cost of capital.</w:t>
      </w:r>
    </w:p>
    <w:p w14:paraId="5C8C44A7" w14:textId="2AD5E04D" w:rsidR="0095242A" w:rsidRDefault="0095242A" w:rsidP="00773E00">
      <w:r>
        <w:t>For project A the required data are</w:t>
      </w:r>
      <w:r w:rsidR="000859C1">
        <w:t xml:space="preserve"> presented on table</w:t>
      </w:r>
    </w:p>
    <w:p w14:paraId="6A0AAE74" w14:textId="1F846A84" w:rsidR="008F0EA3" w:rsidRDefault="008F0EA3" w:rsidP="00773E00">
      <w:r>
        <w:t>Tab. 18</w:t>
      </w:r>
      <w:r w:rsidR="00514312">
        <w:t xml:space="preserve">. </w:t>
      </w:r>
      <w:r>
        <w:t xml:space="preserve"> Project A – </w:t>
      </w:r>
      <w:r w:rsidR="00514312">
        <w:t>initial investment and cash flow</w:t>
      </w:r>
    </w:p>
    <w:tbl>
      <w:tblPr>
        <w:tblW w:w="2960" w:type="dxa"/>
        <w:tblLook w:val="04A0" w:firstRow="1" w:lastRow="0" w:firstColumn="1" w:lastColumn="0" w:noHBand="0" w:noVBand="1"/>
      </w:tblPr>
      <w:tblGrid>
        <w:gridCol w:w="1720"/>
        <w:gridCol w:w="1240"/>
      </w:tblGrid>
      <w:tr w:rsidR="00AB586F" w:rsidRPr="00AB586F" w14:paraId="4779186B" w14:textId="77777777" w:rsidTr="00AB586F">
        <w:trPr>
          <w:trHeight w:val="615"/>
        </w:trPr>
        <w:tc>
          <w:tcPr>
            <w:tcW w:w="172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1A46905" w14:textId="77777777" w:rsidR="00AB586F" w:rsidRPr="00AB586F" w:rsidRDefault="00AB586F" w:rsidP="00AB586F">
            <w:pPr>
              <w:spacing w:after="0" w:line="240" w:lineRule="auto"/>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 </w:t>
            </w:r>
          </w:p>
        </w:tc>
        <w:tc>
          <w:tcPr>
            <w:tcW w:w="1240" w:type="dxa"/>
            <w:tcBorders>
              <w:top w:val="single" w:sz="8" w:space="0" w:color="auto"/>
              <w:left w:val="nil"/>
              <w:bottom w:val="single" w:sz="4" w:space="0" w:color="auto"/>
              <w:right w:val="single" w:sz="8" w:space="0" w:color="auto"/>
            </w:tcBorders>
            <w:shd w:val="clear" w:color="auto" w:fill="auto"/>
            <w:vAlign w:val="bottom"/>
            <w:hideMark/>
          </w:tcPr>
          <w:p w14:paraId="2B5DC5C6" w14:textId="77777777" w:rsidR="00AB586F" w:rsidRPr="00AB586F" w:rsidRDefault="00AB586F" w:rsidP="00AB586F">
            <w:pPr>
              <w:spacing w:after="0" w:line="240" w:lineRule="auto"/>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Projected Cash Flow</w:t>
            </w:r>
          </w:p>
        </w:tc>
      </w:tr>
      <w:tr w:rsidR="00AB586F" w:rsidRPr="00AB586F" w14:paraId="1E4279E9" w14:textId="77777777" w:rsidTr="00AB586F">
        <w:trPr>
          <w:trHeight w:val="315"/>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0BAA9266"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Year</w:t>
            </w:r>
          </w:p>
        </w:tc>
        <w:tc>
          <w:tcPr>
            <w:tcW w:w="1240" w:type="dxa"/>
            <w:tcBorders>
              <w:top w:val="nil"/>
              <w:left w:val="nil"/>
              <w:bottom w:val="single" w:sz="4" w:space="0" w:color="auto"/>
              <w:right w:val="single" w:sz="8" w:space="0" w:color="auto"/>
            </w:tcBorders>
            <w:shd w:val="clear" w:color="auto" w:fill="auto"/>
            <w:noWrap/>
            <w:vAlign w:val="bottom"/>
            <w:hideMark/>
          </w:tcPr>
          <w:p w14:paraId="29BEF825" w14:textId="77777777" w:rsidR="00AB586F" w:rsidRPr="00AB586F" w:rsidRDefault="00AB586F" w:rsidP="00AB586F">
            <w:pPr>
              <w:spacing w:after="0" w:line="240" w:lineRule="auto"/>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Project A</w:t>
            </w:r>
          </w:p>
        </w:tc>
      </w:tr>
      <w:tr w:rsidR="00AB586F" w:rsidRPr="00AB586F" w14:paraId="6D47D4E1" w14:textId="77777777" w:rsidTr="00AB586F">
        <w:trPr>
          <w:trHeight w:val="30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774BAAA5"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0</w:t>
            </w:r>
          </w:p>
        </w:tc>
        <w:tc>
          <w:tcPr>
            <w:tcW w:w="1240" w:type="dxa"/>
            <w:tcBorders>
              <w:top w:val="nil"/>
              <w:left w:val="nil"/>
              <w:bottom w:val="single" w:sz="4" w:space="0" w:color="auto"/>
              <w:right w:val="single" w:sz="8" w:space="0" w:color="auto"/>
            </w:tcBorders>
            <w:shd w:val="clear" w:color="auto" w:fill="auto"/>
            <w:noWrap/>
            <w:vAlign w:val="center"/>
            <w:hideMark/>
          </w:tcPr>
          <w:p w14:paraId="2CDE7554"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-80</w:t>
            </w:r>
          </w:p>
        </w:tc>
      </w:tr>
      <w:tr w:rsidR="00AB586F" w:rsidRPr="00AB586F" w14:paraId="79E3BD24" w14:textId="77777777" w:rsidTr="00AB586F">
        <w:trPr>
          <w:trHeight w:val="30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77BEB2DF"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1</w:t>
            </w:r>
          </w:p>
        </w:tc>
        <w:tc>
          <w:tcPr>
            <w:tcW w:w="1240" w:type="dxa"/>
            <w:tcBorders>
              <w:top w:val="nil"/>
              <w:left w:val="nil"/>
              <w:bottom w:val="single" w:sz="4" w:space="0" w:color="auto"/>
              <w:right w:val="single" w:sz="8" w:space="0" w:color="auto"/>
            </w:tcBorders>
            <w:shd w:val="clear" w:color="auto" w:fill="auto"/>
            <w:noWrap/>
            <w:vAlign w:val="center"/>
            <w:hideMark/>
          </w:tcPr>
          <w:p w14:paraId="69E10E05"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25</w:t>
            </w:r>
          </w:p>
        </w:tc>
      </w:tr>
      <w:tr w:rsidR="00AB586F" w:rsidRPr="00AB586F" w14:paraId="12010E20" w14:textId="77777777" w:rsidTr="00AB586F">
        <w:trPr>
          <w:trHeight w:val="66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30DBFA6D"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2</w:t>
            </w:r>
          </w:p>
        </w:tc>
        <w:tc>
          <w:tcPr>
            <w:tcW w:w="1240" w:type="dxa"/>
            <w:tcBorders>
              <w:top w:val="nil"/>
              <w:left w:val="nil"/>
              <w:bottom w:val="single" w:sz="4" w:space="0" w:color="auto"/>
              <w:right w:val="single" w:sz="8" w:space="0" w:color="auto"/>
            </w:tcBorders>
            <w:shd w:val="clear" w:color="auto" w:fill="auto"/>
            <w:noWrap/>
            <w:vAlign w:val="center"/>
            <w:hideMark/>
          </w:tcPr>
          <w:p w14:paraId="0222F441"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25</w:t>
            </w:r>
          </w:p>
        </w:tc>
      </w:tr>
      <w:tr w:rsidR="00AB586F" w:rsidRPr="00AB586F" w14:paraId="4F5AF27D" w14:textId="77777777" w:rsidTr="00AB586F">
        <w:trPr>
          <w:trHeight w:val="30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4D87910E"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3</w:t>
            </w:r>
          </w:p>
        </w:tc>
        <w:tc>
          <w:tcPr>
            <w:tcW w:w="1240" w:type="dxa"/>
            <w:tcBorders>
              <w:top w:val="nil"/>
              <w:left w:val="nil"/>
              <w:bottom w:val="single" w:sz="4" w:space="0" w:color="auto"/>
              <w:right w:val="single" w:sz="8" w:space="0" w:color="auto"/>
            </w:tcBorders>
            <w:shd w:val="clear" w:color="auto" w:fill="auto"/>
            <w:noWrap/>
            <w:vAlign w:val="center"/>
            <w:hideMark/>
          </w:tcPr>
          <w:p w14:paraId="64D4B61A"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20</w:t>
            </w:r>
          </w:p>
        </w:tc>
      </w:tr>
      <w:tr w:rsidR="00AB586F" w:rsidRPr="00AB586F" w14:paraId="545C3F68" w14:textId="77777777" w:rsidTr="00AB586F">
        <w:trPr>
          <w:trHeight w:val="315"/>
        </w:trPr>
        <w:tc>
          <w:tcPr>
            <w:tcW w:w="1720" w:type="dxa"/>
            <w:tcBorders>
              <w:top w:val="nil"/>
              <w:left w:val="single" w:sz="8" w:space="0" w:color="auto"/>
              <w:bottom w:val="single" w:sz="8" w:space="0" w:color="auto"/>
              <w:right w:val="single" w:sz="4" w:space="0" w:color="auto"/>
            </w:tcBorders>
            <w:shd w:val="clear" w:color="auto" w:fill="auto"/>
            <w:noWrap/>
            <w:vAlign w:val="center"/>
            <w:hideMark/>
          </w:tcPr>
          <w:p w14:paraId="6F158697"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4</w:t>
            </w:r>
          </w:p>
        </w:tc>
        <w:tc>
          <w:tcPr>
            <w:tcW w:w="1240" w:type="dxa"/>
            <w:tcBorders>
              <w:top w:val="nil"/>
              <w:left w:val="nil"/>
              <w:bottom w:val="single" w:sz="8" w:space="0" w:color="auto"/>
              <w:right w:val="single" w:sz="8" w:space="0" w:color="auto"/>
            </w:tcBorders>
            <w:shd w:val="clear" w:color="auto" w:fill="auto"/>
            <w:noWrap/>
            <w:vAlign w:val="center"/>
            <w:hideMark/>
          </w:tcPr>
          <w:p w14:paraId="27D93F40" w14:textId="77777777" w:rsidR="00AB586F" w:rsidRPr="00AB586F" w:rsidRDefault="00AB586F" w:rsidP="00AB586F">
            <w:pPr>
              <w:spacing w:after="0" w:line="240" w:lineRule="auto"/>
              <w:jc w:val="center"/>
              <w:outlineLvl w:val="0"/>
              <w:rPr>
                <w:rFonts w:ascii="Calibri" w:eastAsia="Times New Roman" w:hAnsi="Calibri" w:cs="Calibri"/>
                <w:color w:val="000000"/>
                <w:lang w:eastAsia="en-GB"/>
              </w:rPr>
            </w:pPr>
            <w:r w:rsidRPr="00AB586F">
              <w:rPr>
                <w:rFonts w:ascii="Calibri" w:eastAsia="Times New Roman" w:hAnsi="Calibri" w:cs="Calibri"/>
                <w:color w:val="000000"/>
                <w:lang w:eastAsia="en-GB"/>
              </w:rPr>
              <w:t>55</w:t>
            </w:r>
          </w:p>
        </w:tc>
      </w:tr>
    </w:tbl>
    <w:p w14:paraId="27C3108C" w14:textId="2FBCD78B" w:rsidR="00A6744D" w:rsidRDefault="00A6744D" w:rsidP="00773E00"/>
    <w:p w14:paraId="7AA5AFDB" w14:textId="5320117A" w:rsidR="008C13C2" w:rsidRDefault="008C13C2" w:rsidP="00773E00">
      <w:r>
        <w:t>The Initial Investment for project A is 80</w:t>
      </w:r>
      <w:r w:rsidR="00846CCA">
        <w:t>.</w:t>
      </w:r>
    </w:p>
    <w:p w14:paraId="0D9642F0" w14:textId="284FBCBC" w:rsidR="00846CCA" w:rsidRDefault="00770619" w:rsidP="00773E00">
      <w:r>
        <w:t xml:space="preserve">The </w:t>
      </w:r>
      <w:r w:rsidR="00846CCA">
        <w:t xml:space="preserve">general </w:t>
      </w:r>
      <w:r>
        <w:t xml:space="preserve">Net Present Value formula is: </w:t>
      </w:r>
      <w:r w:rsidR="00846CCA">
        <w:t xml:space="preserve"> </w:t>
      </w:r>
    </w:p>
    <w:p w14:paraId="52275705" w14:textId="1A320FD6" w:rsidR="0087755A" w:rsidRDefault="00770619" w:rsidP="00773E00">
      <w:r w:rsidRPr="00770619">
        <w:t>NPV=-I + CF1/(1+</w:t>
      </w:r>
      <w:r w:rsidRPr="00770619">
        <w:t>r) ^</w:t>
      </w:r>
      <w:r w:rsidRPr="00770619">
        <w:t>1+CF2/(1+</w:t>
      </w:r>
      <w:r w:rsidR="008F2D64" w:rsidRPr="00770619">
        <w:t>r) ^</w:t>
      </w:r>
      <w:r w:rsidRPr="00770619">
        <w:t>2+CF3/(1+</w:t>
      </w:r>
      <w:r w:rsidR="008F2D64" w:rsidRPr="00770619">
        <w:t>r) ^</w:t>
      </w:r>
      <w:r w:rsidRPr="00770619">
        <w:t>3+CF4/(1+</w:t>
      </w:r>
      <w:r w:rsidR="008F2D64" w:rsidRPr="00770619">
        <w:t>r) ^</w:t>
      </w:r>
      <w:r w:rsidRPr="00770619">
        <w:t>4</w:t>
      </w:r>
      <w:r w:rsidR="002A0675">
        <w:t xml:space="preserve"> </w:t>
      </w:r>
      <w:r w:rsidR="00B65FE0">
        <w:t>+</w:t>
      </w:r>
      <w:proofErr w:type="gramStart"/>
      <w:r w:rsidR="00B65FE0">
        <w:t>….</w:t>
      </w:r>
      <w:proofErr w:type="spellStart"/>
      <w:r w:rsidR="00B65FE0">
        <w:t>CFn</w:t>
      </w:r>
      <w:proofErr w:type="spellEnd"/>
      <w:proofErr w:type="gramEnd"/>
      <w:r w:rsidR="00B65FE0">
        <w:t>/ (1+r) ^n</w:t>
      </w:r>
    </w:p>
    <w:p w14:paraId="20459FE0" w14:textId="3DEABE56" w:rsidR="00130F6B" w:rsidRDefault="00AB586F" w:rsidP="00773E00">
      <w:r>
        <w:t>Where:</w:t>
      </w:r>
      <w:r w:rsidR="00846CCA">
        <w:t xml:space="preserve"> </w:t>
      </w:r>
      <w:r>
        <w:t xml:space="preserve">I= </w:t>
      </w:r>
      <w:r w:rsidR="003C3ED1">
        <w:t>I</w:t>
      </w:r>
      <w:r>
        <w:t xml:space="preserve">nitial </w:t>
      </w:r>
      <w:r w:rsidR="00182C9F">
        <w:t>Investment;</w:t>
      </w:r>
      <w:r w:rsidR="00846CCA">
        <w:t xml:space="preserve"> </w:t>
      </w:r>
      <w:r w:rsidR="003C3ED1">
        <w:t xml:space="preserve">CF = cash flow generated each </w:t>
      </w:r>
      <w:r w:rsidR="00130F6B">
        <w:t>year</w:t>
      </w:r>
      <w:r w:rsidR="00846CCA">
        <w:t xml:space="preserve">; </w:t>
      </w:r>
      <w:r w:rsidR="00130F6B">
        <w:t>r= the cost of capital</w:t>
      </w:r>
    </w:p>
    <w:p w14:paraId="379C64B8" w14:textId="77777777" w:rsidR="00363A96" w:rsidRDefault="00846CCA" w:rsidP="00773E00">
      <w:r>
        <w:t xml:space="preserve">For project A the </w:t>
      </w:r>
      <w:r w:rsidR="00363A96">
        <w:t xml:space="preserve">Net Present Value Formula is </w:t>
      </w:r>
    </w:p>
    <w:p w14:paraId="47038198" w14:textId="09590834" w:rsidR="003C3ED1" w:rsidRDefault="00363A96" w:rsidP="00773E00">
      <w:r w:rsidRPr="00770619">
        <w:t>NPV=-I + CF1/(1+r) ^1+CF2/(1+r) ^2+CF3/(1+r) ^3+CF4/(1+r) ^4</w:t>
      </w:r>
    </w:p>
    <w:p w14:paraId="68D9A37A" w14:textId="35F71748" w:rsidR="0087755A" w:rsidRDefault="007B0AB2" w:rsidP="00773E00">
      <w:r>
        <w:t xml:space="preserve">For year </w:t>
      </w:r>
      <w:r w:rsidR="00CD1059">
        <w:t>1 for</w:t>
      </w:r>
      <w:r w:rsidR="00961BAD">
        <w:t xml:space="preserve"> example </w:t>
      </w:r>
      <w:r w:rsidR="00182C9F">
        <w:t>the Present</w:t>
      </w:r>
      <w:r>
        <w:t xml:space="preserve"> Value</w:t>
      </w:r>
      <w:r w:rsidR="00724A5A">
        <w:t xml:space="preserve"> (</w:t>
      </w:r>
      <w:proofErr w:type="gramStart"/>
      <w:r w:rsidR="00724A5A">
        <w:t xml:space="preserve">PV) </w:t>
      </w:r>
      <w:r>
        <w:t xml:space="preserve"> is</w:t>
      </w:r>
      <w:proofErr w:type="gramEnd"/>
      <w:r>
        <w:t xml:space="preserve"> </w:t>
      </w:r>
      <w:r w:rsidR="00724A5A">
        <w:t xml:space="preserve"> PV1 =</w:t>
      </w:r>
      <w:r>
        <w:t>CF1/(1+r) ^1</w:t>
      </w:r>
    </w:p>
    <w:p w14:paraId="6344EA03" w14:textId="7FBEFD57" w:rsidR="00514312" w:rsidRDefault="00514312" w:rsidP="00773E00">
      <w:r>
        <w:t xml:space="preserve">Tab. 19. </w:t>
      </w:r>
      <w:r w:rsidR="00FE2DD1">
        <w:t>Present Value calculation per year</w:t>
      </w:r>
    </w:p>
    <w:tbl>
      <w:tblPr>
        <w:tblW w:w="6840" w:type="dxa"/>
        <w:tblLook w:val="04A0" w:firstRow="1" w:lastRow="0" w:firstColumn="1" w:lastColumn="0" w:noHBand="0" w:noVBand="1"/>
      </w:tblPr>
      <w:tblGrid>
        <w:gridCol w:w="3040"/>
        <w:gridCol w:w="980"/>
        <w:gridCol w:w="920"/>
        <w:gridCol w:w="940"/>
        <w:gridCol w:w="960"/>
      </w:tblGrid>
      <w:tr w:rsidR="006A20D1" w:rsidRPr="006A20D1" w14:paraId="4A2EB419" w14:textId="77777777" w:rsidTr="006A20D1">
        <w:trPr>
          <w:trHeight w:val="300"/>
        </w:trPr>
        <w:tc>
          <w:tcPr>
            <w:tcW w:w="304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4933088" w14:textId="271A82A8" w:rsidR="006A20D1" w:rsidRPr="006A20D1" w:rsidRDefault="006A20D1" w:rsidP="006A20D1">
            <w:pPr>
              <w:spacing w:after="0" w:line="240" w:lineRule="auto"/>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 xml:space="preserve">Number of </w:t>
            </w:r>
            <w:r w:rsidR="00130F6B">
              <w:rPr>
                <w:rFonts w:ascii="Calibri" w:eastAsia="Times New Roman" w:hAnsi="Calibri" w:cs="Calibri"/>
                <w:color w:val="000000"/>
                <w:lang w:eastAsia="en-GB"/>
              </w:rPr>
              <w:t>years</w:t>
            </w:r>
          </w:p>
        </w:tc>
        <w:tc>
          <w:tcPr>
            <w:tcW w:w="980" w:type="dxa"/>
            <w:tcBorders>
              <w:top w:val="single" w:sz="8" w:space="0" w:color="auto"/>
              <w:left w:val="nil"/>
              <w:bottom w:val="single" w:sz="4" w:space="0" w:color="auto"/>
              <w:right w:val="single" w:sz="4" w:space="0" w:color="auto"/>
            </w:tcBorders>
            <w:shd w:val="clear" w:color="auto" w:fill="auto"/>
            <w:noWrap/>
            <w:vAlign w:val="bottom"/>
            <w:hideMark/>
          </w:tcPr>
          <w:p w14:paraId="7DB9B56F"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1</w:t>
            </w:r>
          </w:p>
        </w:tc>
        <w:tc>
          <w:tcPr>
            <w:tcW w:w="920" w:type="dxa"/>
            <w:tcBorders>
              <w:top w:val="single" w:sz="8" w:space="0" w:color="auto"/>
              <w:left w:val="nil"/>
              <w:bottom w:val="single" w:sz="4" w:space="0" w:color="auto"/>
              <w:right w:val="single" w:sz="4" w:space="0" w:color="auto"/>
            </w:tcBorders>
            <w:shd w:val="clear" w:color="auto" w:fill="auto"/>
            <w:noWrap/>
            <w:vAlign w:val="bottom"/>
            <w:hideMark/>
          </w:tcPr>
          <w:p w14:paraId="58724FF8"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14:paraId="3472C59F"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3</w:t>
            </w:r>
          </w:p>
        </w:tc>
        <w:tc>
          <w:tcPr>
            <w:tcW w:w="960" w:type="dxa"/>
            <w:tcBorders>
              <w:top w:val="single" w:sz="8" w:space="0" w:color="auto"/>
              <w:left w:val="nil"/>
              <w:bottom w:val="single" w:sz="4" w:space="0" w:color="auto"/>
              <w:right w:val="single" w:sz="8" w:space="0" w:color="auto"/>
            </w:tcBorders>
            <w:shd w:val="clear" w:color="auto" w:fill="auto"/>
            <w:noWrap/>
            <w:vAlign w:val="bottom"/>
            <w:hideMark/>
          </w:tcPr>
          <w:p w14:paraId="32142726"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4</w:t>
            </w:r>
          </w:p>
        </w:tc>
      </w:tr>
      <w:tr w:rsidR="006A20D1" w:rsidRPr="006A20D1" w14:paraId="690CB94F" w14:textId="77777777" w:rsidTr="006A20D1">
        <w:trPr>
          <w:trHeight w:val="300"/>
        </w:trPr>
        <w:tc>
          <w:tcPr>
            <w:tcW w:w="3040" w:type="dxa"/>
            <w:tcBorders>
              <w:top w:val="nil"/>
              <w:left w:val="single" w:sz="8" w:space="0" w:color="auto"/>
              <w:bottom w:val="single" w:sz="4" w:space="0" w:color="auto"/>
              <w:right w:val="single" w:sz="4" w:space="0" w:color="auto"/>
            </w:tcBorders>
            <w:shd w:val="clear" w:color="auto" w:fill="auto"/>
            <w:noWrap/>
            <w:vAlign w:val="bottom"/>
            <w:hideMark/>
          </w:tcPr>
          <w:p w14:paraId="7CBFEE02" w14:textId="1C0C7428" w:rsidR="006A20D1" w:rsidRPr="006A20D1" w:rsidRDefault="006A20D1" w:rsidP="006A20D1">
            <w:pPr>
              <w:spacing w:after="0" w:line="240" w:lineRule="auto"/>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Cash flow</w:t>
            </w:r>
            <w:r w:rsidR="00130F6B">
              <w:rPr>
                <w:rFonts w:ascii="Calibri" w:eastAsia="Times New Roman" w:hAnsi="Calibri" w:cs="Calibri"/>
                <w:color w:val="000000"/>
                <w:lang w:eastAsia="en-GB"/>
              </w:rPr>
              <w:t xml:space="preserve"> (</w:t>
            </w:r>
            <w:r w:rsidR="00182C9F">
              <w:rPr>
                <w:rFonts w:ascii="Calibri" w:eastAsia="Times New Roman" w:hAnsi="Calibri" w:cs="Calibri"/>
                <w:color w:val="000000"/>
                <w:lang w:eastAsia="en-GB"/>
              </w:rPr>
              <w:t>CF) generated</w:t>
            </w:r>
            <w:r w:rsidR="00130F6B">
              <w:rPr>
                <w:rFonts w:ascii="Calibri" w:eastAsia="Times New Roman" w:hAnsi="Calibri" w:cs="Calibri"/>
                <w:color w:val="000000"/>
                <w:lang w:eastAsia="en-GB"/>
              </w:rPr>
              <w:t xml:space="preserve"> per year</w:t>
            </w:r>
          </w:p>
        </w:tc>
        <w:tc>
          <w:tcPr>
            <w:tcW w:w="980" w:type="dxa"/>
            <w:tcBorders>
              <w:top w:val="nil"/>
              <w:left w:val="nil"/>
              <w:bottom w:val="single" w:sz="4" w:space="0" w:color="auto"/>
              <w:right w:val="single" w:sz="4" w:space="0" w:color="auto"/>
            </w:tcBorders>
            <w:shd w:val="clear" w:color="auto" w:fill="auto"/>
            <w:noWrap/>
            <w:vAlign w:val="bottom"/>
            <w:hideMark/>
          </w:tcPr>
          <w:p w14:paraId="6A1AB524"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25</w:t>
            </w:r>
          </w:p>
        </w:tc>
        <w:tc>
          <w:tcPr>
            <w:tcW w:w="920" w:type="dxa"/>
            <w:tcBorders>
              <w:top w:val="nil"/>
              <w:left w:val="nil"/>
              <w:bottom w:val="single" w:sz="4" w:space="0" w:color="auto"/>
              <w:right w:val="single" w:sz="4" w:space="0" w:color="auto"/>
            </w:tcBorders>
            <w:shd w:val="clear" w:color="auto" w:fill="auto"/>
            <w:noWrap/>
            <w:vAlign w:val="bottom"/>
            <w:hideMark/>
          </w:tcPr>
          <w:p w14:paraId="1DA40E02"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25</w:t>
            </w:r>
          </w:p>
        </w:tc>
        <w:tc>
          <w:tcPr>
            <w:tcW w:w="940" w:type="dxa"/>
            <w:tcBorders>
              <w:top w:val="nil"/>
              <w:left w:val="nil"/>
              <w:bottom w:val="single" w:sz="4" w:space="0" w:color="auto"/>
              <w:right w:val="single" w:sz="4" w:space="0" w:color="auto"/>
            </w:tcBorders>
            <w:shd w:val="clear" w:color="auto" w:fill="auto"/>
            <w:noWrap/>
            <w:vAlign w:val="bottom"/>
            <w:hideMark/>
          </w:tcPr>
          <w:p w14:paraId="39BA13BB"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20</w:t>
            </w:r>
          </w:p>
        </w:tc>
        <w:tc>
          <w:tcPr>
            <w:tcW w:w="960" w:type="dxa"/>
            <w:tcBorders>
              <w:top w:val="nil"/>
              <w:left w:val="nil"/>
              <w:bottom w:val="single" w:sz="4" w:space="0" w:color="auto"/>
              <w:right w:val="single" w:sz="8" w:space="0" w:color="auto"/>
            </w:tcBorders>
            <w:shd w:val="clear" w:color="auto" w:fill="auto"/>
            <w:noWrap/>
            <w:vAlign w:val="bottom"/>
            <w:hideMark/>
          </w:tcPr>
          <w:p w14:paraId="3293BED5"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55</w:t>
            </w:r>
          </w:p>
        </w:tc>
      </w:tr>
      <w:tr w:rsidR="006A20D1" w:rsidRPr="006A20D1" w14:paraId="1EE8FBCD" w14:textId="77777777" w:rsidTr="006A20D1">
        <w:trPr>
          <w:trHeight w:val="315"/>
        </w:trPr>
        <w:tc>
          <w:tcPr>
            <w:tcW w:w="3040" w:type="dxa"/>
            <w:tcBorders>
              <w:top w:val="nil"/>
              <w:left w:val="single" w:sz="8" w:space="0" w:color="auto"/>
              <w:bottom w:val="single" w:sz="8" w:space="0" w:color="auto"/>
              <w:right w:val="single" w:sz="4" w:space="0" w:color="auto"/>
            </w:tcBorders>
            <w:shd w:val="clear" w:color="auto" w:fill="auto"/>
            <w:noWrap/>
            <w:vAlign w:val="bottom"/>
            <w:hideMark/>
          </w:tcPr>
          <w:p w14:paraId="282DF3ED" w14:textId="28C68198" w:rsidR="006A20D1" w:rsidRPr="006A20D1" w:rsidRDefault="006A20D1" w:rsidP="006A20D1">
            <w:pPr>
              <w:spacing w:after="0" w:line="240" w:lineRule="auto"/>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Present Value</w:t>
            </w:r>
            <w:r w:rsidR="002E6F45">
              <w:rPr>
                <w:rFonts w:ascii="Calibri" w:eastAsia="Times New Roman" w:hAnsi="Calibri" w:cs="Calibri"/>
                <w:color w:val="000000"/>
                <w:lang w:eastAsia="en-GB"/>
              </w:rPr>
              <w:t xml:space="preserve"> (</w:t>
            </w:r>
            <w:r w:rsidR="00182C9F">
              <w:rPr>
                <w:rFonts w:ascii="Calibri" w:eastAsia="Times New Roman" w:hAnsi="Calibri" w:cs="Calibri"/>
                <w:color w:val="000000"/>
                <w:lang w:eastAsia="en-GB"/>
              </w:rPr>
              <w:t>PV) per</w:t>
            </w:r>
            <w:r w:rsidR="00D109EB">
              <w:rPr>
                <w:rFonts w:ascii="Calibri" w:eastAsia="Times New Roman" w:hAnsi="Calibri" w:cs="Calibri"/>
                <w:color w:val="000000"/>
                <w:lang w:eastAsia="en-GB"/>
              </w:rPr>
              <w:t xml:space="preserve"> </w:t>
            </w:r>
            <w:r w:rsidR="00130F6B">
              <w:rPr>
                <w:rFonts w:ascii="Calibri" w:eastAsia="Times New Roman" w:hAnsi="Calibri" w:cs="Calibri"/>
                <w:color w:val="000000"/>
                <w:lang w:eastAsia="en-GB"/>
              </w:rPr>
              <w:t>year</w:t>
            </w:r>
          </w:p>
        </w:tc>
        <w:tc>
          <w:tcPr>
            <w:tcW w:w="980" w:type="dxa"/>
            <w:tcBorders>
              <w:top w:val="nil"/>
              <w:left w:val="nil"/>
              <w:bottom w:val="single" w:sz="8" w:space="0" w:color="auto"/>
              <w:right w:val="single" w:sz="4" w:space="0" w:color="auto"/>
            </w:tcBorders>
            <w:shd w:val="clear" w:color="auto" w:fill="auto"/>
            <w:noWrap/>
            <w:vAlign w:val="bottom"/>
            <w:hideMark/>
          </w:tcPr>
          <w:p w14:paraId="05F397FA"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22.78</w:t>
            </w:r>
          </w:p>
        </w:tc>
        <w:tc>
          <w:tcPr>
            <w:tcW w:w="920" w:type="dxa"/>
            <w:tcBorders>
              <w:top w:val="nil"/>
              <w:left w:val="nil"/>
              <w:bottom w:val="single" w:sz="8" w:space="0" w:color="auto"/>
              <w:right w:val="single" w:sz="4" w:space="0" w:color="auto"/>
            </w:tcBorders>
            <w:shd w:val="clear" w:color="auto" w:fill="auto"/>
            <w:noWrap/>
            <w:vAlign w:val="bottom"/>
            <w:hideMark/>
          </w:tcPr>
          <w:p w14:paraId="6D1A133B"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20.76</w:t>
            </w:r>
          </w:p>
        </w:tc>
        <w:tc>
          <w:tcPr>
            <w:tcW w:w="940" w:type="dxa"/>
            <w:tcBorders>
              <w:top w:val="nil"/>
              <w:left w:val="nil"/>
              <w:bottom w:val="single" w:sz="8" w:space="0" w:color="auto"/>
              <w:right w:val="single" w:sz="4" w:space="0" w:color="auto"/>
            </w:tcBorders>
            <w:shd w:val="clear" w:color="auto" w:fill="auto"/>
            <w:noWrap/>
            <w:vAlign w:val="bottom"/>
            <w:hideMark/>
          </w:tcPr>
          <w:p w14:paraId="1C60AE3B"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15.13</w:t>
            </w:r>
          </w:p>
        </w:tc>
        <w:tc>
          <w:tcPr>
            <w:tcW w:w="960" w:type="dxa"/>
            <w:tcBorders>
              <w:top w:val="nil"/>
              <w:left w:val="nil"/>
              <w:bottom w:val="single" w:sz="8" w:space="0" w:color="auto"/>
              <w:right w:val="single" w:sz="8" w:space="0" w:color="auto"/>
            </w:tcBorders>
            <w:shd w:val="clear" w:color="auto" w:fill="auto"/>
            <w:noWrap/>
            <w:vAlign w:val="bottom"/>
            <w:hideMark/>
          </w:tcPr>
          <w:p w14:paraId="4408C136" w14:textId="77777777" w:rsidR="006A20D1" w:rsidRPr="006A20D1" w:rsidRDefault="006A20D1" w:rsidP="006A20D1">
            <w:pPr>
              <w:spacing w:after="0" w:line="240" w:lineRule="auto"/>
              <w:jc w:val="right"/>
              <w:outlineLvl w:val="0"/>
              <w:rPr>
                <w:rFonts w:ascii="Calibri" w:eastAsia="Times New Roman" w:hAnsi="Calibri" w:cs="Calibri"/>
                <w:color w:val="000000"/>
                <w:lang w:eastAsia="en-GB"/>
              </w:rPr>
            </w:pPr>
            <w:r w:rsidRPr="006A20D1">
              <w:rPr>
                <w:rFonts w:ascii="Calibri" w:eastAsia="Times New Roman" w:hAnsi="Calibri" w:cs="Calibri"/>
                <w:color w:val="000000"/>
                <w:lang w:eastAsia="en-GB"/>
              </w:rPr>
              <w:t>37.91</w:t>
            </w:r>
          </w:p>
        </w:tc>
      </w:tr>
    </w:tbl>
    <w:p w14:paraId="178CD87E" w14:textId="77777777" w:rsidR="000A2511" w:rsidRDefault="00961BAD" w:rsidP="00773E00">
      <w:r>
        <w:t xml:space="preserve"> </w:t>
      </w:r>
    </w:p>
    <w:p w14:paraId="29651669" w14:textId="725160DD" w:rsidR="009769C0" w:rsidRDefault="00961BAD" w:rsidP="00773E00">
      <w:r>
        <w:t xml:space="preserve">So NPV = </w:t>
      </w:r>
      <w:r w:rsidR="006A20D1">
        <w:t>-80+22.78+20.76+15.13+37.91 = 16.57</w:t>
      </w:r>
    </w:p>
    <w:p w14:paraId="0A1D8CA9" w14:textId="0FA7C4FB" w:rsidR="001156AA" w:rsidRDefault="001156AA" w:rsidP="00773E00">
      <w:r>
        <w:t>For Project A the Net Present Value is 16.57</w:t>
      </w:r>
      <w:r w:rsidR="0015525A">
        <w:t>.</w:t>
      </w:r>
    </w:p>
    <w:p w14:paraId="7B678758" w14:textId="77777777" w:rsidR="00CC2032" w:rsidRDefault="00CC2032" w:rsidP="00773E00">
      <w:pPr>
        <w:rPr>
          <w:b/>
          <w:bCs/>
        </w:rPr>
      </w:pPr>
    </w:p>
    <w:p w14:paraId="643D46A0" w14:textId="77777777" w:rsidR="00CC2032" w:rsidRDefault="00CC2032" w:rsidP="00773E00">
      <w:pPr>
        <w:rPr>
          <w:b/>
          <w:bCs/>
        </w:rPr>
      </w:pPr>
    </w:p>
    <w:p w14:paraId="1A6F09BD" w14:textId="77777777" w:rsidR="00CC2032" w:rsidRDefault="00CC2032" w:rsidP="00773E00">
      <w:pPr>
        <w:rPr>
          <w:b/>
          <w:bCs/>
        </w:rPr>
      </w:pPr>
    </w:p>
    <w:p w14:paraId="063C7B03" w14:textId="77777777" w:rsidR="00CC2032" w:rsidRDefault="00CC2032" w:rsidP="00773E00">
      <w:pPr>
        <w:rPr>
          <w:b/>
          <w:bCs/>
        </w:rPr>
      </w:pPr>
    </w:p>
    <w:p w14:paraId="369EED68" w14:textId="77777777" w:rsidR="00CC2032" w:rsidRDefault="00CC2032" w:rsidP="00773E00">
      <w:pPr>
        <w:rPr>
          <w:b/>
          <w:bCs/>
        </w:rPr>
      </w:pPr>
    </w:p>
    <w:p w14:paraId="34921184" w14:textId="77777777" w:rsidR="00CC2032" w:rsidRDefault="00CC2032" w:rsidP="00773E00">
      <w:pPr>
        <w:rPr>
          <w:b/>
          <w:bCs/>
        </w:rPr>
      </w:pPr>
    </w:p>
    <w:p w14:paraId="19EBB623" w14:textId="77777777" w:rsidR="00CC2032" w:rsidRDefault="00CC2032" w:rsidP="00773E00">
      <w:pPr>
        <w:rPr>
          <w:b/>
          <w:bCs/>
        </w:rPr>
      </w:pPr>
    </w:p>
    <w:p w14:paraId="455C494F" w14:textId="77777777" w:rsidR="00CC2032" w:rsidRDefault="00CC2032" w:rsidP="00773E00">
      <w:pPr>
        <w:rPr>
          <w:b/>
          <w:bCs/>
        </w:rPr>
      </w:pPr>
    </w:p>
    <w:p w14:paraId="323C8975" w14:textId="02B71990" w:rsidR="0015525A" w:rsidRPr="00CD1059" w:rsidRDefault="00CD1059" w:rsidP="00773E00">
      <w:pPr>
        <w:rPr>
          <w:b/>
          <w:bCs/>
        </w:rPr>
      </w:pPr>
      <w:r w:rsidRPr="00CD1059">
        <w:rPr>
          <w:b/>
          <w:bCs/>
        </w:rPr>
        <w:t>Project B</w:t>
      </w:r>
    </w:p>
    <w:p w14:paraId="7807DA06" w14:textId="5D09F6A1" w:rsidR="00CD1059" w:rsidRDefault="006E1B54" w:rsidP="00773E00">
      <w:r>
        <w:t xml:space="preserve">For project B the required data to calculate the Net Present Value are in the Table  </w:t>
      </w:r>
    </w:p>
    <w:p w14:paraId="62475A6C" w14:textId="0F1B31AE" w:rsidR="00FE2DD1" w:rsidRDefault="00FE2DD1" w:rsidP="00773E00">
      <w:r>
        <w:t>Tab. 20. Project B – initial investment and cash flow</w:t>
      </w:r>
    </w:p>
    <w:tbl>
      <w:tblPr>
        <w:tblW w:w="2220" w:type="dxa"/>
        <w:tblLook w:val="04A0" w:firstRow="1" w:lastRow="0" w:firstColumn="1" w:lastColumn="0" w:noHBand="0" w:noVBand="1"/>
      </w:tblPr>
      <w:tblGrid>
        <w:gridCol w:w="980"/>
        <w:gridCol w:w="1240"/>
      </w:tblGrid>
      <w:tr w:rsidR="008F1FC8" w:rsidRPr="008F1FC8" w14:paraId="02942CF4" w14:textId="77777777" w:rsidTr="008F1FC8">
        <w:trPr>
          <w:trHeight w:val="615"/>
        </w:trPr>
        <w:tc>
          <w:tcPr>
            <w:tcW w:w="98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B8389A4" w14:textId="77777777" w:rsidR="008F1FC8" w:rsidRPr="008F1FC8" w:rsidRDefault="008F1FC8" w:rsidP="008F1FC8">
            <w:pPr>
              <w:spacing w:after="0" w:line="240" w:lineRule="auto"/>
              <w:rPr>
                <w:rFonts w:ascii="Calibri" w:eastAsia="Times New Roman" w:hAnsi="Calibri" w:cs="Calibri"/>
                <w:color w:val="000000"/>
                <w:lang w:eastAsia="en-GB"/>
              </w:rPr>
            </w:pPr>
            <w:r w:rsidRPr="008F1FC8">
              <w:rPr>
                <w:rFonts w:ascii="Calibri" w:eastAsia="Times New Roman" w:hAnsi="Calibri" w:cs="Calibri"/>
                <w:color w:val="000000"/>
                <w:lang w:eastAsia="en-GB"/>
              </w:rPr>
              <w:t> </w:t>
            </w:r>
          </w:p>
        </w:tc>
        <w:tc>
          <w:tcPr>
            <w:tcW w:w="1240" w:type="dxa"/>
            <w:tcBorders>
              <w:top w:val="single" w:sz="8" w:space="0" w:color="auto"/>
              <w:left w:val="nil"/>
              <w:bottom w:val="single" w:sz="4" w:space="0" w:color="auto"/>
              <w:right w:val="single" w:sz="8" w:space="0" w:color="auto"/>
            </w:tcBorders>
            <w:shd w:val="clear" w:color="auto" w:fill="auto"/>
            <w:vAlign w:val="bottom"/>
            <w:hideMark/>
          </w:tcPr>
          <w:p w14:paraId="70442D8B" w14:textId="77777777" w:rsidR="008F1FC8" w:rsidRPr="008F1FC8" w:rsidRDefault="008F1FC8" w:rsidP="008F1FC8">
            <w:pPr>
              <w:spacing w:after="0" w:line="240" w:lineRule="auto"/>
              <w:rPr>
                <w:rFonts w:ascii="Calibri" w:eastAsia="Times New Roman" w:hAnsi="Calibri" w:cs="Calibri"/>
                <w:color w:val="000000"/>
                <w:lang w:eastAsia="en-GB"/>
              </w:rPr>
            </w:pPr>
            <w:r w:rsidRPr="008F1FC8">
              <w:rPr>
                <w:rFonts w:ascii="Calibri" w:eastAsia="Times New Roman" w:hAnsi="Calibri" w:cs="Calibri"/>
                <w:color w:val="000000"/>
                <w:lang w:eastAsia="en-GB"/>
              </w:rPr>
              <w:t>Projected Cash Flow</w:t>
            </w:r>
          </w:p>
        </w:tc>
      </w:tr>
      <w:tr w:rsidR="008F1FC8" w:rsidRPr="008F1FC8" w14:paraId="029A56F5" w14:textId="77777777" w:rsidTr="008F1FC8">
        <w:trPr>
          <w:trHeight w:val="315"/>
        </w:trPr>
        <w:tc>
          <w:tcPr>
            <w:tcW w:w="980" w:type="dxa"/>
            <w:tcBorders>
              <w:top w:val="nil"/>
              <w:left w:val="single" w:sz="8" w:space="0" w:color="auto"/>
              <w:bottom w:val="single" w:sz="8" w:space="0" w:color="auto"/>
              <w:right w:val="single" w:sz="4" w:space="0" w:color="auto"/>
            </w:tcBorders>
            <w:shd w:val="clear" w:color="auto" w:fill="auto"/>
            <w:noWrap/>
            <w:vAlign w:val="bottom"/>
            <w:hideMark/>
          </w:tcPr>
          <w:p w14:paraId="098D3F12" w14:textId="77777777" w:rsidR="008F1FC8" w:rsidRPr="008F1FC8" w:rsidRDefault="008F1FC8" w:rsidP="008F1FC8">
            <w:pPr>
              <w:spacing w:after="0" w:line="240" w:lineRule="auto"/>
              <w:rPr>
                <w:rFonts w:ascii="Calibri" w:eastAsia="Times New Roman" w:hAnsi="Calibri" w:cs="Calibri"/>
                <w:color w:val="000000"/>
                <w:lang w:eastAsia="en-GB"/>
              </w:rPr>
            </w:pPr>
            <w:r w:rsidRPr="008F1FC8">
              <w:rPr>
                <w:rFonts w:ascii="Calibri" w:eastAsia="Times New Roman" w:hAnsi="Calibri" w:cs="Calibri"/>
                <w:color w:val="000000"/>
                <w:lang w:eastAsia="en-GB"/>
              </w:rPr>
              <w:t>Year</w:t>
            </w:r>
          </w:p>
        </w:tc>
        <w:tc>
          <w:tcPr>
            <w:tcW w:w="1240" w:type="dxa"/>
            <w:tcBorders>
              <w:top w:val="nil"/>
              <w:left w:val="nil"/>
              <w:bottom w:val="single" w:sz="8" w:space="0" w:color="auto"/>
              <w:right w:val="single" w:sz="8" w:space="0" w:color="auto"/>
            </w:tcBorders>
            <w:shd w:val="clear" w:color="auto" w:fill="auto"/>
            <w:noWrap/>
            <w:vAlign w:val="bottom"/>
            <w:hideMark/>
          </w:tcPr>
          <w:p w14:paraId="0AB95263" w14:textId="77777777" w:rsidR="008F1FC8" w:rsidRPr="008F1FC8" w:rsidRDefault="008F1FC8" w:rsidP="008F1FC8">
            <w:pPr>
              <w:spacing w:after="0" w:line="240" w:lineRule="auto"/>
              <w:rPr>
                <w:rFonts w:ascii="Calibri" w:eastAsia="Times New Roman" w:hAnsi="Calibri" w:cs="Calibri"/>
                <w:color w:val="000000"/>
                <w:lang w:eastAsia="en-GB"/>
              </w:rPr>
            </w:pPr>
            <w:r w:rsidRPr="008F1FC8">
              <w:rPr>
                <w:rFonts w:ascii="Calibri" w:eastAsia="Times New Roman" w:hAnsi="Calibri" w:cs="Calibri"/>
                <w:color w:val="000000"/>
                <w:lang w:eastAsia="en-GB"/>
              </w:rPr>
              <w:t>Project B</w:t>
            </w:r>
          </w:p>
        </w:tc>
      </w:tr>
      <w:tr w:rsidR="008F1FC8" w:rsidRPr="008F1FC8" w14:paraId="511D6B70" w14:textId="77777777" w:rsidTr="008F1FC8">
        <w:trPr>
          <w:trHeight w:val="300"/>
        </w:trPr>
        <w:tc>
          <w:tcPr>
            <w:tcW w:w="980" w:type="dxa"/>
            <w:tcBorders>
              <w:top w:val="nil"/>
              <w:left w:val="single" w:sz="8" w:space="0" w:color="auto"/>
              <w:bottom w:val="single" w:sz="4" w:space="0" w:color="auto"/>
              <w:right w:val="single" w:sz="4" w:space="0" w:color="auto"/>
            </w:tcBorders>
            <w:shd w:val="clear" w:color="auto" w:fill="auto"/>
            <w:noWrap/>
            <w:vAlign w:val="bottom"/>
            <w:hideMark/>
          </w:tcPr>
          <w:p w14:paraId="7606A5A8" w14:textId="77777777" w:rsidR="008F1FC8" w:rsidRPr="008F1FC8" w:rsidRDefault="008F1FC8" w:rsidP="008F1FC8">
            <w:pPr>
              <w:spacing w:after="0" w:line="240" w:lineRule="auto"/>
              <w:jc w:val="center"/>
              <w:rPr>
                <w:rFonts w:ascii="Calibri" w:eastAsia="Times New Roman" w:hAnsi="Calibri" w:cs="Calibri"/>
                <w:color w:val="000000"/>
                <w:lang w:eastAsia="en-GB"/>
              </w:rPr>
            </w:pPr>
            <w:r w:rsidRPr="008F1FC8">
              <w:rPr>
                <w:rFonts w:ascii="Calibri" w:eastAsia="Times New Roman" w:hAnsi="Calibri" w:cs="Calibri"/>
                <w:color w:val="000000"/>
                <w:lang w:eastAsia="en-GB"/>
              </w:rPr>
              <w:t>0</w:t>
            </w:r>
          </w:p>
        </w:tc>
        <w:tc>
          <w:tcPr>
            <w:tcW w:w="1240" w:type="dxa"/>
            <w:tcBorders>
              <w:top w:val="nil"/>
              <w:left w:val="nil"/>
              <w:bottom w:val="single" w:sz="4" w:space="0" w:color="auto"/>
              <w:right w:val="single" w:sz="8" w:space="0" w:color="auto"/>
            </w:tcBorders>
            <w:shd w:val="clear" w:color="auto" w:fill="auto"/>
            <w:noWrap/>
            <w:vAlign w:val="bottom"/>
            <w:hideMark/>
          </w:tcPr>
          <w:p w14:paraId="780E2138" w14:textId="77777777" w:rsidR="008F1FC8" w:rsidRPr="008F1FC8" w:rsidRDefault="008F1FC8" w:rsidP="008F1FC8">
            <w:pPr>
              <w:spacing w:after="0" w:line="240" w:lineRule="auto"/>
              <w:jc w:val="right"/>
              <w:rPr>
                <w:rFonts w:ascii="Calibri" w:eastAsia="Times New Roman" w:hAnsi="Calibri" w:cs="Calibri"/>
                <w:color w:val="000000"/>
                <w:lang w:eastAsia="en-GB"/>
              </w:rPr>
            </w:pPr>
            <w:r w:rsidRPr="008F1FC8">
              <w:rPr>
                <w:rFonts w:ascii="Calibri" w:eastAsia="Times New Roman" w:hAnsi="Calibri" w:cs="Calibri"/>
                <w:color w:val="000000"/>
                <w:lang w:eastAsia="en-GB"/>
              </w:rPr>
              <w:t>-75</w:t>
            </w:r>
          </w:p>
        </w:tc>
      </w:tr>
      <w:tr w:rsidR="008F1FC8" w:rsidRPr="008F1FC8" w14:paraId="77F94823" w14:textId="77777777" w:rsidTr="008F1FC8">
        <w:trPr>
          <w:trHeight w:val="300"/>
        </w:trPr>
        <w:tc>
          <w:tcPr>
            <w:tcW w:w="980" w:type="dxa"/>
            <w:tcBorders>
              <w:top w:val="nil"/>
              <w:left w:val="single" w:sz="8" w:space="0" w:color="auto"/>
              <w:bottom w:val="single" w:sz="4" w:space="0" w:color="auto"/>
              <w:right w:val="single" w:sz="4" w:space="0" w:color="auto"/>
            </w:tcBorders>
            <w:shd w:val="clear" w:color="auto" w:fill="auto"/>
            <w:noWrap/>
            <w:vAlign w:val="bottom"/>
            <w:hideMark/>
          </w:tcPr>
          <w:p w14:paraId="70AF7888" w14:textId="77777777" w:rsidR="008F1FC8" w:rsidRPr="008F1FC8" w:rsidRDefault="008F1FC8" w:rsidP="008F1FC8">
            <w:pPr>
              <w:spacing w:after="0" w:line="240" w:lineRule="auto"/>
              <w:jc w:val="center"/>
              <w:rPr>
                <w:rFonts w:ascii="Calibri" w:eastAsia="Times New Roman" w:hAnsi="Calibri" w:cs="Calibri"/>
                <w:color w:val="000000"/>
                <w:lang w:eastAsia="en-GB"/>
              </w:rPr>
            </w:pPr>
            <w:r w:rsidRPr="008F1FC8">
              <w:rPr>
                <w:rFonts w:ascii="Calibri" w:eastAsia="Times New Roman" w:hAnsi="Calibri" w:cs="Calibri"/>
                <w:color w:val="000000"/>
                <w:lang w:eastAsia="en-GB"/>
              </w:rPr>
              <w:t>1</w:t>
            </w:r>
          </w:p>
        </w:tc>
        <w:tc>
          <w:tcPr>
            <w:tcW w:w="1240" w:type="dxa"/>
            <w:tcBorders>
              <w:top w:val="nil"/>
              <w:left w:val="nil"/>
              <w:bottom w:val="single" w:sz="4" w:space="0" w:color="auto"/>
              <w:right w:val="single" w:sz="8" w:space="0" w:color="auto"/>
            </w:tcBorders>
            <w:shd w:val="clear" w:color="auto" w:fill="auto"/>
            <w:noWrap/>
            <w:vAlign w:val="bottom"/>
            <w:hideMark/>
          </w:tcPr>
          <w:p w14:paraId="16AFF93D" w14:textId="77777777" w:rsidR="008F1FC8" w:rsidRPr="008F1FC8" w:rsidRDefault="008F1FC8" w:rsidP="008F1FC8">
            <w:pPr>
              <w:spacing w:after="0" w:line="240" w:lineRule="auto"/>
              <w:jc w:val="right"/>
              <w:rPr>
                <w:rFonts w:ascii="Calibri" w:eastAsia="Times New Roman" w:hAnsi="Calibri" w:cs="Calibri"/>
                <w:color w:val="000000"/>
                <w:lang w:eastAsia="en-GB"/>
              </w:rPr>
            </w:pPr>
            <w:r w:rsidRPr="008F1FC8">
              <w:rPr>
                <w:rFonts w:ascii="Calibri" w:eastAsia="Times New Roman" w:hAnsi="Calibri" w:cs="Calibri"/>
                <w:color w:val="000000"/>
                <w:lang w:eastAsia="en-GB"/>
              </w:rPr>
              <w:t>50</w:t>
            </w:r>
          </w:p>
        </w:tc>
      </w:tr>
      <w:tr w:rsidR="008F1FC8" w:rsidRPr="008F1FC8" w14:paraId="7A67065B" w14:textId="77777777" w:rsidTr="008F1FC8">
        <w:trPr>
          <w:trHeight w:val="300"/>
        </w:trPr>
        <w:tc>
          <w:tcPr>
            <w:tcW w:w="980" w:type="dxa"/>
            <w:tcBorders>
              <w:top w:val="nil"/>
              <w:left w:val="single" w:sz="8" w:space="0" w:color="auto"/>
              <w:bottom w:val="single" w:sz="4" w:space="0" w:color="auto"/>
              <w:right w:val="single" w:sz="4" w:space="0" w:color="auto"/>
            </w:tcBorders>
            <w:shd w:val="clear" w:color="auto" w:fill="auto"/>
            <w:noWrap/>
            <w:vAlign w:val="bottom"/>
            <w:hideMark/>
          </w:tcPr>
          <w:p w14:paraId="315162A6" w14:textId="77777777" w:rsidR="008F1FC8" w:rsidRPr="008F1FC8" w:rsidRDefault="008F1FC8" w:rsidP="008F1FC8">
            <w:pPr>
              <w:spacing w:after="0" w:line="240" w:lineRule="auto"/>
              <w:jc w:val="center"/>
              <w:rPr>
                <w:rFonts w:ascii="Calibri" w:eastAsia="Times New Roman" w:hAnsi="Calibri" w:cs="Calibri"/>
                <w:color w:val="000000"/>
                <w:lang w:eastAsia="en-GB"/>
              </w:rPr>
            </w:pPr>
            <w:r w:rsidRPr="008F1FC8">
              <w:rPr>
                <w:rFonts w:ascii="Calibri" w:eastAsia="Times New Roman" w:hAnsi="Calibri" w:cs="Calibri"/>
                <w:color w:val="000000"/>
                <w:lang w:eastAsia="en-GB"/>
              </w:rPr>
              <w:t>2</w:t>
            </w:r>
          </w:p>
        </w:tc>
        <w:tc>
          <w:tcPr>
            <w:tcW w:w="1240" w:type="dxa"/>
            <w:tcBorders>
              <w:top w:val="nil"/>
              <w:left w:val="nil"/>
              <w:bottom w:val="single" w:sz="4" w:space="0" w:color="auto"/>
              <w:right w:val="single" w:sz="8" w:space="0" w:color="auto"/>
            </w:tcBorders>
            <w:shd w:val="clear" w:color="auto" w:fill="auto"/>
            <w:noWrap/>
            <w:vAlign w:val="bottom"/>
            <w:hideMark/>
          </w:tcPr>
          <w:p w14:paraId="1A423E91" w14:textId="77777777" w:rsidR="008F1FC8" w:rsidRPr="008F1FC8" w:rsidRDefault="008F1FC8" w:rsidP="008F1FC8">
            <w:pPr>
              <w:spacing w:after="0" w:line="240" w:lineRule="auto"/>
              <w:jc w:val="right"/>
              <w:rPr>
                <w:rFonts w:ascii="Calibri" w:eastAsia="Times New Roman" w:hAnsi="Calibri" w:cs="Calibri"/>
                <w:color w:val="000000"/>
                <w:lang w:eastAsia="en-GB"/>
              </w:rPr>
            </w:pPr>
            <w:r w:rsidRPr="008F1FC8">
              <w:rPr>
                <w:rFonts w:ascii="Calibri" w:eastAsia="Times New Roman" w:hAnsi="Calibri" w:cs="Calibri"/>
                <w:color w:val="000000"/>
                <w:lang w:eastAsia="en-GB"/>
              </w:rPr>
              <w:t>20</w:t>
            </w:r>
          </w:p>
        </w:tc>
      </w:tr>
      <w:tr w:rsidR="008F1FC8" w:rsidRPr="008F1FC8" w14:paraId="5A867981" w14:textId="77777777" w:rsidTr="008F1FC8">
        <w:trPr>
          <w:trHeight w:val="300"/>
        </w:trPr>
        <w:tc>
          <w:tcPr>
            <w:tcW w:w="980" w:type="dxa"/>
            <w:tcBorders>
              <w:top w:val="nil"/>
              <w:left w:val="single" w:sz="8" w:space="0" w:color="auto"/>
              <w:bottom w:val="single" w:sz="4" w:space="0" w:color="auto"/>
              <w:right w:val="single" w:sz="4" w:space="0" w:color="auto"/>
            </w:tcBorders>
            <w:shd w:val="clear" w:color="auto" w:fill="auto"/>
            <w:noWrap/>
            <w:vAlign w:val="bottom"/>
            <w:hideMark/>
          </w:tcPr>
          <w:p w14:paraId="5D6BCE6A" w14:textId="77777777" w:rsidR="008F1FC8" w:rsidRPr="008F1FC8" w:rsidRDefault="008F1FC8" w:rsidP="008F1FC8">
            <w:pPr>
              <w:spacing w:after="0" w:line="240" w:lineRule="auto"/>
              <w:jc w:val="center"/>
              <w:rPr>
                <w:rFonts w:ascii="Calibri" w:eastAsia="Times New Roman" w:hAnsi="Calibri" w:cs="Calibri"/>
                <w:color w:val="000000"/>
                <w:lang w:eastAsia="en-GB"/>
              </w:rPr>
            </w:pPr>
            <w:r w:rsidRPr="008F1FC8">
              <w:rPr>
                <w:rFonts w:ascii="Calibri" w:eastAsia="Times New Roman" w:hAnsi="Calibri" w:cs="Calibri"/>
                <w:color w:val="000000"/>
                <w:lang w:eastAsia="en-GB"/>
              </w:rPr>
              <w:t>3</w:t>
            </w:r>
          </w:p>
        </w:tc>
        <w:tc>
          <w:tcPr>
            <w:tcW w:w="1240" w:type="dxa"/>
            <w:tcBorders>
              <w:top w:val="nil"/>
              <w:left w:val="nil"/>
              <w:bottom w:val="single" w:sz="4" w:space="0" w:color="auto"/>
              <w:right w:val="single" w:sz="8" w:space="0" w:color="auto"/>
            </w:tcBorders>
            <w:shd w:val="clear" w:color="auto" w:fill="auto"/>
            <w:noWrap/>
            <w:vAlign w:val="bottom"/>
            <w:hideMark/>
          </w:tcPr>
          <w:p w14:paraId="0BDA8E01" w14:textId="77777777" w:rsidR="008F1FC8" w:rsidRPr="008F1FC8" w:rsidRDefault="008F1FC8" w:rsidP="008F1FC8">
            <w:pPr>
              <w:spacing w:after="0" w:line="240" w:lineRule="auto"/>
              <w:jc w:val="right"/>
              <w:rPr>
                <w:rFonts w:ascii="Calibri" w:eastAsia="Times New Roman" w:hAnsi="Calibri" w:cs="Calibri"/>
                <w:color w:val="000000"/>
                <w:lang w:eastAsia="en-GB"/>
              </w:rPr>
            </w:pPr>
            <w:r w:rsidRPr="008F1FC8">
              <w:rPr>
                <w:rFonts w:ascii="Calibri" w:eastAsia="Times New Roman" w:hAnsi="Calibri" w:cs="Calibri"/>
                <w:color w:val="000000"/>
                <w:lang w:eastAsia="en-GB"/>
              </w:rPr>
              <w:t>20</w:t>
            </w:r>
          </w:p>
        </w:tc>
      </w:tr>
      <w:tr w:rsidR="008F1FC8" w:rsidRPr="008F1FC8" w14:paraId="0DD6CD1C" w14:textId="77777777" w:rsidTr="008F1FC8">
        <w:trPr>
          <w:trHeight w:val="300"/>
        </w:trPr>
        <w:tc>
          <w:tcPr>
            <w:tcW w:w="980" w:type="dxa"/>
            <w:tcBorders>
              <w:top w:val="nil"/>
              <w:left w:val="single" w:sz="8" w:space="0" w:color="auto"/>
              <w:bottom w:val="single" w:sz="4" w:space="0" w:color="auto"/>
              <w:right w:val="single" w:sz="4" w:space="0" w:color="auto"/>
            </w:tcBorders>
            <w:shd w:val="clear" w:color="auto" w:fill="auto"/>
            <w:noWrap/>
            <w:vAlign w:val="bottom"/>
            <w:hideMark/>
          </w:tcPr>
          <w:p w14:paraId="73F02C17" w14:textId="77777777" w:rsidR="008F1FC8" w:rsidRPr="008F1FC8" w:rsidRDefault="008F1FC8" w:rsidP="008F1FC8">
            <w:pPr>
              <w:spacing w:after="0" w:line="240" w:lineRule="auto"/>
              <w:jc w:val="center"/>
              <w:rPr>
                <w:rFonts w:ascii="Calibri" w:eastAsia="Times New Roman" w:hAnsi="Calibri" w:cs="Calibri"/>
                <w:color w:val="000000"/>
                <w:lang w:eastAsia="en-GB"/>
              </w:rPr>
            </w:pPr>
            <w:r w:rsidRPr="008F1FC8">
              <w:rPr>
                <w:rFonts w:ascii="Calibri" w:eastAsia="Times New Roman" w:hAnsi="Calibri" w:cs="Calibri"/>
                <w:color w:val="000000"/>
                <w:lang w:eastAsia="en-GB"/>
              </w:rPr>
              <w:t>4</w:t>
            </w:r>
          </w:p>
        </w:tc>
        <w:tc>
          <w:tcPr>
            <w:tcW w:w="1240" w:type="dxa"/>
            <w:tcBorders>
              <w:top w:val="nil"/>
              <w:left w:val="nil"/>
              <w:bottom w:val="single" w:sz="4" w:space="0" w:color="auto"/>
              <w:right w:val="single" w:sz="8" w:space="0" w:color="auto"/>
            </w:tcBorders>
            <w:shd w:val="clear" w:color="auto" w:fill="auto"/>
            <w:noWrap/>
            <w:vAlign w:val="bottom"/>
            <w:hideMark/>
          </w:tcPr>
          <w:p w14:paraId="5FD87394" w14:textId="77777777" w:rsidR="008F1FC8" w:rsidRPr="008F1FC8" w:rsidRDefault="008F1FC8" w:rsidP="008F1FC8">
            <w:pPr>
              <w:spacing w:after="0" w:line="240" w:lineRule="auto"/>
              <w:jc w:val="right"/>
              <w:rPr>
                <w:rFonts w:ascii="Calibri" w:eastAsia="Times New Roman" w:hAnsi="Calibri" w:cs="Calibri"/>
                <w:color w:val="000000"/>
                <w:lang w:eastAsia="en-GB"/>
              </w:rPr>
            </w:pPr>
            <w:r w:rsidRPr="008F1FC8">
              <w:rPr>
                <w:rFonts w:ascii="Calibri" w:eastAsia="Times New Roman" w:hAnsi="Calibri" w:cs="Calibri"/>
                <w:color w:val="000000"/>
                <w:lang w:eastAsia="en-GB"/>
              </w:rPr>
              <w:t>20</w:t>
            </w:r>
          </w:p>
        </w:tc>
      </w:tr>
    </w:tbl>
    <w:p w14:paraId="5D0D9F92" w14:textId="5D92B949" w:rsidR="006E1B54" w:rsidRDefault="006E1B54" w:rsidP="00773E00"/>
    <w:p w14:paraId="2E14DAC2" w14:textId="185276CE" w:rsidR="008C13C2" w:rsidRDefault="008C13C2" w:rsidP="00773E00">
      <w:r>
        <w:t>The initial investment for project B is 75.</w:t>
      </w:r>
    </w:p>
    <w:p w14:paraId="58B70F14" w14:textId="63492D3D" w:rsidR="00022703" w:rsidRDefault="00363A96" w:rsidP="00022703">
      <w:r>
        <w:t xml:space="preserve">For project B </w:t>
      </w:r>
      <w:r w:rsidR="00182C9F">
        <w:t>the NPV</w:t>
      </w:r>
      <w:r w:rsidR="00022703">
        <w:t xml:space="preserve"> formula </w:t>
      </w:r>
      <w:proofErr w:type="gramStart"/>
      <w:r w:rsidR="00022703">
        <w:t xml:space="preserve">is </w:t>
      </w:r>
      <w:r w:rsidR="008C13C2">
        <w:t xml:space="preserve"> </w:t>
      </w:r>
      <w:r w:rsidR="00022703" w:rsidRPr="00770619">
        <w:t>NPV</w:t>
      </w:r>
      <w:proofErr w:type="gramEnd"/>
      <w:r w:rsidR="00022703" w:rsidRPr="00770619">
        <w:t>=-I + CF1/(1+r) ^1+CF2/(1+r) ^2+CF3/(1+r) ^3+CF4/(1+r) ^4</w:t>
      </w:r>
      <w:r w:rsidR="00022703">
        <w:t xml:space="preserve"> </w:t>
      </w:r>
    </w:p>
    <w:p w14:paraId="6765ACC5" w14:textId="1097A6D6" w:rsidR="00961763" w:rsidRDefault="00961763" w:rsidP="00773E00">
      <w:r>
        <w:t>The Present Value</w:t>
      </w:r>
      <w:r w:rsidR="008C13C2">
        <w:t xml:space="preserve"> calculated</w:t>
      </w:r>
      <w:r>
        <w:t xml:space="preserve"> per year is presented in Table </w:t>
      </w:r>
      <w:r w:rsidR="00FE2DD1">
        <w:t>21</w:t>
      </w:r>
    </w:p>
    <w:p w14:paraId="24E81744" w14:textId="62362927" w:rsidR="00FE2DD1" w:rsidRDefault="00FE2DD1" w:rsidP="00773E00">
      <w:r>
        <w:t>Tab. 21. P</w:t>
      </w:r>
      <w:r w:rsidR="009D1FF3">
        <w:t>resent value calculation per year</w:t>
      </w:r>
    </w:p>
    <w:tbl>
      <w:tblPr>
        <w:tblW w:w="6494" w:type="dxa"/>
        <w:tblLook w:val="04A0" w:firstRow="1" w:lastRow="0" w:firstColumn="1" w:lastColumn="0" w:noHBand="0" w:noVBand="1"/>
      </w:tblPr>
      <w:tblGrid>
        <w:gridCol w:w="1958"/>
        <w:gridCol w:w="1134"/>
        <w:gridCol w:w="1134"/>
        <w:gridCol w:w="1134"/>
        <w:gridCol w:w="1134"/>
      </w:tblGrid>
      <w:tr w:rsidR="00C2280F" w:rsidRPr="00C2280F" w14:paraId="39EACB7E" w14:textId="77777777" w:rsidTr="00022703">
        <w:trPr>
          <w:trHeight w:val="296"/>
        </w:trPr>
        <w:tc>
          <w:tcPr>
            <w:tcW w:w="1958"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8D666D5" w14:textId="624CACF5" w:rsidR="00C2280F" w:rsidRPr="00C2280F" w:rsidRDefault="00C2280F" w:rsidP="00C2280F">
            <w:pPr>
              <w:spacing w:after="0" w:line="240" w:lineRule="auto"/>
              <w:rPr>
                <w:rFonts w:ascii="Calibri" w:eastAsia="Times New Roman" w:hAnsi="Calibri" w:cs="Calibri"/>
                <w:color w:val="000000"/>
                <w:lang w:eastAsia="en-GB"/>
              </w:rPr>
            </w:pPr>
            <w:r w:rsidRPr="00C2280F">
              <w:rPr>
                <w:rFonts w:ascii="Calibri" w:eastAsia="Times New Roman" w:hAnsi="Calibri" w:cs="Calibri"/>
                <w:color w:val="000000"/>
                <w:lang w:eastAsia="en-GB"/>
              </w:rPr>
              <w:t xml:space="preserve">Number of </w:t>
            </w:r>
            <w:r w:rsidR="00130F6B">
              <w:rPr>
                <w:rFonts w:ascii="Calibri" w:eastAsia="Times New Roman" w:hAnsi="Calibri" w:cs="Calibri"/>
                <w:color w:val="000000"/>
                <w:lang w:eastAsia="en-GB"/>
              </w:rPr>
              <w:t>years</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433DDAC"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1</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44CBDB03"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2</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5B9DDF86"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3</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14:paraId="529504ED"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4</w:t>
            </w:r>
          </w:p>
        </w:tc>
      </w:tr>
      <w:tr w:rsidR="00C2280F" w:rsidRPr="00C2280F" w14:paraId="089EB57F" w14:textId="77777777" w:rsidTr="00022703">
        <w:trPr>
          <w:trHeight w:val="296"/>
        </w:trPr>
        <w:tc>
          <w:tcPr>
            <w:tcW w:w="1958" w:type="dxa"/>
            <w:tcBorders>
              <w:top w:val="nil"/>
              <w:left w:val="single" w:sz="8" w:space="0" w:color="auto"/>
              <w:bottom w:val="single" w:sz="4" w:space="0" w:color="auto"/>
              <w:right w:val="single" w:sz="4" w:space="0" w:color="auto"/>
            </w:tcBorders>
            <w:shd w:val="clear" w:color="auto" w:fill="auto"/>
            <w:noWrap/>
            <w:vAlign w:val="bottom"/>
            <w:hideMark/>
          </w:tcPr>
          <w:p w14:paraId="7F8D80FA" w14:textId="30F60865" w:rsidR="00C2280F" w:rsidRPr="00C2280F" w:rsidRDefault="00C2280F" w:rsidP="00C2280F">
            <w:pPr>
              <w:spacing w:after="0" w:line="240" w:lineRule="auto"/>
              <w:rPr>
                <w:rFonts w:ascii="Calibri" w:eastAsia="Times New Roman" w:hAnsi="Calibri" w:cs="Calibri"/>
                <w:color w:val="000000"/>
                <w:lang w:eastAsia="en-GB"/>
              </w:rPr>
            </w:pPr>
            <w:r w:rsidRPr="00C2280F">
              <w:rPr>
                <w:rFonts w:ascii="Calibri" w:eastAsia="Times New Roman" w:hAnsi="Calibri" w:cs="Calibri"/>
                <w:color w:val="000000"/>
                <w:lang w:eastAsia="en-GB"/>
              </w:rPr>
              <w:t xml:space="preserve">Cash flow (CF) </w:t>
            </w:r>
            <w:r w:rsidR="00130F6B">
              <w:rPr>
                <w:rFonts w:ascii="Calibri" w:eastAsia="Times New Roman" w:hAnsi="Calibri" w:cs="Calibri"/>
                <w:color w:val="000000"/>
                <w:lang w:eastAsia="en-GB"/>
              </w:rPr>
              <w:t>generated per year</w:t>
            </w:r>
          </w:p>
        </w:tc>
        <w:tc>
          <w:tcPr>
            <w:tcW w:w="1134" w:type="dxa"/>
            <w:tcBorders>
              <w:top w:val="nil"/>
              <w:left w:val="nil"/>
              <w:bottom w:val="single" w:sz="4" w:space="0" w:color="auto"/>
              <w:right w:val="single" w:sz="4" w:space="0" w:color="auto"/>
            </w:tcBorders>
            <w:shd w:val="clear" w:color="auto" w:fill="auto"/>
            <w:noWrap/>
            <w:vAlign w:val="bottom"/>
            <w:hideMark/>
          </w:tcPr>
          <w:p w14:paraId="7299FFB6"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50</w:t>
            </w:r>
          </w:p>
        </w:tc>
        <w:tc>
          <w:tcPr>
            <w:tcW w:w="1134" w:type="dxa"/>
            <w:tcBorders>
              <w:top w:val="nil"/>
              <w:left w:val="nil"/>
              <w:bottom w:val="single" w:sz="4" w:space="0" w:color="auto"/>
              <w:right w:val="single" w:sz="4" w:space="0" w:color="auto"/>
            </w:tcBorders>
            <w:shd w:val="clear" w:color="auto" w:fill="auto"/>
            <w:noWrap/>
            <w:vAlign w:val="bottom"/>
            <w:hideMark/>
          </w:tcPr>
          <w:p w14:paraId="18F3E3ED"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20</w:t>
            </w:r>
          </w:p>
        </w:tc>
        <w:tc>
          <w:tcPr>
            <w:tcW w:w="1134" w:type="dxa"/>
            <w:tcBorders>
              <w:top w:val="nil"/>
              <w:left w:val="nil"/>
              <w:bottom w:val="single" w:sz="4" w:space="0" w:color="auto"/>
              <w:right w:val="single" w:sz="4" w:space="0" w:color="auto"/>
            </w:tcBorders>
            <w:shd w:val="clear" w:color="auto" w:fill="auto"/>
            <w:noWrap/>
            <w:vAlign w:val="bottom"/>
            <w:hideMark/>
          </w:tcPr>
          <w:p w14:paraId="5F7BC9D8"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20</w:t>
            </w:r>
          </w:p>
        </w:tc>
        <w:tc>
          <w:tcPr>
            <w:tcW w:w="1134" w:type="dxa"/>
            <w:tcBorders>
              <w:top w:val="nil"/>
              <w:left w:val="nil"/>
              <w:bottom w:val="single" w:sz="4" w:space="0" w:color="auto"/>
              <w:right w:val="single" w:sz="8" w:space="0" w:color="auto"/>
            </w:tcBorders>
            <w:shd w:val="clear" w:color="auto" w:fill="auto"/>
            <w:noWrap/>
            <w:vAlign w:val="bottom"/>
            <w:hideMark/>
          </w:tcPr>
          <w:p w14:paraId="2AFB6000"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20</w:t>
            </w:r>
          </w:p>
        </w:tc>
      </w:tr>
      <w:tr w:rsidR="00C2280F" w:rsidRPr="00C2280F" w14:paraId="78515548" w14:textId="77777777" w:rsidTr="00022703">
        <w:trPr>
          <w:trHeight w:val="311"/>
        </w:trPr>
        <w:tc>
          <w:tcPr>
            <w:tcW w:w="1958" w:type="dxa"/>
            <w:tcBorders>
              <w:top w:val="nil"/>
              <w:left w:val="single" w:sz="8" w:space="0" w:color="auto"/>
              <w:bottom w:val="single" w:sz="8" w:space="0" w:color="auto"/>
              <w:right w:val="single" w:sz="4" w:space="0" w:color="auto"/>
            </w:tcBorders>
            <w:shd w:val="clear" w:color="auto" w:fill="auto"/>
            <w:noWrap/>
            <w:vAlign w:val="bottom"/>
            <w:hideMark/>
          </w:tcPr>
          <w:p w14:paraId="4BA58647" w14:textId="7DE6E08A" w:rsidR="00C2280F" w:rsidRPr="00C2280F" w:rsidRDefault="00C2280F" w:rsidP="00C2280F">
            <w:pPr>
              <w:spacing w:after="0" w:line="240" w:lineRule="auto"/>
              <w:rPr>
                <w:rFonts w:ascii="Calibri" w:eastAsia="Times New Roman" w:hAnsi="Calibri" w:cs="Calibri"/>
                <w:color w:val="000000"/>
                <w:lang w:eastAsia="en-GB"/>
              </w:rPr>
            </w:pPr>
            <w:r w:rsidRPr="00C2280F">
              <w:rPr>
                <w:rFonts w:ascii="Calibri" w:eastAsia="Times New Roman" w:hAnsi="Calibri" w:cs="Calibri"/>
                <w:color w:val="000000"/>
                <w:lang w:eastAsia="en-GB"/>
              </w:rPr>
              <w:t>Present Value (PV)</w:t>
            </w:r>
            <w:r w:rsidR="00130F6B">
              <w:rPr>
                <w:rFonts w:ascii="Calibri" w:eastAsia="Times New Roman" w:hAnsi="Calibri" w:cs="Calibri"/>
                <w:color w:val="000000"/>
                <w:lang w:eastAsia="en-GB"/>
              </w:rPr>
              <w:t xml:space="preserve"> per year</w:t>
            </w:r>
          </w:p>
        </w:tc>
        <w:tc>
          <w:tcPr>
            <w:tcW w:w="1134" w:type="dxa"/>
            <w:tcBorders>
              <w:top w:val="nil"/>
              <w:left w:val="nil"/>
              <w:bottom w:val="single" w:sz="8" w:space="0" w:color="auto"/>
              <w:right w:val="single" w:sz="4" w:space="0" w:color="auto"/>
            </w:tcBorders>
            <w:shd w:val="clear" w:color="auto" w:fill="auto"/>
            <w:noWrap/>
            <w:vAlign w:val="bottom"/>
            <w:hideMark/>
          </w:tcPr>
          <w:p w14:paraId="281D3407"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45.56</w:t>
            </w:r>
          </w:p>
        </w:tc>
        <w:tc>
          <w:tcPr>
            <w:tcW w:w="1134" w:type="dxa"/>
            <w:tcBorders>
              <w:top w:val="nil"/>
              <w:left w:val="nil"/>
              <w:bottom w:val="single" w:sz="8" w:space="0" w:color="auto"/>
              <w:right w:val="single" w:sz="4" w:space="0" w:color="auto"/>
            </w:tcBorders>
            <w:shd w:val="clear" w:color="auto" w:fill="auto"/>
            <w:noWrap/>
            <w:vAlign w:val="bottom"/>
            <w:hideMark/>
          </w:tcPr>
          <w:p w14:paraId="0361A90B"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16.60</w:t>
            </w:r>
          </w:p>
        </w:tc>
        <w:tc>
          <w:tcPr>
            <w:tcW w:w="1134" w:type="dxa"/>
            <w:tcBorders>
              <w:top w:val="nil"/>
              <w:left w:val="nil"/>
              <w:bottom w:val="single" w:sz="8" w:space="0" w:color="auto"/>
              <w:right w:val="single" w:sz="4" w:space="0" w:color="auto"/>
            </w:tcBorders>
            <w:shd w:val="clear" w:color="auto" w:fill="auto"/>
            <w:noWrap/>
            <w:vAlign w:val="bottom"/>
            <w:hideMark/>
          </w:tcPr>
          <w:p w14:paraId="549EBCD3"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15.13</w:t>
            </w:r>
          </w:p>
        </w:tc>
        <w:tc>
          <w:tcPr>
            <w:tcW w:w="1134" w:type="dxa"/>
            <w:tcBorders>
              <w:top w:val="nil"/>
              <w:left w:val="nil"/>
              <w:bottom w:val="single" w:sz="8" w:space="0" w:color="auto"/>
              <w:right w:val="single" w:sz="8" w:space="0" w:color="auto"/>
            </w:tcBorders>
            <w:shd w:val="clear" w:color="auto" w:fill="auto"/>
            <w:noWrap/>
            <w:vAlign w:val="bottom"/>
            <w:hideMark/>
          </w:tcPr>
          <w:p w14:paraId="68BEBC79" w14:textId="77777777" w:rsidR="00C2280F" w:rsidRPr="00C2280F" w:rsidRDefault="00C2280F" w:rsidP="00C2280F">
            <w:pPr>
              <w:spacing w:after="0" w:line="240" w:lineRule="auto"/>
              <w:jc w:val="right"/>
              <w:rPr>
                <w:rFonts w:ascii="Calibri" w:eastAsia="Times New Roman" w:hAnsi="Calibri" w:cs="Calibri"/>
                <w:color w:val="000000"/>
                <w:lang w:eastAsia="en-GB"/>
              </w:rPr>
            </w:pPr>
            <w:r w:rsidRPr="00C2280F">
              <w:rPr>
                <w:rFonts w:ascii="Calibri" w:eastAsia="Times New Roman" w:hAnsi="Calibri" w:cs="Calibri"/>
                <w:color w:val="000000"/>
                <w:lang w:eastAsia="en-GB"/>
              </w:rPr>
              <w:t>13.79</w:t>
            </w:r>
          </w:p>
        </w:tc>
      </w:tr>
    </w:tbl>
    <w:p w14:paraId="7E6A7A88" w14:textId="77777777" w:rsidR="00961763" w:rsidRDefault="00961763" w:rsidP="00773E00"/>
    <w:p w14:paraId="58A6E12C" w14:textId="06417904" w:rsidR="00A67E80" w:rsidRDefault="00C11B1E" w:rsidP="00773E00">
      <w:r>
        <w:t xml:space="preserve">NPV = -75+45.56+16.60+15.13+13.79 = </w:t>
      </w:r>
      <w:r w:rsidR="00610D29">
        <w:t>16.08</w:t>
      </w:r>
    </w:p>
    <w:p w14:paraId="18CC4AFF" w14:textId="68CE6CBD" w:rsidR="00610D29" w:rsidRDefault="00610D29" w:rsidP="00773E00">
      <w:r>
        <w:t>The Net Present Value for project B is 16.08</w:t>
      </w:r>
    </w:p>
    <w:p w14:paraId="68704EBE" w14:textId="77777777" w:rsidR="00724A5A" w:rsidRDefault="00724A5A" w:rsidP="00773E00"/>
    <w:p w14:paraId="57E0520D" w14:textId="600D4D4A" w:rsidR="00E648E9" w:rsidRPr="00DD6AB4" w:rsidRDefault="00E648E9" w:rsidP="00773E00">
      <w:pPr>
        <w:rPr>
          <w:b/>
          <w:bCs/>
        </w:rPr>
      </w:pPr>
      <w:r w:rsidRPr="00DD6AB4">
        <w:rPr>
          <w:b/>
          <w:bCs/>
        </w:rPr>
        <w:t>Internal Rate of Return</w:t>
      </w:r>
      <w:r w:rsidR="00AB2C81" w:rsidRPr="00DD6AB4">
        <w:rPr>
          <w:b/>
          <w:bCs/>
        </w:rPr>
        <w:t xml:space="preserve"> (IRR)</w:t>
      </w:r>
    </w:p>
    <w:p w14:paraId="340E3E09" w14:textId="02C90FA0" w:rsidR="00576CAA" w:rsidRDefault="001C6793" w:rsidP="00773E00">
      <w:r>
        <w:t xml:space="preserve">Internal Rate of Return is the discount rate that determine Net Present Value to get value zero. If the project </w:t>
      </w:r>
      <w:proofErr w:type="gramStart"/>
      <w:r>
        <w:t>have</w:t>
      </w:r>
      <w:proofErr w:type="gramEnd"/>
      <w:r>
        <w:t xml:space="preserve"> the IRR higher than the initial discount rate than the project is acceptable.</w:t>
      </w:r>
    </w:p>
    <w:p w14:paraId="46292C53" w14:textId="216EAA5A" w:rsidR="00E648E9" w:rsidRDefault="00F511F5" w:rsidP="00773E00">
      <w:r>
        <w:t xml:space="preserve">Internal Rate of Return is given by the value of the cost of capital that </w:t>
      </w:r>
      <w:r w:rsidR="00576CAA">
        <w:t xml:space="preserve">determine the Net Present Value to be close to zero. </w:t>
      </w:r>
    </w:p>
    <w:p w14:paraId="2D89F253" w14:textId="7BCCD356" w:rsidR="00576CAA" w:rsidRDefault="00576CAA" w:rsidP="00773E00">
      <w:r>
        <w:t xml:space="preserve">For project A the IRR = </w:t>
      </w:r>
      <w:r w:rsidR="00754BF1">
        <w:t>17.81</w:t>
      </w:r>
      <w:r>
        <w:t>%</w:t>
      </w:r>
    </w:p>
    <w:p w14:paraId="06C8AA2C" w14:textId="0FF1B950" w:rsidR="00754BF1" w:rsidRDefault="00754BF1" w:rsidP="00773E00">
      <w:r>
        <w:t xml:space="preserve">For project B the IRR = </w:t>
      </w:r>
      <w:r w:rsidR="00B604F7">
        <w:t>21.52%</w:t>
      </w:r>
    </w:p>
    <w:p w14:paraId="100944C4" w14:textId="77777777" w:rsidR="00482AF2" w:rsidRDefault="00482AF2" w:rsidP="00773E00"/>
    <w:p w14:paraId="177FD6F0" w14:textId="764DD0A6" w:rsidR="00773E00" w:rsidRDefault="00482AF2" w:rsidP="00773E00">
      <w:r>
        <w:t xml:space="preserve">C.2. </w:t>
      </w:r>
      <w:r w:rsidR="00773E00">
        <w:t xml:space="preserve"> </w:t>
      </w:r>
      <w:r w:rsidR="001C6793">
        <w:t>Evaluation and recommendations</w:t>
      </w:r>
    </w:p>
    <w:p w14:paraId="224A6D23" w14:textId="5F78BA29" w:rsidR="001C6793" w:rsidRDefault="001C6793" w:rsidP="00773E00">
      <w:r>
        <w:t>Based on the cumulated data from tab. 22, project B has a better Pay Back period than project A. The profit for both projects is on the same range as well as the NVP. Project B has a better discount than project A.</w:t>
      </w:r>
    </w:p>
    <w:p w14:paraId="44CFB8CC" w14:textId="40387898" w:rsidR="001C6793" w:rsidRDefault="001C6793" w:rsidP="001C6793">
      <w:r>
        <w:t>Tab. 2</w:t>
      </w:r>
      <w:r>
        <w:t>2</w:t>
      </w:r>
      <w:r>
        <w:t>. Investment ratios for Projects A and B</w:t>
      </w:r>
    </w:p>
    <w:tbl>
      <w:tblPr>
        <w:tblW w:w="5684" w:type="dxa"/>
        <w:tblLook w:val="04A0" w:firstRow="1" w:lastRow="0" w:firstColumn="1" w:lastColumn="0" w:noHBand="0" w:noVBand="1"/>
      </w:tblPr>
      <w:tblGrid>
        <w:gridCol w:w="3322"/>
        <w:gridCol w:w="1181"/>
        <w:gridCol w:w="1181"/>
      </w:tblGrid>
      <w:tr w:rsidR="001C6793" w:rsidRPr="008048D7" w14:paraId="7A2E80B5" w14:textId="77777777" w:rsidTr="00785727">
        <w:trPr>
          <w:trHeight w:val="341"/>
        </w:trPr>
        <w:tc>
          <w:tcPr>
            <w:tcW w:w="332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FF13BA1"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 </w:t>
            </w:r>
          </w:p>
        </w:tc>
        <w:tc>
          <w:tcPr>
            <w:tcW w:w="1181" w:type="dxa"/>
            <w:tcBorders>
              <w:top w:val="single" w:sz="8" w:space="0" w:color="auto"/>
              <w:left w:val="nil"/>
              <w:bottom w:val="single" w:sz="4" w:space="0" w:color="auto"/>
              <w:right w:val="single" w:sz="4" w:space="0" w:color="auto"/>
            </w:tcBorders>
            <w:shd w:val="clear" w:color="auto" w:fill="auto"/>
            <w:noWrap/>
            <w:vAlign w:val="bottom"/>
            <w:hideMark/>
          </w:tcPr>
          <w:p w14:paraId="1489814F"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Project A</w:t>
            </w:r>
          </w:p>
        </w:tc>
        <w:tc>
          <w:tcPr>
            <w:tcW w:w="1181" w:type="dxa"/>
            <w:tcBorders>
              <w:top w:val="single" w:sz="8" w:space="0" w:color="auto"/>
              <w:left w:val="nil"/>
              <w:bottom w:val="single" w:sz="4" w:space="0" w:color="auto"/>
              <w:right w:val="single" w:sz="8" w:space="0" w:color="auto"/>
            </w:tcBorders>
            <w:shd w:val="clear" w:color="auto" w:fill="auto"/>
            <w:noWrap/>
            <w:vAlign w:val="bottom"/>
            <w:hideMark/>
          </w:tcPr>
          <w:p w14:paraId="7A3263E0"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Project B</w:t>
            </w:r>
          </w:p>
        </w:tc>
      </w:tr>
      <w:tr w:rsidR="001C6793" w:rsidRPr="008048D7" w14:paraId="12AC1015" w14:textId="77777777" w:rsidTr="00785727">
        <w:trPr>
          <w:trHeight w:val="324"/>
        </w:trPr>
        <w:tc>
          <w:tcPr>
            <w:tcW w:w="3322" w:type="dxa"/>
            <w:tcBorders>
              <w:top w:val="nil"/>
              <w:left w:val="single" w:sz="8" w:space="0" w:color="auto"/>
              <w:bottom w:val="single" w:sz="4" w:space="0" w:color="auto"/>
              <w:right w:val="single" w:sz="4" w:space="0" w:color="auto"/>
            </w:tcBorders>
            <w:shd w:val="clear" w:color="auto" w:fill="auto"/>
            <w:noWrap/>
            <w:vAlign w:val="bottom"/>
            <w:hideMark/>
          </w:tcPr>
          <w:p w14:paraId="650C952A"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Pay Back Period (years)</w:t>
            </w:r>
          </w:p>
        </w:tc>
        <w:tc>
          <w:tcPr>
            <w:tcW w:w="1181" w:type="dxa"/>
            <w:tcBorders>
              <w:top w:val="nil"/>
              <w:left w:val="nil"/>
              <w:bottom w:val="single" w:sz="4" w:space="0" w:color="auto"/>
              <w:right w:val="single" w:sz="4" w:space="0" w:color="auto"/>
            </w:tcBorders>
            <w:shd w:val="clear" w:color="auto" w:fill="auto"/>
            <w:noWrap/>
            <w:vAlign w:val="bottom"/>
            <w:hideMark/>
          </w:tcPr>
          <w:p w14:paraId="2EC35E60"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3.18</w:t>
            </w:r>
          </w:p>
        </w:tc>
        <w:tc>
          <w:tcPr>
            <w:tcW w:w="1181" w:type="dxa"/>
            <w:tcBorders>
              <w:top w:val="nil"/>
              <w:left w:val="nil"/>
              <w:bottom w:val="single" w:sz="4" w:space="0" w:color="auto"/>
              <w:right w:val="single" w:sz="8" w:space="0" w:color="auto"/>
            </w:tcBorders>
            <w:shd w:val="clear" w:color="auto" w:fill="auto"/>
            <w:noWrap/>
            <w:vAlign w:val="bottom"/>
            <w:hideMark/>
          </w:tcPr>
          <w:p w14:paraId="180854DB"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2.25</w:t>
            </w:r>
          </w:p>
        </w:tc>
      </w:tr>
      <w:tr w:rsidR="001C6793" w:rsidRPr="008048D7" w14:paraId="031C429B" w14:textId="77777777" w:rsidTr="00785727">
        <w:trPr>
          <w:trHeight w:val="324"/>
        </w:trPr>
        <w:tc>
          <w:tcPr>
            <w:tcW w:w="3322" w:type="dxa"/>
            <w:tcBorders>
              <w:top w:val="nil"/>
              <w:left w:val="single" w:sz="8" w:space="0" w:color="auto"/>
              <w:bottom w:val="single" w:sz="4" w:space="0" w:color="auto"/>
              <w:right w:val="single" w:sz="4" w:space="0" w:color="auto"/>
            </w:tcBorders>
            <w:shd w:val="clear" w:color="auto" w:fill="auto"/>
            <w:noWrap/>
            <w:vAlign w:val="bottom"/>
            <w:hideMark/>
          </w:tcPr>
          <w:p w14:paraId="6DF1A3C8"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Account Rate of Return (%)</w:t>
            </w:r>
          </w:p>
        </w:tc>
        <w:tc>
          <w:tcPr>
            <w:tcW w:w="1181" w:type="dxa"/>
            <w:tcBorders>
              <w:top w:val="nil"/>
              <w:left w:val="nil"/>
              <w:bottom w:val="single" w:sz="4" w:space="0" w:color="auto"/>
              <w:right w:val="single" w:sz="4" w:space="0" w:color="auto"/>
            </w:tcBorders>
            <w:shd w:val="clear" w:color="auto" w:fill="auto"/>
            <w:noWrap/>
            <w:vAlign w:val="bottom"/>
            <w:hideMark/>
          </w:tcPr>
          <w:p w14:paraId="6A252BA9"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28.12%</w:t>
            </w:r>
          </w:p>
        </w:tc>
        <w:tc>
          <w:tcPr>
            <w:tcW w:w="1181" w:type="dxa"/>
            <w:tcBorders>
              <w:top w:val="nil"/>
              <w:left w:val="nil"/>
              <w:bottom w:val="single" w:sz="4" w:space="0" w:color="auto"/>
              <w:right w:val="single" w:sz="8" w:space="0" w:color="auto"/>
            </w:tcBorders>
            <w:shd w:val="clear" w:color="auto" w:fill="auto"/>
            <w:noWrap/>
            <w:vAlign w:val="bottom"/>
            <w:hideMark/>
          </w:tcPr>
          <w:p w14:paraId="2F08E3EA"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23.33%</w:t>
            </w:r>
          </w:p>
        </w:tc>
      </w:tr>
      <w:tr w:rsidR="001C6793" w:rsidRPr="008048D7" w14:paraId="4CF50727" w14:textId="77777777" w:rsidTr="00785727">
        <w:trPr>
          <w:trHeight w:val="324"/>
        </w:trPr>
        <w:tc>
          <w:tcPr>
            <w:tcW w:w="3322" w:type="dxa"/>
            <w:tcBorders>
              <w:top w:val="nil"/>
              <w:left w:val="single" w:sz="8" w:space="0" w:color="auto"/>
              <w:bottom w:val="single" w:sz="4" w:space="0" w:color="auto"/>
              <w:right w:val="single" w:sz="4" w:space="0" w:color="auto"/>
            </w:tcBorders>
            <w:shd w:val="clear" w:color="auto" w:fill="auto"/>
            <w:noWrap/>
            <w:vAlign w:val="bottom"/>
            <w:hideMark/>
          </w:tcPr>
          <w:p w14:paraId="6E33E96E"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Net Present Value</w:t>
            </w:r>
          </w:p>
        </w:tc>
        <w:tc>
          <w:tcPr>
            <w:tcW w:w="1181" w:type="dxa"/>
            <w:tcBorders>
              <w:top w:val="nil"/>
              <w:left w:val="nil"/>
              <w:bottom w:val="single" w:sz="4" w:space="0" w:color="auto"/>
              <w:right w:val="single" w:sz="4" w:space="0" w:color="auto"/>
            </w:tcBorders>
            <w:shd w:val="clear" w:color="auto" w:fill="auto"/>
            <w:noWrap/>
            <w:vAlign w:val="bottom"/>
            <w:hideMark/>
          </w:tcPr>
          <w:p w14:paraId="588F18D9"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16.57</w:t>
            </w:r>
          </w:p>
        </w:tc>
        <w:tc>
          <w:tcPr>
            <w:tcW w:w="1181" w:type="dxa"/>
            <w:tcBorders>
              <w:top w:val="nil"/>
              <w:left w:val="nil"/>
              <w:bottom w:val="single" w:sz="4" w:space="0" w:color="auto"/>
              <w:right w:val="single" w:sz="8" w:space="0" w:color="auto"/>
            </w:tcBorders>
            <w:shd w:val="clear" w:color="auto" w:fill="auto"/>
            <w:noWrap/>
            <w:vAlign w:val="bottom"/>
            <w:hideMark/>
          </w:tcPr>
          <w:p w14:paraId="04B91F5E"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16.08</w:t>
            </w:r>
          </w:p>
        </w:tc>
      </w:tr>
      <w:tr w:rsidR="001C6793" w:rsidRPr="008048D7" w14:paraId="0C9A9364" w14:textId="77777777" w:rsidTr="00785727">
        <w:trPr>
          <w:trHeight w:val="341"/>
        </w:trPr>
        <w:tc>
          <w:tcPr>
            <w:tcW w:w="3322" w:type="dxa"/>
            <w:tcBorders>
              <w:top w:val="nil"/>
              <w:left w:val="single" w:sz="8" w:space="0" w:color="auto"/>
              <w:bottom w:val="single" w:sz="8" w:space="0" w:color="auto"/>
              <w:right w:val="single" w:sz="4" w:space="0" w:color="auto"/>
            </w:tcBorders>
            <w:shd w:val="clear" w:color="auto" w:fill="auto"/>
            <w:noWrap/>
            <w:vAlign w:val="bottom"/>
            <w:hideMark/>
          </w:tcPr>
          <w:p w14:paraId="6F20513C" w14:textId="77777777" w:rsidR="001C6793" w:rsidRPr="008048D7" w:rsidRDefault="001C6793" w:rsidP="00785727">
            <w:pPr>
              <w:spacing w:after="0" w:line="240" w:lineRule="auto"/>
              <w:rPr>
                <w:rFonts w:ascii="Calibri" w:eastAsia="Times New Roman" w:hAnsi="Calibri" w:cs="Calibri"/>
                <w:color w:val="000000"/>
                <w:lang w:eastAsia="en-GB"/>
              </w:rPr>
            </w:pPr>
            <w:r w:rsidRPr="008048D7">
              <w:rPr>
                <w:rFonts w:ascii="Calibri" w:eastAsia="Times New Roman" w:hAnsi="Calibri" w:cs="Calibri"/>
                <w:color w:val="000000"/>
                <w:lang w:eastAsia="en-GB"/>
              </w:rPr>
              <w:t>Internal Rate of Return (%)</w:t>
            </w:r>
          </w:p>
        </w:tc>
        <w:tc>
          <w:tcPr>
            <w:tcW w:w="1181" w:type="dxa"/>
            <w:tcBorders>
              <w:top w:val="nil"/>
              <w:left w:val="nil"/>
              <w:bottom w:val="single" w:sz="8" w:space="0" w:color="auto"/>
              <w:right w:val="single" w:sz="4" w:space="0" w:color="auto"/>
            </w:tcBorders>
            <w:shd w:val="clear" w:color="auto" w:fill="auto"/>
            <w:noWrap/>
            <w:vAlign w:val="bottom"/>
            <w:hideMark/>
          </w:tcPr>
          <w:p w14:paraId="45D9647B"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17.81%</w:t>
            </w:r>
          </w:p>
        </w:tc>
        <w:tc>
          <w:tcPr>
            <w:tcW w:w="1181" w:type="dxa"/>
            <w:tcBorders>
              <w:top w:val="nil"/>
              <w:left w:val="nil"/>
              <w:bottom w:val="single" w:sz="8" w:space="0" w:color="auto"/>
              <w:right w:val="single" w:sz="8" w:space="0" w:color="auto"/>
            </w:tcBorders>
            <w:shd w:val="clear" w:color="auto" w:fill="auto"/>
            <w:noWrap/>
            <w:vAlign w:val="bottom"/>
            <w:hideMark/>
          </w:tcPr>
          <w:p w14:paraId="3FF09BEC" w14:textId="77777777" w:rsidR="001C6793" w:rsidRPr="008048D7" w:rsidRDefault="001C6793" w:rsidP="00785727">
            <w:pPr>
              <w:spacing w:after="0" w:line="240" w:lineRule="auto"/>
              <w:jc w:val="right"/>
              <w:rPr>
                <w:rFonts w:ascii="Calibri" w:eastAsia="Times New Roman" w:hAnsi="Calibri" w:cs="Calibri"/>
                <w:color w:val="000000"/>
                <w:lang w:eastAsia="en-GB"/>
              </w:rPr>
            </w:pPr>
            <w:r w:rsidRPr="008048D7">
              <w:rPr>
                <w:rFonts w:ascii="Calibri" w:eastAsia="Times New Roman" w:hAnsi="Calibri" w:cs="Calibri"/>
                <w:color w:val="000000"/>
                <w:lang w:eastAsia="en-GB"/>
              </w:rPr>
              <w:t>21.52%</w:t>
            </w:r>
          </w:p>
        </w:tc>
      </w:tr>
    </w:tbl>
    <w:p w14:paraId="4FF9FF9B" w14:textId="358AABEF" w:rsidR="001C6793" w:rsidRDefault="001C6793" w:rsidP="00773E00"/>
    <w:p w14:paraId="23F2BF07" w14:textId="1A9F1360" w:rsidR="001C6793" w:rsidRDefault="001C6793" w:rsidP="00773E00">
      <w:r>
        <w:t xml:space="preserve">In order to </w:t>
      </w:r>
      <w:proofErr w:type="gramStart"/>
      <w:r>
        <w:t>make a decision</w:t>
      </w:r>
      <w:proofErr w:type="gramEnd"/>
      <w:r>
        <w:t xml:space="preserve"> over the investment is important to look over the cash flow over the investment period.</w:t>
      </w:r>
    </w:p>
    <w:p w14:paraId="63B71B8C" w14:textId="207D9EE3" w:rsidR="001C6793" w:rsidRDefault="001C6793" w:rsidP="00773E00">
      <w:r>
        <w:t>Project B is less risky than project A because in the first year generate a cash flow that represents 66.6% from initial investment in comparison to project A that generate in the first year 31.25% cash flow as presented on tab. 23.</w:t>
      </w:r>
    </w:p>
    <w:p w14:paraId="5CDBA853" w14:textId="18EDEE4E" w:rsidR="004724FD" w:rsidRDefault="004724FD" w:rsidP="00773E00">
      <w:r>
        <w:t>Tab. 2</w:t>
      </w:r>
      <w:r w:rsidR="001C6793">
        <w:t>3</w:t>
      </w:r>
      <w:r>
        <w:t>. Project Cash flow for Project A and B</w:t>
      </w:r>
    </w:p>
    <w:tbl>
      <w:tblPr>
        <w:tblpPr w:leftFromText="180" w:rightFromText="180" w:vertAnchor="text" w:horzAnchor="margin" w:tblpY="248"/>
        <w:tblW w:w="2880" w:type="dxa"/>
        <w:tblLook w:val="04A0" w:firstRow="1" w:lastRow="0" w:firstColumn="1" w:lastColumn="0" w:noHBand="0" w:noVBand="1"/>
      </w:tblPr>
      <w:tblGrid>
        <w:gridCol w:w="960"/>
        <w:gridCol w:w="965"/>
        <w:gridCol w:w="955"/>
      </w:tblGrid>
      <w:tr w:rsidR="008048D7" w:rsidRPr="00A820E1" w14:paraId="2E362FAB" w14:textId="77777777" w:rsidTr="008048D7">
        <w:trPr>
          <w:trHeight w:val="315"/>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D0FFB06" w14:textId="77777777" w:rsidR="008048D7" w:rsidRPr="00A820E1" w:rsidRDefault="008048D7" w:rsidP="008048D7">
            <w:pPr>
              <w:spacing w:after="0" w:line="240" w:lineRule="auto"/>
              <w:rPr>
                <w:rFonts w:ascii="Calibri" w:eastAsia="Times New Roman" w:hAnsi="Calibri" w:cs="Calibri"/>
                <w:color w:val="000000"/>
                <w:lang w:eastAsia="en-GB"/>
              </w:rPr>
            </w:pPr>
            <w:r w:rsidRPr="00A820E1">
              <w:rPr>
                <w:rFonts w:ascii="Calibri" w:eastAsia="Times New Roman" w:hAnsi="Calibri" w:cs="Calibri"/>
                <w:color w:val="000000"/>
                <w:lang w:eastAsia="en-GB"/>
              </w:rPr>
              <w:t> </w:t>
            </w:r>
          </w:p>
        </w:tc>
        <w:tc>
          <w:tcPr>
            <w:tcW w:w="1920"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191DFB16" w14:textId="77777777" w:rsidR="008048D7" w:rsidRPr="00A820E1" w:rsidRDefault="008048D7" w:rsidP="008048D7">
            <w:pPr>
              <w:spacing w:after="0" w:line="240" w:lineRule="auto"/>
              <w:jc w:val="center"/>
              <w:rPr>
                <w:rFonts w:ascii="Calibri" w:eastAsia="Times New Roman" w:hAnsi="Calibri" w:cs="Calibri"/>
                <w:color w:val="000000"/>
                <w:lang w:eastAsia="en-GB"/>
              </w:rPr>
            </w:pPr>
            <w:r w:rsidRPr="00A820E1">
              <w:rPr>
                <w:rFonts w:ascii="Calibri" w:eastAsia="Times New Roman" w:hAnsi="Calibri" w:cs="Calibri"/>
                <w:color w:val="000000"/>
                <w:lang w:eastAsia="en-GB"/>
              </w:rPr>
              <w:t>Projected Cash Flow</w:t>
            </w:r>
          </w:p>
        </w:tc>
      </w:tr>
      <w:tr w:rsidR="008048D7" w:rsidRPr="00A820E1" w14:paraId="5C52DC71" w14:textId="77777777" w:rsidTr="008048D7">
        <w:trPr>
          <w:trHeight w:val="315"/>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6FCF8132" w14:textId="77777777" w:rsidR="008048D7" w:rsidRPr="00A820E1" w:rsidRDefault="008048D7" w:rsidP="008048D7">
            <w:pPr>
              <w:spacing w:after="0" w:line="240" w:lineRule="auto"/>
              <w:rPr>
                <w:rFonts w:ascii="Calibri" w:eastAsia="Times New Roman" w:hAnsi="Calibri" w:cs="Calibri"/>
                <w:color w:val="000000"/>
                <w:lang w:eastAsia="en-GB"/>
              </w:rPr>
            </w:pPr>
            <w:r w:rsidRPr="00A820E1">
              <w:rPr>
                <w:rFonts w:ascii="Calibri" w:eastAsia="Times New Roman" w:hAnsi="Calibri" w:cs="Calibri"/>
                <w:color w:val="000000"/>
                <w:lang w:eastAsia="en-GB"/>
              </w:rPr>
              <w:t>Year</w:t>
            </w:r>
          </w:p>
        </w:tc>
        <w:tc>
          <w:tcPr>
            <w:tcW w:w="965" w:type="dxa"/>
            <w:tcBorders>
              <w:top w:val="nil"/>
              <w:left w:val="nil"/>
              <w:bottom w:val="single" w:sz="8" w:space="0" w:color="auto"/>
              <w:right w:val="single" w:sz="4" w:space="0" w:color="auto"/>
            </w:tcBorders>
            <w:shd w:val="clear" w:color="auto" w:fill="auto"/>
            <w:noWrap/>
            <w:vAlign w:val="bottom"/>
            <w:hideMark/>
          </w:tcPr>
          <w:p w14:paraId="069C3F59" w14:textId="77777777" w:rsidR="008048D7" w:rsidRPr="00A820E1" w:rsidRDefault="008048D7" w:rsidP="008048D7">
            <w:pPr>
              <w:spacing w:after="0" w:line="240" w:lineRule="auto"/>
              <w:rPr>
                <w:rFonts w:ascii="Calibri" w:eastAsia="Times New Roman" w:hAnsi="Calibri" w:cs="Calibri"/>
                <w:color w:val="000000"/>
                <w:lang w:eastAsia="en-GB"/>
              </w:rPr>
            </w:pPr>
            <w:r w:rsidRPr="00A820E1">
              <w:rPr>
                <w:rFonts w:ascii="Calibri" w:eastAsia="Times New Roman" w:hAnsi="Calibri" w:cs="Calibri"/>
                <w:color w:val="000000"/>
                <w:lang w:eastAsia="en-GB"/>
              </w:rPr>
              <w:t>Project A</w:t>
            </w:r>
          </w:p>
        </w:tc>
        <w:tc>
          <w:tcPr>
            <w:tcW w:w="955" w:type="dxa"/>
            <w:tcBorders>
              <w:top w:val="nil"/>
              <w:left w:val="nil"/>
              <w:bottom w:val="single" w:sz="8" w:space="0" w:color="auto"/>
              <w:right w:val="single" w:sz="8" w:space="0" w:color="auto"/>
            </w:tcBorders>
            <w:shd w:val="clear" w:color="auto" w:fill="auto"/>
            <w:noWrap/>
            <w:vAlign w:val="bottom"/>
            <w:hideMark/>
          </w:tcPr>
          <w:p w14:paraId="3336E744" w14:textId="77777777" w:rsidR="008048D7" w:rsidRPr="00A820E1" w:rsidRDefault="008048D7" w:rsidP="008048D7">
            <w:pPr>
              <w:spacing w:after="0" w:line="240" w:lineRule="auto"/>
              <w:rPr>
                <w:rFonts w:ascii="Calibri" w:eastAsia="Times New Roman" w:hAnsi="Calibri" w:cs="Calibri"/>
                <w:color w:val="000000"/>
                <w:lang w:eastAsia="en-GB"/>
              </w:rPr>
            </w:pPr>
            <w:r w:rsidRPr="00A820E1">
              <w:rPr>
                <w:rFonts w:ascii="Calibri" w:eastAsia="Times New Roman" w:hAnsi="Calibri" w:cs="Calibri"/>
                <w:color w:val="000000"/>
                <w:lang w:eastAsia="en-GB"/>
              </w:rPr>
              <w:t>Project B</w:t>
            </w:r>
          </w:p>
        </w:tc>
      </w:tr>
      <w:tr w:rsidR="008048D7" w:rsidRPr="00A820E1" w14:paraId="33459D4F" w14:textId="77777777" w:rsidTr="008048D7">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71DFB27D"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0</w:t>
            </w:r>
          </w:p>
        </w:tc>
        <w:tc>
          <w:tcPr>
            <w:tcW w:w="965" w:type="dxa"/>
            <w:tcBorders>
              <w:top w:val="nil"/>
              <w:left w:val="nil"/>
              <w:bottom w:val="single" w:sz="4" w:space="0" w:color="auto"/>
              <w:right w:val="single" w:sz="4" w:space="0" w:color="auto"/>
            </w:tcBorders>
            <w:shd w:val="clear" w:color="auto" w:fill="auto"/>
            <w:noWrap/>
            <w:vAlign w:val="bottom"/>
            <w:hideMark/>
          </w:tcPr>
          <w:p w14:paraId="2DCF64A4"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-80</w:t>
            </w:r>
          </w:p>
        </w:tc>
        <w:tc>
          <w:tcPr>
            <w:tcW w:w="955" w:type="dxa"/>
            <w:tcBorders>
              <w:top w:val="nil"/>
              <w:left w:val="nil"/>
              <w:bottom w:val="single" w:sz="4" w:space="0" w:color="auto"/>
              <w:right w:val="single" w:sz="8" w:space="0" w:color="auto"/>
            </w:tcBorders>
            <w:shd w:val="clear" w:color="auto" w:fill="auto"/>
            <w:noWrap/>
            <w:vAlign w:val="bottom"/>
            <w:hideMark/>
          </w:tcPr>
          <w:p w14:paraId="0854AB8B"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-75</w:t>
            </w:r>
          </w:p>
        </w:tc>
      </w:tr>
      <w:tr w:rsidR="008048D7" w:rsidRPr="00A820E1" w14:paraId="5EF34862" w14:textId="77777777" w:rsidTr="008048D7">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10B0A0D1"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1</w:t>
            </w:r>
          </w:p>
        </w:tc>
        <w:tc>
          <w:tcPr>
            <w:tcW w:w="965" w:type="dxa"/>
            <w:tcBorders>
              <w:top w:val="nil"/>
              <w:left w:val="nil"/>
              <w:bottom w:val="single" w:sz="4" w:space="0" w:color="auto"/>
              <w:right w:val="single" w:sz="4" w:space="0" w:color="auto"/>
            </w:tcBorders>
            <w:shd w:val="clear" w:color="auto" w:fill="auto"/>
            <w:noWrap/>
            <w:vAlign w:val="bottom"/>
            <w:hideMark/>
          </w:tcPr>
          <w:p w14:paraId="63161F7B"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25</w:t>
            </w:r>
          </w:p>
        </w:tc>
        <w:tc>
          <w:tcPr>
            <w:tcW w:w="955" w:type="dxa"/>
            <w:tcBorders>
              <w:top w:val="nil"/>
              <w:left w:val="nil"/>
              <w:bottom w:val="single" w:sz="4" w:space="0" w:color="auto"/>
              <w:right w:val="single" w:sz="8" w:space="0" w:color="auto"/>
            </w:tcBorders>
            <w:shd w:val="clear" w:color="auto" w:fill="auto"/>
            <w:noWrap/>
            <w:vAlign w:val="bottom"/>
            <w:hideMark/>
          </w:tcPr>
          <w:p w14:paraId="62C29C4E"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50</w:t>
            </w:r>
          </w:p>
        </w:tc>
      </w:tr>
      <w:tr w:rsidR="008048D7" w:rsidRPr="00A820E1" w14:paraId="5E7C132D" w14:textId="77777777" w:rsidTr="008048D7">
        <w:trPr>
          <w:trHeight w:val="300"/>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362CAE98"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w:t>
            </w:r>
          </w:p>
        </w:tc>
        <w:tc>
          <w:tcPr>
            <w:tcW w:w="965" w:type="dxa"/>
            <w:tcBorders>
              <w:top w:val="nil"/>
              <w:left w:val="nil"/>
              <w:bottom w:val="single" w:sz="4" w:space="0" w:color="auto"/>
              <w:right w:val="single" w:sz="4" w:space="0" w:color="auto"/>
            </w:tcBorders>
            <w:shd w:val="clear" w:color="auto" w:fill="auto"/>
            <w:noWrap/>
            <w:vAlign w:val="bottom"/>
            <w:hideMark/>
          </w:tcPr>
          <w:p w14:paraId="6B32D2A2"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25</w:t>
            </w:r>
          </w:p>
        </w:tc>
        <w:tc>
          <w:tcPr>
            <w:tcW w:w="955" w:type="dxa"/>
            <w:tcBorders>
              <w:top w:val="nil"/>
              <w:left w:val="nil"/>
              <w:bottom w:val="single" w:sz="4" w:space="0" w:color="auto"/>
              <w:right w:val="single" w:sz="8" w:space="0" w:color="auto"/>
            </w:tcBorders>
            <w:shd w:val="clear" w:color="auto" w:fill="auto"/>
            <w:noWrap/>
            <w:vAlign w:val="bottom"/>
            <w:hideMark/>
          </w:tcPr>
          <w:p w14:paraId="17C793C1"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20</w:t>
            </w:r>
          </w:p>
        </w:tc>
      </w:tr>
      <w:tr w:rsidR="008048D7" w:rsidRPr="00A820E1" w14:paraId="4A29C6F7" w14:textId="77777777" w:rsidTr="008048D7">
        <w:trPr>
          <w:trHeight w:val="315"/>
        </w:trPr>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58F88ACD"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3</w:t>
            </w:r>
          </w:p>
        </w:tc>
        <w:tc>
          <w:tcPr>
            <w:tcW w:w="965" w:type="dxa"/>
            <w:tcBorders>
              <w:top w:val="nil"/>
              <w:left w:val="nil"/>
              <w:bottom w:val="single" w:sz="4" w:space="0" w:color="auto"/>
              <w:right w:val="single" w:sz="4" w:space="0" w:color="auto"/>
            </w:tcBorders>
            <w:shd w:val="clear" w:color="auto" w:fill="auto"/>
            <w:noWrap/>
            <w:vAlign w:val="bottom"/>
            <w:hideMark/>
          </w:tcPr>
          <w:p w14:paraId="51F1B210"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20</w:t>
            </w:r>
          </w:p>
        </w:tc>
        <w:tc>
          <w:tcPr>
            <w:tcW w:w="955" w:type="dxa"/>
            <w:tcBorders>
              <w:top w:val="nil"/>
              <w:left w:val="nil"/>
              <w:bottom w:val="single" w:sz="4" w:space="0" w:color="auto"/>
              <w:right w:val="single" w:sz="8" w:space="0" w:color="auto"/>
            </w:tcBorders>
            <w:shd w:val="clear" w:color="auto" w:fill="auto"/>
            <w:noWrap/>
            <w:vAlign w:val="bottom"/>
            <w:hideMark/>
          </w:tcPr>
          <w:p w14:paraId="4048F69D"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20</w:t>
            </w:r>
          </w:p>
        </w:tc>
      </w:tr>
      <w:tr w:rsidR="008048D7" w:rsidRPr="00A820E1" w14:paraId="10101F6D" w14:textId="77777777" w:rsidTr="008048D7">
        <w:trPr>
          <w:trHeight w:val="315"/>
        </w:trPr>
        <w:tc>
          <w:tcPr>
            <w:tcW w:w="960" w:type="dxa"/>
            <w:tcBorders>
              <w:top w:val="nil"/>
              <w:left w:val="single" w:sz="8" w:space="0" w:color="auto"/>
              <w:bottom w:val="single" w:sz="8" w:space="0" w:color="auto"/>
              <w:right w:val="single" w:sz="4" w:space="0" w:color="auto"/>
            </w:tcBorders>
            <w:shd w:val="clear" w:color="auto" w:fill="auto"/>
            <w:noWrap/>
            <w:vAlign w:val="bottom"/>
            <w:hideMark/>
          </w:tcPr>
          <w:p w14:paraId="3FC2DB14"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4</w:t>
            </w:r>
          </w:p>
        </w:tc>
        <w:tc>
          <w:tcPr>
            <w:tcW w:w="965" w:type="dxa"/>
            <w:tcBorders>
              <w:top w:val="nil"/>
              <w:left w:val="nil"/>
              <w:bottom w:val="single" w:sz="8" w:space="0" w:color="auto"/>
              <w:right w:val="single" w:sz="4" w:space="0" w:color="auto"/>
            </w:tcBorders>
            <w:shd w:val="clear" w:color="auto" w:fill="auto"/>
            <w:noWrap/>
            <w:vAlign w:val="bottom"/>
            <w:hideMark/>
          </w:tcPr>
          <w:p w14:paraId="315B76F1"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55</w:t>
            </w:r>
          </w:p>
        </w:tc>
        <w:tc>
          <w:tcPr>
            <w:tcW w:w="955" w:type="dxa"/>
            <w:tcBorders>
              <w:top w:val="nil"/>
              <w:left w:val="nil"/>
              <w:bottom w:val="single" w:sz="8" w:space="0" w:color="auto"/>
              <w:right w:val="single" w:sz="8" w:space="0" w:color="auto"/>
            </w:tcBorders>
            <w:shd w:val="clear" w:color="auto" w:fill="auto"/>
            <w:noWrap/>
            <w:vAlign w:val="bottom"/>
            <w:hideMark/>
          </w:tcPr>
          <w:p w14:paraId="1CEECBE0" w14:textId="77777777" w:rsidR="008048D7" w:rsidRPr="00A820E1" w:rsidRDefault="008048D7" w:rsidP="008048D7">
            <w:pPr>
              <w:spacing w:after="0" w:line="240" w:lineRule="auto"/>
              <w:jc w:val="right"/>
              <w:rPr>
                <w:rFonts w:ascii="Calibri" w:eastAsia="Times New Roman" w:hAnsi="Calibri" w:cs="Calibri"/>
                <w:color w:val="000000"/>
                <w:lang w:eastAsia="en-GB"/>
              </w:rPr>
            </w:pPr>
            <w:r w:rsidRPr="00A820E1">
              <w:rPr>
                <w:rFonts w:ascii="Calibri" w:eastAsia="Times New Roman" w:hAnsi="Calibri" w:cs="Calibri"/>
                <w:color w:val="000000"/>
                <w:lang w:eastAsia="en-GB"/>
              </w:rPr>
              <w:t>20</w:t>
            </w:r>
          </w:p>
        </w:tc>
      </w:tr>
    </w:tbl>
    <w:p w14:paraId="2A894142" w14:textId="6E994CE0" w:rsidR="00773E00" w:rsidRDefault="00773E00" w:rsidP="00773E00">
      <w:pPr>
        <w:ind w:left="2160" w:firstLine="720"/>
      </w:pPr>
    </w:p>
    <w:p w14:paraId="0A272DA8" w14:textId="1C0F3850" w:rsidR="00773E00" w:rsidRDefault="00773E00" w:rsidP="00773E00">
      <w:pPr>
        <w:ind w:left="2160" w:firstLine="720"/>
      </w:pPr>
    </w:p>
    <w:p w14:paraId="0EF003F9" w14:textId="28D50FB2" w:rsidR="00773E00" w:rsidRDefault="00773E00" w:rsidP="00773E00">
      <w:pPr>
        <w:ind w:left="2160" w:firstLine="720"/>
      </w:pPr>
    </w:p>
    <w:p w14:paraId="10C7E7E6" w14:textId="601819ED" w:rsidR="00773E00" w:rsidRDefault="00773E00" w:rsidP="00773E00">
      <w:pPr>
        <w:ind w:left="2160" w:firstLine="720"/>
      </w:pPr>
    </w:p>
    <w:p w14:paraId="17A77BDB" w14:textId="5827D166" w:rsidR="00773E00" w:rsidRDefault="00773E00" w:rsidP="00773E00">
      <w:pPr>
        <w:ind w:left="2160" w:firstLine="720"/>
      </w:pPr>
    </w:p>
    <w:p w14:paraId="0A991AD6" w14:textId="2EA742FC" w:rsidR="008048D7" w:rsidRDefault="008048D7" w:rsidP="00773E00">
      <w:pPr>
        <w:ind w:left="2160" w:firstLine="720"/>
      </w:pPr>
    </w:p>
    <w:p w14:paraId="0EC53F44" w14:textId="5888E5C6" w:rsidR="001C6793" w:rsidRDefault="001C6793" w:rsidP="004724FD"/>
    <w:p w14:paraId="16E3C4A2" w14:textId="2E3018C0" w:rsidR="001C6793" w:rsidRDefault="001C6793" w:rsidP="004724FD">
      <w:r>
        <w:t>In conclusion project B is less risky and more profitable for Jaguar Land Rover to invest,</w:t>
      </w:r>
    </w:p>
    <w:p w14:paraId="13169072" w14:textId="63B015AB" w:rsidR="001C6793" w:rsidRDefault="001C6793" w:rsidP="004724FD"/>
    <w:p w14:paraId="753C1A0F" w14:textId="1DC0A298" w:rsidR="001C6793" w:rsidRDefault="001C6793" w:rsidP="004724FD"/>
    <w:p w14:paraId="022A5F7D" w14:textId="2E9DEFB7" w:rsidR="001C6793" w:rsidRDefault="001C6793" w:rsidP="004724FD"/>
    <w:p w14:paraId="7C0206E3" w14:textId="007524B0" w:rsidR="001C6793" w:rsidRDefault="001C6793" w:rsidP="004724FD"/>
    <w:p w14:paraId="290D14E8" w14:textId="75E7DF1F" w:rsidR="00CC2032" w:rsidRDefault="00CC2032" w:rsidP="004724FD"/>
    <w:p w14:paraId="5B67A19B" w14:textId="31AFAAC6" w:rsidR="00CC2032" w:rsidRDefault="00CC2032" w:rsidP="004724FD"/>
    <w:p w14:paraId="3B37443F" w14:textId="52420851" w:rsidR="00CC2032" w:rsidRDefault="00CC2032" w:rsidP="004724FD"/>
    <w:p w14:paraId="4A45E6B0" w14:textId="76AFD0EA" w:rsidR="00CC2032" w:rsidRDefault="00CC2032" w:rsidP="004724FD"/>
    <w:p w14:paraId="51EE9F30" w14:textId="4A5DC9C8" w:rsidR="00CC2032" w:rsidRDefault="00CC2032" w:rsidP="004724FD"/>
    <w:p w14:paraId="0B12D33A" w14:textId="6C3E1C2E" w:rsidR="00CC2032" w:rsidRDefault="00CC2032" w:rsidP="004724FD"/>
    <w:p w14:paraId="25CBEED3" w14:textId="1B95CD87" w:rsidR="00CC2032" w:rsidRDefault="00CC2032" w:rsidP="004724FD"/>
    <w:p w14:paraId="5CFA6259" w14:textId="77777777" w:rsidR="00CC2032" w:rsidRDefault="00CC2032" w:rsidP="004724FD"/>
    <w:p w14:paraId="270B7B0E" w14:textId="0C9BD3EA" w:rsidR="00EC39F1" w:rsidRDefault="002E2944" w:rsidP="00EC39F1">
      <w:pPr>
        <w:rPr>
          <w:b/>
          <w:bCs/>
        </w:rPr>
      </w:pPr>
      <w:r w:rsidRPr="00CC2032">
        <w:rPr>
          <w:b/>
          <w:bCs/>
        </w:rPr>
        <w:t>Reference List</w:t>
      </w:r>
    </w:p>
    <w:p w14:paraId="511D7AD8" w14:textId="14270D10" w:rsidR="00CC2032" w:rsidRDefault="00CC2032" w:rsidP="00EC39F1">
      <w:r w:rsidRPr="00CC2032">
        <w:t>Annual Report 2014/2015</w:t>
      </w:r>
      <w:r>
        <w:t xml:space="preserve"> (2015). </w:t>
      </w:r>
      <w:r w:rsidRPr="00CC2032">
        <w:rPr>
          <w:i/>
          <w:iCs/>
        </w:rPr>
        <w:t>Jaguar Land Rover- Annual Report 2014/2015</w:t>
      </w:r>
      <w:r>
        <w:t xml:space="preserve">. [online] Annualreport2015.jaguarlandrover.com. Available at: </w:t>
      </w:r>
      <w:hyperlink r:id="rId22" w:history="1">
        <w:r w:rsidRPr="0020430E">
          <w:rPr>
            <w:rStyle w:val="Hyperlink"/>
          </w:rPr>
          <w:t>http://annualreport2015.jaguarlandrove.com</w:t>
        </w:r>
      </w:hyperlink>
      <w:r>
        <w:t xml:space="preserve"> [Accessed 15 Aug 2019].</w:t>
      </w:r>
    </w:p>
    <w:p w14:paraId="131409D9" w14:textId="37F2E39B" w:rsidR="00CC2032" w:rsidRDefault="00CC2032" w:rsidP="00CC2032">
      <w:r w:rsidRPr="00CC2032">
        <w:t>Annual Report 201</w:t>
      </w:r>
      <w:r>
        <w:t>6</w:t>
      </w:r>
      <w:r w:rsidRPr="00CC2032">
        <w:t>/201</w:t>
      </w:r>
      <w:r>
        <w:t>7</w:t>
      </w:r>
      <w:r>
        <w:t xml:space="preserve"> (201</w:t>
      </w:r>
      <w:r>
        <w:t>7</w:t>
      </w:r>
      <w:r>
        <w:t xml:space="preserve">). </w:t>
      </w:r>
      <w:r w:rsidRPr="00CC2032">
        <w:rPr>
          <w:i/>
          <w:iCs/>
        </w:rPr>
        <w:t>Jaguar Land Rover- Annual Report 201</w:t>
      </w:r>
      <w:r>
        <w:rPr>
          <w:i/>
          <w:iCs/>
        </w:rPr>
        <w:t>6</w:t>
      </w:r>
      <w:r w:rsidRPr="00CC2032">
        <w:rPr>
          <w:i/>
          <w:iCs/>
        </w:rPr>
        <w:t>/201</w:t>
      </w:r>
      <w:r>
        <w:rPr>
          <w:i/>
          <w:iCs/>
        </w:rPr>
        <w:t>7</w:t>
      </w:r>
      <w:r>
        <w:t>. [online] Annualreport201</w:t>
      </w:r>
      <w:r>
        <w:t>7</w:t>
      </w:r>
      <w:r>
        <w:t xml:space="preserve">.jaguarlandrover.com. Available at: </w:t>
      </w:r>
      <w:hyperlink r:id="rId23" w:history="1">
        <w:r w:rsidRPr="0020430E">
          <w:rPr>
            <w:rStyle w:val="Hyperlink"/>
          </w:rPr>
          <w:t>http://annualreport2015.jaguarlandrove.com</w:t>
        </w:r>
      </w:hyperlink>
      <w:r>
        <w:t xml:space="preserve"> [Accessed 15 Aug 2019].</w:t>
      </w:r>
    </w:p>
    <w:p w14:paraId="02CA8B79" w14:textId="627495EC" w:rsidR="00CC2032" w:rsidRDefault="00CC2032" w:rsidP="00CC2032">
      <w:r w:rsidRPr="00CC2032">
        <w:t>Annual Report 201</w:t>
      </w:r>
      <w:r>
        <w:t>8</w:t>
      </w:r>
      <w:r w:rsidRPr="00CC2032">
        <w:t>/201</w:t>
      </w:r>
      <w:r>
        <w:t>9</w:t>
      </w:r>
      <w:r>
        <w:t xml:space="preserve"> (201</w:t>
      </w:r>
      <w:r>
        <w:t>9</w:t>
      </w:r>
      <w:r>
        <w:t xml:space="preserve">). </w:t>
      </w:r>
      <w:r w:rsidRPr="00CC2032">
        <w:rPr>
          <w:i/>
          <w:iCs/>
        </w:rPr>
        <w:t>Jaguar Land Rover- Annual Report 201</w:t>
      </w:r>
      <w:r>
        <w:rPr>
          <w:i/>
          <w:iCs/>
        </w:rPr>
        <w:t>8</w:t>
      </w:r>
      <w:r w:rsidRPr="00CC2032">
        <w:rPr>
          <w:i/>
          <w:iCs/>
        </w:rPr>
        <w:t>/201</w:t>
      </w:r>
      <w:r>
        <w:rPr>
          <w:i/>
          <w:iCs/>
        </w:rPr>
        <w:t>9</w:t>
      </w:r>
      <w:r>
        <w:t>. [online] Annualreport201</w:t>
      </w:r>
      <w:r>
        <w:t>9</w:t>
      </w:r>
      <w:r>
        <w:t xml:space="preserve">.jaguarlandrover.com. Available at: </w:t>
      </w:r>
      <w:hyperlink r:id="rId24" w:history="1">
        <w:r w:rsidRPr="0020430E">
          <w:rPr>
            <w:rStyle w:val="Hyperlink"/>
          </w:rPr>
          <w:t>http://annualreport2015.jaguarlandrove.com</w:t>
        </w:r>
      </w:hyperlink>
      <w:r>
        <w:t xml:space="preserve"> [Accessed 15 Aug 2019].</w:t>
      </w:r>
    </w:p>
    <w:p w14:paraId="311603E1" w14:textId="7880FBB5" w:rsidR="00202F78" w:rsidRDefault="00CC2032" w:rsidP="00EC39F1">
      <w:r>
        <w:t xml:space="preserve">Auto industry market (2019). Auto &amp; Trucks Parts Industry Profitability by quarter 2 Q </w:t>
      </w:r>
      <w:proofErr w:type="gramStart"/>
      <w:r>
        <w:t>2019.[</w:t>
      </w:r>
      <w:proofErr w:type="gramEnd"/>
      <w:r>
        <w:t xml:space="preserve">online] Csimarket.com. Available at: </w:t>
      </w:r>
      <w:hyperlink r:id="rId25" w:history="1">
        <w:r w:rsidRPr="0020430E">
          <w:rPr>
            <w:rStyle w:val="Hyperlink"/>
          </w:rPr>
          <w:t>https://csimarket.com/Industry/Industry_Profitability_Ratios.php?ind=405[Accessed</w:t>
        </w:r>
      </w:hyperlink>
      <w:r>
        <w:t xml:space="preserve"> 24 Aug 2019].</w:t>
      </w:r>
    </w:p>
    <w:p w14:paraId="21F1156C" w14:textId="05834654" w:rsidR="00CC2032" w:rsidRDefault="00CC2032" w:rsidP="00EC39F1"/>
    <w:p w14:paraId="182DB991" w14:textId="4FDAD955" w:rsidR="00CC2032" w:rsidRDefault="00CC2032" w:rsidP="00EC39F1">
      <w:r>
        <w:t xml:space="preserve">Financial </w:t>
      </w:r>
      <w:proofErr w:type="gramStart"/>
      <w:r>
        <w:t>ratio.(</w:t>
      </w:r>
      <w:proofErr w:type="gramEnd"/>
      <w:r>
        <w:t xml:space="preserve">2018). Gross Margin Ration/ formula/ Analysis/ Example. [online] My accounting course. Available at: </w:t>
      </w:r>
      <w:hyperlink r:id="rId26" w:history="1">
        <w:r w:rsidRPr="0020430E">
          <w:rPr>
            <w:rStyle w:val="Hyperlink"/>
          </w:rPr>
          <w:t>https://www.myaccountingcourse.com/financial-ratios</w:t>
        </w:r>
      </w:hyperlink>
      <w:r>
        <w:t xml:space="preserve"> [Accessed 23 Aug 2019].</w:t>
      </w:r>
    </w:p>
    <w:p w14:paraId="0EC2AED9" w14:textId="1DD2EEE8" w:rsidR="00CC2032" w:rsidRDefault="00CC2032" w:rsidP="00EC39F1">
      <w:r>
        <w:t xml:space="preserve">Mercedes Benz (2019).[online] Daimler.com Available at: </w:t>
      </w:r>
      <w:hyperlink r:id="rId27" w:history="1">
        <w:r w:rsidRPr="0020430E">
          <w:rPr>
            <w:rStyle w:val="Hyperlink"/>
          </w:rPr>
          <w:t>https://www.daimler.com/documents/investors/reports/annual-report/daimler/daimler-ir-annual-report-2018.pdf</w:t>
        </w:r>
      </w:hyperlink>
      <w:r>
        <w:t xml:space="preserve"> [Accessed 25 Aug 2019].</w:t>
      </w:r>
    </w:p>
    <w:p w14:paraId="2FEDF01E" w14:textId="5621866A" w:rsidR="002E2944" w:rsidRDefault="002E2944" w:rsidP="00EC39F1"/>
    <w:p w14:paraId="5F2E7057" w14:textId="13989FA9" w:rsidR="002E2944" w:rsidRDefault="002E2944" w:rsidP="00EC39F1"/>
    <w:p w14:paraId="6131D901" w14:textId="505EE78F" w:rsidR="002E2944" w:rsidRDefault="002E2944" w:rsidP="00EC39F1">
      <w:bookmarkStart w:id="0" w:name="_GoBack"/>
      <w:bookmarkEnd w:id="0"/>
    </w:p>
    <w:p w14:paraId="63E63DE0" w14:textId="12E0ADEB" w:rsidR="002E2944" w:rsidRDefault="002E2944" w:rsidP="00EC39F1"/>
    <w:p w14:paraId="507CC74B" w14:textId="5DF6678E" w:rsidR="002E2944" w:rsidRDefault="002E2944" w:rsidP="00EC39F1"/>
    <w:p w14:paraId="50EF8E39" w14:textId="1130002B" w:rsidR="002E2944" w:rsidRDefault="002E2944" w:rsidP="00EC39F1"/>
    <w:p w14:paraId="798334D4" w14:textId="398EA699" w:rsidR="002E2944" w:rsidRDefault="002E2944" w:rsidP="00EC39F1"/>
    <w:p w14:paraId="3099FF8B" w14:textId="1EED47AC" w:rsidR="002E2944" w:rsidRDefault="002E2944" w:rsidP="00EC39F1"/>
    <w:p w14:paraId="0FE3529A" w14:textId="1EE48B81" w:rsidR="002E2944" w:rsidRDefault="002E2944" w:rsidP="00EC39F1"/>
    <w:p w14:paraId="40C89820" w14:textId="6A80C94E" w:rsidR="002E2944" w:rsidRDefault="002E2944" w:rsidP="00EC39F1"/>
    <w:p w14:paraId="69B7B2B0" w14:textId="474F05B8" w:rsidR="002E2944" w:rsidRDefault="002E2944" w:rsidP="00EC39F1"/>
    <w:p w14:paraId="3D9B4061" w14:textId="0801AF98" w:rsidR="002E2944" w:rsidRDefault="002E2944" w:rsidP="00EC39F1"/>
    <w:p w14:paraId="43BA1257" w14:textId="545E6F51" w:rsidR="002E2944" w:rsidRDefault="002E2944" w:rsidP="00EC39F1"/>
    <w:p w14:paraId="45E15CDA" w14:textId="71B3FCA5" w:rsidR="002E2944" w:rsidRDefault="002E2944" w:rsidP="00EC39F1"/>
    <w:p w14:paraId="20F043E6" w14:textId="3C698F12" w:rsidR="002E2944" w:rsidRDefault="002E2944" w:rsidP="00EC39F1"/>
    <w:p w14:paraId="38A26813" w14:textId="497F8621" w:rsidR="002E2944" w:rsidRDefault="002E2944" w:rsidP="00EC39F1"/>
    <w:p w14:paraId="3C49890A" w14:textId="6C1B116F" w:rsidR="002E2944" w:rsidRDefault="002E2944" w:rsidP="00EC39F1"/>
    <w:p w14:paraId="6578B021" w14:textId="6209D5E7" w:rsidR="002E2944" w:rsidRDefault="002E2944" w:rsidP="00EC39F1"/>
    <w:p w14:paraId="2E5FD8AF" w14:textId="2E087C47" w:rsidR="002E2944" w:rsidRDefault="002E2944" w:rsidP="00EC39F1"/>
    <w:p w14:paraId="16948D4E" w14:textId="5BFDB72F" w:rsidR="002E2944" w:rsidRDefault="002E2944" w:rsidP="00EC39F1"/>
    <w:p w14:paraId="2F697BB7" w14:textId="7CBBD5B2" w:rsidR="002E2944" w:rsidRDefault="002E2944" w:rsidP="00EC39F1"/>
    <w:p w14:paraId="4D021309" w14:textId="63A12665" w:rsidR="002E2944" w:rsidRDefault="002E2944" w:rsidP="00EC39F1"/>
    <w:p w14:paraId="384AE0A3" w14:textId="2B988EEE" w:rsidR="002E2944" w:rsidRDefault="002E2944" w:rsidP="00EC39F1"/>
    <w:p w14:paraId="16AFFF67" w14:textId="78E5DC12" w:rsidR="002E2944" w:rsidRDefault="002E2944" w:rsidP="00EC39F1"/>
    <w:p w14:paraId="25388D96" w14:textId="059C6E77" w:rsidR="002E2944" w:rsidRDefault="002E2944" w:rsidP="00EC39F1"/>
    <w:p w14:paraId="5D467CD5" w14:textId="742FDAA8" w:rsidR="002E2944" w:rsidRDefault="002E2944" w:rsidP="00EC39F1"/>
    <w:p w14:paraId="6AE452B8" w14:textId="508369A4" w:rsidR="002E2944" w:rsidRPr="0044587B" w:rsidRDefault="002E2944" w:rsidP="00EC39F1">
      <w:pPr>
        <w:rPr>
          <w:b/>
          <w:bCs/>
        </w:rPr>
      </w:pPr>
      <w:r w:rsidRPr="0044587B">
        <w:rPr>
          <w:b/>
          <w:bCs/>
        </w:rPr>
        <w:t xml:space="preserve">Appendix </w:t>
      </w:r>
      <w:proofErr w:type="gramStart"/>
      <w:r w:rsidRPr="0044587B">
        <w:rPr>
          <w:b/>
          <w:bCs/>
        </w:rPr>
        <w:t>A  -</w:t>
      </w:r>
      <w:proofErr w:type="gramEnd"/>
      <w:r w:rsidRPr="0044587B">
        <w:rPr>
          <w:b/>
          <w:bCs/>
        </w:rPr>
        <w:t xml:space="preserve"> Formulas</w:t>
      </w:r>
    </w:p>
    <w:p w14:paraId="5C789E41" w14:textId="1A5C101D" w:rsidR="002E2944" w:rsidRDefault="002E2944" w:rsidP="00EC39F1"/>
    <w:p w14:paraId="35A11CDA" w14:textId="7A2AEE4A" w:rsidR="000A05F5" w:rsidRDefault="002E2944" w:rsidP="00EC39F1">
      <w:pPr>
        <w:rPr>
          <w:b/>
          <w:bCs/>
        </w:rPr>
      </w:pPr>
      <w:r w:rsidRPr="00B66ED1">
        <w:rPr>
          <w:b/>
          <w:bCs/>
        </w:rPr>
        <w:t>Ta</w:t>
      </w:r>
      <w:r w:rsidR="00997984" w:rsidRPr="00B66ED1">
        <w:rPr>
          <w:b/>
          <w:bCs/>
        </w:rPr>
        <w:t>b. 1</w:t>
      </w:r>
      <w:r w:rsidR="000A05F5">
        <w:rPr>
          <w:b/>
          <w:bCs/>
        </w:rPr>
        <w:t xml:space="preserve">. </w:t>
      </w:r>
      <w:r w:rsidR="00441221">
        <w:rPr>
          <w:b/>
          <w:bCs/>
        </w:rPr>
        <w:t>The profitability ratios calculation elements</w:t>
      </w:r>
    </w:p>
    <w:p w14:paraId="5C047448" w14:textId="00BEC3EF" w:rsidR="00441221" w:rsidRPr="00F344CC" w:rsidRDefault="00441221" w:rsidP="00EC39F1">
      <w:r w:rsidRPr="00F344CC">
        <w:t>Operation Income = Profit Before Tax + Interest</w:t>
      </w:r>
    </w:p>
    <w:p w14:paraId="316F5AA0" w14:textId="5210E5EF" w:rsidR="00441221" w:rsidRDefault="00F344CC" w:rsidP="00EC39F1">
      <w:r w:rsidRPr="00F344CC">
        <w:t>Interest = -Finance Income + Finance Expense</w:t>
      </w:r>
    </w:p>
    <w:p w14:paraId="6D51E0FB" w14:textId="09C27AF6" w:rsidR="00DD47E5" w:rsidRPr="00F344CC" w:rsidRDefault="00DD47E5" w:rsidP="00EC39F1">
      <w:r>
        <w:t>Gross Profit = Revenue – Material and other cost of sales</w:t>
      </w:r>
    </w:p>
    <w:p w14:paraId="59B372A5" w14:textId="12F37F4B" w:rsidR="00997984" w:rsidRPr="00B66ED1" w:rsidRDefault="000A05F5" w:rsidP="00EC39F1">
      <w:pPr>
        <w:rPr>
          <w:b/>
          <w:bCs/>
        </w:rPr>
      </w:pPr>
      <w:r>
        <w:rPr>
          <w:b/>
          <w:bCs/>
        </w:rPr>
        <w:t>Tab.2.</w:t>
      </w:r>
      <w:r w:rsidR="00997984" w:rsidRPr="00B66ED1">
        <w:rPr>
          <w:b/>
          <w:bCs/>
        </w:rPr>
        <w:tab/>
        <w:t>Profitability Ratios</w:t>
      </w:r>
    </w:p>
    <w:p w14:paraId="161181C5" w14:textId="77777777" w:rsidR="00953D29" w:rsidRDefault="00953D29" w:rsidP="00EC39F1">
      <w:r>
        <w:t>Gross Margin = Gross Profit / Sales</w:t>
      </w:r>
    </w:p>
    <w:p w14:paraId="5E76E231" w14:textId="77777777" w:rsidR="00953D29" w:rsidRDefault="00953D29" w:rsidP="00EC39F1">
      <w:r>
        <w:t>Operating Margin = Operating Income / Sales</w:t>
      </w:r>
    </w:p>
    <w:p w14:paraId="0F21B3B6" w14:textId="77777777" w:rsidR="00953D29" w:rsidRDefault="00953D29" w:rsidP="00EC39F1">
      <w:r>
        <w:t>Net Profit Margin = Net Income / Sales</w:t>
      </w:r>
    </w:p>
    <w:p w14:paraId="37191A72" w14:textId="77777777" w:rsidR="00953D29" w:rsidRDefault="00953D29" w:rsidP="00EC39F1"/>
    <w:p w14:paraId="09861AEA" w14:textId="3000FB0B" w:rsidR="000D4677" w:rsidRPr="00B66ED1" w:rsidRDefault="00953D29" w:rsidP="00EC39F1">
      <w:pPr>
        <w:rPr>
          <w:b/>
          <w:bCs/>
        </w:rPr>
      </w:pPr>
      <w:r w:rsidRPr="00B66ED1">
        <w:rPr>
          <w:b/>
          <w:bCs/>
        </w:rPr>
        <w:t xml:space="preserve">Tab. </w:t>
      </w:r>
      <w:r w:rsidR="00F344CC">
        <w:rPr>
          <w:b/>
          <w:bCs/>
        </w:rPr>
        <w:t>3.</w:t>
      </w:r>
      <w:r w:rsidR="000D4677" w:rsidRPr="00B66ED1">
        <w:rPr>
          <w:b/>
          <w:bCs/>
        </w:rPr>
        <w:tab/>
        <w:t>Efficiency Ratios</w:t>
      </w:r>
    </w:p>
    <w:p w14:paraId="7F9105E2" w14:textId="77777777" w:rsidR="00E24C37" w:rsidRDefault="000D4677" w:rsidP="00EC39F1">
      <w:r>
        <w:t>Asset Turnover = Sales / Total Assets</w:t>
      </w:r>
    </w:p>
    <w:p w14:paraId="65E05E68" w14:textId="77777777" w:rsidR="00E24C37" w:rsidRDefault="00E24C37" w:rsidP="00EC39F1">
      <w:r>
        <w:t>Fixed Asset Turnover = Sales / Fixed Assets</w:t>
      </w:r>
    </w:p>
    <w:p w14:paraId="761791AA" w14:textId="77777777" w:rsidR="00E24C37" w:rsidRDefault="00E24C37" w:rsidP="00EC39F1"/>
    <w:p w14:paraId="507690CF" w14:textId="28D32A95" w:rsidR="00044D5E" w:rsidRPr="00B66ED1" w:rsidRDefault="00044D5E" w:rsidP="00EC39F1">
      <w:pPr>
        <w:rPr>
          <w:b/>
          <w:bCs/>
        </w:rPr>
      </w:pPr>
      <w:r w:rsidRPr="00B66ED1">
        <w:rPr>
          <w:b/>
          <w:bCs/>
        </w:rPr>
        <w:t>Tab</w:t>
      </w:r>
      <w:r w:rsidR="006E76F3" w:rsidRPr="00B66ED1">
        <w:rPr>
          <w:b/>
          <w:bCs/>
        </w:rPr>
        <w:t>.</w:t>
      </w:r>
      <w:r w:rsidRPr="00B66ED1">
        <w:rPr>
          <w:b/>
          <w:bCs/>
        </w:rPr>
        <w:t xml:space="preserve"> </w:t>
      </w:r>
      <w:r w:rsidR="004F5C10">
        <w:rPr>
          <w:b/>
          <w:bCs/>
        </w:rPr>
        <w:t>6.</w:t>
      </w:r>
      <w:r w:rsidRPr="00B66ED1">
        <w:rPr>
          <w:b/>
          <w:bCs/>
        </w:rPr>
        <w:tab/>
        <w:t>Liquidity Ratios</w:t>
      </w:r>
    </w:p>
    <w:p w14:paraId="036BB587" w14:textId="77777777" w:rsidR="00325A5A" w:rsidRDefault="00325A5A" w:rsidP="00EC39F1">
      <w:r>
        <w:t>Current Ratio = Current Assets / Current Liabilities</w:t>
      </w:r>
    </w:p>
    <w:p w14:paraId="58E2DC9C" w14:textId="7DDB26BA" w:rsidR="002E2944" w:rsidRDefault="00325A5A" w:rsidP="00EC39F1">
      <w:r>
        <w:t>Quick Ratio = (Current Assets – Inventory)/ Current Liabilities</w:t>
      </w:r>
    </w:p>
    <w:p w14:paraId="5B69B9C3" w14:textId="020841FD" w:rsidR="00B01B46" w:rsidRDefault="00B01B46" w:rsidP="00EC39F1"/>
    <w:p w14:paraId="381007F3" w14:textId="77777777" w:rsidR="004F5C10" w:rsidRDefault="00B01B46" w:rsidP="00EC39F1">
      <w:pPr>
        <w:rPr>
          <w:b/>
          <w:bCs/>
        </w:rPr>
      </w:pPr>
      <w:r w:rsidRPr="00B66ED1">
        <w:rPr>
          <w:b/>
          <w:bCs/>
        </w:rPr>
        <w:t>Tab</w:t>
      </w:r>
      <w:r w:rsidR="006E76F3" w:rsidRPr="00B66ED1">
        <w:rPr>
          <w:b/>
          <w:bCs/>
        </w:rPr>
        <w:t>.</w:t>
      </w:r>
      <w:r w:rsidRPr="00B66ED1">
        <w:rPr>
          <w:b/>
          <w:bCs/>
        </w:rPr>
        <w:t xml:space="preserve"> </w:t>
      </w:r>
      <w:r w:rsidR="004F5C10">
        <w:rPr>
          <w:b/>
          <w:bCs/>
        </w:rPr>
        <w:t>7. Leverage Ratios calculation elements</w:t>
      </w:r>
    </w:p>
    <w:p w14:paraId="48B62277" w14:textId="48CCAE9D" w:rsidR="004F5C10" w:rsidRDefault="004F5C10" w:rsidP="00EC39F1">
      <w:pPr>
        <w:rPr>
          <w:b/>
          <w:bCs/>
        </w:rPr>
      </w:pPr>
      <w:r>
        <w:t xml:space="preserve">Total Debt= </w:t>
      </w:r>
      <w:r w:rsidR="0044587B">
        <w:t>Short Term Borrowing + Long Term Borrowing</w:t>
      </w:r>
      <w:r w:rsidR="00B01B46" w:rsidRPr="00B66ED1">
        <w:rPr>
          <w:b/>
          <w:bCs/>
        </w:rPr>
        <w:t xml:space="preserve"> </w:t>
      </w:r>
      <w:r w:rsidR="00B01B46" w:rsidRPr="00B66ED1">
        <w:rPr>
          <w:b/>
          <w:bCs/>
        </w:rPr>
        <w:tab/>
      </w:r>
    </w:p>
    <w:p w14:paraId="11D839B7" w14:textId="5C69492D" w:rsidR="00B01B46" w:rsidRPr="00B66ED1" w:rsidRDefault="0044587B" w:rsidP="00EC39F1">
      <w:pPr>
        <w:rPr>
          <w:b/>
          <w:bCs/>
        </w:rPr>
      </w:pPr>
      <w:r>
        <w:rPr>
          <w:b/>
          <w:bCs/>
        </w:rPr>
        <w:t xml:space="preserve">Tab. 8.   </w:t>
      </w:r>
      <w:r w:rsidR="00B01B46" w:rsidRPr="00B66ED1">
        <w:rPr>
          <w:b/>
          <w:bCs/>
        </w:rPr>
        <w:t>Leverage Ratios</w:t>
      </w:r>
    </w:p>
    <w:p w14:paraId="4F31646B" w14:textId="484FE17A" w:rsidR="00B01B46" w:rsidRDefault="00B01B46" w:rsidP="00EC39F1">
      <w:r>
        <w:t>Debt-Equity Ratio = Total Debt / Total Equity</w:t>
      </w:r>
    </w:p>
    <w:p w14:paraId="3B89ECF2" w14:textId="799D6D81" w:rsidR="00B01B46" w:rsidRDefault="00440D65" w:rsidP="00EC39F1">
      <w:r>
        <w:t>Debt- to- Capital Ratio = Total Debt / (Total Equity+ Total Debt)</w:t>
      </w:r>
    </w:p>
    <w:p w14:paraId="277ED7BD" w14:textId="48273A76" w:rsidR="00440D65" w:rsidRDefault="00440D65" w:rsidP="00EC39F1"/>
    <w:p w14:paraId="23FAA1AD" w14:textId="05B1AAF5" w:rsidR="00440D65" w:rsidRPr="00B66ED1" w:rsidRDefault="00440D65" w:rsidP="00EC39F1">
      <w:pPr>
        <w:rPr>
          <w:b/>
          <w:bCs/>
        </w:rPr>
      </w:pPr>
      <w:r w:rsidRPr="00B66ED1">
        <w:rPr>
          <w:b/>
          <w:bCs/>
        </w:rPr>
        <w:t>Tab</w:t>
      </w:r>
      <w:r w:rsidR="006E76F3" w:rsidRPr="00B66ED1">
        <w:rPr>
          <w:b/>
          <w:bCs/>
        </w:rPr>
        <w:t>.</w:t>
      </w:r>
      <w:r w:rsidR="0044587B">
        <w:rPr>
          <w:b/>
          <w:bCs/>
        </w:rPr>
        <w:t>9</w:t>
      </w:r>
      <w:r w:rsidR="006E76F3" w:rsidRPr="00B66ED1">
        <w:rPr>
          <w:b/>
          <w:bCs/>
        </w:rPr>
        <w:tab/>
        <w:t>Pay Back Period</w:t>
      </w:r>
    </w:p>
    <w:p w14:paraId="739D5552" w14:textId="6871CEEC" w:rsidR="00393E4F" w:rsidRDefault="00D8389D" w:rsidP="00EC39F1">
      <w:r>
        <w:t>Pay Back Period = No of years +</w:t>
      </w:r>
      <w:r w:rsidR="00393E4F">
        <w:t>Deficit Amount/ (Deficit amount+ Surplus Amount)</w:t>
      </w:r>
    </w:p>
    <w:p w14:paraId="27478B52" w14:textId="42663965" w:rsidR="002E2944" w:rsidRDefault="00D8389D" w:rsidP="00EC39F1">
      <w:r>
        <w:t xml:space="preserve"> </w:t>
      </w:r>
      <w:r w:rsidR="00393E4F">
        <w:t xml:space="preserve">Tab. 6 </w:t>
      </w:r>
      <w:r w:rsidR="00864AF6">
        <w:t>Account Rate of Return</w:t>
      </w:r>
    </w:p>
    <w:p w14:paraId="0ACA194A" w14:textId="77777777" w:rsidR="00864AF6" w:rsidRDefault="00864AF6" w:rsidP="00864AF6">
      <w:r>
        <w:t xml:space="preserve">Account Rate of Return (ARR) = </w:t>
      </w:r>
      <w:r w:rsidRPr="00561B4C">
        <w:t>{(</w:t>
      </w:r>
      <w:r>
        <w:t>Cash flow</w:t>
      </w:r>
      <w:r w:rsidRPr="00561B4C">
        <w:t xml:space="preserve"> year 1+ </w:t>
      </w:r>
      <w:r>
        <w:t xml:space="preserve">Cash flow </w:t>
      </w:r>
      <w:r w:rsidRPr="00561B4C">
        <w:t>year 2+</w:t>
      </w:r>
      <w:r>
        <w:t xml:space="preserve">Cash flow </w:t>
      </w:r>
      <w:r w:rsidRPr="00561B4C">
        <w:t xml:space="preserve">year 3+ </w:t>
      </w:r>
      <w:r>
        <w:t xml:space="preserve">Cash flow </w:t>
      </w:r>
      <w:r w:rsidRPr="00561B4C">
        <w:t>year 4</w:t>
      </w:r>
      <w:r>
        <w:t>)</w:t>
      </w:r>
      <w:r w:rsidRPr="00561B4C">
        <w:t>-the Investment)/4}/(Investment/2)</w:t>
      </w:r>
    </w:p>
    <w:p w14:paraId="4CC41647" w14:textId="77777777" w:rsidR="00864AF6" w:rsidRDefault="00864AF6" w:rsidP="00864AF6">
      <w:r>
        <w:t xml:space="preserve">Account Rate of Return (ARR) = </w:t>
      </w:r>
      <w:r w:rsidRPr="00BB66C6">
        <w:t>{(Profit year 1+Profit year 2+Profit year3+Profit year 4)/4}/(Investment/2)</w:t>
      </w:r>
      <w:r>
        <w:t xml:space="preserve"> </w:t>
      </w:r>
    </w:p>
    <w:p w14:paraId="66B4A205" w14:textId="3581BFA2" w:rsidR="00864AF6" w:rsidRDefault="00864AF6" w:rsidP="00EC39F1">
      <w:r>
        <w:t>Tab. 7</w:t>
      </w:r>
      <w:r>
        <w:tab/>
        <w:t>Net Present Value</w:t>
      </w:r>
    </w:p>
    <w:p w14:paraId="4DA17B86" w14:textId="7C667DF4" w:rsidR="00864AF6" w:rsidRDefault="00864AF6" w:rsidP="00EC39F1">
      <w:r>
        <w:t>NPV = -I</w:t>
      </w:r>
      <w:r w:rsidR="00B30C8B">
        <w:t>+C1/(1+r) ^1+C2/(1+r) ^2……Cn/(1+r) ^n</w:t>
      </w:r>
    </w:p>
    <w:p w14:paraId="02FAEFCE" w14:textId="4A427CB3" w:rsidR="00B30C8B" w:rsidRDefault="00B30C8B" w:rsidP="00EC39F1">
      <w:r>
        <w:t>Where:</w:t>
      </w:r>
    </w:p>
    <w:p w14:paraId="73B6B977" w14:textId="4795614F" w:rsidR="00B30C8B" w:rsidRDefault="00B30C8B" w:rsidP="00EC39F1">
      <w:r>
        <w:t>I= initial investment</w:t>
      </w:r>
    </w:p>
    <w:p w14:paraId="48C2FE66" w14:textId="2B15C990" w:rsidR="00B30C8B" w:rsidRDefault="00B30C8B" w:rsidP="00EC39F1">
      <w:r>
        <w:t>C1, C</w:t>
      </w:r>
      <w:proofErr w:type="gramStart"/>
      <w:r>
        <w:t>2,…</w:t>
      </w:r>
      <w:proofErr w:type="gramEnd"/>
      <w:r>
        <w:t xml:space="preserve">.Cn </w:t>
      </w:r>
      <w:r w:rsidR="00351E13">
        <w:t>= project cash flows in years 1, 2,…n</w:t>
      </w:r>
    </w:p>
    <w:p w14:paraId="4F8CB4D3" w14:textId="72CC859C" w:rsidR="00B66ED1" w:rsidRDefault="00B66ED1" w:rsidP="00EC39F1">
      <w:r>
        <w:t>r</w:t>
      </w:r>
      <w:r w:rsidR="00351E13">
        <w:t xml:space="preserve">= </w:t>
      </w:r>
      <w:r>
        <w:t>the cost of capital</w:t>
      </w:r>
    </w:p>
    <w:p w14:paraId="07F11DF4" w14:textId="77777777" w:rsidR="002E2944" w:rsidRPr="00773E00" w:rsidRDefault="002E2944" w:rsidP="00EC39F1"/>
    <w:sectPr w:rsidR="002E2944" w:rsidRPr="00773E00">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3BA6F" w14:textId="77777777" w:rsidR="00DB3020" w:rsidRDefault="00DB3020" w:rsidP="00494C20">
      <w:pPr>
        <w:spacing w:after="0" w:line="240" w:lineRule="auto"/>
      </w:pPr>
      <w:r>
        <w:separator/>
      </w:r>
    </w:p>
  </w:endnote>
  <w:endnote w:type="continuationSeparator" w:id="0">
    <w:p w14:paraId="0D55BFC1" w14:textId="77777777" w:rsidR="00DB3020" w:rsidRDefault="00DB3020" w:rsidP="00494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5740731"/>
      <w:docPartObj>
        <w:docPartGallery w:val="Page Numbers (Bottom of Page)"/>
        <w:docPartUnique/>
      </w:docPartObj>
    </w:sdtPr>
    <w:sdtEndPr/>
    <w:sdtContent>
      <w:sdt>
        <w:sdtPr>
          <w:id w:val="1728636285"/>
          <w:docPartObj>
            <w:docPartGallery w:val="Page Numbers (Top of Page)"/>
            <w:docPartUnique/>
          </w:docPartObj>
        </w:sdtPr>
        <w:sdtEndPr/>
        <w:sdtContent>
          <w:p w14:paraId="709AA4CC" w14:textId="5FB91805" w:rsidR="00DB3020" w:rsidRDefault="00DB302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86B8388" w14:textId="77777777" w:rsidR="00DB3020" w:rsidRDefault="00DB3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B0DF4" w14:textId="77777777" w:rsidR="00DB3020" w:rsidRDefault="00DB3020" w:rsidP="00494C20">
      <w:pPr>
        <w:spacing w:after="0" w:line="240" w:lineRule="auto"/>
      </w:pPr>
      <w:r>
        <w:separator/>
      </w:r>
    </w:p>
  </w:footnote>
  <w:footnote w:type="continuationSeparator" w:id="0">
    <w:p w14:paraId="709E17AB" w14:textId="77777777" w:rsidR="00DB3020" w:rsidRDefault="00DB3020" w:rsidP="00494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141FE"/>
    <w:multiLevelType w:val="hybridMultilevel"/>
    <w:tmpl w:val="EC60A0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4F504E4"/>
    <w:multiLevelType w:val="hybridMultilevel"/>
    <w:tmpl w:val="4782BF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293D9A"/>
    <w:multiLevelType w:val="hybridMultilevel"/>
    <w:tmpl w:val="F58805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6A5137"/>
    <w:multiLevelType w:val="hybridMultilevel"/>
    <w:tmpl w:val="A6382C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D00E81"/>
    <w:multiLevelType w:val="hybridMultilevel"/>
    <w:tmpl w:val="3808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B4CC7"/>
    <w:multiLevelType w:val="hybridMultilevel"/>
    <w:tmpl w:val="6C2AF4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782865"/>
    <w:multiLevelType w:val="hybridMultilevel"/>
    <w:tmpl w:val="DB60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621E4F"/>
    <w:multiLevelType w:val="hybridMultilevel"/>
    <w:tmpl w:val="552E4C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6F14CA"/>
    <w:multiLevelType w:val="hybridMultilevel"/>
    <w:tmpl w:val="9BB26166"/>
    <w:lvl w:ilvl="0" w:tplc="EAF66D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7ED015F"/>
    <w:multiLevelType w:val="hybridMultilevel"/>
    <w:tmpl w:val="8EFE2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8974EC"/>
    <w:multiLevelType w:val="hybridMultilevel"/>
    <w:tmpl w:val="78724074"/>
    <w:lvl w:ilvl="0" w:tplc="86D2A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D1F595D"/>
    <w:multiLevelType w:val="hybridMultilevel"/>
    <w:tmpl w:val="F5D80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1"/>
  </w:num>
  <w:num w:numId="4">
    <w:abstractNumId w:val="4"/>
  </w:num>
  <w:num w:numId="5">
    <w:abstractNumId w:val="0"/>
  </w:num>
  <w:num w:numId="6">
    <w:abstractNumId w:val="6"/>
  </w:num>
  <w:num w:numId="7">
    <w:abstractNumId w:val="10"/>
  </w:num>
  <w:num w:numId="8">
    <w:abstractNumId w:val="8"/>
  </w:num>
  <w:num w:numId="9">
    <w:abstractNumId w:val="5"/>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348"/>
    <w:rsid w:val="00022703"/>
    <w:rsid w:val="0002605A"/>
    <w:rsid w:val="00041849"/>
    <w:rsid w:val="00044D5E"/>
    <w:rsid w:val="00045F00"/>
    <w:rsid w:val="00051530"/>
    <w:rsid w:val="0005196C"/>
    <w:rsid w:val="00054AAE"/>
    <w:rsid w:val="00076DF5"/>
    <w:rsid w:val="000775E0"/>
    <w:rsid w:val="000846A4"/>
    <w:rsid w:val="000859C1"/>
    <w:rsid w:val="00086D36"/>
    <w:rsid w:val="000A05F5"/>
    <w:rsid w:val="000A16C9"/>
    <w:rsid w:val="000A232F"/>
    <w:rsid w:val="000A2511"/>
    <w:rsid w:val="000A464F"/>
    <w:rsid w:val="000A703C"/>
    <w:rsid w:val="000B6257"/>
    <w:rsid w:val="000D3344"/>
    <w:rsid w:val="000D4677"/>
    <w:rsid w:val="000E272C"/>
    <w:rsid w:val="000E5905"/>
    <w:rsid w:val="000F2BD2"/>
    <w:rsid w:val="0011484D"/>
    <w:rsid w:val="001156AA"/>
    <w:rsid w:val="001172B9"/>
    <w:rsid w:val="0012481D"/>
    <w:rsid w:val="00130919"/>
    <w:rsid w:val="00130F6B"/>
    <w:rsid w:val="0015525A"/>
    <w:rsid w:val="00156CE7"/>
    <w:rsid w:val="001645C6"/>
    <w:rsid w:val="0016727B"/>
    <w:rsid w:val="00182C9F"/>
    <w:rsid w:val="00193992"/>
    <w:rsid w:val="001941D9"/>
    <w:rsid w:val="001A2209"/>
    <w:rsid w:val="001A40CA"/>
    <w:rsid w:val="001B0B58"/>
    <w:rsid w:val="001B0D2F"/>
    <w:rsid w:val="001B124C"/>
    <w:rsid w:val="001B540F"/>
    <w:rsid w:val="001C6793"/>
    <w:rsid w:val="001D5DE6"/>
    <w:rsid w:val="001E27AB"/>
    <w:rsid w:val="001F059C"/>
    <w:rsid w:val="001F302E"/>
    <w:rsid w:val="001F4C49"/>
    <w:rsid w:val="001F5FC0"/>
    <w:rsid w:val="00200306"/>
    <w:rsid w:val="0020162C"/>
    <w:rsid w:val="00202F78"/>
    <w:rsid w:val="002036B2"/>
    <w:rsid w:val="00211CD8"/>
    <w:rsid w:val="00212F16"/>
    <w:rsid w:val="00213469"/>
    <w:rsid w:val="00213DB8"/>
    <w:rsid w:val="00214925"/>
    <w:rsid w:val="00214AFA"/>
    <w:rsid w:val="00224D4E"/>
    <w:rsid w:val="00241DAE"/>
    <w:rsid w:val="00243481"/>
    <w:rsid w:val="0024472C"/>
    <w:rsid w:val="00262D1F"/>
    <w:rsid w:val="00263720"/>
    <w:rsid w:val="00290B65"/>
    <w:rsid w:val="00295A16"/>
    <w:rsid w:val="002A0675"/>
    <w:rsid w:val="002A0CE7"/>
    <w:rsid w:val="002A2D26"/>
    <w:rsid w:val="002C2818"/>
    <w:rsid w:val="002C665C"/>
    <w:rsid w:val="002C72FD"/>
    <w:rsid w:val="002E2944"/>
    <w:rsid w:val="002E4A1F"/>
    <w:rsid w:val="002E6F45"/>
    <w:rsid w:val="002E74DB"/>
    <w:rsid w:val="002E7C3B"/>
    <w:rsid w:val="002F2037"/>
    <w:rsid w:val="00307FFE"/>
    <w:rsid w:val="0031117E"/>
    <w:rsid w:val="00324F2D"/>
    <w:rsid w:val="00325A5A"/>
    <w:rsid w:val="00332ABC"/>
    <w:rsid w:val="003409B5"/>
    <w:rsid w:val="00342E74"/>
    <w:rsid w:val="00351B15"/>
    <w:rsid w:val="00351E13"/>
    <w:rsid w:val="00354996"/>
    <w:rsid w:val="00363A96"/>
    <w:rsid w:val="003925B3"/>
    <w:rsid w:val="0039296C"/>
    <w:rsid w:val="00393E4F"/>
    <w:rsid w:val="003A44F7"/>
    <w:rsid w:val="003B0C20"/>
    <w:rsid w:val="003B16DB"/>
    <w:rsid w:val="003C0E0E"/>
    <w:rsid w:val="003C3ED1"/>
    <w:rsid w:val="003D1117"/>
    <w:rsid w:val="003D3187"/>
    <w:rsid w:val="003E11F0"/>
    <w:rsid w:val="003E7591"/>
    <w:rsid w:val="004216CE"/>
    <w:rsid w:val="004251CF"/>
    <w:rsid w:val="00434AF5"/>
    <w:rsid w:val="00440D65"/>
    <w:rsid w:val="00441221"/>
    <w:rsid w:val="0044587B"/>
    <w:rsid w:val="00455602"/>
    <w:rsid w:val="004724FD"/>
    <w:rsid w:val="0047763F"/>
    <w:rsid w:val="00482AF2"/>
    <w:rsid w:val="00486D6E"/>
    <w:rsid w:val="00494C20"/>
    <w:rsid w:val="004A3499"/>
    <w:rsid w:val="004B3003"/>
    <w:rsid w:val="004B536A"/>
    <w:rsid w:val="004C32BC"/>
    <w:rsid w:val="004E79A7"/>
    <w:rsid w:val="004F5C10"/>
    <w:rsid w:val="00514312"/>
    <w:rsid w:val="00515108"/>
    <w:rsid w:val="00540484"/>
    <w:rsid w:val="00545BEA"/>
    <w:rsid w:val="005465F3"/>
    <w:rsid w:val="00556F73"/>
    <w:rsid w:val="00557665"/>
    <w:rsid w:val="00557B89"/>
    <w:rsid w:val="00557E04"/>
    <w:rsid w:val="00560330"/>
    <w:rsid w:val="00561B4C"/>
    <w:rsid w:val="00563EEB"/>
    <w:rsid w:val="00576CAA"/>
    <w:rsid w:val="00577F93"/>
    <w:rsid w:val="00590561"/>
    <w:rsid w:val="00590634"/>
    <w:rsid w:val="00595B39"/>
    <w:rsid w:val="005A1579"/>
    <w:rsid w:val="005B5EF6"/>
    <w:rsid w:val="005B70C8"/>
    <w:rsid w:val="005D2AE9"/>
    <w:rsid w:val="005E10C1"/>
    <w:rsid w:val="005E44A8"/>
    <w:rsid w:val="005F087D"/>
    <w:rsid w:val="005F2C5E"/>
    <w:rsid w:val="005F38F5"/>
    <w:rsid w:val="00604A48"/>
    <w:rsid w:val="0061066C"/>
    <w:rsid w:val="00610933"/>
    <w:rsid w:val="00610D29"/>
    <w:rsid w:val="00617921"/>
    <w:rsid w:val="00632EB4"/>
    <w:rsid w:val="0063613E"/>
    <w:rsid w:val="006413B4"/>
    <w:rsid w:val="00641EF0"/>
    <w:rsid w:val="006630CB"/>
    <w:rsid w:val="00695D7C"/>
    <w:rsid w:val="006A20D1"/>
    <w:rsid w:val="006A4A74"/>
    <w:rsid w:val="006A7959"/>
    <w:rsid w:val="006B3859"/>
    <w:rsid w:val="006C6BF8"/>
    <w:rsid w:val="006E1B54"/>
    <w:rsid w:val="006E5231"/>
    <w:rsid w:val="006E76F3"/>
    <w:rsid w:val="00705B7E"/>
    <w:rsid w:val="0071253B"/>
    <w:rsid w:val="007160C3"/>
    <w:rsid w:val="00722D0B"/>
    <w:rsid w:val="00724A5A"/>
    <w:rsid w:val="0072629A"/>
    <w:rsid w:val="00745DDC"/>
    <w:rsid w:val="00751AE9"/>
    <w:rsid w:val="00754BF1"/>
    <w:rsid w:val="00760A41"/>
    <w:rsid w:val="00766855"/>
    <w:rsid w:val="00770619"/>
    <w:rsid w:val="00773E00"/>
    <w:rsid w:val="007850B3"/>
    <w:rsid w:val="0078548F"/>
    <w:rsid w:val="00785681"/>
    <w:rsid w:val="00790C37"/>
    <w:rsid w:val="007A1882"/>
    <w:rsid w:val="007A7A8B"/>
    <w:rsid w:val="007B0AB2"/>
    <w:rsid w:val="007B4432"/>
    <w:rsid w:val="007C0ADB"/>
    <w:rsid w:val="007C291C"/>
    <w:rsid w:val="007D09ED"/>
    <w:rsid w:val="007E313F"/>
    <w:rsid w:val="007F6072"/>
    <w:rsid w:val="008048D7"/>
    <w:rsid w:val="008229DD"/>
    <w:rsid w:val="00831ABD"/>
    <w:rsid w:val="00833EA2"/>
    <w:rsid w:val="00834B9A"/>
    <w:rsid w:val="00835464"/>
    <w:rsid w:val="00846CCA"/>
    <w:rsid w:val="00850386"/>
    <w:rsid w:val="0086166D"/>
    <w:rsid w:val="00864891"/>
    <w:rsid w:val="00864AF6"/>
    <w:rsid w:val="00866846"/>
    <w:rsid w:val="0087755A"/>
    <w:rsid w:val="00887283"/>
    <w:rsid w:val="00887DFB"/>
    <w:rsid w:val="008909BF"/>
    <w:rsid w:val="008928F9"/>
    <w:rsid w:val="008A3F99"/>
    <w:rsid w:val="008C13C2"/>
    <w:rsid w:val="008C5E59"/>
    <w:rsid w:val="008D20A5"/>
    <w:rsid w:val="008D537A"/>
    <w:rsid w:val="008D5F07"/>
    <w:rsid w:val="008F09CC"/>
    <w:rsid w:val="008F0EA3"/>
    <w:rsid w:val="008F1FC8"/>
    <w:rsid w:val="008F2D64"/>
    <w:rsid w:val="008F4D8A"/>
    <w:rsid w:val="00905D50"/>
    <w:rsid w:val="00950970"/>
    <w:rsid w:val="009518DA"/>
    <w:rsid w:val="0095242A"/>
    <w:rsid w:val="00953D29"/>
    <w:rsid w:val="00961763"/>
    <w:rsid w:val="00961BAD"/>
    <w:rsid w:val="0096359E"/>
    <w:rsid w:val="00966E4E"/>
    <w:rsid w:val="0097079D"/>
    <w:rsid w:val="00972F27"/>
    <w:rsid w:val="00973348"/>
    <w:rsid w:val="00974497"/>
    <w:rsid w:val="009769C0"/>
    <w:rsid w:val="00977708"/>
    <w:rsid w:val="0099339D"/>
    <w:rsid w:val="00997984"/>
    <w:rsid w:val="009A09F6"/>
    <w:rsid w:val="009A4C0F"/>
    <w:rsid w:val="009B6E15"/>
    <w:rsid w:val="009D1FF3"/>
    <w:rsid w:val="009E183B"/>
    <w:rsid w:val="009F39B3"/>
    <w:rsid w:val="00A12215"/>
    <w:rsid w:val="00A31FC1"/>
    <w:rsid w:val="00A525E3"/>
    <w:rsid w:val="00A52DE8"/>
    <w:rsid w:val="00A53CE8"/>
    <w:rsid w:val="00A6151B"/>
    <w:rsid w:val="00A6744D"/>
    <w:rsid w:val="00A67E80"/>
    <w:rsid w:val="00A73BEE"/>
    <w:rsid w:val="00A74ADA"/>
    <w:rsid w:val="00A81F39"/>
    <w:rsid w:val="00A820E1"/>
    <w:rsid w:val="00A82D65"/>
    <w:rsid w:val="00A83E96"/>
    <w:rsid w:val="00A91791"/>
    <w:rsid w:val="00AB2C81"/>
    <w:rsid w:val="00AB586F"/>
    <w:rsid w:val="00AB6733"/>
    <w:rsid w:val="00AF4255"/>
    <w:rsid w:val="00AF565B"/>
    <w:rsid w:val="00B01B46"/>
    <w:rsid w:val="00B06137"/>
    <w:rsid w:val="00B06783"/>
    <w:rsid w:val="00B17A66"/>
    <w:rsid w:val="00B200B8"/>
    <w:rsid w:val="00B23A5F"/>
    <w:rsid w:val="00B26567"/>
    <w:rsid w:val="00B30C8B"/>
    <w:rsid w:val="00B342B5"/>
    <w:rsid w:val="00B34971"/>
    <w:rsid w:val="00B41011"/>
    <w:rsid w:val="00B455DE"/>
    <w:rsid w:val="00B57D53"/>
    <w:rsid w:val="00B57D77"/>
    <w:rsid w:val="00B604F7"/>
    <w:rsid w:val="00B65FE0"/>
    <w:rsid w:val="00B66ED1"/>
    <w:rsid w:val="00B84555"/>
    <w:rsid w:val="00B850DD"/>
    <w:rsid w:val="00B861F6"/>
    <w:rsid w:val="00B90608"/>
    <w:rsid w:val="00B942F0"/>
    <w:rsid w:val="00BB10E1"/>
    <w:rsid w:val="00BB1574"/>
    <w:rsid w:val="00BB66C6"/>
    <w:rsid w:val="00BC334E"/>
    <w:rsid w:val="00BC5549"/>
    <w:rsid w:val="00BD5DD2"/>
    <w:rsid w:val="00BF4A74"/>
    <w:rsid w:val="00C1022D"/>
    <w:rsid w:val="00C11B1E"/>
    <w:rsid w:val="00C13559"/>
    <w:rsid w:val="00C16081"/>
    <w:rsid w:val="00C2280F"/>
    <w:rsid w:val="00C26836"/>
    <w:rsid w:val="00C512C2"/>
    <w:rsid w:val="00C63929"/>
    <w:rsid w:val="00C7168D"/>
    <w:rsid w:val="00C817EF"/>
    <w:rsid w:val="00C87220"/>
    <w:rsid w:val="00CA302C"/>
    <w:rsid w:val="00CA7393"/>
    <w:rsid w:val="00CB0FE9"/>
    <w:rsid w:val="00CB70F0"/>
    <w:rsid w:val="00CC2032"/>
    <w:rsid w:val="00CD1059"/>
    <w:rsid w:val="00CD30AD"/>
    <w:rsid w:val="00CE2CBD"/>
    <w:rsid w:val="00D109EB"/>
    <w:rsid w:val="00D11434"/>
    <w:rsid w:val="00D23264"/>
    <w:rsid w:val="00D30D73"/>
    <w:rsid w:val="00D318E9"/>
    <w:rsid w:val="00D451DE"/>
    <w:rsid w:val="00D458C7"/>
    <w:rsid w:val="00D61729"/>
    <w:rsid w:val="00D7092C"/>
    <w:rsid w:val="00D7471B"/>
    <w:rsid w:val="00D7677B"/>
    <w:rsid w:val="00D8389D"/>
    <w:rsid w:val="00D857E8"/>
    <w:rsid w:val="00D94F88"/>
    <w:rsid w:val="00D952F0"/>
    <w:rsid w:val="00DA2D89"/>
    <w:rsid w:val="00DA3D3E"/>
    <w:rsid w:val="00DB3020"/>
    <w:rsid w:val="00DC48C6"/>
    <w:rsid w:val="00DD4603"/>
    <w:rsid w:val="00DD47E5"/>
    <w:rsid w:val="00DD6AB4"/>
    <w:rsid w:val="00DE4DD3"/>
    <w:rsid w:val="00DF7140"/>
    <w:rsid w:val="00E003EE"/>
    <w:rsid w:val="00E01574"/>
    <w:rsid w:val="00E203BD"/>
    <w:rsid w:val="00E209A3"/>
    <w:rsid w:val="00E24C37"/>
    <w:rsid w:val="00E271F9"/>
    <w:rsid w:val="00E276FB"/>
    <w:rsid w:val="00E31C1A"/>
    <w:rsid w:val="00E35E54"/>
    <w:rsid w:val="00E407C4"/>
    <w:rsid w:val="00E45CE1"/>
    <w:rsid w:val="00E531C2"/>
    <w:rsid w:val="00E57D0B"/>
    <w:rsid w:val="00E648E9"/>
    <w:rsid w:val="00E76610"/>
    <w:rsid w:val="00E859EC"/>
    <w:rsid w:val="00E9317B"/>
    <w:rsid w:val="00EA56DD"/>
    <w:rsid w:val="00EC39F1"/>
    <w:rsid w:val="00ED50F1"/>
    <w:rsid w:val="00EE5F7D"/>
    <w:rsid w:val="00EF515A"/>
    <w:rsid w:val="00EF6874"/>
    <w:rsid w:val="00EF736B"/>
    <w:rsid w:val="00F04D81"/>
    <w:rsid w:val="00F10EA5"/>
    <w:rsid w:val="00F16FCD"/>
    <w:rsid w:val="00F217E1"/>
    <w:rsid w:val="00F34276"/>
    <w:rsid w:val="00F344CC"/>
    <w:rsid w:val="00F4226B"/>
    <w:rsid w:val="00F44635"/>
    <w:rsid w:val="00F511F5"/>
    <w:rsid w:val="00F571B5"/>
    <w:rsid w:val="00F748D5"/>
    <w:rsid w:val="00F750A2"/>
    <w:rsid w:val="00F80E4E"/>
    <w:rsid w:val="00F86A11"/>
    <w:rsid w:val="00FA121B"/>
    <w:rsid w:val="00FA453C"/>
    <w:rsid w:val="00FB0C0D"/>
    <w:rsid w:val="00FB6A7C"/>
    <w:rsid w:val="00FB6E59"/>
    <w:rsid w:val="00FD73CD"/>
    <w:rsid w:val="00FE2DD1"/>
    <w:rsid w:val="00FE7ACA"/>
    <w:rsid w:val="00FF40E3"/>
    <w:rsid w:val="00FF7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2836"/>
  <w15:chartTrackingRefBased/>
  <w15:docId w15:val="{9DA1557A-2C36-4FDD-A1EA-34B207313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02F7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02F7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83"/>
    <w:rPr>
      <w:color w:val="0563C1" w:themeColor="hyperlink"/>
      <w:u w:val="single"/>
    </w:rPr>
  </w:style>
  <w:style w:type="character" w:styleId="UnresolvedMention">
    <w:name w:val="Unresolved Mention"/>
    <w:basedOn w:val="DefaultParagraphFont"/>
    <w:uiPriority w:val="99"/>
    <w:semiHidden/>
    <w:unhideWhenUsed/>
    <w:rsid w:val="00B06783"/>
    <w:rPr>
      <w:color w:val="605E5C"/>
      <w:shd w:val="clear" w:color="auto" w:fill="E1DFDD"/>
    </w:rPr>
  </w:style>
  <w:style w:type="paragraph" w:styleId="ListParagraph">
    <w:name w:val="List Paragraph"/>
    <w:basedOn w:val="Normal"/>
    <w:uiPriority w:val="34"/>
    <w:qFormat/>
    <w:rsid w:val="002E74DB"/>
    <w:pPr>
      <w:ind w:left="720"/>
      <w:contextualSpacing/>
    </w:pPr>
  </w:style>
  <w:style w:type="paragraph" w:styleId="Header">
    <w:name w:val="header"/>
    <w:basedOn w:val="Normal"/>
    <w:link w:val="HeaderChar"/>
    <w:uiPriority w:val="99"/>
    <w:unhideWhenUsed/>
    <w:rsid w:val="00494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C20"/>
  </w:style>
  <w:style w:type="paragraph" w:styleId="Footer">
    <w:name w:val="footer"/>
    <w:basedOn w:val="Normal"/>
    <w:link w:val="FooterChar"/>
    <w:uiPriority w:val="99"/>
    <w:unhideWhenUsed/>
    <w:rsid w:val="00494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C20"/>
  </w:style>
  <w:style w:type="table" w:styleId="TableGrid">
    <w:name w:val="Table Grid"/>
    <w:basedOn w:val="TableNormal"/>
    <w:uiPriority w:val="39"/>
    <w:rsid w:val="002C2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2F78"/>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02F7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202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02F78"/>
    <w:rPr>
      <w:b/>
      <w:bCs/>
    </w:rPr>
  </w:style>
  <w:style w:type="character" w:customStyle="1" w:styleId="selectable">
    <w:name w:val="selectable"/>
    <w:basedOn w:val="DefaultParagraphFont"/>
    <w:rsid w:val="00202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338025">
      <w:bodyDiv w:val="1"/>
      <w:marLeft w:val="0"/>
      <w:marRight w:val="0"/>
      <w:marTop w:val="0"/>
      <w:marBottom w:val="0"/>
      <w:divBdr>
        <w:top w:val="none" w:sz="0" w:space="0" w:color="auto"/>
        <w:left w:val="none" w:sz="0" w:space="0" w:color="auto"/>
        <w:bottom w:val="none" w:sz="0" w:space="0" w:color="auto"/>
        <w:right w:val="none" w:sz="0" w:space="0" w:color="auto"/>
      </w:divBdr>
    </w:div>
    <w:div w:id="154416055">
      <w:bodyDiv w:val="1"/>
      <w:marLeft w:val="0"/>
      <w:marRight w:val="0"/>
      <w:marTop w:val="0"/>
      <w:marBottom w:val="0"/>
      <w:divBdr>
        <w:top w:val="none" w:sz="0" w:space="0" w:color="auto"/>
        <w:left w:val="none" w:sz="0" w:space="0" w:color="auto"/>
        <w:bottom w:val="none" w:sz="0" w:space="0" w:color="auto"/>
        <w:right w:val="none" w:sz="0" w:space="0" w:color="auto"/>
      </w:divBdr>
    </w:div>
    <w:div w:id="346298208">
      <w:bodyDiv w:val="1"/>
      <w:marLeft w:val="0"/>
      <w:marRight w:val="0"/>
      <w:marTop w:val="0"/>
      <w:marBottom w:val="0"/>
      <w:divBdr>
        <w:top w:val="none" w:sz="0" w:space="0" w:color="auto"/>
        <w:left w:val="none" w:sz="0" w:space="0" w:color="auto"/>
        <w:bottom w:val="none" w:sz="0" w:space="0" w:color="auto"/>
        <w:right w:val="none" w:sz="0" w:space="0" w:color="auto"/>
      </w:divBdr>
    </w:div>
    <w:div w:id="468744811">
      <w:bodyDiv w:val="1"/>
      <w:marLeft w:val="0"/>
      <w:marRight w:val="0"/>
      <w:marTop w:val="0"/>
      <w:marBottom w:val="0"/>
      <w:divBdr>
        <w:top w:val="none" w:sz="0" w:space="0" w:color="auto"/>
        <w:left w:val="none" w:sz="0" w:space="0" w:color="auto"/>
        <w:bottom w:val="none" w:sz="0" w:space="0" w:color="auto"/>
        <w:right w:val="none" w:sz="0" w:space="0" w:color="auto"/>
      </w:divBdr>
    </w:div>
    <w:div w:id="576749523">
      <w:bodyDiv w:val="1"/>
      <w:marLeft w:val="0"/>
      <w:marRight w:val="0"/>
      <w:marTop w:val="0"/>
      <w:marBottom w:val="0"/>
      <w:divBdr>
        <w:top w:val="none" w:sz="0" w:space="0" w:color="auto"/>
        <w:left w:val="none" w:sz="0" w:space="0" w:color="auto"/>
        <w:bottom w:val="none" w:sz="0" w:space="0" w:color="auto"/>
        <w:right w:val="none" w:sz="0" w:space="0" w:color="auto"/>
      </w:divBdr>
    </w:div>
    <w:div w:id="620571122">
      <w:bodyDiv w:val="1"/>
      <w:marLeft w:val="0"/>
      <w:marRight w:val="0"/>
      <w:marTop w:val="0"/>
      <w:marBottom w:val="0"/>
      <w:divBdr>
        <w:top w:val="none" w:sz="0" w:space="0" w:color="auto"/>
        <w:left w:val="none" w:sz="0" w:space="0" w:color="auto"/>
        <w:bottom w:val="none" w:sz="0" w:space="0" w:color="auto"/>
        <w:right w:val="none" w:sz="0" w:space="0" w:color="auto"/>
      </w:divBdr>
    </w:div>
    <w:div w:id="652753772">
      <w:bodyDiv w:val="1"/>
      <w:marLeft w:val="0"/>
      <w:marRight w:val="0"/>
      <w:marTop w:val="0"/>
      <w:marBottom w:val="0"/>
      <w:divBdr>
        <w:top w:val="none" w:sz="0" w:space="0" w:color="auto"/>
        <w:left w:val="none" w:sz="0" w:space="0" w:color="auto"/>
        <w:bottom w:val="none" w:sz="0" w:space="0" w:color="auto"/>
        <w:right w:val="none" w:sz="0" w:space="0" w:color="auto"/>
      </w:divBdr>
    </w:div>
    <w:div w:id="698311815">
      <w:bodyDiv w:val="1"/>
      <w:marLeft w:val="0"/>
      <w:marRight w:val="0"/>
      <w:marTop w:val="0"/>
      <w:marBottom w:val="0"/>
      <w:divBdr>
        <w:top w:val="none" w:sz="0" w:space="0" w:color="auto"/>
        <w:left w:val="none" w:sz="0" w:space="0" w:color="auto"/>
        <w:bottom w:val="none" w:sz="0" w:space="0" w:color="auto"/>
        <w:right w:val="none" w:sz="0" w:space="0" w:color="auto"/>
      </w:divBdr>
    </w:div>
    <w:div w:id="754206118">
      <w:bodyDiv w:val="1"/>
      <w:marLeft w:val="0"/>
      <w:marRight w:val="0"/>
      <w:marTop w:val="0"/>
      <w:marBottom w:val="0"/>
      <w:divBdr>
        <w:top w:val="none" w:sz="0" w:space="0" w:color="auto"/>
        <w:left w:val="none" w:sz="0" w:space="0" w:color="auto"/>
        <w:bottom w:val="none" w:sz="0" w:space="0" w:color="auto"/>
        <w:right w:val="none" w:sz="0" w:space="0" w:color="auto"/>
      </w:divBdr>
    </w:div>
    <w:div w:id="773786071">
      <w:bodyDiv w:val="1"/>
      <w:marLeft w:val="0"/>
      <w:marRight w:val="0"/>
      <w:marTop w:val="0"/>
      <w:marBottom w:val="0"/>
      <w:divBdr>
        <w:top w:val="none" w:sz="0" w:space="0" w:color="auto"/>
        <w:left w:val="none" w:sz="0" w:space="0" w:color="auto"/>
        <w:bottom w:val="none" w:sz="0" w:space="0" w:color="auto"/>
        <w:right w:val="none" w:sz="0" w:space="0" w:color="auto"/>
      </w:divBdr>
    </w:div>
    <w:div w:id="905804373">
      <w:bodyDiv w:val="1"/>
      <w:marLeft w:val="0"/>
      <w:marRight w:val="0"/>
      <w:marTop w:val="0"/>
      <w:marBottom w:val="0"/>
      <w:divBdr>
        <w:top w:val="none" w:sz="0" w:space="0" w:color="auto"/>
        <w:left w:val="none" w:sz="0" w:space="0" w:color="auto"/>
        <w:bottom w:val="none" w:sz="0" w:space="0" w:color="auto"/>
        <w:right w:val="none" w:sz="0" w:space="0" w:color="auto"/>
      </w:divBdr>
    </w:div>
    <w:div w:id="913587870">
      <w:bodyDiv w:val="1"/>
      <w:marLeft w:val="0"/>
      <w:marRight w:val="0"/>
      <w:marTop w:val="0"/>
      <w:marBottom w:val="0"/>
      <w:divBdr>
        <w:top w:val="none" w:sz="0" w:space="0" w:color="auto"/>
        <w:left w:val="none" w:sz="0" w:space="0" w:color="auto"/>
        <w:bottom w:val="none" w:sz="0" w:space="0" w:color="auto"/>
        <w:right w:val="none" w:sz="0" w:space="0" w:color="auto"/>
      </w:divBdr>
    </w:div>
    <w:div w:id="986741904">
      <w:bodyDiv w:val="1"/>
      <w:marLeft w:val="0"/>
      <w:marRight w:val="0"/>
      <w:marTop w:val="0"/>
      <w:marBottom w:val="0"/>
      <w:divBdr>
        <w:top w:val="none" w:sz="0" w:space="0" w:color="auto"/>
        <w:left w:val="none" w:sz="0" w:space="0" w:color="auto"/>
        <w:bottom w:val="none" w:sz="0" w:space="0" w:color="auto"/>
        <w:right w:val="none" w:sz="0" w:space="0" w:color="auto"/>
      </w:divBdr>
    </w:div>
    <w:div w:id="1017386961">
      <w:bodyDiv w:val="1"/>
      <w:marLeft w:val="0"/>
      <w:marRight w:val="0"/>
      <w:marTop w:val="0"/>
      <w:marBottom w:val="0"/>
      <w:divBdr>
        <w:top w:val="none" w:sz="0" w:space="0" w:color="auto"/>
        <w:left w:val="none" w:sz="0" w:space="0" w:color="auto"/>
        <w:bottom w:val="none" w:sz="0" w:space="0" w:color="auto"/>
        <w:right w:val="none" w:sz="0" w:space="0" w:color="auto"/>
      </w:divBdr>
    </w:div>
    <w:div w:id="1118328564">
      <w:bodyDiv w:val="1"/>
      <w:marLeft w:val="0"/>
      <w:marRight w:val="0"/>
      <w:marTop w:val="0"/>
      <w:marBottom w:val="0"/>
      <w:divBdr>
        <w:top w:val="none" w:sz="0" w:space="0" w:color="auto"/>
        <w:left w:val="none" w:sz="0" w:space="0" w:color="auto"/>
        <w:bottom w:val="none" w:sz="0" w:space="0" w:color="auto"/>
        <w:right w:val="none" w:sz="0" w:space="0" w:color="auto"/>
      </w:divBdr>
    </w:div>
    <w:div w:id="1171019243">
      <w:bodyDiv w:val="1"/>
      <w:marLeft w:val="0"/>
      <w:marRight w:val="0"/>
      <w:marTop w:val="0"/>
      <w:marBottom w:val="0"/>
      <w:divBdr>
        <w:top w:val="none" w:sz="0" w:space="0" w:color="auto"/>
        <w:left w:val="none" w:sz="0" w:space="0" w:color="auto"/>
        <w:bottom w:val="none" w:sz="0" w:space="0" w:color="auto"/>
        <w:right w:val="none" w:sz="0" w:space="0" w:color="auto"/>
      </w:divBdr>
    </w:div>
    <w:div w:id="1185706129">
      <w:bodyDiv w:val="1"/>
      <w:marLeft w:val="0"/>
      <w:marRight w:val="0"/>
      <w:marTop w:val="0"/>
      <w:marBottom w:val="0"/>
      <w:divBdr>
        <w:top w:val="none" w:sz="0" w:space="0" w:color="auto"/>
        <w:left w:val="none" w:sz="0" w:space="0" w:color="auto"/>
        <w:bottom w:val="none" w:sz="0" w:space="0" w:color="auto"/>
        <w:right w:val="none" w:sz="0" w:space="0" w:color="auto"/>
      </w:divBdr>
    </w:div>
    <w:div w:id="1235431940">
      <w:bodyDiv w:val="1"/>
      <w:marLeft w:val="0"/>
      <w:marRight w:val="0"/>
      <w:marTop w:val="0"/>
      <w:marBottom w:val="0"/>
      <w:divBdr>
        <w:top w:val="none" w:sz="0" w:space="0" w:color="auto"/>
        <w:left w:val="none" w:sz="0" w:space="0" w:color="auto"/>
        <w:bottom w:val="none" w:sz="0" w:space="0" w:color="auto"/>
        <w:right w:val="none" w:sz="0" w:space="0" w:color="auto"/>
      </w:divBdr>
    </w:div>
    <w:div w:id="1278756378">
      <w:bodyDiv w:val="1"/>
      <w:marLeft w:val="0"/>
      <w:marRight w:val="0"/>
      <w:marTop w:val="0"/>
      <w:marBottom w:val="0"/>
      <w:divBdr>
        <w:top w:val="none" w:sz="0" w:space="0" w:color="auto"/>
        <w:left w:val="none" w:sz="0" w:space="0" w:color="auto"/>
        <w:bottom w:val="none" w:sz="0" w:space="0" w:color="auto"/>
        <w:right w:val="none" w:sz="0" w:space="0" w:color="auto"/>
      </w:divBdr>
    </w:div>
    <w:div w:id="1299871450">
      <w:bodyDiv w:val="1"/>
      <w:marLeft w:val="0"/>
      <w:marRight w:val="0"/>
      <w:marTop w:val="0"/>
      <w:marBottom w:val="0"/>
      <w:divBdr>
        <w:top w:val="none" w:sz="0" w:space="0" w:color="auto"/>
        <w:left w:val="none" w:sz="0" w:space="0" w:color="auto"/>
        <w:bottom w:val="none" w:sz="0" w:space="0" w:color="auto"/>
        <w:right w:val="none" w:sz="0" w:space="0" w:color="auto"/>
      </w:divBdr>
    </w:div>
    <w:div w:id="1303391246">
      <w:bodyDiv w:val="1"/>
      <w:marLeft w:val="0"/>
      <w:marRight w:val="0"/>
      <w:marTop w:val="0"/>
      <w:marBottom w:val="0"/>
      <w:divBdr>
        <w:top w:val="none" w:sz="0" w:space="0" w:color="auto"/>
        <w:left w:val="none" w:sz="0" w:space="0" w:color="auto"/>
        <w:bottom w:val="none" w:sz="0" w:space="0" w:color="auto"/>
        <w:right w:val="none" w:sz="0" w:space="0" w:color="auto"/>
      </w:divBdr>
    </w:div>
    <w:div w:id="1361276182">
      <w:bodyDiv w:val="1"/>
      <w:marLeft w:val="0"/>
      <w:marRight w:val="0"/>
      <w:marTop w:val="0"/>
      <w:marBottom w:val="0"/>
      <w:divBdr>
        <w:top w:val="none" w:sz="0" w:space="0" w:color="auto"/>
        <w:left w:val="none" w:sz="0" w:space="0" w:color="auto"/>
        <w:bottom w:val="none" w:sz="0" w:space="0" w:color="auto"/>
        <w:right w:val="none" w:sz="0" w:space="0" w:color="auto"/>
      </w:divBdr>
    </w:div>
    <w:div w:id="1400859153">
      <w:bodyDiv w:val="1"/>
      <w:marLeft w:val="0"/>
      <w:marRight w:val="0"/>
      <w:marTop w:val="0"/>
      <w:marBottom w:val="0"/>
      <w:divBdr>
        <w:top w:val="none" w:sz="0" w:space="0" w:color="auto"/>
        <w:left w:val="none" w:sz="0" w:space="0" w:color="auto"/>
        <w:bottom w:val="none" w:sz="0" w:space="0" w:color="auto"/>
        <w:right w:val="none" w:sz="0" w:space="0" w:color="auto"/>
      </w:divBdr>
    </w:div>
    <w:div w:id="1401977221">
      <w:bodyDiv w:val="1"/>
      <w:marLeft w:val="0"/>
      <w:marRight w:val="0"/>
      <w:marTop w:val="0"/>
      <w:marBottom w:val="0"/>
      <w:divBdr>
        <w:top w:val="none" w:sz="0" w:space="0" w:color="auto"/>
        <w:left w:val="none" w:sz="0" w:space="0" w:color="auto"/>
        <w:bottom w:val="none" w:sz="0" w:space="0" w:color="auto"/>
        <w:right w:val="none" w:sz="0" w:space="0" w:color="auto"/>
      </w:divBdr>
    </w:div>
    <w:div w:id="1405879940">
      <w:bodyDiv w:val="1"/>
      <w:marLeft w:val="0"/>
      <w:marRight w:val="0"/>
      <w:marTop w:val="0"/>
      <w:marBottom w:val="0"/>
      <w:divBdr>
        <w:top w:val="none" w:sz="0" w:space="0" w:color="auto"/>
        <w:left w:val="none" w:sz="0" w:space="0" w:color="auto"/>
        <w:bottom w:val="none" w:sz="0" w:space="0" w:color="auto"/>
        <w:right w:val="none" w:sz="0" w:space="0" w:color="auto"/>
      </w:divBdr>
    </w:div>
    <w:div w:id="1607424111">
      <w:bodyDiv w:val="1"/>
      <w:marLeft w:val="0"/>
      <w:marRight w:val="0"/>
      <w:marTop w:val="0"/>
      <w:marBottom w:val="0"/>
      <w:divBdr>
        <w:top w:val="none" w:sz="0" w:space="0" w:color="auto"/>
        <w:left w:val="none" w:sz="0" w:space="0" w:color="auto"/>
        <w:bottom w:val="none" w:sz="0" w:space="0" w:color="auto"/>
        <w:right w:val="none" w:sz="0" w:space="0" w:color="auto"/>
      </w:divBdr>
    </w:div>
    <w:div w:id="1619801986">
      <w:bodyDiv w:val="1"/>
      <w:marLeft w:val="0"/>
      <w:marRight w:val="0"/>
      <w:marTop w:val="0"/>
      <w:marBottom w:val="0"/>
      <w:divBdr>
        <w:top w:val="none" w:sz="0" w:space="0" w:color="auto"/>
        <w:left w:val="none" w:sz="0" w:space="0" w:color="auto"/>
        <w:bottom w:val="none" w:sz="0" w:space="0" w:color="auto"/>
        <w:right w:val="none" w:sz="0" w:space="0" w:color="auto"/>
      </w:divBdr>
    </w:div>
    <w:div w:id="1696954620">
      <w:bodyDiv w:val="1"/>
      <w:marLeft w:val="0"/>
      <w:marRight w:val="0"/>
      <w:marTop w:val="0"/>
      <w:marBottom w:val="0"/>
      <w:divBdr>
        <w:top w:val="none" w:sz="0" w:space="0" w:color="auto"/>
        <w:left w:val="none" w:sz="0" w:space="0" w:color="auto"/>
        <w:bottom w:val="none" w:sz="0" w:space="0" w:color="auto"/>
        <w:right w:val="none" w:sz="0" w:space="0" w:color="auto"/>
      </w:divBdr>
    </w:div>
    <w:div w:id="1706716485">
      <w:bodyDiv w:val="1"/>
      <w:marLeft w:val="0"/>
      <w:marRight w:val="0"/>
      <w:marTop w:val="0"/>
      <w:marBottom w:val="0"/>
      <w:divBdr>
        <w:top w:val="none" w:sz="0" w:space="0" w:color="auto"/>
        <w:left w:val="none" w:sz="0" w:space="0" w:color="auto"/>
        <w:bottom w:val="none" w:sz="0" w:space="0" w:color="auto"/>
        <w:right w:val="none" w:sz="0" w:space="0" w:color="auto"/>
      </w:divBdr>
    </w:div>
    <w:div w:id="1722436296">
      <w:bodyDiv w:val="1"/>
      <w:marLeft w:val="0"/>
      <w:marRight w:val="0"/>
      <w:marTop w:val="0"/>
      <w:marBottom w:val="0"/>
      <w:divBdr>
        <w:top w:val="none" w:sz="0" w:space="0" w:color="auto"/>
        <w:left w:val="none" w:sz="0" w:space="0" w:color="auto"/>
        <w:bottom w:val="none" w:sz="0" w:space="0" w:color="auto"/>
        <w:right w:val="none" w:sz="0" w:space="0" w:color="auto"/>
      </w:divBdr>
    </w:div>
    <w:div w:id="1732117555">
      <w:bodyDiv w:val="1"/>
      <w:marLeft w:val="0"/>
      <w:marRight w:val="0"/>
      <w:marTop w:val="0"/>
      <w:marBottom w:val="0"/>
      <w:divBdr>
        <w:top w:val="none" w:sz="0" w:space="0" w:color="auto"/>
        <w:left w:val="none" w:sz="0" w:space="0" w:color="auto"/>
        <w:bottom w:val="none" w:sz="0" w:space="0" w:color="auto"/>
        <w:right w:val="none" w:sz="0" w:space="0" w:color="auto"/>
      </w:divBdr>
    </w:div>
    <w:div w:id="1761634006">
      <w:bodyDiv w:val="1"/>
      <w:marLeft w:val="0"/>
      <w:marRight w:val="0"/>
      <w:marTop w:val="0"/>
      <w:marBottom w:val="0"/>
      <w:divBdr>
        <w:top w:val="none" w:sz="0" w:space="0" w:color="auto"/>
        <w:left w:val="none" w:sz="0" w:space="0" w:color="auto"/>
        <w:bottom w:val="none" w:sz="0" w:space="0" w:color="auto"/>
        <w:right w:val="none" w:sz="0" w:space="0" w:color="auto"/>
      </w:divBdr>
    </w:div>
    <w:div w:id="1792547996">
      <w:bodyDiv w:val="1"/>
      <w:marLeft w:val="0"/>
      <w:marRight w:val="0"/>
      <w:marTop w:val="0"/>
      <w:marBottom w:val="0"/>
      <w:divBdr>
        <w:top w:val="none" w:sz="0" w:space="0" w:color="auto"/>
        <w:left w:val="none" w:sz="0" w:space="0" w:color="auto"/>
        <w:bottom w:val="none" w:sz="0" w:space="0" w:color="auto"/>
        <w:right w:val="none" w:sz="0" w:space="0" w:color="auto"/>
      </w:divBdr>
    </w:div>
    <w:div w:id="1813213272">
      <w:bodyDiv w:val="1"/>
      <w:marLeft w:val="0"/>
      <w:marRight w:val="0"/>
      <w:marTop w:val="0"/>
      <w:marBottom w:val="0"/>
      <w:divBdr>
        <w:top w:val="none" w:sz="0" w:space="0" w:color="auto"/>
        <w:left w:val="none" w:sz="0" w:space="0" w:color="auto"/>
        <w:bottom w:val="none" w:sz="0" w:space="0" w:color="auto"/>
        <w:right w:val="none" w:sz="0" w:space="0" w:color="auto"/>
      </w:divBdr>
    </w:div>
    <w:div w:id="1859005021">
      <w:bodyDiv w:val="1"/>
      <w:marLeft w:val="0"/>
      <w:marRight w:val="0"/>
      <w:marTop w:val="0"/>
      <w:marBottom w:val="0"/>
      <w:divBdr>
        <w:top w:val="none" w:sz="0" w:space="0" w:color="auto"/>
        <w:left w:val="none" w:sz="0" w:space="0" w:color="auto"/>
        <w:bottom w:val="none" w:sz="0" w:space="0" w:color="auto"/>
        <w:right w:val="none" w:sz="0" w:space="0" w:color="auto"/>
      </w:divBdr>
    </w:div>
    <w:div w:id="1917938111">
      <w:bodyDiv w:val="1"/>
      <w:marLeft w:val="0"/>
      <w:marRight w:val="0"/>
      <w:marTop w:val="0"/>
      <w:marBottom w:val="0"/>
      <w:divBdr>
        <w:top w:val="none" w:sz="0" w:space="0" w:color="auto"/>
        <w:left w:val="none" w:sz="0" w:space="0" w:color="auto"/>
        <w:bottom w:val="none" w:sz="0" w:space="0" w:color="auto"/>
        <w:right w:val="none" w:sz="0" w:space="0" w:color="auto"/>
      </w:divBdr>
    </w:div>
    <w:div w:id="1935748310">
      <w:bodyDiv w:val="1"/>
      <w:marLeft w:val="0"/>
      <w:marRight w:val="0"/>
      <w:marTop w:val="0"/>
      <w:marBottom w:val="0"/>
      <w:divBdr>
        <w:top w:val="none" w:sz="0" w:space="0" w:color="auto"/>
        <w:left w:val="none" w:sz="0" w:space="0" w:color="auto"/>
        <w:bottom w:val="none" w:sz="0" w:space="0" w:color="auto"/>
        <w:right w:val="none" w:sz="0" w:space="0" w:color="auto"/>
      </w:divBdr>
    </w:div>
    <w:div w:id="1939753981">
      <w:bodyDiv w:val="1"/>
      <w:marLeft w:val="0"/>
      <w:marRight w:val="0"/>
      <w:marTop w:val="0"/>
      <w:marBottom w:val="0"/>
      <w:divBdr>
        <w:top w:val="none" w:sz="0" w:space="0" w:color="auto"/>
        <w:left w:val="none" w:sz="0" w:space="0" w:color="auto"/>
        <w:bottom w:val="none" w:sz="0" w:space="0" w:color="auto"/>
        <w:right w:val="none" w:sz="0" w:space="0" w:color="auto"/>
      </w:divBdr>
    </w:div>
    <w:div w:id="2037849127">
      <w:bodyDiv w:val="1"/>
      <w:marLeft w:val="0"/>
      <w:marRight w:val="0"/>
      <w:marTop w:val="0"/>
      <w:marBottom w:val="0"/>
      <w:divBdr>
        <w:top w:val="none" w:sz="0" w:space="0" w:color="auto"/>
        <w:left w:val="none" w:sz="0" w:space="0" w:color="auto"/>
        <w:bottom w:val="none" w:sz="0" w:space="0" w:color="auto"/>
        <w:right w:val="none" w:sz="0" w:space="0" w:color="auto"/>
      </w:divBdr>
    </w:div>
    <w:div w:id="2125730187">
      <w:bodyDiv w:val="1"/>
      <w:marLeft w:val="0"/>
      <w:marRight w:val="0"/>
      <w:marTop w:val="0"/>
      <w:marBottom w:val="0"/>
      <w:divBdr>
        <w:top w:val="none" w:sz="0" w:space="0" w:color="auto"/>
        <w:left w:val="none" w:sz="0" w:space="0" w:color="auto"/>
        <w:bottom w:val="none" w:sz="0" w:space="0" w:color="auto"/>
        <w:right w:val="none" w:sz="0" w:space="0" w:color="auto"/>
      </w:divBdr>
    </w:div>
    <w:div w:id="2143813774">
      <w:bodyDiv w:val="1"/>
      <w:marLeft w:val="0"/>
      <w:marRight w:val="0"/>
      <w:marTop w:val="0"/>
      <w:marBottom w:val="0"/>
      <w:divBdr>
        <w:top w:val="none" w:sz="0" w:space="0" w:color="auto"/>
        <w:left w:val="none" w:sz="0" w:space="0" w:color="auto"/>
        <w:bottom w:val="none" w:sz="0" w:space="0" w:color="auto"/>
        <w:right w:val="none" w:sz="0" w:space="0" w:color="auto"/>
      </w:divBdr>
    </w:div>
    <w:div w:id="214496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hyperlink" Target="https://www.myaccountingcourse.com/financial-ratios" TargetMode="Externa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csimarket.com/Industry/Industry_Profitability_Ratios.php?ind=405%5bAccessed" TargetMode="Externa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annualreport2015.jaguarlandrove.com"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annualreport2015.jaguarlandrove.com" TargetMode="External"/><Relationship Id="rId28"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annualreport2015.jaguarlandrove.com" TargetMode="External"/><Relationship Id="rId27" Type="http://schemas.openxmlformats.org/officeDocument/2006/relationships/hyperlink" Target="https://www.daimler.com/documents/investors/reports/annual-report/daimler/daimler-ir-annual-report-2018.pdf"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D:\MBA%20Semester%201\Finance%20Mgmt\Assignment\Jaguar%20Land%20Rover%20Financial%20Statements\Finance%20Assignm%20Part%20B.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D:\MBA%20Semester%201\Finance%20Mgmt\Assignment\Jaguar%20Land%20Rover%20Financial%20Statements\Finance%20Assignm%20Part%20B.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t>Gross Margin</a:t>
            </a:r>
          </a:p>
          <a:p>
            <a:pPr>
              <a:defRPr/>
            </a:pPr>
            <a:r>
              <a:rPr lang="en-GB" sz="1100" b="1"/>
              <a:t>Jaguar</a:t>
            </a:r>
            <a:r>
              <a:rPr lang="en-GB" sz="1100" b="1" baseline="0"/>
              <a:t> Land Rover period 2014 - 2018</a:t>
            </a:r>
            <a:endParaRPr lang="en-GB" sz="11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'Profitability Ratios'!$C$22</c:f>
              <c:strCache>
                <c:ptCount val="1"/>
                <c:pt idx="0">
                  <c:v>Gross Margin</c:v>
                </c:pt>
              </c:strCache>
            </c:strRef>
          </c:tx>
          <c:spPr>
            <a:gradFill>
              <a:gsLst>
                <a:gs pos="0">
                  <a:srgbClr val="0070C0"/>
                </a:gs>
                <a:gs pos="74000">
                  <a:schemeClr val="accent5">
                    <a:lumMod val="45000"/>
                    <a:lumOff val="55000"/>
                  </a:schemeClr>
                </a:gs>
                <a:gs pos="83000">
                  <a:schemeClr val="accent5">
                    <a:lumMod val="45000"/>
                    <a:lumOff val="55000"/>
                  </a:schemeClr>
                </a:gs>
                <a:gs pos="100000">
                  <a:schemeClr val="accent5">
                    <a:lumMod val="30000"/>
                    <a:lumOff val="70000"/>
                  </a:schemeClr>
                </a:gs>
              </a:gsLst>
              <a:lin ang="5400000" scaled="1"/>
            </a:gradFill>
            <a:ln>
              <a:gradFill flip="none" rotWithShape="1">
                <a:gsLst>
                  <a:gs pos="0">
                    <a:srgbClr val="0070C0"/>
                  </a:gs>
                  <a:gs pos="74000">
                    <a:schemeClr val="accent5">
                      <a:lumMod val="45000"/>
                      <a:lumOff val="55000"/>
                    </a:schemeClr>
                  </a:gs>
                  <a:gs pos="83000">
                    <a:schemeClr val="accent5">
                      <a:lumMod val="45000"/>
                      <a:lumOff val="55000"/>
                    </a:schemeClr>
                  </a:gs>
                  <a:gs pos="100000">
                    <a:schemeClr val="accent5">
                      <a:lumMod val="30000"/>
                      <a:lumOff val="70000"/>
                    </a:schemeClr>
                  </a:gs>
                </a:gsLst>
                <a:lin ang="5400000" scaled="1"/>
                <a:tileRect/>
              </a:gra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Ratios'!$D$22:$H$22</c:f>
              <c:numCache>
                <c:formatCode>0.00%</c:formatCode>
                <c:ptCount val="5"/>
                <c:pt idx="0">
                  <c:v>0.38594862271742497</c:v>
                </c:pt>
                <c:pt idx="1">
                  <c:v>0.39700905515412055</c:v>
                </c:pt>
                <c:pt idx="2">
                  <c:v>0.40554608274252896</c:v>
                </c:pt>
                <c:pt idx="3">
                  <c:v>0.37458400098607175</c:v>
                </c:pt>
                <c:pt idx="4">
                  <c:v>0.36678817963235866</c:v>
                </c:pt>
              </c:numCache>
            </c:numRef>
          </c:val>
          <c:extLst>
            <c:ext xmlns:c16="http://schemas.microsoft.com/office/drawing/2014/chart" uri="{C3380CC4-5D6E-409C-BE32-E72D297353CC}">
              <c16:uniqueId val="{00000000-B4E0-4A47-81D2-131E6D8A37E8}"/>
            </c:ext>
          </c:extLst>
        </c:ser>
        <c:dLbls>
          <c:showLegendKey val="0"/>
          <c:showVal val="0"/>
          <c:showCatName val="0"/>
          <c:showSerName val="0"/>
          <c:showPercent val="0"/>
          <c:showBubbleSize val="0"/>
        </c:dLbls>
        <c:gapWidth val="219"/>
        <c:axId val="509433736"/>
        <c:axId val="509426520"/>
      </c:barChart>
      <c:lineChart>
        <c:grouping val="standard"/>
        <c:varyColors val="0"/>
        <c:ser>
          <c:idx val="0"/>
          <c:order val="0"/>
          <c:tx>
            <c:strRef>
              <c:f>'Profitability Ratios'!$C$21</c:f>
              <c:strCache>
                <c:ptCount val="1"/>
                <c:pt idx="0">
                  <c:v>Auto Industry Ratio</c:v>
                </c:pt>
              </c:strCache>
            </c:strRef>
          </c:tx>
          <c:spPr>
            <a:ln w="15875" cap="rnd" cmpd="dbl">
              <a:solidFill>
                <a:srgbClr val="FF0000"/>
              </a:solidFill>
              <a:prstDash val="sysDot"/>
              <a:round/>
            </a:ln>
            <a:effectLst/>
          </c:spPr>
          <c:marker>
            <c:symbol val="none"/>
          </c:marker>
          <c:dLbls>
            <c:dLbl>
              <c:idx val="3"/>
              <c:layout>
                <c:manualLayout>
                  <c:x val="3.3333333333333229E-2"/>
                  <c:y val="-6.481481481481472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4E0-4A47-81D2-131E6D8A37E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Ratios'!$D$21:$H$21</c:f>
              <c:numCache>
                <c:formatCode>0.00%</c:formatCode>
                <c:ptCount val="5"/>
                <c:pt idx="0">
                  <c:v>0.12609999999999999</c:v>
                </c:pt>
                <c:pt idx="1">
                  <c:v>0.12609999999999999</c:v>
                </c:pt>
                <c:pt idx="2">
                  <c:v>0.12609999999999999</c:v>
                </c:pt>
                <c:pt idx="3">
                  <c:v>0.12609999999999999</c:v>
                </c:pt>
                <c:pt idx="4">
                  <c:v>0.12609999999999999</c:v>
                </c:pt>
              </c:numCache>
            </c:numRef>
          </c:val>
          <c:smooth val="0"/>
          <c:extLst>
            <c:ext xmlns:c16="http://schemas.microsoft.com/office/drawing/2014/chart" uri="{C3380CC4-5D6E-409C-BE32-E72D297353CC}">
              <c16:uniqueId val="{00000002-B4E0-4A47-81D2-131E6D8A37E8}"/>
            </c:ext>
          </c:extLst>
        </c:ser>
        <c:dLbls>
          <c:showLegendKey val="0"/>
          <c:showVal val="0"/>
          <c:showCatName val="0"/>
          <c:showSerName val="0"/>
          <c:showPercent val="0"/>
          <c:showBubbleSize val="0"/>
        </c:dLbls>
        <c:marker val="1"/>
        <c:smooth val="0"/>
        <c:axId val="509433736"/>
        <c:axId val="509426520"/>
      </c:lineChart>
      <c:catAx>
        <c:axId val="509433736"/>
        <c:scaling>
          <c:orientation val="minMax"/>
        </c:scaling>
        <c:delete val="0"/>
        <c:axPos val="b"/>
        <c:numFmt formatCode="0_ ;\-0\ "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426520"/>
        <c:crosses val="autoZero"/>
        <c:auto val="1"/>
        <c:lblAlgn val="ctr"/>
        <c:lblOffset val="100"/>
        <c:noMultiLvlLbl val="0"/>
      </c:catAx>
      <c:valAx>
        <c:axId val="509426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433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1"/>
              <a:t>Operating Margin</a:t>
            </a:r>
          </a:p>
          <a:p>
            <a:pPr>
              <a:defRPr/>
            </a:pPr>
            <a:r>
              <a:rPr lang="en-GB" sz="1100" b="1"/>
              <a:t>Jaguar</a:t>
            </a:r>
            <a:r>
              <a:rPr lang="en-GB" sz="1100" b="1" baseline="0"/>
              <a:t> Land Rover  period 2014-2018</a:t>
            </a:r>
            <a:endParaRPr lang="en-GB" sz="11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'Profitability Ratios'!$C$24</c:f>
              <c:strCache>
                <c:ptCount val="1"/>
                <c:pt idx="0">
                  <c:v>Operating Margin</c:v>
                </c:pt>
              </c:strCache>
            </c:strRef>
          </c:tx>
          <c:spPr>
            <a:gradFill flip="none" rotWithShape="1">
              <a:gsLst>
                <a:gs pos="0">
                  <a:schemeClr val="accent4">
                    <a:lumMod val="5000"/>
                    <a:lumOff val="95000"/>
                  </a:schemeClr>
                </a:gs>
                <a:gs pos="74000">
                  <a:schemeClr val="accent4">
                    <a:lumMod val="45000"/>
                    <a:lumOff val="55000"/>
                  </a:schemeClr>
                </a:gs>
                <a:gs pos="83000">
                  <a:schemeClr val="accent4">
                    <a:lumMod val="45000"/>
                    <a:lumOff val="55000"/>
                  </a:schemeClr>
                </a:gs>
                <a:gs pos="100000">
                  <a:schemeClr val="accent4">
                    <a:lumMod val="30000"/>
                    <a:lumOff val="70000"/>
                  </a:schemeClr>
                </a:gs>
              </a:gsLst>
              <a:lin ang="5400000" scaled="1"/>
              <a:tileRect/>
            </a:gradFill>
            <a:ln cmpd="dbl">
              <a:solidFill>
                <a:schemeClr val="accent2">
                  <a:lumMod val="50000"/>
                </a:schemeClr>
              </a:solidFill>
              <a:prstDash val="sysDot"/>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Ratios'!$D$24:$H$24</c:f>
              <c:numCache>
                <c:formatCode>0.00%</c:formatCode>
                <c:ptCount val="5"/>
                <c:pt idx="0">
                  <c:v>0.13659341793046528</c:v>
                </c:pt>
                <c:pt idx="1">
                  <c:v>0.1235251074727888</c:v>
                </c:pt>
                <c:pt idx="2">
                  <c:v>7.2197792335995686E-2</c:v>
                </c:pt>
                <c:pt idx="3">
                  <c:v>6.7587000287604254E-2</c:v>
                </c:pt>
                <c:pt idx="4">
                  <c:v>6.0653067556038158E-2</c:v>
                </c:pt>
              </c:numCache>
            </c:numRef>
          </c:val>
          <c:extLst>
            <c:ext xmlns:c16="http://schemas.microsoft.com/office/drawing/2014/chart" uri="{C3380CC4-5D6E-409C-BE32-E72D297353CC}">
              <c16:uniqueId val="{00000000-F683-49F6-BD88-C28D8F642078}"/>
            </c:ext>
          </c:extLst>
        </c:ser>
        <c:dLbls>
          <c:showLegendKey val="0"/>
          <c:showVal val="0"/>
          <c:showCatName val="0"/>
          <c:showSerName val="0"/>
          <c:showPercent val="0"/>
          <c:showBubbleSize val="0"/>
        </c:dLbls>
        <c:gapWidth val="219"/>
        <c:axId val="509427832"/>
        <c:axId val="509431768"/>
      </c:barChart>
      <c:lineChart>
        <c:grouping val="standard"/>
        <c:varyColors val="0"/>
        <c:ser>
          <c:idx val="0"/>
          <c:order val="0"/>
          <c:tx>
            <c:strRef>
              <c:f>'Profitability Ratios'!$C$23</c:f>
              <c:strCache>
                <c:ptCount val="1"/>
                <c:pt idx="0">
                  <c:v>Auto Industry Ratio</c:v>
                </c:pt>
              </c:strCache>
            </c:strRef>
          </c:tx>
          <c:spPr>
            <a:ln w="15875" cap="rnd" cmpd="dbl">
              <a:solidFill>
                <a:srgbClr val="FF0000"/>
              </a:solidFill>
              <a:prstDash val="sysDot"/>
              <a:round/>
            </a:ln>
            <a:effectLst/>
          </c:spPr>
          <c:marker>
            <c:symbol val="none"/>
          </c:marker>
          <c:dLbls>
            <c:dLbl>
              <c:idx val="2"/>
              <c:layout>
                <c:manualLayout>
                  <c:x val="3.2890575585072739E-2"/>
                  <c:y val="-5.092592592592601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683-49F6-BD88-C28D8F64207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Ratios'!$D$23:$H$23</c:f>
              <c:numCache>
                <c:formatCode>0.00%</c:formatCode>
                <c:ptCount val="5"/>
                <c:pt idx="0">
                  <c:v>4.02E-2</c:v>
                </c:pt>
                <c:pt idx="1">
                  <c:v>4.02E-2</c:v>
                </c:pt>
                <c:pt idx="2">
                  <c:v>4.02E-2</c:v>
                </c:pt>
                <c:pt idx="3">
                  <c:v>4.02E-2</c:v>
                </c:pt>
                <c:pt idx="4">
                  <c:v>4.02E-2</c:v>
                </c:pt>
              </c:numCache>
            </c:numRef>
          </c:val>
          <c:smooth val="0"/>
          <c:extLst>
            <c:ext xmlns:c16="http://schemas.microsoft.com/office/drawing/2014/chart" uri="{C3380CC4-5D6E-409C-BE32-E72D297353CC}">
              <c16:uniqueId val="{00000002-F683-49F6-BD88-C28D8F642078}"/>
            </c:ext>
          </c:extLst>
        </c:ser>
        <c:dLbls>
          <c:showLegendKey val="0"/>
          <c:showVal val="0"/>
          <c:showCatName val="0"/>
          <c:showSerName val="0"/>
          <c:showPercent val="0"/>
          <c:showBubbleSize val="0"/>
        </c:dLbls>
        <c:marker val="1"/>
        <c:smooth val="0"/>
        <c:axId val="509427832"/>
        <c:axId val="509431768"/>
      </c:lineChart>
      <c:catAx>
        <c:axId val="509427832"/>
        <c:scaling>
          <c:orientation val="minMax"/>
        </c:scaling>
        <c:delete val="0"/>
        <c:axPos val="b"/>
        <c:numFmt formatCode="0_ ;\-0\ "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431768"/>
        <c:crosses val="autoZero"/>
        <c:auto val="1"/>
        <c:lblAlgn val="ctr"/>
        <c:lblOffset val="100"/>
        <c:noMultiLvlLbl val="0"/>
      </c:catAx>
      <c:valAx>
        <c:axId val="5094317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427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Net Profit Margin</a:t>
            </a:r>
          </a:p>
          <a:p>
            <a:pPr>
              <a:defRPr/>
            </a:pPr>
            <a:r>
              <a:rPr lang="en-US" sz="1100" b="1"/>
              <a:t>Jaguar Land Rover period 2014-</a:t>
            </a:r>
            <a:r>
              <a:rPr lang="en-US" sz="1100" b="1" baseline="0"/>
              <a:t>2018</a:t>
            </a:r>
            <a:endParaRPr lang="en-US" sz="11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199612318568755E-2"/>
          <c:y val="0.24173597440944883"/>
          <c:w val="0.865571741032371"/>
          <c:h val="0.55932619750656165"/>
        </c:manualLayout>
      </c:layout>
      <c:barChart>
        <c:barDir val="col"/>
        <c:grouping val="clustered"/>
        <c:varyColors val="0"/>
        <c:ser>
          <c:idx val="1"/>
          <c:order val="1"/>
          <c:tx>
            <c:strRef>
              <c:f>'Profitability Ratios'!$C$26</c:f>
              <c:strCache>
                <c:ptCount val="1"/>
                <c:pt idx="0">
                  <c:v>Net Profit Margin</c:v>
                </c:pt>
              </c:strCache>
            </c:strRef>
          </c:tx>
          <c:spPr>
            <a:gradFill flip="none" rotWithShape="1">
              <a:gsLst>
                <a:gs pos="0">
                  <a:schemeClr val="accent3">
                    <a:lumMod val="5000"/>
                    <a:lumOff val="95000"/>
                  </a:schemeClr>
                </a:gs>
                <a:gs pos="74000">
                  <a:schemeClr val="accent3">
                    <a:lumMod val="45000"/>
                    <a:lumOff val="55000"/>
                  </a:schemeClr>
                </a:gs>
                <a:gs pos="83000">
                  <a:schemeClr val="accent3">
                    <a:lumMod val="45000"/>
                    <a:lumOff val="55000"/>
                  </a:schemeClr>
                </a:gs>
                <a:gs pos="100000">
                  <a:schemeClr val="accent3">
                    <a:lumMod val="30000"/>
                    <a:lumOff val="70000"/>
                  </a:schemeClr>
                </a:gs>
              </a:gsLst>
              <a:path path="circle">
                <a:fillToRect l="100000" b="100000"/>
              </a:path>
              <a:tileRect t="-100000" r="-100000"/>
            </a:gradFill>
            <a:ln cmpd="dbl">
              <a:solidFill>
                <a:schemeClr val="accent3">
                  <a:lumMod val="75000"/>
                </a:schemeClr>
              </a:solidFill>
              <a:prstDash val="sysDot"/>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Ratios'!$D$26:$H$26</c:f>
              <c:numCache>
                <c:formatCode>0.00%</c:formatCode>
                <c:ptCount val="5"/>
                <c:pt idx="0">
                  <c:v>9.6925616424223662E-2</c:v>
                </c:pt>
                <c:pt idx="1">
                  <c:v>9.3204061099423766E-2</c:v>
                </c:pt>
                <c:pt idx="2">
                  <c:v>5.8871040114870321E-2</c:v>
                </c:pt>
                <c:pt idx="3">
                  <c:v>5.2261802046098857E-2</c:v>
                </c:pt>
                <c:pt idx="4">
                  <c:v>4.320173737687117E-2</c:v>
                </c:pt>
              </c:numCache>
            </c:numRef>
          </c:val>
          <c:extLst>
            <c:ext xmlns:c16="http://schemas.microsoft.com/office/drawing/2014/chart" uri="{C3380CC4-5D6E-409C-BE32-E72D297353CC}">
              <c16:uniqueId val="{00000000-A783-4895-AD44-EAD53931A7B7}"/>
            </c:ext>
          </c:extLst>
        </c:ser>
        <c:dLbls>
          <c:showLegendKey val="0"/>
          <c:showVal val="0"/>
          <c:showCatName val="0"/>
          <c:showSerName val="0"/>
          <c:showPercent val="0"/>
          <c:showBubbleSize val="0"/>
        </c:dLbls>
        <c:gapWidth val="219"/>
        <c:axId val="508302280"/>
        <c:axId val="509434064"/>
      </c:barChart>
      <c:lineChart>
        <c:grouping val="standard"/>
        <c:varyColors val="0"/>
        <c:ser>
          <c:idx val="0"/>
          <c:order val="0"/>
          <c:tx>
            <c:strRef>
              <c:f>'Profitability Ratios'!$C$25</c:f>
              <c:strCache>
                <c:ptCount val="1"/>
                <c:pt idx="0">
                  <c:v>Auto Industry Ratio</c:v>
                </c:pt>
              </c:strCache>
            </c:strRef>
          </c:tx>
          <c:spPr>
            <a:ln w="22225" cap="rnd" cmpd="dbl">
              <a:solidFill>
                <a:srgbClr val="FF0000"/>
              </a:solidFill>
              <a:prstDash val="sysDot"/>
              <a:round/>
            </a:ln>
            <a:effectLst/>
          </c:spPr>
          <c:marker>
            <c:symbol val="none"/>
          </c:marker>
          <c:dLbls>
            <c:dLbl>
              <c:idx val="2"/>
              <c:layout>
                <c:manualLayout>
                  <c:x val="4.1594454072790298E-2"/>
                  <c:y val="-5.639476334340382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83-4895-AD44-EAD53931A7B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'Profitability Ratios'!$D$20:$H$20</c:f>
              <c:numCache>
                <c:formatCode>0_ ;\-0\ </c:formatCode>
                <c:ptCount val="5"/>
                <c:pt idx="0">
                  <c:v>2014</c:v>
                </c:pt>
                <c:pt idx="1">
                  <c:v>2015</c:v>
                </c:pt>
                <c:pt idx="2">
                  <c:v>2016</c:v>
                </c:pt>
                <c:pt idx="3">
                  <c:v>2017</c:v>
                </c:pt>
                <c:pt idx="4">
                  <c:v>2018</c:v>
                </c:pt>
              </c:numCache>
            </c:numRef>
          </c:cat>
          <c:val>
            <c:numRef>
              <c:f>'Profitability Ratios'!$D$25:$H$25</c:f>
              <c:numCache>
                <c:formatCode>0.00%</c:formatCode>
                <c:ptCount val="5"/>
                <c:pt idx="0">
                  <c:v>2.8799999999999999E-2</c:v>
                </c:pt>
                <c:pt idx="1">
                  <c:v>2.8799999999999999E-2</c:v>
                </c:pt>
                <c:pt idx="2">
                  <c:v>2.8799999999999999E-2</c:v>
                </c:pt>
                <c:pt idx="3">
                  <c:v>2.8799999999999999E-2</c:v>
                </c:pt>
                <c:pt idx="4">
                  <c:v>2.8799999999999999E-2</c:v>
                </c:pt>
              </c:numCache>
            </c:numRef>
          </c:val>
          <c:smooth val="0"/>
          <c:extLst>
            <c:ext xmlns:c16="http://schemas.microsoft.com/office/drawing/2014/chart" uri="{C3380CC4-5D6E-409C-BE32-E72D297353CC}">
              <c16:uniqueId val="{00000002-A783-4895-AD44-EAD53931A7B7}"/>
            </c:ext>
          </c:extLst>
        </c:ser>
        <c:dLbls>
          <c:showLegendKey val="0"/>
          <c:showVal val="0"/>
          <c:showCatName val="0"/>
          <c:showSerName val="0"/>
          <c:showPercent val="0"/>
          <c:showBubbleSize val="0"/>
        </c:dLbls>
        <c:marker val="1"/>
        <c:smooth val="0"/>
        <c:axId val="508302280"/>
        <c:axId val="509434064"/>
      </c:lineChart>
      <c:catAx>
        <c:axId val="508302280"/>
        <c:scaling>
          <c:orientation val="minMax"/>
        </c:scaling>
        <c:delete val="0"/>
        <c:axPos val="b"/>
        <c:numFmt formatCode="0_ ;\-0\ "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434064"/>
        <c:crosses val="autoZero"/>
        <c:auto val="1"/>
        <c:lblAlgn val="ctr"/>
        <c:lblOffset val="100"/>
        <c:noMultiLvlLbl val="0"/>
      </c:catAx>
      <c:valAx>
        <c:axId val="509434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302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Profitability</a:t>
            </a:r>
            <a:r>
              <a:rPr lang="en-US" sz="1100" baseline="0"/>
              <a:t> Ratios</a:t>
            </a:r>
            <a:endParaRPr lang="en-US" sz="1100"/>
          </a:p>
          <a:p>
            <a:pPr>
              <a:defRPr/>
            </a:pPr>
            <a:r>
              <a:rPr lang="en-US" sz="1100"/>
              <a:t>Jaguar Land Rover vs. Mercedes Benz</a:t>
            </a:r>
          </a:p>
          <a:p>
            <a:pPr>
              <a:defRPr/>
            </a:pPr>
            <a:r>
              <a:rPr lang="en-US" sz="1100"/>
              <a:t> 2018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'Profitability Ratios'!$N$20</c:f>
              <c:strCache>
                <c:ptCount val="1"/>
                <c:pt idx="0">
                  <c:v>Jaguar Land Rover</c:v>
                </c:pt>
              </c:strCache>
            </c:strRef>
          </c:tx>
          <c:spPr>
            <a:gradFill flip="none" rotWithShape="1">
              <a:gsLst>
                <a:gs pos="0">
                  <a:schemeClr val="accent1">
                    <a:lumMod val="0"/>
                    <a:lumOff val="100000"/>
                  </a:schemeClr>
                </a:gs>
                <a:gs pos="0">
                  <a:schemeClr val="accent1">
                    <a:lumMod val="0"/>
                    <a:lumOff val="100000"/>
                  </a:schemeClr>
                </a:gs>
                <a:gs pos="97000">
                  <a:schemeClr val="accent1">
                    <a:lumMod val="100000"/>
                  </a:schemeClr>
                </a:gs>
              </a:gsLst>
              <a:lin ang="10800000" scaled="1"/>
              <a:tileRect/>
            </a:gradFill>
            <a:ln w="9525" cap="flat" cmpd="sng" algn="ctr">
              <a:solidFill>
                <a:schemeClr val="lt1">
                  <a:alpha val="50000"/>
                </a:schemeClr>
              </a:solidFill>
              <a:round/>
            </a:ln>
            <a:effectLst/>
          </c:spPr>
          <c:invertIfNegative val="0"/>
          <c:dLbls>
            <c:dLbl>
              <c:idx val="0"/>
              <c:layout>
                <c:manualLayout>
                  <c:x val="-2.7777777777777779E-3"/>
                  <c:y val="4.560367454068198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D01-45B4-91A4-DB3FF9253E09}"/>
                </c:ext>
              </c:extLst>
            </c:dLbl>
            <c:dLbl>
              <c:idx val="1"/>
              <c:layout>
                <c:manualLayout>
                  <c:x val="-8.3333333333332829E-3"/>
                  <c:y val="-4.307742782152230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01-45B4-91A4-DB3FF9253E09}"/>
                </c:ext>
              </c:extLst>
            </c:dLbl>
            <c:dLbl>
              <c:idx val="2"/>
              <c:layout>
                <c:manualLayout>
                  <c:x val="-5.5555555555556572E-3"/>
                  <c:y val="-1.64541411490231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D01-45B4-91A4-DB3FF9253E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('Profitability Ratios'!$M$22,'Profitability Ratios'!$M$24,'Profitability Ratios'!$M$26)</c:f>
              <c:strCache>
                <c:ptCount val="3"/>
                <c:pt idx="0">
                  <c:v>Gross Margin</c:v>
                </c:pt>
                <c:pt idx="1">
                  <c:v>Operating Margin</c:v>
                </c:pt>
                <c:pt idx="2">
                  <c:v>Net Profit Margin</c:v>
                </c:pt>
              </c:strCache>
            </c:strRef>
          </c:cat>
          <c:val>
            <c:numRef>
              <c:f>('Profitability Ratios'!$N$22,'Profitability Ratios'!$N$24,'Profitability Ratios'!$N$26)</c:f>
              <c:numCache>
                <c:formatCode>0.00%</c:formatCode>
                <c:ptCount val="3"/>
                <c:pt idx="0">
                  <c:v>0.36678817963235866</c:v>
                </c:pt>
                <c:pt idx="1">
                  <c:v>6.0653067556038158E-2</c:v>
                </c:pt>
                <c:pt idx="2">
                  <c:v>4.320173737687117E-2</c:v>
                </c:pt>
              </c:numCache>
            </c:numRef>
          </c:val>
          <c:extLst>
            <c:ext xmlns:c16="http://schemas.microsoft.com/office/drawing/2014/chart" uri="{C3380CC4-5D6E-409C-BE32-E72D297353CC}">
              <c16:uniqueId val="{00000003-5D01-45B4-91A4-DB3FF9253E09}"/>
            </c:ext>
          </c:extLst>
        </c:ser>
        <c:ser>
          <c:idx val="1"/>
          <c:order val="1"/>
          <c:tx>
            <c:strRef>
              <c:f>'Profitability Ratios'!$O$20</c:f>
              <c:strCache>
                <c:ptCount val="1"/>
                <c:pt idx="0">
                  <c:v>Mercedes Benz</c:v>
                </c:pt>
              </c:strCache>
            </c:strRef>
          </c:tx>
          <c:spPr>
            <a:gradFill flip="none" rotWithShape="1">
              <a:gsLst>
                <a:gs pos="0">
                  <a:schemeClr val="accent6">
                    <a:lumMod val="5000"/>
                    <a:lumOff val="95000"/>
                  </a:schemeClr>
                </a:gs>
                <a:gs pos="74000">
                  <a:schemeClr val="accent6">
                    <a:lumMod val="45000"/>
                    <a:lumOff val="55000"/>
                  </a:schemeClr>
                </a:gs>
                <a:gs pos="83000">
                  <a:schemeClr val="accent6">
                    <a:lumMod val="45000"/>
                    <a:lumOff val="55000"/>
                  </a:schemeClr>
                </a:gs>
                <a:gs pos="100000">
                  <a:schemeClr val="accent6">
                    <a:lumMod val="30000"/>
                    <a:lumOff val="70000"/>
                  </a:schemeClr>
                </a:gs>
              </a:gsLst>
              <a:lin ang="0" scaled="1"/>
              <a:tileRect/>
            </a:gradFill>
            <a:ln w="9525" cap="flat" cmpd="dbl" algn="ctr">
              <a:solidFill>
                <a:srgbClr val="00B050"/>
              </a:solidFill>
              <a:prstDash val="sysDot"/>
              <a:round/>
            </a:ln>
            <a:effectLst/>
          </c:spPr>
          <c:invertIfNegative val="0"/>
          <c:dLbls>
            <c:dLbl>
              <c:idx val="0"/>
              <c:layout>
                <c:manualLayout>
                  <c:x val="-1.1111111111111112E-2"/>
                  <c:y val="9.189997083697871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D01-45B4-91A4-DB3FF9253E09}"/>
                </c:ext>
              </c:extLst>
            </c:dLbl>
            <c:dLbl>
              <c:idx val="1"/>
              <c:layout>
                <c:manualLayout>
                  <c:x val="2.7777777777777779E-3"/>
                  <c:y val="7.4015748031495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01-45B4-91A4-DB3FF9253E09}"/>
                </c:ext>
              </c:extLst>
            </c:dLbl>
            <c:dLbl>
              <c:idx val="2"/>
              <c:layout>
                <c:manualLayout>
                  <c:x val="-2.7777777777778798E-3"/>
                  <c:y val="-1.85061242344707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D01-45B4-91A4-DB3FF9253E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6">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('Profitability Ratios'!$M$22,'Profitability Ratios'!$M$24,'Profitability Ratios'!$M$26)</c:f>
              <c:strCache>
                <c:ptCount val="3"/>
                <c:pt idx="0">
                  <c:v>Gross Margin</c:v>
                </c:pt>
                <c:pt idx="1">
                  <c:v>Operating Margin</c:v>
                </c:pt>
                <c:pt idx="2">
                  <c:v>Net Profit Margin</c:v>
                </c:pt>
              </c:strCache>
            </c:strRef>
          </c:cat>
          <c:val>
            <c:numRef>
              <c:f>('Profitability Ratios'!$O$22,'Profitability Ratios'!$O$24,'Profitability Ratios'!$O$26)</c:f>
              <c:numCache>
                <c:formatCode>0.00%</c:formatCode>
                <c:ptCount val="3"/>
                <c:pt idx="0">
                  <c:v>0.19757770581135503</c:v>
                </c:pt>
                <c:pt idx="1">
                  <c:v>6.6424875419748813E-2</c:v>
                </c:pt>
                <c:pt idx="2">
                  <c:v>4.5302995901100609E-2</c:v>
                </c:pt>
              </c:numCache>
            </c:numRef>
          </c:val>
          <c:extLst>
            <c:ext xmlns:c16="http://schemas.microsoft.com/office/drawing/2014/chart" uri="{C3380CC4-5D6E-409C-BE32-E72D297353CC}">
              <c16:uniqueId val="{00000007-5D01-45B4-91A4-DB3FF9253E09}"/>
            </c:ext>
          </c:extLst>
        </c:ser>
        <c:dLbls>
          <c:dLblPos val="inEnd"/>
          <c:showLegendKey val="0"/>
          <c:showVal val="1"/>
          <c:showCatName val="0"/>
          <c:showSerName val="0"/>
          <c:showPercent val="0"/>
          <c:showBubbleSize val="0"/>
        </c:dLbls>
        <c:gapWidth val="65"/>
        <c:axId val="508299328"/>
        <c:axId val="508299984"/>
      </c:barChart>
      <c:lineChart>
        <c:grouping val="standard"/>
        <c:varyColors val="0"/>
        <c:ser>
          <c:idx val="2"/>
          <c:order val="2"/>
          <c:tx>
            <c:strRef>
              <c:f>'Profitability Ratios'!$P$20</c:f>
              <c:strCache>
                <c:ptCount val="1"/>
                <c:pt idx="0">
                  <c:v>Auto Industry Q4 2018 / Annual 2018</c:v>
                </c:pt>
              </c:strCache>
            </c:strRef>
          </c:tx>
          <c:spPr>
            <a:ln w="12700" cap="rnd" cmpd="dbl">
              <a:solidFill>
                <a:srgbClr val="FF5050">
                  <a:alpha val="92000"/>
                </a:srgbClr>
              </a:solidFill>
              <a:prstDash val="sysDot"/>
              <a:round/>
            </a:ln>
            <a:effectLst/>
          </c:spPr>
          <c:marker>
            <c:symbol val="none"/>
          </c:marker>
          <c:dLbls>
            <c:dLbl>
              <c:idx val="0"/>
              <c:layout>
                <c:manualLayout>
                  <c:x val="-5.9546925566343063E-2"/>
                  <c:y val="-4.1666666666666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D01-45B4-91A4-DB3FF9253E09}"/>
                </c:ext>
              </c:extLst>
            </c:dLbl>
            <c:dLbl>
              <c:idx val="1"/>
              <c:layout>
                <c:manualLayout>
                  <c:x val="-4.6601941747572817E-2"/>
                  <c:y val="-1.38888888888889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D01-45B4-91A4-DB3FF9253E09}"/>
                </c:ext>
              </c:extLst>
            </c:dLbl>
            <c:dLbl>
              <c:idx val="2"/>
              <c:layout>
                <c:manualLayout>
                  <c:x val="-5.436893203883495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D01-45B4-91A4-DB3FF9253E0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('Profitability Ratios'!$M$22,'Profitability Ratios'!$M$24,'Profitability Ratios'!$M$26)</c:f>
              <c:strCache>
                <c:ptCount val="3"/>
                <c:pt idx="0">
                  <c:v>Gross Margin</c:v>
                </c:pt>
                <c:pt idx="1">
                  <c:v>Operating Margin</c:v>
                </c:pt>
                <c:pt idx="2">
                  <c:v>Net Profit Margin</c:v>
                </c:pt>
              </c:strCache>
            </c:strRef>
          </c:cat>
          <c:val>
            <c:numRef>
              <c:f>('Profitability Ratios'!$P$22,'Profitability Ratios'!$P$24,'Profitability Ratios'!$P$26)</c:f>
              <c:numCache>
                <c:formatCode>0.00%</c:formatCode>
                <c:ptCount val="3"/>
                <c:pt idx="0">
                  <c:v>0.12609999999999999</c:v>
                </c:pt>
                <c:pt idx="1">
                  <c:v>3.27E-2</c:v>
                </c:pt>
                <c:pt idx="2">
                  <c:v>2.8799999999999999E-2</c:v>
                </c:pt>
              </c:numCache>
            </c:numRef>
          </c:val>
          <c:smooth val="0"/>
          <c:extLst>
            <c:ext xmlns:c16="http://schemas.microsoft.com/office/drawing/2014/chart" uri="{C3380CC4-5D6E-409C-BE32-E72D297353CC}">
              <c16:uniqueId val="{0000000B-5D01-45B4-91A4-DB3FF9253E09}"/>
            </c:ext>
          </c:extLst>
        </c:ser>
        <c:dLbls>
          <c:showLegendKey val="0"/>
          <c:showVal val="0"/>
          <c:showCatName val="0"/>
          <c:showSerName val="0"/>
          <c:showPercent val="0"/>
          <c:showBubbleSize val="0"/>
        </c:dLbls>
        <c:marker val="1"/>
        <c:smooth val="0"/>
        <c:axId val="508299328"/>
        <c:axId val="508299984"/>
      </c:lineChart>
      <c:catAx>
        <c:axId val="5082993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08299984"/>
        <c:crosses val="autoZero"/>
        <c:auto val="1"/>
        <c:lblAlgn val="ctr"/>
        <c:lblOffset val="100"/>
        <c:noMultiLvlLbl val="0"/>
      </c:catAx>
      <c:valAx>
        <c:axId val="508299984"/>
        <c:scaling>
          <c:orientation val="minMax"/>
        </c:scaling>
        <c:delete val="1"/>
        <c:axPos val="l"/>
        <c:majorGridlines>
          <c:spPr>
            <a:ln w="9525" cap="flat" cmpd="dbl"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0829932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29000">
          <a:schemeClr val="accent3">
            <a:lumMod val="5000"/>
            <a:lumOff val="95000"/>
          </a:schemeClr>
        </a:gs>
        <a:gs pos="70000">
          <a:schemeClr val="accent3">
            <a:lumMod val="45000"/>
            <a:lumOff val="55000"/>
          </a:schemeClr>
        </a:gs>
        <a:gs pos="56000">
          <a:schemeClr val="accent3">
            <a:lumMod val="45000"/>
            <a:lumOff val="55000"/>
          </a:schemeClr>
        </a:gs>
        <a:gs pos="86000">
          <a:schemeClr val="accent3">
            <a:lumMod val="30000"/>
            <a:lumOff val="70000"/>
          </a:schemeClr>
        </a:gs>
      </a:gsLst>
      <a:lin ang="5400000" scaled="1"/>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Asset Turnover</a:t>
            </a:r>
          </a:p>
          <a:p>
            <a:pPr>
              <a:defRPr/>
            </a:pPr>
            <a:r>
              <a:rPr lang="en-US" sz="1100" b="1"/>
              <a:t>Jaguar Land Rover 2014-2018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'Efficiency Ratios'!$B$17</c:f>
              <c:strCache>
                <c:ptCount val="1"/>
                <c:pt idx="0">
                  <c:v>Asset Turnover</c:v>
                </c:pt>
              </c:strCache>
            </c:strRef>
          </c:tx>
          <c:spPr>
            <a:gradFill flip="none" rotWithShape="1">
              <a:gsLst>
                <a:gs pos="17000">
                  <a:schemeClr val="accent6">
                    <a:lumMod val="5000"/>
                    <a:lumOff val="95000"/>
                  </a:schemeClr>
                </a:gs>
                <a:gs pos="74000">
                  <a:schemeClr val="accent6">
                    <a:lumMod val="45000"/>
                    <a:lumOff val="55000"/>
                  </a:schemeClr>
                </a:gs>
                <a:gs pos="52000">
                  <a:schemeClr val="accent6">
                    <a:lumMod val="45000"/>
                    <a:lumOff val="55000"/>
                  </a:schemeClr>
                </a:gs>
                <a:gs pos="100000">
                  <a:schemeClr val="accent6">
                    <a:lumMod val="30000"/>
                    <a:lumOff val="70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6"/>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'Efficiency Ratios'!$C$15:$G$15</c:f>
              <c:numCache>
                <c:formatCode>General</c:formatCode>
                <c:ptCount val="5"/>
                <c:pt idx="0">
                  <c:v>2014</c:v>
                </c:pt>
                <c:pt idx="1">
                  <c:v>2015</c:v>
                </c:pt>
                <c:pt idx="2">
                  <c:v>2016</c:v>
                </c:pt>
                <c:pt idx="3">
                  <c:v>2017</c:v>
                </c:pt>
                <c:pt idx="4">
                  <c:v>2018</c:v>
                </c:pt>
              </c:numCache>
            </c:numRef>
          </c:cat>
          <c:val>
            <c:numRef>
              <c:f>'Efficiency Ratios'!$C$17:$G$17</c:f>
              <c:numCache>
                <c:formatCode>0.00</c:formatCode>
                <c:ptCount val="5"/>
                <c:pt idx="0">
                  <c:v>1.2435691833985503</c:v>
                </c:pt>
                <c:pt idx="1">
                  <c:v>1.1779346010881862</c:v>
                </c:pt>
                <c:pt idx="2">
                  <c:v>1.0835804930228035</c:v>
                </c:pt>
                <c:pt idx="3">
                  <c:v>0.9995482546201232</c:v>
                </c:pt>
                <c:pt idx="4">
                  <c:v>0.96306255835667598</c:v>
                </c:pt>
              </c:numCache>
            </c:numRef>
          </c:val>
          <c:extLst>
            <c:ext xmlns:c16="http://schemas.microsoft.com/office/drawing/2014/chart" uri="{C3380CC4-5D6E-409C-BE32-E72D297353CC}">
              <c16:uniqueId val="{00000000-1039-4872-820A-168D3AA21088}"/>
            </c:ext>
          </c:extLst>
        </c:ser>
        <c:dLbls>
          <c:showLegendKey val="0"/>
          <c:showVal val="0"/>
          <c:showCatName val="0"/>
          <c:showSerName val="0"/>
          <c:showPercent val="0"/>
          <c:showBubbleSize val="0"/>
        </c:dLbls>
        <c:gapWidth val="219"/>
        <c:overlap val="-27"/>
        <c:axId val="542820552"/>
        <c:axId val="542817272"/>
      </c:barChart>
      <c:lineChart>
        <c:grouping val="standard"/>
        <c:varyColors val="0"/>
        <c:ser>
          <c:idx val="0"/>
          <c:order val="0"/>
          <c:tx>
            <c:strRef>
              <c:f>'Efficiency Ratios'!$B$16</c:f>
              <c:strCache>
                <c:ptCount val="1"/>
                <c:pt idx="0">
                  <c:v>Auto Industry Value</c:v>
                </c:pt>
              </c:strCache>
            </c:strRef>
          </c:tx>
          <c:spPr>
            <a:ln w="28575" cap="rnd">
              <a:solidFill>
                <a:srgbClr val="FF0000"/>
              </a:solidFill>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1-1039-4872-820A-168D3AA21088}"/>
                </c:ext>
              </c:extLst>
            </c:dLbl>
            <c:dLbl>
              <c:idx val="1"/>
              <c:delete val="1"/>
              <c:extLst>
                <c:ext xmlns:c15="http://schemas.microsoft.com/office/drawing/2012/chart" uri="{CE6537A1-D6FC-4f65-9D91-7224C49458BB}"/>
                <c:ext xmlns:c16="http://schemas.microsoft.com/office/drawing/2014/chart" uri="{C3380CC4-5D6E-409C-BE32-E72D297353CC}">
                  <c16:uniqueId val="{00000002-1039-4872-820A-168D3AA21088}"/>
                </c:ext>
              </c:extLst>
            </c:dLbl>
            <c:dLbl>
              <c:idx val="2"/>
              <c:layout>
                <c:manualLayout>
                  <c:x val="3.6111111111111108E-2"/>
                  <c:y val="-5.5555555555555643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039-4872-820A-168D3AA21088}"/>
                </c:ext>
              </c:extLst>
            </c:dLbl>
            <c:dLbl>
              <c:idx val="3"/>
              <c:delete val="1"/>
              <c:extLst>
                <c:ext xmlns:c15="http://schemas.microsoft.com/office/drawing/2012/chart" uri="{CE6537A1-D6FC-4f65-9D91-7224C49458BB}"/>
                <c:ext xmlns:c16="http://schemas.microsoft.com/office/drawing/2014/chart" uri="{C3380CC4-5D6E-409C-BE32-E72D297353CC}">
                  <c16:uniqueId val="{00000004-1039-4872-820A-168D3AA21088}"/>
                </c:ext>
              </c:extLst>
            </c:dLbl>
            <c:dLbl>
              <c:idx val="4"/>
              <c:delete val="1"/>
              <c:extLst>
                <c:ext xmlns:c15="http://schemas.microsoft.com/office/drawing/2012/chart" uri="{CE6537A1-D6FC-4f65-9D91-7224C49458BB}"/>
                <c:ext xmlns:c16="http://schemas.microsoft.com/office/drawing/2014/chart" uri="{C3380CC4-5D6E-409C-BE32-E72D297353CC}">
                  <c16:uniqueId val="{00000005-1039-4872-820A-168D3AA2108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'Efficiency Ratios'!$C$15:$G$15</c:f>
              <c:numCache>
                <c:formatCode>General</c:formatCode>
                <c:ptCount val="5"/>
                <c:pt idx="0">
                  <c:v>2014</c:v>
                </c:pt>
                <c:pt idx="1">
                  <c:v>2015</c:v>
                </c:pt>
                <c:pt idx="2">
                  <c:v>2016</c:v>
                </c:pt>
                <c:pt idx="3">
                  <c:v>2017</c:v>
                </c:pt>
                <c:pt idx="4">
                  <c:v>2018</c:v>
                </c:pt>
              </c:numCache>
            </c:numRef>
          </c:cat>
          <c:val>
            <c:numRef>
              <c:f>'Efficiency Ratios'!$C$16:$G$16</c:f>
              <c:numCache>
                <c:formatCode>0.00</c:formatCode>
                <c:ptCount val="5"/>
                <c:pt idx="0">
                  <c:v>0.76</c:v>
                </c:pt>
                <c:pt idx="1">
                  <c:v>0.76</c:v>
                </c:pt>
                <c:pt idx="2">
                  <c:v>0.76</c:v>
                </c:pt>
                <c:pt idx="3">
                  <c:v>0.76</c:v>
                </c:pt>
                <c:pt idx="4">
                  <c:v>0.76</c:v>
                </c:pt>
              </c:numCache>
            </c:numRef>
          </c:val>
          <c:smooth val="0"/>
          <c:extLst>
            <c:ext xmlns:c16="http://schemas.microsoft.com/office/drawing/2014/chart" uri="{C3380CC4-5D6E-409C-BE32-E72D297353CC}">
              <c16:uniqueId val="{00000006-1039-4872-820A-168D3AA21088}"/>
            </c:ext>
          </c:extLst>
        </c:ser>
        <c:dLbls>
          <c:showLegendKey val="0"/>
          <c:showVal val="0"/>
          <c:showCatName val="0"/>
          <c:showSerName val="0"/>
          <c:showPercent val="0"/>
          <c:showBubbleSize val="0"/>
        </c:dLbls>
        <c:marker val="1"/>
        <c:smooth val="0"/>
        <c:axId val="542820552"/>
        <c:axId val="542817272"/>
      </c:lineChart>
      <c:catAx>
        <c:axId val="542820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17272"/>
        <c:crosses val="autoZero"/>
        <c:auto val="1"/>
        <c:lblAlgn val="ctr"/>
        <c:lblOffset val="100"/>
        <c:noMultiLvlLbl val="0"/>
      </c:catAx>
      <c:valAx>
        <c:axId val="542817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20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Fixed Asset Turnover</a:t>
            </a:r>
          </a:p>
          <a:p>
            <a:pPr>
              <a:defRPr sz="1100" b="1"/>
            </a:pPr>
            <a:r>
              <a:rPr lang="en-US" sz="1100" b="1"/>
              <a:t>Jaguar Land Rover 2014-2018</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'Efficiency Ratios'!$B$18</c:f>
              <c:strCache>
                <c:ptCount val="1"/>
                <c:pt idx="0">
                  <c:v>Fixed Asset Turnover</c:v>
                </c:pt>
              </c:strCache>
            </c:strRef>
          </c:tx>
          <c:spPr>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'Efficiency Ratios'!$C$15:$G$15</c:f>
              <c:numCache>
                <c:formatCode>General</c:formatCode>
                <c:ptCount val="5"/>
                <c:pt idx="0">
                  <c:v>2014</c:v>
                </c:pt>
                <c:pt idx="1">
                  <c:v>2015</c:v>
                </c:pt>
                <c:pt idx="2">
                  <c:v>2016</c:v>
                </c:pt>
                <c:pt idx="3">
                  <c:v>2017</c:v>
                </c:pt>
                <c:pt idx="4">
                  <c:v>2018</c:v>
                </c:pt>
              </c:numCache>
            </c:numRef>
          </c:cat>
          <c:val>
            <c:numRef>
              <c:f>'Efficiency Ratios'!$C$18:$G$18</c:f>
              <c:numCache>
                <c:formatCode>0.00</c:formatCode>
                <c:ptCount val="5"/>
                <c:pt idx="0">
                  <c:v>6.0885678391959797</c:v>
                </c:pt>
                <c:pt idx="1">
                  <c:v>4.887349128296826</c:v>
                </c:pt>
                <c:pt idx="2">
                  <c:v>4.3064734299516907</c:v>
                </c:pt>
                <c:pt idx="3">
                  <c:v>4.1357689039932026</c:v>
                </c:pt>
                <c:pt idx="4">
                  <c:v>3.476607792908184</c:v>
                </c:pt>
              </c:numCache>
            </c:numRef>
          </c:val>
          <c:extLst>
            <c:ext xmlns:c16="http://schemas.microsoft.com/office/drawing/2014/chart" uri="{C3380CC4-5D6E-409C-BE32-E72D297353CC}">
              <c16:uniqueId val="{00000000-F33A-4CCF-B441-80DCB48D4ECD}"/>
            </c:ext>
          </c:extLst>
        </c:ser>
        <c:dLbls>
          <c:showLegendKey val="0"/>
          <c:showVal val="0"/>
          <c:showCatName val="0"/>
          <c:showSerName val="0"/>
          <c:showPercent val="0"/>
          <c:showBubbleSize val="0"/>
        </c:dLbls>
        <c:gapWidth val="219"/>
        <c:overlap val="-27"/>
        <c:axId val="542816616"/>
        <c:axId val="542823176"/>
      </c:barChart>
      <c:catAx>
        <c:axId val="542816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23176"/>
        <c:crosses val="autoZero"/>
        <c:auto val="1"/>
        <c:lblAlgn val="ctr"/>
        <c:lblOffset val="100"/>
        <c:noMultiLvlLbl val="0"/>
      </c:catAx>
      <c:valAx>
        <c:axId val="542823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816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en-US" sz="1100"/>
              <a:t>Efficiency Ratios  </a:t>
            </a:r>
          </a:p>
          <a:p>
            <a:pPr>
              <a:defRPr sz="1100"/>
            </a:pPr>
            <a:r>
              <a:rPr lang="en-US" sz="1100"/>
              <a:t>Jaguar Land Rover vs. Mercedes Benz 2018</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'Efficiency Ratios'!$N$16</c:f>
              <c:strCache>
                <c:ptCount val="1"/>
                <c:pt idx="0">
                  <c:v>Jaguar Land Rover</c:v>
                </c:pt>
              </c:strCache>
            </c:strRef>
          </c:tx>
          <c:spPr>
            <a:gradFill flip="none" rotWithShape="1">
              <a:gsLst>
                <a:gs pos="0">
                  <a:schemeClr val="accent1">
                    <a:lumMod val="0"/>
                    <a:lumOff val="100000"/>
                  </a:schemeClr>
                </a:gs>
                <a:gs pos="34000">
                  <a:schemeClr val="accent1">
                    <a:lumMod val="0"/>
                    <a:lumOff val="100000"/>
                  </a:schemeClr>
                </a:gs>
                <a:gs pos="76000">
                  <a:schemeClr val="accent1">
                    <a:lumMod val="100000"/>
                  </a:schemeClr>
                </a:gs>
              </a:gsLst>
              <a:lin ang="10800000" scaled="1"/>
              <a:tileRect/>
            </a:gradFill>
            <a:ln w="9525" cap="flat" cmpd="sng" algn="ctr">
              <a:solidFill>
                <a:schemeClr val="lt1">
                  <a:alpha val="50000"/>
                </a:schemeClr>
              </a:solidFill>
              <a:round/>
            </a:ln>
            <a:effectLst/>
          </c:spPr>
          <c:invertIfNegative val="0"/>
          <c:dLbls>
            <c:dLbl>
              <c:idx val="0"/>
              <c:layout>
                <c:manualLayout>
                  <c:x val="-1.6666666666666691E-2"/>
                  <c:y val="4.560367454068241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FD-4EBE-8D19-CE20651F812B}"/>
                </c:ext>
              </c:extLst>
            </c:dLbl>
            <c:dLbl>
              <c:idx val="1"/>
              <c:layout>
                <c:manualLayout>
                  <c:x val="5.5555555555555558E-3"/>
                  <c:y val="-2.466061533974928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FD-4EBE-8D19-CE20651F81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'Efficiency Ratios'!$M$17:$M$18</c:f>
              <c:strCache>
                <c:ptCount val="2"/>
                <c:pt idx="0">
                  <c:v>Asset Turnover</c:v>
                </c:pt>
                <c:pt idx="1">
                  <c:v>Fixed Asset Turnover</c:v>
                </c:pt>
              </c:strCache>
            </c:strRef>
          </c:cat>
          <c:val>
            <c:numRef>
              <c:f>'Efficiency Ratios'!$N$17:$N$18</c:f>
              <c:numCache>
                <c:formatCode>0.00</c:formatCode>
                <c:ptCount val="2"/>
                <c:pt idx="0">
                  <c:v>0.96306255835667598</c:v>
                </c:pt>
                <c:pt idx="1">
                  <c:v>3.476607792908184</c:v>
                </c:pt>
              </c:numCache>
            </c:numRef>
          </c:val>
          <c:extLst>
            <c:ext xmlns:c16="http://schemas.microsoft.com/office/drawing/2014/chart" uri="{C3380CC4-5D6E-409C-BE32-E72D297353CC}">
              <c16:uniqueId val="{00000002-76FD-4EBE-8D19-CE20651F812B}"/>
            </c:ext>
          </c:extLst>
        </c:ser>
        <c:ser>
          <c:idx val="1"/>
          <c:order val="1"/>
          <c:tx>
            <c:strRef>
              <c:f>'Efficiency Ratios'!$O$16</c:f>
              <c:strCache>
                <c:ptCount val="1"/>
                <c:pt idx="0">
                  <c:v>Mercedes Benz</c:v>
                </c:pt>
              </c:strCache>
            </c:strRef>
          </c:tx>
          <c:spPr>
            <a:gradFill flip="none" rotWithShape="1">
              <a:gsLst>
                <a:gs pos="2900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0" scaled="1"/>
              <a:tileRect/>
            </a:gradFill>
            <a:ln w="9525" cap="flat" cmpd="sng" algn="ctr">
              <a:solidFill>
                <a:schemeClr val="lt1">
                  <a:alpha val="50000"/>
                </a:schemeClr>
              </a:solidFill>
              <a:round/>
            </a:ln>
            <a:effectLst/>
          </c:spPr>
          <c:invertIfNegative val="0"/>
          <c:dLbls>
            <c:dLbl>
              <c:idx val="0"/>
              <c:layout>
                <c:manualLayout>
                  <c:x val="-2.7777777777777779E-3"/>
                  <c:y val="4.560367454068198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FD-4EBE-8D19-CE20651F812B}"/>
                </c:ext>
              </c:extLst>
            </c:dLbl>
            <c:dLbl>
              <c:idx val="1"/>
              <c:layout>
                <c:manualLayout>
                  <c:x val="1.0185067526415994E-16"/>
                  <c:y val="-6.9262175561430602E-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6FD-4EBE-8D19-CE20651F81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'Efficiency Ratios'!$M$17:$M$18</c:f>
              <c:strCache>
                <c:ptCount val="2"/>
                <c:pt idx="0">
                  <c:v>Asset Turnover</c:v>
                </c:pt>
                <c:pt idx="1">
                  <c:v>Fixed Asset Turnover</c:v>
                </c:pt>
              </c:strCache>
            </c:strRef>
          </c:cat>
          <c:val>
            <c:numRef>
              <c:f>'Efficiency Ratios'!$O$17:$O$18</c:f>
              <c:numCache>
                <c:formatCode>0.00</c:formatCode>
                <c:ptCount val="2"/>
                <c:pt idx="0">
                  <c:v>0.59428518672390718</c:v>
                </c:pt>
                <c:pt idx="1">
                  <c:v>5.4078454181207185</c:v>
                </c:pt>
              </c:numCache>
            </c:numRef>
          </c:val>
          <c:extLst>
            <c:ext xmlns:c16="http://schemas.microsoft.com/office/drawing/2014/chart" uri="{C3380CC4-5D6E-409C-BE32-E72D297353CC}">
              <c16:uniqueId val="{00000005-76FD-4EBE-8D19-CE20651F812B}"/>
            </c:ext>
          </c:extLst>
        </c:ser>
        <c:dLbls>
          <c:dLblPos val="inEnd"/>
          <c:showLegendKey val="0"/>
          <c:showVal val="1"/>
          <c:showCatName val="0"/>
          <c:showSerName val="0"/>
          <c:showPercent val="0"/>
          <c:showBubbleSize val="0"/>
        </c:dLbls>
        <c:gapWidth val="65"/>
        <c:axId val="542828752"/>
        <c:axId val="542827112"/>
      </c:barChart>
      <c:lineChart>
        <c:grouping val="standard"/>
        <c:varyColors val="0"/>
        <c:ser>
          <c:idx val="2"/>
          <c:order val="2"/>
          <c:tx>
            <c:strRef>
              <c:f>'Efficiency Ratios'!$P$16</c:f>
              <c:strCache>
                <c:ptCount val="1"/>
                <c:pt idx="0">
                  <c:v>Auto Industry Value</c:v>
                </c:pt>
              </c:strCache>
            </c:strRef>
          </c:tx>
          <c:spPr>
            <a:ln w="15875" cap="rnd" cmpd="dbl">
              <a:solidFill>
                <a:srgbClr val="FF5050">
                  <a:alpha val="85000"/>
                </a:srgbClr>
              </a:solidFill>
              <a:prstDash val="sysDot"/>
              <a:round/>
            </a:ln>
            <a:effectLst/>
          </c:spPr>
          <c:marker>
            <c:symbol val="none"/>
          </c:marker>
          <c:dLbls>
            <c:dLbl>
              <c:idx val="0"/>
              <c:layout>
                <c:manualLayout>
                  <c:x val="-0.05"/>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6FD-4EBE-8D19-CE20651F812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'Efficiency Ratios'!$M$17:$M$18</c:f>
              <c:strCache>
                <c:ptCount val="2"/>
                <c:pt idx="0">
                  <c:v>Asset Turnover</c:v>
                </c:pt>
                <c:pt idx="1">
                  <c:v>Fixed Asset Turnover</c:v>
                </c:pt>
              </c:strCache>
            </c:strRef>
          </c:cat>
          <c:val>
            <c:numRef>
              <c:f>'Efficiency Ratios'!$P$17:$P$18</c:f>
              <c:numCache>
                <c:formatCode>General</c:formatCode>
                <c:ptCount val="2"/>
                <c:pt idx="0">
                  <c:v>0.76</c:v>
                </c:pt>
              </c:numCache>
            </c:numRef>
          </c:val>
          <c:smooth val="0"/>
          <c:extLst>
            <c:ext xmlns:c16="http://schemas.microsoft.com/office/drawing/2014/chart" uri="{C3380CC4-5D6E-409C-BE32-E72D297353CC}">
              <c16:uniqueId val="{00000007-76FD-4EBE-8D19-CE20651F812B}"/>
            </c:ext>
          </c:extLst>
        </c:ser>
        <c:dLbls>
          <c:showLegendKey val="0"/>
          <c:showVal val="0"/>
          <c:showCatName val="0"/>
          <c:showSerName val="0"/>
          <c:showPercent val="0"/>
          <c:showBubbleSize val="0"/>
        </c:dLbls>
        <c:marker val="1"/>
        <c:smooth val="0"/>
        <c:axId val="542828752"/>
        <c:axId val="542827112"/>
      </c:lineChart>
      <c:catAx>
        <c:axId val="54282875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2827112"/>
        <c:crosses val="autoZero"/>
        <c:auto val="1"/>
        <c:lblAlgn val="ctr"/>
        <c:lblOffset val="100"/>
        <c:noMultiLvlLbl val="0"/>
      </c:catAx>
      <c:valAx>
        <c:axId val="5428271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4282875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Current Ratio</a:t>
            </a:r>
          </a:p>
          <a:p>
            <a:pPr>
              <a:defRPr sz="1100" b="1"/>
            </a:pPr>
            <a:r>
              <a:rPr lang="en-US" sz="1100" b="1"/>
              <a:t>Jaguar</a:t>
            </a:r>
            <a:r>
              <a:rPr lang="en-US" sz="1100" b="1" baseline="0"/>
              <a:t> Land Rover 2014-2018</a:t>
            </a:r>
          </a:p>
          <a:p>
            <a:pPr>
              <a:defRPr sz="1100" b="1"/>
            </a:pPr>
            <a:endParaRPr lang="en-US" sz="1100" b="1"/>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'Liquidity Ratios'!$B$20</c:f>
              <c:strCache>
                <c:ptCount val="1"/>
                <c:pt idx="0">
                  <c:v>Current Ratio</c:v>
                </c:pt>
              </c:strCache>
            </c:strRef>
          </c:tx>
          <c:spPr>
            <a:gradFill flip="none" rotWithShape="1">
              <a:gsLst>
                <a:gs pos="0">
                  <a:srgbClr val="92D050">
                    <a:tint val="66000"/>
                    <a:satMod val="160000"/>
                  </a:srgbClr>
                </a:gs>
                <a:gs pos="50000">
                  <a:srgbClr val="92D050">
                    <a:tint val="44500"/>
                    <a:satMod val="160000"/>
                  </a:srgbClr>
                </a:gs>
                <a:gs pos="100000">
                  <a:srgbClr val="92D050">
                    <a:tint val="23500"/>
                    <a:satMod val="160000"/>
                  </a:srgbClr>
                </a:gs>
              </a:gsLst>
              <a:lin ang="18900000" scaled="1"/>
              <a:tileRect/>
            </a:gradFill>
            <a:ln>
              <a:solidFill>
                <a:schemeClr val="accent6">
                  <a:lumMod val="50000"/>
                </a:schemeClr>
              </a:solidFill>
            </a:ln>
            <a:effectLst/>
          </c:spPr>
          <c:invertIfNegative val="0"/>
          <c:dLbls>
            <c:dLbl>
              <c:idx val="4"/>
              <c:layout>
                <c:manualLayout>
                  <c:x val="3.4965034965035134E-2"/>
                  <c:y val="1.85185185185185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AAE-465D-B553-157D4C5320F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Ratios'!$C$20:$G$20</c:f>
              <c:numCache>
                <c:formatCode>0.00</c:formatCode>
                <c:ptCount val="5"/>
                <c:pt idx="0">
                  <c:v>1.1786762308444734</c:v>
                </c:pt>
                <c:pt idx="1">
                  <c:v>1.1277993831299451</c:v>
                </c:pt>
                <c:pt idx="2">
                  <c:v>1.1393015873015873</c:v>
                </c:pt>
                <c:pt idx="3">
                  <c:v>1.084916864608076</c:v>
                </c:pt>
                <c:pt idx="4">
                  <c:v>1.0228937728937728</c:v>
                </c:pt>
              </c:numCache>
            </c:numRef>
          </c:val>
          <c:extLst>
            <c:ext xmlns:c16="http://schemas.microsoft.com/office/drawing/2014/chart" uri="{C3380CC4-5D6E-409C-BE32-E72D297353CC}">
              <c16:uniqueId val="{00000001-AAAE-465D-B553-157D4C5320FD}"/>
            </c:ext>
          </c:extLst>
        </c:ser>
        <c:dLbls>
          <c:showLegendKey val="0"/>
          <c:showVal val="0"/>
          <c:showCatName val="0"/>
          <c:showSerName val="0"/>
          <c:showPercent val="0"/>
          <c:showBubbleSize val="0"/>
        </c:dLbls>
        <c:gapWidth val="219"/>
        <c:axId val="536999928"/>
        <c:axId val="537007472"/>
      </c:barChart>
      <c:lineChart>
        <c:grouping val="standard"/>
        <c:varyColors val="0"/>
        <c:ser>
          <c:idx val="0"/>
          <c:order val="0"/>
          <c:tx>
            <c:strRef>
              <c:f>'Liquidity Ratios'!$B$19</c:f>
              <c:strCache>
                <c:ptCount val="1"/>
                <c:pt idx="0">
                  <c:v>Auto Industry Value</c:v>
                </c:pt>
              </c:strCache>
            </c:strRef>
          </c:tx>
          <c:spPr>
            <a:ln w="22225" cap="rnd" cmpd="dbl">
              <a:solidFill>
                <a:srgbClr val="FF0000"/>
              </a:solidFill>
              <a:prstDash val="sysDot"/>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2-AAAE-465D-B553-157D4C5320FD}"/>
                </c:ext>
              </c:extLst>
            </c:dLbl>
            <c:dLbl>
              <c:idx val="1"/>
              <c:delete val="1"/>
              <c:extLst>
                <c:ext xmlns:c15="http://schemas.microsoft.com/office/drawing/2012/chart" uri="{CE6537A1-D6FC-4f65-9D91-7224C49458BB}"/>
                <c:ext xmlns:c16="http://schemas.microsoft.com/office/drawing/2014/chart" uri="{C3380CC4-5D6E-409C-BE32-E72D297353CC}">
                  <c16:uniqueId val="{00000003-AAAE-465D-B553-157D4C5320FD}"/>
                </c:ext>
              </c:extLst>
            </c:dLbl>
            <c:dLbl>
              <c:idx val="2"/>
              <c:layout>
                <c:manualLayout>
                  <c:x val="6.5268065268065265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AAE-465D-B553-157D4C5320FD}"/>
                </c:ext>
              </c:extLst>
            </c:dLbl>
            <c:dLbl>
              <c:idx val="3"/>
              <c:delete val="1"/>
              <c:extLst>
                <c:ext xmlns:c15="http://schemas.microsoft.com/office/drawing/2012/chart" uri="{CE6537A1-D6FC-4f65-9D91-7224C49458BB}"/>
                <c:ext xmlns:c16="http://schemas.microsoft.com/office/drawing/2014/chart" uri="{C3380CC4-5D6E-409C-BE32-E72D297353CC}">
                  <c16:uniqueId val="{00000005-AAAE-465D-B553-157D4C5320FD}"/>
                </c:ext>
              </c:extLst>
            </c:dLbl>
            <c:dLbl>
              <c:idx val="4"/>
              <c:delete val="1"/>
              <c:extLst>
                <c:ext xmlns:c15="http://schemas.microsoft.com/office/drawing/2012/chart" uri="{CE6537A1-D6FC-4f65-9D91-7224C49458BB}"/>
                <c:ext xmlns:c16="http://schemas.microsoft.com/office/drawing/2014/chart" uri="{C3380CC4-5D6E-409C-BE32-E72D297353CC}">
                  <c16:uniqueId val="{00000006-AAAE-465D-B553-157D4C5320F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Ratios'!$C$19:$G$19</c:f>
              <c:numCache>
                <c:formatCode>0.00</c:formatCode>
                <c:ptCount val="5"/>
                <c:pt idx="0">
                  <c:v>1.05</c:v>
                </c:pt>
                <c:pt idx="1">
                  <c:v>1.05</c:v>
                </c:pt>
                <c:pt idx="2">
                  <c:v>1.05</c:v>
                </c:pt>
                <c:pt idx="3">
                  <c:v>1.05</c:v>
                </c:pt>
                <c:pt idx="4">
                  <c:v>1.05</c:v>
                </c:pt>
              </c:numCache>
            </c:numRef>
          </c:val>
          <c:smooth val="0"/>
          <c:extLst>
            <c:ext xmlns:c16="http://schemas.microsoft.com/office/drawing/2014/chart" uri="{C3380CC4-5D6E-409C-BE32-E72D297353CC}">
              <c16:uniqueId val="{00000007-AAAE-465D-B553-157D4C5320FD}"/>
            </c:ext>
          </c:extLst>
        </c:ser>
        <c:dLbls>
          <c:showLegendKey val="0"/>
          <c:showVal val="0"/>
          <c:showCatName val="0"/>
          <c:showSerName val="0"/>
          <c:showPercent val="0"/>
          <c:showBubbleSize val="0"/>
        </c:dLbls>
        <c:marker val="1"/>
        <c:smooth val="0"/>
        <c:axId val="536999928"/>
        <c:axId val="537007472"/>
      </c:lineChart>
      <c:catAx>
        <c:axId val="536999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007472"/>
        <c:crosses val="autoZero"/>
        <c:auto val="1"/>
        <c:lblAlgn val="ctr"/>
        <c:lblOffset val="100"/>
        <c:noMultiLvlLbl val="0"/>
      </c:catAx>
      <c:valAx>
        <c:axId val="537007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999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r>
              <a:rPr lang="en-US" sz="1100" b="1"/>
              <a:t>Quick  Ratio</a:t>
            </a:r>
          </a:p>
          <a:p>
            <a:pPr>
              <a:defRPr sz="1100" b="1"/>
            </a:pPr>
            <a:r>
              <a:rPr lang="en-US" sz="1100" b="1"/>
              <a:t>Jaguar Land Rover 2014-2018</a:t>
            </a:r>
          </a:p>
        </c:rich>
      </c:tx>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'Liquidity Ratios'!$B$22</c:f>
              <c:strCache>
                <c:ptCount val="1"/>
                <c:pt idx="0">
                  <c:v>Quick Ratio</c:v>
                </c:pt>
              </c:strCache>
            </c:strRef>
          </c:tx>
          <c:spPr>
            <a:gradFill flip="none" rotWithShape="1">
              <a:gsLst>
                <a:gs pos="0">
                  <a:schemeClr val="accent4">
                    <a:lumMod val="67000"/>
                  </a:schemeClr>
                </a:gs>
                <a:gs pos="48000">
                  <a:schemeClr val="accent4">
                    <a:lumMod val="97000"/>
                    <a:lumOff val="3000"/>
                  </a:schemeClr>
                </a:gs>
                <a:gs pos="69000">
                  <a:schemeClr val="accent4">
                    <a:lumMod val="60000"/>
                    <a:lumOff val="40000"/>
                  </a:schemeClr>
                </a:gs>
              </a:gsLst>
              <a:lin ang="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Ratios'!$C$22:$G$22</c:f>
              <c:numCache>
                <c:formatCode>0.00</c:formatCode>
                <c:ptCount val="5"/>
                <c:pt idx="0">
                  <c:v>0.82425823280078248</c:v>
                </c:pt>
                <c:pt idx="1">
                  <c:v>0.8038085020785839</c:v>
                </c:pt>
                <c:pt idx="2">
                  <c:v>0.79834920634920636</c:v>
                </c:pt>
                <c:pt idx="3">
                  <c:v>0.74208234362628667</c:v>
                </c:pt>
                <c:pt idx="4">
                  <c:v>0.67793040293040296</c:v>
                </c:pt>
              </c:numCache>
            </c:numRef>
          </c:val>
          <c:extLst>
            <c:ext xmlns:c16="http://schemas.microsoft.com/office/drawing/2014/chart" uri="{C3380CC4-5D6E-409C-BE32-E72D297353CC}">
              <c16:uniqueId val="{00000000-91BC-46C7-A5EF-A64F69070EE6}"/>
            </c:ext>
          </c:extLst>
        </c:ser>
        <c:dLbls>
          <c:showLegendKey val="0"/>
          <c:showVal val="0"/>
          <c:showCatName val="0"/>
          <c:showSerName val="0"/>
          <c:showPercent val="0"/>
          <c:showBubbleSize val="0"/>
        </c:dLbls>
        <c:gapWidth val="219"/>
        <c:axId val="536997960"/>
        <c:axId val="537009440"/>
      </c:barChart>
      <c:lineChart>
        <c:grouping val="standard"/>
        <c:varyColors val="0"/>
        <c:ser>
          <c:idx val="0"/>
          <c:order val="0"/>
          <c:tx>
            <c:strRef>
              <c:f>'Liquidity Ratios'!$B$21</c:f>
              <c:strCache>
                <c:ptCount val="1"/>
                <c:pt idx="0">
                  <c:v>Auto Industry Value</c:v>
                </c:pt>
              </c:strCache>
            </c:strRef>
          </c:tx>
          <c:spPr>
            <a:ln w="22225" cap="rnd" cmpd="dbl">
              <a:solidFill>
                <a:srgbClr val="FF0000"/>
              </a:solidFill>
              <a:prstDash val="sysDot"/>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1-91BC-46C7-A5EF-A64F69070EE6}"/>
                </c:ext>
              </c:extLst>
            </c:dLbl>
            <c:dLbl>
              <c:idx val="1"/>
              <c:delete val="1"/>
              <c:extLst>
                <c:ext xmlns:c15="http://schemas.microsoft.com/office/drawing/2012/chart" uri="{CE6537A1-D6FC-4f65-9D91-7224C49458BB}"/>
                <c:ext xmlns:c16="http://schemas.microsoft.com/office/drawing/2014/chart" uri="{C3380CC4-5D6E-409C-BE32-E72D297353CC}">
                  <c16:uniqueId val="{00000002-91BC-46C7-A5EF-A64F69070EE6}"/>
                </c:ext>
              </c:extLst>
            </c:dLbl>
            <c:dLbl>
              <c:idx val="2"/>
              <c:layout>
                <c:manualLayout>
                  <c:x val="2.8985507246376812E-2"/>
                  <c:y val="-6.9444444444444448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1BC-46C7-A5EF-A64F69070EE6}"/>
                </c:ext>
              </c:extLst>
            </c:dLbl>
            <c:dLbl>
              <c:idx val="3"/>
              <c:delete val="1"/>
              <c:extLst>
                <c:ext xmlns:c15="http://schemas.microsoft.com/office/drawing/2012/chart" uri="{CE6537A1-D6FC-4f65-9D91-7224C49458BB}"/>
                <c:ext xmlns:c16="http://schemas.microsoft.com/office/drawing/2014/chart" uri="{C3380CC4-5D6E-409C-BE32-E72D297353CC}">
                  <c16:uniqueId val="{00000004-91BC-46C7-A5EF-A64F69070EE6}"/>
                </c:ext>
              </c:extLst>
            </c:dLbl>
            <c:dLbl>
              <c:idx val="4"/>
              <c:delete val="1"/>
              <c:extLst>
                <c:ext xmlns:c15="http://schemas.microsoft.com/office/drawing/2012/chart" uri="{CE6537A1-D6FC-4f65-9D91-7224C49458BB}"/>
                <c:ext xmlns:c16="http://schemas.microsoft.com/office/drawing/2014/chart" uri="{C3380CC4-5D6E-409C-BE32-E72D297353CC}">
                  <c16:uniqueId val="{00000005-91BC-46C7-A5EF-A64F69070EE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Ratios'!$C$21:$G$21</c:f>
              <c:numCache>
                <c:formatCode>0.00</c:formatCode>
                <c:ptCount val="5"/>
                <c:pt idx="0">
                  <c:v>0.34</c:v>
                </c:pt>
                <c:pt idx="1">
                  <c:v>0.34</c:v>
                </c:pt>
                <c:pt idx="2">
                  <c:v>0.34</c:v>
                </c:pt>
                <c:pt idx="3">
                  <c:v>0.34</c:v>
                </c:pt>
                <c:pt idx="4">
                  <c:v>0.34</c:v>
                </c:pt>
              </c:numCache>
            </c:numRef>
          </c:val>
          <c:smooth val="0"/>
          <c:extLst>
            <c:ext xmlns:c16="http://schemas.microsoft.com/office/drawing/2014/chart" uri="{C3380CC4-5D6E-409C-BE32-E72D297353CC}">
              <c16:uniqueId val="{00000006-91BC-46C7-A5EF-A64F69070EE6}"/>
            </c:ext>
          </c:extLst>
        </c:ser>
        <c:dLbls>
          <c:showLegendKey val="0"/>
          <c:showVal val="0"/>
          <c:showCatName val="0"/>
          <c:showSerName val="0"/>
          <c:showPercent val="0"/>
          <c:showBubbleSize val="0"/>
        </c:dLbls>
        <c:marker val="1"/>
        <c:smooth val="0"/>
        <c:axId val="536997960"/>
        <c:axId val="537009440"/>
      </c:lineChart>
      <c:catAx>
        <c:axId val="536997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009440"/>
        <c:crosses val="autoZero"/>
        <c:auto val="1"/>
        <c:lblAlgn val="ctr"/>
        <c:lblOffset val="100"/>
        <c:noMultiLvlLbl val="0"/>
      </c:catAx>
      <c:valAx>
        <c:axId val="537009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6997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Cash </a:t>
            </a:r>
          </a:p>
          <a:p>
            <a:pPr>
              <a:defRPr/>
            </a:pPr>
            <a:r>
              <a:rPr lang="en-US" sz="1100" b="1"/>
              <a:t>Jaguar</a:t>
            </a:r>
            <a:r>
              <a:rPr lang="en-US" sz="1100" b="1" baseline="0"/>
              <a:t> Land Rover 2014-2018</a:t>
            </a:r>
            <a:endParaRPr lang="en-US" sz="11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'Liquidity Ratios'!$B$24</c:f>
              <c:strCache>
                <c:ptCount val="1"/>
                <c:pt idx="0">
                  <c:v>Cash </c:v>
                </c:pt>
              </c:strCache>
            </c:strRef>
          </c:tx>
          <c:spPr>
            <a:gradFill flip="none" rotWithShape="1">
              <a:gsLst>
                <a:gs pos="0">
                  <a:schemeClr val="accent5">
                    <a:lumMod val="0"/>
                    <a:lumOff val="100000"/>
                  </a:schemeClr>
                </a:gs>
                <a:gs pos="35000">
                  <a:schemeClr val="accent5">
                    <a:lumMod val="0"/>
                    <a:lumOff val="100000"/>
                  </a:schemeClr>
                </a:gs>
                <a:gs pos="100000">
                  <a:schemeClr val="accent5">
                    <a:lumMod val="100000"/>
                  </a:schemeClr>
                </a:gs>
              </a:gsLst>
              <a:path path="rect">
                <a:fillToRect l="100000" t="100000"/>
              </a:path>
              <a:tileRect r="-100000" b="-100000"/>
            </a:gradFill>
            <a:ln>
              <a:gradFill flip="none" rotWithShape="1">
                <a:gsLst>
                  <a:gs pos="2800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path path="circle">
                  <a:fillToRect l="50000" t="50000" r="50000" b="50000"/>
                </a:path>
                <a:tileRect/>
              </a:gra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Ratios'!$C$24:$G$24</c:f>
              <c:numCache>
                <c:formatCode>0.00</c:formatCode>
                <c:ptCount val="5"/>
                <c:pt idx="0">
                  <c:v>0.36843821323769155</c:v>
                </c:pt>
                <c:pt idx="1">
                  <c:v>0.43019981225693976</c:v>
                </c:pt>
                <c:pt idx="2">
                  <c:v>0.43161904761904762</c:v>
                </c:pt>
                <c:pt idx="3">
                  <c:v>0.2848376880443389</c:v>
                </c:pt>
                <c:pt idx="4">
                  <c:v>0.24047619047619048</c:v>
                </c:pt>
              </c:numCache>
            </c:numRef>
          </c:val>
          <c:extLst>
            <c:ext xmlns:c16="http://schemas.microsoft.com/office/drawing/2014/chart" uri="{C3380CC4-5D6E-409C-BE32-E72D297353CC}">
              <c16:uniqueId val="{00000000-DDDE-42E7-8F69-6C1897B64C0E}"/>
            </c:ext>
          </c:extLst>
        </c:ser>
        <c:dLbls>
          <c:showLegendKey val="0"/>
          <c:showVal val="0"/>
          <c:showCatName val="0"/>
          <c:showSerName val="0"/>
          <c:showPercent val="0"/>
          <c:showBubbleSize val="0"/>
        </c:dLbls>
        <c:gapWidth val="219"/>
        <c:axId val="523875168"/>
        <c:axId val="523879760"/>
      </c:barChart>
      <c:lineChart>
        <c:grouping val="standard"/>
        <c:varyColors val="0"/>
        <c:ser>
          <c:idx val="0"/>
          <c:order val="0"/>
          <c:tx>
            <c:strRef>
              <c:f>'Liquidity Ratios'!$B$23</c:f>
              <c:strCache>
                <c:ptCount val="1"/>
                <c:pt idx="0">
                  <c:v>Auto Industry Value</c:v>
                </c:pt>
              </c:strCache>
            </c:strRef>
          </c:tx>
          <c:spPr>
            <a:ln w="22225" cap="rnd" cmpd="dbl">
              <a:solidFill>
                <a:srgbClr val="FF0000"/>
              </a:solidFill>
              <a:prstDash val="sysDot"/>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1-DDDE-42E7-8F69-6C1897B64C0E}"/>
                </c:ext>
              </c:extLst>
            </c:dLbl>
            <c:dLbl>
              <c:idx val="1"/>
              <c:delete val="1"/>
              <c:extLst>
                <c:ext xmlns:c15="http://schemas.microsoft.com/office/drawing/2012/chart" uri="{CE6537A1-D6FC-4f65-9D91-7224C49458BB}"/>
                <c:ext xmlns:c16="http://schemas.microsoft.com/office/drawing/2014/chart" uri="{C3380CC4-5D6E-409C-BE32-E72D297353CC}">
                  <c16:uniqueId val="{00000002-DDDE-42E7-8F69-6C1897B64C0E}"/>
                </c:ext>
              </c:extLst>
            </c:dLbl>
            <c:dLbl>
              <c:idx val="2"/>
              <c:layout>
                <c:manualLayout>
                  <c:x val="2.5000000000000001E-2"/>
                  <c:y val="-5.0228310502283102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DDE-42E7-8F69-6C1897B64C0E}"/>
                </c:ext>
              </c:extLst>
            </c:dLbl>
            <c:dLbl>
              <c:idx val="3"/>
              <c:delete val="1"/>
              <c:extLst>
                <c:ext xmlns:c15="http://schemas.microsoft.com/office/drawing/2012/chart" uri="{CE6537A1-D6FC-4f65-9D91-7224C49458BB}"/>
                <c:ext xmlns:c16="http://schemas.microsoft.com/office/drawing/2014/chart" uri="{C3380CC4-5D6E-409C-BE32-E72D297353CC}">
                  <c16:uniqueId val="{00000004-DDDE-42E7-8F69-6C1897B64C0E}"/>
                </c:ext>
              </c:extLst>
            </c:dLbl>
            <c:dLbl>
              <c:idx val="4"/>
              <c:delete val="1"/>
              <c:extLst>
                <c:ext xmlns:c15="http://schemas.microsoft.com/office/drawing/2012/chart" uri="{CE6537A1-D6FC-4f65-9D91-7224C49458BB}"/>
                <c:ext xmlns:c16="http://schemas.microsoft.com/office/drawing/2014/chart" uri="{C3380CC4-5D6E-409C-BE32-E72D297353CC}">
                  <c16:uniqueId val="{00000005-DDDE-42E7-8F69-6C1897B64C0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'Liquidity Ratios'!$C$18:$G$18</c:f>
              <c:numCache>
                <c:formatCode>General</c:formatCode>
                <c:ptCount val="5"/>
                <c:pt idx="0">
                  <c:v>2014</c:v>
                </c:pt>
                <c:pt idx="1">
                  <c:v>2015</c:v>
                </c:pt>
                <c:pt idx="2">
                  <c:v>2016</c:v>
                </c:pt>
                <c:pt idx="3">
                  <c:v>2017</c:v>
                </c:pt>
                <c:pt idx="4">
                  <c:v>2018</c:v>
                </c:pt>
              </c:numCache>
            </c:numRef>
          </c:cat>
          <c:val>
            <c:numRef>
              <c:f>'Liquidity Ratios'!$C$23:$G$23</c:f>
              <c:numCache>
                <c:formatCode>0.00</c:formatCode>
                <c:ptCount val="5"/>
                <c:pt idx="0">
                  <c:v>1.03</c:v>
                </c:pt>
                <c:pt idx="1">
                  <c:v>1.03</c:v>
                </c:pt>
                <c:pt idx="2">
                  <c:v>1.03</c:v>
                </c:pt>
                <c:pt idx="3">
                  <c:v>1.03</c:v>
                </c:pt>
                <c:pt idx="4">
                  <c:v>1.03</c:v>
                </c:pt>
              </c:numCache>
            </c:numRef>
          </c:val>
          <c:smooth val="0"/>
          <c:extLst>
            <c:ext xmlns:c16="http://schemas.microsoft.com/office/drawing/2014/chart" uri="{C3380CC4-5D6E-409C-BE32-E72D297353CC}">
              <c16:uniqueId val="{00000006-DDDE-42E7-8F69-6C1897B64C0E}"/>
            </c:ext>
          </c:extLst>
        </c:ser>
        <c:dLbls>
          <c:showLegendKey val="0"/>
          <c:showVal val="0"/>
          <c:showCatName val="0"/>
          <c:showSerName val="0"/>
          <c:showPercent val="0"/>
          <c:showBubbleSize val="0"/>
        </c:dLbls>
        <c:marker val="1"/>
        <c:smooth val="0"/>
        <c:axId val="523875168"/>
        <c:axId val="523879760"/>
      </c:lineChart>
      <c:catAx>
        <c:axId val="523875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79760"/>
        <c:crosses val="autoZero"/>
        <c:auto val="1"/>
        <c:lblAlgn val="ctr"/>
        <c:lblOffset val="100"/>
        <c:noMultiLvlLbl val="0"/>
      </c:catAx>
      <c:valAx>
        <c:axId val="5238797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75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100"/>
              <a:t>Liquidity</a:t>
            </a:r>
            <a:r>
              <a:rPr lang="en-US" sz="1100" baseline="0"/>
              <a:t> Ratios</a:t>
            </a:r>
            <a:endParaRPr lang="en-US" sz="1100"/>
          </a:p>
          <a:p>
            <a:pPr>
              <a:defRPr/>
            </a:pPr>
            <a:r>
              <a:rPr lang="en-US" sz="1100"/>
              <a:t>Jaguar Land Rover vs. Mercedes Benz</a:t>
            </a:r>
          </a:p>
          <a:p>
            <a:pPr>
              <a:defRPr/>
            </a:pPr>
            <a:r>
              <a:rPr lang="en-US" sz="1100"/>
              <a:t> 2018</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'Liquidity Ratios'!$Q$18</c:f>
              <c:strCache>
                <c:ptCount val="1"/>
                <c:pt idx="0">
                  <c:v>Jaguar Land Rover</c:v>
                </c:pt>
              </c:strCache>
            </c:strRef>
          </c:tx>
          <c:spPr>
            <a:gradFill flip="none" rotWithShape="1">
              <a:gsLst>
                <a:gs pos="0">
                  <a:srgbClr val="4472C4">
                    <a:lumMod val="0"/>
                    <a:lumOff val="100000"/>
                  </a:srgbClr>
                </a:gs>
                <a:gs pos="6000">
                  <a:srgbClr val="4472C4">
                    <a:lumMod val="0"/>
                    <a:lumOff val="100000"/>
                  </a:srgbClr>
                </a:gs>
                <a:gs pos="100000">
                  <a:srgbClr val="4472C4">
                    <a:lumMod val="100000"/>
                  </a:srgbClr>
                </a:gs>
              </a:gsLst>
              <a:lin ang="10800000" scaled="1"/>
              <a:tileRect/>
            </a:gra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'Liquidity Ratios'!$P$19:$P$21</c:f>
              <c:strCache>
                <c:ptCount val="3"/>
                <c:pt idx="0">
                  <c:v>Current Ratio</c:v>
                </c:pt>
                <c:pt idx="1">
                  <c:v>Quick Ratio</c:v>
                </c:pt>
                <c:pt idx="2">
                  <c:v>Cash</c:v>
                </c:pt>
              </c:strCache>
            </c:strRef>
          </c:cat>
          <c:val>
            <c:numRef>
              <c:f>'Liquidity Ratios'!$Q$19:$Q$21</c:f>
              <c:numCache>
                <c:formatCode>0.00</c:formatCode>
                <c:ptCount val="3"/>
                <c:pt idx="0">
                  <c:v>1.0228937728937728</c:v>
                </c:pt>
                <c:pt idx="1">
                  <c:v>0.67793040293040296</c:v>
                </c:pt>
                <c:pt idx="2">
                  <c:v>0.24047619047619048</c:v>
                </c:pt>
              </c:numCache>
            </c:numRef>
          </c:val>
          <c:extLst>
            <c:ext xmlns:c16="http://schemas.microsoft.com/office/drawing/2014/chart" uri="{C3380CC4-5D6E-409C-BE32-E72D297353CC}">
              <c16:uniqueId val="{00000000-3EEF-4D94-99FF-2E59F333EB3D}"/>
            </c:ext>
          </c:extLst>
        </c:ser>
        <c:ser>
          <c:idx val="1"/>
          <c:order val="1"/>
          <c:tx>
            <c:strRef>
              <c:f>'Liquidity Ratios'!$R$18</c:f>
              <c:strCache>
                <c:ptCount val="1"/>
                <c:pt idx="0">
                  <c:v>Mercedes Benz</c:v>
                </c:pt>
              </c:strCache>
            </c:strRef>
          </c:tx>
          <c:spPr>
            <a:gradFill flip="none" rotWithShape="1">
              <a:gsLst>
                <a:gs pos="0">
                  <a:srgbClr val="ED7D31">
                    <a:lumMod val="5000"/>
                    <a:lumOff val="95000"/>
                  </a:srgbClr>
                </a:gs>
                <a:gs pos="74000">
                  <a:srgbClr val="ED7D31">
                    <a:lumMod val="45000"/>
                    <a:lumOff val="55000"/>
                  </a:srgbClr>
                </a:gs>
                <a:gs pos="83000">
                  <a:srgbClr val="ED7D31">
                    <a:lumMod val="45000"/>
                    <a:lumOff val="55000"/>
                  </a:srgbClr>
                </a:gs>
                <a:gs pos="100000">
                  <a:srgbClr val="ED7D31">
                    <a:lumMod val="30000"/>
                    <a:lumOff val="70000"/>
                  </a:srgbClr>
                </a:gs>
              </a:gsLst>
              <a:lin ang="0" scaled="1"/>
              <a:tileRect/>
            </a:gradFill>
            <a:ln w="9525" cap="flat" cmpd="sng" algn="ctr">
              <a:solidFill>
                <a:schemeClr val="lt1">
                  <a:alpha val="50000"/>
                </a:schemeClr>
              </a:solidFill>
              <a:round/>
            </a:ln>
            <a:effectLst/>
          </c:spPr>
          <c:invertIfNegative val="0"/>
          <c:dLbls>
            <c:dLbl>
              <c:idx val="0"/>
              <c:layout>
                <c:manualLayout>
                  <c:x val="-2.0232675771370764E-3"/>
                  <c:y val="1.3819626713327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EEF-4D94-99FF-2E59F333EB3D}"/>
                </c:ext>
              </c:extLst>
            </c:dLbl>
            <c:dLbl>
              <c:idx val="1"/>
              <c:layout>
                <c:manualLayout>
                  <c:x val="2.0232675771370764E-3"/>
                  <c:y val="-4.698891805191018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EEF-4D94-99FF-2E59F333EB3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6">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'Liquidity Ratios'!$P$19:$P$21</c:f>
              <c:strCache>
                <c:ptCount val="3"/>
                <c:pt idx="0">
                  <c:v>Current Ratio</c:v>
                </c:pt>
                <c:pt idx="1">
                  <c:v>Quick Ratio</c:v>
                </c:pt>
                <c:pt idx="2">
                  <c:v>Cash</c:v>
                </c:pt>
              </c:strCache>
            </c:strRef>
          </c:cat>
          <c:val>
            <c:numRef>
              <c:f>'Liquidity Ratios'!$R$19:$R$21</c:f>
              <c:numCache>
                <c:formatCode>0.00</c:formatCode>
                <c:ptCount val="3"/>
                <c:pt idx="0">
                  <c:v>1.2414303505440885</c:v>
                </c:pt>
                <c:pt idx="1">
                  <c:v>0.94040546334292885</c:v>
                </c:pt>
                <c:pt idx="2">
                  <c:v>0.16182805577672976</c:v>
                </c:pt>
              </c:numCache>
            </c:numRef>
          </c:val>
          <c:extLst>
            <c:ext xmlns:c16="http://schemas.microsoft.com/office/drawing/2014/chart" uri="{C3380CC4-5D6E-409C-BE32-E72D297353CC}">
              <c16:uniqueId val="{00000003-3EEF-4D94-99FF-2E59F333EB3D}"/>
            </c:ext>
          </c:extLst>
        </c:ser>
        <c:dLbls>
          <c:dLblPos val="inEnd"/>
          <c:showLegendKey val="0"/>
          <c:showVal val="1"/>
          <c:showCatName val="0"/>
          <c:showSerName val="0"/>
          <c:showPercent val="0"/>
          <c:showBubbleSize val="0"/>
        </c:dLbls>
        <c:gapWidth val="65"/>
        <c:axId val="508299328"/>
        <c:axId val="508299984"/>
      </c:barChart>
      <c:lineChart>
        <c:grouping val="standard"/>
        <c:varyColors val="0"/>
        <c:ser>
          <c:idx val="2"/>
          <c:order val="2"/>
          <c:tx>
            <c:strRef>
              <c:f>'Liquidity Ratios'!$S$18</c:f>
              <c:strCache>
                <c:ptCount val="1"/>
                <c:pt idx="0">
                  <c:v>Auto Industry Value</c:v>
                </c:pt>
              </c:strCache>
            </c:strRef>
          </c:tx>
          <c:spPr>
            <a:ln w="9525" cap="rnd" cmpd="dbl">
              <a:solidFill>
                <a:srgbClr val="FF0000"/>
              </a:solidFill>
              <a:prstDash val="sysDot"/>
              <a:round/>
            </a:ln>
            <a:effectLst/>
          </c:spPr>
          <c:marker>
            <c:symbol val="none"/>
          </c:marker>
          <c:dLbls>
            <c:dLbl>
              <c:idx val="0"/>
              <c:layout>
                <c:manualLayout>
                  <c:x val="-3.0349013657056147E-2"/>
                  <c:y val="-3.240740740740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EEF-4D94-99FF-2E59F333EB3D}"/>
                </c:ext>
              </c:extLst>
            </c:dLbl>
            <c:dLbl>
              <c:idx val="1"/>
              <c:layout>
                <c:manualLayout>
                  <c:x val="-3.0349013657056147E-2"/>
                  <c:y val="4.62962962962963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EEF-4D94-99FF-2E59F333EB3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'Liquidity Ratios'!$P$19:$P$21</c:f>
              <c:strCache>
                <c:ptCount val="3"/>
                <c:pt idx="0">
                  <c:v>Current Ratio</c:v>
                </c:pt>
                <c:pt idx="1">
                  <c:v>Quick Ratio</c:v>
                </c:pt>
                <c:pt idx="2">
                  <c:v>Cash</c:v>
                </c:pt>
              </c:strCache>
            </c:strRef>
          </c:cat>
          <c:val>
            <c:numRef>
              <c:f>'Liquidity Ratios'!$S$19:$S$21</c:f>
              <c:numCache>
                <c:formatCode>General</c:formatCode>
                <c:ptCount val="3"/>
                <c:pt idx="0">
                  <c:v>1.05</c:v>
                </c:pt>
                <c:pt idx="1">
                  <c:v>0.34</c:v>
                </c:pt>
                <c:pt idx="2">
                  <c:v>1.03</c:v>
                </c:pt>
              </c:numCache>
            </c:numRef>
          </c:val>
          <c:smooth val="0"/>
          <c:extLst>
            <c:ext xmlns:c16="http://schemas.microsoft.com/office/drawing/2014/chart" uri="{C3380CC4-5D6E-409C-BE32-E72D297353CC}">
              <c16:uniqueId val="{00000006-3EEF-4D94-99FF-2E59F333EB3D}"/>
            </c:ext>
          </c:extLst>
        </c:ser>
        <c:dLbls>
          <c:showLegendKey val="0"/>
          <c:showVal val="0"/>
          <c:showCatName val="0"/>
          <c:showSerName val="0"/>
          <c:showPercent val="0"/>
          <c:showBubbleSize val="0"/>
        </c:dLbls>
        <c:marker val="1"/>
        <c:smooth val="0"/>
        <c:axId val="508299328"/>
        <c:axId val="508299984"/>
      </c:lineChart>
      <c:catAx>
        <c:axId val="5082993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08299984"/>
        <c:crosses val="autoZero"/>
        <c:auto val="1"/>
        <c:lblAlgn val="ctr"/>
        <c:lblOffset val="100"/>
        <c:noMultiLvlLbl val="0"/>
      </c:catAx>
      <c:valAx>
        <c:axId val="508299984"/>
        <c:scaling>
          <c:orientation val="minMax"/>
        </c:scaling>
        <c:delete val="1"/>
        <c:axPos val="l"/>
        <c:majorGridlines>
          <c:spPr>
            <a:ln w="9525" cap="flat" cmpd="dbl"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0829932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accent3">
            <a:lumMod val="5000"/>
            <a:lumOff val="95000"/>
          </a:schemeClr>
        </a:gs>
        <a:gs pos="91000">
          <a:schemeClr val="accent3">
            <a:lumMod val="45000"/>
            <a:lumOff val="55000"/>
          </a:schemeClr>
        </a:gs>
        <a:gs pos="83000">
          <a:schemeClr val="accent3">
            <a:lumMod val="45000"/>
            <a:lumOff val="55000"/>
          </a:schemeClr>
        </a:gs>
        <a:gs pos="100000">
          <a:schemeClr val="accent3">
            <a:lumMod val="30000"/>
            <a:lumOff val="70000"/>
          </a:schemeClr>
        </a:gs>
      </a:gsLst>
      <a:lin ang="5400000" scaled="1"/>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tx2"/>
                </a:solidFill>
                <a:latin typeface="+mn-lt"/>
                <a:ea typeface="+mn-ea"/>
                <a:cs typeface="+mn-cs"/>
              </a:defRPr>
            </a:pPr>
            <a:r>
              <a:rPr lang="en-US" sz="1100"/>
              <a:t>Debt-Equity Ratio</a:t>
            </a:r>
          </a:p>
          <a:p>
            <a:pPr>
              <a:defRPr sz="1100"/>
            </a:pPr>
            <a:r>
              <a:rPr lang="en-US" sz="1100"/>
              <a:t>Jaguar Land Rover 2014-2018</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1"/>
          <c:order val="1"/>
          <c:tx>
            <c:strRef>
              <c:f>'Gearing Ratios'!$C$19</c:f>
              <c:strCache>
                <c:ptCount val="1"/>
                <c:pt idx="0">
                  <c:v>Debt-Equity Ratio</c:v>
                </c:pt>
              </c:strCache>
            </c:strRef>
          </c:tx>
          <c:spPr>
            <a:gradFill rotWithShape="1">
              <a:gsLst>
                <a:gs pos="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0" scaled="1"/>
            </a:gradFill>
            <a:ln>
              <a:noFill/>
            </a:ln>
            <a:effectLst/>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07F-41AB-8103-E7F9D139761C}"/>
                </c:ext>
              </c:extLst>
            </c:dLbl>
            <c:dLbl>
              <c:idx val="4"/>
              <c:layout>
                <c:manualLayout>
                  <c:x val="2.0512820512820513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07F-41AB-8103-E7F9D139761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'Gearing Ratios'!$D$17:$H$17</c:f>
              <c:numCache>
                <c:formatCode>General</c:formatCode>
                <c:ptCount val="5"/>
                <c:pt idx="0">
                  <c:v>2014</c:v>
                </c:pt>
                <c:pt idx="1">
                  <c:v>2015</c:v>
                </c:pt>
                <c:pt idx="2">
                  <c:v>2016</c:v>
                </c:pt>
                <c:pt idx="3">
                  <c:v>2017</c:v>
                </c:pt>
                <c:pt idx="4">
                  <c:v>2018</c:v>
                </c:pt>
              </c:numCache>
            </c:numRef>
          </c:cat>
          <c:val>
            <c:numRef>
              <c:f>'Gearing Ratios'!$D$19:$H$19</c:f>
              <c:numCache>
                <c:formatCode>0.00</c:formatCode>
                <c:ptCount val="5"/>
                <c:pt idx="0">
                  <c:v>0.3427694406548431</c:v>
                </c:pt>
                <c:pt idx="1">
                  <c:v>0.42003311258278148</c:v>
                </c:pt>
                <c:pt idx="2">
                  <c:v>0.32689781980562121</c:v>
                </c:pt>
                <c:pt idx="3">
                  <c:v>0.54307855948943928</c:v>
                </c:pt>
                <c:pt idx="4">
                  <c:v>0.37179487179487181</c:v>
                </c:pt>
              </c:numCache>
            </c:numRef>
          </c:val>
          <c:extLst>
            <c:ext xmlns:c16="http://schemas.microsoft.com/office/drawing/2014/chart" uri="{C3380CC4-5D6E-409C-BE32-E72D297353CC}">
              <c16:uniqueId val="{00000002-E07F-41AB-8103-E7F9D139761C}"/>
            </c:ext>
          </c:extLst>
        </c:ser>
        <c:dLbls>
          <c:showLegendKey val="0"/>
          <c:showVal val="0"/>
          <c:showCatName val="0"/>
          <c:showSerName val="0"/>
          <c:showPercent val="0"/>
          <c:showBubbleSize val="0"/>
        </c:dLbls>
        <c:gapWidth val="219"/>
        <c:axId val="549332328"/>
        <c:axId val="549331016"/>
      </c:barChart>
      <c:lineChart>
        <c:grouping val="stacked"/>
        <c:varyColors val="0"/>
        <c:ser>
          <c:idx val="0"/>
          <c:order val="0"/>
          <c:tx>
            <c:strRef>
              <c:f>'Gearing Ratios'!$C$18</c:f>
              <c:strCache>
                <c:ptCount val="1"/>
                <c:pt idx="0">
                  <c:v>Auto Industry value</c:v>
                </c:pt>
              </c:strCache>
            </c:strRef>
          </c:tx>
          <c:spPr>
            <a:ln w="22225" cap="rnd" cmpd="dbl">
              <a:solidFill>
                <a:srgbClr val="FF0000"/>
              </a:solidFill>
              <a:prstDash val="sysDot"/>
              <a:round/>
            </a:ln>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3-E07F-41AB-8103-E7F9D139761C}"/>
                </c:ext>
              </c:extLst>
            </c:dLbl>
            <c:dLbl>
              <c:idx val="1"/>
              <c:delete val="1"/>
              <c:extLst>
                <c:ext xmlns:c15="http://schemas.microsoft.com/office/drawing/2012/chart" uri="{CE6537A1-D6FC-4f65-9D91-7224C49458BB}"/>
                <c:ext xmlns:c16="http://schemas.microsoft.com/office/drawing/2014/chart" uri="{C3380CC4-5D6E-409C-BE32-E72D297353CC}">
                  <c16:uniqueId val="{00000004-E07F-41AB-8103-E7F9D139761C}"/>
                </c:ext>
              </c:extLst>
            </c:dLbl>
            <c:dLbl>
              <c:idx val="2"/>
              <c:layout>
                <c:manualLayout>
                  <c:x val="5.9259259259259178E-2"/>
                  <c:y val="-4.16666666666667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7F-41AB-8103-E7F9D139761C}"/>
                </c:ext>
              </c:extLst>
            </c:dLbl>
            <c:dLbl>
              <c:idx val="3"/>
              <c:delete val="1"/>
              <c:extLst>
                <c:ext xmlns:c15="http://schemas.microsoft.com/office/drawing/2012/chart" uri="{CE6537A1-D6FC-4f65-9D91-7224C49458BB}"/>
                <c:ext xmlns:c16="http://schemas.microsoft.com/office/drawing/2014/chart" uri="{C3380CC4-5D6E-409C-BE32-E72D297353CC}">
                  <c16:uniqueId val="{00000006-E07F-41AB-8103-E7F9D139761C}"/>
                </c:ext>
              </c:extLst>
            </c:dLbl>
            <c:dLbl>
              <c:idx val="4"/>
              <c:delete val="1"/>
              <c:extLst>
                <c:ext xmlns:c15="http://schemas.microsoft.com/office/drawing/2012/chart" uri="{CE6537A1-D6FC-4f65-9D91-7224C49458BB}"/>
                <c:ext xmlns:c16="http://schemas.microsoft.com/office/drawing/2014/chart" uri="{C3380CC4-5D6E-409C-BE32-E72D297353CC}">
                  <c16:uniqueId val="{00000007-E07F-41AB-8103-E7F9D139761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'Gearing Ratios'!$D$17:$H$17</c:f>
              <c:numCache>
                <c:formatCode>General</c:formatCode>
                <c:ptCount val="5"/>
                <c:pt idx="0">
                  <c:v>2014</c:v>
                </c:pt>
                <c:pt idx="1">
                  <c:v>2015</c:v>
                </c:pt>
                <c:pt idx="2">
                  <c:v>2016</c:v>
                </c:pt>
                <c:pt idx="3">
                  <c:v>2017</c:v>
                </c:pt>
                <c:pt idx="4">
                  <c:v>2018</c:v>
                </c:pt>
              </c:numCache>
            </c:numRef>
          </c:cat>
          <c:val>
            <c:numRef>
              <c:f>'Gearing Ratios'!$D$18:$H$18</c:f>
              <c:numCache>
                <c:formatCode>0.00</c:formatCode>
                <c:ptCount val="5"/>
                <c:pt idx="0">
                  <c:v>0.4</c:v>
                </c:pt>
                <c:pt idx="1">
                  <c:v>0.4</c:v>
                </c:pt>
                <c:pt idx="2">
                  <c:v>0.4</c:v>
                </c:pt>
                <c:pt idx="3">
                  <c:v>0.4</c:v>
                </c:pt>
                <c:pt idx="4">
                  <c:v>0.4</c:v>
                </c:pt>
              </c:numCache>
            </c:numRef>
          </c:val>
          <c:smooth val="0"/>
          <c:extLst>
            <c:ext xmlns:c16="http://schemas.microsoft.com/office/drawing/2014/chart" uri="{C3380CC4-5D6E-409C-BE32-E72D297353CC}">
              <c16:uniqueId val="{00000008-E07F-41AB-8103-E7F9D139761C}"/>
            </c:ext>
          </c:extLst>
        </c:ser>
        <c:dLbls>
          <c:showLegendKey val="0"/>
          <c:showVal val="0"/>
          <c:showCatName val="0"/>
          <c:showSerName val="0"/>
          <c:showPercent val="0"/>
          <c:showBubbleSize val="0"/>
        </c:dLbls>
        <c:marker val="1"/>
        <c:smooth val="0"/>
        <c:axId val="549332328"/>
        <c:axId val="549331016"/>
      </c:lineChart>
      <c:valAx>
        <c:axId val="549331016"/>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9332328"/>
        <c:crosses val="autoZero"/>
        <c:crossBetween val="between"/>
      </c:valAx>
      <c:catAx>
        <c:axId val="54933232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93310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Debt-To- Capital Ratio</a:t>
            </a:r>
          </a:p>
          <a:p>
            <a:pPr>
              <a:defRPr/>
            </a:pPr>
            <a:r>
              <a:rPr lang="en-US" sz="1100" b="1"/>
              <a:t>Jaguar Land Rover  2014-2018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'Gearing Ratios'!$C$21</c:f>
              <c:strCache>
                <c:ptCount val="1"/>
                <c:pt idx="0">
                  <c:v>Debt-To- Capital Ratio</c:v>
                </c:pt>
              </c:strCache>
            </c:strRef>
          </c:tx>
          <c:spPr>
            <a:gradFill flip="none" rotWithShape="1">
              <a:gsLst>
                <a:gs pos="0">
                  <a:schemeClr val="accent5">
                    <a:lumMod val="5000"/>
                    <a:lumOff val="95000"/>
                  </a:schemeClr>
                </a:gs>
                <a:gs pos="74000">
                  <a:schemeClr val="accent5">
                    <a:lumMod val="45000"/>
                    <a:lumOff val="55000"/>
                  </a:schemeClr>
                </a:gs>
                <a:gs pos="83000">
                  <a:schemeClr val="accent5">
                    <a:lumMod val="45000"/>
                    <a:lumOff val="55000"/>
                  </a:schemeClr>
                </a:gs>
                <a:gs pos="100000">
                  <a:schemeClr val="accent5">
                    <a:lumMod val="30000"/>
                    <a:lumOff val="70000"/>
                  </a:schemeClr>
                </a:gs>
              </a:gsLst>
              <a:lin ang="10800000" scaled="1"/>
              <a:tileRect/>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'Gearing Ratios'!$D$17:$H$17</c:f>
              <c:numCache>
                <c:formatCode>General</c:formatCode>
                <c:ptCount val="5"/>
                <c:pt idx="0">
                  <c:v>2014</c:v>
                </c:pt>
                <c:pt idx="1">
                  <c:v>2015</c:v>
                </c:pt>
                <c:pt idx="2">
                  <c:v>2016</c:v>
                </c:pt>
                <c:pt idx="3">
                  <c:v>2017</c:v>
                </c:pt>
                <c:pt idx="4">
                  <c:v>2018</c:v>
                </c:pt>
              </c:numCache>
            </c:numRef>
          </c:cat>
          <c:val>
            <c:numRef>
              <c:f>'Gearing Ratios'!$D$21:$H$21</c:f>
              <c:numCache>
                <c:formatCode>0.00</c:formatCode>
                <c:ptCount val="5"/>
                <c:pt idx="0">
                  <c:v>0.25527051054102107</c:v>
                </c:pt>
                <c:pt idx="1">
                  <c:v>0.29579106913839337</c:v>
                </c:pt>
                <c:pt idx="2">
                  <c:v>0.24636246659408095</c:v>
                </c:pt>
                <c:pt idx="3">
                  <c:v>0.35194485475135401</c:v>
                </c:pt>
                <c:pt idx="4">
                  <c:v>0.27102803738317754</c:v>
                </c:pt>
              </c:numCache>
            </c:numRef>
          </c:val>
          <c:extLst>
            <c:ext xmlns:c16="http://schemas.microsoft.com/office/drawing/2014/chart" uri="{C3380CC4-5D6E-409C-BE32-E72D297353CC}">
              <c16:uniqueId val="{00000000-4C41-4661-B649-52B7D7D85AF8}"/>
            </c:ext>
          </c:extLst>
        </c:ser>
        <c:dLbls>
          <c:showLegendKey val="0"/>
          <c:showVal val="0"/>
          <c:showCatName val="0"/>
          <c:showSerName val="0"/>
          <c:showPercent val="0"/>
          <c:showBubbleSize val="0"/>
        </c:dLbls>
        <c:gapWidth val="219"/>
        <c:overlap val="-27"/>
        <c:axId val="540550512"/>
        <c:axId val="540559368"/>
      </c:barChart>
      <c:catAx>
        <c:axId val="540550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559368"/>
        <c:crosses val="autoZero"/>
        <c:auto val="1"/>
        <c:lblAlgn val="ctr"/>
        <c:lblOffset val="100"/>
        <c:noMultiLvlLbl val="0"/>
      </c:catAx>
      <c:valAx>
        <c:axId val="5405593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055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r>
              <a:rPr lang="en-US" sz="1100"/>
              <a:t>Leverage Ratios</a:t>
            </a:r>
          </a:p>
          <a:p>
            <a:pPr>
              <a:defRPr sz="1100"/>
            </a:pPr>
            <a:r>
              <a:rPr lang="en-US" sz="1100"/>
              <a:t> Jaguar Land Rover vs. Mercedes Benz </a:t>
            </a:r>
          </a:p>
          <a:p>
            <a:pPr>
              <a:defRPr sz="1100"/>
            </a:pPr>
            <a:r>
              <a:rPr lang="en-US" sz="1100"/>
              <a:t>2018</a:t>
            </a:r>
          </a:p>
        </c:rich>
      </c:tx>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'Gearing Ratios'!$N$18</c:f>
              <c:strCache>
                <c:ptCount val="1"/>
                <c:pt idx="0">
                  <c:v>Jaguar Land Rover</c:v>
                </c:pt>
              </c:strCache>
            </c:strRef>
          </c:tx>
          <c:spPr>
            <a:gradFill flip="none" rotWithShape="1">
              <a:gsLst>
                <a:gs pos="0">
                  <a:schemeClr val="accent1">
                    <a:lumMod val="0"/>
                    <a:lumOff val="100000"/>
                  </a:schemeClr>
                </a:gs>
                <a:gs pos="24000">
                  <a:schemeClr val="accent1">
                    <a:lumMod val="20000"/>
                    <a:lumOff val="80000"/>
                  </a:schemeClr>
                </a:gs>
                <a:gs pos="69000">
                  <a:schemeClr val="accent1">
                    <a:lumMod val="100000"/>
                  </a:schemeClr>
                </a:gs>
              </a:gsLst>
              <a:lin ang="10800000" scaled="1"/>
              <a:tileRect/>
            </a:gradFill>
            <a:ln w="9525" cap="flat" cmpd="sng" algn="ctr">
              <a:solidFill>
                <a:schemeClr val="lt1">
                  <a:alpha val="50000"/>
                </a:schemeClr>
              </a:solidFill>
              <a:round/>
            </a:ln>
            <a:effectLst/>
          </c:spPr>
          <c:invertIfNegative val="0"/>
          <c:dLbls>
            <c:dLbl>
              <c:idx val="0"/>
              <c:layout>
                <c:manualLayout>
                  <c:x val="0"/>
                  <c:y val="4.762321376494520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437-46F3-8C87-394ECD4DA9CD}"/>
                </c:ext>
              </c:extLst>
            </c:dLbl>
            <c:dLbl>
              <c:idx val="1"/>
              <c:layout>
                <c:manualLayout>
                  <c:x val="-1.0185067526415994E-16"/>
                  <c:y val="8.663969087197433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37-46F3-8C87-394ECD4DA9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'Gearing Ratios'!$M$19:$M$20</c:f>
              <c:strCache>
                <c:ptCount val="2"/>
                <c:pt idx="0">
                  <c:v>Debt-Equity Ratios</c:v>
                </c:pt>
                <c:pt idx="1">
                  <c:v>Debt-To- Capital Ratio</c:v>
                </c:pt>
              </c:strCache>
            </c:strRef>
          </c:cat>
          <c:val>
            <c:numRef>
              <c:f>'Gearing Ratios'!$N$19:$N$20</c:f>
              <c:numCache>
                <c:formatCode>0.00</c:formatCode>
                <c:ptCount val="2"/>
                <c:pt idx="0">
                  <c:v>0.37179487179487181</c:v>
                </c:pt>
                <c:pt idx="1">
                  <c:v>0.27102803738317754</c:v>
                </c:pt>
              </c:numCache>
            </c:numRef>
          </c:val>
          <c:extLst>
            <c:ext xmlns:c16="http://schemas.microsoft.com/office/drawing/2014/chart" uri="{C3380CC4-5D6E-409C-BE32-E72D297353CC}">
              <c16:uniqueId val="{00000002-7437-46F3-8C87-394ECD4DA9CD}"/>
            </c:ext>
          </c:extLst>
        </c:ser>
        <c:ser>
          <c:idx val="1"/>
          <c:order val="1"/>
          <c:tx>
            <c:strRef>
              <c:f>'Gearing Ratios'!$O$18</c:f>
              <c:strCache>
                <c:ptCount val="1"/>
                <c:pt idx="0">
                  <c:v>Mercedez Benz</c:v>
                </c:pt>
              </c:strCache>
            </c:strRef>
          </c:tx>
          <c:spPr>
            <a:gradFill flip="none" rotWithShape="1">
              <a:gsLst>
                <a:gs pos="21000">
                  <a:schemeClr val="accent2">
                    <a:lumMod val="5000"/>
                    <a:lumOff val="95000"/>
                  </a:schemeClr>
                </a:gs>
                <a:gs pos="74000">
                  <a:schemeClr val="accent2">
                    <a:lumMod val="45000"/>
                    <a:lumOff val="55000"/>
                  </a:schemeClr>
                </a:gs>
                <a:gs pos="83000">
                  <a:schemeClr val="accent2">
                    <a:lumMod val="45000"/>
                    <a:lumOff val="55000"/>
                  </a:schemeClr>
                </a:gs>
                <a:gs pos="100000">
                  <a:schemeClr val="accent2">
                    <a:lumMod val="30000"/>
                    <a:lumOff val="70000"/>
                  </a:schemeClr>
                </a:gs>
              </a:gsLst>
              <a:lin ang="0" scaled="1"/>
              <a:tileRect/>
            </a:gradFill>
            <a:ln w="9525" cap="flat" cmpd="sng" algn="ctr">
              <a:solidFill>
                <a:schemeClr val="lt1">
                  <a:alpha val="50000"/>
                </a:schemeClr>
              </a:solidFill>
              <a:round/>
            </a:ln>
            <a:effectLst/>
          </c:spPr>
          <c:invertIfNegative val="0"/>
          <c:dLbls>
            <c:dLbl>
              <c:idx val="0"/>
              <c:layout>
                <c:manualLayout>
                  <c:x val="-5.5555555555555558E-3"/>
                  <c:y val="1.3819626713327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437-46F3-8C87-394ECD4DA9CD}"/>
                </c:ext>
              </c:extLst>
            </c:dLbl>
            <c:dLbl>
              <c:idx val="1"/>
              <c:layout>
                <c:manualLayout>
                  <c:x val="-2.7777777777777779E-3"/>
                  <c:y val="9.189997083697786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437-46F3-8C87-394ECD4DA9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'Gearing Ratios'!$M$19:$M$20</c:f>
              <c:strCache>
                <c:ptCount val="2"/>
                <c:pt idx="0">
                  <c:v>Debt-Equity Ratios</c:v>
                </c:pt>
                <c:pt idx="1">
                  <c:v>Debt-To- Capital Ratio</c:v>
                </c:pt>
              </c:strCache>
            </c:strRef>
          </c:cat>
          <c:val>
            <c:numRef>
              <c:f>'Gearing Ratios'!$O$19:$O$20</c:f>
              <c:numCache>
                <c:formatCode>0.00</c:formatCode>
                <c:ptCount val="2"/>
                <c:pt idx="0">
                  <c:v>2.1937232222609118</c:v>
                </c:pt>
                <c:pt idx="1">
                  <c:v>0.68688582873124604</c:v>
                </c:pt>
              </c:numCache>
            </c:numRef>
          </c:val>
          <c:extLst>
            <c:ext xmlns:c16="http://schemas.microsoft.com/office/drawing/2014/chart" uri="{C3380CC4-5D6E-409C-BE32-E72D297353CC}">
              <c16:uniqueId val="{00000005-7437-46F3-8C87-394ECD4DA9CD}"/>
            </c:ext>
          </c:extLst>
        </c:ser>
        <c:dLbls>
          <c:dLblPos val="inEnd"/>
          <c:showLegendKey val="0"/>
          <c:showVal val="1"/>
          <c:showCatName val="0"/>
          <c:showSerName val="0"/>
          <c:showPercent val="0"/>
          <c:showBubbleSize val="0"/>
        </c:dLbls>
        <c:gapWidth val="65"/>
        <c:axId val="545973168"/>
        <c:axId val="545973496"/>
      </c:barChart>
      <c:lineChart>
        <c:grouping val="standard"/>
        <c:varyColors val="0"/>
        <c:ser>
          <c:idx val="2"/>
          <c:order val="2"/>
          <c:tx>
            <c:strRef>
              <c:f>'Gearing Ratios'!$P$18</c:f>
              <c:strCache>
                <c:ptCount val="1"/>
                <c:pt idx="0">
                  <c:v>Auto Industry Value</c:v>
                </c:pt>
              </c:strCache>
            </c:strRef>
          </c:tx>
          <c:spPr>
            <a:ln w="22225" cap="rnd" cmpd="dbl">
              <a:solidFill>
                <a:srgbClr val="FF0000"/>
              </a:solidFill>
              <a:prstDash val="sysDot"/>
              <a:round/>
            </a:ln>
            <a:effectLst/>
          </c:spPr>
          <c:marker>
            <c:symbol val="none"/>
          </c:marker>
          <c:dLbls>
            <c:dLbl>
              <c:idx val="0"/>
              <c:layout>
                <c:manualLayout>
                  <c:x val="-1.3536379018612562E-2"/>
                  <c:y val="-4.0609137055837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437-46F3-8C87-394ECD4DA9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rgbClr val="FF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'Gearing Ratios'!$M$19:$M$20</c:f>
              <c:strCache>
                <c:ptCount val="2"/>
                <c:pt idx="0">
                  <c:v>Debt-Equity Ratios</c:v>
                </c:pt>
                <c:pt idx="1">
                  <c:v>Debt-To- Capital Ratio</c:v>
                </c:pt>
              </c:strCache>
            </c:strRef>
          </c:cat>
          <c:val>
            <c:numRef>
              <c:f>'Gearing Ratios'!$P$19:$P$20</c:f>
              <c:numCache>
                <c:formatCode>General</c:formatCode>
                <c:ptCount val="2"/>
                <c:pt idx="0">
                  <c:v>0.4</c:v>
                </c:pt>
              </c:numCache>
            </c:numRef>
          </c:val>
          <c:smooth val="0"/>
          <c:extLst>
            <c:ext xmlns:c16="http://schemas.microsoft.com/office/drawing/2014/chart" uri="{C3380CC4-5D6E-409C-BE32-E72D297353CC}">
              <c16:uniqueId val="{00000006-7437-46F3-8C87-394ECD4DA9CD}"/>
            </c:ext>
          </c:extLst>
        </c:ser>
        <c:dLbls>
          <c:showLegendKey val="0"/>
          <c:showVal val="0"/>
          <c:showCatName val="0"/>
          <c:showSerName val="0"/>
          <c:showPercent val="0"/>
          <c:showBubbleSize val="0"/>
        </c:dLbls>
        <c:marker val="1"/>
        <c:smooth val="0"/>
        <c:axId val="545973168"/>
        <c:axId val="545973496"/>
      </c:lineChart>
      <c:catAx>
        <c:axId val="54597316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45973496"/>
        <c:crosses val="autoZero"/>
        <c:auto val="1"/>
        <c:lblAlgn val="ctr"/>
        <c:lblOffset val="100"/>
        <c:noMultiLvlLbl val="0"/>
      </c:catAx>
      <c:valAx>
        <c:axId val="5459734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54597316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37000">
          <a:schemeClr val="accent3">
            <a:lumMod val="45000"/>
            <a:lumOff val="55000"/>
          </a:schemeClr>
        </a:gs>
        <a:gs pos="65000">
          <a:schemeClr val="bg1"/>
        </a:gs>
      </a:gsLst>
      <a:lin ang="5400000" scaled="1"/>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B64CC-7D3E-49EE-AAD6-BB8B640D9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4554</Words>
  <Characters>24820</Characters>
  <Application>Microsoft Office Word</Application>
  <DocSecurity>0</DocSecurity>
  <Lines>3102</Lines>
  <Paragraphs>2447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cotenescu</dc:creator>
  <cp:keywords/>
  <dc:description/>
  <cp:lastModifiedBy>Daniela cotenescu</cp:lastModifiedBy>
  <cp:revision>2</cp:revision>
  <dcterms:created xsi:type="dcterms:W3CDTF">2019-08-27T22:48:00Z</dcterms:created>
  <dcterms:modified xsi:type="dcterms:W3CDTF">2019-08-27T22:48:00Z</dcterms:modified>
</cp:coreProperties>
</file>