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555" w:type="dxa"/>
        <w:jc w:val="center"/>
        <w:tblLayout w:type="fixed"/>
        <w:tblLook w:val="04A0" w:firstRow="1" w:lastRow="0" w:firstColumn="1" w:lastColumn="0" w:noHBand="0" w:noVBand="1"/>
      </w:tblPr>
      <w:tblGrid>
        <w:gridCol w:w="9555"/>
      </w:tblGrid>
      <w:tr w:rsidR="00F82D52" w14:paraId="1D31226D" w14:textId="77777777" w:rsidTr="0036553A">
        <w:trPr>
          <w:trHeight w:val="874"/>
          <w:jc w:val="center"/>
        </w:trPr>
        <w:tc>
          <w:tcPr>
            <w:tcW w:w="9555" w:type="dxa"/>
            <w:tcBorders>
              <w:top w:val="single" w:sz="0" w:space="0" w:color="1F4E79"/>
              <w:left w:val="single" w:sz="0" w:space="0" w:color="1F4E79"/>
              <w:bottom w:val="single" w:sz="0" w:space="0" w:color="1F4E79"/>
              <w:right w:val="single" w:sz="0" w:space="0" w:color="1F4E79"/>
            </w:tcBorders>
            <w:shd w:val="clear" w:color="auto" w:fill="1F4E79"/>
            <w:vAlign w:val="center"/>
          </w:tcPr>
          <w:p w14:paraId="501DAAE0" w14:textId="77777777" w:rsidR="00F82D52" w:rsidRDefault="009F3F82" w:rsidP="001D3FD3">
            <w:pPr>
              <w:spacing w:before="240"/>
              <w:jc w:val="center"/>
            </w:pPr>
            <w:r>
              <w:rPr>
                <w:b/>
                <w:color w:val="FFFFFF"/>
                <w:sz w:val="44"/>
              </w:rPr>
              <w:t>CASE STUDY REPORT</w:t>
            </w:r>
          </w:p>
        </w:tc>
      </w:tr>
      <w:tr w:rsidR="00BE4D55" w14:paraId="4A4180F5" w14:textId="77777777" w:rsidTr="0036553A">
        <w:trPr>
          <w:trHeight w:val="390"/>
          <w:jc w:val="center"/>
        </w:trPr>
        <w:tc>
          <w:tcPr>
            <w:tcW w:w="9555" w:type="dxa"/>
            <w:tcBorders>
              <w:top w:val="single" w:sz="0" w:space="0" w:color="1F4E79"/>
              <w:left w:val="single" w:sz="0" w:space="0" w:color="1F4E79"/>
              <w:bottom w:val="single" w:sz="0" w:space="0" w:color="1F4E79"/>
              <w:right w:val="single" w:sz="0" w:space="0" w:color="1F4E79"/>
            </w:tcBorders>
            <w:shd w:val="clear" w:color="auto" w:fill="1F4E79"/>
            <w:vAlign w:val="center"/>
          </w:tcPr>
          <w:p w14:paraId="3D1E30C3" w14:textId="77777777" w:rsidR="00BE4D55" w:rsidRDefault="00BE4D55" w:rsidP="001D3FD3">
            <w:pPr>
              <w:spacing w:before="240"/>
              <w:jc w:val="center"/>
              <w:rPr>
                <w:b/>
                <w:color w:val="FFFFFF"/>
                <w:sz w:val="44"/>
              </w:rPr>
            </w:pPr>
          </w:p>
        </w:tc>
      </w:tr>
    </w:tbl>
    <w:p w14:paraId="01027B48" w14:textId="77777777" w:rsidR="00F82D52" w:rsidRDefault="00F82D52" w:rsidP="001D3FD3">
      <w:pPr>
        <w:spacing w:before="240"/>
      </w:pPr>
    </w:p>
    <w:p w14:paraId="574017CD" w14:textId="77777777" w:rsidR="00F82D52" w:rsidRPr="002E4EEF" w:rsidRDefault="009F3F82" w:rsidP="001D3FD3">
      <w:pPr>
        <w:spacing w:before="240"/>
        <w:jc w:val="center"/>
        <w:rPr>
          <w:b/>
          <w:color w:val="1F4E79"/>
          <w:sz w:val="44"/>
        </w:rPr>
      </w:pPr>
      <w:r w:rsidRPr="002E4EEF">
        <w:rPr>
          <w:b/>
          <w:color w:val="1F4E79"/>
          <w:sz w:val="44"/>
        </w:rPr>
        <w:t>Case Study 1: Type 2 Diabetes Mellitus</w:t>
      </w:r>
    </w:p>
    <w:p w14:paraId="34B47245" w14:textId="77777777" w:rsidR="00C21C7B" w:rsidRPr="00C03A91" w:rsidRDefault="00C21C7B" w:rsidP="00C21C7B">
      <w:pPr>
        <w:rPr>
          <w:rFonts w:cs="Arial"/>
        </w:rPr>
      </w:pPr>
    </w:p>
    <w:p w14:paraId="09908003" w14:textId="77777777" w:rsidR="00C21C7B" w:rsidRPr="00C03A91" w:rsidRDefault="00C21C7B" w:rsidP="00C21C7B">
      <w:pPr>
        <w:rPr>
          <w:rFonts w:cs="Arial"/>
          <w:szCs w:val="24"/>
        </w:rPr>
      </w:pPr>
      <w:r w:rsidRPr="00C03A91">
        <w:rPr>
          <w:rFonts w:cs="Arial"/>
          <w:noProof/>
          <w:szCs w:val="24"/>
        </w:rPr>
        <w:drawing>
          <wp:anchor distT="0" distB="0" distL="114300" distR="114300" simplePos="0" relativeHeight="251659264" behindDoc="0" locked="0" layoutInCell="1" allowOverlap="1" wp14:anchorId="56FA3C07" wp14:editId="58DDBB5F">
            <wp:simplePos x="0" y="0"/>
            <wp:positionH relativeFrom="column">
              <wp:posOffset>0</wp:posOffset>
            </wp:positionH>
            <wp:positionV relativeFrom="paragraph">
              <wp:posOffset>292100</wp:posOffset>
            </wp:positionV>
            <wp:extent cx="1809750" cy="723900"/>
            <wp:effectExtent l="0" t="0" r="0" b="0"/>
            <wp:wrapSquare wrapText="bothSides"/>
            <wp:docPr id="1588092271" name="Picture 158809227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78B9663" w14:textId="77777777" w:rsidR="00C21C7B" w:rsidRPr="00C03A91" w:rsidRDefault="00C21C7B" w:rsidP="00C21C7B">
      <w:pPr>
        <w:rPr>
          <w:rFonts w:cs="Arial"/>
          <w:szCs w:val="24"/>
        </w:rPr>
      </w:pPr>
    </w:p>
    <w:p w14:paraId="1114F649" w14:textId="77777777" w:rsidR="00C21C7B" w:rsidRPr="00C03A91" w:rsidRDefault="00C21C7B" w:rsidP="00C21C7B">
      <w:pPr>
        <w:rPr>
          <w:rFonts w:cs="Arial"/>
          <w:szCs w:val="24"/>
        </w:rPr>
      </w:pPr>
    </w:p>
    <w:p w14:paraId="6C390956" w14:textId="77777777" w:rsidR="00C21C7B" w:rsidRPr="00C03A91" w:rsidRDefault="00C21C7B" w:rsidP="00C21C7B">
      <w:pPr>
        <w:rPr>
          <w:rFonts w:cs="Arial"/>
          <w:szCs w:val="24"/>
        </w:rPr>
      </w:pPr>
    </w:p>
    <w:p w14:paraId="632818A2" w14:textId="77777777" w:rsidR="00C21C7B" w:rsidRPr="00C03A91" w:rsidRDefault="00C21C7B" w:rsidP="00C21C7B">
      <w:pPr>
        <w:tabs>
          <w:tab w:val="left" w:pos="6540"/>
        </w:tabs>
        <w:rPr>
          <w:rFonts w:cs="Arial"/>
          <w:sz w:val="28"/>
          <w:szCs w:val="28"/>
        </w:rPr>
      </w:pPr>
    </w:p>
    <w:p w14:paraId="1445EA60" w14:textId="022CB02C" w:rsidR="00C21C7B" w:rsidRPr="00076AC0" w:rsidRDefault="00C21C7B" w:rsidP="00C21C7B">
      <w:pPr>
        <w:tabs>
          <w:tab w:val="left" w:pos="6540"/>
        </w:tabs>
        <w:rPr>
          <w:rFonts w:cs="Arial"/>
          <w:sz w:val="28"/>
          <w:szCs w:val="28"/>
          <w:lang w:val="nl-NL"/>
        </w:rPr>
      </w:pPr>
      <w:r w:rsidRPr="00076AC0">
        <w:rPr>
          <w:rFonts w:cs="Arial"/>
          <w:b/>
          <w:bCs/>
          <w:sz w:val="28"/>
          <w:szCs w:val="28"/>
          <w:lang w:val="nl-NL"/>
        </w:rPr>
        <w:t xml:space="preserve">Student </w:t>
      </w:r>
      <w:r w:rsidR="00251755">
        <w:rPr>
          <w:rFonts w:cs="Arial"/>
          <w:b/>
          <w:bCs/>
          <w:sz w:val="28"/>
          <w:szCs w:val="28"/>
          <w:lang w:val="nl-NL"/>
        </w:rPr>
        <w:t>Nam</w:t>
      </w:r>
      <w:r w:rsidRPr="00076AC0">
        <w:rPr>
          <w:rFonts w:cs="Arial"/>
          <w:b/>
          <w:bCs/>
          <w:sz w:val="28"/>
          <w:szCs w:val="28"/>
          <w:lang w:val="nl-NL"/>
        </w:rPr>
        <w:t>e</w:t>
      </w:r>
      <w:r w:rsidRPr="00076AC0">
        <w:rPr>
          <w:rFonts w:cs="Arial"/>
          <w:sz w:val="28"/>
          <w:szCs w:val="28"/>
          <w:lang w:val="nl-NL"/>
        </w:rPr>
        <w:t>:</w:t>
      </w:r>
      <w:r>
        <w:rPr>
          <w:rFonts w:cs="Arial"/>
          <w:sz w:val="28"/>
          <w:szCs w:val="28"/>
          <w:lang w:val="nl-NL"/>
        </w:rPr>
        <w:t xml:space="preserve"> Lubatiko Edwin Seme</w:t>
      </w:r>
    </w:p>
    <w:p w14:paraId="593D3173" w14:textId="77777777" w:rsidR="00C21C7B" w:rsidRPr="00076AC0" w:rsidRDefault="00C21C7B" w:rsidP="00C21C7B">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Pr>
          <w:rFonts w:cs="Arial"/>
          <w:sz w:val="28"/>
          <w:szCs w:val="28"/>
          <w:lang w:val="nl-NL"/>
        </w:rPr>
        <w:t xml:space="preserve"> 2442423</w:t>
      </w:r>
    </w:p>
    <w:p w14:paraId="1B9EFB0C" w14:textId="562041C7" w:rsidR="00C21C7B" w:rsidRPr="00BB5893" w:rsidRDefault="00BB5893" w:rsidP="00C21C7B">
      <w:pPr>
        <w:tabs>
          <w:tab w:val="left" w:pos="6540"/>
        </w:tabs>
        <w:rPr>
          <w:rFonts w:cs="Arial"/>
          <w:b/>
          <w:bCs/>
          <w:sz w:val="28"/>
          <w:szCs w:val="28"/>
          <w:lang w:val="nl-NL"/>
        </w:rPr>
      </w:pPr>
      <w:r w:rsidRPr="00BB5893">
        <w:rPr>
          <w:rFonts w:cs="Arial"/>
          <w:b/>
          <w:bCs/>
          <w:sz w:val="28"/>
          <w:szCs w:val="28"/>
          <w:lang w:val="nl-NL"/>
        </w:rPr>
        <w:t>Component</w:t>
      </w:r>
      <w:r>
        <w:rPr>
          <w:rFonts w:cs="Arial"/>
          <w:b/>
          <w:bCs/>
          <w:sz w:val="28"/>
          <w:szCs w:val="28"/>
          <w:lang w:val="nl-NL"/>
        </w:rPr>
        <w:t xml:space="preserve"> :</w:t>
      </w:r>
      <w:r w:rsidRPr="00BB5893">
        <w:rPr>
          <w:rFonts w:cs="Arial"/>
          <w:b/>
          <w:bCs/>
          <w:sz w:val="28"/>
          <w:szCs w:val="28"/>
          <w:lang w:val="nl-NL"/>
        </w:rPr>
        <w:t xml:space="preserve"> </w:t>
      </w:r>
      <w:r w:rsidRPr="00BE6D96">
        <w:rPr>
          <w:rFonts w:cs="Arial"/>
          <w:sz w:val="28"/>
          <w:szCs w:val="28"/>
          <w:lang w:val="nl-NL"/>
        </w:rPr>
        <w:t>1</w:t>
      </w:r>
    </w:p>
    <w:p w14:paraId="3D11AEE9" w14:textId="44A8EDDE" w:rsidR="00C21C7B" w:rsidRPr="00076AC0" w:rsidRDefault="00C21C7B" w:rsidP="00C21C7B">
      <w:pPr>
        <w:tabs>
          <w:tab w:val="left" w:pos="6540"/>
        </w:tabs>
        <w:rPr>
          <w:rFonts w:cs="Arial"/>
          <w:sz w:val="28"/>
          <w:szCs w:val="28"/>
          <w:lang w:val="nl-NL"/>
        </w:rPr>
      </w:pPr>
      <w:r w:rsidRPr="00076AC0">
        <w:rPr>
          <w:rFonts w:cs="Arial"/>
          <w:b/>
          <w:bCs/>
          <w:sz w:val="28"/>
          <w:szCs w:val="28"/>
          <w:lang w:val="nl-NL"/>
        </w:rPr>
        <w:t xml:space="preserve">Module </w:t>
      </w:r>
      <w:r w:rsidR="00251755">
        <w:rPr>
          <w:rFonts w:cs="Arial"/>
          <w:b/>
          <w:bCs/>
          <w:sz w:val="28"/>
          <w:szCs w:val="28"/>
          <w:lang w:val="nl-NL"/>
        </w:rPr>
        <w:t>Na</w:t>
      </w:r>
      <w:r w:rsidRPr="00076AC0">
        <w:rPr>
          <w:rFonts w:cs="Arial"/>
          <w:b/>
          <w:bCs/>
          <w:sz w:val="28"/>
          <w:szCs w:val="28"/>
          <w:lang w:val="nl-NL"/>
        </w:rPr>
        <w:t>me</w:t>
      </w:r>
      <w:r w:rsidRPr="00076AC0">
        <w:rPr>
          <w:rFonts w:cs="Arial"/>
          <w:sz w:val="28"/>
          <w:szCs w:val="28"/>
          <w:lang w:val="nl-NL"/>
        </w:rPr>
        <w:t xml:space="preserve">: </w:t>
      </w:r>
      <w:r>
        <w:rPr>
          <w:rFonts w:cs="Arial"/>
          <w:sz w:val="28"/>
          <w:szCs w:val="28"/>
          <w:lang w:val="nl-NL"/>
        </w:rPr>
        <w:t>Introduction to Physiology</w:t>
      </w:r>
    </w:p>
    <w:p w14:paraId="6A6FF948" w14:textId="5B1ED7DE" w:rsidR="00C21C7B" w:rsidRPr="00C03A91" w:rsidRDefault="00C21C7B" w:rsidP="00C21C7B">
      <w:pPr>
        <w:tabs>
          <w:tab w:val="left" w:pos="6540"/>
        </w:tabs>
        <w:rPr>
          <w:rFonts w:cs="Arial"/>
          <w:sz w:val="28"/>
          <w:szCs w:val="28"/>
        </w:rPr>
      </w:pPr>
      <w:r w:rsidRPr="00C03A91">
        <w:rPr>
          <w:rFonts w:cs="Arial"/>
          <w:b/>
          <w:bCs/>
          <w:sz w:val="28"/>
          <w:szCs w:val="28"/>
        </w:rPr>
        <w:t xml:space="preserve">Module </w:t>
      </w:r>
      <w:r w:rsidR="00251755">
        <w:rPr>
          <w:rFonts w:cs="Arial"/>
          <w:b/>
          <w:bCs/>
          <w:sz w:val="28"/>
          <w:szCs w:val="28"/>
        </w:rPr>
        <w:t>C</w:t>
      </w:r>
      <w:r w:rsidRPr="00C03A91">
        <w:rPr>
          <w:rFonts w:cs="Arial"/>
          <w:b/>
          <w:bCs/>
          <w:sz w:val="28"/>
          <w:szCs w:val="28"/>
        </w:rPr>
        <w:t>ode</w:t>
      </w:r>
      <w:r w:rsidRPr="00C03A91">
        <w:rPr>
          <w:rFonts w:cs="Arial"/>
          <w:sz w:val="28"/>
          <w:szCs w:val="28"/>
        </w:rPr>
        <w:t>:</w:t>
      </w:r>
      <w:r>
        <w:rPr>
          <w:rFonts w:cs="Arial"/>
          <w:sz w:val="28"/>
          <w:szCs w:val="28"/>
        </w:rPr>
        <w:t xml:space="preserve"> (BMHP5023_LON)</w:t>
      </w:r>
    </w:p>
    <w:p w14:paraId="64BB3AC9" w14:textId="51FCAB70" w:rsidR="00C21C7B" w:rsidRPr="00C03A91" w:rsidRDefault="00C21C7B" w:rsidP="00C21C7B">
      <w:pPr>
        <w:tabs>
          <w:tab w:val="left" w:pos="6540"/>
        </w:tabs>
        <w:rPr>
          <w:rFonts w:cs="Arial"/>
          <w:sz w:val="28"/>
          <w:szCs w:val="28"/>
        </w:rPr>
      </w:pPr>
      <w:r w:rsidRPr="00C03A91">
        <w:rPr>
          <w:rFonts w:cs="Arial"/>
          <w:b/>
          <w:bCs/>
          <w:sz w:val="28"/>
          <w:szCs w:val="28"/>
        </w:rPr>
        <w:t xml:space="preserve">Lecturer’s </w:t>
      </w:r>
      <w:r w:rsidR="00251755">
        <w:rPr>
          <w:rFonts w:cs="Arial"/>
          <w:b/>
          <w:bCs/>
          <w:sz w:val="28"/>
          <w:szCs w:val="28"/>
        </w:rPr>
        <w:t>N</w:t>
      </w:r>
      <w:r w:rsidRPr="00C03A91">
        <w:rPr>
          <w:rFonts w:cs="Arial"/>
          <w:b/>
          <w:bCs/>
          <w:sz w:val="28"/>
          <w:szCs w:val="28"/>
        </w:rPr>
        <w:t>ame</w:t>
      </w:r>
      <w:r w:rsidRPr="00C03A91">
        <w:rPr>
          <w:rFonts w:cs="Arial"/>
          <w:sz w:val="28"/>
          <w:szCs w:val="28"/>
        </w:rPr>
        <w:t>:</w:t>
      </w:r>
      <w:r>
        <w:rPr>
          <w:rFonts w:cs="Arial"/>
          <w:sz w:val="28"/>
          <w:szCs w:val="28"/>
        </w:rPr>
        <w:t xml:space="preserve"> Dr. Shaila Hussein.</w:t>
      </w:r>
    </w:p>
    <w:p w14:paraId="7DCB25FB" w14:textId="77777777" w:rsidR="00C21C7B" w:rsidRPr="00C03A91" w:rsidRDefault="00C21C7B" w:rsidP="00C21C7B">
      <w:pPr>
        <w:tabs>
          <w:tab w:val="left" w:pos="6540"/>
        </w:tabs>
        <w:rPr>
          <w:rFonts w:cs="Arial"/>
          <w:b/>
          <w:bCs/>
          <w:sz w:val="28"/>
          <w:szCs w:val="28"/>
        </w:rPr>
      </w:pPr>
    </w:p>
    <w:p w14:paraId="757CFCC6" w14:textId="4E1D04B1" w:rsidR="00C21C7B" w:rsidRDefault="00C21C7B" w:rsidP="00C21C7B">
      <w:pPr>
        <w:tabs>
          <w:tab w:val="left" w:pos="6540"/>
        </w:tabs>
        <w:rPr>
          <w:rFonts w:cs="Arial"/>
          <w:sz w:val="28"/>
          <w:szCs w:val="28"/>
        </w:rPr>
      </w:pPr>
      <w:r w:rsidRPr="00C03A91">
        <w:rPr>
          <w:rFonts w:cs="Arial"/>
          <w:b/>
          <w:bCs/>
          <w:sz w:val="28"/>
          <w:szCs w:val="28"/>
        </w:rPr>
        <w:t xml:space="preserve">Assessment: </w:t>
      </w:r>
      <w:r w:rsidR="002877E9">
        <w:rPr>
          <w:rFonts w:cs="Arial"/>
          <w:sz w:val="28"/>
          <w:szCs w:val="28"/>
        </w:rPr>
        <w:t>Type</w:t>
      </w:r>
      <w:r w:rsidR="00E22654">
        <w:rPr>
          <w:rFonts w:cs="Arial"/>
          <w:sz w:val="28"/>
          <w:szCs w:val="28"/>
        </w:rPr>
        <w:t xml:space="preserve"> 2 Diabetes Mellitus</w:t>
      </w:r>
    </w:p>
    <w:p w14:paraId="6BE40639" w14:textId="0FA6AE71" w:rsidR="002E4EEF" w:rsidRPr="006A7F7A" w:rsidRDefault="002E4EEF" w:rsidP="00C21C7B">
      <w:pPr>
        <w:tabs>
          <w:tab w:val="left" w:pos="6540"/>
        </w:tabs>
        <w:rPr>
          <w:rFonts w:cs="Arial"/>
          <w:b/>
          <w:bCs/>
          <w:sz w:val="28"/>
          <w:szCs w:val="28"/>
        </w:rPr>
      </w:pPr>
      <w:r w:rsidRPr="006A7F7A">
        <w:rPr>
          <w:rFonts w:cs="Arial"/>
          <w:b/>
          <w:bCs/>
          <w:sz w:val="28"/>
          <w:szCs w:val="28"/>
        </w:rPr>
        <w:t>Su</w:t>
      </w:r>
      <w:r w:rsidR="006A7F7A" w:rsidRPr="006A7F7A">
        <w:rPr>
          <w:rFonts w:cs="Arial"/>
          <w:b/>
          <w:bCs/>
          <w:sz w:val="28"/>
          <w:szCs w:val="28"/>
        </w:rPr>
        <w:t>bmission Date:</w:t>
      </w:r>
      <w:r w:rsidR="00251755">
        <w:rPr>
          <w:rFonts w:cs="Arial"/>
          <w:b/>
          <w:bCs/>
          <w:sz w:val="28"/>
          <w:szCs w:val="28"/>
        </w:rPr>
        <w:t xml:space="preserve"> </w:t>
      </w:r>
      <w:r w:rsidR="00251755" w:rsidRPr="00251755">
        <w:rPr>
          <w:rFonts w:cs="Arial"/>
          <w:sz w:val="28"/>
          <w:szCs w:val="28"/>
        </w:rPr>
        <w:t>1</w:t>
      </w:r>
      <w:r w:rsidR="00FE22A9">
        <w:rPr>
          <w:rFonts w:cs="Arial"/>
          <w:sz w:val="28"/>
          <w:szCs w:val="28"/>
        </w:rPr>
        <w:t>9</w:t>
      </w:r>
      <w:r w:rsidR="00251755" w:rsidRPr="00251755">
        <w:rPr>
          <w:rFonts w:cs="Arial"/>
          <w:sz w:val="28"/>
          <w:szCs w:val="28"/>
        </w:rPr>
        <w:t>/08/2026</w:t>
      </w:r>
    </w:p>
    <w:p w14:paraId="30C5571E" w14:textId="4BA420C9" w:rsidR="00F82D52" w:rsidRDefault="00F82D52" w:rsidP="001D3FD3">
      <w:pPr>
        <w:spacing w:before="240"/>
      </w:pPr>
    </w:p>
    <w:p w14:paraId="27A0CA39" w14:textId="77777777" w:rsidR="0036553A" w:rsidRDefault="0036553A" w:rsidP="001D3FD3">
      <w:pPr>
        <w:spacing w:before="240"/>
      </w:pPr>
    </w:p>
    <w:sdt>
      <w:sdtPr>
        <w:rPr>
          <w:b w:val="0"/>
          <w:color w:val="auto"/>
          <w:sz w:val="24"/>
          <w:szCs w:val="22"/>
        </w:rPr>
        <w:id w:val="22756213"/>
        <w:docPartObj>
          <w:docPartGallery w:val="Table of Contents"/>
          <w:docPartUnique/>
        </w:docPartObj>
      </w:sdtPr>
      <w:sdtEndPr>
        <w:rPr>
          <w:bCs/>
          <w:noProof/>
        </w:rPr>
      </w:sdtEndPr>
      <w:sdtContent>
        <w:p w14:paraId="767C6857" w14:textId="795CED37" w:rsidR="00F65692" w:rsidRDefault="00F65692">
          <w:pPr>
            <w:pStyle w:val="TOCHeading"/>
          </w:pPr>
          <w:r>
            <w:t>Contents</w:t>
          </w:r>
        </w:p>
        <w:p w14:paraId="55BA7B95" w14:textId="0F04E4E0" w:rsidR="00673B64" w:rsidRDefault="00F65692">
          <w:pPr>
            <w:pStyle w:val="TOC1"/>
            <w:tabs>
              <w:tab w:val="right" w:leader="dot" w:pos="9638"/>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7553107" w:history="1">
            <w:r w:rsidR="00673B64" w:rsidRPr="00D87E33">
              <w:rPr>
                <w:rStyle w:val="Hyperlink"/>
                <w:noProof/>
              </w:rPr>
              <w:t>1. Introduction</w:t>
            </w:r>
            <w:r w:rsidR="00673B64">
              <w:rPr>
                <w:noProof/>
                <w:webHidden/>
              </w:rPr>
              <w:tab/>
            </w:r>
            <w:r w:rsidR="00673B64">
              <w:rPr>
                <w:noProof/>
                <w:webHidden/>
              </w:rPr>
              <w:fldChar w:fldCharType="begin"/>
            </w:r>
            <w:r w:rsidR="00673B64">
              <w:rPr>
                <w:noProof/>
                <w:webHidden/>
              </w:rPr>
              <w:instrText xml:space="preserve"> PAGEREF _Toc237553107 \h </w:instrText>
            </w:r>
            <w:r w:rsidR="00673B64">
              <w:rPr>
                <w:noProof/>
                <w:webHidden/>
              </w:rPr>
            </w:r>
            <w:r w:rsidR="00673B64">
              <w:rPr>
                <w:noProof/>
                <w:webHidden/>
              </w:rPr>
              <w:fldChar w:fldCharType="separate"/>
            </w:r>
            <w:r w:rsidR="00673B64">
              <w:rPr>
                <w:noProof/>
                <w:webHidden/>
              </w:rPr>
              <w:t>3</w:t>
            </w:r>
            <w:r w:rsidR="00673B64">
              <w:rPr>
                <w:noProof/>
                <w:webHidden/>
              </w:rPr>
              <w:fldChar w:fldCharType="end"/>
            </w:r>
          </w:hyperlink>
        </w:p>
        <w:p w14:paraId="6E23E1C3" w14:textId="5C3F34DE"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08" w:history="1">
            <w:r w:rsidR="00673B64" w:rsidRPr="00D87E33">
              <w:rPr>
                <w:rStyle w:val="Hyperlink"/>
                <w:noProof/>
              </w:rPr>
              <w:t>2. Risk Factors and Pathophysiology of Type 2 Diabetes</w:t>
            </w:r>
            <w:r w:rsidR="00673B64">
              <w:rPr>
                <w:noProof/>
                <w:webHidden/>
              </w:rPr>
              <w:tab/>
            </w:r>
            <w:r w:rsidR="00673B64">
              <w:rPr>
                <w:noProof/>
                <w:webHidden/>
              </w:rPr>
              <w:fldChar w:fldCharType="begin"/>
            </w:r>
            <w:r w:rsidR="00673B64">
              <w:rPr>
                <w:noProof/>
                <w:webHidden/>
              </w:rPr>
              <w:instrText xml:space="preserve"> PAGEREF _Toc237553108 \h </w:instrText>
            </w:r>
            <w:r w:rsidR="00673B64">
              <w:rPr>
                <w:noProof/>
                <w:webHidden/>
              </w:rPr>
            </w:r>
            <w:r w:rsidR="00673B64">
              <w:rPr>
                <w:noProof/>
                <w:webHidden/>
              </w:rPr>
              <w:fldChar w:fldCharType="separate"/>
            </w:r>
            <w:r w:rsidR="00673B64">
              <w:rPr>
                <w:noProof/>
                <w:webHidden/>
              </w:rPr>
              <w:t>4</w:t>
            </w:r>
            <w:r w:rsidR="00673B64">
              <w:rPr>
                <w:noProof/>
                <w:webHidden/>
              </w:rPr>
              <w:fldChar w:fldCharType="end"/>
            </w:r>
          </w:hyperlink>
        </w:p>
        <w:p w14:paraId="7198DF7C" w14:textId="364707DC"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09" w:history="1">
            <w:r w:rsidR="00673B64" w:rsidRPr="00D87E33">
              <w:rPr>
                <w:rStyle w:val="Hyperlink"/>
                <w:noProof/>
              </w:rPr>
              <w:t>3. Blood Glucose Regulation</w:t>
            </w:r>
            <w:r w:rsidR="00673B64">
              <w:rPr>
                <w:noProof/>
                <w:webHidden/>
              </w:rPr>
              <w:tab/>
            </w:r>
            <w:r w:rsidR="00673B64">
              <w:rPr>
                <w:noProof/>
                <w:webHidden/>
              </w:rPr>
              <w:fldChar w:fldCharType="begin"/>
            </w:r>
            <w:r w:rsidR="00673B64">
              <w:rPr>
                <w:noProof/>
                <w:webHidden/>
              </w:rPr>
              <w:instrText xml:space="preserve"> PAGEREF _Toc237553109 \h </w:instrText>
            </w:r>
            <w:r w:rsidR="00673B64">
              <w:rPr>
                <w:noProof/>
                <w:webHidden/>
              </w:rPr>
            </w:r>
            <w:r w:rsidR="00673B64">
              <w:rPr>
                <w:noProof/>
                <w:webHidden/>
              </w:rPr>
              <w:fldChar w:fldCharType="separate"/>
            </w:r>
            <w:r w:rsidR="00673B64">
              <w:rPr>
                <w:noProof/>
                <w:webHidden/>
              </w:rPr>
              <w:t>5</w:t>
            </w:r>
            <w:r w:rsidR="00673B64">
              <w:rPr>
                <w:noProof/>
                <w:webHidden/>
              </w:rPr>
              <w:fldChar w:fldCharType="end"/>
            </w:r>
          </w:hyperlink>
        </w:p>
        <w:p w14:paraId="10C29CC0" w14:textId="0CA80ED4"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10" w:history="1">
            <w:r w:rsidR="00673B64" w:rsidRPr="00D87E33">
              <w:rPr>
                <w:rStyle w:val="Hyperlink"/>
                <w:noProof/>
              </w:rPr>
              <w:t>4. Glucose and Cellular Metabolism</w:t>
            </w:r>
            <w:r w:rsidR="00673B64">
              <w:rPr>
                <w:noProof/>
                <w:webHidden/>
              </w:rPr>
              <w:tab/>
            </w:r>
            <w:r w:rsidR="00673B64">
              <w:rPr>
                <w:noProof/>
                <w:webHidden/>
              </w:rPr>
              <w:fldChar w:fldCharType="begin"/>
            </w:r>
            <w:r w:rsidR="00673B64">
              <w:rPr>
                <w:noProof/>
                <w:webHidden/>
              </w:rPr>
              <w:instrText xml:space="preserve"> PAGEREF _Toc237553110 \h </w:instrText>
            </w:r>
            <w:r w:rsidR="00673B64">
              <w:rPr>
                <w:noProof/>
                <w:webHidden/>
              </w:rPr>
            </w:r>
            <w:r w:rsidR="00673B64">
              <w:rPr>
                <w:noProof/>
                <w:webHidden/>
              </w:rPr>
              <w:fldChar w:fldCharType="separate"/>
            </w:r>
            <w:r w:rsidR="00673B64">
              <w:rPr>
                <w:noProof/>
                <w:webHidden/>
              </w:rPr>
              <w:t>6</w:t>
            </w:r>
            <w:r w:rsidR="00673B64">
              <w:rPr>
                <w:noProof/>
                <w:webHidden/>
              </w:rPr>
              <w:fldChar w:fldCharType="end"/>
            </w:r>
          </w:hyperlink>
        </w:p>
        <w:p w14:paraId="1504193D" w14:textId="096E7D4B"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11" w:history="1">
            <w:r w:rsidR="00673B64" w:rsidRPr="00D87E33">
              <w:rPr>
                <w:rStyle w:val="Hyperlink"/>
                <w:noProof/>
              </w:rPr>
              <w:t>5. Monitoring and Use of Routine Health Data</w:t>
            </w:r>
            <w:r w:rsidR="00673B64">
              <w:rPr>
                <w:noProof/>
                <w:webHidden/>
              </w:rPr>
              <w:tab/>
            </w:r>
            <w:r w:rsidR="00673B64">
              <w:rPr>
                <w:noProof/>
                <w:webHidden/>
              </w:rPr>
              <w:fldChar w:fldCharType="begin"/>
            </w:r>
            <w:r w:rsidR="00673B64">
              <w:rPr>
                <w:noProof/>
                <w:webHidden/>
              </w:rPr>
              <w:instrText xml:space="preserve"> PAGEREF _Toc237553111 \h </w:instrText>
            </w:r>
            <w:r w:rsidR="00673B64">
              <w:rPr>
                <w:noProof/>
                <w:webHidden/>
              </w:rPr>
            </w:r>
            <w:r w:rsidR="00673B64">
              <w:rPr>
                <w:noProof/>
                <w:webHidden/>
              </w:rPr>
              <w:fldChar w:fldCharType="separate"/>
            </w:r>
            <w:r w:rsidR="00673B64">
              <w:rPr>
                <w:noProof/>
                <w:webHidden/>
              </w:rPr>
              <w:t>7</w:t>
            </w:r>
            <w:r w:rsidR="00673B64">
              <w:rPr>
                <w:noProof/>
                <w:webHidden/>
              </w:rPr>
              <w:fldChar w:fldCharType="end"/>
            </w:r>
          </w:hyperlink>
        </w:p>
        <w:p w14:paraId="5949086F" w14:textId="3CE2E71F"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12" w:history="1">
            <w:r w:rsidR="00673B64" w:rsidRPr="00D87E33">
              <w:rPr>
                <w:rStyle w:val="Hyperlink"/>
                <w:noProof/>
              </w:rPr>
              <w:t>6. Evidence-Based Lifestyle and Management Recommendations</w:t>
            </w:r>
            <w:r w:rsidR="00673B64">
              <w:rPr>
                <w:noProof/>
                <w:webHidden/>
              </w:rPr>
              <w:tab/>
            </w:r>
            <w:r w:rsidR="00673B64">
              <w:rPr>
                <w:noProof/>
                <w:webHidden/>
              </w:rPr>
              <w:fldChar w:fldCharType="begin"/>
            </w:r>
            <w:r w:rsidR="00673B64">
              <w:rPr>
                <w:noProof/>
                <w:webHidden/>
              </w:rPr>
              <w:instrText xml:space="preserve"> PAGEREF _Toc237553112 \h </w:instrText>
            </w:r>
            <w:r w:rsidR="00673B64">
              <w:rPr>
                <w:noProof/>
                <w:webHidden/>
              </w:rPr>
            </w:r>
            <w:r w:rsidR="00673B64">
              <w:rPr>
                <w:noProof/>
                <w:webHidden/>
              </w:rPr>
              <w:fldChar w:fldCharType="separate"/>
            </w:r>
            <w:r w:rsidR="00673B64">
              <w:rPr>
                <w:noProof/>
                <w:webHidden/>
              </w:rPr>
              <w:t>8</w:t>
            </w:r>
            <w:r w:rsidR="00673B64">
              <w:rPr>
                <w:noProof/>
                <w:webHidden/>
              </w:rPr>
              <w:fldChar w:fldCharType="end"/>
            </w:r>
          </w:hyperlink>
        </w:p>
        <w:p w14:paraId="61D56AE8" w14:textId="3503B89A"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13" w:history="1">
            <w:r w:rsidR="00673B64" w:rsidRPr="00D87E33">
              <w:rPr>
                <w:rStyle w:val="Hyperlink"/>
                <w:noProof/>
              </w:rPr>
              <w:t>7. Conclusion</w:t>
            </w:r>
            <w:r w:rsidR="00673B64">
              <w:rPr>
                <w:noProof/>
                <w:webHidden/>
              </w:rPr>
              <w:tab/>
            </w:r>
            <w:r w:rsidR="00673B64">
              <w:rPr>
                <w:noProof/>
                <w:webHidden/>
              </w:rPr>
              <w:fldChar w:fldCharType="begin"/>
            </w:r>
            <w:r w:rsidR="00673B64">
              <w:rPr>
                <w:noProof/>
                <w:webHidden/>
              </w:rPr>
              <w:instrText xml:space="preserve"> PAGEREF _Toc237553113 \h </w:instrText>
            </w:r>
            <w:r w:rsidR="00673B64">
              <w:rPr>
                <w:noProof/>
                <w:webHidden/>
              </w:rPr>
            </w:r>
            <w:r w:rsidR="00673B64">
              <w:rPr>
                <w:noProof/>
                <w:webHidden/>
              </w:rPr>
              <w:fldChar w:fldCharType="separate"/>
            </w:r>
            <w:r w:rsidR="00673B64">
              <w:rPr>
                <w:noProof/>
                <w:webHidden/>
              </w:rPr>
              <w:t>11</w:t>
            </w:r>
            <w:r w:rsidR="00673B64">
              <w:rPr>
                <w:noProof/>
                <w:webHidden/>
              </w:rPr>
              <w:fldChar w:fldCharType="end"/>
            </w:r>
          </w:hyperlink>
        </w:p>
        <w:p w14:paraId="5373254A" w14:textId="709FDEEB" w:rsidR="00673B64" w:rsidRDefault="00000000">
          <w:pPr>
            <w:pStyle w:val="TOC1"/>
            <w:tabs>
              <w:tab w:val="right" w:leader="dot" w:pos="9638"/>
            </w:tabs>
            <w:rPr>
              <w:rFonts w:asciiTheme="minorHAnsi" w:eastAsiaTheme="minorEastAsia" w:hAnsiTheme="minorHAnsi"/>
              <w:noProof/>
              <w:kern w:val="2"/>
              <w:szCs w:val="24"/>
              <w14:ligatures w14:val="standardContextual"/>
            </w:rPr>
          </w:pPr>
          <w:hyperlink w:anchor="_Toc237553114" w:history="1">
            <w:r w:rsidR="00673B64" w:rsidRPr="00D87E33">
              <w:rPr>
                <w:rStyle w:val="Hyperlink"/>
                <w:noProof/>
              </w:rPr>
              <w:t>Reference List</w:t>
            </w:r>
            <w:r w:rsidR="00673B64">
              <w:rPr>
                <w:noProof/>
                <w:webHidden/>
              </w:rPr>
              <w:tab/>
            </w:r>
            <w:r w:rsidR="00673B64">
              <w:rPr>
                <w:noProof/>
                <w:webHidden/>
              </w:rPr>
              <w:fldChar w:fldCharType="begin"/>
            </w:r>
            <w:r w:rsidR="00673B64">
              <w:rPr>
                <w:noProof/>
                <w:webHidden/>
              </w:rPr>
              <w:instrText xml:space="preserve"> PAGEREF _Toc237553114 \h </w:instrText>
            </w:r>
            <w:r w:rsidR="00673B64">
              <w:rPr>
                <w:noProof/>
                <w:webHidden/>
              </w:rPr>
            </w:r>
            <w:r w:rsidR="00673B64">
              <w:rPr>
                <w:noProof/>
                <w:webHidden/>
              </w:rPr>
              <w:fldChar w:fldCharType="separate"/>
            </w:r>
            <w:r w:rsidR="00673B64">
              <w:rPr>
                <w:noProof/>
                <w:webHidden/>
              </w:rPr>
              <w:t>12</w:t>
            </w:r>
            <w:r w:rsidR="00673B64">
              <w:rPr>
                <w:noProof/>
                <w:webHidden/>
              </w:rPr>
              <w:fldChar w:fldCharType="end"/>
            </w:r>
          </w:hyperlink>
        </w:p>
        <w:p w14:paraId="1DBBC2E6" w14:textId="036A6E04" w:rsidR="00F65692" w:rsidRDefault="00F65692">
          <w:r>
            <w:rPr>
              <w:b/>
              <w:bCs/>
              <w:noProof/>
            </w:rPr>
            <w:fldChar w:fldCharType="end"/>
          </w:r>
        </w:p>
      </w:sdtContent>
    </w:sdt>
    <w:p w14:paraId="7EE98774" w14:textId="77777777" w:rsidR="00F65692" w:rsidRDefault="00F65692" w:rsidP="00F65692"/>
    <w:p w14:paraId="3F28958B" w14:textId="77777777" w:rsidR="00F65692" w:rsidRDefault="00F65692" w:rsidP="00F65692"/>
    <w:p w14:paraId="42105D06" w14:textId="77777777" w:rsidR="00F65692" w:rsidRDefault="00F65692">
      <w:pPr>
        <w:spacing w:before="0" w:after="200" w:line="276" w:lineRule="auto"/>
        <w:jc w:val="left"/>
        <w:rPr>
          <w:b/>
          <w:color w:val="1F4E79"/>
          <w:sz w:val="32"/>
          <w:szCs w:val="24"/>
        </w:rPr>
      </w:pPr>
      <w:r>
        <w:br w:type="page"/>
      </w:r>
    </w:p>
    <w:p w14:paraId="415C4361" w14:textId="2DA8DC18" w:rsidR="00F82D52" w:rsidRDefault="009F3F82" w:rsidP="001F0D7E">
      <w:pPr>
        <w:pStyle w:val="Heading1"/>
        <w:keepNext/>
        <w:jc w:val="left"/>
      </w:pPr>
      <w:bookmarkStart w:id="0" w:name="_Toc237553107"/>
      <w:r>
        <w:lastRenderedPageBreak/>
        <w:t>1. Introduction</w:t>
      </w:r>
      <w:bookmarkEnd w:id="0"/>
    </w:p>
    <w:p w14:paraId="5D0472D4" w14:textId="3B73AA04" w:rsidR="00CA2087" w:rsidRDefault="00CA2087">
      <w:pPr>
        <w:pStyle w:val="BodyCustom"/>
      </w:pPr>
      <w:r>
        <w:t xml:space="preserve">Type 2 diabetes mellitus (T2DM) is a chronic metabolic condition </w:t>
      </w:r>
      <w:r w:rsidR="001F5D8B">
        <w:t>characterized</w:t>
      </w:r>
      <w:r>
        <w:t xml:space="preserve"> by </w:t>
      </w:r>
      <w:r w:rsidR="001F5D8B">
        <w:t>hyperglycemia</w:t>
      </w:r>
      <w:r>
        <w:t xml:space="preserve"> (high blood glucose) due to a decrease in insulin sensitivity, and a corresponding decrease in the secretion of insulin from the beta cells in response to high blood glucose levels. It is the most prevalent type of diabetes and can develop micro- and macrovascular complications if </w:t>
      </w:r>
      <w:r w:rsidR="00995E4F">
        <w:t>hyperglycemia</w:t>
      </w:r>
      <w:r>
        <w:t xml:space="preserve"> continues (Chatterjee et al., 2017). Understanding the physiology of T2DM is important in primary care, where monitoring results and advising lifestyle changes are more useful when the patient can see how these relate to what is happening in their body. This report illustrates the key risk factors for T2DM, normal blood-glucose regulation and cellular metabolism, and next looks at how routine blood-glucose data can assist in safe T2DM self-management. It also </w:t>
      </w:r>
      <w:r w:rsidR="00417EF9">
        <w:t>considers</w:t>
      </w:r>
      <w:r>
        <w:t xml:space="preserve"> the evidence-based lifestyle measures that are pertinent to a practice nurse working with adults with T2DM. </w:t>
      </w:r>
    </w:p>
    <w:p w14:paraId="4B769759" w14:textId="77777777" w:rsidR="006A4243" w:rsidRDefault="006A4243">
      <w:pPr>
        <w:pStyle w:val="BodyCustom"/>
      </w:pPr>
    </w:p>
    <w:p w14:paraId="56351828" w14:textId="77777777" w:rsidR="001F0D7E" w:rsidRDefault="001F0D7E">
      <w:pPr>
        <w:spacing w:before="0" w:after="200" w:line="276" w:lineRule="auto"/>
        <w:jc w:val="left"/>
        <w:rPr>
          <w:b/>
          <w:color w:val="1F4E79"/>
          <w:sz w:val="32"/>
          <w:szCs w:val="24"/>
        </w:rPr>
      </w:pPr>
      <w:r>
        <w:br w:type="page"/>
      </w:r>
    </w:p>
    <w:p w14:paraId="7034E797" w14:textId="07EE2604" w:rsidR="00F82D52" w:rsidRDefault="009F3F82" w:rsidP="001F0D7E">
      <w:pPr>
        <w:pStyle w:val="Heading1"/>
        <w:keepNext/>
        <w:jc w:val="left"/>
      </w:pPr>
      <w:bookmarkStart w:id="1" w:name="_Toc237553108"/>
      <w:r>
        <w:lastRenderedPageBreak/>
        <w:t>2. Risk Factors and Pathophysiology of Type 2 Diabetes</w:t>
      </w:r>
      <w:bookmarkEnd w:id="1"/>
    </w:p>
    <w:p w14:paraId="745B4C21" w14:textId="3448E99E" w:rsidR="00CA2087" w:rsidRDefault="00CA2087" w:rsidP="00CA2087">
      <w:pPr>
        <w:pStyle w:val="BodyCustom"/>
      </w:pPr>
      <w:r>
        <w:t xml:space="preserve">The development of T2DM is a result of interaction between non-modifiable susceptibility and modifiable exposures. Age, family history and genetic predisposition are associated with risk, while poor dietary quality, physical inactivity and excess adiposity are major modifiable risk factors. Visceral adiposity is especially significant as it has been linked to inflammatory and metabolic stimuli that lead to decreased insulin sensitivity in the liver and skeletal muscle. However, epidemiological evidence also suggests that social determinants of health may play a role in T2DM risk beyond personal choice. </w:t>
      </w:r>
    </w:p>
    <w:p w14:paraId="6D847A42" w14:textId="2B51044A" w:rsidR="00CA2087" w:rsidRDefault="00CA2087" w:rsidP="00CA2087">
      <w:pPr>
        <w:pStyle w:val="BodyCustom"/>
      </w:pPr>
      <w:r>
        <w:t xml:space="preserve">The main physiological abnormalities are insulin resistance and increasing deterioration in beta-cell function. At the beginning of the disease, pancreatic beta cells may become more active in producing insulin </w:t>
      </w:r>
      <w:r w:rsidR="001F5D8B">
        <w:t>to</w:t>
      </w:r>
      <w:r>
        <w:t xml:space="preserve"> make up for the decreased tissue sensitivity. As time goes on, compensation will fail, and there will be a resultant increase in hepatic glucose output and a decrease in peripheral glucose uptake. This </w:t>
      </w:r>
      <w:r w:rsidR="001F5D8B">
        <w:t>hyperglycemia</w:t>
      </w:r>
      <w:r>
        <w:t xml:space="preserve"> can in turn adversely affect beta-cell function and insulin sensitivity, thus further impairing beta-cell function and starting a vicious cycle. Clinically, this accounts for the fact that, despite the relative mildness or apparent absence of symptoms at diagnosis, T2DM is often a disease that requires greater efforts for management over time (Feather et al., 2020). Putting this into practice is important for a practice nurse. An elevated glucose level is not simply a result of eating too much sugary food. It is the product of a system in which regulation across several organs has broken down.</w:t>
      </w:r>
    </w:p>
    <w:p w14:paraId="574C719B" w14:textId="5F32C5A9" w:rsidR="00CA2087" w:rsidRDefault="00995E4F" w:rsidP="00CA2087">
      <w:pPr>
        <w:pStyle w:val="BodyCustom"/>
      </w:pPr>
      <w:r>
        <w:t>Hyperglycemia</w:t>
      </w:r>
      <w:r w:rsidR="00CA2087">
        <w:t xml:space="preserve"> is important because high glucose levels over time result in injury to tissues via mechanisms such as protein glycation, oxidative stress or vascular dysfunction. This over time leads to an increased risk of retinopathy, kidney disease, neuropathy, and the combination of T2DM and hypertension also increases cardiovascular risk due to the association of the two with </w:t>
      </w:r>
      <w:r>
        <w:t>dyslipidemia</w:t>
      </w:r>
      <w:r w:rsidR="00CA2087">
        <w:t xml:space="preserve">. However, the disease may be clinically silent for years, and the lack of apparent clinical signs does not necessarily reflect a low risk. Prevention and early follow-up become significant: although the patient may feel well, a worsening metabolic pattern may be seen in routine measurements. Explaining that risk builds up over time can prevent a single high reading from being seen as a sign of treatment failure. The clinical task is therefore to identify recurring patterns and </w:t>
      </w:r>
      <w:r>
        <w:t>act</w:t>
      </w:r>
      <w:r w:rsidR="00CA2087">
        <w:t xml:space="preserve"> before complications develop (Chatterjee et al., 2017).</w:t>
      </w:r>
    </w:p>
    <w:p w14:paraId="6568EAC7" w14:textId="77777777" w:rsidR="00F82D52" w:rsidRDefault="009F3F82">
      <w:pPr>
        <w:jc w:val="center"/>
      </w:pPr>
      <w:r>
        <w:rPr>
          <w:noProof/>
        </w:rPr>
        <w:lastRenderedPageBreak/>
        <w:drawing>
          <wp:inline distT="0" distB="0" distL="0" distR="0" wp14:anchorId="6D55559C" wp14:editId="7317D815">
            <wp:extent cx="6217058" cy="2315689"/>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t2d_pathophys.png"/>
                    <pic:cNvPicPr/>
                  </pic:nvPicPr>
                  <pic:blipFill rotWithShape="1">
                    <a:blip r:embed="rId10"/>
                    <a:srcRect t="16637" b="17145"/>
                    <a:stretch>
                      <a:fillRect/>
                    </a:stretch>
                  </pic:blipFill>
                  <pic:spPr bwMode="auto">
                    <a:xfrm>
                      <a:off x="0" y="0"/>
                      <a:ext cx="6217920" cy="2316010"/>
                    </a:xfrm>
                    <a:prstGeom prst="rect">
                      <a:avLst/>
                    </a:prstGeom>
                    <a:ln>
                      <a:noFill/>
                    </a:ln>
                    <a:extLst>
                      <a:ext uri="{53640926-AAD7-44D8-BBD7-CCE9431645EC}">
                        <a14:shadowObscured xmlns:a14="http://schemas.microsoft.com/office/drawing/2010/main"/>
                      </a:ext>
                    </a:extLst>
                  </pic:spPr>
                </pic:pic>
              </a:graphicData>
            </a:graphic>
          </wp:inline>
        </w:drawing>
      </w:r>
    </w:p>
    <w:p w14:paraId="0503BEEB" w14:textId="77777777" w:rsidR="00F82D52" w:rsidRDefault="009F3F82">
      <w:pPr>
        <w:pStyle w:val="CaptionCustom"/>
      </w:pPr>
      <w:r>
        <w:t>Figure 1. Overview of the main pathophysiological sequence in type 2 diabetes.</w:t>
      </w:r>
    </w:p>
    <w:p w14:paraId="7BC0030D" w14:textId="77777777" w:rsidR="00F82D52" w:rsidRDefault="009F3F82" w:rsidP="001F0D7E">
      <w:pPr>
        <w:pStyle w:val="Heading1"/>
        <w:keepNext/>
        <w:jc w:val="left"/>
      </w:pPr>
      <w:bookmarkStart w:id="2" w:name="_Toc237553109"/>
      <w:r>
        <w:t>3. Blood Glucose Regulation</w:t>
      </w:r>
      <w:bookmarkEnd w:id="2"/>
    </w:p>
    <w:p w14:paraId="682C7D1D" w14:textId="6129DAEF" w:rsidR="00CA2087" w:rsidRDefault="00CA2087" w:rsidP="00CA2087">
      <w:pPr>
        <w:pStyle w:val="BodyCustom"/>
      </w:pPr>
      <w:r>
        <w:t xml:space="preserve">A relatively stable level of plasma glucose is maintained in health, despite a regular pattern of feeding and fasting. Control is focused on the endocrine pancreas. Beta cells of the islets of Langerhans sense the increased blood glucose post-meal and secrete insulin, while alpha cells secrete glucagon mostly during a fall in the level of glucose. These hormones work in </w:t>
      </w:r>
      <w:r w:rsidR="00425F16">
        <w:t xml:space="preserve">an </w:t>
      </w:r>
      <w:r>
        <w:t>opposite but regulated manner</w:t>
      </w:r>
      <w:r w:rsidR="00425F16">
        <w:t>,</w:t>
      </w:r>
      <w:r>
        <w:t xml:space="preserve"> which forms a negative feedback mechanism (Tortora and Derrickson, 2020).</w:t>
      </w:r>
    </w:p>
    <w:p w14:paraId="0DC8BEF8" w14:textId="7BC1BAA3" w:rsidR="00CA2087" w:rsidRDefault="00CA2087" w:rsidP="00CA2087">
      <w:pPr>
        <w:pStyle w:val="BodyCustom"/>
      </w:pPr>
      <w:r>
        <w:t>After digestion and absorption of carbohydrate-containing food, glucose appears in the portal circulation and goes to the liver. Insulin facilitates incorporation and retention of glucose, stimulates glycogen formation in the liver, and inhibits glucose production in the liver. It also helps to increase the uptake of glucose in the insulin-sensitive skeletal muscle, and maintenance of surplus energy in fat tissues. Circulating glucose decreases back to normal, and insulin secretion decreases. When insulin levels are reduced and glucagon is relatively higher during fasting, breakdown of hepatic glycogen and gluconeogenesis is stimulated for tissues that can use glucose (Hall and Hall, 2021).</w:t>
      </w:r>
    </w:p>
    <w:p w14:paraId="6952E61D" w14:textId="2200F582" w:rsidR="00CA2087" w:rsidRDefault="00CA2087" w:rsidP="00CA2087">
      <w:pPr>
        <w:pStyle w:val="BodyCustom"/>
      </w:pPr>
      <w:r>
        <w:t xml:space="preserve">This is a homeostatic system that requires communication to occur between the pancreas, liver, muscle, adipose tissue and circulation. The pancreas is the provider of the hormonal signal, the liver is the place that stores glucose and is the source of glucose of endogenous origin, and the skeletal muscle is a large site of glucose disposal after a meal. The major influences of the adipose tissue are storage of triglycerides and secretion of fatty acids and </w:t>
      </w:r>
      <w:r w:rsidR="0036553A">
        <w:t>signaling</w:t>
      </w:r>
      <w:r>
        <w:t xml:space="preserve"> molecules. Pancreatic endocrine tissue has an abundant blood supply, which makes hormones available to the bloodstream quickly, while the liver receives absorbed nutrients quickly through the portal circulation.</w:t>
      </w:r>
    </w:p>
    <w:p w14:paraId="6079849B" w14:textId="6E005370" w:rsidR="00CA2087" w:rsidRDefault="00CA2087" w:rsidP="00CA2087">
      <w:pPr>
        <w:pStyle w:val="BodyCustom"/>
      </w:pPr>
      <w:r>
        <w:t xml:space="preserve">These responses are impaired in T2DM. Less glucose is taken from the blood by insulin-resistant muscle, and the insulin-resistant liver may still produce glucose even when the glucose in the blood </w:t>
      </w:r>
      <w:r>
        <w:lastRenderedPageBreak/>
        <w:t xml:space="preserve">is already high. The beta cells </w:t>
      </w:r>
      <w:r w:rsidR="00995E4F">
        <w:t>can</w:t>
      </w:r>
      <w:r>
        <w:t xml:space="preserve"> increase insulin </w:t>
      </w:r>
      <w:r w:rsidR="00995E4F">
        <w:t>production but</w:t>
      </w:r>
      <w:r>
        <w:t xml:space="preserve"> are not always able to keep up. Hence, </w:t>
      </w:r>
      <w:r w:rsidR="00995E4F">
        <w:t>hyperglycemia</w:t>
      </w:r>
      <w:r>
        <w:t xml:space="preserve"> is not the direct result of failure of any one organ but rather is a failure of coordinated homeostasis. This multi-organ view is the basis for the rationale behind the use of different combined management approaches (food intake, physical activity, body weight, medication).</w:t>
      </w:r>
    </w:p>
    <w:p w14:paraId="6BC91C5D" w14:textId="77777777" w:rsidR="00F82D52" w:rsidRDefault="009F3F82">
      <w:pPr>
        <w:jc w:val="center"/>
      </w:pPr>
      <w:r>
        <w:rPr>
          <w:noProof/>
        </w:rPr>
        <w:drawing>
          <wp:inline distT="0" distB="0" distL="0" distR="0" wp14:anchorId="1E609767" wp14:editId="0D48AB1F">
            <wp:extent cx="6216756" cy="28857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glucose_homeostasis.png"/>
                    <pic:cNvPicPr/>
                  </pic:nvPicPr>
                  <pic:blipFill rotWithShape="1">
                    <a:blip r:embed="rId11"/>
                    <a:srcRect t="12866" b="8956"/>
                    <a:stretch>
                      <a:fillRect/>
                    </a:stretch>
                  </pic:blipFill>
                  <pic:spPr bwMode="auto">
                    <a:xfrm>
                      <a:off x="0" y="0"/>
                      <a:ext cx="6217920" cy="2886244"/>
                    </a:xfrm>
                    <a:prstGeom prst="rect">
                      <a:avLst/>
                    </a:prstGeom>
                    <a:ln>
                      <a:noFill/>
                    </a:ln>
                    <a:extLst>
                      <a:ext uri="{53640926-AAD7-44D8-BBD7-CCE9431645EC}">
                        <a14:shadowObscured xmlns:a14="http://schemas.microsoft.com/office/drawing/2010/main"/>
                      </a:ext>
                    </a:extLst>
                  </pic:spPr>
                </pic:pic>
              </a:graphicData>
            </a:graphic>
          </wp:inline>
        </w:drawing>
      </w:r>
    </w:p>
    <w:p w14:paraId="1D521A7E" w14:textId="77777777" w:rsidR="00F82D52" w:rsidRDefault="009F3F82">
      <w:pPr>
        <w:pStyle w:val="CaptionCustom"/>
      </w:pPr>
      <w:r>
        <w:t>Figure 2. Simplified summary of how the body maintains blood glucose homeostasis in health.</w:t>
      </w:r>
    </w:p>
    <w:p w14:paraId="71CF0D3E" w14:textId="77777777" w:rsidR="00F82D52" w:rsidRDefault="009F3F82" w:rsidP="001F0D7E">
      <w:pPr>
        <w:pStyle w:val="Heading1"/>
        <w:keepNext/>
        <w:jc w:val="left"/>
      </w:pPr>
      <w:bookmarkStart w:id="3" w:name="_Toc237553110"/>
      <w:r>
        <w:t>4. Glucose and Cellular Metabolism</w:t>
      </w:r>
      <w:bookmarkEnd w:id="3"/>
    </w:p>
    <w:p w14:paraId="5522CD97" w14:textId="1277A9F9" w:rsidR="00CA2087" w:rsidRDefault="00CA2087" w:rsidP="00CA2087">
      <w:pPr>
        <w:pStyle w:val="BodyCustom"/>
      </w:pPr>
      <w:r>
        <w:t>Glucose is a key metabolic fuel. Once taken up by a cell, it is phosphorylated and undergoes glycolysis, which yields a small amount of adenosine triphosphate (ATP) and a molecule of pyruvate. If oxygen and mitochondrial activity are sufficient, then the resulting pyruvate will be converted to acetyl-CoA, continue onto the citric acid cycle and aid oxidative phosphorylation to produce significantly more ATP. The ATP then provides energy to the processes of muscle contraction, active transport, biosynthesis and maintenance of cellular ion gradients (Gropper et al., 2021).</w:t>
      </w:r>
    </w:p>
    <w:p w14:paraId="33360AEC" w14:textId="583AD650" w:rsidR="00CA2087" w:rsidRDefault="00CA2087" w:rsidP="00CA2087">
      <w:pPr>
        <w:pStyle w:val="BodyCustom"/>
      </w:pPr>
      <w:r>
        <w:t xml:space="preserve">Insulin links nutrients in the bloodstream to their use and storage in cells. It stimulates recruitment of GLUT4 glucose transporters to the plasma membrane (in skeletal muscle and adipose tissue). It promotes </w:t>
      </w:r>
      <w:r w:rsidR="00995E4F">
        <w:t>glycogen genesis</w:t>
      </w:r>
      <w:r>
        <w:t xml:space="preserve"> and inhibits gluconeogenesis in the liver. Insulin also facilitates lipogenesis if calorie intake is higher than demand. In a fasting state, a low insulin level facilitates </w:t>
      </w:r>
      <w:r w:rsidR="00995E4F">
        <w:t>mobilization</w:t>
      </w:r>
      <w:r>
        <w:t xml:space="preserve"> of stored fuels. Healthy metabolism therefore involves using glucose, storing it in glycogen, storing it as fat and </w:t>
      </w:r>
      <w:r w:rsidR="001F5D8B">
        <w:t>mobilizing</w:t>
      </w:r>
      <w:r>
        <w:t xml:space="preserve"> fat for energy use based on the physiological need (Penman et al., 2022).</w:t>
      </w:r>
    </w:p>
    <w:p w14:paraId="4EEA0F6E" w14:textId="5227DAD8" w:rsidR="00CA2087" w:rsidRDefault="00CA2087" w:rsidP="00CA2087">
      <w:pPr>
        <w:pStyle w:val="BodyCustom"/>
      </w:pPr>
      <w:r>
        <w:lastRenderedPageBreak/>
        <w:t xml:space="preserve">T2DM is </w:t>
      </w:r>
      <w:r w:rsidR="001F5D8B">
        <w:t>characterized</w:t>
      </w:r>
      <w:r>
        <w:t xml:space="preserve"> by </w:t>
      </w:r>
      <w:r w:rsidR="00673B64">
        <w:t xml:space="preserve">impaired insulin </w:t>
      </w:r>
      <w:r w:rsidR="001F5D8B">
        <w:t>signaling</w:t>
      </w:r>
      <w:r w:rsidR="00673B64">
        <w:t>, in which glucose remains available in the bloodstream while</w:t>
      </w:r>
      <w:r>
        <w:t xml:space="preserve"> insulin-sensitive cells do not respond appropriately. Fatty-acid delivery can further diminish insulin action, the liver continues producing glucose, and uptake by the skeletal muscles is impaired after a meal. This apparent paradox of high circulating levels of fuel and low efficiency in its regulated uptake may account for how </w:t>
      </w:r>
      <w:r w:rsidR="001F5D8B">
        <w:t>hyperglycemia</w:t>
      </w:r>
      <w:r>
        <w:t xml:space="preserve"> persists with altered regulation of energy handling. </w:t>
      </w:r>
    </w:p>
    <w:p w14:paraId="4D141B40" w14:textId="77777777" w:rsidR="00F82D52" w:rsidRDefault="009F3F82" w:rsidP="001F0D7E">
      <w:pPr>
        <w:pStyle w:val="Heading1"/>
        <w:keepNext/>
        <w:jc w:val="left"/>
      </w:pPr>
      <w:bookmarkStart w:id="4" w:name="_Toc237553111"/>
      <w:r>
        <w:t>5. Monitoring and Use of Routine Health Data</w:t>
      </w:r>
      <w:bookmarkEnd w:id="4"/>
    </w:p>
    <w:p w14:paraId="4F811E39" w14:textId="4374117C" w:rsidR="00CA2087" w:rsidRDefault="00CA2087" w:rsidP="00CA2087">
      <w:pPr>
        <w:pStyle w:val="BodyCustom"/>
      </w:pPr>
      <w:r>
        <w:t xml:space="preserve">Routine data </w:t>
      </w:r>
      <w:r w:rsidR="00A653B0">
        <w:t>provides</w:t>
      </w:r>
      <w:r>
        <w:t xml:space="preserve"> information that can guide decisions. Capillary glucose testing provides a value at a specific point in time and can reveal trends associated with an individual's food, exercise, sickness or glucose therapy. HbA1c </w:t>
      </w:r>
      <w:r w:rsidR="001F5D8B">
        <w:t>complement</w:t>
      </w:r>
      <w:r>
        <w:t xml:space="preserve"> these snapshots by indicating average </w:t>
      </w:r>
      <w:r w:rsidR="00A653B0">
        <w:t>glycemic</w:t>
      </w:r>
      <w:r>
        <w:t xml:space="preserve"> exposure over recent weeks to months through the percentage of glycated </w:t>
      </w:r>
      <w:r w:rsidR="008A7B18">
        <w:t>hemoglobin</w:t>
      </w:r>
      <w:r>
        <w:t>. In combination, these can differentiate whether there is a persistent problem or an isolated reading and assess if the management plan is working (Bilous et al., 2021).</w:t>
      </w:r>
    </w:p>
    <w:p w14:paraId="27716107" w14:textId="3769CCDB" w:rsidR="00CA2087" w:rsidRDefault="00CA2087" w:rsidP="00CA2087">
      <w:pPr>
        <w:pStyle w:val="BodyCustom"/>
      </w:pPr>
      <w:r>
        <w:t xml:space="preserve">It is useful to record results rather than simply obtain </w:t>
      </w:r>
      <w:r w:rsidR="008A7B18">
        <w:t>reading</w:t>
      </w:r>
      <w:r>
        <w:t xml:space="preserve">. A written record of timing, food, activity, symptoms and medication will show repeatedly elevated readings, spikes or periods that indicate </w:t>
      </w:r>
      <w:r w:rsidR="008A7B18">
        <w:t>hyperglycemia</w:t>
      </w:r>
      <w:r>
        <w:t xml:space="preserve"> after eating. The GP setting allows the nurse to discuss with the patient patterns of </w:t>
      </w:r>
      <w:r w:rsidR="008A7B18">
        <w:t>behavior</w:t>
      </w:r>
      <w:r>
        <w:t xml:space="preserve"> and make links between the pattern and things that may be modified or the need to see the GP. Routine data should be </w:t>
      </w:r>
      <w:r w:rsidR="008A7B18">
        <w:t>analyzed</w:t>
      </w:r>
      <w:r>
        <w:t xml:space="preserve"> in context, not simply reported as numbers. This supports a proportionate response to the results (Holt et al., 2017).</w:t>
      </w:r>
    </w:p>
    <w:p w14:paraId="43A407BC" w14:textId="23DA3A2E" w:rsidR="00CA2087" w:rsidRDefault="00CA2087" w:rsidP="00CA2087">
      <w:pPr>
        <w:pStyle w:val="BodyCustom"/>
      </w:pPr>
      <w:r>
        <w:t xml:space="preserve">Monitoring also has limitations. Doing more tests does not necessarily increase control, especially when tests are taken and no questions or courses of action are defined. Timing, recent food, activity, stress, intercurrent illness and manner of measurement all have an impact on </w:t>
      </w:r>
      <w:r w:rsidR="00995E4F">
        <w:t>individual</w:t>
      </w:r>
      <w:r>
        <w:t xml:space="preserve"> reading. HbA1c provides a wider context but not day-to-day </w:t>
      </w:r>
      <w:r w:rsidR="00995E4F">
        <w:t>fluctuations and</w:t>
      </w:r>
      <w:r>
        <w:t xml:space="preserve"> may be misleading in circumstances that affect red-cell turnover. Therefore, practitioners who provide these tests need to help those who use them to understand what each one can and cannot tell, and to avoid unnecessary testing that may increase anxiety.</w:t>
      </w:r>
    </w:p>
    <w:p w14:paraId="7E3B75E6" w14:textId="76CBE9DD" w:rsidR="00CA2087" w:rsidRDefault="00CA2087" w:rsidP="00CA2087">
      <w:pPr>
        <w:pStyle w:val="BodyCustom"/>
      </w:pPr>
      <w:r>
        <w:t xml:space="preserve">Diabetes review should be part of a broader risk assessment that includes </w:t>
      </w:r>
      <w:r w:rsidR="00995E4F">
        <w:t>glycemic</w:t>
      </w:r>
      <w:r>
        <w:t xml:space="preserve"> data routinely. Body weight, blood pressure, lipid profile, kidney markers, and foot assessment give information about cardiovascular and microvascular risk, and discussion of symptoms and medication use provides a clinical context. A dataset is most valuable when the person's circumstances, preferences and treatment are considered alongside data trends over time. </w:t>
      </w:r>
      <w:r w:rsidR="00995E4F">
        <w:t>Reviewing</w:t>
      </w:r>
      <w:r>
        <w:t xml:space="preserve"> patient data can help support self-efficacy if patients are involved, but presenting numbers without explanation may reduce engagement.</w:t>
      </w:r>
    </w:p>
    <w:p w14:paraId="77121EE0" w14:textId="77777777" w:rsidR="00F82D52" w:rsidRDefault="009F3F82">
      <w:pPr>
        <w:jc w:val="center"/>
      </w:pPr>
      <w:r>
        <w:rPr>
          <w:noProof/>
        </w:rPr>
        <w:lastRenderedPageBreak/>
        <w:drawing>
          <wp:inline distT="0" distB="0" distL="0" distR="0" wp14:anchorId="76B06A3C" wp14:editId="2D0ED59F">
            <wp:extent cx="5714948" cy="2928736"/>
            <wp:effectExtent l="0" t="0" r="63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hba1c_thresholds.png"/>
                    <pic:cNvPicPr/>
                  </pic:nvPicPr>
                  <pic:blipFill rotWithShape="1">
                    <a:blip r:embed="rId12"/>
                    <a:srcRect t="5372"/>
                    <a:stretch>
                      <a:fillRect/>
                    </a:stretch>
                  </pic:blipFill>
                  <pic:spPr bwMode="auto">
                    <a:xfrm>
                      <a:off x="0" y="0"/>
                      <a:ext cx="5715000" cy="2928762"/>
                    </a:xfrm>
                    <a:prstGeom prst="rect">
                      <a:avLst/>
                    </a:prstGeom>
                    <a:ln>
                      <a:noFill/>
                    </a:ln>
                    <a:extLst>
                      <a:ext uri="{53640926-AAD7-44D8-BBD7-CCE9431645EC}">
                        <a14:shadowObscured xmlns:a14="http://schemas.microsoft.com/office/drawing/2010/main"/>
                      </a:ext>
                    </a:extLst>
                  </pic:spPr>
                </pic:pic>
              </a:graphicData>
            </a:graphic>
          </wp:inline>
        </w:drawing>
      </w:r>
    </w:p>
    <w:p w14:paraId="0D37800C" w14:textId="403BE5E7" w:rsidR="00F82D52" w:rsidRDefault="009F3F82">
      <w:pPr>
        <w:pStyle w:val="CaptionCustom"/>
      </w:pPr>
      <w:r>
        <w:t xml:space="preserve">Figure 3. Common HbA1c thresholds </w:t>
      </w:r>
      <w:r w:rsidR="008A7B18">
        <w:t>are frequently</w:t>
      </w:r>
      <w:r>
        <w:t xml:space="preserve"> referred to in UK diabetes screening and diagnosis.</w:t>
      </w:r>
    </w:p>
    <w:p w14:paraId="34E4CEE5" w14:textId="48E20527" w:rsidR="001F0D7E" w:rsidRPr="001F0D7E" w:rsidRDefault="009F3F82" w:rsidP="001F0D7E">
      <w:pPr>
        <w:pStyle w:val="Heading1"/>
        <w:keepNext/>
        <w:jc w:val="left"/>
      </w:pPr>
      <w:bookmarkStart w:id="5" w:name="_Toc237553112"/>
      <w:r w:rsidRPr="001F0D7E">
        <w:t>6. Evidence-Based Lifestyle and Management</w:t>
      </w:r>
      <w:r w:rsidR="001F0D7E">
        <w:t xml:space="preserve"> </w:t>
      </w:r>
      <w:r w:rsidRPr="001F0D7E">
        <w:t>Recommendations</w:t>
      </w:r>
      <w:bookmarkEnd w:id="5"/>
    </w:p>
    <w:p w14:paraId="3736B792" w14:textId="44584B4B" w:rsidR="00CA2087" w:rsidRDefault="00CA2087" w:rsidP="00CA2087">
      <w:pPr>
        <w:pStyle w:val="BodyCustom"/>
      </w:pPr>
      <w:r>
        <w:t xml:space="preserve">Lifestyle management should be tailored to each patient's characteristics and level of </w:t>
      </w:r>
      <w:r w:rsidR="008A7B18">
        <w:t>practicality and</w:t>
      </w:r>
      <w:r>
        <w:t xml:space="preserve"> should not simply be presented to the patient as a set of general rules. A general guideline for dietary advice is that vegetables, wholegrains, legumes and nuts are minimally processed foods that can substitute refined carbohydrates or foods high in free sugars and saturated fat. Where weight loss is indicated, portion size and total energy intake are also important. There is no single macronutrient formula that is superior for all T2DM patients. Macronutrient composition depends on cultural preference, affordability and sustainability (</w:t>
      </w:r>
      <w:r w:rsidR="008A7B18">
        <w:t>Foroughi</w:t>
      </w:r>
      <w:r>
        <w:t xml:space="preserve"> et al., 2018).</w:t>
      </w:r>
    </w:p>
    <w:p w14:paraId="492D2997" w14:textId="29246D7B" w:rsidR="00CA2087" w:rsidRDefault="00CA2087" w:rsidP="00CA2087">
      <w:pPr>
        <w:pStyle w:val="BodyCustom"/>
      </w:pPr>
      <w:r>
        <w:t xml:space="preserve">One area </w:t>
      </w:r>
      <w:r w:rsidR="008A7B18">
        <w:t>where</w:t>
      </w:r>
      <w:r>
        <w:t xml:space="preserve"> weight management becomes relevant is when excess adiposity causes insulin resistance. Weight loss of at least 10-15% can lead to a decrease in both liver and pancreatic fat with an improvement in insulin sensitivity and, in some individuals, remission of T2DM. Remission should not be presented as guaranteed. Dietary changes may also require a change in drug dosage (Taylor et al., 2021). Establishing a shared goal for sustained weight reduction and discussing barriers is more effective than </w:t>
      </w:r>
      <w:r w:rsidR="008A7B18">
        <w:t>stigmatizing</w:t>
      </w:r>
      <w:r>
        <w:t xml:space="preserve"> directives focused only on weight loss.</w:t>
      </w:r>
    </w:p>
    <w:p w14:paraId="64A15F9E" w14:textId="02EE0177" w:rsidR="00CA2087" w:rsidRDefault="00CA2087" w:rsidP="00CA2087">
      <w:pPr>
        <w:pStyle w:val="BodyCustom"/>
      </w:pPr>
      <w:r>
        <w:t xml:space="preserve">There are two ways in which physical activity supports </w:t>
      </w:r>
      <w:r w:rsidR="008A7B18">
        <w:t>glycemic</w:t>
      </w:r>
      <w:r>
        <w:t xml:space="preserve"> control: insulin-</w:t>
      </w:r>
      <w:r w:rsidR="00995E4F">
        <w:t>dependence</w:t>
      </w:r>
      <w:r>
        <w:t xml:space="preserve"> and insulin-</w:t>
      </w:r>
      <w:r w:rsidR="008A7B18">
        <w:t>independence</w:t>
      </w:r>
      <w:r>
        <w:t xml:space="preserve">. Glucose uptake is increased during contraction of the skeletal muscle, and regular aerobic and resistance exercise can enhance insulin sensitivity. Therefore, regular physical activity must be encouraged in adults with T2DM, as well as </w:t>
      </w:r>
      <w:r w:rsidR="008A7B18">
        <w:t>minimizing</w:t>
      </w:r>
      <w:r>
        <w:t xml:space="preserve"> prolonged sitting time, and </w:t>
      </w:r>
      <w:r>
        <w:lastRenderedPageBreak/>
        <w:t xml:space="preserve">choosing appropriate and safe methods of physical activity that consider their fitness level and medical complications (Kanaley et al., 2022). </w:t>
      </w:r>
    </w:p>
    <w:p w14:paraId="1DDE2178" w14:textId="6DD378C1" w:rsidR="00CA2087" w:rsidRDefault="00CA2087" w:rsidP="00CA2087">
      <w:pPr>
        <w:pStyle w:val="BodyCustom"/>
      </w:pPr>
      <w:r>
        <w:t xml:space="preserve">This should also include information on alcohol, smoking and use of medication. Alcohol provides energy, and </w:t>
      </w:r>
      <w:r w:rsidR="00995E4F">
        <w:t>overuse of</w:t>
      </w:r>
      <w:r>
        <w:t xml:space="preserve"> or use with certain glucose-lowering medications may increase the risk of </w:t>
      </w:r>
      <w:r w:rsidR="008A7B18">
        <w:t>hypoglycemia</w:t>
      </w:r>
      <w:r>
        <w:t>. Smoking is an additional cardiovascular risk factor. Strong advice for smoking cessation should therefore be provided. Assess adherence without assuming purposeful non-adherence. Side effects, cost, beliefs about medication, complex regimens or lack of understanding can all contribute to decreased adherence.</w:t>
      </w:r>
    </w:p>
    <w:p w14:paraId="4B935630" w14:textId="3EDA7023" w:rsidR="00CA2087" w:rsidRDefault="00CA2087" w:rsidP="00CA2087">
      <w:pPr>
        <w:pStyle w:val="BodyCustom"/>
      </w:pPr>
      <w:r>
        <w:t xml:space="preserve">In the case study, an efficient practice model would be to select one or two achievable changes, define what will be measured and review the outcome. For instance, if a patient experiences </w:t>
      </w:r>
      <w:r w:rsidR="00995E4F">
        <w:t>hyperglycemia</w:t>
      </w:r>
      <w:r>
        <w:t xml:space="preserve"> after eating, they could change the make-up of the meal, add appropriate activity after the meal and then reassess the pattern rather than one reading.</w:t>
      </w:r>
    </w:p>
    <w:p w14:paraId="309B4D10" w14:textId="77777777" w:rsidR="00F82D52" w:rsidRDefault="009F3F82">
      <w:pPr>
        <w:jc w:val="center"/>
      </w:pPr>
      <w:r>
        <w:rPr>
          <w:noProof/>
        </w:rPr>
        <w:drawing>
          <wp:inline distT="0" distB="0" distL="0" distR="0" wp14:anchorId="3ADF4D9C" wp14:editId="2FE04D41">
            <wp:extent cx="6217127" cy="29569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lifestyle_pillars.png"/>
                    <pic:cNvPicPr/>
                  </pic:nvPicPr>
                  <pic:blipFill rotWithShape="1">
                    <a:blip r:embed="rId13"/>
                    <a:srcRect t="12544" b="7352"/>
                    <a:stretch>
                      <a:fillRect/>
                    </a:stretch>
                  </pic:blipFill>
                  <pic:spPr bwMode="auto">
                    <a:xfrm>
                      <a:off x="0" y="0"/>
                      <a:ext cx="6217920" cy="2957333"/>
                    </a:xfrm>
                    <a:prstGeom prst="rect">
                      <a:avLst/>
                    </a:prstGeom>
                    <a:ln>
                      <a:noFill/>
                    </a:ln>
                    <a:extLst>
                      <a:ext uri="{53640926-AAD7-44D8-BBD7-CCE9431645EC}">
                        <a14:shadowObscured xmlns:a14="http://schemas.microsoft.com/office/drawing/2010/main"/>
                      </a:ext>
                    </a:extLst>
                  </pic:spPr>
                </pic:pic>
              </a:graphicData>
            </a:graphic>
          </wp:inline>
        </w:drawing>
      </w:r>
    </w:p>
    <w:p w14:paraId="50E81F06" w14:textId="77777777" w:rsidR="00F82D52" w:rsidRDefault="009F3F82">
      <w:pPr>
        <w:pStyle w:val="CaptionCustom"/>
      </w:pPr>
      <w:r>
        <w:t>Figure 4. Visual summary of the main lifestyle pillars that support effective self-management.</w:t>
      </w:r>
    </w:p>
    <w:p w14:paraId="07CD19CA" w14:textId="77777777" w:rsidR="001F0D7E" w:rsidRDefault="001F0D7E">
      <w:pPr>
        <w:spacing w:before="0" w:after="200" w:line="276" w:lineRule="auto"/>
        <w:jc w:val="left"/>
        <w:rPr>
          <w:b/>
          <w:color w:val="1F4E79"/>
          <w:sz w:val="28"/>
        </w:rPr>
      </w:pPr>
      <w:r>
        <w:br w:type="page"/>
      </w:r>
    </w:p>
    <w:p w14:paraId="73FB1C91" w14:textId="4DEC92EB" w:rsidR="00F82D52" w:rsidRDefault="009F3F82" w:rsidP="001F0D7E">
      <w:pPr>
        <w:pStyle w:val="Heading1"/>
        <w:keepNext/>
        <w:jc w:val="left"/>
      </w:pPr>
      <w:bookmarkStart w:id="6" w:name="_Toc237553113"/>
      <w:r>
        <w:lastRenderedPageBreak/>
        <w:t>7. Conclusion</w:t>
      </w:r>
      <w:bookmarkEnd w:id="6"/>
    </w:p>
    <w:p w14:paraId="6C3B2FA3" w14:textId="02E5331B" w:rsidR="00CA2087" w:rsidRDefault="00CA2087">
      <w:pPr>
        <w:pStyle w:val="BodyCustom"/>
      </w:pPr>
      <w:r>
        <w:t xml:space="preserve">In T2DM, there is a disruption in the coordination of insulin secretion by the pancreas and insulin action in the liver, skeletal muscle and adipose tissue. In normal physiology, glucose is regulated by a negative feedback mechanism and the storage of nutrients and regulated </w:t>
      </w:r>
      <w:r w:rsidR="008A7B18">
        <w:t>mobilization</w:t>
      </w:r>
      <w:r>
        <w:t xml:space="preserve"> of fuel, </w:t>
      </w:r>
      <w:r w:rsidR="008A7B18">
        <w:t>while</w:t>
      </w:r>
      <w:r>
        <w:t xml:space="preserve"> insulin resistance and beta-cell dysfunction, glucose can be allowed to enter a </w:t>
      </w:r>
      <w:r w:rsidR="008A7B18">
        <w:t>hyperglycemic</w:t>
      </w:r>
      <w:r>
        <w:t xml:space="preserve"> state. Routine glucose checks and HbA1c are valuable because they make these changes measurable, but without trends and context they are less clinically useful. The best treatment strategy for adults in primary care is to combine effective food intake modification, regular physical activity, and weight loss with reasoned follow-up and reasonable expectations for drug adherence and abstinence from alcohol and tobacco. </w:t>
      </w:r>
    </w:p>
    <w:p w14:paraId="2AB0415D" w14:textId="77777777" w:rsidR="00A51033" w:rsidRDefault="00A51033">
      <w:r>
        <w:br w:type="page"/>
      </w:r>
    </w:p>
    <w:p w14:paraId="74AAA996" w14:textId="6E075762" w:rsidR="00F82D52" w:rsidRDefault="009F3F82" w:rsidP="004C43D4">
      <w:pPr>
        <w:pStyle w:val="Heading1"/>
        <w:keepNext/>
        <w:jc w:val="left"/>
      </w:pPr>
      <w:bookmarkStart w:id="7" w:name="_Toc237553114"/>
      <w:r>
        <w:lastRenderedPageBreak/>
        <w:t>Reference List</w:t>
      </w:r>
      <w:bookmarkEnd w:id="7"/>
    </w:p>
    <w:p w14:paraId="5238E7B6" w14:textId="77777777" w:rsidR="00F82D52" w:rsidRDefault="009F3F82" w:rsidP="00A51033">
      <w:pPr>
        <w:spacing w:before="240"/>
        <w:jc w:val="left"/>
      </w:pPr>
      <w:r>
        <w:t>Bilous, R., Donnelly, R. and Idris, I. (2021) Handbook of Diabetes. 5th edn. John Wiley &amp; Sons. Available at: https://books.google.com/books?id=QssqEAAAQBAJ (Accessed: 13 August 2026).</w:t>
      </w:r>
    </w:p>
    <w:p w14:paraId="6C1E13A5" w14:textId="77777777" w:rsidR="00F82D52" w:rsidRDefault="009F3F82" w:rsidP="00A51033">
      <w:pPr>
        <w:spacing w:before="240"/>
        <w:jc w:val="left"/>
      </w:pPr>
      <w:r>
        <w:t>Chatterjee, S., Khunti, K. and Davies, M.J. (2017) 'Type 2 diabetes', The Lancet, 389(10085), pp. 2239-2251. Available at: https://doi.org/10.1016/S0140-6736(17)30058-2.</w:t>
      </w:r>
    </w:p>
    <w:p w14:paraId="58E49BAC" w14:textId="77777777" w:rsidR="00F82D52" w:rsidRDefault="009F3F82" w:rsidP="00A51033">
      <w:pPr>
        <w:spacing w:before="240"/>
        <w:jc w:val="left"/>
      </w:pPr>
      <w:r>
        <w:t>Feather, A., Randall, D. and Waterhouse, M. (eds) (2020) Kumar and Clark's Clinical Medicine. 10th edn. Elsevier Health Sciences. Available at: https://books.google.com/books?id=sl3sDwAAQBAJ (Accessed: 13 August 2026).</w:t>
      </w:r>
    </w:p>
    <w:p w14:paraId="553503B4" w14:textId="77777777" w:rsidR="00F82D52" w:rsidRDefault="009F3F82" w:rsidP="00A51033">
      <w:pPr>
        <w:spacing w:before="240"/>
        <w:jc w:val="left"/>
      </w:pPr>
      <w:r>
        <w:t>Forouhi, N.G., Misra, A., Mohan, V., Taylor, R. and Yancy, W. (2018) 'Dietary and nutritional approaches for prevention and management of type 2 diabetes', BMJ, 361, k2234. Available at: https://doi.org/10.1136/bmj.k2234.</w:t>
      </w:r>
    </w:p>
    <w:p w14:paraId="6DDBF1A5" w14:textId="77777777" w:rsidR="00F82D52" w:rsidRDefault="009F3F82" w:rsidP="00A51033">
      <w:pPr>
        <w:spacing w:before="240"/>
        <w:jc w:val="left"/>
      </w:pPr>
      <w:r>
        <w:t>Gropper, S.S., Smith, J.L. and Carr, T.P. (2021) Advanced Nutrition and Human Metabolism. 8th edn. Cengage Learning. Available at: https://books.google.com/books?id=vggVEAAAQBAJ (Accessed: 13 August 2026).</w:t>
      </w:r>
    </w:p>
    <w:p w14:paraId="29D23E4E" w14:textId="77777777" w:rsidR="00F82D52" w:rsidRDefault="009F3F82" w:rsidP="00A51033">
      <w:pPr>
        <w:spacing w:before="240"/>
        <w:jc w:val="left"/>
      </w:pPr>
      <w:r>
        <w:t>Hall, J.E. and Hall, M.E. (2021) Guyton and Hall Textbook of Medical Physiology. 14th edn. Elsevier. Available at: https://books.google.com/books?id=yyewzQEACAAJ (Accessed: 13 August 2026).</w:t>
      </w:r>
    </w:p>
    <w:p w14:paraId="01ACF774" w14:textId="77777777" w:rsidR="00F82D52" w:rsidRDefault="009F3F82" w:rsidP="00A51033">
      <w:pPr>
        <w:spacing w:before="240"/>
        <w:jc w:val="left"/>
      </w:pPr>
      <w:r>
        <w:t>Holt, R.I.G., Cockram, C., Flyvbjerg, A. and Goldstein, B.J. (eds) (2017) Textbook of Diabetes. 5th edn. John Wiley &amp; Sons. Available at: https://books.google.com/books?id=l92qDQAAQBAJ (Accessed: 13 August 2026).</w:t>
      </w:r>
    </w:p>
    <w:p w14:paraId="639DCAB2" w14:textId="77777777" w:rsidR="00F82D52" w:rsidRDefault="009F3F82" w:rsidP="00A51033">
      <w:pPr>
        <w:spacing w:before="240"/>
        <w:jc w:val="left"/>
      </w:pPr>
      <w:r>
        <w:t>Kanaley, J.A., Colberg, S.R., Corcoran, M.H., Malin, S.K., Rodriguez, N.R., Crespo, C.J., Kirwan, J.P. and Zierath, J.R. (2022) 'Exercise/Physical Activity in Individuals with Type 2 Diabetes: A Consensus Statement from the American College of Sports Medicine', Medicine &amp; Science in Sports &amp; Exercise, 54(2), pp. 353-368. Available at: https://doi.org/10.1249/MSS.0000000000002800.</w:t>
      </w:r>
    </w:p>
    <w:p w14:paraId="3775F94A" w14:textId="77777777" w:rsidR="00F82D52" w:rsidRDefault="009F3F82" w:rsidP="00A51033">
      <w:pPr>
        <w:spacing w:before="240"/>
        <w:jc w:val="left"/>
      </w:pPr>
      <w:r>
        <w:lastRenderedPageBreak/>
        <w:t>Penman, I.D., Ralston, S.H., Strachan, M.W.J. and Hobson, R. (eds) (2022) Davidson's Principles and Practice of Medicine. 24th edn. Elsevier Health Sciences. Available at: https://books.google.com/books?id=vhl2EAAAQBAJ (Accessed: 13 August 2026).</w:t>
      </w:r>
    </w:p>
    <w:p w14:paraId="43E96892" w14:textId="77777777" w:rsidR="00F82D52" w:rsidRDefault="009F3F82" w:rsidP="00A51033">
      <w:pPr>
        <w:spacing w:before="240"/>
        <w:jc w:val="left"/>
      </w:pPr>
      <w:r>
        <w:t>Taylor, R., Ramachandran, A., Yancy, W.S. Jr and Forouhi, N.G. (2021) 'Nutritional basis of type 2 diabetes remission', BMJ, 374, n1449. Available at: https://doi.org/10.1136/bmj.n1449.</w:t>
      </w:r>
    </w:p>
    <w:p w14:paraId="6C5D76F6" w14:textId="77777777" w:rsidR="00F82D52" w:rsidRDefault="009F3F82" w:rsidP="00A51033">
      <w:pPr>
        <w:spacing w:before="240"/>
        <w:jc w:val="left"/>
      </w:pPr>
      <w:r>
        <w:t>Tortora, G.J. and Derrickson, B.H. (2020) Principles of Anatomy and Physiology. 16th edn. John Wiley &amp; Sons. Available at: https://books.google.com/books?id=p5YIEAAAQBAJ (Accessed: 13 August 2026).</w:t>
      </w:r>
    </w:p>
    <w:p w14:paraId="58A9B7F9" w14:textId="77777777" w:rsidR="00F82D52" w:rsidRDefault="009F3F82" w:rsidP="00A51033">
      <w:pPr>
        <w:spacing w:before="240"/>
        <w:jc w:val="left"/>
      </w:pPr>
      <w:r>
        <w:t>Waugh, A. and Grant, A. (2022) Ross &amp; Wilson Anatomy and Physiology in Health and Illness. 14th edn. Elsevier Health Sciences. Available at: https://books.google.com/books?id=qGdxEAAAQBAJ (Accessed: 13 August 2026).</w:t>
      </w:r>
    </w:p>
    <w:p w14:paraId="0203A7FF" w14:textId="32C4B022" w:rsidR="00F82D52" w:rsidRDefault="009F3F82" w:rsidP="00A51033">
      <w:pPr>
        <w:spacing w:before="240"/>
        <w:jc w:val="left"/>
      </w:pPr>
      <w:r>
        <w:t xml:space="preserve">Zheng, Y., Ley, S.H. and Hu, F.B. (2018) 'Global </w:t>
      </w:r>
      <w:r w:rsidR="00D74334">
        <w:t>etiology</w:t>
      </w:r>
      <w:r>
        <w:t xml:space="preserve"> and epidemiology of type 2 diabetes mellitus and its complications', Nature Reviews Endocrinology, 14, pp. 88-98. Available at: https://doi.org/10.1038/nrendo.2017.151.</w:t>
      </w:r>
    </w:p>
    <w:p w14:paraId="6150A1A0" w14:textId="46C862E1" w:rsidR="00F82D52" w:rsidRDefault="00F82D52">
      <w:pPr>
        <w:jc w:val="center"/>
      </w:pPr>
    </w:p>
    <w:sectPr w:rsidR="00F82D52" w:rsidSect="00034616">
      <w:headerReference w:type="default" r:id="rId14"/>
      <w:footerReference w:type="default" r:id="rId15"/>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9CA879" w14:textId="77777777" w:rsidR="0040425D" w:rsidRDefault="0040425D">
      <w:pPr>
        <w:spacing w:before="0" w:after="0" w:line="240" w:lineRule="auto"/>
      </w:pPr>
      <w:r>
        <w:separator/>
      </w:r>
    </w:p>
  </w:endnote>
  <w:endnote w:type="continuationSeparator" w:id="0">
    <w:p w14:paraId="15F8C352" w14:textId="77777777" w:rsidR="0040425D" w:rsidRDefault="004042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DB4586" w14:textId="77777777" w:rsidR="00F82D52" w:rsidRDefault="009F3F82">
    <w:pPr>
      <w:pStyle w:val="Footer"/>
      <w:jc w:val="center"/>
    </w:pPr>
    <w:r>
      <w:rPr>
        <w:color w:val="696969"/>
        <w:sz w:val="18"/>
      </w:rPr>
      <w:t xml:space="preserve">Page </w:t>
    </w:r>
    <w:r>
      <w:fldChar w:fldCharType="begin"/>
    </w:r>
    <w:r>
      <w:instrText>PAGE</w:instrText>
    </w:r>
    <w:r>
      <w:fldChar w:fldCharType="separate"/>
    </w:r>
    <w:r w:rsidR="000C073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4F1A45" w14:textId="77777777" w:rsidR="0040425D" w:rsidRDefault="0040425D">
      <w:pPr>
        <w:spacing w:before="0" w:after="0" w:line="240" w:lineRule="auto"/>
      </w:pPr>
      <w:r>
        <w:separator/>
      </w:r>
    </w:p>
  </w:footnote>
  <w:footnote w:type="continuationSeparator" w:id="0">
    <w:p w14:paraId="662C456B" w14:textId="77777777" w:rsidR="0040425D" w:rsidRDefault="0040425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24FA17" w14:textId="13DA7C8A" w:rsidR="00F82D52" w:rsidRDefault="00F82D5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43427506">
    <w:abstractNumId w:val="8"/>
  </w:num>
  <w:num w:numId="2" w16cid:durableId="861285307">
    <w:abstractNumId w:val="6"/>
  </w:num>
  <w:num w:numId="3" w16cid:durableId="1152719412">
    <w:abstractNumId w:val="5"/>
  </w:num>
  <w:num w:numId="4" w16cid:durableId="1766610317">
    <w:abstractNumId w:val="4"/>
  </w:num>
  <w:num w:numId="5" w16cid:durableId="1983777380">
    <w:abstractNumId w:val="7"/>
  </w:num>
  <w:num w:numId="6" w16cid:durableId="2142990048">
    <w:abstractNumId w:val="3"/>
  </w:num>
  <w:num w:numId="7" w16cid:durableId="1929074485">
    <w:abstractNumId w:val="2"/>
  </w:num>
  <w:num w:numId="8" w16cid:durableId="688144257">
    <w:abstractNumId w:val="1"/>
  </w:num>
  <w:num w:numId="9" w16cid:durableId="2011135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50BA"/>
    <w:rsid w:val="0004718C"/>
    <w:rsid w:val="0006063C"/>
    <w:rsid w:val="000A523A"/>
    <w:rsid w:val="000C073F"/>
    <w:rsid w:val="001307AB"/>
    <w:rsid w:val="0015074B"/>
    <w:rsid w:val="00190D60"/>
    <w:rsid w:val="001C38B7"/>
    <w:rsid w:val="001D3FD3"/>
    <w:rsid w:val="001F0D7E"/>
    <w:rsid w:val="001F11F5"/>
    <w:rsid w:val="001F5D8B"/>
    <w:rsid w:val="00251755"/>
    <w:rsid w:val="002877E9"/>
    <w:rsid w:val="0029639D"/>
    <w:rsid w:val="002A1767"/>
    <w:rsid w:val="002D2280"/>
    <w:rsid w:val="002E4EEF"/>
    <w:rsid w:val="00301131"/>
    <w:rsid w:val="00311B67"/>
    <w:rsid w:val="003237F9"/>
    <w:rsid w:val="00326F90"/>
    <w:rsid w:val="0036553A"/>
    <w:rsid w:val="0040425D"/>
    <w:rsid w:val="00417EF9"/>
    <w:rsid w:val="00425F16"/>
    <w:rsid w:val="004C43D4"/>
    <w:rsid w:val="00550246"/>
    <w:rsid w:val="00577442"/>
    <w:rsid w:val="005D5215"/>
    <w:rsid w:val="0063592C"/>
    <w:rsid w:val="00673B64"/>
    <w:rsid w:val="006A4243"/>
    <w:rsid w:val="006A7F7A"/>
    <w:rsid w:val="0076100E"/>
    <w:rsid w:val="00777C39"/>
    <w:rsid w:val="00784E05"/>
    <w:rsid w:val="00875D06"/>
    <w:rsid w:val="008A7B18"/>
    <w:rsid w:val="00916397"/>
    <w:rsid w:val="009679D7"/>
    <w:rsid w:val="00995E4F"/>
    <w:rsid w:val="009D1928"/>
    <w:rsid w:val="009F3F82"/>
    <w:rsid w:val="009F565C"/>
    <w:rsid w:val="009F6AAD"/>
    <w:rsid w:val="00A1124E"/>
    <w:rsid w:val="00A16B2C"/>
    <w:rsid w:val="00A51033"/>
    <w:rsid w:val="00A653B0"/>
    <w:rsid w:val="00AA1D8D"/>
    <w:rsid w:val="00B04393"/>
    <w:rsid w:val="00B47730"/>
    <w:rsid w:val="00B51111"/>
    <w:rsid w:val="00BB5893"/>
    <w:rsid w:val="00BE4D55"/>
    <w:rsid w:val="00BE6D96"/>
    <w:rsid w:val="00C13B9C"/>
    <w:rsid w:val="00C21C7B"/>
    <w:rsid w:val="00C50DF3"/>
    <w:rsid w:val="00CA2087"/>
    <w:rsid w:val="00CB0664"/>
    <w:rsid w:val="00CC5551"/>
    <w:rsid w:val="00CE7E01"/>
    <w:rsid w:val="00D24376"/>
    <w:rsid w:val="00D74334"/>
    <w:rsid w:val="00D854DA"/>
    <w:rsid w:val="00DF6AFF"/>
    <w:rsid w:val="00E06C76"/>
    <w:rsid w:val="00E22654"/>
    <w:rsid w:val="00E53230"/>
    <w:rsid w:val="00EC0BB9"/>
    <w:rsid w:val="00F65692"/>
    <w:rsid w:val="00F72FD0"/>
    <w:rsid w:val="00F82D52"/>
    <w:rsid w:val="00FC693F"/>
    <w:rsid w:val="00FD5A22"/>
    <w:rsid w:val="00FE22A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2FEE31"/>
  <w14:defaultImageDpi w14:val="300"/>
  <w15:docId w15:val="{905FA70C-D3E5-4347-A0CE-6B64DE7D7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087"/>
    <w:pPr>
      <w:spacing w:before="120" w:after="120" w:line="360" w:lineRule="auto"/>
      <w:jc w:val="both"/>
    </w:pPr>
    <w:rPr>
      <w:rFonts w:ascii="Arial" w:eastAsia="Arial" w:hAnsi="Arial"/>
      <w:sz w:val="24"/>
    </w:rPr>
  </w:style>
  <w:style w:type="paragraph" w:styleId="Heading1">
    <w:name w:val="heading 1"/>
    <w:basedOn w:val="HeadingCustom"/>
    <w:next w:val="Normal"/>
    <w:link w:val="Heading1Char"/>
    <w:uiPriority w:val="9"/>
    <w:qFormat/>
    <w:rsid w:val="001F0D7E"/>
    <w:pPr>
      <w:spacing w:line="360" w:lineRule="auto"/>
      <w:jc w:val="both"/>
      <w:outlineLvl w:val="0"/>
    </w:pPr>
    <w:rPr>
      <w:sz w:val="32"/>
      <w:szCs w:val="24"/>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F0D7E"/>
    <w:rPr>
      <w:rFonts w:ascii="Arial" w:eastAsia="Arial" w:hAnsi="Arial"/>
      <w:b/>
      <w:color w:val="1F4E79"/>
      <w:sz w:val="32"/>
      <w:szCs w:val="24"/>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BodyCustom">
    <w:name w:val="BodyCustom"/>
    <w:pPr>
      <w:spacing w:after="120" w:line="360" w:lineRule="auto"/>
      <w:jc w:val="both"/>
    </w:pPr>
    <w:rPr>
      <w:rFonts w:ascii="Arial" w:eastAsia="Arial" w:hAnsi="Arial"/>
    </w:rPr>
  </w:style>
  <w:style w:type="paragraph" w:customStyle="1" w:styleId="HeadingCustom">
    <w:name w:val="HeadingCustom"/>
    <w:pPr>
      <w:spacing w:before="240" w:after="120"/>
    </w:pPr>
    <w:rPr>
      <w:rFonts w:ascii="Arial" w:eastAsia="Arial" w:hAnsi="Arial"/>
      <w:b/>
      <w:color w:val="1F4E79"/>
      <w:sz w:val="28"/>
    </w:rPr>
  </w:style>
  <w:style w:type="paragraph" w:customStyle="1" w:styleId="CaptionCustom">
    <w:name w:val="CaptionCustom"/>
    <w:pPr>
      <w:spacing w:after="160"/>
      <w:jc w:val="center"/>
    </w:pPr>
    <w:rPr>
      <w:rFonts w:ascii="Arial" w:eastAsia="Arial" w:hAnsi="Arial"/>
      <w:i/>
      <w:color w:val="5F5F5F"/>
      <w:sz w:val="18"/>
    </w:rPr>
  </w:style>
  <w:style w:type="paragraph" w:customStyle="1" w:styleId="RefCustom">
    <w:name w:val="RefCustom"/>
    <w:pPr>
      <w:spacing w:after="60"/>
      <w:ind w:left="504" w:hanging="504"/>
    </w:pPr>
    <w:rPr>
      <w:rFonts w:ascii="Arial" w:eastAsia="Arial" w:hAnsi="Arial"/>
      <w:sz w:val="20"/>
    </w:rPr>
  </w:style>
  <w:style w:type="paragraph" w:styleId="TOC1">
    <w:name w:val="toc 1"/>
    <w:basedOn w:val="Normal"/>
    <w:next w:val="Normal"/>
    <w:autoRedefine/>
    <w:uiPriority w:val="39"/>
    <w:unhideWhenUsed/>
    <w:rsid w:val="00F65692"/>
    <w:pPr>
      <w:spacing w:after="100"/>
    </w:pPr>
  </w:style>
  <w:style w:type="character" w:styleId="Hyperlink">
    <w:name w:val="Hyperlink"/>
    <w:basedOn w:val="DefaultParagraphFont"/>
    <w:uiPriority w:val="99"/>
    <w:unhideWhenUsed/>
    <w:rsid w:val="00F656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2303</Words>
  <Characters>15849</Characters>
  <Application>Microsoft Office Word</Application>
  <DocSecurity>0</DocSecurity>
  <Lines>880</Lines>
  <Paragraphs>177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Bianca Sanfilippo</cp:lastModifiedBy>
  <cp:revision>2</cp:revision>
  <dcterms:created xsi:type="dcterms:W3CDTF">2026-08-18T16:03:00Z</dcterms:created>
  <dcterms:modified xsi:type="dcterms:W3CDTF">2026-08-18T16:03:00Z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07a8a522-d4b6-4ede-a6f4-72d61cc483c0</vt:lpwstr>
  </property>
</Properties>
</file>