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rsidP="000A42F5">
          <w:pPr>
            <w:pStyle w:val="NoSpacing"/>
            <w:spacing w:before="1540" w:after="240"/>
            <w:jc w:val="both"/>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D11FE6E" w14:textId="24D7897A" w:rsidR="007D1947" w:rsidRPr="006D428E" w:rsidRDefault="006D428E" w:rsidP="00D35C38">
          <w:pPr>
            <w:pStyle w:val="NoSpacing"/>
            <w:pBdr>
              <w:top w:val="single" w:sz="6" w:space="6" w:color="5B9BD5" w:themeColor="accent1"/>
              <w:bottom w:val="single" w:sz="6" w:space="6" w:color="5B9BD5" w:themeColor="accent1"/>
            </w:pBdr>
            <w:spacing w:after="240"/>
            <w:jc w:val="center"/>
            <w:rPr>
              <w:rFonts w:ascii="Arial" w:hAnsi="Arial" w:cs="Arial"/>
              <w:color w:val="5B9BD5" w:themeColor="accent1"/>
              <w:sz w:val="28"/>
              <w:szCs w:val="28"/>
            </w:rPr>
          </w:pPr>
          <w:r w:rsidRPr="006D428E">
            <w:rPr>
              <w:rFonts w:ascii="Arial" w:hAnsi="Arial" w:cs="Arial"/>
              <w:sz w:val="24"/>
              <w:szCs w:val="24"/>
            </w:rPr>
            <w:t xml:space="preserve">Horizontal ratios </w:t>
          </w:r>
          <w:r w:rsidRPr="006D428E">
            <w:rPr>
              <w:rFonts w:ascii="Arial" w:hAnsi="Arial" w:cs="Arial"/>
              <w:sz w:val="24"/>
              <w:szCs w:val="24"/>
            </w:rPr>
            <w:t>analysis: Hilton Hotel</w:t>
          </w:r>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r w:rsidRPr="006D428E">
                <w:rPr>
                  <w:rFonts w:ascii="Arial" w:hAnsi="Arial" w:cs="Arial"/>
                  <w:color w:val="5B9BD5" w:themeColor="accent1"/>
                  <w:sz w:val="28"/>
                  <w:szCs w:val="28"/>
                </w:rPr>
                <w:t xml:space="preserve">                                              </w:t>
              </w:r>
            </w:sdtContent>
          </w:sdt>
        </w:p>
        <w:p w14:paraId="765A889E" w14:textId="689A2B09" w:rsidR="007D1947" w:rsidRDefault="007D1947" w:rsidP="000A42F5">
          <w:pPr>
            <w:pStyle w:val="NoSpacing"/>
            <w:spacing w:before="480"/>
            <w:jc w:val="both"/>
            <w:rPr>
              <w:color w:val="5B9BD5" w:themeColor="accent1"/>
            </w:rPr>
          </w:pPr>
          <w:r>
            <w:rPr>
              <w:noProof/>
              <w:color w:val="5B9BD5" w:themeColor="accent1"/>
              <w:lang w:val="en-GB" w:eastAsia="en-GB"/>
            </w:rPr>
            <w:drawing>
              <wp:inline distT="0" distB="0" distL="0" distR="0" wp14:anchorId="04B14404" wp14:editId="49D474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tbl>
          <w:tblPr>
            <w:tblStyle w:val="TableGrid"/>
            <w:tblW w:w="9110" w:type="dxa"/>
            <w:tblLook w:val="04A0" w:firstRow="1" w:lastRow="0" w:firstColumn="1" w:lastColumn="0" w:noHBand="0" w:noVBand="1"/>
          </w:tblPr>
          <w:tblGrid>
            <w:gridCol w:w="9110"/>
          </w:tblGrid>
          <w:tr w:rsidR="006D428E" w14:paraId="59BCD698" w14:textId="77777777" w:rsidTr="006D428E">
            <w:trPr>
              <w:trHeight w:val="2860"/>
            </w:trPr>
            <w:tc>
              <w:tcPr>
                <w:tcW w:w="9110" w:type="dxa"/>
              </w:tcPr>
              <w:p w14:paraId="0702C38E" w14:textId="35CA8592" w:rsidR="006D428E" w:rsidRPr="008B04A7" w:rsidRDefault="006D428E" w:rsidP="000A42F5">
                <w:pPr>
                  <w:pStyle w:val="Heading1"/>
                  <w:jc w:val="both"/>
                  <w:outlineLvl w:val="0"/>
                  <w:rPr>
                    <w:rFonts w:ascii="Arial" w:hAnsi="Arial" w:cs="Arial"/>
                    <w:color w:val="auto"/>
                    <w:sz w:val="24"/>
                    <w:szCs w:val="24"/>
                  </w:rPr>
                </w:pPr>
                <w:r w:rsidRPr="008B04A7">
                  <w:rPr>
                    <w:rFonts w:ascii="Arial" w:hAnsi="Arial" w:cs="Arial"/>
                    <w:color w:val="auto"/>
                    <w:sz w:val="24"/>
                    <w:szCs w:val="24"/>
                  </w:rPr>
                  <w:t>Mohammed Zahed Minhaz Siddiquei (2017481)</w:t>
                </w:r>
              </w:p>
              <w:p w14:paraId="35730F2D" w14:textId="3094B2B8" w:rsidR="006D428E" w:rsidRPr="008B04A7" w:rsidRDefault="006D428E" w:rsidP="006D428E">
                <w:pPr>
                  <w:rPr>
                    <w:rFonts w:ascii="Arial" w:hAnsi="Arial" w:cs="Arial"/>
                    <w:sz w:val="24"/>
                    <w:szCs w:val="24"/>
                  </w:rPr>
                </w:pPr>
                <w:r w:rsidRPr="008B04A7">
                  <w:rPr>
                    <w:rFonts w:ascii="Arial" w:hAnsi="Arial" w:cs="Arial"/>
                    <w:sz w:val="24"/>
                    <w:szCs w:val="24"/>
                  </w:rPr>
                  <w:t>Financial Management for the Hotel Industry</w:t>
                </w:r>
                <w:r w:rsidRPr="008B04A7">
                  <w:rPr>
                    <w:rFonts w:ascii="Arial" w:hAnsi="Arial" w:cs="Arial"/>
                    <w:sz w:val="24"/>
                    <w:szCs w:val="24"/>
                  </w:rPr>
                  <w:t xml:space="preserve"> (</w:t>
                </w:r>
                <w:r w:rsidRPr="008B04A7">
                  <w:rPr>
                    <w:rFonts w:ascii="Arial" w:hAnsi="Arial" w:cs="Arial"/>
                    <w:sz w:val="24"/>
                    <w:szCs w:val="24"/>
                  </w:rPr>
                  <w:t>BMIH5007</w:t>
                </w:r>
                <w:r w:rsidRPr="008B04A7">
                  <w:rPr>
                    <w:rFonts w:ascii="Arial" w:hAnsi="Arial" w:cs="Arial"/>
                    <w:sz w:val="24"/>
                    <w:szCs w:val="24"/>
                  </w:rPr>
                  <w:t>)</w:t>
                </w:r>
              </w:p>
              <w:p w14:paraId="5398FEDB" w14:textId="00AFFACB" w:rsidR="006D428E" w:rsidRPr="008B04A7" w:rsidRDefault="006D428E" w:rsidP="006D428E">
                <w:pPr>
                  <w:rPr>
                    <w:rFonts w:ascii="Arial" w:hAnsi="Arial" w:cs="Arial"/>
                    <w:sz w:val="24"/>
                    <w:szCs w:val="24"/>
                  </w:rPr>
                </w:pPr>
                <w:r w:rsidRPr="008B04A7">
                  <w:rPr>
                    <w:rFonts w:ascii="Arial" w:hAnsi="Arial" w:cs="Arial"/>
                    <w:sz w:val="24"/>
                    <w:szCs w:val="24"/>
                  </w:rPr>
                  <w:t>Lecturer Name:</w:t>
                </w:r>
                <w:r w:rsidR="008B04A7" w:rsidRPr="008B04A7">
                  <w:rPr>
                    <w:rFonts w:ascii="Arial" w:hAnsi="Arial" w:cs="Arial"/>
                    <w:sz w:val="24"/>
                    <w:szCs w:val="24"/>
                  </w:rPr>
                  <w:t xml:space="preserve"> Dale Clarke</w:t>
                </w:r>
              </w:p>
              <w:p w14:paraId="1B4C509A" w14:textId="4CAC3F3C" w:rsidR="006D428E" w:rsidRPr="006D428E" w:rsidRDefault="006D428E" w:rsidP="006D428E"/>
            </w:tc>
          </w:tr>
        </w:tbl>
        <w:p w14:paraId="0A37FA41" w14:textId="7D71F34C" w:rsidR="007D1947" w:rsidRPr="00BF7481" w:rsidRDefault="006D428E" w:rsidP="000A42F5">
          <w:pPr>
            <w:pStyle w:val="Heading1"/>
            <w:jc w:val="both"/>
            <w:rPr>
              <w:rFonts w:ascii="Arial" w:hAnsi="Arial" w:cs="Arial"/>
              <w:sz w:val="24"/>
              <w:szCs w:val="24"/>
            </w:rPr>
          </w:pPr>
          <w:r>
            <w:rPr>
              <w:noProof/>
              <w:color w:val="5B9BD5" w:themeColor="accent1"/>
              <w:lang w:eastAsia="en-GB"/>
            </w:rPr>
            <mc:AlternateContent>
              <mc:Choice Requires="wps">
                <w:drawing>
                  <wp:anchor distT="0" distB="0" distL="114300" distR="114300" simplePos="0" relativeHeight="251659264" behindDoc="0" locked="0" layoutInCell="1" allowOverlap="1" wp14:anchorId="547C4096" wp14:editId="11100B16">
                    <wp:simplePos x="0" y="0"/>
                    <wp:positionH relativeFrom="margin">
                      <wp:align>right</wp:align>
                    </wp:positionH>
                    <wp:positionV relativeFrom="page">
                      <wp:posOffset>9280565</wp:posOffset>
                    </wp:positionV>
                    <wp:extent cx="6553200" cy="806945"/>
                    <wp:effectExtent l="0" t="0" r="2540" b="12700"/>
                    <wp:wrapNone/>
                    <wp:docPr id="142" name="Text Box 142"/>
                    <wp:cNvGraphicFramePr/>
                    <a:graphic xmlns:a="http://schemas.openxmlformats.org/drawingml/2006/main">
                      <a:graphicData uri="http://schemas.microsoft.com/office/word/2010/wordprocessingShape">
                        <wps:wsp>
                          <wps:cNvSpPr txBox="1"/>
                          <wps:spPr>
                            <a:xfrm>
                              <a:off x="0" y="0"/>
                              <a:ext cx="6553200" cy="806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1T00:00:00Z">
                                    <w:dateFormat w:val="MMMM d, yyyy"/>
                                    <w:lid w:val="en-US"/>
                                    <w:storeMappedDataAs w:val="dateTime"/>
                                    <w:calendar w:val="gregorian"/>
                                  </w:date>
                                </w:sdtPr>
                                <w:sdtEndPr/>
                                <w:sdtContent>
                                  <w:p w14:paraId="5DA3BD92" w14:textId="05BCD67F" w:rsidR="007D1947" w:rsidRDefault="006D428E">
                                    <w:pPr>
                                      <w:pStyle w:val="NoSpacing"/>
                                      <w:spacing w:after="40"/>
                                      <w:jc w:val="center"/>
                                      <w:rPr>
                                        <w:caps/>
                                        <w:color w:val="5B9BD5" w:themeColor="accent1"/>
                                        <w:sz w:val="28"/>
                                        <w:szCs w:val="28"/>
                                      </w:rPr>
                                    </w:pPr>
                                    <w:r>
                                      <w:rPr>
                                        <w:caps/>
                                        <w:color w:val="5B9BD5" w:themeColor="accent1"/>
                                        <w:sz w:val="28"/>
                                        <w:szCs w:val="28"/>
                                      </w:rPr>
                                      <w:t>May 31, 2022</w:t>
                                    </w:r>
                                  </w:p>
                                </w:sdtContent>
                              </w:sdt>
                              <w:p w14:paraId="6DAC6D9E" w14:textId="77777777" w:rsidR="007D1947" w:rsidRDefault="003274B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3274B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464.8pt;margin-top:730.75pt;width:516pt;height:63.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1T00:00:00Z">
                              <w:dateFormat w:val="MMMM d, yyyy"/>
                              <w:lid w:val="en-US"/>
                              <w:storeMappedDataAs w:val="dateTime"/>
                              <w:calendar w:val="gregorian"/>
                            </w:date>
                          </w:sdtPr>
                          <w:sdtEndPr/>
                          <w:sdtContent>
                            <w:p w14:paraId="5DA3BD92" w14:textId="05BCD67F" w:rsidR="007D1947" w:rsidRDefault="006D428E">
                              <w:pPr>
                                <w:pStyle w:val="NoSpacing"/>
                                <w:spacing w:after="40"/>
                                <w:jc w:val="center"/>
                                <w:rPr>
                                  <w:caps/>
                                  <w:color w:val="5B9BD5" w:themeColor="accent1"/>
                                  <w:sz w:val="28"/>
                                  <w:szCs w:val="28"/>
                                </w:rPr>
                              </w:pPr>
                              <w:r>
                                <w:rPr>
                                  <w:caps/>
                                  <w:color w:val="5B9BD5" w:themeColor="accent1"/>
                                  <w:sz w:val="28"/>
                                  <w:szCs w:val="28"/>
                                </w:rPr>
                                <w:t>May 31, 2022</w:t>
                              </w:r>
                            </w:p>
                          </w:sdtContent>
                        </w:sdt>
                        <w:p w14:paraId="6DAC6D9E" w14:textId="77777777" w:rsidR="007D1947" w:rsidRDefault="003274B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3274B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bookmarkStart w:id="0" w:name="_Toc104590325"/>
          <w:r w:rsidR="007D1947" w:rsidRPr="00BF7481">
            <w:rPr>
              <w:rFonts w:ascii="Arial" w:hAnsi="Arial" w:cs="Arial"/>
              <w:sz w:val="24"/>
              <w:szCs w:val="24"/>
            </w:rPr>
            <w:lastRenderedPageBreak/>
            <w:t>Executive Summary</w:t>
          </w:r>
          <w:bookmarkEnd w:id="0"/>
        </w:p>
        <w:p w14:paraId="5E0D6EF6" w14:textId="353D1754" w:rsidR="001E6100" w:rsidRPr="00BF7481" w:rsidRDefault="001E6100" w:rsidP="000A42F5">
          <w:pPr>
            <w:jc w:val="both"/>
            <w:rPr>
              <w:rFonts w:ascii="Arial" w:hAnsi="Arial" w:cs="Arial"/>
              <w:sz w:val="24"/>
              <w:szCs w:val="24"/>
            </w:rPr>
          </w:pPr>
          <w:r w:rsidRPr="00BF7481">
            <w:rPr>
              <w:rFonts w:ascii="Arial" w:hAnsi="Arial" w:cs="Arial"/>
              <w:sz w:val="24"/>
              <w:szCs w:val="24"/>
            </w:rPr>
            <w:t>The goal of the investigation would be to examine the economic situation for Hiltons Global Enterprises, a leisure firm situated within the United States which maintains a network of properties and destinations. That analysis would be submitted to the corporation 's CEO for assess their success over the 2019 and 2020 financial years. A horizontally proportion study is performed to assess the proportion variations inside the firm. The firm's revenue and financial balances would be subjected to a horizontally proportion examination. Following the conclusion of computation, a comprehensive examination of the results would be provided to administration. Furthermore, a quick description of proportion would be supplied to aid in additional comprehension and judgment selection.</w:t>
          </w:r>
        </w:p>
        <w:p w14:paraId="670ED438" w14:textId="15C2679B" w:rsidR="007D1947" w:rsidRDefault="00FE4701" w:rsidP="000A42F5">
          <w:pPr>
            <w:jc w:val="both"/>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Pr="00BF7481" w:rsidRDefault="007D1947" w:rsidP="000A42F5">
              <w:pPr>
                <w:pStyle w:val="TOCHeading"/>
                <w:jc w:val="both"/>
                <w:rPr>
                  <w:rFonts w:ascii="Arial" w:hAnsi="Arial" w:cs="Arial"/>
                  <w:sz w:val="24"/>
                  <w:szCs w:val="24"/>
                </w:rPr>
              </w:pPr>
              <w:r w:rsidRPr="00BF7481">
                <w:rPr>
                  <w:rFonts w:ascii="Arial" w:hAnsi="Arial" w:cs="Arial"/>
                  <w:sz w:val="24"/>
                  <w:szCs w:val="24"/>
                </w:rPr>
                <w:t>Table of Contents</w:t>
              </w:r>
            </w:p>
            <w:p w14:paraId="2D540441" w14:textId="27287594" w:rsidR="00B86374" w:rsidRPr="00BF7481" w:rsidRDefault="007D1947">
              <w:pPr>
                <w:pStyle w:val="TOC1"/>
                <w:tabs>
                  <w:tab w:val="right" w:leader="dot" w:pos="9016"/>
                </w:tabs>
                <w:rPr>
                  <w:rFonts w:ascii="Arial" w:eastAsiaTheme="minorEastAsia" w:hAnsi="Arial" w:cs="Arial"/>
                  <w:noProof/>
                  <w:sz w:val="24"/>
                  <w:szCs w:val="24"/>
                  <w:lang w:val="en-IN" w:eastAsia="en-IN"/>
                </w:rPr>
              </w:pPr>
              <w:r w:rsidRPr="00BF7481">
                <w:rPr>
                  <w:rFonts w:ascii="Arial" w:hAnsi="Arial" w:cs="Arial"/>
                  <w:sz w:val="24"/>
                  <w:szCs w:val="24"/>
                </w:rPr>
                <w:fldChar w:fldCharType="begin"/>
              </w:r>
              <w:r w:rsidRPr="00BF7481">
                <w:rPr>
                  <w:rFonts w:ascii="Arial" w:hAnsi="Arial" w:cs="Arial"/>
                  <w:sz w:val="24"/>
                  <w:szCs w:val="24"/>
                </w:rPr>
                <w:instrText xml:space="preserve"> TOC \o "1-3" \h \z \u </w:instrText>
              </w:r>
              <w:r w:rsidRPr="00BF7481">
                <w:rPr>
                  <w:rFonts w:ascii="Arial" w:hAnsi="Arial" w:cs="Arial"/>
                  <w:sz w:val="24"/>
                  <w:szCs w:val="24"/>
                </w:rPr>
                <w:fldChar w:fldCharType="separate"/>
              </w:r>
              <w:hyperlink w:anchor="_Toc104590325" w:history="1">
                <w:r w:rsidR="00B86374" w:rsidRPr="00BF7481">
                  <w:rPr>
                    <w:rStyle w:val="Hyperlink"/>
                    <w:rFonts w:ascii="Arial" w:hAnsi="Arial" w:cs="Arial"/>
                    <w:noProof/>
                    <w:sz w:val="24"/>
                    <w:szCs w:val="24"/>
                  </w:rPr>
                  <w:t>Executive Summary</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_Toc104590325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1</w:t>
                </w:r>
                <w:r w:rsidR="00B86374" w:rsidRPr="00BF7481">
                  <w:rPr>
                    <w:rFonts w:ascii="Arial" w:hAnsi="Arial" w:cs="Arial"/>
                    <w:noProof/>
                    <w:webHidden/>
                    <w:sz w:val="24"/>
                    <w:szCs w:val="24"/>
                  </w:rPr>
                  <w:fldChar w:fldCharType="end"/>
                </w:r>
              </w:hyperlink>
            </w:p>
            <w:p w14:paraId="0B33EDB6" w14:textId="2E3AE3FB" w:rsidR="00B86374" w:rsidRPr="00BF7481" w:rsidRDefault="003274B8">
              <w:pPr>
                <w:pStyle w:val="TOC1"/>
                <w:tabs>
                  <w:tab w:val="right" w:leader="dot" w:pos="9016"/>
                </w:tabs>
                <w:rPr>
                  <w:rFonts w:ascii="Arial" w:eastAsiaTheme="minorEastAsia" w:hAnsi="Arial" w:cs="Arial"/>
                  <w:noProof/>
                  <w:sz w:val="24"/>
                  <w:szCs w:val="24"/>
                  <w:lang w:val="en-IN" w:eastAsia="en-IN"/>
                </w:rPr>
              </w:pPr>
              <w:hyperlink w:anchor="_Toc104590326" w:history="1">
                <w:r w:rsidR="00B86374" w:rsidRPr="00BF7481">
                  <w:rPr>
                    <w:rStyle w:val="Hyperlink"/>
                    <w:rFonts w:ascii="Arial" w:hAnsi="Arial" w:cs="Arial"/>
                    <w:noProof/>
                    <w:sz w:val="24"/>
                    <w:szCs w:val="24"/>
                  </w:rPr>
                  <w:t>Introduction</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_Toc104590326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3</w:t>
                </w:r>
                <w:r w:rsidR="00B86374" w:rsidRPr="00BF7481">
                  <w:rPr>
                    <w:rFonts w:ascii="Arial" w:hAnsi="Arial" w:cs="Arial"/>
                    <w:noProof/>
                    <w:webHidden/>
                    <w:sz w:val="24"/>
                    <w:szCs w:val="24"/>
                  </w:rPr>
                  <w:fldChar w:fldCharType="end"/>
                </w:r>
              </w:hyperlink>
            </w:p>
            <w:p w14:paraId="62330627" w14:textId="0657347A" w:rsidR="00B86374" w:rsidRPr="00BF7481" w:rsidRDefault="003274B8">
              <w:pPr>
                <w:pStyle w:val="TOC1"/>
                <w:tabs>
                  <w:tab w:val="right" w:leader="dot" w:pos="9016"/>
                </w:tabs>
                <w:rPr>
                  <w:rFonts w:ascii="Arial" w:eastAsiaTheme="minorEastAsia" w:hAnsi="Arial" w:cs="Arial"/>
                  <w:noProof/>
                  <w:sz w:val="24"/>
                  <w:szCs w:val="24"/>
                  <w:lang w:val="en-IN" w:eastAsia="en-IN"/>
                </w:rPr>
              </w:pPr>
              <w:hyperlink w:anchor="_Toc104590327" w:history="1">
                <w:r w:rsidR="00B86374" w:rsidRPr="00BF7481">
                  <w:rPr>
                    <w:rStyle w:val="Hyperlink"/>
                    <w:rFonts w:ascii="Arial" w:hAnsi="Arial" w:cs="Arial"/>
                    <w:noProof/>
                    <w:sz w:val="24"/>
                    <w:szCs w:val="24"/>
                  </w:rPr>
                  <w:t>Financial Analysis</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_Toc104590327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4</w:t>
                </w:r>
                <w:r w:rsidR="00B86374" w:rsidRPr="00BF7481">
                  <w:rPr>
                    <w:rFonts w:ascii="Arial" w:hAnsi="Arial" w:cs="Arial"/>
                    <w:noProof/>
                    <w:webHidden/>
                    <w:sz w:val="24"/>
                    <w:szCs w:val="24"/>
                  </w:rPr>
                  <w:fldChar w:fldCharType="end"/>
                </w:r>
              </w:hyperlink>
            </w:p>
            <w:p w14:paraId="5A7FF85B" w14:textId="770BA327" w:rsidR="00B86374" w:rsidRPr="00BF7481" w:rsidRDefault="003274B8">
              <w:pPr>
                <w:pStyle w:val="TOC1"/>
                <w:tabs>
                  <w:tab w:val="right" w:leader="dot" w:pos="9016"/>
                </w:tabs>
                <w:rPr>
                  <w:rFonts w:ascii="Arial" w:eastAsiaTheme="minorEastAsia" w:hAnsi="Arial" w:cs="Arial"/>
                  <w:noProof/>
                  <w:sz w:val="24"/>
                  <w:szCs w:val="24"/>
                  <w:lang w:val="en-IN" w:eastAsia="en-IN"/>
                </w:rPr>
              </w:pPr>
              <w:hyperlink w:anchor="_Toc104590328" w:history="1">
                <w:r w:rsidR="00B86374" w:rsidRPr="00BF7481">
                  <w:rPr>
                    <w:rStyle w:val="Hyperlink"/>
                    <w:rFonts w:ascii="Arial" w:hAnsi="Arial" w:cs="Arial"/>
                    <w:noProof/>
                    <w:sz w:val="24"/>
                    <w:szCs w:val="24"/>
                  </w:rPr>
                  <w:t>Financial Analysis Trends</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_Toc104590328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4</w:t>
                </w:r>
                <w:r w:rsidR="00B86374" w:rsidRPr="00BF7481">
                  <w:rPr>
                    <w:rFonts w:ascii="Arial" w:hAnsi="Arial" w:cs="Arial"/>
                    <w:noProof/>
                    <w:webHidden/>
                    <w:sz w:val="24"/>
                    <w:szCs w:val="24"/>
                  </w:rPr>
                  <w:fldChar w:fldCharType="end"/>
                </w:r>
              </w:hyperlink>
            </w:p>
            <w:p w14:paraId="7A67B45D" w14:textId="2C942C70" w:rsidR="00B86374" w:rsidRPr="00BF7481" w:rsidRDefault="003274B8">
              <w:pPr>
                <w:pStyle w:val="TOC2"/>
                <w:tabs>
                  <w:tab w:val="right" w:leader="dot" w:pos="9016"/>
                </w:tabs>
                <w:rPr>
                  <w:rFonts w:ascii="Arial" w:eastAsiaTheme="minorEastAsia" w:hAnsi="Arial" w:cs="Arial"/>
                  <w:noProof/>
                  <w:sz w:val="24"/>
                  <w:szCs w:val="24"/>
                  <w:lang w:val="en-IN" w:eastAsia="en-IN"/>
                </w:rPr>
              </w:pPr>
              <w:hyperlink w:anchor="_Toc104590329" w:history="1">
                <w:r w:rsidR="00B86374" w:rsidRPr="00BF7481">
                  <w:rPr>
                    <w:rStyle w:val="Hyperlink"/>
                    <w:rFonts w:ascii="Arial" w:hAnsi="Arial" w:cs="Arial"/>
                    <w:noProof/>
                    <w:sz w:val="24"/>
                    <w:szCs w:val="24"/>
                  </w:rPr>
                  <w:t>Horizontal assessment</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_Toc104590329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4</w:t>
                </w:r>
                <w:r w:rsidR="00B86374" w:rsidRPr="00BF7481">
                  <w:rPr>
                    <w:rFonts w:ascii="Arial" w:hAnsi="Arial" w:cs="Arial"/>
                    <w:noProof/>
                    <w:webHidden/>
                    <w:sz w:val="24"/>
                    <w:szCs w:val="24"/>
                  </w:rPr>
                  <w:fldChar w:fldCharType="end"/>
                </w:r>
              </w:hyperlink>
            </w:p>
            <w:p w14:paraId="777F56E8" w14:textId="53D481D1" w:rsidR="00B86374" w:rsidRPr="00BF7481" w:rsidRDefault="003274B8">
              <w:pPr>
                <w:pStyle w:val="TOC2"/>
                <w:tabs>
                  <w:tab w:val="right" w:leader="dot" w:pos="9016"/>
                </w:tabs>
                <w:rPr>
                  <w:rFonts w:ascii="Arial" w:eastAsiaTheme="minorEastAsia" w:hAnsi="Arial" w:cs="Arial"/>
                  <w:noProof/>
                  <w:sz w:val="24"/>
                  <w:szCs w:val="24"/>
                  <w:lang w:val="en-IN" w:eastAsia="en-IN"/>
                </w:rPr>
              </w:pPr>
              <w:hyperlink w:anchor="_Toc104590330" w:history="1">
                <w:r w:rsidR="00B86374" w:rsidRPr="00BF7481">
                  <w:rPr>
                    <w:rStyle w:val="Hyperlink"/>
                    <w:rFonts w:ascii="Arial" w:hAnsi="Arial" w:cs="Arial"/>
                    <w:noProof/>
                    <w:sz w:val="24"/>
                    <w:szCs w:val="24"/>
                  </w:rPr>
                  <w:t>Importance of using ratio analysis for decision making</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_Toc104590330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5</w:t>
                </w:r>
                <w:r w:rsidR="00B86374" w:rsidRPr="00BF7481">
                  <w:rPr>
                    <w:rFonts w:ascii="Arial" w:hAnsi="Arial" w:cs="Arial"/>
                    <w:noProof/>
                    <w:webHidden/>
                    <w:sz w:val="24"/>
                    <w:szCs w:val="24"/>
                  </w:rPr>
                  <w:fldChar w:fldCharType="end"/>
                </w:r>
              </w:hyperlink>
            </w:p>
            <w:p w14:paraId="6B35FDB0" w14:textId="406AAC33" w:rsidR="00B86374" w:rsidRPr="00BF7481" w:rsidRDefault="003274B8">
              <w:pPr>
                <w:pStyle w:val="TOC2"/>
                <w:tabs>
                  <w:tab w:val="right" w:leader="dot" w:pos="9016"/>
                </w:tabs>
                <w:rPr>
                  <w:rFonts w:ascii="Arial" w:eastAsiaTheme="minorEastAsia" w:hAnsi="Arial" w:cs="Arial"/>
                  <w:noProof/>
                  <w:sz w:val="24"/>
                  <w:szCs w:val="24"/>
                  <w:lang w:val="en-IN" w:eastAsia="en-IN"/>
                </w:rPr>
              </w:pPr>
              <w:hyperlink w:anchor="_Toc104590331" w:history="1">
                <w:r w:rsidR="00B86374" w:rsidRPr="00BF7481">
                  <w:rPr>
                    <w:rStyle w:val="Hyperlink"/>
                    <w:rFonts w:ascii="Arial" w:hAnsi="Arial" w:cs="Arial"/>
                    <w:noProof/>
                    <w:sz w:val="24"/>
                    <w:szCs w:val="24"/>
                  </w:rPr>
                  <w:t>Limitation of analysis in decision making</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_Toc104590331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6</w:t>
                </w:r>
                <w:r w:rsidR="00B86374" w:rsidRPr="00BF7481">
                  <w:rPr>
                    <w:rFonts w:ascii="Arial" w:hAnsi="Arial" w:cs="Arial"/>
                    <w:noProof/>
                    <w:webHidden/>
                    <w:sz w:val="24"/>
                    <w:szCs w:val="24"/>
                  </w:rPr>
                  <w:fldChar w:fldCharType="end"/>
                </w:r>
              </w:hyperlink>
            </w:p>
            <w:p w14:paraId="11522913" w14:textId="7BB50A0C" w:rsidR="00B86374" w:rsidRPr="00BF7481" w:rsidRDefault="003274B8">
              <w:pPr>
                <w:pStyle w:val="TOC1"/>
                <w:tabs>
                  <w:tab w:val="right" w:leader="dot" w:pos="9016"/>
                </w:tabs>
                <w:rPr>
                  <w:rFonts w:ascii="Arial" w:eastAsiaTheme="minorEastAsia" w:hAnsi="Arial" w:cs="Arial"/>
                  <w:noProof/>
                  <w:sz w:val="24"/>
                  <w:szCs w:val="24"/>
                  <w:lang w:val="en-IN" w:eastAsia="en-IN"/>
                </w:rPr>
              </w:pPr>
              <w:hyperlink w:anchor="_Toc104590332" w:history="1">
                <w:r w:rsidR="00B86374" w:rsidRPr="00BF7481">
                  <w:rPr>
                    <w:rStyle w:val="Hyperlink"/>
                    <w:rFonts w:ascii="Arial" w:hAnsi="Arial" w:cs="Arial"/>
                    <w:noProof/>
                    <w:sz w:val="24"/>
                    <w:szCs w:val="24"/>
                  </w:rPr>
                  <w:t>Conclusion</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_Toc104590332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6</w:t>
                </w:r>
                <w:r w:rsidR="00B86374" w:rsidRPr="00BF7481">
                  <w:rPr>
                    <w:rFonts w:ascii="Arial" w:hAnsi="Arial" w:cs="Arial"/>
                    <w:noProof/>
                    <w:webHidden/>
                    <w:sz w:val="24"/>
                    <w:szCs w:val="24"/>
                  </w:rPr>
                  <w:fldChar w:fldCharType="end"/>
                </w:r>
              </w:hyperlink>
            </w:p>
            <w:p w14:paraId="17FE732E" w14:textId="31A7A53B" w:rsidR="00B86374" w:rsidRPr="00BF7481" w:rsidRDefault="003274B8">
              <w:pPr>
                <w:pStyle w:val="TOC1"/>
                <w:tabs>
                  <w:tab w:val="right" w:leader="dot" w:pos="9016"/>
                </w:tabs>
                <w:rPr>
                  <w:rFonts w:ascii="Arial" w:eastAsiaTheme="minorEastAsia" w:hAnsi="Arial" w:cs="Arial"/>
                  <w:noProof/>
                  <w:sz w:val="24"/>
                  <w:szCs w:val="24"/>
                  <w:lang w:val="en-IN" w:eastAsia="en-IN"/>
                </w:rPr>
              </w:pPr>
              <w:hyperlink w:anchor="_Toc104590333" w:history="1">
                <w:r w:rsidR="00B86374" w:rsidRPr="00BF7481">
                  <w:rPr>
                    <w:rStyle w:val="Hyperlink"/>
                    <w:rFonts w:ascii="Arial" w:hAnsi="Arial" w:cs="Arial"/>
                    <w:noProof/>
                    <w:sz w:val="24"/>
                    <w:szCs w:val="24"/>
                  </w:rPr>
                  <w:t>Bibliography</w:t>
                </w:r>
                <w:r w:rsidR="00B86374" w:rsidRPr="00BF7481">
                  <w:rPr>
                    <w:rFonts w:ascii="Arial" w:hAnsi="Arial" w:cs="Arial"/>
                    <w:noProof/>
                    <w:webHidden/>
                    <w:sz w:val="24"/>
                    <w:szCs w:val="24"/>
                  </w:rPr>
                  <w:tab/>
                </w:r>
                <w:r w:rsidR="00B86374" w:rsidRPr="00BF7481">
                  <w:rPr>
                    <w:rFonts w:ascii="Arial" w:hAnsi="Arial" w:cs="Arial"/>
                    <w:noProof/>
                    <w:webHidden/>
                    <w:sz w:val="24"/>
                    <w:szCs w:val="24"/>
                  </w:rPr>
                  <w:fldChar w:fldCharType="begin"/>
                </w:r>
                <w:r w:rsidR="00B86374" w:rsidRPr="00BF7481">
                  <w:rPr>
                    <w:rFonts w:ascii="Arial" w:hAnsi="Arial" w:cs="Arial"/>
                    <w:noProof/>
                    <w:webHidden/>
                    <w:sz w:val="24"/>
                    <w:szCs w:val="24"/>
                  </w:rPr>
                  <w:instrText xml:space="preserve"> PAGEREF _Toc104590333 \h </w:instrText>
                </w:r>
                <w:r w:rsidR="00B86374" w:rsidRPr="00BF7481">
                  <w:rPr>
                    <w:rFonts w:ascii="Arial" w:hAnsi="Arial" w:cs="Arial"/>
                    <w:noProof/>
                    <w:webHidden/>
                    <w:sz w:val="24"/>
                    <w:szCs w:val="24"/>
                  </w:rPr>
                </w:r>
                <w:r w:rsidR="00B86374" w:rsidRPr="00BF7481">
                  <w:rPr>
                    <w:rFonts w:ascii="Arial" w:hAnsi="Arial" w:cs="Arial"/>
                    <w:noProof/>
                    <w:webHidden/>
                    <w:sz w:val="24"/>
                    <w:szCs w:val="24"/>
                  </w:rPr>
                  <w:fldChar w:fldCharType="separate"/>
                </w:r>
                <w:r w:rsidR="00B86374" w:rsidRPr="00BF7481">
                  <w:rPr>
                    <w:rFonts w:ascii="Arial" w:hAnsi="Arial" w:cs="Arial"/>
                    <w:noProof/>
                    <w:webHidden/>
                    <w:sz w:val="24"/>
                    <w:szCs w:val="24"/>
                  </w:rPr>
                  <w:t>8</w:t>
                </w:r>
                <w:r w:rsidR="00B86374" w:rsidRPr="00BF7481">
                  <w:rPr>
                    <w:rFonts w:ascii="Arial" w:hAnsi="Arial" w:cs="Arial"/>
                    <w:noProof/>
                    <w:webHidden/>
                    <w:sz w:val="24"/>
                    <w:szCs w:val="24"/>
                  </w:rPr>
                  <w:fldChar w:fldCharType="end"/>
                </w:r>
              </w:hyperlink>
            </w:p>
            <w:p w14:paraId="3BC68F25" w14:textId="179564CF" w:rsidR="007D1947" w:rsidRDefault="007D1947" w:rsidP="000A42F5">
              <w:pPr>
                <w:jc w:val="both"/>
              </w:pPr>
              <w:r w:rsidRPr="00BF7481">
                <w:rPr>
                  <w:rFonts w:ascii="Arial" w:hAnsi="Arial" w:cs="Arial"/>
                  <w:b/>
                  <w:bCs/>
                  <w:noProof/>
                  <w:sz w:val="24"/>
                  <w:szCs w:val="24"/>
                </w:rPr>
                <w:fldChar w:fldCharType="end"/>
              </w:r>
            </w:p>
          </w:sdtContent>
        </w:sdt>
        <w:p w14:paraId="59C3B306" w14:textId="3DEF35F5" w:rsidR="007D1947" w:rsidRDefault="00FE4701" w:rsidP="000A42F5">
          <w:pPr>
            <w:jc w:val="both"/>
          </w:pPr>
          <w:r>
            <w:br w:type="page"/>
          </w:r>
        </w:p>
        <w:p w14:paraId="33FC2C21" w14:textId="77777777" w:rsidR="007D1947" w:rsidRPr="00BF7481" w:rsidRDefault="007D1947" w:rsidP="000A42F5">
          <w:pPr>
            <w:pStyle w:val="Heading1"/>
            <w:jc w:val="both"/>
            <w:rPr>
              <w:rFonts w:ascii="Arial" w:hAnsi="Arial" w:cs="Arial"/>
              <w:sz w:val="24"/>
              <w:szCs w:val="24"/>
            </w:rPr>
          </w:pPr>
          <w:bookmarkStart w:id="1" w:name="_Toc104590326"/>
          <w:r w:rsidRPr="00BF7481">
            <w:rPr>
              <w:rFonts w:ascii="Arial" w:hAnsi="Arial" w:cs="Arial"/>
              <w:sz w:val="24"/>
              <w:szCs w:val="24"/>
            </w:rPr>
            <w:lastRenderedPageBreak/>
            <w:t>Introduction</w:t>
          </w:r>
          <w:bookmarkEnd w:id="1"/>
        </w:p>
        <w:p w14:paraId="64A17627" w14:textId="4223FB62" w:rsidR="00C35DE5" w:rsidRPr="00BF7481" w:rsidRDefault="00900137" w:rsidP="000A42F5">
          <w:pPr>
            <w:jc w:val="both"/>
            <w:rPr>
              <w:rFonts w:ascii="Arial" w:hAnsi="Arial" w:cs="Arial"/>
              <w:sz w:val="24"/>
              <w:szCs w:val="24"/>
            </w:rPr>
          </w:pPr>
          <w:r w:rsidRPr="00BF7481">
            <w:rPr>
              <w:rFonts w:ascii="Arial" w:hAnsi="Arial" w:cs="Arial"/>
              <w:sz w:val="24"/>
              <w:szCs w:val="24"/>
            </w:rPr>
            <w:t>Hilton Lodging Corp is a significant leisure firm with almost 2,000 buildings around the nation which it controls, operates, and franchisees. Conrad Resorts, the corporation 's global wing, includes sites in Argentina, Scotland, France, Egypt, Belgian, Turkish, Singapore, among Hong Kong. Despite being openly listed, the Hilton line has headed the network throughout most of their existence.  Hilton had a global network of luxury resorts even by mid 1940s. The hotel business faced several problems including tribulations mostly in financial year 2020. The purpose of this research is to compute Hilton Enterprises' longitudinal comparisons during 2019 and 2020 throughout order that evaluate the corporation 's economic developments</w:t>
          </w:r>
          <w:r w:rsidR="00B86374" w:rsidRPr="00BF7481">
            <w:rPr>
              <w:rFonts w:ascii="Arial" w:hAnsi="Arial" w:cs="Arial"/>
              <w:sz w:val="24"/>
              <w:szCs w:val="24"/>
            </w:rPr>
            <w:t xml:space="preserve"> </w:t>
          </w:r>
          <w:sdt>
            <w:sdtPr>
              <w:rPr>
                <w:rFonts w:ascii="Arial" w:hAnsi="Arial" w:cs="Arial"/>
                <w:sz w:val="24"/>
                <w:szCs w:val="24"/>
              </w:rPr>
              <w:id w:val="2099822923"/>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Ang22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(Anggraini, 2022)</w:t>
              </w:r>
              <w:r w:rsidR="00B86374" w:rsidRPr="00BF7481">
                <w:rPr>
                  <w:rFonts w:ascii="Arial" w:hAnsi="Arial" w:cs="Arial"/>
                  <w:sz w:val="24"/>
                  <w:szCs w:val="24"/>
                </w:rPr>
                <w:fldChar w:fldCharType="end"/>
              </w:r>
            </w:sdtContent>
          </w:sdt>
          <w:r w:rsidR="00C35DE5" w:rsidRPr="00BF7481">
            <w:rPr>
              <w:rFonts w:ascii="Arial" w:hAnsi="Arial" w:cs="Arial"/>
              <w:sz w:val="24"/>
              <w:szCs w:val="24"/>
            </w:rPr>
            <w:t xml:space="preserve">. </w:t>
          </w:r>
        </w:p>
        <w:p w14:paraId="00C800F3" w14:textId="3FCF03F9" w:rsidR="007A6F40" w:rsidRPr="00BF7481" w:rsidRDefault="005A422D" w:rsidP="000A42F5">
          <w:pPr>
            <w:jc w:val="both"/>
            <w:rPr>
              <w:rFonts w:ascii="Arial" w:hAnsi="Arial" w:cs="Arial"/>
              <w:sz w:val="24"/>
              <w:szCs w:val="24"/>
            </w:rPr>
          </w:pPr>
          <w:r w:rsidRPr="00BF7481">
            <w:rPr>
              <w:rFonts w:ascii="Arial" w:hAnsi="Arial" w:cs="Arial"/>
              <w:sz w:val="24"/>
              <w:szCs w:val="24"/>
            </w:rPr>
            <w:t>Financial statement are textual records generated typically an organization 's administration to describe the economic situation of the institution during a specific time span. To maintain consistency in presenting, such reports, that include the balancing sheets, revenue summary, money stream summary, and declaration of stockholders' capital, should be produced in accordance with prescribed and established financial procedures. Horizontal assessment is used in economic accounting to enhance and expand such limits. As a result, experts and shareholders could identify the factors which contribute to a corporation 's lengthy economic performance. Climatological and development trends, for instance, could be anticipated from data. The method also allows for the analysis and projection of prospective comparative improvements in different market categories</w:t>
          </w:r>
          <w:r w:rsidR="00B86374" w:rsidRPr="00BF7481">
            <w:rPr>
              <w:rFonts w:ascii="Arial" w:hAnsi="Arial" w:cs="Arial"/>
              <w:sz w:val="24"/>
              <w:szCs w:val="24"/>
            </w:rPr>
            <w:t xml:space="preserve"> </w:t>
          </w:r>
          <w:sdt>
            <w:sdtPr>
              <w:rPr>
                <w:rFonts w:ascii="Arial" w:hAnsi="Arial" w:cs="Arial"/>
                <w:sz w:val="24"/>
                <w:szCs w:val="24"/>
              </w:rPr>
              <w:id w:val="929776693"/>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Lan22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(Langer, 2022)</w:t>
              </w:r>
              <w:r w:rsidR="00B86374" w:rsidRPr="00BF7481">
                <w:rPr>
                  <w:rFonts w:ascii="Arial" w:hAnsi="Arial" w:cs="Arial"/>
                  <w:sz w:val="24"/>
                  <w:szCs w:val="24"/>
                </w:rPr>
                <w:fldChar w:fldCharType="end"/>
              </w:r>
            </w:sdtContent>
          </w:sdt>
          <w:r w:rsidRPr="00BF7481">
            <w:rPr>
              <w:rFonts w:ascii="Arial" w:hAnsi="Arial" w:cs="Arial"/>
              <w:sz w:val="24"/>
              <w:szCs w:val="24"/>
            </w:rPr>
            <w:t>.</w:t>
          </w:r>
        </w:p>
        <w:p w14:paraId="1D59EBDC" w14:textId="072B5DFE" w:rsidR="00415984" w:rsidRPr="00BF7481" w:rsidRDefault="00415984" w:rsidP="000A42F5">
          <w:pPr>
            <w:jc w:val="both"/>
            <w:rPr>
              <w:rFonts w:ascii="Arial" w:hAnsi="Arial" w:cs="Arial"/>
              <w:sz w:val="24"/>
              <w:szCs w:val="24"/>
            </w:rPr>
          </w:pPr>
          <w:r w:rsidRPr="00BF7481">
            <w:rPr>
              <w:rFonts w:ascii="Arial" w:hAnsi="Arial" w:cs="Arial"/>
              <w:sz w:val="24"/>
              <w:szCs w:val="24"/>
            </w:rPr>
            <w:t>Studying at a corporate accounting document, like the accounting records, money stream account, and revenue assertion, may provide a detailed picture of its operational performance. Important economic productivity measures such as returns on capital, merchandise rotation, and profitability rate may also highlight possible challenges and capabilities within a firm. Sales increase or reduced cost of products delivered might be mentioned as reasons for growing revenues per unit. Administration, for instance, might assert all such causes are to blame. Horizontal assessment may examine at the relevant metrics to assess if a firm maintains enough leverage: insurance rates, mortgage insurance proportions, and working capital proportions. Horizontal assessment may likewise be used to assess the development and revenue of various enterprises within the similar sector.</w:t>
          </w:r>
        </w:p>
        <w:p w14:paraId="7C271888" w14:textId="175119DD" w:rsidR="004A11F6" w:rsidRPr="00C35DE5" w:rsidRDefault="00FE4701" w:rsidP="000A42F5">
          <w:pPr>
            <w:jc w:val="both"/>
          </w:pPr>
          <w:r w:rsidRPr="00C35DE5">
            <w:br w:type="page"/>
          </w:r>
        </w:p>
        <w:p w14:paraId="660FF286" w14:textId="77777777" w:rsidR="004A11F6" w:rsidRPr="00BF7481" w:rsidRDefault="004A11F6" w:rsidP="000A42F5">
          <w:pPr>
            <w:pStyle w:val="Heading1"/>
            <w:jc w:val="both"/>
            <w:rPr>
              <w:rFonts w:ascii="Arial" w:hAnsi="Arial" w:cs="Arial"/>
              <w:sz w:val="24"/>
              <w:szCs w:val="24"/>
            </w:rPr>
          </w:pPr>
          <w:bookmarkStart w:id="2" w:name="_Toc104590327"/>
          <w:r w:rsidRPr="00BF7481">
            <w:rPr>
              <w:rFonts w:ascii="Arial" w:hAnsi="Arial" w:cs="Arial"/>
              <w:sz w:val="24"/>
              <w:szCs w:val="24"/>
            </w:rPr>
            <w:lastRenderedPageBreak/>
            <w:t>Financial Analysis</w:t>
          </w:r>
          <w:bookmarkEnd w:id="2"/>
        </w:p>
        <w:p w14:paraId="78212660" w14:textId="6CC1FC35" w:rsidR="007A6F40" w:rsidRPr="00BF7481" w:rsidRDefault="00196C74" w:rsidP="000A42F5">
          <w:pPr>
            <w:jc w:val="both"/>
            <w:rPr>
              <w:rFonts w:ascii="Arial" w:hAnsi="Arial" w:cs="Arial"/>
              <w:sz w:val="24"/>
              <w:szCs w:val="24"/>
            </w:rPr>
          </w:pPr>
          <w:r w:rsidRPr="00BF7481">
            <w:rPr>
              <w:rFonts w:ascii="Arial" w:hAnsi="Arial" w:cs="Arial"/>
              <w:sz w:val="24"/>
              <w:szCs w:val="24"/>
            </w:rPr>
            <w:t>During horizontal assessment, claims spanning 2 as well as multiple intervals are employed. The oldest time is commonly chosen as the basis time, and subsequent decades' assertions are evaluated to the baseline term's claims. Increases are often represented in both cash and percentages.</w:t>
          </w:r>
        </w:p>
        <w:p w14:paraId="744D5890" w14:textId="38464CFF" w:rsidR="00624027" w:rsidRPr="00BF7481" w:rsidRDefault="00624027" w:rsidP="000A42F5">
          <w:pPr>
            <w:pStyle w:val="Caption"/>
            <w:keepNext/>
            <w:jc w:val="both"/>
            <w:rPr>
              <w:rFonts w:ascii="Arial" w:hAnsi="Arial" w:cs="Arial"/>
              <w:sz w:val="24"/>
              <w:szCs w:val="24"/>
            </w:rPr>
          </w:pPr>
          <w:r w:rsidRPr="00BF7481">
            <w:rPr>
              <w:rFonts w:ascii="Arial" w:hAnsi="Arial" w:cs="Arial"/>
              <w:sz w:val="24"/>
              <w:szCs w:val="24"/>
            </w:rPr>
            <w:t xml:space="preserve">Table </w:t>
          </w:r>
          <w:r w:rsidRPr="00BF7481">
            <w:rPr>
              <w:rFonts w:ascii="Arial" w:hAnsi="Arial" w:cs="Arial"/>
              <w:sz w:val="24"/>
              <w:szCs w:val="24"/>
            </w:rPr>
            <w:fldChar w:fldCharType="begin"/>
          </w:r>
          <w:r w:rsidRPr="00BF7481">
            <w:rPr>
              <w:rFonts w:ascii="Arial" w:hAnsi="Arial" w:cs="Arial"/>
              <w:sz w:val="24"/>
              <w:szCs w:val="24"/>
            </w:rPr>
            <w:instrText xml:space="preserve"> SEQ Table \* ARABIC </w:instrText>
          </w:r>
          <w:r w:rsidRPr="00BF7481">
            <w:rPr>
              <w:rFonts w:ascii="Arial" w:hAnsi="Arial" w:cs="Arial"/>
              <w:sz w:val="24"/>
              <w:szCs w:val="24"/>
            </w:rPr>
            <w:fldChar w:fldCharType="separate"/>
          </w:r>
          <w:r w:rsidR="008C514E" w:rsidRPr="00BF7481">
            <w:rPr>
              <w:rFonts w:ascii="Arial" w:hAnsi="Arial" w:cs="Arial"/>
              <w:noProof/>
              <w:sz w:val="24"/>
              <w:szCs w:val="24"/>
            </w:rPr>
            <w:t>1</w:t>
          </w:r>
          <w:r w:rsidRPr="00BF7481">
            <w:rPr>
              <w:rFonts w:ascii="Arial" w:hAnsi="Arial" w:cs="Arial"/>
              <w:sz w:val="24"/>
              <w:szCs w:val="24"/>
            </w:rPr>
            <w:fldChar w:fldCharType="end"/>
          </w:r>
          <w:r w:rsidRPr="00BF7481">
            <w:rPr>
              <w:rFonts w:ascii="Arial" w:hAnsi="Arial" w:cs="Arial"/>
              <w:sz w:val="24"/>
              <w:szCs w:val="24"/>
            </w:rPr>
            <w:t xml:space="preserve"> Hilton worldwide holdings income statement.</w:t>
          </w:r>
        </w:p>
        <w:tbl>
          <w:tblPr>
            <w:tblStyle w:val="TableGridLight"/>
            <w:tblpPr w:leftFromText="180" w:rightFromText="180" w:vertAnchor="page" w:horzAnchor="margin" w:tblpXSpec="center" w:tblpY="3745"/>
            <w:tblW w:w="9831" w:type="dxa"/>
            <w:tblLook w:val="04A0" w:firstRow="1" w:lastRow="0" w:firstColumn="1" w:lastColumn="0" w:noHBand="0" w:noVBand="1"/>
          </w:tblPr>
          <w:tblGrid>
            <w:gridCol w:w="4138"/>
            <w:gridCol w:w="1411"/>
            <w:gridCol w:w="1411"/>
            <w:gridCol w:w="1171"/>
            <w:gridCol w:w="1700"/>
          </w:tblGrid>
          <w:tr w:rsidR="00624027" w:rsidRPr="00624027" w14:paraId="374CA166" w14:textId="77777777" w:rsidTr="00624027">
            <w:trPr>
              <w:trHeight w:val="258"/>
            </w:trPr>
            <w:tc>
              <w:tcPr>
                <w:tcW w:w="9831" w:type="dxa"/>
                <w:gridSpan w:val="5"/>
                <w:noWrap/>
                <w:hideMark/>
              </w:tcPr>
              <w:p w14:paraId="44EF9C51" w14:textId="77777777" w:rsidR="00624027" w:rsidRPr="00624027" w:rsidRDefault="00624027" w:rsidP="000A42F5">
                <w:pPr>
                  <w:jc w:val="both"/>
                </w:pPr>
                <w:bookmarkStart w:id="3" w:name="_Hlk104486224"/>
                <w:r w:rsidRPr="00624027">
                  <w:t>HILTON WORLDWIDE HOLDINGS INCOME STATEMENT HORIZONTAL RATIOS</w:t>
                </w:r>
              </w:p>
            </w:tc>
          </w:tr>
          <w:tr w:rsidR="00624027" w:rsidRPr="00624027" w14:paraId="3CD738BF" w14:textId="77777777" w:rsidTr="00624027">
            <w:trPr>
              <w:trHeight w:val="258"/>
            </w:trPr>
            <w:tc>
              <w:tcPr>
                <w:tcW w:w="9831" w:type="dxa"/>
                <w:gridSpan w:val="5"/>
                <w:noWrap/>
              </w:tcPr>
              <w:p w14:paraId="11D894F5" w14:textId="77777777" w:rsidR="00624027" w:rsidRPr="00624027" w:rsidRDefault="00624027" w:rsidP="000A42F5">
                <w:pPr>
                  <w:jc w:val="both"/>
                </w:pPr>
              </w:p>
            </w:tc>
          </w:tr>
          <w:tr w:rsidR="00624027" w:rsidRPr="00624027" w14:paraId="7A9C576A" w14:textId="77777777" w:rsidTr="00624027">
            <w:trPr>
              <w:trHeight w:val="258"/>
            </w:trPr>
            <w:tc>
              <w:tcPr>
                <w:tcW w:w="4138" w:type="dxa"/>
                <w:noWrap/>
                <w:hideMark/>
              </w:tcPr>
              <w:p w14:paraId="27A8C4A4" w14:textId="77777777" w:rsidR="00624027" w:rsidRPr="00624027" w:rsidRDefault="00624027" w:rsidP="000A42F5">
                <w:pPr>
                  <w:jc w:val="both"/>
                </w:pPr>
                <w:r w:rsidRPr="00624027">
                  <w:t> </w:t>
                </w:r>
              </w:p>
            </w:tc>
            <w:tc>
              <w:tcPr>
                <w:tcW w:w="1411" w:type="dxa"/>
                <w:noWrap/>
                <w:hideMark/>
              </w:tcPr>
              <w:p w14:paraId="108C8579" w14:textId="77777777" w:rsidR="00624027" w:rsidRPr="00624027" w:rsidRDefault="00624027" w:rsidP="000A42F5">
                <w:pPr>
                  <w:jc w:val="both"/>
                </w:pPr>
                <w:r w:rsidRPr="00624027">
                  <w:t>20</w:t>
                </w:r>
              </w:p>
            </w:tc>
            <w:tc>
              <w:tcPr>
                <w:tcW w:w="1411" w:type="dxa"/>
                <w:noWrap/>
                <w:hideMark/>
              </w:tcPr>
              <w:p w14:paraId="79E927C7" w14:textId="77777777" w:rsidR="00624027" w:rsidRPr="00624027" w:rsidRDefault="00624027" w:rsidP="000A42F5">
                <w:pPr>
                  <w:jc w:val="both"/>
                </w:pPr>
                <w:r w:rsidRPr="00624027">
                  <w:t>2019</w:t>
                </w:r>
              </w:p>
            </w:tc>
            <w:tc>
              <w:tcPr>
                <w:tcW w:w="1171" w:type="dxa"/>
                <w:noWrap/>
                <w:hideMark/>
              </w:tcPr>
              <w:p w14:paraId="00A7FFAC" w14:textId="77777777" w:rsidR="00624027" w:rsidRPr="00624027" w:rsidRDefault="00624027" w:rsidP="000A42F5">
                <w:pPr>
                  <w:jc w:val="both"/>
                </w:pPr>
                <w:r w:rsidRPr="00624027">
                  <w:t xml:space="preserve">Change </w:t>
                </w:r>
              </w:p>
            </w:tc>
            <w:tc>
              <w:tcPr>
                <w:tcW w:w="1700" w:type="dxa"/>
                <w:noWrap/>
                <w:hideMark/>
              </w:tcPr>
              <w:p w14:paraId="48081F0F" w14:textId="77777777" w:rsidR="00624027" w:rsidRPr="00624027" w:rsidRDefault="00624027" w:rsidP="000A42F5">
                <w:pPr>
                  <w:jc w:val="both"/>
                </w:pPr>
                <w:r w:rsidRPr="00624027">
                  <w:t>% Change</w:t>
                </w:r>
              </w:p>
            </w:tc>
          </w:tr>
          <w:tr w:rsidR="00624027" w:rsidRPr="00624027" w14:paraId="2CA3ECBA" w14:textId="77777777" w:rsidTr="00624027">
            <w:trPr>
              <w:trHeight w:val="258"/>
            </w:trPr>
            <w:tc>
              <w:tcPr>
                <w:tcW w:w="4138" w:type="dxa"/>
                <w:noWrap/>
                <w:hideMark/>
              </w:tcPr>
              <w:p w14:paraId="5AD2886C" w14:textId="77777777" w:rsidR="00624027" w:rsidRPr="00624027" w:rsidRDefault="00624027" w:rsidP="000A42F5">
                <w:pPr>
                  <w:jc w:val="both"/>
                </w:pPr>
                <w:r w:rsidRPr="00624027">
                  <w:t>Fiscal Year Ends</w:t>
                </w:r>
              </w:p>
            </w:tc>
            <w:tc>
              <w:tcPr>
                <w:tcW w:w="1411" w:type="dxa"/>
                <w:noWrap/>
                <w:hideMark/>
              </w:tcPr>
              <w:p w14:paraId="59C88E72" w14:textId="77777777" w:rsidR="00624027" w:rsidRPr="00624027" w:rsidRDefault="00624027" w:rsidP="000A42F5">
                <w:pPr>
                  <w:jc w:val="both"/>
                </w:pPr>
                <w:r w:rsidRPr="00624027">
                  <w:t>31-12-2021</w:t>
                </w:r>
              </w:p>
            </w:tc>
            <w:tc>
              <w:tcPr>
                <w:tcW w:w="1411" w:type="dxa"/>
                <w:noWrap/>
                <w:hideMark/>
              </w:tcPr>
              <w:p w14:paraId="7E0D84E0" w14:textId="77777777" w:rsidR="00624027" w:rsidRPr="00624027" w:rsidRDefault="00624027" w:rsidP="000A42F5">
                <w:pPr>
                  <w:jc w:val="both"/>
                </w:pPr>
                <w:r w:rsidRPr="00624027">
                  <w:t>31-12-2020</w:t>
                </w:r>
              </w:p>
            </w:tc>
            <w:tc>
              <w:tcPr>
                <w:tcW w:w="1171" w:type="dxa"/>
                <w:noWrap/>
                <w:hideMark/>
              </w:tcPr>
              <w:p w14:paraId="67AF80EE" w14:textId="77777777" w:rsidR="00624027" w:rsidRPr="00624027" w:rsidRDefault="00624027" w:rsidP="000A42F5">
                <w:pPr>
                  <w:jc w:val="both"/>
                </w:pPr>
                <w:r w:rsidRPr="00624027">
                  <w:t> </w:t>
                </w:r>
              </w:p>
            </w:tc>
            <w:tc>
              <w:tcPr>
                <w:tcW w:w="1700" w:type="dxa"/>
                <w:noWrap/>
                <w:hideMark/>
              </w:tcPr>
              <w:p w14:paraId="52F21888" w14:textId="77777777" w:rsidR="00624027" w:rsidRPr="00624027" w:rsidRDefault="00624027" w:rsidP="000A42F5">
                <w:pPr>
                  <w:jc w:val="both"/>
                </w:pPr>
                <w:r w:rsidRPr="00624027">
                  <w:t> </w:t>
                </w:r>
              </w:p>
            </w:tc>
          </w:tr>
          <w:tr w:rsidR="00624027" w:rsidRPr="00624027" w14:paraId="7D26ABF5" w14:textId="77777777" w:rsidTr="00624027">
            <w:trPr>
              <w:trHeight w:val="258"/>
            </w:trPr>
            <w:tc>
              <w:tcPr>
                <w:tcW w:w="4138" w:type="dxa"/>
                <w:noWrap/>
                <w:hideMark/>
              </w:tcPr>
              <w:p w14:paraId="27BD74D0" w14:textId="77777777" w:rsidR="00624027" w:rsidRPr="00624027" w:rsidRDefault="00624027" w:rsidP="000A42F5">
                <w:pPr>
                  <w:jc w:val="both"/>
                </w:pPr>
                <w:r w:rsidRPr="00624027">
                  <w:t>Sales</w:t>
                </w:r>
              </w:p>
            </w:tc>
            <w:tc>
              <w:tcPr>
                <w:tcW w:w="1411" w:type="dxa"/>
                <w:noWrap/>
                <w:hideMark/>
              </w:tcPr>
              <w:p w14:paraId="2A370FDA" w14:textId="77777777" w:rsidR="00624027" w:rsidRPr="00624027" w:rsidRDefault="00624027" w:rsidP="000A42F5">
                <w:pPr>
                  <w:jc w:val="both"/>
                </w:pPr>
                <w:r w:rsidRPr="00624027">
                  <w:t>4307000</w:t>
                </w:r>
              </w:p>
            </w:tc>
            <w:tc>
              <w:tcPr>
                <w:tcW w:w="1411" w:type="dxa"/>
                <w:noWrap/>
                <w:hideMark/>
              </w:tcPr>
              <w:p w14:paraId="1D67F231" w14:textId="77777777" w:rsidR="00624027" w:rsidRPr="00624027" w:rsidRDefault="00624027" w:rsidP="000A42F5">
                <w:pPr>
                  <w:jc w:val="both"/>
                </w:pPr>
                <w:r w:rsidRPr="00624027">
                  <w:t>9452000</w:t>
                </w:r>
              </w:p>
            </w:tc>
            <w:tc>
              <w:tcPr>
                <w:tcW w:w="1171" w:type="dxa"/>
                <w:noWrap/>
                <w:hideMark/>
              </w:tcPr>
              <w:p w14:paraId="37C30D08" w14:textId="77777777" w:rsidR="00624027" w:rsidRPr="00624027" w:rsidRDefault="00624027" w:rsidP="000A42F5">
                <w:pPr>
                  <w:jc w:val="both"/>
                </w:pPr>
                <w:r w:rsidRPr="00624027">
                  <w:t>-5145000</w:t>
                </w:r>
              </w:p>
            </w:tc>
            <w:tc>
              <w:tcPr>
                <w:tcW w:w="1700" w:type="dxa"/>
                <w:noWrap/>
                <w:hideMark/>
              </w:tcPr>
              <w:p w14:paraId="50D7AD78" w14:textId="77777777" w:rsidR="00624027" w:rsidRPr="00624027" w:rsidRDefault="00624027" w:rsidP="000A42F5">
                <w:pPr>
                  <w:jc w:val="both"/>
                </w:pPr>
                <w:r w:rsidRPr="00624027">
                  <w:t>-54.43292425</w:t>
                </w:r>
              </w:p>
            </w:tc>
          </w:tr>
          <w:tr w:rsidR="00624027" w:rsidRPr="00624027" w14:paraId="0EF3535C" w14:textId="77777777" w:rsidTr="00624027">
            <w:trPr>
              <w:trHeight w:val="258"/>
            </w:trPr>
            <w:tc>
              <w:tcPr>
                <w:tcW w:w="4138" w:type="dxa"/>
                <w:noWrap/>
                <w:hideMark/>
              </w:tcPr>
              <w:p w14:paraId="4F9FCE43" w14:textId="77777777" w:rsidR="00624027" w:rsidRPr="00624027" w:rsidRDefault="00624027" w:rsidP="000A42F5">
                <w:pPr>
                  <w:jc w:val="both"/>
                </w:pPr>
                <w:r w:rsidRPr="00624027">
                  <w:t>Cost of Goods Sold</w:t>
                </w:r>
              </w:p>
            </w:tc>
            <w:tc>
              <w:tcPr>
                <w:tcW w:w="1411" w:type="dxa"/>
                <w:noWrap/>
                <w:hideMark/>
              </w:tcPr>
              <w:p w14:paraId="40B8CEB6" w14:textId="77777777" w:rsidR="00624027" w:rsidRPr="00624027" w:rsidRDefault="00624027" w:rsidP="000A42F5">
                <w:pPr>
                  <w:jc w:val="both"/>
                </w:pPr>
                <w:r w:rsidRPr="00624027">
                  <w:t>3724000</w:t>
                </w:r>
              </w:p>
            </w:tc>
            <w:tc>
              <w:tcPr>
                <w:tcW w:w="1411" w:type="dxa"/>
                <w:noWrap/>
                <w:hideMark/>
              </w:tcPr>
              <w:p w14:paraId="0CDEE4F3" w14:textId="77777777" w:rsidR="00624027" w:rsidRPr="00624027" w:rsidRDefault="00624027" w:rsidP="000A42F5">
                <w:pPr>
                  <w:jc w:val="both"/>
                </w:pPr>
                <w:r w:rsidRPr="00624027">
                  <w:t>7017000</w:t>
                </w:r>
              </w:p>
            </w:tc>
            <w:tc>
              <w:tcPr>
                <w:tcW w:w="1171" w:type="dxa"/>
                <w:noWrap/>
                <w:hideMark/>
              </w:tcPr>
              <w:p w14:paraId="5E020708" w14:textId="77777777" w:rsidR="00624027" w:rsidRPr="00624027" w:rsidRDefault="00624027" w:rsidP="000A42F5">
                <w:pPr>
                  <w:jc w:val="both"/>
                </w:pPr>
                <w:r w:rsidRPr="00624027">
                  <w:t>-3293000</w:t>
                </w:r>
              </w:p>
            </w:tc>
            <w:tc>
              <w:tcPr>
                <w:tcW w:w="1700" w:type="dxa"/>
                <w:noWrap/>
                <w:hideMark/>
              </w:tcPr>
              <w:p w14:paraId="0ED4A60F" w14:textId="77777777" w:rsidR="00624027" w:rsidRPr="00624027" w:rsidRDefault="00624027" w:rsidP="000A42F5">
                <w:pPr>
                  <w:jc w:val="both"/>
                </w:pPr>
                <w:r w:rsidRPr="00624027">
                  <w:t>-46.92888699</w:t>
                </w:r>
              </w:p>
            </w:tc>
          </w:tr>
          <w:tr w:rsidR="00624027" w:rsidRPr="00624027" w14:paraId="23697542" w14:textId="77777777" w:rsidTr="00624027">
            <w:trPr>
              <w:trHeight w:val="258"/>
            </w:trPr>
            <w:tc>
              <w:tcPr>
                <w:tcW w:w="4138" w:type="dxa"/>
                <w:noWrap/>
                <w:hideMark/>
              </w:tcPr>
              <w:p w14:paraId="27D1B5F5" w14:textId="77777777" w:rsidR="00624027" w:rsidRPr="00624027" w:rsidRDefault="00624027" w:rsidP="000A42F5">
                <w:pPr>
                  <w:jc w:val="both"/>
                </w:pPr>
                <w:r w:rsidRPr="00624027">
                  <w:t>Gross Profit</w:t>
                </w:r>
              </w:p>
            </w:tc>
            <w:tc>
              <w:tcPr>
                <w:tcW w:w="1411" w:type="dxa"/>
                <w:noWrap/>
                <w:hideMark/>
              </w:tcPr>
              <w:p w14:paraId="333E410F" w14:textId="77777777" w:rsidR="00624027" w:rsidRPr="00624027" w:rsidRDefault="00624027" w:rsidP="000A42F5">
                <w:pPr>
                  <w:jc w:val="both"/>
                </w:pPr>
                <w:r w:rsidRPr="00624027">
                  <w:t>583000</w:t>
                </w:r>
              </w:p>
            </w:tc>
            <w:tc>
              <w:tcPr>
                <w:tcW w:w="1411" w:type="dxa"/>
                <w:noWrap/>
                <w:hideMark/>
              </w:tcPr>
              <w:p w14:paraId="7652BA1B" w14:textId="77777777" w:rsidR="00624027" w:rsidRPr="00624027" w:rsidRDefault="00624027" w:rsidP="000A42F5">
                <w:pPr>
                  <w:jc w:val="both"/>
                </w:pPr>
                <w:r w:rsidRPr="00624027">
                  <w:t>2435000</w:t>
                </w:r>
              </w:p>
            </w:tc>
            <w:tc>
              <w:tcPr>
                <w:tcW w:w="1171" w:type="dxa"/>
                <w:noWrap/>
                <w:hideMark/>
              </w:tcPr>
              <w:p w14:paraId="5EBA9FF5" w14:textId="77777777" w:rsidR="00624027" w:rsidRPr="00624027" w:rsidRDefault="00624027" w:rsidP="000A42F5">
                <w:pPr>
                  <w:jc w:val="both"/>
                </w:pPr>
                <w:r w:rsidRPr="00624027">
                  <w:t>-1852000</w:t>
                </w:r>
              </w:p>
            </w:tc>
            <w:tc>
              <w:tcPr>
                <w:tcW w:w="1700" w:type="dxa"/>
                <w:noWrap/>
                <w:hideMark/>
              </w:tcPr>
              <w:p w14:paraId="3897677A" w14:textId="77777777" w:rsidR="00624027" w:rsidRPr="00624027" w:rsidRDefault="00624027" w:rsidP="000A42F5">
                <w:pPr>
                  <w:jc w:val="both"/>
                </w:pPr>
                <w:r w:rsidRPr="00624027">
                  <w:t>-76.05749487</w:t>
                </w:r>
              </w:p>
            </w:tc>
          </w:tr>
          <w:tr w:rsidR="00624027" w:rsidRPr="00624027" w14:paraId="0744AFFB" w14:textId="77777777" w:rsidTr="00624027">
            <w:trPr>
              <w:trHeight w:val="258"/>
            </w:trPr>
            <w:tc>
              <w:tcPr>
                <w:tcW w:w="4138" w:type="dxa"/>
                <w:noWrap/>
                <w:hideMark/>
              </w:tcPr>
              <w:p w14:paraId="1FC438D3" w14:textId="77777777" w:rsidR="00624027" w:rsidRPr="00624027" w:rsidRDefault="00624027" w:rsidP="000A42F5">
                <w:pPr>
                  <w:jc w:val="both"/>
                </w:pPr>
                <w:r w:rsidRPr="00624027">
                  <w:t>Operating Expenses</w:t>
                </w:r>
              </w:p>
            </w:tc>
            <w:tc>
              <w:tcPr>
                <w:tcW w:w="1411" w:type="dxa"/>
                <w:noWrap/>
                <w:hideMark/>
              </w:tcPr>
              <w:p w14:paraId="45C4B3F2" w14:textId="77777777" w:rsidR="00624027" w:rsidRPr="00624027" w:rsidRDefault="00624027" w:rsidP="000A42F5">
                <w:pPr>
                  <w:jc w:val="both"/>
                </w:pPr>
                <w:r w:rsidRPr="00624027">
                  <w:t>702000</w:t>
                </w:r>
              </w:p>
            </w:tc>
            <w:tc>
              <w:tcPr>
                <w:tcW w:w="1411" w:type="dxa"/>
                <w:noWrap/>
                <w:hideMark/>
              </w:tcPr>
              <w:p w14:paraId="263814B8" w14:textId="77777777" w:rsidR="00624027" w:rsidRPr="00624027" w:rsidRDefault="00624027" w:rsidP="000A42F5">
                <w:pPr>
                  <w:jc w:val="both"/>
                </w:pPr>
                <w:r w:rsidRPr="00624027">
                  <w:t>859000</w:t>
                </w:r>
              </w:p>
            </w:tc>
            <w:tc>
              <w:tcPr>
                <w:tcW w:w="1171" w:type="dxa"/>
                <w:noWrap/>
                <w:hideMark/>
              </w:tcPr>
              <w:p w14:paraId="507FAD76" w14:textId="77777777" w:rsidR="00624027" w:rsidRPr="00624027" w:rsidRDefault="00624027" w:rsidP="000A42F5">
                <w:pPr>
                  <w:jc w:val="both"/>
                </w:pPr>
                <w:r w:rsidRPr="00624027">
                  <w:t>-157000</w:t>
                </w:r>
              </w:p>
            </w:tc>
            <w:tc>
              <w:tcPr>
                <w:tcW w:w="1700" w:type="dxa"/>
                <w:noWrap/>
                <w:hideMark/>
              </w:tcPr>
              <w:p w14:paraId="4D2E60CE" w14:textId="77777777" w:rsidR="00624027" w:rsidRPr="00624027" w:rsidRDefault="00624027" w:rsidP="000A42F5">
                <w:pPr>
                  <w:jc w:val="both"/>
                </w:pPr>
                <w:r w:rsidRPr="00624027">
                  <w:t>-18.27706636</w:t>
                </w:r>
              </w:p>
            </w:tc>
          </w:tr>
          <w:tr w:rsidR="00624027" w:rsidRPr="00624027" w14:paraId="3FEF5B11" w14:textId="77777777" w:rsidTr="00624027">
            <w:trPr>
              <w:trHeight w:val="258"/>
            </w:trPr>
            <w:tc>
              <w:tcPr>
                <w:tcW w:w="4138" w:type="dxa"/>
                <w:noWrap/>
                <w:hideMark/>
              </w:tcPr>
              <w:p w14:paraId="711FEE4C" w14:textId="77777777" w:rsidR="00624027" w:rsidRPr="00624027" w:rsidRDefault="00624027" w:rsidP="000A42F5">
                <w:pPr>
                  <w:jc w:val="both"/>
                </w:pPr>
                <w:r w:rsidRPr="00624027">
                  <w:t>Operating Income</w:t>
                </w:r>
              </w:p>
            </w:tc>
            <w:tc>
              <w:tcPr>
                <w:tcW w:w="1411" w:type="dxa"/>
                <w:noWrap/>
                <w:hideMark/>
              </w:tcPr>
              <w:p w14:paraId="7105C9B3" w14:textId="77777777" w:rsidR="00624027" w:rsidRPr="00624027" w:rsidRDefault="00624027" w:rsidP="000A42F5">
                <w:pPr>
                  <w:jc w:val="both"/>
                </w:pPr>
                <w:r w:rsidRPr="00624027">
                  <w:t>-119000</w:t>
                </w:r>
              </w:p>
            </w:tc>
            <w:tc>
              <w:tcPr>
                <w:tcW w:w="1411" w:type="dxa"/>
                <w:noWrap/>
                <w:hideMark/>
              </w:tcPr>
              <w:p w14:paraId="0617CE0B" w14:textId="77777777" w:rsidR="00624027" w:rsidRPr="00624027" w:rsidRDefault="00624027" w:rsidP="000A42F5">
                <w:pPr>
                  <w:jc w:val="both"/>
                </w:pPr>
                <w:r w:rsidRPr="00624027">
                  <w:t>1576000</w:t>
                </w:r>
              </w:p>
            </w:tc>
            <w:tc>
              <w:tcPr>
                <w:tcW w:w="1171" w:type="dxa"/>
                <w:noWrap/>
                <w:hideMark/>
              </w:tcPr>
              <w:p w14:paraId="5A4832C4" w14:textId="77777777" w:rsidR="00624027" w:rsidRPr="00624027" w:rsidRDefault="00624027" w:rsidP="000A42F5">
                <w:pPr>
                  <w:jc w:val="both"/>
                </w:pPr>
                <w:r w:rsidRPr="00624027">
                  <w:t>-1695000</w:t>
                </w:r>
              </w:p>
            </w:tc>
            <w:tc>
              <w:tcPr>
                <w:tcW w:w="1700" w:type="dxa"/>
                <w:noWrap/>
                <w:hideMark/>
              </w:tcPr>
              <w:p w14:paraId="1ED080F1" w14:textId="77777777" w:rsidR="00624027" w:rsidRPr="00624027" w:rsidRDefault="00624027" w:rsidP="000A42F5">
                <w:pPr>
                  <w:jc w:val="both"/>
                </w:pPr>
                <w:r w:rsidRPr="00624027">
                  <w:t>-107.5507614</w:t>
                </w:r>
              </w:p>
            </w:tc>
          </w:tr>
          <w:tr w:rsidR="00624027" w:rsidRPr="00624027" w14:paraId="758736A0" w14:textId="77777777" w:rsidTr="00624027">
            <w:trPr>
              <w:trHeight w:val="258"/>
            </w:trPr>
            <w:tc>
              <w:tcPr>
                <w:tcW w:w="4138" w:type="dxa"/>
                <w:noWrap/>
                <w:hideMark/>
              </w:tcPr>
              <w:p w14:paraId="5C8579E2" w14:textId="77777777" w:rsidR="00624027" w:rsidRPr="00624027" w:rsidRDefault="00624027" w:rsidP="000A42F5">
                <w:pPr>
                  <w:jc w:val="both"/>
                </w:pPr>
                <w:r w:rsidRPr="00624027">
                  <w:t xml:space="preserve">Interest Expense </w:t>
                </w:r>
              </w:p>
            </w:tc>
            <w:tc>
              <w:tcPr>
                <w:tcW w:w="1411" w:type="dxa"/>
                <w:noWrap/>
                <w:hideMark/>
              </w:tcPr>
              <w:p w14:paraId="07A1C3B9" w14:textId="77777777" w:rsidR="00624027" w:rsidRPr="00624027" w:rsidRDefault="00624027" w:rsidP="000A42F5">
                <w:pPr>
                  <w:jc w:val="both"/>
                </w:pPr>
                <w:r w:rsidRPr="00624027">
                  <w:t>429000</w:t>
                </w:r>
              </w:p>
            </w:tc>
            <w:tc>
              <w:tcPr>
                <w:tcW w:w="1411" w:type="dxa"/>
                <w:noWrap/>
                <w:hideMark/>
              </w:tcPr>
              <w:p w14:paraId="63DE43E8" w14:textId="77777777" w:rsidR="00624027" w:rsidRPr="00624027" w:rsidRDefault="00624027" w:rsidP="000A42F5">
                <w:pPr>
                  <w:jc w:val="both"/>
                </w:pPr>
                <w:r w:rsidRPr="00624027">
                  <w:t>414000</w:t>
                </w:r>
              </w:p>
            </w:tc>
            <w:tc>
              <w:tcPr>
                <w:tcW w:w="1171" w:type="dxa"/>
                <w:noWrap/>
                <w:hideMark/>
              </w:tcPr>
              <w:p w14:paraId="60E001DB" w14:textId="77777777" w:rsidR="00624027" w:rsidRPr="00624027" w:rsidRDefault="00624027" w:rsidP="000A42F5">
                <w:pPr>
                  <w:jc w:val="both"/>
                </w:pPr>
                <w:r w:rsidRPr="00624027">
                  <w:t>15000</w:t>
                </w:r>
              </w:p>
            </w:tc>
            <w:tc>
              <w:tcPr>
                <w:tcW w:w="1700" w:type="dxa"/>
                <w:noWrap/>
                <w:hideMark/>
              </w:tcPr>
              <w:p w14:paraId="0CB421F4" w14:textId="77777777" w:rsidR="00624027" w:rsidRPr="00624027" w:rsidRDefault="00624027" w:rsidP="000A42F5">
                <w:pPr>
                  <w:jc w:val="both"/>
                </w:pPr>
                <w:r w:rsidRPr="00624027">
                  <w:t>3.623188406</w:t>
                </w:r>
              </w:p>
            </w:tc>
          </w:tr>
          <w:tr w:rsidR="00624027" w:rsidRPr="00624027" w14:paraId="056F5D4B" w14:textId="77777777" w:rsidTr="00624027">
            <w:trPr>
              <w:trHeight w:val="258"/>
            </w:trPr>
            <w:tc>
              <w:tcPr>
                <w:tcW w:w="4138" w:type="dxa"/>
                <w:noWrap/>
                <w:hideMark/>
              </w:tcPr>
              <w:p w14:paraId="5F477FAD" w14:textId="77777777" w:rsidR="00624027" w:rsidRPr="00624027" w:rsidRDefault="00624027" w:rsidP="000A42F5">
                <w:pPr>
                  <w:jc w:val="both"/>
                </w:pPr>
                <w:r w:rsidRPr="00624027">
                  <w:t>Total Other Income/expenses net</w:t>
                </w:r>
              </w:p>
            </w:tc>
            <w:tc>
              <w:tcPr>
                <w:tcW w:w="1411" w:type="dxa"/>
                <w:noWrap/>
                <w:hideMark/>
              </w:tcPr>
              <w:p w14:paraId="54F9EAE2" w14:textId="77777777" w:rsidR="00624027" w:rsidRPr="00624027" w:rsidRDefault="00624027" w:rsidP="000A42F5">
                <w:pPr>
                  <w:jc w:val="both"/>
                </w:pPr>
                <w:r w:rsidRPr="00624027">
                  <w:t>-376000</w:t>
                </w:r>
              </w:p>
            </w:tc>
            <w:tc>
              <w:tcPr>
                <w:tcW w:w="1411" w:type="dxa"/>
                <w:noWrap/>
                <w:hideMark/>
              </w:tcPr>
              <w:p w14:paraId="12B4D48B" w14:textId="77777777" w:rsidR="00624027" w:rsidRPr="00624027" w:rsidRDefault="00624027" w:rsidP="000A42F5">
                <w:pPr>
                  <w:jc w:val="both"/>
                </w:pPr>
                <w:r w:rsidRPr="00624027">
                  <w:t>82000</w:t>
                </w:r>
              </w:p>
            </w:tc>
            <w:tc>
              <w:tcPr>
                <w:tcW w:w="1171" w:type="dxa"/>
                <w:noWrap/>
                <w:hideMark/>
              </w:tcPr>
              <w:p w14:paraId="3E4A9650" w14:textId="77777777" w:rsidR="00624027" w:rsidRPr="00624027" w:rsidRDefault="00624027" w:rsidP="000A42F5">
                <w:pPr>
                  <w:jc w:val="both"/>
                </w:pPr>
                <w:r w:rsidRPr="00624027">
                  <w:t>-458000</w:t>
                </w:r>
              </w:p>
            </w:tc>
            <w:tc>
              <w:tcPr>
                <w:tcW w:w="1700" w:type="dxa"/>
                <w:noWrap/>
                <w:hideMark/>
              </w:tcPr>
              <w:p w14:paraId="4E754F48" w14:textId="77777777" w:rsidR="00624027" w:rsidRPr="00624027" w:rsidRDefault="00624027" w:rsidP="000A42F5">
                <w:pPr>
                  <w:jc w:val="both"/>
                </w:pPr>
                <w:r w:rsidRPr="00624027">
                  <w:t>-558.5365854</w:t>
                </w:r>
              </w:p>
            </w:tc>
          </w:tr>
          <w:tr w:rsidR="00624027" w:rsidRPr="00624027" w14:paraId="73ABC41F" w14:textId="77777777" w:rsidTr="00624027">
            <w:trPr>
              <w:trHeight w:val="258"/>
            </w:trPr>
            <w:tc>
              <w:tcPr>
                <w:tcW w:w="4138" w:type="dxa"/>
                <w:noWrap/>
                <w:hideMark/>
              </w:tcPr>
              <w:p w14:paraId="1C5ABB73" w14:textId="77777777" w:rsidR="00624027" w:rsidRPr="00624027" w:rsidRDefault="00624027" w:rsidP="000A42F5">
                <w:pPr>
                  <w:jc w:val="both"/>
                </w:pPr>
                <w:r w:rsidRPr="00624027">
                  <w:t xml:space="preserve">Income Before Taxes </w:t>
                </w:r>
              </w:p>
            </w:tc>
            <w:tc>
              <w:tcPr>
                <w:tcW w:w="1411" w:type="dxa"/>
                <w:noWrap/>
                <w:hideMark/>
              </w:tcPr>
              <w:p w14:paraId="5FD5DCE7" w14:textId="77777777" w:rsidR="00624027" w:rsidRPr="00624027" w:rsidRDefault="00624027" w:rsidP="000A42F5">
                <w:pPr>
                  <w:jc w:val="both"/>
                </w:pPr>
                <w:r w:rsidRPr="00624027">
                  <w:t>-924000</w:t>
                </w:r>
              </w:p>
            </w:tc>
            <w:tc>
              <w:tcPr>
                <w:tcW w:w="1411" w:type="dxa"/>
                <w:noWrap/>
                <w:hideMark/>
              </w:tcPr>
              <w:p w14:paraId="2A88779D" w14:textId="77777777" w:rsidR="00624027" w:rsidRPr="00624027" w:rsidRDefault="00624027" w:rsidP="000A42F5">
                <w:pPr>
                  <w:jc w:val="both"/>
                </w:pPr>
                <w:r w:rsidRPr="00624027">
                  <w:t>1244000</w:t>
                </w:r>
              </w:p>
            </w:tc>
            <w:tc>
              <w:tcPr>
                <w:tcW w:w="1171" w:type="dxa"/>
                <w:noWrap/>
                <w:hideMark/>
              </w:tcPr>
              <w:p w14:paraId="506198E0" w14:textId="77777777" w:rsidR="00624027" w:rsidRPr="00624027" w:rsidRDefault="00624027" w:rsidP="000A42F5">
                <w:pPr>
                  <w:jc w:val="both"/>
                </w:pPr>
                <w:r w:rsidRPr="00624027">
                  <w:t>-2168000</w:t>
                </w:r>
              </w:p>
            </w:tc>
            <w:tc>
              <w:tcPr>
                <w:tcW w:w="1700" w:type="dxa"/>
                <w:noWrap/>
                <w:hideMark/>
              </w:tcPr>
              <w:p w14:paraId="4B32B738" w14:textId="77777777" w:rsidR="00624027" w:rsidRPr="00624027" w:rsidRDefault="00624027" w:rsidP="000A42F5">
                <w:pPr>
                  <w:jc w:val="both"/>
                </w:pPr>
                <w:r w:rsidRPr="00624027">
                  <w:t>-174.2765273</w:t>
                </w:r>
              </w:p>
            </w:tc>
          </w:tr>
          <w:tr w:rsidR="00624027" w:rsidRPr="00624027" w14:paraId="5951C441" w14:textId="77777777" w:rsidTr="00624027">
            <w:trPr>
              <w:trHeight w:val="258"/>
            </w:trPr>
            <w:tc>
              <w:tcPr>
                <w:tcW w:w="4138" w:type="dxa"/>
                <w:noWrap/>
                <w:hideMark/>
              </w:tcPr>
              <w:p w14:paraId="1F8FBEDE" w14:textId="77777777" w:rsidR="00624027" w:rsidRPr="00624027" w:rsidRDefault="00624027" w:rsidP="000A42F5">
                <w:pPr>
                  <w:jc w:val="both"/>
                </w:pPr>
                <w:r w:rsidRPr="00624027">
                  <w:t>Net Income</w:t>
                </w:r>
              </w:p>
            </w:tc>
            <w:tc>
              <w:tcPr>
                <w:tcW w:w="1411" w:type="dxa"/>
                <w:noWrap/>
                <w:hideMark/>
              </w:tcPr>
              <w:p w14:paraId="689A09D0" w14:textId="77777777" w:rsidR="00624027" w:rsidRPr="00624027" w:rsidRDefault="00624027" w:rsidP="000A42F5">
                <w:pPr>
                  <w:jc w:val="both"/>
                </w:pPr>
                <w:r w:rsidRPr="00624027">
                  <w:t>-715000</w:t>
                </w:r>
              </w:p>
            </w:tc>
            <w:tc>
              <w:tcPr>
                <w:tcW w:w="1411" w:type="dxa"/>
                <w:noWrap/>
                <w:hideMark/>
              </w:tcPr>
              <w:p w14:paraId="78774F1E" w14:textId="77777777" w:rsidR="00624027" w:rsidRPr="00624027" w:rsidRDefault="00624027" w:rsidP="000A42F5">
                <w:pPr>
                  <w:jc w:val="both"/>
                </w:pPr>
                <w:r w:rsidRPr="00624027">
                  <w:t>881000</w:t>
                </w:r>
              </w:p>
            </w:tc>
            <w:tc>
              <w:tcPr>
                <w:tcW w:w="1171" w:type="dxa"/>
                <w:noWrap/>
                <w:hideMark/>
              </w:tcPr>
              <w:p w14:paraId="14233AF2" w14:textId="77777777" w:rsidR="00624027" w:rsidRPr="00624027" w:rsidRDefault="00624027" w:rsidP="000A42F5">
                <w:pPr>
                  <w:jc w:val="both"/>
                </w:pPr>
                <w:r w:rsidRPr="00624027">
                  <w:t>-1596000</w:t>
                </w:r>
              </w:p>
            </w:tc>
            <w:tc>
              <w:tcPr>
                <w:tcW w:w="1700" w:type="dxa"/>
                <w:noWrap/>
                <w:hideMark/>
              </w:tcPr>
              <w:p w14:paraId="269911EF" w14:textId="77777777" w:rsidR="00624027" w:rsidRPr="00624027" w:rsidRDefault="00624027" w:rsidP="000A42F5">
                <w:pPr>
                  <w:jc w:val="both"/>
                </w:pPr>
                <w:r w:rsidRPr="00624027">
                  <w:t>-181.1577753</w:t>
                </w:r>
              </w:p>
            </w:tc>
          </w:tr>
          <w:bookmarkEnd w:id="3"/>
        </w:tbl>
        <w:p w14:paraId="7D6D8077" w14:textId="6CE6514F" w:rsidR="0045242E" w:rsidRDefault="0045242E" w:rsidP="000A42F5">
          <w:pPr>
            <w:jc w:val="both"/>
          </w:pPr>
        </w:p>
        <w:p w14:paraId="26B28882" w14:textId="59EEDEE0" w:rsidR="0045242E" w:rsidRPr="00BF7481" w:rsidRDefault="00B35DA9" w:rsidP="000A42F5">
          <w:pPr>
            <w:jc w:val="both"/>
            <w:rPr>
              <w:rFonts w:ascii="Arial" w:hAnsi="Arial" w:cs="Arial"/>
              <w:sz w:val="24"/>
              <w:szCs w:val="24"/>
            </w:rPr>
          </w:pPr>
          <w:r w:rsidRPr="00BF7481">
            <w:rPr>
              <w:rFonts w:ascii="Arial" w:hAnsi="Arial" w:cs="Arial"/>
              <w:sz w:val="24"/>
              <w:szCs w:val="24"/>
            </w:rPr>
            <w:t>Within table ahead, 2019 seems to be the foundation period while 2020 is the comparative period. All financial sheets and revenue account components in 2020 were contrasted to balancing chart and revenue statements components during 2019.</w:t>
          </w:r>
        </w:p>
        <w:p w14:paraId="1A7B14EE" w14:textId="7517F444" w:rsidR="008C514E" w:rsidRPr="00BF7481" w:rsidRDefault="008C514E" w:rsidP="000A42F5">
          <w:pPr>
            <w:pStyle w:val="Caption"/>
            <w:keepNext/>
            <w:jc w:val="both"/>
            <w:rPr>
              <w:rFonts w:ascii="Arial" w:hAnsi="Arial" w:cs="Arial"/>
              <w:sz w:val="24"/>
              <w:szCs w:val="24"/>
            </w:rPr>
          </w:pPr>
          <w:r w:rsidRPr="00BF7481">
            <w:rPr>
              <w:rFonts w:ascii="Arial" w:hAnsi="Arial" w:cs="Arial"/>
              <w:sz w:val="24"/>
              <w:szCs w:val="24"/>
            </w:rPr>
            <w:t xml:space="preserve">Table </w:t>
          </w:r>
          <w:r w:rsidRPr="00BF7481">
            <w:rPr>
              <w:rFonts w:ascii="Arial" w:hAnsi="Arial" w:cs="Arial"/>
              <w:sz w:val="24"/>
              <w:szCs w:val="24"/>
            </w:rPr>
            <w:fldChar w:fldCharType="begin"/>
          </w:r>
          <w:r w:rsidRPr="00BF7481">
            <w:rPr>
              <w:rFonts w:ascii="Arial" w:hAnsi="Arial" w:cs="Arial"/>
              <w:sz w:val="24"/>
              <w:szCs w:val="24"/>
            </w:rPr>
            <w:instrText xml:space="preserve"> SEQ Table \* ARABIC </w:instrText>
          </w:r>
          <w:r w:rsidRPr="00BF7481">
            <w:rPr>
              <w:rFonts w:ascii="Arial" w:hAnsi="Arial" w:cs="Arial"/>
              <w:sz w:val="24"/>
              <w:szCs w:val="24"/>
            </w:rPr>
            <w:fldChar w:fldCharType="separate"/>
          </w:r>
          <w:r w:rsidRPr="00BF7481">
            <w:rPr>
              <w:rFonts w:ascii="Arial" w:hAnsi="Arial" w:cs="Arial"/>
              <w:noProof/>
              <w:sz w:val="24"/>
              <w:szCs w:val="24"/>
            </w:rPr>
            <w:t>2</w:t>
          </w:r>
          <w:r w:rsidRPr="00BF7481">
            <w:rPr>
              <w:rFonts w:ascii="Arial" w:hAnsi="Arial" w:cs="Arial"/>
              <w:sz w:val="24"/>
              <w:szCs w:val="24"/>
            </w:rPr>
            <w:fldChar w:fldCharType="end"/>
          </w:r>
          <w:r w:rsidRPr="00BF7481">
            <w:rPr>
              <w:rFonts w:ascii="Arial" w:hAnsi="Arial" w:cs="Arial"/>
              <w:sz w:val="24"/>
              <w:szCs w:val="24"/>
            </w:rPr>
            <w:t xml:space="preserve"> Hilton balance sheet.</w:t>
          </w:r>
        </w:p>
        <w:tbl>
          <w:tblPr>
            <w:tblStyle w:val="TableGridLight"/>
            <w:tblW w:w="10201" w:type="dxa"/>
            <w:tblInd w:w="-592" w:type="dxa"/>
            <w:tblLook w:val="04A0" w:firstRow="1" w:lastRow="0" w:firstColumn="1" w:lastColumn="0" w:noHBand="0" w:noVBand="1"/>
          </w:tblPr>
          <w:tblGrid>
            <w:gridCol w:w="4332"/>
            <w:gridCol w:w="1356"/>
            <w:gridCol w:w="1356"/>
            <w:gridCol w:w="1289"/>
            <w:gridCol w:w="1868"/>
          </w:tblGrid>
          <w:tr w:rsidR="00D56FAD" w:rsidRPr="00D56FAD" w14:paraId="4650A7DA" w14:textId="77777777" w:rsidTr="00C06E4B">
            <w:trPr>
              <w:trHeight w:val="297"/>
            </w:trPr>
            <w:tc>
              <w:tcPr>
                <w:tcW w:w="10201" w:type="dxa"/>
                <w:gridSpan w:val="5"/>
                <w:noWrap/>
                <w:hideMark/>
              </w:tcPr>
              <w:p w14:paraId="76200AF1" w14:textId="77777777" w:rsidR="00D56FAD" w:rsidRPr="00D56FAD" w:rsidRDefault="00D56FAD" w:rsidP="000A42F5">
                <w:pPr>
                  <w:jc w:val="both"/>
                </w:pPr>
                <w:r w:rsidRPr="00D56FAD">
                  <w:t>HILTON WORLDWIDE HOLDINGS BALANCE SHEET HORIZONTAL RATIOS</w:t>
                </w:r>
              </w:p>
            </w:tc>
          </w:tr>
          <w:tr w:rsidR="00D56FAD" w:rsidRPr="00D56FAD" w14:paraId="31EC20D3" w14:textId="77777777" w:rsidTr="00C06E4B">
            <w:trPr>
              <w:trHeight w:val="297"/>
            </w:trPr>
            <w:tc>
              <w:tcPr>
                <w:tcW w:w="4332" w:type="dxa"/>
                <w:noWrap/>
                <w:hideMark/>
              </w:tcPr>
              <w:p w14:paraId="1F442A0B" w14:textId="77777777" w:rsidR="00D56FAD" w:rsidRPr="00D56FAD" w:rsidRDefault="00D56FAD" w:rsidP="000A42F5">
                <w:pPr>
                  <w:jc w:val="both"/>
                </w:pPr>
                <w:r w:rsidRPr="00D56FAD">
                  <w:t> </w:t>
                </w:r>
              </w:p>
            </w:tc>
            <w:tc>
              <w:tcPr>
                <w:tcW w:w="1356" w:type="dxa"/>
                <w:noWrap/>
                <w:hideMark/>
              </w:tcPr>
              <w:p w14:paraId="150DA54A" w14:textId="77777777" w:rsidR="00D56FAD" w:rsidRPr="00D56FAD" w:rsidRDefault="00D56FAD" w:rsidP="000A42F5">
                <w:pPr>
                  <w:jc w:val="both"/>
                </w:pPr>
                <w:r w:rsidRPr="00D56FAD">
                  <w:t>2020</w:t>
                </w:r>
              </w:p>
            </w:tc>
            <w:tc>
              <w:tcPr>
                <w:tcW w:w="1356" w:type="dxa"/>
                <w:noWrap/>
                <w:hideMark/>
              </w:tcPr>
              <w:p w14:paraId="478AD1B0" w14:textId="77777777" w:rsidR="00D56FAD" w:rsidRPr="00D56FAD" w:rsidRDefault="00D56FAD" w:rsidP="000A42F5">
                <w:pPr>
                  <w:jc w:val="both"/>
                </w:pPr>
                <w:r w:rsidRPr="00D56FAD">
                  <w:t>2019</w:t>
                </w:r>
              </w:p>
            </w:tc>
            <w:tc>
              <w:tcPr>
                <w:tcW w:w="1289" w:type="dxa"/>
                <w:noWrap/>
                <w:hideMark/>
              </w:tcPr>
              <w:p w14:paraId="339B238E" w14:textId="77777777" w:rsidR="00D56FAD" w:rsidRPr="00D56FAD" w:rsidRDefault="00D56FAD" w:rsidP="000A42F5">
                <w:pPr>
                  <w:jc w:val="both"/>
                </w:pPr>
                <w:r w:rsidRPr="00D56FAD">
                  <w:t>Change</w:t>
                </w:r>
              </w:p>
            </w:tc>
            <w:tc>
              <w:tcPr>
                <w:tcW w:w="1868" w:type="dxa"/>
                <w:noWrap/>
                <w:hideMark/>
              </w:tcPr>
              <w:p w14:paraId="61AFD786" w14:textId="77777777" w:rsidR="00D56FAD" w:rsidRPr="00D56FAD" w:rsidRDefault="00D56FAD" w:rsidP="000A42F5">
                <w:pPr>
                  <w:jc w:val="both"/>
                </w:pPr>
                <w:r w:rsidRPr="00D56FAD">
                  <w:t>% Change</w:t>
                </w:r>
              </w:p>
            </w:tc>
          </w:tr>
          <w:tr w:rsidR="00D56FAD" w:rsidRPr="00D56FAD" w14:paraId="3630E029" w14:textId="77777777" w:rsidTr="00C06E4B">
            <w:trPr>
              <w:trHeight w:val="297"/>
            </w:trPr>
            <w:tc>
              <w:tcPr>
                <w:tcW w:w="4332" w:type="dxa"/>
                <w:noWrap/>
                <w:hideMark/>
              </w:tcPr>
              <w:p w14:paraId="4AB3FCC4" w14:textId="77777777" w:rsidR="00D56FAD" w:rsidRPr="00D56FAD" w:rsidRDefault="00D56FAD" w:rsidP="000A42F5">
                <w:pPr>
                  <w:jc w:val="both"/>
                </w:pPr>
                <w:r w:rsidRPr="00D56FAD">
                  <w:t>Current Asset</w:t>
                </w:r>
              </w:p>
            </w:tc>
            <w:tc>
              <w:tcPr>
                <w:tcW w:w="1356" w:type="dxa"/>
                <w:noWrap/>
                <w:hideMark/>
              </w:tcPr>
              <w:p w14:paraId="75F4DB4B" w14:textId="77777777" w:rsidR="00D56FAD" w:rsidRPr="00D56FAD" w:rsidRDefault="00D56FAD" w:rsidP="000A42F5">
                <w:pPr>
                  <w:jc w:val="both"/>
                </w:pPr>
                <w:r w:rsidRPr="00D56FAD">
                  <w:t>4202000</w:t>
                </w:r>
              </w:p>
            </w:tc>
            <w:tc>
              <w:tcPr>
                <w:tcW w:w="1356" w:type="dxa"/>
                <w:noWrap/>
                <w:hideMark/>
              </w:tcPr>
              <w:p w14:paraId="4D8DC242" w14:textId="77777777" w:rsidR="00D56FAD" w:rsidRPr="00D56FAD" w:rsidRDefault="00D56FAD" w:rsidP="000A42F5">
                <w:pPr>
                  <w:jc w:val="both"/>
                </w:pPr>
                <w:r w:rsidRPr="00D56FAD">
                  <w:t>2093000</w:t>
                </w:r>
              </w:p>
            </w:tc>
            <w:tc>
              <w:tcPr>
                <w:tcW w:w="1289" w:type="dxa"/>
                <w:noWrap/>
                <w:hideMark/>
              </w:tcPr>
              <w:p w14:paraId="52623B1D" w14:textId="77777777" w:rsidR="00D56FAD" w:rsidRPr="00D56FAD" w:rsidRDefault="00D56FAD" w:rsidP="000A42F5">
                <w:pPr>
                  <w:jc w:val="both"/>
                </w:pPr>
                <w:r w:rsidRPr="00D56FAD">
                  <w:t>-2109000</w:t>
                </w:r>
              </w:p>
            </w:tc>
            <w:tc>
              <w:tcPr>
                <w:tcW w:w="1868" w:type="dxa"/>
                <w:noWrap/>
                <w:hideMark/>
              </w:tcPr>
              <w:p w14:paraId="1D8298E9" w14:textId="77777777" w:rsidR="00D56FAD" w:rsidRPr="00D56FAD" w:rsidRDefault="00D56FAD" w:rsidP="000A42F5">
                <w:pPr>
                  <w:jc w:val="both"/>
                </w:pPr>
                <w:r w:rsidRPr="00D56FAD">
                  <w:t>-100.7644529</w:t>
                </w:r>
              </w:p>
            </w:tc>
          </w:tr>
          <w:tr w:rsidR="00D56FAD" w:rsidRPr="00D56FAD" w14:paraId="0388B5F9" w14:textId="77777777" w:rsidTr="00C06E4B">
            <w:trPr>
              <w:trHeight w:val="297"/>
            </w:trPr>
            <w:tc>
              <w:tcPr>
                <w:tcW w:w="4332" w:type="dxa"/>
                <w:noWrap/>
                <w:hideMark/>
              </w:tcPr>
              <w:p w14:paraId="0C14639B" w14:textId="49D5C13D" w:rsidR="00D56FAD" w:rsidRPr="00D56FAD" w:rsidRDefault="00D56FAD" w:rsidP="000A42F5">
                <w:pPr>
                  <w:jc w:val="both"/>
                </w:pPr>
                <w:r w:rsidRPr="00D56FAD">
                  <w:t>Non-Current Asset</w:t>
                </w:r>
              </w:p>
            </w:tc>
            <w:tc>
              <w:tcPr>
                <w:tcW w:w="1356" w:type="dxa"/>
                <w:noWrap/>
                <w:hideMark/>
              </w:tcPr>
              <w:p w14:paraId="053DFB91" w14:textId="77777777" w:rsidR="00D56FAD" w:rsidRPr="00D56FAD" w:rsidRDefault="00D56FAD" w:rsidP="000A42F5">
                <w:pPr>
                  <w:jc w:val="both"/>
                </w:pPr>
                <w:r w:rsidRPr="00D56FAD">
                  <w:t>15810000</w:t>
                </w:r>
              </w:p>
            </w:tc>
            <w:tc>
              <w:tcPr>
                <w:tcW w:w="1356" w:type="dxa"/>
                <w:noWrap/>
                <w:hideMark/>
              </w:tcPr>
              <w:p w14:paraId="35E89D61" w14:textId="77777777" w:rsidR="00D56FAD" w:rsidRPr="00D56FAD" w:rsidRDefault="00D56FAD" w:rsidP="000A42F5">
                <w:pPr>
                  <w:jc w:val="both"/>
                </w:pPr>
                <w:r w:rsidRPr="00D56FAD">
                  <w:t>12558000</w:t>
                </w:r>
              </w:p>
            </w:tc>
            <w:tc>
              <w:tcPr>
                <w:tcW w:w="1289" w:type="dxa"/>
                <w:noWrap/>
                <w:hideMark/>
              </w:tcPr>
              <w:p w14:paraId="37EA5274" w14:textId="77777777" w:rsidR="00D56FAD" w:rsidRPr="00D56FAD" w:rsidRDefault="00D56FAD" w:rsidP="000A42F5">
                <w:pPr>
                  <w:jc w:val="both"/>
                </w:pPr>
                <w:r w:rsidRPr="00D56FAD">
                  <w:t>-3252000</w:t>
                </w:r>
              </w:p>
            </w:tc>
            <w:tc>
              <w:tcPr>
                <w:tcW w:w="1868" w:type="dxa"/>
                <w:noWrap/>
                <w:hideMark/>
              </w:tcPr>
              <w:p w14:paraId="3369F92B" w14:textId="77777777" w:rsidR="00D56FAD" w:rsidRPr="00D56FAD" w:rsidRDefault="00D56FAD" w:rsidP="000A42F5">
                <w:pPr>
                  <w:jc w:val="both"/>
                </w:pPr>
                <w:r w:rsidRPr="00D56FAD">
                  <w:t>-25.89584329</w:t>
                </w:r>
              </w:p>
            </w:tc>
          </w:tr>
          <w:tr w:rsidR="00D56FAD" w:rsidRPr="00D56FAD" w14:paraId="56829E25" w14:textId="77777777" w:rsidTr="00C06E4B">
            <w:trPr>
              <w:trHeight w:val="297"/>
            </w:trPr>
            <w:tc>
              <w:tcPr>
                <w:tcW w:w="4332" w:type="dxa"/>
                <w:noWrap/>
                <w:hideMark/>
              </w:tcPr>
              <w:p w14:paraId="2EB9D2A5" w14:textId="77777777" w:rsidR="00D56FAD" w:rsidRPr="00D56FAD" w:rsidRDefault="00D56FAD" w:rsidP="000A42F5">
                <w:pPr>
                  <w:jc w:val="both"/>
                </w:pPr>
                <w:r w:rsidRPr="00D56FAD">
                  <w:t>Total Asset</w:t>
                </w:r>
              </w:p>
            </w:tc>
            <w:tc>
              <w:tcPr>
                <w:tcW w:w="1356" w:type="dxa"/>
                <w:noWrap/>
                <w:hideMark/>
              </w:tcPr>
              <w:p w14:paraId="29D2DED5" w14:textId="77777777" w:rsidR="00D56FAD" w:rsidRPr="00D56FAD" w:rsidRDefault="00D56FAD" w:rsidP="000A42F5">
                <w:pPr>
                  <w:jc w:val="both"/>
                </w:pPr>
                <w:r w:rsidRPr="00D56FAD">
                  <w:t>16775000</w:t>
                </w:r>
              </w:p>
            </w:tc>
            <w:tc>
              <w:tcPr>
                <w:tcW w:w="1356" w:type="dxa"/>
                <w:noWrap/>
                <w:hideMark/>
              </w:tcPr>
              <w:p w14:paraId="19BB5185" w14:textId="77777777" w:rsidR="00D56FAD" w:rsidRPr="00D56FAD" w:rsidRDefault="00D56FAD" w:rsidP="000A42F5">
                <w:pPr>
                  <w:jc w:val="both"/>
                </w:pPr>
                <w:r w:rsidRPr="00D56FAD">
                  <w:t>14957000</w:t>
                </w:r>
              </w:p>
            </w:tc>
            <w:tc>
              <w:tcPr>
                <w:tcW w:w="1289" w:type="dxa"/>
                <w:noWrap/>
                <w:hideMark/>
              </w:tcPr>
              <w:p w14:paraId="42332160" w14:textId="77777777" w:rsidR="00D56FAD" w:rsidRPr="00D56FAD" w:rsidRDefault="00D56FAD" w:rsidP="000A42F5">
                <w:pPr>
                  <w:jc w:val="both"/>
                </w:pPr>
                <w:r w:rsidRPr="00D56FAD">
                  <w:t>-1818000</w:t>
                </w:r>
              </w:p>
            </w:tc>
            <w:tc>
              <w:tcPr>
                <w:tcW w:w="1868" w:type="dxa"/>
                <w:noWrap/>
                <w:hideMark/>
              </w:tcPr>
              <w:p w14:paraId="3E943358" w14:textId="77777777" w:rsidR="00D56FAD" w:rsidRPr="00D56FAD" w:rsidRDefault="00D56FAD" w:rsidP="000A42F5">
                <w:pPr>
                  <w:jc w:val="both"/>
                </w:pPr>
                <w:r w:rsidRPr="00D56FAD">
                  <w:t>-12.15484389</w:t>
                </w:r>
              </w:p>
            </w:tc>
          </w:tr>
          <w:tr w:rsidR="00D56FAD" w:rsidRPr="00D56FAD" w14:paraId="7B804827" w14:textId="77777777" w:rsidTr="00C06E4B">
            <w:trPr>
              <w:trHeight w:val="297"/>
            </w:trPr>
            <w:tc>
              <w:tcPr>
                <w:tcW w:w="4332" w:type="dxa"/>
                <w:noWrap/>
                <w:hideMark/>
              </w:tcPr>
              <w:p w14:paraId="6BF9CFD9" w14:textId="77777777" w:rsidR="00D56FAD" w:rsidRPr="00D56FAD" w:rsidRDefault="00D56FAD" w:rsidP="000A42F5">
                <w:pPr>
                  <w:jc w:val="both"/>
                </w:pPr>
                <w:r w:rsidRPr="00D56FAD">
                  <w:t>Current Liabilities</w:t>
                </w:r>
              </w:p>
            </w:tc>
            <w:tc>
              <w:tcPr>
                <w:tcW w:w="1356" w:type="dxa"/>
                <w:noWrap/>
                <w:hideMark/>
              </w:tcPr>
              <w:p w14:paraId="69A7B2F0" w14:textId="77777777" w:rsidR="00D56FAD" w:rsidRPr="00D56FAD" w:rsidRDefault="00D56FAD" w:rsidP="000A42F5">
                <w:pPr>
                  <w:jc w:val="both"/>
                </w:pPr>
                <w:r w:rsidRPr="00D56FAD">
                  <w:t>2431000</w:t>
                </w:r>
              </w:p>
            </w:tc>
            <w:tc>
              <w:tcPr>
                <w:tcW w:w="1356" w:type="dxa"/>
                <w:noWrap/>
                <w:hideMark/>
              </w:tcPr>
              <w:p w14:paraId="61888BCF" w14:textId="77777777" w:rsidR="00D56FAD" w:rsidRPr="00D56FAD" w:rsidRDefault="00D56FAD" w:rsidP="000A42F5">
                <w:pPr>
                  <w:jc w:val="both"/>
                </w:pPr>
                <w:r w:rsidRPr="00D56FAD">
                  <w:t>2871000</w:t>
                </w:r>
              </w:p>
            </w:tc>
            <w:tc>
              <w:tcPr>
                <w:tcW w:w="1289" w:type="dxa"/>
                <w:noWrap/>
                <w:hideMark/>
              </w:tcPr>
              <w:p w14:paraId="4E68703F" w14:textId="77777777" w:rsidR="00D56FAD" w:rsidRPr="00D56FAD" w:rsidRDefault="00D56FAD" w:rsidP="000A42F5">
                <w:pPr>
                  <w:jc w:val="both"/>
                </w:pPr>
                <w:r w:rsidRPr="00D56FAD">
                  <w:t>440000</w:t>
                </w:r>
              </w:p>
            </w:tc>
            <w:tc>
              <w:tcPr>
                <w:tcW w:w="1868" w:type="dxa"/>
                <w:noWrap/>
                <w:hideMark/>
              </w:tcPr>
              <w:p w14:paraId="17A6F7E2" w14:textId="77777777" w:rsidR="00D56FAD" w:rsidRPr="00D56FAD" w:rsidRDefault="00D56FAD" w:rsidP="000A42F5">
                <w:pPr>
                  <w:jc w:val="both"/>
                </w:pPr>
                <w:r w:rsidRPr="00D56FAD">
                  <w:t>15.3256705</w:t>
                </w:r>
              </w:p>
            </w:tc>
          </w:tr>
          <w:tr w:rsidR="00D56FAD" w:rsidRPr="00D56FAD" w14:paraId="5B4F50F4" w14:textId="77777777" w:rsidTr="00C06E4B">
            <w:trPr>
              <w:trHeight w:val="297"/>
            </w:trPr>
            <w:tc>
              <w:tcPr>
                <w:tcW w:w="4332" w:type="dxa"/>
                <w:noWrap/>
                <w:hideMark/>
              </w:tcPr>
              <w:p w14:paraId="035D0312" w14:textId="7B8E7200" w:rsidR="00D56FAD" w:rsidRPr="00D56FAD" w:rsidRDefault="00D56FAD" w:rsidP="000A42F5">
                <w:pPr>
                  <w:jc w:val="both"/>
                </w:pPr>
                <w:r w:rsidRPr="00D56FAD">
                  <w:t>Non-Current Liabilities</w:t>
                </w:r>
              </w:p>
            </w:tc>
            <w:tc>
              <w:tcPr>
                <w:tcW w:w="1356" w:type="dxa"/>
                <w:noWrap/>
                <w:hideMark/>
              </w:tcPr>
              <w:p w14:paraId="224B899B" w14:textId="77777777" w:rsidR="00D56FAD" w:rsidRPr="00D56FAD" w:rsidRDefault="00D56FAD" w:rsidP="000A42F5">
                <w:pPr>
                  <w:jc w:val="both"/>
                </w:pPr>
                <w:r w:rsidRPr="00D56FAD">
                  <w:t>15810000</w:t>
                </w:r>
              </w:p>
            </w:tc>
            <w:tc>
              <w:tcPr>
                <w:tcW w:w="1356" w:type="dxa"/>
                <w:noWrap/>
                <w:hideMark/>
              </w:tcPr>
              <w:p w14:paraId="46EABE66" w14:textId="77777777" w:rsidR="00D56FAD" w:rsidRPr="00D56FAD" w:rsidRDefault="00D56FAD" w:rsidP="000A42F5">
                <w:pPr>
                  <w:jc w:val="both"/>
                </w:pPr>
                <w:r w:rsidRPr="00D56FAD">
                  <w:t>12558000</w:t>
                </w:r>
              </w:p>
            </w:tc>
            <w:tc>
              <w:tcPr>
                <w:tcW w:w="1289" w:type="dxa"/>
                <w:noWrap/>
                <w:hideMark/>
              </w:tcPr>
              <w:p w14:paraId="369726A6" w14:textId="77777777" w:rsidR="00D56FAD" w:rsidRPr="00D56FAD" w:rsidRDefault="00D56FAD" w:rsidP="000A42F5">
                <w:pPr>
                  <w:jc w:val="both"/>
                </w:pPr>
                <w:r w:rsidRPr="00D56FAD">
                  <w:t>-3252000</w:t>
                </w:r>
              </w:p>
            </w:tc>
            <w:tc>
              <w:tcPr>
                <w:tcW w:w="1868" w:type="dxa"/>
                <w:noWrap/>
                <w:hideMark/>
              </w:tcPr>
              <w:p w14:paraId="5FB26EBE" w14:textId="77777777" w:rsidR="00D56FAD" w:rsidRPr="00D56FAD" w:rsidRDefault="00D56FAD" w:rsidP="000A42F5">
                <w:pPr>
                  <w:jc w:val="both"/>
                </w:pPr>
                <w:r w:rsidRPr="00D56FAD">
                  <w:t>-25.89584329</w:t>
                </w:r>
              </w:p>
            </w:tc>
          </w:tr>
          <w:tr w:rsidR="00D56FAD" w:rsidRPr="00D56FAD" w14:paraId="6556C682" w14:textId="77777777" w:rsidTr="00C06E4B">
            <w:trPr>
              <w:trHeight w:val="297"/>
            </w:trPr>
            <w:tc>
              <w:tcPr>
                <w:tcW w:w="4332" w:type="dxa"/>
                <w:noWrap/>
                <w:hideMark/>
              </w:tcPr>
              <w:p w14:paraId="0CE189FE" w14:textId="77777777" w:rsidR="00D56FAD" w:rsidRPr="00D56FAD" w:rsidRDefault="00D56FAD" w:rsidP="000A42F5">
                <w:pPr>
                  <w:jc w:val="both"/>
                </w:pPr>
                <w:r w:rsidRPr="00D56FAD">
                  <w:t>Total Liabilities</w:t>
                </w:r>
              </w:p>
            </w:tc>
            <w:tc>
              <w:tcPr>
                <w:tcW w:w="1356" w:type="dxa"/>
                <w:noWrap/>
                <w:hideMark/>
              </w:tcPr>
              <w:p w14:paraId="43779796" w14:textId="77777777" w:rsidR="00D56FAD" w:rsidRPr="00D56FAD" w:rsidRDefault="00D56FAD" w:rsidP="000A42F5">
                <w:pPr>
                  <w:jc w:val="both"/>
                </w:pPr>
                <w:r w:rsidRPr="00D56FAD">
                  <w:t>18241000</w:t>
                </w:r>
              </w:p>
            </w:tc>
            <w:tc>
              <w:tcPr>
                <w:tcW w:w="1356" w:type="dxa"/>
                <w:noWrap/>
                <w:hideMark/>
              </w:tcPr>
              <w:p w14:paraId="5DFF25D0" w14:textId="77777777" w:rsidR="00D56FAD" w:rsidRPr="00D56FAD" w:rsidRDefault="00D56FAD" w:rsidP="000A42F5">
                <w:pPr>
                  <w:jc w:val="both"/>
                </w:pPr>
                <w:r w:rsidRPr="00D56FAD">
                  <w:t>15429000</w:t>
                </w:r>
              </w:p>
            </w:tc>
            <w:tc>
              <w:tcPr>
                <w:tcW w:w="1289" w:type="dxa"/>
                <w:noWrap/>
                <w:hideMark/>
              </w:tcPr>
              <w:p w14:paraId="205A91FA" w14:textId="77777777" w:rsidR="00D56FAD" w:rsidRPr="00D56FAD" w:rsidRDefault="00D56FAD" w:rsidP="000A42F5">
                <w:pPr>
                  <w:jc w:val="both"/>
                </w:pPr>
                <w:r w:rsidRPr="00D56FAD">
                  <w:t>-2812000</w:t>
                </w:r>
              </w:p>
            </w:tc>
            <w:tc>
              <w:tcPr>
                <w:tcW w:w="1868" w:type="dxa"/>
                <w:noWrap/>
                <w:hideMark/>
              </w:tcPr>
              <w:p w14:paraId="4D9EEF7F" w14:textId="77777777" w:rsidR="00D56FAD" w:rsidRPr="00D56FAD" w:rsidRDefault="00D56FAD" w:rsidP="000A42F5">
                <w:pPr>
                  <w:jc w:val="both"/>
                </w:pPr>
                <w:r w:rsidRPr="00D56FAD">
                  <w:t>-18.22541966</w:t>
                </w:r>
              </w:p>
            </w:tc>
          </w:tr>
          <w:tr w:rsidR="00D56FAD" w:rsidRPr="00D56FAD" w14:paraId="433258AC" w14:textId="77777777" w:rsidTr="00C06E4B">
            <w:trPr>
              <w:trHeight w:val="297"/>
            </w:trPr>
            <w:tc>
              <w:tcPr>
                <w:tcW w:w="4332" w:type="dxa"/>
                <w:noWrap/>
                <w:hideMark/>
              </w:tcPr>
              <w:p w14:paraId="4D0A4E3B" w14:textId="77777777" w:rsidR="00D56FAD" w:rsidRPr="00D56FAD" w:rsidRDefault="00D56FAD" w:rsidP="000A42F5">
                <w:pPr>
                  <w:jc w:val="both"/>
                </w:pPr>
                <w:r w:rsidRPr="00D56FAD">
                  <w:t>Common Stock</w:t>
                </w:r>
              </w:p>
            </w:tc>
            <w:tc>
              <w:tcPr>
                <w:tcW w:w="1356" w:type="dxa"/>
                <w:noWrap/>
                <w:hideMark/>
              </w:tcPr>
              <w:p w14:paraId="1F680195" w14:textId="77777777" w:rsidR="00D56FAD" w:rsidRPr="00D56FAD" w:rsidRDefault="00D56FAD" w:rsidP="000A42F5">
                <w:pPr>
                  <w:jc w:val="both"/>
                </w:pPr>
                <w:r w:rsidRPr="00D56FAD">
                  <w:t>3000</w:t>
                </w:r>
              </w:p>
            </w:tc>
            <w:tc>
              <w:tcPr>
                <w:tcW w:w="1356" w:type="dxa"/>
                <w:noWrap/>
                <w:hideMark/>
              </w:tcPr>
              <w:p w14:paraId="741163ED" w14:textId="77777777" w:rsidR="00D56FAD" w:rsidRPr="00D56FAD" w:rsidRDefault="00D56FAD" w:rsidP="000A42F5">
                <w:pPr>
                  <w:jc w:val="both"/>
                </w:pPr>
                <w:r w:rsidRPr="00D56FAD">
                  <w:t>3000</w:t>
                </w:r>
              </w:p>
            </w:tc>
            <w:tc>
              <w:tcPr>
                <w:tcW w:w="1289" w:type="dxa"/>
                <w:noWrap/>
                <w:hideMark/>
              </w:tcPr>
              <w:p w14:paraId="5A338125" w14:textId="77777777" w:rsidR="00D56FAD" w:rsidRPr="00D56FAD" w:rsidRDefault="00D56FAD" w:rsidP="000A42F5">
                <w:pPr>
                  <w:jc w:val="both"/>
                </w:pPr>
                <w:r w:rsidRPr="00D56FAD">
                  <w:t>0</w:t>
                </w:r>
              </w:p>
            </w:tc>
            <w:tc>
              <w:tcPr>
                <w:tcW w:w="1868" w:type="dxa"/>
                <w:noWrap/>
                <w:hideMark/>
              </w:tcPr>
              <w:p w14:paraId="04EE40A3" w14:textId="77777777" w:rsidR="00D56FAD" w:rsidRPr="00D56FAD" w:rsidRDefault="00D56FAD" w:rsidP="000A42F5">
                <w:pPr>
                  <w:jc w:val="both"/>
                </w:pPr>
                <w:r w:rsidRPr="00D56FAD">
                  <w:t>0</w:t>
                </w:r>
              </w:p>
            </w:tc>
          </w:tr>
          <w:tr w:rsidR="00D56FAD" w:rsidRPr="00D56FAD" w14:paraId="072F996A" w14:textId="77777777" w:rsidTr="00C06E4B">
            <w:trPr>
              <w:trHeight w:val="297"/>
            </w:trPr>
            <w:tc>
              <w:tcPr>
                <w:tcW w:w="4332" w:type="dxa"/>
                <w:noWrap/>
                <w:hideMark/>
              </w:tcPr>
              <w:p w14:paraId="7D80A5CF" w14:textId="77777777" w:rsidR="00D56FAD" w:rsidRPr="00D56FAD" w:rsidRDefault="00D56FAD" w:rsidP="000A42F5">
                <w:pPr>
                  <w:jc w:val="both"/>
                </w:pPr>
                <w:r w:rsidRPr="00D56FAD">
                  <w:t>Retained Earnings</w:t>
                </w:r>
              </w:p>
            </w:tc>
            <w:tc>
              <w:tcPr>
                <w:tcW w:w="1356" w:type="dxa"/>
                <w:noWrap/>
                <w:hideMark/>
              </w:tcPr>
              <w:p w14:paraId="4B65E28C" w14:textId="77777777" w:rsidR="00D56FAD" w:rsidRPr="00D56FAD" w:rsidRDefault="00D56FAD" w:rsidP="000A42F5">
                <w:pPr>
                  <w:jc w:val="both"/>
                </w:pPr>
                <w:r w:rsidRPr="00D56FAD">
                  <w:t>-6732000</w:t>
                </w:r>
              </w:p>
            </w:tc>
            <w:tc>
              <w:tcPr>
                <w:tcW w:w="1356" w:type="dxa"/>
                <w:noWrap/>
                <w:hideMark/>
              </w:tcPr>
              <w:p w14:paraId="1EB0E183" w14:textId="77777777" w:rsidR="00D56FAD" w:rsidRPr="00D56FAD" w:rsidRDefault="00D56FAD" w:rsidP="000A42F5">
                <w:pPr>
                  <w:jc w:val="both"/>
                </w:pPr>
                <w:r w:rsidRPr="00D56FAD">
                  <w:t>-5965000</w:t>
                </w:r>
              </w:p>
            </w:tc>
            <w:tc>
              <w:tcPr>
                <w:tcW w:w="1289" w:type="dxa"/>
                <w:noWrap/>
                <w:hideMark/>
              </w:tcPr>
              <w:p w14:paraId="02C83177" w14:textId="77777777" w:rsidR="00D56FAD" w:rsidRPr="00D56FAD" w:rsidRDefault="00D56FAD" w:rsidP="000A42F5">
                <w:pPr>
                  <w:jc w:val="both"/>
                </w:pPr>
                <w:r w:rsidRPr="00D56FAD">
                  <w:t>767000</w:t>
                </w:r>
              </w:p>
            </w:tc>
            <w:tc>
              <w:tcPr>
                <w:tcW w:w="1868" w:type="dxa"/>
                <w:noWrap/>
                <w:hideMark/>
              </w:tcPr>
              <w:p w14:paraId="551E51A9" w14:textId="77777777" w:rsidR="00D56FAD" w:rsidRPr="00D56FAD" w:rsidRDefault="00D56FAD" w:rsidP="000A42F5">
                <w:pPr>
                  <w:jc w:val="both"/>
                </w:pPr>
                <w:r w:rsidRPr="00D56FAD">
                  <w:t>-12.85834032</w:t>
                </w:r>
              </w:p>
            </w:tc>
          </w:tr>
          <w:tr w:rsidR="00D56FAD" w:rsidRPr="00D56FAD" w14:paraId="06B3D2B0" w14:textId="77777777" w:rsidTr="00C06E4B">
            <w:trPr>
              <w:trHeight w:val="297"/>
            </w:trPr>
            <w:tc>
              <w:tcPr>
                <w:tcW w:w="4332" w:type="dxa"/>
                <w:noWrap/>
                <w:hideMark/>
              </w:tcPr>
              <w:p w14:paraId="481D39E5" w14:textId="60EC7E1F" w:rsidR="00D56FAD" w:rsidRPr="00D56FAD" w:rsidRDefault="00D56FAD" w:rsidP="000A42F5">
                <w:pPr>
                  <w:jc w:val="both"/>
                </w:pPr>
                <w:r w:rsidRPr="00D56FAD">
                  <w:t>Total Stockholders’ Equity</w:t>
                </w:r>
              </w:p>
            </w:tc>
            <w:tc>
              <w:tcPr>
                <w:tcW w:w="1356" w:type="dxa"/>
                <w:noWrap/>
                <w:hideMark/>
              </w:tcPr>
              <w:p w14:paraId="2442DD7C" w14:textId="77777777" w:rsidR="00D56FAD" w:rsidRPr="00D56FAD" w:rsidRDefault="00D56FAD" w:rsidP="000A42F5">
                <w:pPr>
                  <w:jc w:val="both"/>
                </w:pPr>
                <w:r w:rsidRPr="00D56FAD">
                  <w:t>-1492000</w:t>
                </w:r>
              </w:p>
            </w:tc>
            <w:tc>
              <w:tcPr>
                <w:tcW w:w="1356" w:type="dxa"/>
                <w:noWrap/>
                <w:hideMark/>
              </w:tcPr>
              <w:p w14:paraId="3437A8FA" w14:textId="77777777" w:rsidR="00D56FAD" w:rsidRPr="00D56FAD" w:rsidRDefault="00D56FAD" w:rsidP="000A42F5">
                <w:pPr>
                  <w:jc w:val="both"/>
                </w:pPr>
                <w:r w:rsidRPr="00D56FAD">
                  <w:t>-482000</w:t>
                </w:r>
              </w:p>
            </w:tc>
            <w:tc>
              <w:tcPr>
                <w:tcW w:w="1289" w:type="dxa"/>
                <w:noWrap/>
                <w:hideMark/>
              </w:tcPr>
              <w:p w14:paraId="565A4ADF" w14:textId="77777777" w:rsidR="00D56FAD" w:rsidRPr="00D56FAD" w:rsidRDefault="00D56FAD" w:rsidP="000A42F5">
                <w:pPr>
                  <w:jc w:val="both"/>
                </w:pPr>
                <w:r w:rsidRPr="00D56FAD">
                  <w:t>1010000</w:t>
                </w:r>
              </w:p>
            </w:tc>
            <w:tc>
              <w:tcPr>
                <w:tcW w:w="1868" w:type="dxa"/>
                <w:noWrap/>
                <w:hideMark/>
              </w:tcPr>
              <w:p w14:paraId="60F734DC" w14:textId="77777777" w:rsidR="00D56FAD" w:rsidRPr="00D56FAD" w:rsidRDefault="00D56FAD" w:rsidP="000A42F5">
                <w:pPr>
                  <w:jc w:val="both"/>
                </w:pPr>
                <w:r w:rsidRPr="00D56FAD">
                  <w:t>-209.5435685</w:t>
                </w:r>
              </w:p>
            </w:tc>
          </w:tr>
          <w:tr w:rsidR="00D56FAD" w:rsidRPr="00D56FAD" w14:paraId="1B33C7B1" w14:textId="77777777" w:rsidTr="00C06E4B">
            <w:trPr>
              <w:trHeight w:val="297"/>
            </w:trPr>
            <w:tc>
              <w:tcPr>
                <w:tcW w:w="4332" w:type="dxa"/>
                <w:noWrap/>
                <w:hideMark/>
              </w:tcPr>
              <w:p w14:paraId="3BA65998" w14:textId="77777777" w:rsidR="00D56FAD" w:rsidRPr="00D56FAD" w:rsidRDefault="00D56FAD" w:rsidP="000A42F5">
                <w:pPr>
                  <w:jc w:val="both"/>
                </w:pPr>
                <w:r w:rsidRPr="00D56FAD">
                  <w:t>Total Liabilities and Stockholder</w:t>
                </w:r>
              </w:p>
            </w:tc>
            <w:tc>
              <w:tcPr>
                <w:tcW w:w="1356" w:type="dxa"/>
                <w:noWrap/>
                <w:hideMark/>
              </w:tcPr>
              <w:p w14:paraId="77C7E3C6" w14:textId="77777777" w:rsidR="00D56FAD" w:rsidRPr="00D56FAD" w:rsidRDefault="00D56FAD" w:rsidP="000A42F5">
                <w:pPr>
                  <w:jc w:val="both"/>
                </w:pPr>
                <w:r w:rsidRPr="00D56FAD">
                  <w:t>16755000</w:t>
                </w:r>
              </w:p>
            </w:tc>
            <w:tc>
              <w:tcPr>
                <w:tcW w:w="1356" w:type="dxa"/>
                <w:noWrap/>
                <w:hideMark/>
              </w:tcPr>
              <w:p w14:paraId="4A7A0EAD" w14:textId="77777777" w:rsidR="00D56FAD" w:rsidRPr="00D56FAD" w:rsidRDefault="00D56FAD" w:rsidP="000A42F5">
                <w:pPr>
                  <w:jc w:val="both"/>
                </w:pPr>
                <w:r w:rsidRPr="00D56FAD">
                  <w:t>14957000</w:t>
                </w:r>
              </w:p>
            </w:tc>
            <w:tc>
              <w:tcPr>
                <w:tcW w:w="1289" w:type="dxa"/>
                <w:noWrap/>
                <w:hideMark/>
              </w:tcPr>
              <w:p w14:paraId="4791E47B" w14:textId="77777777" w:rsidR="00D56FAD" w:rsidRPr="00D56FAD" w:rsidRDefault="00D56FAD" w:rsidP="000A42F5">
                <w:pPr>
                  <w:jc w:val="both"/>
                </w:pPr>
                <w:r w:rsidRPr="00D56FAD">
                  <w:t>-1798000</w:t>
                </w:r>
              </w:p>
            </w:tc>
            <w:tc>
              <w:tcPr>
                <w:tcW w:w="1868" w:type="dxa"/>
                <w:noWrap/>
                <w:hideMark/>
              </w:tcPr>
              <w:p w14:paraId="42F71029" w14:textId="77777777" w:rsidR="00D56FAD" w:rsidRPr="00D56FAD" w:rsidRDefault="00D56FAD" w:rsidP="000A42F5">
                <w:pPr>
                  <w:jc w:val="both"/>
                </w:pPr>
                <w:r w:rsidRPr="00D56FAD">
                  <w:t>-12.02112723</w:t>
                </w:r>
              </w:p>
            </w:tc>
          </w:tr>
        </w:tbl>
        <w:p w14:paraId="71CB2A69" w14:textId="6BAF586E" w:rsidR="00EB5B78" w:rsidRDefault="00EB5B78" w:rsidP="000A42F5">
          <w:pPr>
            <w:jc w:val="both"/>
          </w:pPr>
        </w:p>
        <w:p w14:paraId="02FE9C09" w14:textId="1D7BF11A" w:rsidR="00EB5B78" w:rsidRPr="00BF7481" w:rsidRDefault="00B35DA9" w:rsidP="000A42F5">
          <w:pPr>
            <w:jc w:val="both"/>
            <w:rPr>
              <w:rFonts w:ascii="Arial" w:hAnsi="Arial" w:cs="Arial"/>
              <w:sz w:val="24"/>
              <w:szCs w:val="24"/>
            </w:rPr>
          </w:pPr>
          <w:r w:rsidRPr="00BF7481">
            <w:rPr>
              <w:rFonts w:ascii="Arial" w:hAnsi="Arial" w:cs="Arial"/>
              <w:sz w:val="24"/>
              <w:szCs w:val="24"/>
            </w:rPr>
            <w:t>The column above explains the total improvement from 2019 towards 2020.</w:t>
          </w:r>
        </w:p>
        <w:p w14:paraId="530738E0" w14:textId="2CCC23CB" w:rsidR="004A11F6" w:rsidRPr="00BF7481" w:rsidRDefault="004D519C" w:rsidP="000A42F5">
          <w:pPr>
            <w:pStyle w:val="Heading1"/>
            <w:jc w:val="both"/>
            <w:rPr>
              <w:rFonts w:ascii="Arial" w:hAnsi="Arial" w:cs="Arial"/>
              <w:sz w:val="24"/>
              <w:szCs w:val="24"/>
            </w:rPr>
          </w:pPr>
          <w:bookmarkStart w:id="4" w:name="_Toc104590328"/>
          <w:r w:rsidRPr="00BF7481">
            <w:rPr>
              <w:rFonts w:ascii="Arial" w:hAnsi="Arial" w:cs="Arial"/>
              <w:sz w:val="24"/>
              <w:szCs w:val="24"/>
            </w:rPr>
            <w:t>Financial Analysis Trends</w:t>
          </w:r>
          <w:bookmarkEnd w:id="4"/>
        </w:p>
        <w:p w14:paraId="2E85E835" w14:textId="69C8CB5C" w:rsidR="008456A8" w:rsidRPr="00BF7481" w:rsidRDefault="008456A8" w:rsidP="000A42F5">
          <w:pPr>
            <w:pStyle w:val="Heading2"/>
            <w:jc w:val="both"/>
            <w:rPr>
              <w:rFonts w:ascii="Arial" w:hAnsi="Arial" w:cs="Arial"/>
              <w:sz w:val="24"/>
              <w:szCs w:val="24"/>
            </w:rPr>
          </w:pPr>
          <w:bookmarkStart w:id="5" w:name="_Toc104590329"/>
          <w:r w:rsidRPr="00BF7481">
            <w:rPr>
              <w:rFonts w:ascii="Arial" w:hAnsi="Arial" w:cs="Arial"/>
              <w:sz w:val="24"/>
              <w:szCs w:val="24"/>
            </w:rPr>
            <w:t>Horizontal assessment</w:t>
          </w:r>
          <w:bookmarkEnd w:id="5"/>
        </w:p>
        <w:p w14:paraId="6277EE92" w14:textId="6EB73E97" w:rsidR="00FE4701" w:rsidRPr="00BF7481" w:rsidRDefault="00D60E44" w:rsidP="000A42F5">
          <w:pPr>
            <w:autoSpaceDE w:val="0"/>
            <w:autoSpaceDN w:val="0"/>
            <w:adjustRightInd w:val="0"/>
            <w:jc w:val="both"/>
            <w:rPr>
              <w:rFonts w:ascii="Arial" w:hAnsi="Arial" w:cs="Arial"/>
              <w:sz w:val="24"/>
              <w:szCs w:val="24"/>
            </w:rPr>
          </w:pPr>
          <w:r w:rsidRPr="00BF7481">
            <w:rPr>
              <w:rFonts w:ascii="Arial" w:hAnsi="Arial" w:cs="Arial"/>
              <w:sz w:val="24"/>
              <w:szCs w:val="24"/>
            </w:rPr>
            <w:t xml:space="preserve">Horizontal assessment of the revenue account is often performed inside a two-year arrangement, as demonstrated inside the illustration above, including a deviation </w:t>
          </w:r>
          <w:r w:rsidRPr="00BF7481">
            <w:rPr>
              <w:rFonts w:ascii="Arial" w:hAnsi="Arial" w:cs="Arial"/>
              <w:sz w:val="24"/>
              <w:szCs w:val="24"/>
            </w:rPr>
            <w:lastRenderedPageBreak/>
            <w:t xml:space="preserve">showing the change in every column category across the 2 periods. Including as numerous periods as would exist upon that screen before displaying a deviation seems to be the alternative method which enables users to view broad variations by profile across times. Every year within the statement must be divided </w:t>
          </w:r>
          <w:r w:rsidR="00302D48" w:rsidRPr="00BF7481">
            <w:rPr>
              <w:rFonts w:ascii="Arial" w:hAnsi="Arial" w:cs="Arial"/>
              <w:sz w:val="24"/>
              <w:szCs w:val="24"/>
            </w:rPr>
            <w:t>a</w:t>
          </w:r>
          <w:r w:rsidRPr="00BF7481">
            <w:rPr>
              <w:rFonts w:ascii="Arial" w:hAnsi="Arial" w:cs="Arial"/>
              <w:sz w:val="24"/>
              <w:szCs w:val="24"/>
            </w:rPr>
            <w:t xml:space="preserve"> proportion of overall income by a fraction of overall costs.</w:t>
          </w:r>
        </w:p>
        <w:p w14:paraId="67869F7D" w14:textId="2A02AB82" w:rsidR="00302D48" w:rsidRPr="00BF7481" w:rsidRDefault="00302D48" w:rsidP="000A42F5">
          <w:pPr>
            <w:autoSpaceDE w:val="0"/>
            <w:autoSpaceDN w:val="0"/>
            <w:adjustRightInd w:val="0"/>
            <w:jc w:val="both"/>
            <w:rPr>
              <w:rFonts w:ascii="Arial" w:hAnsi="Arial" w:cs="Arial"/>
              <w:sz w:val="24"/>
              <w:szCs w:val="24"/>
            </w:rPr>
          </w:pPr>
          <w:r w:rsidRPr="00BF7481">
            <w:rPr>
              <w:rFonts w:ascii="Arial" w:hAnsi="Arial" w:cs="Arial"/>
              <w:sz w:val="24"/>
              <w:szCs w:val="24"/>
            </w:rPr>
            <w:t>Hilton Properties' existing capital have dropped approximately 100%. Which suggests that the epidemic had caused the firm to experience economic difficulties. The corporation 's existing obligations has reportedly climbed, indicating that it had undertaken additional acquisitions. The corporation 's entire obligations exceed its overall resources, showing suggesting company stands in fiscal struggles and is in deficit. The shareholders' capital had already cut about 200 %, contributing towards the truth since the firm is in serious fiscal problems due to a high number of expenditures and liabilities. Revenue have dropped dramatically, as well as the epidemic had put Hilton Global assets under jeopardy.</w:t>
          </w:r>
        </w:p>
        <w:p w14:paraId="437A5E69" w14:textId="1805AF8C" w:rsidR="0061060F" w:rsidRPr="00BF7481" w:rsidRDefault="0061060F" w:rsidP="000A42F5">
          <w:pPr>
            <w:autoSpaceDE w:val="0"/>
            <w:autoSpaceDN w:val="0"/>
            <w:adjustRightInd w:val="0"/>
            <w:jc w:val="both"/>
            <w:rPr>
              <w:rFonts w:ascii="Arial" w:hAnsi="Arial" w:cs="Arial"/>
              <w:sz w:val="24"/>
              <w:szCs w:val="24"/>
            </w:rPr>
          </w:pPr>
          <w:r w:rsidRPr="00BF7481">
            <w:rPr>
              <w:rFonts w:ascii="Arial" w:hAnsi="Arial" w:cs="Arial"/>
              <w:sz w:val="24"/>
              <w:szCs w:val="24"/>
            </w:rPr>
            <w:t>As demonstrated in table 1, sales fell by 54 percent in 2020, resulting in a 32 percent drop in cost of goods and an 18 percent fall in gross profit. Then there follows a 185 as well as 107 percent fall overall operational expenditures and operational revenue, respectively, which occurs followed with the 3.6 percent gain in financing expenditure, resulting throughout a 558 percent reduction in net overall costs. As a result, net revenue falls by 181 percent. The research detailed the effects of the epidemic on several sectors of the hotel business, including employment destruction, financial reductions, credit availability, marketplace need, growing fresh industries, unfriendly attitude against strangers, and concerns affecting leisure employees and resort employees.</w:t>
          </w:r>
        </w:p>
        <w:p w14:paraId="28B8E3CC" w14:textId="2C619BBF" w:rsidR="009C1CE2" w:rsidRPr="00BF7481" w:rsidRDefault="0061060F" w:rsidP="000A42F5">
          <w:pPr>
            <w:pStyle w:val="Heading2"/>
            <w:jc w:val="both"/>
            <w:rPr>
              <w:rFonts w:ascii="Arial" w:hAnsi="Arial" w:cs="Arial"/>
              <w:sz w:val="24"/>
              <w:szCs w:val="24"/>
            </w:rPr>
          </w:pPr>
          <w:bookmarkStart w:id="6" w:name="_Toc104590330"/>
          <w:r w:rsidRPr="00BF7481">
            <w:rPr>
              <w:rFonts w:ascii="Arial" w:hAnsi="Arial" w:cs="Arial"/>
              <w:sz w:val="24"/>
              <w:szCs w:val="24"/>
            </w:rPr>
            <w:t>I</w:t>
          </w:r>
          <w:r w:rsidR="009C1CE2" w:rsidRPr="00BF7481">
            <w:rPr>
              <w:rFonts w:ascii="Arial" w:hAnsi="Arial" w:cs="Arial"/>
              <w:sz w:val="24"/>
              <w:szCs w:val="24"/>
            </w:rPr>
            <w:t>mportance of using ratio analysis for decision making</w:t>
          </w:r>
          <w:bookmarkEnd w:id="6"/>
        </w:p>
        <w:p w14:paraId="37A0B173" w14:textId="53EE49C6" w:rsidR="0061060F" w:rsidRPr="00BF7481" w:rsidRDefault="00144BC6" w:rsidP="000A42F5">
          <w:pPr>
            <w:jc w:val="both"/>
            <w:rPr>
              <w:rFonts w:ascii="Arial" w:hAnsi="Arial" w:cs="Arial"/>
              <w:sz w:val="24"/>
              <w:szCs w:val="24"/>
            </w:rPr>
          </w:pPr>
          <w:r w:rsidRPr="00BF7481">
            <w:rPr>
              <w:rFonts w:ascii="Arial" w:hAnsi="Arial" w:cs="Arial"/>
              <w:sz w:val="24"/>
              <w:szCs w:val="24"/>
            </w:rPr>
            <w:t>A horizontal examination could be performed to compare information across many accounting seasons. It would perhaps likewise be used to the proportions generated by this information. As a basic rule, the statistics for every following year would be expressed like a proportion of the aggregate for the standard year, having 100 % representing the foundation</w:t>
          </w:r>
          <w:r w:rsidR="00B86374" w:rsidRPr="00BF7481">
            <w:rPr>
              <w:rFonts w:ascii="Arial" w:hAnsi="Arial" w:cs="Arial"/>
              <w:sz w:val="24"/>
              <w:szCs w:val="24"/>
            </w:rPr>
            <w:t xml:space="preserve"> </w:t>
          </w:r>
          <w:sdt>
            <w:sdtPr>
              <w:rPr>
                <w:rFonts w:ascii="Arial" w:hAnsi="Arial" w:cs="Arial"/>
                <w:sz w:val="24"/>
                <w:szCs w:val="24"/>
              </w:rPr>
              <w:id w:val="488136921"/>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Che22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(Chela-Alvarez, 2022)</w:t>
              </w:r>
              <w:r w:rsidR="00B86374" w:rsidRPr="00BF7481">
                <w:rPr>
                  <w:rFonts w:ascii="Arial" w:hAnsi="Arial" w:cs="Arial"/>
                  <w:sz w:val="24"/>
                  <w:szCs w:val="24"/>
                </w:rPr>
                <w:fldChar w:fldCharType="end"/>
              </w:r>
            </w:sdtContent>
          </w:sdt>
          <w:r w:rsidRPr="00BF7481">
            <w:rPr>
              <w:rFonts w:ascii="Arial" w:hAnsi="Arial" w:cs="Arial"/>
              <w:sz w:val="24"/>
              <w:szCs w:val="24"/>
            </w:rPr>
            <w:t>. A horizontally assessment might be used the discover when another data is exceptionally excessive and poor with proportion towards available data regarding framing times, that might subsequently launch a deeper investigation regarding the reason of the disparity. It may also be utilized to anticipate prospective quantities of individual line categories</w:t>
          </w:r>
          <w:r w:rsidR="00B86374" w:rsidRPr="00BF7481">
            <w:rPr>
              <w:rFonts w:ascii="Arial" w:hAnsi="Arial" w:cs="Arial"/>
              <w:sz w:val="24"/>
              <w:szCs w:val="24"/>
            </w:rPr>
            <w:t xml:space="preserve"> </w:t>
          </w:r>
          <w:sdt>
            <w:sdtPr>
              <w:rPr>
                <w:rFonts w:ascii="Arial" w:hAnsi="Arial" w:cs="Arial"/>
                <w:sz w:val="24"/>
                <w:szCs w:val="24"/>
              </w:rPr>
              <w:id w:val="1755789250"/>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Ber00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(Bernstein, 2000)</w:t>
              </w:r>
              <w:r w:rsidR="00B86374" w:rsidRPr="00BF7481">
                <w:rPr>
                  <w:rFonts w:ascii="Arial" w:hAnsi="Arial" w:cs="Arial"/>
                  <w:sz w:val="24"/>
                  <w:szCs w:val="24"/>
                </w:rPr>
                <w:fldChar w:fldCharType="end"/>
              </w:r>
            </w:sdtContent>
          </w:sdt>
          <w:r w:rsidRPr="00BF7481">
            <w:rPr>
              <w:rFonts w:ascii="Arial" w:hAnsi="Arial" w:cs="Arial"/>
              <w:sz w:val="24"/>
              <w:szCs w:val="24"/>
            </w:rPr>
            <w:t xml:space="preserve">. </w:t>
          </w:r>
          <w:r w:rsidR="00820963" w:rsidRPr="00BF7481">
            <w:rPr>
              <w:rFonts w:ascii="Arial" w:hAnsi="Arial" w:cs="Arial"/>
              <w:sz w:val="24"/>
              <w:szCs w:val="24"/>
            </w:rPr>
            <w:t>A horizontally examination of worker welfare expenditures through period could reveal a rise in health coverage rate, but a comparable examination of income could reveal whenever revenues crested and started to plummet. A horizontally assessment throughout all fiscal categories provides a comprehensive view of influence of functional outcomes upon a corporation 's fiscal status over a specific temporal frame</w:t>
          </w:r>
          <w:r w:rsidR="00B86374" w:rsidRPr="00BF7481">
            <w:rPr>
              <w:rFonts w:ascii="Arial" w:hAnsi="Arial" w:cs="Arial"/>
              <w:sz w:val="24"/>
              <w:szCs w:val="24"/>
            </w:rPr>
            <w:t xml:space="preserve"> </w:t>
          </w:r>
          <w:sdt>
            <w:sdtPr>
              <w:rPr>
                <w:rFonts w:ascii="Arial" w:hAnsi="Arial" w:cs="Arial"/>
                <w:sz w:val="24"/>
                <w:szCs w:val="24"/>
              </w:rPr>
              <w:id w:val="331343042"/>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Cla10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(Clavier, 2010)</w:t>
              </w:r>
              <w:r w:rsidR="00B86374" w:rsidRPr="00BF7481">
                <w:rPr>
                  <w:rFonts w:ascii="Arial" w:hAnsi="Arial" w:cs="Arial"/>
                  <w:sz w:val="24"/>
                  <w:szCs w:val="24"/>
                </w:rPr>
                <w:fldChar w:fldCharType="end"/>
              </w:r>
            </w:sdtContent>
          </w:sdt>
          <w:r w:rsidR="00820963" w:rsidRPr="00BF7481">
            <w:rPr>
              <w:rFonts w:ascii="Arial" w:hAnsi="Arial" w:cs="Arial"/>
              <w:sz w:val="24"/>
              <w:szCs w:val="24"/>
            </w:rPr>
            <w:t>. Even though a firm used to have a stellar second year, the associated financial sheets assessment reveals indicate company is experiencing problems financing expansion owing to a loss of income, an expansion throughout payables, and significant expansion overall debt</w:t>
          </w:r>
          <w:r w:rsidR="00B86374" w:rsidRPr="00BF7481">
            <w:rPr>
              <w:rFonts w:ascii="Arial" w:hAnsi="Arial" w:cs="Arial"/>
              <w:sz w:val="24"/>
              <w:szCs w:val="24"/>
            </w:rPr>
            <w:t xml:space="preserve"> </w:t>
          </w:r>
          <w:sdt>
            <w:sdtPr>
              <w:rPr>
                <w:rFonts w:ascii="Arial" w:hAnsi="Arial" w:cs="Arial"/>
                <w:sz w:val="24"/>
                <w:szCs w:val="24"/>
              </w:rPr>
              <w:id w:val="-1106735978"/>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Ful22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(Fullana, 2022)</w:t>
              </w:r>
              <w:r w:rsidR="00B86374" w:rsidRPr="00BF7481">
                <w:rPr>
                  <w:rFonts w:ascii="Arial" w:hAnsi="Arial" w:cs="Arial"/>
                  <w:sz w:val="24"/>
                  <w:szCs w:val="24"/>
                </w:rPr>
                <w:fldChar w:fldCharType="end"/>
              </w:r>
            </w:sdtContent>
          </w:sdt>
          <w:r w:rsidR="00820963" w:rsidRPr="00BF7481">
            <w:rPr>
              <w:rFonts w:ascii="Arial" w:hAnsi="Arial" w:cs="Arial"/>
              <w:sz w:val="24"/>
              <w:szCs w:val="24"/>
            </w:rPr>
            <w:t>.</w:t>
          </w:r>
        </w:p>
        <w:p w14:paraId="04CB5065" w14:textId="6C3FE77D" w:rsidR="0034053C" w:rsidRPr="00BF7481" w:rsidRDefault="0034053C" w:rsidP="000A42F5">
          <w:pPr>
            <w:jc w:val="both"/>
            <w:rPr>
              <w:rFonts w:ascii="Arial" w:hAnsi="Arial" w:cs="Arial"/>
              <w:sz w:val="24"/>
              <w:szCs w:val="24"/>
            </w:rPr>
          </w:pPr>
          <w:r w:rsidRPr="00BF7481">
            <w:rPr>
              <w:rFonts w:ascii="Arial" w:hAnsi="Arial" w:cs="Arial"/>
              <w:sz w:val="24"/>
              <w:szCs w:val="24"/>
            </w:rPr>
            <w:lastRenderedPageBreak/>
            <w:t>Whenever key proportions or edges, such as the present margin, leverage ratio, operating income, and overall profitability markup, are incorporated within the horizontal assessment, the findings could be quite enlightening</w:t>
          </w:r>
          <w:r w:rsidR="00B86374" w:rsidRPr="00BF7481">
            <w:rPr>
              <w:rFonts w:ascii="Arial" w:hAnsi="Arial" w:cs="Arial"/>
              <w:sz w:val="24"/>
              <w:szCs w:val="24"/>
            </w:rPr>
            <w:t xml:space="preserve"> </w:t>
          </w:r>
          <w:sdt>
            <w:sdtPr>
              <w:rPr>
                <w:rFonts w:ascii="Arial" w:hAnsi="Arial" w:cs="Arial"/>
                <w:sz w:val="24"/>
                <w:szCs w:val="24"/>
              </w:rPr>
              <w:id w:val="-664392864"/>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Lak17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(Lakada, 2017)</w:t>
              </w:r>
              <w:r w:rsidR="00B86374" w:rsidRPr="00BF7481">
                <w:rPr>
                  <w:rFonts w:ascii="Arial" w:hAnsi="Arial" w:cs="Arial"/>
                  <w:sz w:val="24"/>
                  <w:szCs w:val="24"/>
                </w:rPr>
                <w:fldChar w:fldCharType="end"/>
              </w:r>
            </w:sdtContent>
          </w:sdt>
          <w:r w:rsidRPr="00BF7481">
            <w:rPr>
              <w:rFonts w:ascii="Arial" w:hAnsi="Arial" w:cs="Arial"/>
              <w:sz w:val="24"/>
              <w:szCs w:val="24"/>
            </w:rPr>
            <w:t>. Maintain a tight check on every measure mentioned inside a firm's lending restrictions, since such data may signal a possible violation of the restriction. Using such presenting approach, decreasing earnings and/or financial difficulties could be noticed sooner, enabling for prompt remedial intervention</w:t>
          </w:r>
          <w:r w:rsidR="00B86374" w:rsidRPr="00BF7481">
            <w:rPr>
              <w:rFonts w:ascii="Arial" w:hAnsi="Arial" w:cs="Arial"/>
              <w:sz w:val="24"/>
              <w:szCs w:val="24"/>
            </w:rPr>
            <w:t xml:space="preserve"> </w:t>
          </w:r>
          <w:sdt>
            <w:sdtPr>
              <w:rPr>
                <w:rFonts w:ascii="Arial" w:hAnsi="Arial" w:cs="Arial"/>
                <w:sz w:val="24"/>
                <w:szCs w:val="24"/>
              </w:rPr>
              <w:id w:val="921529552"/>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LiY22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(Li, 2022)</w:t>
              </w:r>
              <w:r w:rsidR="00B86374" w:rsidRPr="00BF7481">
                <w:rPr>
                  <w:rFonts w:ascii="Arial" w:hAnsi="Arial" w:cs="Arial"/>
                  <w:sz w:val="24"/>
                  <w:szCs w:val="24"/>
                </w:rPr>
                <w:fldChar w:fldCharType="end"/>
              </w:r>
            </w:sdtContent>
          </w:sdt>
          <w:r w:rsidRPr="00BF7481">
            <w:rPr>
              <w:rFonts w:ascii="Arial" w:hAnsi="Arial" w:cs="Arial"/>
              <w:sz w:val="24"/>
              <w:szCs w:val="24"/>
            </w:rPr>
            <w:t>.</w:t>
          </w:r>
        </w:p>
        <w:p w14:paraId="28ECABDA" w14:textId="744810C3" w:rsidR="0034053C" w:rsidRPr="00BF7481" w:rsidRDefault="0034053C" w:rsidP="000A42F5">
          <w:pPr>
            <w:jc w:val="both"/>
            <w:rPr>
              <w:rFonts w:ascii="Arial" w:hAnsi="Arial" w:cs="Arial"/>
              <w:sz w:val="24"/>
              <w:szCs w:val="24"/>
            </w:rPr>
          </w:pPr>
          <w:r w:rsidRPr="00BF7481">
            <w:rPr>
              <w:rFonts w:ascii="Arial" w:hAnsi="Arial" w:cs="Arial"/>
              <w:sz w:val="24"/>
              <w:szCs w:val="24"/>
            </w:rPr>
            <w:t>Oddities beyond lengthy trends could be readily identified using horizontally inspection. Comparing information allows you to examine whether the information has evolved through period more easily. Horizontal examination, on either side, creates subsequent trends more predictable</w:t>
          </w:r>
          <w:r w:rsidR="00B86374" w:rsidRPr="00BF7481">
            <w:rPr>
              <w:rFonts w:ascii="Arial" w:hAnsi="Arial" w:cs="Arial"/>
              <w:sz w:val="24"/>
              <w:szCs w:val="24"/>
            </w:rPr>
            <w:t xml:space="preserve"> </w:t>
          </w:r>
          <w:sdt>
            <w:sdtPr>
              <w:rPr>
                <w:rFonts w:ascii="Arial" w:hAnsi="Arial" w:cs="Arial"/>
                <w:sz w:val="24"/>
                <w:szCs w:val="24"/>
              </w:rPr>
              <w:id w:val="-995642677"/>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Man141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(Manshad, 2014)</w:t>
              </w:r>
              <w:r w:rsidR="00B86374" w:rsidRPr="00BF7481">
                <w:rPr>
                  <w:rFonts w:ascii="Arial" w:hAnsi="Arial" w:cs="Arial"/>
                  <w:sz w:val="24"/>
                  <w:szCs w:val="24"/>
                </w:rPr>
                <w:fldChar w:fldCharType="end"/>
              </w:r>
            </w:sdtContent>
          </w:sdt>
          <w:r w:rsidRPr="00BF7481">
            <w:rPr>
              <w:rFonts w:ascii="Arial" w:hAnsi="Arial" w:cs="Arial"/>
              <w:sz w:val="24"/>
              <w:szCs w:val="24"/>
            </w:rPr>
            <w:t xml:space="preserve">. </w:t>
          </w:r>
        </w:p>
        <w:p w14:paraId="53F20DE6" w14:textId="2FE5C6C9" w:rsidR="00AA2A91" w:rsidRPr="00BF7481" w:rsidRDefault="0034053C" w:rsidP="000A42F5">
          <w:pPr>
            <w:jc w:val="both"/>
            <w:rPr>
              <w:rFonts w:ascii="Arial" w:hAnsi="Arial" w:cs="Arial"/>
              <w:sz w:val="24"/>
              <w:szCs w:val="24"/>
            </w:rPr>
          </w:pPr>
          <w:r w:rsidRPr="00BF7481">
            <w:rPr>
              <w:rFonts w:ascii="Arial" w:hAnsi="Arial" w:cs="Arial"/>
              <w:sz w:val="24"/>
              <w:szCs w:val="24"/>
            </w:rPr>
            <w:t>Such sort of information presentation additionally allows users to evaluate tendencies to that of rivals and sector standards, that is useful for determining whether effectively a company’s profitability relates to similar companies. Additional benefit is when abnormalities inside a pattern might well be immediately seen, but alternative approaches of assessment could take extensive knowledge to determine whether the information inside a display is indicative of problems</w:t>
          </w:r>
          <w:r w:rsidR="00B86374" w:rsidRPr="00BF7481">
            <w:rPr>
              <w:rFonts w:ascii="Arial" w:hAnsi="Arial" w:cs="Arial"/>
              <w:sz w:val="24"/>
              <w:szCs w:val="24"/>
            </w:rPr>
            <w:t xml:space="preserve"> </w:t>
          </w:r>
          <w:sdt>
            <w:sdtPr>
              <w:rPr>
                <w:rFonts w:ascii="Arial" w:hAnsi="Arial" w:cs="Arial"/>
                <w:sz w:val="24"/>
                <w:szCs w:val="24"/>
              </w:rPr>
              <w:id w:val="1870030232"/>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Pyl22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(Pyla, 2022)</w:t>
              </w:r>
              <w:r w:rsidR="00B86374" w:rsidRPr="00BF7481">
                <w:rPr>
                  <w:rFonts w:ascii="Arial" w:hAnsi="Arial" w:cs="Arial"/>
                  <w:sz w:val="24"/>
                  <w:szCs w:val="24"/>
                </w:rPr>
                <w:fldChar w:fldCharType="end"/>
              </w:r>
            </w:sdtContent>
          </w:sdt>
          <w:r w:rsidRPr="00BF7481">
            <w:rPr>
              <w:rFonts w:ascii="Arial" w:hAnsi="Arial" w:cs="Arial"/>
              <w:sz w:val="24"/>
              <w:szCs w:val="24"/>
            </w:rPr>
            <w:t>.</w:t>
          </w:r>
        </w:p>
        <w:p w14:paraId="0CE0BFEC" w14:textId="02832DA4" w:rsidR="00462502" w:rsidRPr="00BF7481" w:rsidRDefault="00085169" w:rsidP="000A42F5">
          <w:pPr>
            <w:pStyle w:val="Heading2"/>
            <w:jc w:val="both"/>
            <w:rPr>
              <w:rFonts w:ascii="Arial" w:hAnsi="Arial" w:cs="Arial"/>
              <w:sz w:val="24"/>
              <w:szCs w:val="24"/>
            </w:rPr>
          </w:pPr>
          <w:bookmarkStart w:id="7" w:name="_Toc104590331"/>
          <w:r w:rsidRPr="00BF7481">
            <w:rPr>
              <w:rFonts w:ascii="Arial" w:hAnsi="Arial" w:cs="Arial"/>
              <w:sz w:val="24"/>
              <w:szCs w:val="24"/>
            </w:rPr>
            <w:t>Limitation of analysis in decision making</w:t>
          </w:r>
          <w:bookmarkEnd w:id="7"/>
        </w:p>
        <w:p w14:paraId="080C1603" w14:textId="062AE5A9" w:rsidR="00AA2A91" w:rsidRPr="00BF7481" w:rsidRDefault="00085169" w:rsidP="000A42F5">
          <w:pPr>
            <w:jc w:val="both"/>
            <w:rPr>
              <w:rFonts w:ascii="Arial" w:hAnsi="Arial" w:cs="Arial"/>
              <w:sz w:val="24"/>
              <w:szCs w:val="24"/>
            </w:rPr>
          </w:pPr>
          <w:r w:rsidRPr="00BF7481">
            <w:rPr>
              <w:rFonts w:ascii="Arial" w:hAnsi="Arial" w:cs="Arial"/>
              <w:sz w:val="24"/>
              <w:szCs w:val="24"/>
            </w:rPr>
            <w:t xml:space="preserve">Merely computing one proportion could provide a useful assessment until it is contrasted too other. Assessing present proportion, for instance, cannot provide specific results about a company's viability until it is combined with additional metrics such as fast or relative fast proportions. Therefore, contrast is only part of the strategies when determining a response; additional procedures sometimes exert an impact upon the outcome, that is lacking in proportion assessment. </w:t>
          </w:r>
          <w:r w:rsidR="00D81917" w:rsidRPr="00BF7481">
            <w:rPr>
              <w:rFonts w:ascii="Arial" w:hAnsi="Arial" w:cs="Arial"/>
              <w:sz w:val="24"/>
              <w:szCs w:val="24"/>
            </w:rPr>
            <w:t>Proportion assessment is performed upon that foundation of previous economic records; hence it is completely chronological and cannot forecast the forecast. Furthermore, proportion assessment only assists administration in determining patterns for a certain product yet cannot demonstrate it</w:t>
          </w:r>
          <w:r w:rsidR="00B86374" w:rsidRPr="00BF7481">
            <w:rPr>
              <w:rFonts w:ascii="Arial" w:hAnsi="Arial" w:cs="Arial"/>
              <w:sz w:val="24"/>
              <w:szCs w:val="24"/>
            </w:rPr>
            <w:t xml:space="preserve"> </w:t>
          </w:r>
          <w:sdt>
            <w:sdtPr>
              <w:rPr>
                <w:rFonts w:ascii="Arial" w:hAnsi="Arial" w:cs="Arial"/>
                <w:sz w:val="24"/>
                <w:szCs w:val="24"/>
              </w:rPr>
              <w:id w:val="2113018392"/>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Pyl22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(Pyla, 2022)</w:t>
              </w:r>
              <w:r w:rsidR="00B86374" w:rsidRPr="00BF7481">
                <w:rPr>
                  <w:rFonts w:ascii="Arial" w:hAnsi="Arial" w:cs="Arial"/>
                  <w:sz w:val="24"/>
                  <w:szCs w:val="24"/>
                </w:rPr>
                <w:fldChar w:fldCharType="end"/>
              </w:r>
            </w:sdtContent>
          </w:sdt>
          <w:r w:rsidR="00D81917" w:rsidRPr="00BF7481">
            <w:rPr>
              <w:rFonts w:ascii="Arial" w:hAnsi="Arial" w:cs="Arial"/>
              <w:sz w:val="24"/>
              <w:szCs w:val="24"/>
            </w:rPr>
            <w:t xml:space="preserve">. </w:t>
          </w:r>
        </w:p>
        <w:p w14:paraId="52B52251" w14:textId="24133041" w:rsidR="00AA2A91" w:rsidRPr="00BF7481" w:rsidRDefault="00D81917" w:rsidP="000A42F5">
          <w:pPr>
            <w:jc w:val="both"/>
            <w:rPr>
              <w:rFonts w:ascii="Arial" w:hAnsi="Arial" w:cs="Arial"/>
              <w:sz w:val="24"/>
              <w:szCs w:val="24"/>
            </w:rPr>
          </w:pPr>
          <w:r w:rsidRPr="00BF7481">
            <w:rPr>
              <w:rFonts w:ascii="Arial" w:hAnsi="Arial" w:cs="Arial"/>
              <w:sz w:val="24"/>
              <w:szCs w:val="24"/>
            </w:rPr>
            <w:t>Comparing the real outcome towards the criteria is part of the proportion assessment techniques. However, setting the norm is a difficult process again for analysis because the standards might differ from business to business. The industrial average proportion, although established, is not inflexible and might fluctuate over period. Like a result, establishing criteria across various proportions is a difficult process in many contexts. Ratios are calculated using economic information. However, a fiscal statement has several drawbacks. Proportions computed using such assertions provide deceptive findings until specific adjustments are applied</w:t>
          </w:r>
          <w:r w:rsidR="00B86374" w:rsidRPr="00BF7481">
            <w:rPr>
              <w:rFonts w:ascii="Arial" w:hAnsi="Arial" w:cs="Arial"/>
              <w:sz w:val="24"/>
              <w:szCs w:val="24"/>
            </w:rPr>
            <w:t xml:space="preserve"> </w:t>
          </w:r>
          <w:sdt>
            <w:sdtPr>
              <w:rPr>
                <w:rFonts w:ascii="Arial" w:hAnsi="Arial" w:cs="Arial"/>
                <w:sz w:val="24"/>
                <w:szCs w:val="24"/>
              </w:rPr>
              <w:id w:val="-506294350"/>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Vac18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(Vaca-Tapia, 2018)</w:t>
              </w:r>
              <w:r w:rsidR="00B86374" w:rsidRPr="00BF7481">
                <w:rPr>
                  <w:rFonts w:ascii="Arial" w:hAnsi="Arial" w:cs="Arial"/>
                  <w:sz w:val="24"/>
                  <w:szCs w:val="24"/>
                </w:rPr>
                <w:fldChar w:fldCharType="end"/>
              </w:r>
            </w:sdtContent>
          </w:sdt>
          <w:r w:rsidRPr="00BF7481">
            <w:rPr>
              <w:rFonts w:ascii="Arial" w:hAnsi="Arial" w:cs="Arial"/>
              <w:sz w:val="24"/>
              <w:szCs w:val="24"/>
            </w:rPr>
            <w:t xml:space="preserve">. </w:t>
          </w:r>
        </w:p>
        <w:p w14:paraId="52FFD408" w14:textId="151F521F" w:rsidR="00AA2A91" w:rsidRPr="00BF7481" w:rsidRDefault="004F3E41" w:rsidP="000A42F5">
          <w:pPr>
            <w:jc w:val="both"/>
            <w:rPr>
              <w:rFonts w:ascii="Arial" w:hAnsi="Arial" w:cs="Arial"/>
              <w:sz w:val="24"/>
              <w:szCs w:val="24"/>
            </w:rPr>
          </w:pPr>
          <w:r w:rsidRPr="00BF7481">
            <w:rPr>
              <w:rFonts w:ascii="Arial" w:hAnsi="Arial" w:cs="Arial"/>
              <w:sz w:val="24"/>
              <w:szCs w:val="24"/>
            </w:rPr>
            <w:t>When horizontal assessment is overdone, it might yield deceptive findings. By varying the number of comparative times used, analysts could exaggerate and compress findings. Profitability might look great whether contrasted with the preceding quarter's statistics, but really are truly quite poor while contrasted against the similar period previous period 's figures. Such problem could be solved by using comparative intervals regularly</w:t>
          </w:r>
          <w:r w:rsidR="00B86374" w:rsidRPr="00BF7481">
            <w:rPr>
              <w:rFonts w:ascii="Arial" w:hAnsi="Arial" w:cs="Arial"/>
              <w:sz w:val="24"/>
              <w:szCs w:val="24"/>
            </w:rPr>
            <w:t xml:space="preserve"> </w:t>
          </w:r>
          <w:sdt>
            <w:sdtPr>
              <w:rPr>
                <w:rFonts w:ascii="Arial" w:hAnsi="Arial" w:cs="Arial"/>
                <w:sz w:val="24"/>
                <w:szCs w:val="24"/>
              </w:rPr>
              <w:id w:val="-768694758"/>
              <w:citation/>
            </w:sdtPr>
            <w:sdtEndPr/>
            <w:sdtContent>
              <w:r w:rsidR="00B86374" w:rsidRPr="00BF7481">
                <w:rPr>
                  <w:rFonts w:ascii="Arial" w:hAnsi="Arial" w:cs="Arial"/>
                  <w:sz w:val="24"/>
                  <w:szCs w:val="24"/>
                </w:rPr>
                <w:fldChar w:fldCharType="begin"/>
              </w:r>
              <w:r w:rsidR="00B86374" w:rsidRPr="00BF7481">
                <w:rPr>
                  <w:rFonts w:ascii="Arial" w:hAnsi="Arial" w:cs="Arial"/>
                  <w:sz w:val="24"/>
                  <w:szCs w:val="24"/>
                  <w:lang w:val="en-IN"/>
                </w:rPr>
                <w:instrText xml:space="preserve"> CITATION Wei10 \l 16393 </w:instrText>
              </w:r>
              <w:r w:rsidR="00B86374" w:rsidRPr="00BF7481">
                <w:rPr>
                  <w:rFonts w:ascii="Arial" w:hAnsi="Arial" w:cs="Arial"/>
                  <w:sz w:val="24"/>
                  <w:szCs w:val="24"/>
                </w:rPr>
                <w:fldChar w:fldCharType="separate"/>
              </w:r>
              <w:r w:rsidR="00B86374" w:rsidRPr="00BF7481">
                <w:rPr>
                  <w:rFonts w:ascii="Arial" w:hAnsi="Arial" w:cs="Arial"/>
                  <w:noProof/>
                  <w:sz w:val="24"/>
                  <w:szCs w:val="24"/>
                  <w:lang w:val="en-IN"/>
                </w:rPr>
                <w:t>(Weintraub, 2010)</w:t>
              </w:r>
              <w:r w:rsidR="00B86374" w:rsidRPr="00BF7481">
                <w:rPr>
                  <w:rFonts w:ascii="Arial" w:hAnsi="Arial" w:cs="Arial"/>
                  <w:sz w:val="24"/>
                  <w:szCs w:val="24"/>
                </w:rPr>
                <w:fldChar w:fldCharType="end"/>
              </w:r>
            </w:sdtContent>
          </w:sdt>
          <w:r w:rsidRPr="00BF7481">
            <w:rPr>
              <w:rFonts w:ascii="Arial" w:hAnsi="Arial" w:cs="Arial"/>
              <w:sz w:val="24"/>
              <w:szCs w:val="24"/>
            </w:rPr>
            <w:t xml:space="preserve">. Whenever an assessment is provided upon a frequent schedule covering many accounting times, relevant comparative durations must likewise be presented so that users are informed about the discrepancy. </w:t>
          </w:r>
          <w:r w:rsidR="000A42F5" w:rsidRPr="00BF7481">
            <w:rPr>
              <w:rFonts w:ascii="Arial" w:hAnsi="Arial" w:cs="Arial"/>
              <w:sz w:val="24"/>
              <w:szCs w:val="24"/>
            </w:rPr>
            <w:t xml:space="preserve">While </w:t>
          </w:r>
          <w:r w:rsidR="000A42F5" w:rsidRPr="00BF7481">
            <w:rPr>
              <w:rFonts w:ascii="Arial" w:hAnsi="Arial" w:cs="Arial"/>
              <w:sz w:val="24"/>
              <w:szCs w:val="24"/>
            </w:rPr>
            <w:lastRenderedPageBreak/>
            <w:t>contrasting finances across one quarter toward the following, modifications inside the schedule of categories, for instance, might cause in earnings moving among records, costs changing across records, resources changing among records, and obligations moving among reports. Additional disadvantage of employing horizontal examination is this it could indeed be utilized to analyse statistics inside the same reporting unit, but only between two separate reporting units. Horizontal evaluation must be employed for exactly a contrast. And to use the vertically assessment technique, this is feasible to discover the link among elements within that identical economic report through representing various quantities as a proportion of a complete value. Such approach evaluates many commodities to a particular product throughout the identical financial term.</w:t>
          </w:r>
        </w:p>
        <w:p w14:paraId="3B761FE2" w14:textId="610DBF7F" w:rsidR="00AA2A91" w:rsidRPr="00BF7481" w:rsidRDefault="00AA2A91" w:rsidP="000A42F5">
          <w:pPr>
            <w:pStyle w:val="Heading1"/>
            <w:jc w:val="both"/>
            <w:rPr>
              <w:rFonts w:ascii="Arial" w:hAnsi="Arial" w:cs="Arial"/>
              <w:sz w:val="24"/>
              <w:szCs w:val="24"/>
            </w:rPr>
          </w:pPr>
          <w:bookmarkStart w:id="8" w:name="_Toc104590332"/>
          <w:r w:rsidRPr="00BF7481">
            <w:rPr>
              <w:rFonts w:ascii="Arial" w:hAnsi="Arial" w:cs="Arial"/>
              <w:sz w:val="24"/>
              <w:szCs w:val="24"/>
            </w:rPr>
            <w:t>Conclusion</w:t>
          </w:r>
          <w:bookmarkEnd w:id="8"/>
          <w:r w:rsidR="00D854A5" w:rsidRPr="00BF7481">
            <w:rPr>
              <w:rFonts w:ascii="Arial" w:hAnsi="Arial" w:cs="Arial"/>
              <w:sz w:val="24"/>
              <w:szCs w:val="24"/>
            </w:rPr>
            <w:t xml:space="preserve"> </w:t>
          </w:r>
        </w:p>
        <w:p w14:paraId="3DB1E6EF" w14:textId="7A727BA1" w:rsidR="00AA2A91" w:rsidRPr="00BF7481" w:rsidRDefault="0027275A" w:rsidP="000A42F5">
          <w:pPr>
            <w:jc w:val="both"/>
            <w:rPr>
              <w:rFonts w:ascii="Arial" w:hAnsi="Arial" w:cs="Arial"/>
              <w:sz w:val="24"/>
              <w:szCs w:val="24"/>
            </w:rPr>
          </w:pPr>
          <w:r w:rsidRPr="00BF7481">
            <w:rPr>
              <w:rFonts w:ascii="Arial" w:hAnsi="Arial" w:cs="Arial"/>
              <w:sz w:val="24"/>
              <w:szCs w:val="24"/>
            </w:rPr>
            <w:t xml:space="preserve">As per Hiltons Worldwide fiscal filings in 2019 and 2020, the firm have experienced several challenges </w:t>
          </w:r>
          <w:proofErr w:type="gramStart"/>
          <w:r w:rsidRPr="00BF7481">
            <w:rPr>
              <w:rFonts w:ascii="Arial" w:hAnsi="Arial" w:cs="Arial"/>
              <w:sz w:val="24"/>
              <w:szCs w:val="24"/>
            </w:rPr>
            <w:t>as a result of</w:t>
          </w:r>
          <w:proofErr w:type="gramEnd"/>
          <w:r w:rsidRPr="00BF7481">
            <w:rPr>
              <w:rFonts w:ascii="Arial" w:hAnsi="Arial" w:cs="Arial"/>
              <w:sz w:val="24"/>
              <w:szCs w:val="24"/>
            </w:rPr>
            <w:t xml:space="preserve"> the epidemic and requires a significant improvement between revenue and economic situation throughout order to turn a recovery. In addition to increase revenue, administration must aim to cut operating expenses and improve advertising. Accounting reports are provided on a regular basis, thus here are temporal gaps among every publication. Shareholders' capital must rise in addition to entice new individuals to participate in the firm. Hilton Corporation were among of the companies hit by the epidemic inside the prior financial quarter.</w:t>
          </w:r>
        </w:p>
        <w:p w14:paraId="6CF543C0" w14:textId="77777777" w:rsidR="00AA2A91" w:rsidRDefault="00AA2A91" w:rsidP="000A42F5">
          <w:pPr>
            <w:jc w:val="both"/>
          </w:pPr>
        </w:p>
        <w:p w14:paraId="1835104B" w14:textId="77777777" w:rsidR="00AA2A91" w:rsidRDefault="00AA2A91" w:rsidP="000A42F5">
          <w:pPr>
            <w:jc w:val="both"/>
          </w:pPr>
        </w:p>
        <w:p w14:paraId="46BEC451" w14:textId="77777777" w:rsidR="00AA2A91" w:rsidRDefault="00AA2A91" w:rsidP="000A42F5">
          <w:pPr>
            <w:jc w:val="both"/>
          </w:pPr>
        </w:p>
        <w:p w14:paraId="1F7E44AC" w14:textId="77777777" w:rsidR="00AA2A91" w:rsidRDefault="00AA2A91" w:rsidP="000A42F5">
          <w:pPr>
            <w:jc w:val="both"/>
          </w:pPr>
        </w:p>
        <w:p w14:paraId="4A1D4DE1" w14:textId="77777777" w:rsidR="00AA2A91" w:rsidRDefault="00AA2A91" w:rsidP="000A42F5">
          <w:pPr>
            <w:jc w:val="both"/>
          </w:pPr>
        </w:p>
        <w:p w14:paraId="614190F2" w14:textId="77777777" w:rsidR="00AA2A91" w:rsidRDefault="00AA2A91" w:rsidP="000A42F5">
          <w:pPr>
            <w:jc w:val="both"/>
          </w:pPr>
        </w:p>
        <w:p w14:paraId="2B627672" w14:textId="77777777" w:rsidR="00AA2A91" w:rsidRDefault="00AA2A91" w:rsidP="000A42F5">
          <w:pPr>
            <w:jc w:val="both"/>
          </w:pPr>
        </w:p>
        <w:p w14:paraId="7B66C7C8" w14:textId="77777777" w:rsidR="00AA2A91" w:rsidRDefault="00AA2A91" w:rsidP="000A42F5">
          <w:pPr>
            <w:jc w:val="both"/>
          </w:pPr>
        </w:p>
        <w:p w14:paraId="310B31BA" w14:textId="77777777" w:rsidR="00AA2A91" w:rsidRDefault="00AA2A91" w:rsidP="000A42F5">
          <w:pPr>
            <w:jc w:val="both"/>
          </w:pPr>
        </w:p>
        <w:p w14:paraId="157F7FF8" w14:textId="77777777" w:rsidR="00AA2A91" w:rsidRDefault="00AA2A91" w:rsidP="000A42F5">
          <w:pPr>
            <w:jc w:val="both"/>
          </w:pPr>
        </w:p>
        <w:p w14:paraId="575D06F0" w14:textId="77777777" w:rsidR="00AA2A91" w:rsidRDefault="00AA2A91" w:rsidP="000A42F5">
          <w:pPr>
            <w:jc w:val="both"/>
          </w:pPr>
        </w:p>
        <w:p w14:paraId="26E007B8" w14:textId="77777777" w:rsidR="00AA2A91" w:rsidRDefault="00AA2A91" w:rsidP="000A42F5">
          <w:pPr>
            <w:jc w:val="both"/>
          </w:pPr>
        </w:p>
        <w:p w14:paraId="7B94F236" w14:textId="77777777" w:rsidR="00AA2A91" w:rsidRDefault="00AA2A91" w:rsidP="000A42F5">
          <w:pPr>
            <w:jc w:val="both"/>
          </w:pPr>
        </w:p>
        <w:p w14:paraId="1C1CEFB0" w14:textId="77777777" w:rsidR="00AA2A91" w:rsidRDefault="00AA2A91" w:rsidP="000A42F5">
          <w:pPr>
            <w:jc w:val="both"/>
          </w:pPr>
        </w:p>
        <w:p w14:paraId="1D240656" w14:textId="77777777" w:rsidR="00AA2A91" w:rsidRDefault="00AA2A91" w:rsidP="000A42F5">
          <w:pPr>
            <w:jc w:val="both"/>
          </w:pPr>
        </w:p>
        <w:p w14:paraId="0A13CB17" w14:textId="77777777" w:rsidR="00AA2A91" w:rsidRDefault="00AA2A91" w:rsidP="000A42F5">
          <w:pPr>
            <w:jc w:val="both"/>
          </w:pPr>
        </w:p>
        <w:p w14:paraId="1D25A9EA" w14:textId="77777777" w:rsidR="00AA2A91" w:rsidRDefault="00AA2A91" w:rsidP="000A42F5">
          <w:pPr>
            <w:jc w:val="both"/>
          </w:pPr>
        </w:p>
        <w:p w14:paraId="48F43DF0" w14:textId="77777777" w:rsidR="00AA2A91" w:rsidRDefault="00AA2A91" w:rsidP="000A42F5">
          <w:pPr>
            <w:jc w:val="both"/>
          </w:pPr>
        </w:p>
        <w:bookmarkStart w:id="9" w:name="_Toc104590333" w:displacedByCustomXml="next"/>
        <w:sdt>
          <w:sdtPr>
            <w:rPr>
              <w:rFonts w:asciiTheme="minorHAnsi" w:eastAsiaTheme="minorHAnsi" w:hAnsiTheme="minorHAnsi" w:cstheme="minorBidi"/>
              <w:color w:val="auto"/>
              <w:sz w:val="22"/>
              <w:szCs w:val="22"/>
            </w:rPr>
            <w:id w:val="-1451616356"/>
            <w:docPartObj>
              <w:docPartGallery w:val="Bibliographies"/>
              <w:docPartUnique/>
            </w:docPartObj>
          </w:sdtPr>
          <w:sdtEndPr/>
          <w:sdtContent>
            <w:p w14:paraId="5353D04B" w14:textId="005840E1" w:rsidR="00B86374" w:rsidRPr="00BF7481" w:rsidRDefault="00B86374">
              <w:pPr>
                <w:pStyle w:val="Heading1"/>
                <w:rPr>
                  <w:rFonts w:ascii="Arial" w:hAnsi="Arial" w:cs="Arial"/>
                  <w:sz w:val="24"/>
                  <w:szCs w:val="24"/>
                </w:rPr>
              </w:pPr>
              <w:r w:rsidRPr="00BF7481">
                <w:rPr>
                  <w:rFonts w:ascii="Arial" w:hAnsi="Arial" w:cs="Arial"/>
                  <w:sz w:val="24"/>
                  <w:szCs w:val="24"/>
                </w:rPr>
                <w:t>Bibliography</w:t>
              </w:r>
              <w:bookmarkEnd w:id="9"/>
            </w:p>
            <w:sdt>
              <w:sdtPr>
                <w:rPr>
                  <w:rFonts w:ascii="Arial" w:hAnsi="Arial" w:cs="Arial"/>
                  <w:sz w:val="24"/>
                  <w:szCs w:val="24"/>
                </w:rPr>
                <w:id w:val="111145805"/>
                <w:bibliography/>
              </w:sdtPr>
              <w:sdtEndPr>
                <w:rPr>
                  <w:rFonts w:asciiTheme="minorHAnsi" w:hAnsiTheme="minorHAnsi" w:cstheme="minorBidi"/>
                  <w:sz w:val="22"/>
                  <w:szCs w:val="22"/>
                </w:rPr>
              </w:sdtEndPr>
              <w:sdtContent>
                <w:p w14:paraId="2A06AA41"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sz w:val="24"/>
                      <w:szCs w:val="24"/>
                    </w:rPr>
                    <w:fldChar w:fldCharType="begin"/>
                  </w:r>
                  <w:r w:rsidRPr="00BF7481">
                    <w:rPr>
                      <w:rFonts w:ascii="Arial" w:hAnsi="Arial" w:cs="Arial"/>
                      <w:sz w:val="24"/>
                      <w:szCs w:val="24"/>
                    </w:rPr>
                    <w:instrText xml:space="preserve"> BIBLIOGRAPHY </w:instrText>
                  </w:r>
                  <w:r w:rsidRPr="00BF7481">
                    <w:rPr>
                      <w:rFonts w:ascii="Arial" w:hAnsi="Arial" w:cs="Arial"/>
                      <w:sz w:val="24"/>
                      <w:szCs w:val="24"/>
                    </w:rPr>
                    <w:fldChar w:fldCharType="separate"/>
                  </w:r>
                  <w:r w:rsidRPr="00BF7481">
                    <w:rPr>
                      <w:rFonts w:ascii="Arial" w:hAnsi="Arial" w:cs="Arial"/>
                      <w:noProof/>
                      <w:sz w:val="24"/>
                      <w:szCs w:val="24"/>
                    </w:rPr>
                    <w:t>Anggraini, N. T. (2022). Analysis of Financial Statements Based on Financial Ratio and Vertical-Horizontal Method in PT Unilever, Tbk, 2016-2017 Period. Journal of Social Science, 3(1), 171-176.</w:t>
                  </w:r>
                </w:p>
                <w:p w14:paraId="5CBE3D34"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Bernstein, B. (2000). Vertical and horizontal discourse: An essay. . </w:t>
                  </w:r>
                  <w:r w:rsidRPr="00BF7481">
                    <w:rPr>
                      <w:rFonts w:ascii="Arial" w:hAnsi="Arial" w:cs="Arial"/>
                      <w:i/>
                      <w:iCs/>
                      <w:noProof/>
                      <w:sz w:val="24"/>
                      <w:szCs w:val="24"/>
                    </w:rPr>
                    <w:t>British journal of sociology of Education, 20(2), 157-173.</w:t>
                  </w:r>
                  <w:r w:rsidRPr="00BF7481">
                    <w:rPr>
                      <w:rFonts w:ascii="Arial" w:hAnsi="Arial" w:cs="Arial"/>
                      <w:noProof/>
                      <w:sz w:val="24"/>
                      <w:szCs w:val="24"/>
                    </w:rPr>
                    <w:t xml:space="preserve"> </w:t>
                  </w:r>
                </w:p>
                <w:p w14:paraId="093ED992"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Chela-Alvarez, X. B.-I.-T. (2022). Hotel Housekeepers and Occupational Health: Experiences and Perceived Risks.</w:t>
                  </w:r>
                </w:p>
                <w:p w14:paraId="4B2D7C2C"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Clavier, C. F. (2010). Horizontal correlation analysis on exponentiation. In International Conference on Information and Communications Security (pp. 46-61). . </w:t>
                  </w:r>
                  <w:r w:rsidRPr="00BF7481">
                    <w:rPr>
                      <w:rFonts w:ascii="Arial" w:hAnsi="Arial" w:cs="Arial"/>
                      <w:i/>
                      <w:iCs/>
                      <w:noProof/>
                      <w:sz w:val="24"/>
                      <w:szCs w:val="24"/>
                    </w:rPr>
                    <w:t>Springer, Berlin, Heidelberg.</w:t>
                  </w:r>
                  <w:r w:rsidRPr="00BF7481">
                    <w:rPr>
                      <w:rFonts w:ascii="Arial" w:hAnsi="Arial" w:cs="Arial"/>
                      <w:noProof/>
                      <w:sz w:val="24"/>
                      <w:szCs w:val="24"/>
                    </w:rPr>
                    <w:t xml:space="preserve"> </w:t>
                  </w:r>
                </w:p>
                <w:p w14:paraId="2B017E6D"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Fullana, O. P. (2022). The role of financial performance of Eurostoxx listed hotel companies in determining CEO compensation. . </w:t>
                  </w:r>
                  <w:r w:rsidRPr="00BF7481">
                    <w:rPr>
                      <w:rFonts w:ascii="Arial" w:hAnsi="Arial" w:cs="Arial"/>
                      <w:i/>
                      <w:iCs/>
                      <w:noProof/>
                      <w:sz w:val="24"/>
                      <w:szCs w:val="24"/>
                    </w:rPr>
                    <w:t>International Journal of Hospitality Management, 104, 103242.</w:t>
                  </w:r>
                  <w:r w:rsidRPr="00BF7481">
                    <w:rPr>
                      <w:rFonts w:ascii="Arial" w:hAnsi="Arial" w:cs="Arial"/>
                      <w:noProof/>
                      <w:sz w:val="24"/>
                      <w:szCs w:val="24"/>
                    </w:rPr>
                    <w:t xml:space="preserve"> </w:t>
                  </w:r>
                </w:p>
                <w:p w14:paraId="735BD849"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Lakada, M. N. (2017). Analyzing the financial statement using horizontal–vertical analysis to evaluating the company financial performance period 2012-2016 (Case Study at PT. Unilever IndonesiaTbk). .</w:t>
                  </w:r>
                </w:p>
                <w:p w14:paraId="25856DAB"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Langer, A. (2022). The Hotel on the Hill: Hilton Hotel’s Unofficial Embassy in Rome. . </w:t>
                  </w:r>
                  <w:r w:rsidRPr="00BF7481">
                    <w:rPr>
                      <w:rFonts w:ascii="Arial" w:hAnsi="Arial" w:cs="Arial"/>
                      <w:i/>
                      <w:iCs/>
                      <w:noProof/>
                      <w:sz w:val="24"/>
                      <w:szCs w:val="24"/>
                    </w:rPr>
                    <w:t>Diplomatic History, 46(2), 375-396.</w:t>
                  </w:r>
                  <w:r w:rsidRPr="00BF7481">
                    <w:rPr>
                      <w:rFonts w:ascii="Arial" w:hAnsi="Arial" w:cs="Arial"/>
                      <w:noProof/>
                      <w:sz w:val="24"/>
                      <w:szCs w:val="24"/>
                    </w:rPr>
                    <w:t xml:space="preserve"> </w:t>
                  </w:r>
                </w:p>
                <w:p w14:paraId="0ACD0A6C"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Li, Y. (2022). Factors Selection for Stock Predicting Based on Vertical and Horizontal Analysis of Technology Giants. In 2022 13th International Conference on E-Education, E-Business, E-Management, and E-Learning (IC4E) (pp. 473-480).</w:t>
                  </w:r>
                </w:p>
                <w:p w14:paraId="771587C7"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Manshad, A. K. (2014). Analysis of vertical, horizontal and deviated wellbores stability by analytical and numerical methods. Journal of Petroleum Exploration and Production Technology, 4(4), 359-369.</w:t>
                  </w:r>
                </w:p>
                <w:p w14:paraId="1006E67D"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Pyla, P. (2022). Leisure and geo-economics: The Hilton and other development regimes in the Mediterranean South. . </w:t>
                  </w:r>
                  <w:r w:rsidRPr="00BF7481">
                    <w:rPr>
                      <w:rFonts w:ascii="Arial" w:hAnsi="Arial" w:cs="Arial"/>
                      <w:i/>
                      <w:iCs/>
                      <w:noProof/>
                      <w:sz w:val="24"/>
                      <w:szCs w:val="24"/>
                    </w:rPr>
                    <w:t>In Architecture in Development (pp. 381-400). Routledge.</w:t>
                  </w:r>
                  <w:r w:rsidRPr="00BF7481">
                    <w:rPr>
                      <w:rFonts w:ascii="Arial" w:hAnsi="Arial" w:cs="Arial"/>
                      <w:noProof/>
                      <w:sz w:val="24"/>
                      <w:szCs w:val="24"/>
                    </w:rPr>
                    <w:t xml:space="preserve"> </w:t>
                  </w:r>
                </w:p>
                <w:p w14:paraId="73C5135D"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Vaca-Tapia, A. C.-E.-P. (2018). Knowledge Based of an Expert System Using the Horizontal Analysis for Financial Statements of National, Private TV Companies in Ecuador. .</w:t>
                  </w:r>
                </w:p>
                <w:p w14:paraId="6A84BB56" w14:textId="77777777" w:rsidR="00B86374" w:rsidRPr="00BF7481" w:rsidRDefault="00B86374" w:rsidP="00B86374">
                  <w:pPr>
                    <w:pStyle w:val="Bibliography"/>
                    <w:ind w:left="720" w:hanging="720"/>
                    <w:rPr>
                      <w:rFonts w:ascii="Arial" w:hAnsi="Arial" w:cs="Arial"/>
                      <w:noProof/>
                      <w:sz w:val="24"/>
                      <w:szCs w:val="24"/>
                    </w:rPr>
                  </w:pPr>
                  <w:r w:rsidRPr="00BF7481">
                    <w:rPr>
                      <w:rFonts w:ascii="Arial" w:hAnsi="Arial" w:cs="Arial"/>
                      <w:noProof/>
                      <w:sz w:val="24"/>
                      <w:szCs w:val="24"/>
                    </w:rPr>
                    <w:t xml:space="preserve">Weintraub, B. &amp;. (2010). From the Bankruptcy Courts: The Meaning of" Ordinary Course Of Business" Under the Bankruptcy Code-Vertical and Horizontal Analysis. </w:t>
                  </w:r>
                  <w:r w:rsidRPr="00BF7481">
                    <w:rPr>
                      <w:rFonts w:ascii="Arial" w:hAnsi="Arial" w:cs="Arial"/>
                      <w:i/>
                      <w:iCs/>
                      <w:noProof/>
                      <w:sz w:val="24"/>
                      <w:szCs w:val="24"/>
                    </w:rPr>
                    <w:t>Uniform Commercial Code Law Journal, 19, 364.</w:t>
                  </w:r>
                  <w:r w:rsidRPr="00BF7481">
                    <w:rPr>
                      <w:rFonts w:ascii="Arial" w:hAnsi="Arial" w:cs="Arial"/>
                      <w:noProof/>
                      <w:sz w:val="24"/>
                      <w:szCs w:val="24"/>
                    </w:rPr>
                    <w:t xml:space="preserve"> </w:t>
                  </w:r>
                </w:p>
                <w:p w14:paraId="516AA3CA" w14:textId="5744AAC6" w:rsidR="00B86374" w:rsidRDefault="00B86374" w:rsidP="00B86374">
                  <w:r w:rsidRPr="00BF7481">
                    <w:rPr>
                      <w:rFonts w:ascii="Arial" w:hAnsi="Arial" w:cs="Arial"/>
                      <w:b/>
                      <w:bCs/>
                      <w:noProof/>
                      <w:sz w:val="24"/>
                      <w:szCs w:val="24"/>
                    </w:rPr>
                    <w:fldChar w:fldCharType="end"/>
                  </w:r>
                </w:p>
              </w:sdtContent>
            </w:sdt>
          </w:sdtContent>
        </w:sdt>
        <w:p w14:paraId="0B60BCAC" w14:textId="2DE29286" w:rsidR="00CA09F3" w:rsidRPr="00B86374" w:rsidRDefault="003274B8" w:rsidP="00B86374">
          <w:pPr>
            <w:rPr>
              <w:rFonts w:asciiTheme="majorHAnsi" w:hAnsiTheme="majorHAnsi" w:cstheme="majorBidi"/>
              <w:color w:val="2E74B5" w:themeColor="accent1" w:themeShade="BF"/>
              <w:sz w:val="32"/>
              <w:szCs w:val="32"/>
            </w:rPr>
          </w:pPr>
        </w:p>
      </w:sdtContent>
    </w:sdt>
    <w:sectPr w:rsidR="00CA09F3" w:rsidRPr="00B86374"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96411" w14:textId="77777777" w:rsidR="003274B8" w:rsidRDefault="003274B8" w:rsidP="00B86374">
      <w:pPr>
        <w:spacing w:after="0" w:line="240" w:lineRule="auto"/>
      </w:pPr>
      <w:r>
        <w:separator/>
      </w:r>
    </w:p>
  </w:endnote>
  <w:endnote w:type="continuationSeparator" w:id="0">
    <w:p w14:paraId="0E6B7280" w14:textId="77777777" w:rsidR="003274B8" w:rsidRDefault="003274B8" w:rsidP="00B8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9149238"/>
      <w:docPartObj>
        <w:docPartGallery w:val="Page Numbers (Bottom of Page)"/>
        <w:docPartUnique/>
      </w:docPartObj>
    </w:sdtPr>
    <w:sdtEndPr>
      <w:rPr>
        <w:noProof/>
      </w:rPr>
    </w:sdtEndPr>
    <w:sdtContent>
      <w:p w14:paraId="6206DF4D" w14:textId="7B0BD3B0" w:rsidR="00B86374" w:rsidRDefault="00B863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7D4CF9" w14:textId="77777777" w:rsidR="00B86374" w:rsidRDefault="00B86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AA51B" w14:textId="77777777" w:rsidR="003274B8" w:rsidRDefault="003274B8" w:rsidP="00B86374">
      <w:pPr>
        <w:spacing w:after="0" w:line="240" w:lineRule="auto"/>
      </w:pPr>
      <w:r>
        <w:separator/>
      </w:r>
    </w:p>
  </w:footnote>
  <w:footnote w:type="continuationSeparator" w:id="0">
    <w:p w14:paraId="4BFE9430" w14:textId="77777777" w:rsidR="003274B8" w:rsidRDefault="003274B8" w:rsidP="00B86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140885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64D7"/>
    <w:rsid w:val="00085169"/>
    <w:rsid w:val="000A42F5"/>
    <w:rsid w:val="000E0C63"/>
    <w:rsid w:val="00115B96"/>
    <w:rsid w:val="00144BC6"/>
    <w:rsid w:val="00196C74"/>
    <w:rsid w:val="001E0C5A"/>
    <w:rsid w:val="001E6100"/>
    <w:rsid w:val="00203775"/>
    <w:rsid w:val="0027275A"/>
    <w:rsid w:val="00302D48"/>
    <w:rsid w:val="00324CCD"/>
    <w:rsid w:val="003274B8"/>
    <w:rsid w:val="0034053C"/>
    <w:rsid w:val="00415984"/>
    <w:rsid w:val="0045242E"/>
    <w:rsid w:val="00462502"/>
    <w:rsid w:val="004A11F6"/>
    <w:rsid w:val="004D519C"/>
    <w:rsid w:val="004F3E41"/>
    <w:rsid w:val="005A422D"/>
    <w:rsid w:val="0061060F"/>
    <w:rsid w:val="00624027"/>
    <w:rsid w:val="006911AB"/>
    <w:rsid w:val="006D428E"/>
    <w:rsid w:val="007A6F40"/>
    <w:rsid w:val="007D1947"/>
    <w:rsid w:val="00820963"/>
    <w:rsid w:val="008456A8"/>
    <w:rsid w:val="008B04A7"/>
    <w:rsid w:val="008C514E"/>
    <w:rsid w:val="00900137"/>
    <w:rsid w:val="009C1CE2"/>
    <w:rsid w:val="00AA2A91"/>
    <w:rsid w:val="00B35DA9"/>
    <w:rsid w:val="00B86374"/>
    <w:rsid w:val="00BF7481"/>
    <w:rsid w:val="00C06E4B"/>
    <w:rsid w:val="00C35DE5"/>
    <w:rsid w:val="00C71FB5"/>
    <w:rsid w:val="00CA09F3"/>
    <w:rsid w:val="00D35C38"/>
    <w:rsid w:val="00D56FAD"/>
    <w:rsid w:val="00D60E44"/>
    <w:rsid w:val="00D81917"/>
    <w:rsid w:val="00D854A5"/>
    <w:rsid w:val="00DB6A70"/>
    <w:rsid w:val="00EB5B78"/>
    <w:rsid w:val="00ED2D2A"/>
    <w:rsid w:val="00FE4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table" w:styleId="PlainTable4">
    <w:name w:val="Plain Table 4"/>
    <w:basedOn w:val="TableNormal"/>
    <w:uiPriority w:val="44"/>
    <w:rsid w:val="00EB5B7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B5B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A6F40"/>
    <w:pPr>
      <w:spacing w:after="200" w:line="240" w:lineRule="auto"/>
    </w:pPr>
    <w:rPr>
      <w:i/>
      <w:iCs/>
      <w:color w:val="44546A" w:themeColor="text2"/>
      <w:sz w:val="18"/>
      <w:szCs w:val="18"/>
    </w:rPr>
  </w:style>
  <w:style w:type="paragraph" w:styleId="NormalWeb">
    <w:name w:val="Normal (Web)"/>
    <w:basedOn w:val="Normal"/>
    <w:uiPriority w:val="99"/>
    <w:semiHidden/>
    <w:unhideWhenUsed/>
    <w:rsid w:val="0045242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Light">
    <w:name w:val="Grid Table Light"/>
    <w:basedOn w:val="TableNormal"/>
    <w:uiPriority w:val="40"/>
    <w:rsid w:val="006240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5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86374"/>
  </w:style>
  <w:style w:type="paragraph" w:styleId="Header">
    <w:name w:val="header"/>
    <w:basedOn w:val="Normal"/>
    <w:link w:val="HeaderChar"/>
    <w:uiPriority w:val="99"/>
    <w:unhideWhenUsed/>
    <w:rsid w:val="00B86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74"/>
  </w:style>
  <w:style w:type="paragraph" w:styleId="Footer">
    <w:name w:val="footer"/>
    <w:basedOn w:val="Normal"/>
    <w:link w:val="FooterChar"/>
    <w:uiPriority w:val="99"/>
    <w:unhideWhenUsed/>
    <w:rsid w:val="00B86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4733">
      <w:bodyDiv w:val="1"/>
      <w:marLeft w:val="0"/>
      <w:marRight w:val="0"/>
      <w:marTop w:val="0"/>
      <w:marBottom w:val="0"/>
      <w:divBdr>
        <w:top w:val="none" w:sz="0" w:space="0" w:color="auto"/>
        <w:left w:val="none" w:sz="0" w:space="0" w:color="auto"/>
        <w:bottom w:val="none" w:sz="0" w:space="0" w:color="auto"/>
        <w:right w:val="none" w:sz="0" w:space="0" w:color="auto"/>
      </w:divBdr>
    </w:div>
    <w:div w:id="73548713">
      <w:bodyDiv w:val="1"/>
      <w:marLeft w:val="0"/>
      <w:marRight w:val="0"/>
      <w:marTop w:val="0"/>
      <w:marBottom w:val="0"/>
      <w:divBdr>
        <w:top w:val="none" w:sz="0" w:space="0" w:color="auto"/>
        <w:left w:val="none" w:sz="0" w:space="0" w:color="auto"/>
        <w:bottom w:val="none" w:sz="0" w:space="0" w:color="auto"/>
        <w:right w:val="none" w:sz="0" w:space="0" w:color="auto"/>
      </w:divBdr>
    </w:div>
    <w:div w:id="372000171">
      <w:bodyDiv w:val="1"/>
      <w:marLeft w:val="0"/>
      <w:marRight w:val="0"/>
      <w:marTop w:val="0"/>
      <w:marBottom w:val="0"/>
      <w:divBdr>
        <w:top w:val="none" w:sz="0" w:space="0" w:color="auto"/>
        <w:left w:val="none" w:sz="0" w:space="0" w:color="auto"/>
        <w:bottom w:val="none" w:sz="0" w:space="0" w:color="auto"/>
        <w:right w:val="none" w:sz="0" w:space="0" w:color="auto"/>
      </w:divBdr>
    </w:div>
    <w:div w:id="399253110">
      <w:bodyDiv w:val="1"/>
      <w:marLeft w:val="0"/>
      <w:marRight w:val="0"/>
      <w:marTop w:val="0"/>
      <w:marBottom w:val="0"/>
      <w:divBdr>
        <w:top w:val="none" w:sz="0" w:space="0" w:color="auto"/>
        <w:left w:val="none" w:sz="0" w:space="0" w:color="auto"/>
        <w:bottom w:val="none" w:sz="0" w:space="0" w:color="auto"/>
        <w:right w:val="none" w:sz="0" w:space="0" w:color="auto"/>
      </w:divBdr>
    </w:div>
    <w:div w:id="642585531">
      <w:bodyDiv w:val="1"/>
      <w:marLeft w:val="0"/>
      <w:marRight w:val="0"/>
      <w:marTop w:val="0"/>
      <w:marBottom w:val="0"/>
      <w:divBdr>
        <w:top w:val="none" w:sz="0" w:space="0" w:color="auto"/>
        <w:left w:val="none" w:sz="0" w:space="0" w:color="auto"/>
        <w:bottom w:val="none" w:sz="0" w:space="0" w:color="auto"/>
        <w:right w:val="none" w:sz="0" w:space="0" w:color="auto"/>
      </w:divBdr>
    </w:div>
    <w:div w:id="668018560">
      <w:bodyDiv w:val="1"/>
      <w:marLeft w:val="0"/>
      <w:marRight w:val="0"/>
      <w:marTop w:val="0"/>
      <w:marBottom w:val="0"/>
      <w:divBdr>
        <w:top w:val="none" w:sz="0" w:space="0" w:color="auto"/>
        <w:left w:val="none" w:sz="0" w:space="0" w:color="auto"/>
        <w:bottom w:val="none" w:sz="0" w:space="0" w:color="auto"/>
        <w:right w:val="none" w:sz="0" w:space="0" w:color="auto"/>
      </w:divBdr>
    </w:div>
    <w:div w:id="728115863">
      <w:bodyDiv w:val="1"/>
      <w:marLeft w:val="0"/>
      <w:marRight w:val="0"/>
      <w:marTop w:val="0"/>
      <w:marBottom w:val="0"/>
      <w:divBdr>
        <w:top w:val="none" w:sz="0" w:space="0" w:color="auto"/>
        <w:left w:val="none" w:sz="0" w:space="0" w:color="auto"/>
        <w:bottom w:val="none" w:sz="0" w:space="0" w:color="auto"/>
        <w:right w:val="none" w:sz="0" w:space="0" w:color="auto"/>
      </w:divBdr>
    </w:div>
    <w:div w:id="857622409">
      <w:bodyDiv w:val="1"/>
      <w:marLeft w:val="0"/>
      <w:marRight w:val="0"/>
      <w:marTop w:val="0"/>
      <w:marBottom w:val="0"/>
      <w:divBdr>
        <w:top w:val="none" w:sz="0" w:space="0" w:color="auto"/>
        <w:left w:val="none" w:sz="0" w:space="0" w:color="auto"/>
        <w:bottom w:val="none" w:sz="0" w:space="0" w:color="auto"/>
        <w:right w:val="none" w:sz="0" w:space="0" w:color="auto"/>
      </w:divBdr>
    </w:div>
    <w:div w:id="888954559">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003777597">
      <w:bodyDiv w:val="1"/>
      <w:marLeft w:val="0"/>
      <w:marRight w:val="0"/>
      <w:marTop w:val="0"/>
      <w:marBottom w:val="0"/>
      <w:divBdr>
        <w:top w:val="none" w:sz="0" w:space="0" w:color="auto"/>
        <w:left w:val="none" w:sz="0" w:space="0" w:color="auto"/>
        <w:bottom w:val="none" w:sz="0" w:space="0" w:color="auto"/>
        <w:right w:val="none" w:sz="0" w:space="0" w:color="auto"/>
      </w:divBdr>
    </w:div>
    <w:div w:id="1133791284">
      <w:bodyDiv w:val="1"/>
      <w:marLeft w:val="0"/>
      <w:marRight w:val="0"/>
      <w:marTop w:val="0"/>
      <w:marBottom w:val="0"/>
      <w:divBdr>
        <w:top w:val="none" w:sz="0" w:space="0" w:color="auto"/>
        <w:left w:val="none" w:sz="0" w:space="0" w:color="auto"/>
        <w:bottom w:val="none" w:sz="0" w:space="0" w:color="auto"/>
        <w:right w:val="none" w:sz="0" w:space="0" w:color="auto"/>
      </w:divBdr>
    </w:div>
    <w:div w:id="1201211786">
      <w:bodyDiv w:val="1"/>
      <w:marLeft w:val="0"/>
      <w:marRight w:val="0"/>
      <w:marTop w:val="0"/>
      <w:marBottom w:val="0"/>
      <w:divBdr>
        <w:top w:val="none" w:sz="0" w:space="0" w:color="auto"/>
        <w:left w:val="none" w:sz="0" w:space="0" w:color="auto"/>
        <w:bottom w:val="none" w:sz="0" w:space="0" w:color="auto"/>
        <w:right w:val="none" w:sz="0" w:space="0" w:color="auto"/>
      </w:divBdr>
    </w:div>
    <w:div w:id="1268852749">
      <w:bodyDiv w:val="1"/>
      <w:marLeft w:val="0"/>
      <w:marRight w:val="0"/>
      <w:marTop w:val="0"/>
      <w:marBottom w:val="0"/>
      <w:divBdr>
        <w:top w:val="none" w:sz="0" w:space="0" w:color="auto"/>
        <w:left w:val="none" w:sz="0" w:space="0" w:color="auto"/>
        <w:bottom w:val="none" w:sz="0" w:space="0" w:color="auto"/>
        <w:right w:val="none" w:sz="0" w:space="0" w:color="auto"/>
      </w:divBdr>
    </w:div>
    <w:div w:id="1331369193">
      <w:bodyDiv w:val="1"/>
      <w:marLeft w:val="0"/>
      <w:marRight w:val="0"/>
      <w:marTop w:val="0"/>
      <w:marBottom w:val="0"/>
      <w:divBdr>
        <w:top w:val="none" w:sz="0" w:space="0" w:color="auto"/>
        <w:left w:val="none" w:sz="0" w:space="0" w:color="auto"/>
        <w:bottom w:val="none" w:sz="0" w:space="0" w:color="auto"/>
        <w:right w:val="none" w:sz="0" w:space="0" w:color="auto"/>
      </w:divBdr>
    </w:div>
    <w:div w:id="1418285542">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453549400">
      <w:bodyDiv w:val="1"/>
      <w:marLeft w:val="0"/>
      <w:marRight w:val="0"/>
      <w:marTop w:val="0"/>
      <w:marBottom w:val="0"/>
      <w:divBdr>
        <w:top w:val="none" w:sz="0" w:space="0" w:color="auto"/>
        <w:left w:val="none" w:sz="0" w:space="0" w:color="auto"/>
        <w:bottom w:val="none" w:sz="0" w:space="0" w:color="auto"/>
        <w:right w:val="none" w:sz="0" w:space="0" w:color="auto"/>
      </w:divBdr>
    </w:div>
    <w:div w:id="1552107891">
      <w:bodyDiv w:val="1"/>
      <w:marLeft w:val="0"/>
      <w:marRight w:val="0"/>
      <w:marTop w:val="0"/>
      <w:marBottom w:val="0"/>
      <w:divBdr>
        <w:top w:val="none" w:sz="0" w:space="0" w:color="auto"/>
        <w:left w:val="none" w:sz="0" w:space="0" w:color="auto"/>
        <w:bottom w:val="none" w:sz="0" w:space="0" w:color="auto"/>
        <w:right w:val="none" w:sz="0" w:space="0" w:color="auto"/>
      </w:divBdr>
    </w:div>
    <w:div w:id="1559626514">
      <w:bodyDiv w:val="1"/>
      <w:marLeft w:val="0"/>
      <w:marRight w:val="0"/>
      <w:marTop w:val="0"/>
      <w:marBottom w:val="0"/>
      <w:divBdr>
        <w:top w:val="none" w:sz="0" w:space="0" w:color="auto"/>
        <w:left w:val="none" w:sz="0" w:space="0" w:color="auto"/>
        <w:bottom w:val="none" w:sz="0" w:space="0" w:color="auto"/>
        <w:right w:val="none" w:sz="0" w:space="0" w:color="auto"/>
      </w:divBdr>
    </w:div>
    <w:div w:id="1594894890">
      <w:bodyDiv w:val="1"/>
      <w:marLeft w:val="0"/>
      <w:marRight w:val="0"/>
      <w:marTop w:val="0"/>
      <w:marBottom w:val="0"/>
      <w:divBdr>
        <w:top w:val="none" w:sz="0" w:space="0" w:color="auto"/>
        <w:left w:val="none" w:sz="0" w:space="0" w:color="auto"/>
        <w:bottom w:val="none" w:sz="0" w:space="0" w:color="auto"/>
        <w:right w:val="none" w:sz="0" w:space="0" w:color="auto"/>
      </w:divBdr>
    </w:div>
    <w:div w:id="1786077160">
      <w:bodyDiv w:val="1"/>
      <w:marLeft w:val="0"/>
      <w:marRight w:val="0"/>
      <w:marTop w:val="0"/>
      <w:marBottom w:val="0"/>
      <w:divBdr>
        <w:top w:val="none" w:sz="0" w:space="0" w:color="auto"/>
        <w:left w:val="none" w:sz="0" w:space="0" w:color="auto"/>
        <w:bottom w:val="none" w:sz="0" w:space="0" w:color="auto"/>
        <w:right w:val="none" w:sz="0" w:space="0" w:color="auto"/>
      </w:divBdr>
    </w:div>
    <w:div w:id="1842305979">
      <w:bodyDiv w:val="1"/>
      <w:marLeft w:val="0"/>
      <w:marRight w:val="0"/>
      <w:marTop w:val="0"/>
      <w:marBottom w:val="0"/>
      <w:divBdr>
        <w:top w:val="none" w:sz="0" w:space="0" w:color="auto"/>
        <w:left w:val="none" w:sz="0" w:space="0" w:color="auto"/>
        <w:bottom w:val="none" w:sz="0" w:space="0" w:color="auto"/>
        <w:right w:val="none" w:sz="0" w:space="0" w:color="auto"/>
      </w:divBdr>
    </w:div>
    <w:div w:id="196222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73059B"/>
    <w:rsid w:val="0083132B"/>
    <w:rsid w:val="00A34C42"/>
    <w:rsid w:val="00BC1251"/>
    <w:rsid w:val="00C67429"/>
    <w:rsid w:val="00C72D58"/>
    <w:rsid w:val="00E2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Lan22</b:Tag>
    <b:SourceType>JournalArticle</b:SourceType>
    <b:Guid>{37D1D04A-D0B3-40F2-A351-254ACF0BDFCD}</b:Guid>
    <b:Author>
      <b:Author>
        <b:NameList>
          <b:Person>
            <b:Last>Langer</b:Last>
            <b:First>A.</b:First>
          </b:Person>
        </b:NameList>
      </b:Author>
    </b:Author>
    <b:Title>The Hotel on the Hill: Hilton Hotel’s Unofficial Embassy in Rome. </b:Title>
    <b:JournalName>Diplomatic History, 46(2), 375-396.</b:JournalName>
    <b:Year>2022</b:Year>
    <b:RefOrder>2</b:RefOrder>
  </b:Source>
  <b:Source>
    <b:Tag>Pyl22</b:Tag>
    <b:SourceType>JournalArticle</b:SourceType>
    <b:Guid>{9E373EE0-04F3-4BC1-916B-AF40F9C9F39B}</b:Guid>
    <b:Author>
      <b:Author>
        <b:NameList>
          <b:Person>
            <b:Last>Pyla</b:Last>
            <b:First>P.</b:First>
          </b:Person>
        </b:NameList>
      </b:Author>
    </b:Author>
    <b:Title>Leisure and geo-economics: The Hilton and other development regimes in the Mediterranean South. </b:Title>
    <b:JournalName>In Architecture in Development (pp. 381-400). Routledge.</b:JournalName>
    <b:Year>2022</b:Year>
    <b:RefOrder>10</b:RefOrder>
  </b:Source>
  <b:Source>
    <b:Tag>Ful22</b:Tag>
    <b:SourceType>JournalArticle</b:SourceType>
    <b:Guid>{8608836C-4C7C-4E6B-BF31-931B71D26631}</b:Guid>
    <b:Author>
      <b:Author>
        <b:NameList>
          <b:Person>
            <b:Last>Fullana</b:Last>
            <b:First>O.,</b:First>
            <b:Middle>Priego, A. M., &amp; Toscano, D.</b:Middle>
          </b:Person>
        </b:NameList>
      </b:Author>
    </b:Author>
    <b:Title>The role of financial performance of Eurostoxx listed hotel companies in determining CEO compensation. </b:Title>
    <b:JournalName>International Journal of Hospitality Management, 104, 103242.</b:JournalName>
    <b:Year>2022</b:Year>
    <b:RefOrder>6</b:RefOrder>
  </b:Source>
  <b:Source>
    <b:Tag>Che22</b:Tag>
    <b:SourceType>JournalArticle</b:SourceType>
    <b:Guid>{CBE16DFC-6C61-44E4-ADFE-99558495699B}</b:Guid>
    <b:Author>
      <b:Author>
        <b:NameList>
          <b:Person>
            <b:Last>Chela-Alvarez</b:Last>
            <b:First>X.,</b:First>
            <b:Middle>Bulilete, O., Garcia-Illan, E., Vidal-Thomas, C., &amp; Llobera, J.</b:Middle>
          </b:Person>
        </b:NameList>
      </b:Author>
    </b:Author>
    <b:Title>Hotel Housekeepers and Occupational Health: Experiences and Perceived Risks.</b:Title>
    <b:Year>2022</b:Year>
    <b:RefOrder>3</b:RefOrder>
  </b:Source>
  <b:Source>
    <b:Tag>Ang22</b:Tag>
    <b:SourceType>JournalArticle</b:SourceType>
    <b:Guid>{D2CC25E9-DB69-443F-AE8B-0A684DE321CF}</b:Guid>
    <b:Author>
      <b:Author>
        <b:NameList>
          <b:Person>
            <b:Last>Anggraini</b:Last>
            <b:First>N.</b:First>
            <b:Middle>T.</b:Middle>
          </b:Person>
        </b:NameList>
      </b:Author>
    </b:Author>
    <b:Title>Analysis of Financial Statements Based on Financial Ratio and Vertical-Horizontal Method in PT Unilever, Tbk, 2016-2017 Period. Journal of Social Science, 3(1), 171-176.</b:Title>
    <b:Year>2022</b:Year>
    <b:RefOrder>1</b:RefOrder>
  </b:Source>
  <b:Source>
    <b:Tag>LiY22</b:Tag>
    <b:SourceType>JournalArticle</b:SourceType>
    <b:Guid>{F67A4181-7B6D-4CF0-A0BD-0418DEC36FC8}</b:Guid>
    <b:Author>
      <b:Author>
        <b:NameList>
          <b:Person>
            <b:Last>Li</b:Last>
            <b:First>Y.</b:First>
          </b:Person>
        </b:NameList>
      </b:Author>
    </b:Author>
    <b:Title>Factors Selection for Stock Predicting Based on Vertical and Horizontal Analysis of Technology Giants. In 2022 13th International Conference on E-Education, E-Business, E-Management, and E-Learning (IC4E) (pp. 473-480).</b:Title>
    <b:Year>2022</b:Year>
    <b:RefOrder>8</b:RefOrder>
  </b:Source>
  <b:Source>
    <b:Tag>Cla10</b:Tag>
    <b:SourceType>JournalArticle</b:SourceType>
    <b:Guid>{9FD1A2B8-2232-4378-9C03-7FBC3A818AA8}</b:Guid>
    <b:Author>
      <b:Author>
        <b:NameList>
          <b:Person>
            <b:Last>Clavier</b:Last>
            <b:First>C.,</b:First>
            <b:Middle>Feix, B., Gagnerot, G., Roussellet, M., &amp; Verneuil, V.</b:Middle>
          </b:Person>
        </b:NameList>
      </b:Author>
    </b:Author>
    <b:Title>Horizontal correlation analysis on exponentiation. In International Conference on Information and Communications Security (pp. 46-61). </b:Title>
    <b:JournalName>Springer, Berlin, Heidelberg.</b:JournalName>
    <b:Year>2010</b:Year>
    <b:RefOrder>5</b:RefOrder>
  </b:Source>
  <b:Source>
    <b:Tag>Wei10</b:Tag>
    <b:SourceType>JournalArticle</b:SourceType>
    <b:Guid>{CC7C8315-F715-435B-AA3A-DA95EBF31E7C}</b:Guid>
    <b:Author>
      <b:Author>
        <b:NameList>
          <b:Person>
            <b:Last>Weintraub</b:Last>
            <b:First>B.,</b:First>
            <b:Middle>&amp; Resnick, A. N.</b:Middle>
          </b:Person>
        </b:NameList>
      </b:Author>
    </b:Author>
    <b:Title>From the Bankruptcy Courts: The Meaning of" Ordinary Course Of Business" Under the Bankruptcy Code-Vertical and Horizontal Analysis.</b:Title>
    <b:JournalName>Uniform Commercial Code Law Journal, 19, 364.</b:JournalName>
    <b:Year>2010</b:Year>
    <b:RefOrder>12</b:RefOrder>
  </b:Source>
  <b:Source>
    <b:Tag>Lak17</b:Tag>
    <b:SourceType>JournalArticle</b:SourceType>
    <b:Guid>{1FA513DA-FFA0-481D-8D0F-BFF3BCB73125}</b:Guid>
    <b:Author>
      <b:Author>
        <b:NameList>
          <b:Person>
            <b:Last>Lakada</b:Last>
            <b:First>M.</b:First>
            <b:Middle>N., Lapian, S. J., &amp; Tumiwa, J. R.</b:Middle>
          </b:Person>
        </b:NameList>
      </b:Author>
    </b:Author>
    <b:Title>Analyzing the financial statement using horizontal–vertical analysis to evaluating the company financial performance period 2012-2016 (Case Study at PT. Unilever IndonesiaTbk). </b:Title>
    <b:Year>2017</b:Year>
    <b:RefOrder>7</b:RefOrder>
  </b:Source>
  <b:Source>
    <b:Tag>Vac18</b:Tag>
    <b:SourceType>JournalArticle</b:SourceType>
    <b:Guid>{BC583069-6BA7-4141-A933-A836BB62CF12}</b:Guid>
    <b:Author>
      <b:Author>
        <b:NameList>
          <b:Person>
            <b:Last>Vaca-Tapia</b:Last>
            <b:First>A.</b:First>
            <b:Middle>C., Freire, F. C., Rivas-Echeverría, F. I., &amp; Aragón-Puetate, J. A.</b:Middle>
          </b:Person>
        </b:NameList>
      </b:Author>
    </b:Author>
    <b:Title>Knowledge Based of an Expert System Using the Horizontal Analysis for Financial Statements of National, Private TV Companies in Ecuador. </b:Title>
    <b:Year>2018</b:Year>
    <b:RefOrder>11</b:RefOrder>
  </b:Source>
  <b:Source>
    <b:Tag>Man141</b:Tag>
    <b:SourceType>JournalArticle</b:SourceType>
    <b:Guid>{3F58A332-8F32-4DFD-90C9-35AE65110B12}</b:Guid>
    <b:Author>
      <b:Author>
        <b:NameList>
          <b:Person>
            <b:Last>Manshad</b:Last>
            <b:First>A.</b:First>
            <b:Middle>K., Jalalifar, H., &amp; Aslannejad, M.</b:Middle>
          </b:Person>
        </b:NameList>
      </b:Author>
    </b:Author>
    <b:Title>Analysis of vertical, horizontal and deviated wellbores stability by analytical and numerical methods. Journal of Petroleum Exploration and Production Technology, 4(4), 359-369.</b:Title>
    <b:Year>2014</b:Year>
    <b:RefOrder>9</b:RefOrder>
  </b:Source>
  <b:Source>
    <b:Tag>Ber00</b:Tag>
    <b:SourceType>JournalArticle</b:SourceType>
    <b:Guid>{4FBF3267-C024-4AEB-98FB-AF7A2C2F9109}</b:Guid>
    <b:Author>
      <b:Author>
        <b:NameList>
          <b:Person>
            <b:Last>Bernstein</b:Last>
            <b:First>B.</b:First>
          </b:Person>
        </b:NameList>
      </b:Author>
    </b:Author>
    <b:Title>Vertical and horizontal discourse: An essay. </b:Title>
    <b:JournalName>British journal of sociology of Education, 20(2), 157-173.</b:JournalName>
    <b:Year>2000</b:Year>
    <b:RefOrder>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32A4AE-319C-4B3D-84BC-6A37EE70AD1A}">
  <ds:schemaRefs>
    <ds:schemaRef ds:uri="http://schemas.openxmlformats.org/officeDocument/2006/bibliography"/>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5.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Moshfique Khaled Chowdhury</cp:lastModifiedBy>
  <cp:revision>3</cp:revision>
  <dcterms:created xsi:type="dcterms:W3CDTF">2022-05-31T10:26:00Z</dcterms:created>
  <dcterms:modified xsi:type="dcterms:W3CDTF">2022-05-31T10:28:00Z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