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4D7B8" w14:textId="2C9B3845" w:rsidR="00F50BF8" w:rsidRDefault="00F50BF8" w:rsidP="00F50BF8">
      <w:pPr>
        <w:pStyle w:val="Heading2"/>
        <w:spacing w:line="360" w:lineRule="auto"/>
      </w:pPr>
      <w:r>
        <w:t>Introduction</w:t>
      </w:r>
    </w:p>
    <w:p w14:paraId="07AE7CBA" w14:textId="7AA0DFC1" w:rsidR="004F496E" w:rsidRPr="00725763" w:rsidRDefault="00246CA3" w:rsidP="00F50BF8">
      <w:pPr>
        <w:spacing w:line="360" w:lineRule="auto"/>
        <w:ind w:firstLine="720"/>
        <w:rPr>
          <w:rFonts w:asciiTheme="majorHAnsi" w:hAnsiTheme="majorHAnsi" w:cstheme="majorHAnsi"/>
          <w:sz w:val="24"/>
          <w:szCs w:val="24"/>
        </w:rPr>
      </w:pPr>
      <w:r w:rsidRPr="00725763">
        <w:rPr>
          <w:rFonts w:asciiTheme="majorHAnsi" w:hAnsiTheme="majorHAnsi" w:cstheme="majorHAnsi"/>
          <w:sz w:val="24"/>
          <w:szCs w:val="24"/>
        </w:rPr>
        <w:t>Curriculum is hard to define. So much so that people working within curriculum</w:t>
      </w:r>
      <w:r w:rsidR="00D31A13">
        <w:rPr>
          <w:rFonts w:asciiTheme="majorHAnsi" w:hAnsiTheme="majorHAnsi" w:cstheme="majorHAnsi"/>
          <w:sz w:val="24"/>
          <w:szCs w:val="24"/>
        </w:rPr>
        <w:t>-</w:t>
      </w:r>
      <w:r w:rsidRPr="00725763">
        <w:rPr>
          <w:rFonts w:asciiTheme="majorHAnsi" w:hAnsiTheme="majorHAnsi" w:cstheme="majorHAnsi"/>
          <w:sz w:val="24"/>
          <w:szCs w:val="24"/>
        </w:rPr>
        <w:t xml:space="preserve">based jobs have trouble coming </w:t>
      </w:r>
      <w:r w:rsidR="00987DBB">
        <w:rPr>
          <w:rFonts w:asciiTheme="majorHAnsi" w:hAnsiTheme="majorHAnsi" w:cstheme="majorHAnsi"/>
          <w:sz w:val="24"/>
          <w:szCs w:val="24"/>
        </w:rPr>
        <w:t>up with</w:t>
      </w:r>
      <w:r w:rsidRPr="00725763">
        <w:rPr>
          <w:rFonts w:asciiTheme="majorHAnsi" w:hAnsiTheme="majorHAnsi" w:cstheme="majorHAnsi"/>
          <w:sz w:val="24"/>
          <w:szCs w:val="24"/>
        </w:rPr>
        <w:t xml:space="preserve"> a definition</w:t>
      </w:r>
      <w:r w:rsidR="007E51DF" w:rsidRPr="00725763">
        <w:rPr>
          <w:rFonts w:asciiTheme="majorHAnsi" w:hAnsiTheme="majorHAnsi" w:cstheme="majorHAnsi"/>
          <w:sz w:val="24"/>
          <w:szCs w:val="24"/>
        </w:rPr>
        <w:t xml:space="preserve"> (Wiles, 2009</w:t>
      </w:r>
      <w:r w:rsidR="005A2EAD" w:rsidRPr="00725763">
        <w:rPr>
          <w:rFonts w:asciiTheme="majorHAnsi" w:hAnsiTheme="majorHAnsi" w:cstheme="majorHAnsi"/>
          <w:sz w:val="24"/>
          <w:szCs w:val="24"/>
        </w:rPr>
        <w:t>, p.2)</w:t>
      </w:r>
      <w:r w:rsidRPr="00725763">
        <w:rPr>
          <w:rFonts w:asciiTheme="majorHAnsi" w:hAnsiTheme="majorHAnsi" w:cstheme="majorHAnsi"/>
          <w:sz w:val="24"/>
          <w:szCs w:val="24"/>
        </w:rPr>
        <w:t>.</w:t>
      </w:r>
      <w:r w:rsidR="00F46B2B" w:rsidRPr="00725763">
        <w:rPr>
          <w:rFonts w:asciiTheme="majorHAnsi" w:hAnsiTheme="majorHAnsi" w:cstheme="majorHAnsi"/>
          <w:sz w:val="24"/>
          <w:szCs w:val="24"/>
        </w:rPr>
        <w:t xml:space="preserve"> The general definition </w:t>
      </w:r>
      <w:r w:rsidR="00216C50">
        <w:rPr>
          <w:rFonts w:asciiTheme="majorHAnsi" w:hAnsiTheme="majorHAnsi" w:cstheme="majorHAnsi"/>
          <w:sz w:val="24"/>
          <w:szCs w:val="24"/>
        </w:rPr>
        <w:t xml:space="preserve">focuses more on </w:t>
      </w:r>
      <w:r w:rsidR="00F46B2B" w:rsidRPr="00725763">
        <w:rPr>
          <w:rFonts w:asciiTheme="majorHAnsi" w:hAnsiTheme="majorHAnsi" w:cstheme="majorHAnsi"/>
          <w:sz w:val="24"/>
          <w:szCs w:val="24"/>
        </w:rPr>
        <w:t>the subjects taught within education, however, any given curriculum is much more than that.</w:t>
      </w:r>
      <w:r w:rsidR="0042560B" w:rsidRPr="00725763">
        <w:rPr>
          <w:rFonts w:asciiTheme="majorHAnsi" w:hAnsiTheme="majorHAnsi" w:cstheme="majorHAnsi"/>
          <w:sz w:val="24"/>
          <w:szCs w:val="24"/>
        </w:rPr>
        <w:t xml:space="preserve"> Curriculum is an </w:t>
      </w:r>
      <w:r w:rsidR="00161DF6" w:rsidRPr="00725763">
        <w:rPr>
          <w:rFonts w:asciiTheme="majorHAnsi" w:hAnsiTheme="majorHAnsi" w:cstheme="majorHAnsi"/>
          <w:sz w:val="24"/>
          <w:szCs w:val="24"/>
        </w:rPr>
        <w:t>amalgamation of different experiences had within education</w:t>
      </w:r>
      <w:r w:rsidR="00531387" w:rsidRPr="00725763">
        <w:rPr>
          <w:rFonts w:asciiTheme="majorHAnsi" w:hAnsiTheme="majorHAnsi" w:cstheme="majorHAnsi"/>
          <w:sz w:val="24"/>
          <w:szCs w:val="24"/>
        </w:rPr>
        <w:t>, this</w:t>
      </w:r>
      <w:r w:rsidR="00161DF6" w:rsidRPr="00725763">
        <w:rPr>
          <w:rFonts w:asciiTheme="majorHAnsi" w:hAnsiTheme="majorHAnsi" w:cstheme="majorHAnsi"/>
          <w:sz w:val="24"/>
          <w:szCs w:val="24"/>
        </w:rPr>
        <w:t xml:space="preserve"> includes</w:t>
      </w:r>
      <w:r w:rsidR="00531387" w:rsidRPr="00725763">
        <w:rPr>
          <w:rFonts w:asciiTheme="majorHAnsi" w:hAnsiTheme="majorHAnsi" w:cstheme="majorHAnsi"/>
          <w:sz w:val="24"/>
          <w:szCs w:val="24"/>
        </w:rPr>
        <w:t xml:space="preserve"> a more academic based </w:t>
      </w:r>
      <w:r w:rsidR="00216C50">
        <w:rPr>
          <w:rFonts w:asciiTheme="majorHAnsi" w:hAnsiTheme="majorHAnsi" w:cstheme="majorHAnsi"/>
          <w:sz w:val="24"/>
          <w:szCs w:val="24"/>
        </w:rPr>
        <w:t>view including</w:t>
      </w:r>
      <w:r w:rsidR="00161DF6" w:rsidRPr="00725763">
        <w:rPr>
          <w:rFonts w:asciiTheme="majorHAnsi" w:hAnsiTheme="majorHAnsi" w:cstheme="majorHAnsi"/>
          <w:sz w:val="24"/>
          <w:szCs w:val="24"/>
        </w:rPr>
        <w:t xml:space="preserve"> subjects taught</w:t>
      </w:r>
      <w:r w:rsidR="00531387" w:rsidRPr="00725763">
        <w:rPr>
          <w:rFonts w:asciiTheme="majorHAnsi" w:hAnsiTheme="majorHAnsi" w:cstheme="majorHAnsi"/>
          <w:sz w:val="24"/>
          <w:szCs w:val="24"/>
        </w:rPr>
        <w:t xml:space="preserve"> and</w:t>
      </w:r>
      <w:r w:rsidR="00161DF6" w:rsidRPr="00725763">
        <w:rPr>
          <w:rFonts w:asciiTheme="majorHAnsi" w:hAnsiTheme="majorHAnsi" w:cstheme="majorHAnsi"/>
          <w:sz w:val="24"/>
          <w:szCs w:val="24"/>
        </w:rPr>
        <w:t xml:space="preserve"> extracurricular activities</w:t>
      </w:r>
      <w:r w:rsidR="00EC2C83" w:rsidRPr="00725763">
        <w:rPr>
          <w:rFonts w:asciiTheme="majorHAnsi" w:hAnsiTheme="majorHAnsi" w:cstheme="majorHAnsi"/>
          <w:sz w:val="24"/>
          <w:szCs w:val="24"/>
        </w:rPr>
        <w:t>; whilst also including non-academic activities and the hidden curriculum. (Wiles, 2009, p.2)</w:t>
      </w:r>
      <w:r w:rsidR="00D039F6" w:rsidRPr="00725763">
        <w:rPr>
          <w:rFonts w:asciiTheme="majorHAnsi" w:hAnsiTheme="majorHAnsi" w:cstheme="majorHAnsi"/>
          <w:sz w:val="24"/>
          <w:szCs w:val="24"/>
        </w:rPr>
        <w:t>.</w:t>
      </w:r>
      <w:r w:rsidR="00B02D13">
        <w:rPr>
          <w:rFonts w:asciiTheme="majorHAnsi" w:hAnsiTheme="majorHAnsi" w:cstheme="majorHAnsi"/>
          <w:sz w:val="24"/>
          <w:szCs w:val="24"/>
        </w:rPr>
        <w:t xml:space="preserve"> The higher education curriculum is largely a product based curriculum with students receiving an undergraduate or postgraduate qualification at the end of their study.</w:t>
      </w:r>
    </w:p>
    <w:p w14:paraId="694CC756" w14:textId="69B839B9" w:rsidR="00D039F6" w:rsidRDefault="00D039F6" w:rsidP="00C85F5F">
      <w:pPr>
        <w:spacing w:line="360" w:lineRule="auto"/>
        <w:ind w:firstLine="720"/>
        <w:rPr>
          <w:rFonts w:asciiTheme="majorHAnsi" w:hAnsiTheme="majorHAnsi" w:cstheme="majorHAnsi"/>
          <w:sz w:val="24"/>
          <w:szCs w:val="24"/>
        </w:rPr>
      </w:pPr>
      <w:r w:rsidRPr="00725763">
        <w:rPr>
          <w:rFonts w:asciiTheme="majorHAnsi" w:hAnsiTheme="majorHAnsi" w:cstheme="majorHAnsi"/>
          <w:sz w:val="24"/>
          <w:szCs w:val="24"/>
        </w:rPr>
        <w:t xml:space="preserve">Part of the hidden curriculum is Inclusivity. Inclusivity </w:t>
      </w:r>
      <w:r w:rsidR="00195219" w:rsidRPr="00725763">
        <w:rPr>
          <w:rFonts w:asciiTheme="majorHAnsi" w:hAnsiTheme="majorHAnsi" w:cstheme="majorHAnsi"/>
          <w:sz w:val="24"/>
          <w:szCs w:val="24"/>
        </w:rPr>
        <w:t>is very important in today</w:t>
      </w:r>
      <w:r w:rsidR="00725763" w:rsidRPr="00725763">
        <w:rPr>
          <w:rFonts w:asciiTheme="majorHAnsi" w:hAnsiTheme="majorHAnsi" w:cstheme="majorHAnsi"/>
          <w:sz w:val="24"/>
          <w:szCs w:val="24"/>
        </w:rPr>
        <w:t xml:space="preserve">’s society </w:t>
      </w:r>
      <w:r w:rsidR="00C42201">
        <w:rPr>
          <w:rFonts w:asciiTheme="majorHAnsi" w:hAnsiTheme="majorHAnsi" w:cstheme="majorHAnsi"/>
          <w:sz w:val="24"/>
          <w:szCs w:val="24"/>
        </w:rPr>
        <w:t xml:space="preserve">as the UK becomes </w:t>
      </w:r>
      <w:r w:rsidR="007C36DF">
        <w:rPr>
          <w:rFonts w:asciiTheme="majorHAnsi" w:hAnsiTheme="majorHAnsi" w:cstheme="majorHAnsi"/>
          <w:sz w:val="24"/>
          <w:szCs w:val="24"/>
        </w:rPr>
        <w:t xml:space="preserve">more culturally diverse </w:t>
      </w:r>
      <w:r w:rsidR="00472D8A">
        <w:rPr>
          <w:rFonts w:asciiTheme="majorHAnsi" w:hAnsiTheme="majorHAnsi" w:cstheme="majorHAnsi"/>
          <w:sz w:val="24"/>
          <w:szCs w:val="24"/>
        </w:rPr>
        <w:t xml:space="preserve">(ECU, 2013 </w:t>
      </w:r>
      <w:r w:rsidR="00472D8A" w:rsidRPr="00C85F5F">
        <w:rPr>
          <w:rFonts w:asciiTheme="majorHAnsi" w:hAnsiTheme="majorHAnsi" w:cstheme="majorHAnsi"/>
          <w:i/>
          <w:sz w:val="24"/>
          <w:szCs w:val="24"/>
        </w:rPr>
        <w:t>cited in</w:t>
      </w:r>
      <w:r w:rsidR="00472D8A">
        <w:rPr>
          <w:rFonts w:asciiTheme="majorHAnsi" w:hAnsiTheme="majorHAnsi" w:cstheme="majorHAnsi"/>
          <w:sz w:val="24"/>
          <w:szCs w:val="24"/>
        </w:rPr>
        <w:t xml:space="preserve"> Hutchings, 2018) </w:t>
      </w:r>
      <w:r w:rsidR="007C36DF">
        <w:rPr>
          <w:rFonts w:asciiTheme="majorHAnsi" w:hAnsiTheme="majorHAnsi" w:cstheme="majorHAnsi"/>
          <w:sz w:val="24"/>
          <w:szCs w:val="24"/>
        </w:rPr>
        <w:t xml:space="preserve">and </w:t>
      </w:r>
      <w:r w:rsidR="00D87C73">
        <w:rPr>
          <w:rFonts w:asciiTheme="majorHAnsi" w:hAnsiTheme="majorHAnsi" w:cstheme="majorHAnsi"/>
          <w:sz w:val="24"/>
          <w:szCs w:val="24"/>
        </w:rPr>
        <w:t xml:space="preserve">aims to be </w:t>
      </w:r>
      <w:r w:rsidR="007C36DF">
        <w:rPr>
          <w:rFonts w:asciiTheme="majorHAnsi" w:hAnsiTheme="majorHAnsi" w:cstheme="majorHAnsi"/>
          <w:sz w:val="24"/>
          <w:szCs w:val="24"/>
        </w:rPr>
        <w:t>more universally accepting of people who are different.</w:t>
      </w:r>
      <w:r w:rsidR="00D87C73">
        <w:rPr>
          <w:rFonts w:asciiTheme="majorHAnsi" w:hAnsiTheme="majorHAnsi" w:cstheme="majorHAnsi"/>
          <w:sz w:val="24"/>
          <w:szCs w:val="24"/>
        </w:rPr>
        <w:t xml:space="preserve"> Inclusion </w:t>
      </w:r>
      <w:r w:rsidR="006A6F40">
        <w:rPr>
          <w:rFonts w:asciiTheme="majorHAnsi" w:hAnsiTheme="majorHAnsi" w:cstheme="majorHAnsi"/>
          <w:sz w:val="24"/>
          <w:szCs w:val="24"/>
        </w:rPr>
        <w:t>with</w:t>
      </w:r>
      <w:r w:rsidR="00D87C73">
        <w:rPr>
          <w:rFonts w:asciiTheme="majorHAnsi" w:hAnsiTheme="majorHAnsi" w:cstheme="majorHAnsi"/>
          <w:sz w:val="24"/>
          <w:szCs w:val="24"/>
        </w:rPr>
        <w:t>in an education</w:t>
      </w:r>
      <w:r w:rsidR="005C6845">
        <w:rPr>
          <w:rFonts w:asciiTheme="majorHAnsi" w:hAnsiTheme="majorHAnsi" w:cstheme="majorHAnsi"/>
          <w:sz w:val="24"/>
          <w:szCs w:val="24"/>
        </w:rPr>
        <w:t>al</w:t>
      </w:r>
      <w:r w:rsidR="00D87C73">
        <w:rPr>
          <w:rFonts w:asciiTheme="majorHAnsi" w:hAnsiTheme="majorHAnsi" w:cstheme="majorHAnsi"/>
          <w:sz w:val="24"/>
          <w:szCs w:val="24"/>
        </w:rPr>
        <w:t xml:space="preserve"> context can be defined as every person learning together in a mainstream environment</w:t>
      </w:r>
      <w:r w:rsidR="00995E84">
        <w:rPr>
          <w:rFonts w:asciiTheme="majorHAnsi" w:hAnsiTheme="majorHAnsi" w:cstheme="majorHAnsi"/>
          <w:sz w:val="24"/>
          <w:szCs w:val="24"/>
        </w:rPr>
        <w:t xml:space="preserve"> (ALLFIE, 2018).</w:t>
      </w:r>
      <w:r w:rsidR="005C6845">
        <w:rPr>
          <w:rFonts w:asciiTheme="majorHAnsi" w:hAnsiTheme="majorHAnsi" w:cstheme="majorHAnsi"/>
          <w:sz w:val="24"/>
          <w:szCs w:val="24"/>
        </w:rPr>
        <w:t xml:space="preserve"> Current inclusive practice within the education system (when focusing on disability) can actually be better defined as segregation due to </w:t>
      </w:r>
      <w:r w:rsidR="00BA5DAC">
        <w:rPr>
          <w:rFonts w:asciiTheme="majorHAnsi" w:hAnsiTheme="majorHAnsi" w:cstheme="majorHAnsi"/>
          <w:sz w:val="24"/>
          <w:szCs w:val="24"/>
        </w:rPr>
        <w:t>students</w:t>
      </w:r>
      <w:r w:rsidR="003A1754">
        <w:rPr>
          <w:rFonts w:asciiTheme="majorHAnsi" w:hAnsiTheme="majorHAnsi" w:cstheme="majorHAnsi"/>
          <w:sz w:val="24"/>
          <w:szCs w:val="24"/>
        </w:rPr>
        <w:t xml:space="preserve"> being kept in special needs facilities and special needs schools and not integrated with non-disabled students</w:t>
      </w:r>
      <w:r w:rsidR="009D3D4E">
        <w:rPr>
          <w:rFonts w:asciiTheme="majorHAnsi" w:hAnsiTheme="majorHAnsi" w:cstheme="majorHAnsi"/>
          <w:sz w:val="24"/>
          <w:szCs w:val="24"/>
        </w:rPr>
        <w:t xml:space="preserve"> (providing they have the correct level of additional support)</w:t>
      </w:r>
      <w:r w:rsidR="003A1754">
        <w:rPr>
          <w:rFonts w:asciiTheme="majorHAnsi" w:hAnsiTheme="majorHAnsi" w:cstheme="majorHAnsi"/>
          <w:sz w:val="24"/>
          <w:szCs w:val="24"/>
        </w:rPr>
        <w:t xml:space="preserve"> (ALLFIE, 2018).</w:t>
      </w:r>
      <w:r w:rsidR="009A1A41">
        <w:rPr>
          <w:rFonts w:asciiTheme="majorHAnsi" w:hAnsiTheme="majorHAnsi" w:cstheme="majorHAnsi"/>
          <w:sz w:val="24"/>
          <w:szCs w:val="24"/>
        </w:rPr>
        <w:t xml:space="preserve"> It is extremely important for any curriculum to be designed in a way that allows for success for all</w:t>
      </w:r>
    </w:p>
    <w:p w14:paraId="60F3A2B3" w14:textId="27F66F2F" w:rsidR="008C460F" w:rsidRPr="008C460F" w:rsidRDefault="008C460F" w:rsidP="008C460F">
      <w:pPr>
        <w:spacing w:line="360" w:lineRule="auto"/>
        <w:ind w:firstLine="720"/>
        <w:jc w:val="center"/>
        <w:rPr>
          <w:rFonts w:asciiTheme="majorHAnsi" w:hAnsiTheme="majorHAnsi" w:cstheme="majorHAnsi"/>
          <w:sz w:val="20"/>
          <w:szCs w:val="20"/>
        </w:rPr>
      </w:pPr>
      <w:r w:rsidRPr="00635502">
        <w:rPr>
          <w:rFonts w:asciiTheme="majorHAnsi" w:hAnsiTheme="majorHAnsi" w:cstheme="majorHAnsi"/>
          <w:i/>
          <w:sz w:val="20"/>
          <w:szCs w:val="20"/>
        </w:rPr>
        <w:t>‘The basic principle that can and should be universally responded to is that it is attitudes, barriers and other forms of discrimination within the system rather than individual characteristics or deficits that are the cause of disadvantage’</w:t>
      </w:r>
      <w:r>
        <w:rPr>
          <w:rFonts w:asciiTheme="majorHAnsi" w:hAnsiTheme="majorHAnsi" w:cstheme="majorHAnsi"/>
          <w:sz w:val="20"/>
          <w:szCs w:val="20"/>
        </w:rPr>
        <w:t xml:space="preserve"> (Morgan &amp; Houghton, 2011).</w:t>
      </w:r>
    </w:p>
    <w:p w14:paraId="56E376E8" w14:textId="3E7721E9" w:rsidR="003A1754" w:rsidRDefault="00450674" w:rsidP="00C85F5F">
      <w:pPr>
        <w:spacing w:line="360" w:lineRule="auto"/>
        <w:ind w:firstLine="720"/>
        <w:rPr>
          <w:rFonts w:asciiTheme="majorHAnsi" w:hAnsiTheme="majorHAnsi" w:cstheme="majorHAnsi"/>
          <w:sz w:val="24"/>
          <w:szCs w:val="24"/>
        </w:rPr>
      </w:pPr>
      <w:r>
        <w:rPr>
          <w:rFonts w:asciiTheme="majorHAnsi" w:hAnsiTheme="majorHAnsi" w:cstheme="majorHAnsi"/>
          <w:sz w:val="24"/>
          <w:szCs w:val="24"/>
        </w:rPr>
        <w:t>This paper will focus on c</w:t>
      </w:r>
      <w:r w:rsidR="005A4231">
        <w:rPr>
          <w:rFonts w:asciiTheme="majorHAnsi" w:hAnsiTheme="majorHAnsi" w:cstheme="majorHAnsi"/>
          <w:sz w:val="24"/>
          <w:szCs w:val="24"/>
        </w:rPr>
        <w:t>ritically analysing the strategies in place that promote inclusivity within the UK higher education curriculum</w:t>
      </w:r>
      <w:r w:rsidR="00D31A13">
        <w:rPr>
          <w:rFonts w:asciiTheme="majorHAnsi" w:hAnsiTheme="majorHAnsi" w:cstheme="majorHAnsi"/>
          <w:sz w:val="24"/>
          <w:szCs w:val="24"/>
        </w:rPr>
        <w:t>.</w:t>
      </w:r>
      <w:r w:rsidR="001A396D">
        <w:rPr>
          <w:rFonts w:asciiTheme="majorHAnsi" w:hAnsiTheme="majorHAnsi" w:cstheme="majorHAnsi"/>
          <w:sz w:val="24"/>
          <w:szCs w:val="24"/>
        </w:rPr>
        <w:t xml:space="preserve"> It will focus on three main strategies</w:t>
      </w:r>
      <w:r w:rsidR="00FB3434">
        <w:rPr>
          <w:rFonts w:asciiTheme="majorHAnsi" w:hAnsiTheme="majorHAnsi" w:cstheme="majorHAnsi"/>
          <w:sz w:val="24"/>
          <w:szCs w:val="24"/>
        </w:rPr>
        <w:t>:</w:t>
      </w:r>
    </w:p>
    <w:p w14:paraId="7B5CAD66" w14:textId="6482FD1C" w:rsidR="00FB3434" w:rsidRDefault="00FB3434" w:rsidP="00FB3434">
      <w:pPr>
        <w:pStyle w:val="ListParagraph"/>
        <w:numPr>
          <w:ilvl w:val="0"/>
          <w:numId w:val="8"/>
        </w:numPr>
        <w:spacing w:line="360" w:lineRule="auto"/>
        <w:rPr>
          <w:rFonts w:asciiTheme="majorHAnsi" w:hAnsiTheme="majorHAnsi" w:cstheme="majorHAnsi"/>
          <w:sz w:val="24"/>
          <w:szCs w:val="24"/>
        </w:rPr>
      </w:pPr>
      <w:r>
        <w:rPr>
          <w:rFonts w:asciiTheme="majorHAnsi" w:hAnsiTheme="majorHAnsi" w:cstheme="majorHAnsi"/>
          <w:sz w:val="24"/>
          <w:szCs w:val="24"/>
        </w:rPr>
        <w:t>Inclusive practise</w:t>
      </w:r>
    </w:p>
    <w:p w14:paraId="1034FB02" w14:textId="5C8F52DA" w:rsidR="00FB3434" w:rsidRDefault="00FB3434" w:rsidP="00FB3434">
      <w:pPr>
        <w:pStyle w:val="ListParagraph"/>
        <w:numPr>
          <w:ilvl w:val="0"/>
          <w:numId w:val="8"/>
        </w:numPr>
        <w:spacing w:line="360" w:lineRule="auto"/>
        <w:rPr>
          <w:rFonts w:asciiTheme="majorHAnsi" w:hAnsiTheme="majorHAnsi" w:cstheme="majorHAnsi"/>
          <w:sz w:val="24"/>
          <w:szCs w:val="24"/>
        </w:rPr>
      </w:pPr>
      <w:r>
        <w:rPr>
          <w:rFonts w:asciiTheme="majorHAnsi" w:hAnsiTheme="majorHAnsi" w:cstheme="majorHAnsi"/>
          <w:sz w:val="24"/>
          <w:szCs w:val="24"/>
        </w:rPr>
        <w:t>Widening participation</w:t>
      </w:r>
    </w:p>
    <w:p w14:paraId="016A582E" w14:textId="580977B8" w:rsidR="00FB3434" w:rsidRPr="00FB3434" w:rsidRDefault="00FB3434" w:rsidP="00FB3434">
      <w:pPr>
        <w:pStyle w:val="ListParagraph"/>
        <w:numPr>
          <w:ilvl w:val="0"/>
          <w:numId w:val="8"/>
        </w:numPr>
        <w:spacing w:line="360" w:lineRule="auto"/>
        <w:rPr>
          <w:rFonts w:asciiTheme="majorHAnsi" w:hAnsiTheme="majorHAnsi" w:cstheme="majorHAnsi"/>
          <w:sz w:val="24"/>
          <w:szCs w:val="24"/>
        </w:rPr>
      </w:pPr>
      <w:r>
        <w:rPr>
          <w:rFonts w:asciiTheme="majorHAnsi" w:hAnsiTheme="majorHAnsi" w:cstheme="majorHAnsi"/>
          <w:sz w:val="24"/>
          <w:szCs w:val="24"/>
        </w:rPr>
        <w:t>Differentiation</w:t>
      </w:r>
    </w:p>
    <w:p w14:paraId="294E0F8C" w14:textId="1CF13F8E" w:rsidR="00216C50" w:rsidRDefault="00CE2A61" w:rsidP="00C85F5F">
      <w:pPr>
        <w:spacing w:line="360" w:lineRule="auto"/>
        <w:ind w:firstLine="720"/>
        <w:rPr>
          <w:rFonts w:asciiTheme="majorHAnsi" w:hAnsiTheme="majorHAnsi" w:cstheme="majorHAnsi"/>
          <w:sz w:val="24"/>
          <w:szCs w:val="24"/>
        </w:rPr>
      </w:pPr>
      <w:r>
        <w:rPr>
          <w:rFonts w:asciiTheme="majorHAnsi" w:hAnsiTheme="majorHAnsi" w:cstheme="majorHAnsi"/>
          <w:sz w:val="24"/>
          <w:szCs w:val="24"/>
        </w:rPr>
        <w:t>Higher education (along with further education)</w:t>
      </w:r>
      <w:r w:rsidR="00C42E38">
        <w:rPr>
          <w:rFonts w:asciiTheme="majorHAnsi" w:hAnsiTheme="majorHAnsi" w:cstheme="majorHAnsi"/>
          <w:sz w:val="24"/>
          <w:szCs w:val="24"/>
        </w:rPr>
        <w:t xml:space="preserve"> generally has a greater level of diversity that schools. This is </w:t>
      </w:r>
      <w:r w:rsidR="00D5787B">
        <w:rPr>
          <w:rFonts w:asciiTheme="majorHAnsi" w:hAnsiTheme="majorHAnsi" w:cstheme="majorHAnsi"/>
          <w:sz w:val="24"/>
          <w:szCs w:val="24"/>
        </w:rPr>
        <w:t xml:space="preserve">partly </w:t>
      </w:r>
      <w:r w:rsidR="00C42E38">
        <w:rPr>
          <w:rFonts w:asciiTheme="majorHAnsi" w:hAnsiTheme="majorHAnsi" w:cstheme="majorHAnsi"/>
          <w:sz w:val="24"/>
          <w:szCs w:val="24"/>
        </w:rPr>
        <w:t xml:space="preserve">due to </w:t>
      </w:r>
      <w:r w:rsidR="00D5787B">
        <w:rPr>
          <w:rFonts w:asciiTheme="majorHAnsi" w:hAnsiTheme="majorHAnsi" w:cstheme="majorHAnsi"/>
          <w:sz w:val="24"/>
          <w:szCs w:val="24"/>
        </w:rPr>
        <w:t xml:space="preserve">more people being able to attend as there is not a small bracket of age requirements. Also, </w:t>
      </w:r>
      <w:r w:rsidR="003674EC">
        <w:rPr>
          <w:rFonts w:asciiTheme="majorHAnsi" w:hAnsiTheme="majorHAnsi" w:cstheme="majorHAnsi"/>
          <w:sz w:val="24"/>
          <w:szCs w:val="24"/>
        </w:rPr>
        <w:t xml:space="preserve">some people travel across the world to go to a </w:t>
      </w:r>
      <w:r w:rsidR="003674EC">
        <w:rPr>
          <w:rFonts w:asciiTheme="majorHAnsi" w:hAnsiTheme="majorHAnsi" w:cstheme="majorHAnsi"/>
          <w:sz w:val="24"/>
          <w:szCs w:val="24"/>
        </w:rPr>
        <w:lastRenderedPageBreak/>
        <w:t>specific university where this is less likely to happen with primary and secondary schools. This means that higher education facilities have a greater responsibility to promote inclusivity within their establishments</w:t>
      </w:r>
      <w:r w:rsidR="00D1152B">
        <w:rPr>
          <w:rFonts w:asciiTheme="majorHAnsi" w:hAnsiTheme="majorHAnsi" w:cstheme="majorHAnsi"/>
          <w:sz w:val="24"/>
          <w:szCs w:val="24"/>
        </w:rPr>
        <w:t xml:space="preserve">. </w:t>
      </w:r>
      <w:r w:rsidR="007F774F">
        <w:rPr>
          <w:rFonts w:asciiTheme="majorHAnsi" w:hAnsiTheme="majorHAnsi" w:cstheme="majorHAnsi"/>
          <w:sz w:val="24"/>
          <w:szCs w:val="24"/>
        </w:rPr>
        <w:t>Fortunately,</w:t>
      </w:r>
      <w:r w:rsidR="00EB46A4">
        <w:rPr>
          <w:rFonts w:asciiTheme="majorHAnsi" w:hAnsiTheme="majorHAnsi" w:cstheme="majorHAnsi"/>
          <w:sz w:val="24"/>
          <w:szCs w:val="24"/>
        </w:rPr>
        <w:t xml:space="preserve"> there are</w:t>
      </w:r>
      <w:r w:rsidR="007F774F">
        <w:rPr>
          <w:rFonts w:asciiTheme="majorHAnsi" w:hAnsiTheme="majorHAnsi" w:cstheme="majorHAnsi"/>
          <w:sz w:val="24"/>
          <w:szCs w:val="24"/>
        </w:rPr>
        <w:t xml:space="preserve"> certain</w:t>
      </w:r>
      <w:r w:rsidR="00EB46A4">
        <w:rPr>
          <w:rFonts w:asciiTheme="majorHAnsi" w:hAnsiTheme="majorHAnsi" w:cstheme="majorHAnsi"/>
          <w:sz w:val="24"/>
          <w:szCs w:val="24"/>
        </w:rPr>
        <w:t xml:space="preserve"> policies that have been put in place by the UK government that </w:t>
      </w:r>
      <w:r w:rsidR="007F774F">
        <w:rPr>
          <w:rFonts w:asciiTheme="majorHAnsi" w:hAnsiTheme="majorHAnsi" w:cstheme="majorHAnsi"/>
          <w:sz w:val="24"/>
          <w:szCs w:val="24"/>
        </w:rPr>
        <w:t>force</w:t>
      </w:r>
      <w:r w:rsidR="00EB46A4">
        <w:rPr>
          <w:rFonts w:asciiTheme="majorHAnsi" w:hAnsiTheme="majorHAnsi" w:cstheme="majorHAnsi"/>
          <w:sz w:val="24"/>
          <w:szCs w:val="24"/>
        </w:rPr>
        <w:t xml:space="preserve"> higher education facilities to be more inclusive</w:t>
      </w:r>
      <w:r w:rsidR="007F774F">
        <w:rPr>
          <w:rFonts w:asciiTheme="majorHAnsi" w:hAnsiTheme="majorHAnsi" w:cstheme="majorHAnsi"/>
          <w:sz w:val="24"/>
          <w:szCs w:val="24"/>
        </w:rPr>
        <w:t>.</w:t>
      </w:r>
    </w:p>
    <w:p w14:paraId="141A716D" w14:textId="70B673F7" w:rsidR="007F774F" w:rsidRDefault="007F774F" w:rsidP="00F50BF8">
      <w:pPr>
        <w:spacing w:line="360" w:lineRule="auto"/>
        <w:ind w:firstLine="360"/>
        <w:rPr>
          <w:rFonts w:asciiTheme="majorHAnsi" w:hAnsiTheme="majorHAnsi" w:cstheme="majorHAnsi"/>
          <w:sz w:val="24"/>
          <w:szCs w:val="24"/>
        </w:rPr>
      </w:pPr>
      <w:r>
        <w:rPr>
          <w:rFonts w:asciiTheme="majorHAnsi" w:hAnsiTheme="majorHAnsi" w:cstheme="majorHAnsi"/>
          <w:sz w:val="24"/>
          <w:szCs w:val="24"/>
        </w:rPr>
        <w:t xml:space="preserve">The </w:t>
      </w:r>
      <w:r w:rsidR="0026315E">
        <w:rPr>
          <w:rFonts w:asciiTheme="majorHAnsi" w:hAnsiTheme="majorHAnsi" w:cstheme="majorHAnsi"/>
          <w:sz w:val="24"/>
          <w:szCs w:val="24"/>
        </w:rPr>
        <w:t xml:space="preserve">Equality Act 2010 (UK Gov) is a piece of legislation </w:t>
      </w:r>
      <w:r w:rsidR="00463BC7">
        <w:rPr>
          <w:rFonts w:asciiTheme="majorHAnsi" w:hAnsiTheme="majorHAnsi" w:cstheme="majorHAnsi"/>
          <w:sz w:val="24"/>
          <w:szCs w:val="24"/>
        </w:rPr>
        <w:t>that protects people that exhibit what they call “characteristics”. These characteristics include:</w:t>
      </w:r>
    </w:p>
    <w:p w14:paraId="4B672826" w14:textId="31CCFFD5" w:rsidR="009A1A41" w:rsidRDefault="009A1A41" w:rsidP="00C85F5F">
      <w:pPr>
        <w:spacing w:line="360" w:lineRule="auto"/>
        <w:ind w:firstLine="360"/>
        <w:rPr>
          <w:rFonts w:asciiTheme="majorHAnsi" w:hAnsiTheme="majorHAnsi" w:cstheme="majorHAnsi"/>
          <w:sz w:val="24"/>
          <w:szCs w:val="24"/>
        </w:rPr>
      </w:pPr>
      <w:r w:rsidRPr="0034165E">
        <w:rPr>
          <w:rFonts w:asciiTheme="majorHAnsi" w:hAnsiTheme="majorHAnsi" w:cstheme="majorHAnsi"/>
          <w:noProof/>
          <w:sz w:val="24"/>
          <w:szCs w:val="24"/>
          <w:lang w:eastAsia="en-GB"/>
        </w:rPr>
        <mc:AlternateContent>
          <mc:Choice Requires="wps">
            <w:drawing>
              <wp:anchor distT="0" distB="0" distL="114300" distR="114300" simplePos="0" relativeHeight="251661312" behindDoc="0" locked="0" layoutInCell="1" allowOverlap="1" wp14:anchorId="32376748" wp14:editId="207F5A0F">
                <wp:simplePos x="0" y="0"/>
                <wp:positionH relativeFrom="page">
                  <wp:align>right</wp:align>
                </wp:positionH>
                <wp:positionV relativeFrom="paragraph">
                  <wp:posOffset>3175</wp:posOffset>
                </wp:positionV>
                <wp:extent cx="2801620" cy="1138555"/>
                <wp:effectExtent l="0" t="0" r="0" b="0"/>
                <wp:wrapNone/>
                <wp:docPr id="1" name="TextBox 4">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2801620" cy="1138555"/>
                        </a:xfrm>
                        <a:prstGeom prst="rect">
                          <a:avLst/>
                        </a:prstGeom>
                        <a:noFill/>
                      </wps:spPr>
                      <wps:txbx>
                        <w:txbxContent>
                          <w:p w14:paraId="44F932AE" w14:textId="77777777" w:rsidR="0034165E" w:rsidRPr="0034165E" w:rsidRDefault="0034165E" w:rsidP="0034165E">
                            <w:pPr>
                              <w:pStyle w:val="ListParagraph"/>
                              <w:numPr>
                                <w:ilvl w:val="0"/>
                                <w:numId w:val="4"/>
                              </w:numPr>
                              <w:spacing w:after="0" w:line="360" w:lineRule="auto"/>
                              <w:rPr>
                                <w:rFonts w:eastAsia="Times New Roman"/>
                                <w:sz w:val="24"/>
                                <w:szCs w:val="24"/>
                              </w:rPr>
                            </w:pPr>
                            <w:r w:rsidRPr="0034165E">
                              <w:rPr>
                                <w:rFonts w:ascii="Calibri Light" w:hAnsi="Calibri Light" w:cs="Calibri Light"/>
                                <w:color w:val="000000" w:themeColor="text1"/>
                                <w:kern w:val="24"/>
                                <w:sz w:val="24"/>
                                <w:szCs w:val="24"/>
                              </w:rPr>
                              <w:t>Religion or belief</w:t>
                            </w:r>
                          </w:p>
                          <w:p w14:paraId="271A12C8" w14:textId="77777777" w:rsidR="0034165E" w:rsidRPr="0034165E" w:rsidRDefault="0034165E" w:rsidP="0034165E">
                            <w:pPr>
                              <w:pStyle w:val="ListParagraph"/>
                              <w:numPr>
                                <w:ilvl w:val="0"/>
                                <w:numId w:val="4"/>
                              </w:numPr>
                              <w:spacing w:after="0" w:line="360" w:lineRule="auto"/>
                              <w:rPr>
                                <w:rFonts w:eastAsia="Times New Roman"/>
                                <w:sz w:val="24"/>
                                <w:szCs w:val="24"/>
                              </w:rPr>
                            </w:pPr>
                            <w:r w:rsidRPr="0034165E">
                              <w:rPr>
                                <w:rFonts w:ascii="Calibri Light" w:hAnsi="Calibri Light" w:cs="Calibri Light"/>
                                <w:color w:val="000000" w:themeColor="text1"/>
                                <w:kern w:val="24"/>
                                <w:sz w:val="24"/>
                                <w:szCs w:val="24"/>
                              </w:rPr>
                              <w:t>Sex</w:t>
                            </w:r>
                          </w:p>
                          <w:p w14:paraId="2E4F46C4" w14:textId="77777777" w:rsidR="0034165E" w:rsidRPr="0034165E" w:rsidRDefault="0034165E" w:rsidP="0034165E">
                            <w:pPr>
                              <w:pStyle w:val="ListParagraph"/>
                              <w:numPr>
                                <w:ilvl w:val="0"/>
                                <w:numId w:val="4"/>
                              </w:numPr>
                              <w:spacing w:after="0" w:line="360" w:lineRule="auto"/>
                              <w:rPr>
                                <w:rFonts w:eastAsia="Times New Roman"/>
                                <w:sz w:val="24"/>
                                <w:szCs w:val="24"/>
                              </w:rPr>
                            </w:pPr>
                            <w:r w:rsidRPr="0034165E">
                              <w:rPr>
                                <w:rFonts w:ascii="Calibri Light" w:hAnsi="Calibri Light" w:cs="Calibri Light"/>
                                <w:color w:val="000000" w:themeColor="text1"/>
                                <w:kern w:val="24"/>
                                <w:sz w:val="24"/>
                                <w:szCs w:val="24"/>
                              </w:rPr>
                              <w:t>Sexual orientation</w:t>
                            </w:r>
                          </w:p>
                        </w:txbxContent>
                      </wps:txbx>
                      <wps:bodyPr wrap="square" rtlCol="0">
                        <a:spAutoFit/>
                      </wps:bodyPr>
                    </wps:wsp>
                  </a:graphicData>
                </a:graphic>
              </wp:anchor>
            </w:drawing>
          </mc:Choice>
          <mc:Fallback>
            <w:pict>
              <v:shapetype w14:anchorId="32376748" id="_x0000_t202" coordsize="21600,21600" o:spt="202" path="m,l,21600r21600,l21600,xe">
                <v:stroke joinstyle="miter"/>
                <v:path gradientshapeok="t" o:connecttype="rect"/>
              </v:shapetype>
              <v:shape id="TextBox 4" o:spid="_x0000_s1026" type="#_x0000_t202" style="position:absolute;left:0;text-align:left;margin-left:169.4pt;margin-top:.25pt;width:220.6pt;height:89.65pt;z-index:25166131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6UunAEAACQDAAAOAAAAZHJzL2Uyb0RvYy54bWysUstu2zAQvBfIPxC8x5TcOjAEy0HSIL0U&#10;bYGkH0BTpEVA5DJc2pL/vktacYL0VvTCxz6GM7Pc3E5uYEcd0YJveb2oONNeQWf9vuW/nx+v15xh&#10;kr6TA3jd8pNGfru9+rQZQ6OX0MPQ6cgIxGMzhpb3KYVGCFS9dhIXELSnpIHoZKJr3IsuypHQ3SCW&#10;VXUjRohdiKA0IkUfzkm+LfjGaJV+GoM6saHlxC2VNZZ1l1ex3chmH2XorZppyH9g4aT19OgF6kEm&#10;yQ7R/gXlrIqAYNJCgRNgjFW6aCA1dfVBzVMvgy5ayBwMF5vw/8GqH8dfkdmOZseZl45G9KyndA8T&#10;+1IE0eU7JrJJjAGbUp7NLcenQL1pouLcTjU5jhTMTkwmuryTRkZ5Mv90MZxAmaLgcl3VN0tKKcrV&#10;9ef1arXKOOKtPURM3zQ4lg8tjzTRwkseZ1qyeS3Jr3l4tMPwSvfMJbNK026aCe6gOxHvkYbecnw5&#10;yKg5i2n4CuWPZBQMd4dESBfd557ZBBpFoTh/mzzr9/dS9fa5t38AAAD//wMAUEsDBBQABgAIAAAA&#10;IQCi1VIR2gAAAAUBAAAPAAAAZHJzL2Rvd25yZXYueG1sTI/NTsMwEITvSLyDtUjcqJOqhRLiVBU/&#10;EgculHDfxkscEdtRvG3St2c5wXE0o5lvyu3se3WiMXUxGMgXGSgKTbRdaA3UHy83G1CJMVjsYyAD&#10;Z0qwrS4vSixsnMI7nfbcKikJqUADjnkotE6NI49pEQcK4n3F0SOLHFttR5yk3Pd6mWW32mMXZMHh&#10;QI+Omu/90Rtgtrv8XD/79Po5vz1NLmvWWBtzfTXvHkAxzfwXhl98QYdKmA7xGGxSvQE5wgbWoMRb&#10;rfIlqIOE7u43oKtS/6evfgAAAP//AwBQSwECLQAUAAYACAAAACEAtoM4kv4AAADhAQAAEwAAAAAA&#10;AAAAAAAAAAAAAAAAW0NvbnRlbnRfVHlwZXNdLnhtbFBLAQItABQABgAIAAAAIQA4/SH/1gAAAJQB&#10;AAALAAAAAAAAAAAAAAAAAC8BAABfcmVscy8ucmVsc1BLAQItABQABgAIAAAAIQCLr6UunAEAACQD&#10;AAAOAAAAAAAAAAAAAAAAAC4CAABkcnMvZTJvRG9jLnhtbFBLAQItABQABgAIAAAAIQCi1VIR2gAA&#10;AAUBAAAPAAAAAAAAAAAAAAAAAPYDAABkcnMvZG93bnJldi54bWxQSwUGAAAAAAQABADzAAAA/QQA&#10;AAAA&#10;" filled="f" stroked="f">
                <v:textbox style="mso-fit-shape-to-text:t">
                  <w:txbxContent>
                    <w:p w14:paraId="44F932AE" w14:textId="77777777" w:rsidR="0034165E" w:rsidRPr="0034165E" w:rsidRDefault="0034165E" w:rsidP="0034165E">
                      <w:pPr>
                        <w:pStyle w:val="ListParagraph"/>
                        <w:numPr>
                          <w:ilvl w:val="0"/>
                          <w:numId w:val="4"/>
                        </w:numPr>
                        <w:spacing w:after="0" w:line="360" w:lineRule="auto"/>
                        <w:rPr>
                          <w:rFonts w:eastAsia="Times New Roman"/>
                          <w:sz w:val="24"/>
                          <w:szCs w:val="24"/>
                        </w:rPr>
                      </w:pPr>
                      <w:r w:rsidRPr="0034165E">
                        <w:rPr>
                          <w:rFonts w:ascii="Calibri Light" w:hAnsi="Calibri Light" w:cs="Calibri Light"/>
                          <w:color w:val="000000" w:themeColor="text1"/>
                          <w:kern w:val="24"/>
                          <w:sz w:val="24"/>
                          <w:szCs w:val="24"/>
                        </w:rPr>
                        <w:t>Religion or belief</w:t>
                      </w:r>
                    </w:p>
                    <w:p w14:paraId="271A12C8" w14:textId="77777777" w:rsidR="0034165E" w:rsidRPr="0034165E" w:rsidRDefault="0034165E" w:rsidP="0034165E">
                      <w:pPr>
                        <w:pStyle w:val="ListParagraph"/>
                        <w:numPr>
                          <w:ilvl w:val="0"/>
                          <w:numId w:val="4"/>
                        </w:numPr>
                        <w:spacing w:after="0" w:line="360" w:lineRule="auto"/>
                        <w:rPr>
                          <w:rFonts w:eastAsia="Times New Roman"/>
                          <w:sz w:val="24"/>
                          <w:szCs w:val="24"/>
                        </w:rPr>
                      </w:pPr>
                      <w:r w:rsidRPr="0034165E">
                        <w:rPr>
                          <w:rFonts w:ascii="Calibri Light" w:hAnsi="Calibri Light" w:cs="Calibri Light"/>
                          <w:color w:val="000000" w:themeColor="text1"/>
                          <w:kern w:val="24"/>
                          <w:sz w:val="24"/>
                          <w:szCs w:val="24"/>
                        </w:rPr>
                        <w:t>Sex</w:t>
                      </w:r>
                    </w:p>
                    <w:p w14:paraId="2E4F46C4" w14:textId="77777777" w:rsidR="0034165E" w:rsidRPr="0034165E" w:rsidRDefault="0034165E" w:rsidP="0034165E">
                      <w:pPr>
                        <w:pStyle w:val="ListParagraph"/>
                        <w:numPr>
                          <w:ilvl w:val="0"/>
                          <w:numId w:val="4"/>
                        </w:numPr>
                        <w:spacing w:after="0" w:line="360" w:lineRule="auto"/>
                        <w:rPr>
                          <w:rFonts w:eastAsia="Times New Roman"/>
                          <w:sz w:val="24"/>
                          <w:szCs w:val="24"/>
                        </w:rPr>
                      </w:pPr>
                      <w:r w:rsidRPr="0034165E">
                        <w:rPr>
                          <w:rFonts w:ascii="Calibri Light" w:hAnsi="Calibri Light" w:cs="Calibri Light"/>
                          <w:color w:val="000000" w:themeColor="text1"/>
                          <w:kern w:val="24"/>
                          <w:sz w:val="24"/>
                          <w:szCs w:val="24"/>
                        </w:rPr>
                        <w:t>Sexual orientation</w:t>
                      </w:r>
                    </w:p>
                  </w:txbxContent>
                </v:textbox>
                <w10:wrap anchorx="page"/>
              </v:shape>
            </w:pict>
          </mc:Fallback>
        </mc:AlternateContent>
      </w:r>
      <w:r w:rsidRPr="000D40DC">
        <w:rPr>
          <w:rFonts w:asciiTheme="majorHAnsi" w:hAnsiTheme="majorHAnsi" w:cstheme="majorHAnsi"/>
          <w:noProof/>
          <w:sz w:val="24"/>
          <w:szCs w:val="24"/>
          <w:lang w:eastAsia="en-GB"/>
        </w:rPr>
        <mc:AlternateContent>
          <mc:Choice Requires="wps">
            <w:drawing>
              <wp:anchor distT="0" distB="0" distL="114300" distR="114300" simplePos="0" relativeHeight="251659264" behindDoc="0" locked="0" layoutInCell="1" allowOverlap="1" wp14:anchorId="14923CD9" wp14:editId="7406BEA7">
                <wp:simplePos x="0" y="0"/>
                <wp:positionH relativeFrom="margin">
                  <wp:align>center</wp:align>
                </wp:positionH>
                <wp:positionV relativeFrom="paragraph">
                  <wp:posOffset>3175</wp:posOffset>
                </wp:positionV>
                <wp:extent cx="2801895" cy="1015663"/>
                <wp:effectExtent l="0" t="0" r="0" b="0"/>
                <wp:wrapNone/>
                <wp:docPr id="5" name="TextBox 4">
                  <a:extLst xmlns:a="http://schemas.openxmlformats.org/drawingml/2006/main">
                    <a:ext uri="{FF2B5EF4-FFF2-40B4-BE49-F238E27FC236}">
                      <a16:creationId xmlns:a16="http://schemas.microsoft.com/office/drawing/2014/main" id="{F75DDD54-A2D8-4C6F-A874-6EE6F93D5D6A}"/>
                    </a:ext>
                  </a:extLst>
                </wp:docPr>
                <wp:cNvGraphicFramePr/>
                <a:graphic xmlns:a="http://schemas.openxmlformats.org/drawingml/2006/main">
                  <a:graphicData uri="http://schemas.microsoft.com/office/word/2010/wordprocessingShape">
                    <wps:wsp>
                      <wps:cNvSpPr txBox="1"/>
                      <wps:spPr>
                        <a:xfrm>
                          <a:off x="0" y="0"/>
                          <a:ext cx="2801895" cy="1015663"/>
                        </a:xfrm>
                        <a:prstGeom prst="rect">
                          <a:avLst/>
                        </a:prstGeom>
                        <a:noFill/>
                      </wps:spPr>
                      <wps:txbx>
                        <w:txbxContent>
                          <w:p w14:paraId="68008495" w14:textId="77777777" w:rsidR="000D40DC" w:rsidRPr="0034165E" w:rsidRDefault="000D40DC" w:rsidP="0034165E">
                            <w:pPr>
                              <w:pStyle w:val="ListParagraph"/>
                              <w:numPr>
                                <w:ilvl w:val="0"/>
                                <w:numId w:val="5"/>
                              </w:numPr>
                              <w:spacing w:after="0" w:line="360" w:lineRule="auto"/>
                              <w:rPr>
                                <w:rFonts w:ascii="Calibri Light" w:eastAsia="Times New Roman" w:hAnsi="Calibri Light" w:cs="Calibri Light"/>
                                <w:sz w:val="24"/>
                                <w:szCs w:val="24"/>
                              </w:rPr>
                            </w:pPr>
                            <w:r w:rsidRPr="0034165E">
                              <w:rPr>
                                <w:rFonts w:ascii="Calibri Light" w:hAnsi="Calibri Light" w:cs="Calibri Light"/>
                                <w:color w:val="000000" w:themeColor="text1"/>
                                <w:kern w:val="24"/>
                                <w:sz w:val="24"/>
                                <w:szCs w:val="24"/>
                              </w:rPr>
                              <w:t>Marriage and civil partnership</w:t>
                            </w:r>
                          </w:p>
                          <w:p w14:paraId="76EB3599" w14:textId="77777777" w:rsidR="000D40DC" w:rsidRPr="0034165E" w:rsidRDefault="000D40DC" w:rsidP="0034165E">
                            <w:pPr>
                              <w:pStyle w:val="ListParagraph"/>
                              <w:numPr>
                                <w:ilvl w:val="0"/>
                                <w:numId w:val="5"/>
                              </w:numPr>
                              <w:spacing w:after="0" w:line="360" w:lineRule="auto"/>
                              <w:rPr>
                                <w:rFonts w:ascii="Calibri Light" w:eastAsia="Times New Roman" w:hAnsi="Calibri Light" w:cs="Calibri Light"/>
                                <w:sz w:val="24"/>
                                <w:szCs w:val="24"/>
                              </w:rPr>
                            </w:pPr>
                            <w:r w:rsidRPr="0034165E">
                              <w:rPr>
                                <w:rFonts w:ascii="Calibri Light" w:hAnsi="Calibri Light" w:cs="Calibri Light"/>
                                <w:color w:val="000000" w:themeColor="text1"/>
                                <w:kern w:val="24"/>
                                <w:sz w:val="24"/>
                                <w:szCs w:val="24"/>
                              </w:rPr>
                              <w:t xml:space="preserve">Pregnancy and maternity </w:t>
                            </w:r>
                          </w:p>
                          <w:p w14:paraId="387416E2" w14:textId="77777777" w:rsidR="000D40DC" w:rsidRPr="0034165E" w:rsidRDefault="000D40DC" w:rsidP="0034165E">
                            <w:pPr>
                              <w:pStyle w:val="ListParagraph"/>
                              <w:numPr>
                                <w:ilvl w:val="0"/>
                                <w:numId w:val="5"/>
                              </w:numPr>
                              <w:spacing w:after="0" w:line="360" w:lineRule="auto"/>
                              <w:rPr>
                                <w:rFonts w:ascii="Calibri Light" w:eastAsia="Times New Roman" w:hAnsi="Calibri Light" w:cs="Calibri Light"/>
                                <w:sz w:val="24"/>
                                <w:szCs w:val="24"/>
                              </w:rPr>
                            </w:pPr>
                            <w:r w:rsidRPr="0034165E">
                              <w:rPr>
                                <w:rFonts w:ascii="Calibri Light" w:hAnsi="Calibri Light" w:cs="Calibri Light"/>
                                <w:color w:val="000000" w:themeColor="text1"/>
                                <w:kern w:val="24"/>
                                <w:sz w:val="24"/>
                                <w:szCs w:val="24"/>
                              </w:rPr>
                              <w:t>Race</w:t>
                            </w:r>
                          </w:p>
                        </w:txbxContent>
                      </wps:txbx>
                      <wps:bodyPr wrap="square" rtlCol="0">
                        <a:spAutoFit/>
                      </wps:bodyPr>
                    </wps:wsp>
                  </a:graphicData>
                </a:graphic>
              </wp:anchor>
            </w:drawing>
          </mc:Choice>
          <mc:Fallback>
            <w:pict>
              <v:shape w14:anchorId="14923CD9" id="_x0000_s1027" type="#_x0000_t202" style="position:absolute;left:0;text-align:left;margin-left:0;margin-top:.25pt;width:220.6pt;height:79.9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WOhDAIAAPADAAAOAAAAZHJzL2Uyb0RvYy54bWysU9uO2yAUfK/Uf0C8O77EdhwrziqJQ1Wp&#10;2lba7QcQjBNLtqFAYker/fceyGWr7suq6gs+HMwwMwyLh7Fr0Ykr3Yi+wOEkwIj3TFRNvy/wz2fi&#10;ZRhpQ/uKtqLnBT5zjR+Wnz8tBpnzSBxEW3GFAKTX+SALfDBG5r6v2YF3VE+E5D0s1kJ11MBU7f1K&#10;0QHQu9aPgiD1B6EqqQTjWkO3vCzipcOva87M97rW3KC2wMDNuFG5cWdHf7mg+V5ReWjYlQb9BxYd&#10;bXo49A5VUkPRUTXvoLqGKaFFbSZMdL6o64ZxpwHUhMFfap4OVHKnBczR8m6T/n+w7PH0Q6GmKnCC&#10;UU87uKJnPpq1GFHsBMHkmzZWGlQXSS+EROtkS2KPQOXFwTr21tt47pFomm2jGdlE0/TV7g7TnClO&#10;DYTja3WzN0w/Rv960daY2HcGO54vZJaUZZnE3ioqMy/epMRbZbPYS7fblMynZVKmq1d7sb7jfPs6&#10;Ff4gde4024S48kmCAWYExZBfu832NTSt5rFWnf3CRSFYhwSd76mxfjBoRlkQZnOwj8FaGIRJmk6v&#10;x9+2S6XNFy46ZIsCK4ilM5eegNWF6e0Xe1ovSNO2tv/GxVZm3I3OgzvPnajOQH+AABdY/zpSxTFS&#10;pt0Il3cLpuXqaADQnWNRLnuu4BArZ9D1Cdjc/jl3f7091OVvAAAA//8DAFBLAwQUAAYACAAAACEA&#10;r6v9ltkAAAAFAQAADwAAAGRycy9kb3ducmV2LnhtbEyPzU7DMBCE70i8g7VI3KiTKq1QiFNV/Egc&#10;uFDCfRubOCJeR/G2Sd+e5QTH0Yxmvql2SxjU2U2pj2QgX2WgHLXR9tQZaD5e7u5BJUayOERyBi4u&#10;wa6+vqqwtHGmd3c+cKekhFKJBjzzWGqdWu8CplUcHYn3FaeALHLqtJ1wlvIw6HWWbXXAnmTB4+ge&#10;vWu/D6dggNnu80vzHNLr5/L2NPus3WBjzO3Nsn8AxW7hvzD84gs61MJ0jCeySQ0G5Agb2IASryjy&#10;NaijhLZZAbqu9H/6+gcAAP//AwBQSwECLQAUAAYACAAAACEAtoM4kv4AAADhAQAAEwAAAAAAAAAA&#10;AAAAAAAAAAAAW0NvbnRlbnRfVHlwZXNdLnhtbFBLAQItABQABgAIAAAAIQA4/SH/1gAAAJQBAAAL&#10;AAAAAAAAAAAAAAAAAC8BAABfcmVscy8ucmVsc1BLAQItABQABgAIAAAAIQBMvWOhDAIAAPADAAAO&#10;AAAAAAAAAAAAAAAAAC4CAABkcnMvZTJvRG9jLnhtbFBLAQItABQABgAIAAAAIQCvq/2W2QAAAAUB&#10;AAAPAAAAAAAAAAAAAAAAAGYEAABkcnMvZG93bnJldi54bWxQSwUGAAAAAAQABADzAAAAbAUAAAAA&#10;" filled="f" stroked="f">
                <v:textbox style="mso-fit-shape-to-text:t">
                  <w:txbxContent>
                    <w:p w14:paraId="68008495" w14:textId="77777777" w:rsidR="000D40DC" w:rsidRPr="0034165E" w:rsidRDefault="000D40DC" w:rsidP="0034165E">
                      <w:pPr>
                        <w:pStyle w:val="ListParagraph"/>
                        <w:numPr>
                          <w:ilvl w:val="0"/>
                          <w:numId w:val="5"/>
                        </w:numPr>
                        <w:spacing w:after="0" w:line="360" w:lineRule="auto"/>
                        <w:rPr>
                          <w:rFonts w:ascii="Calibri Light" w:eastAsia="Times New Roman" w:hAnsi="Calibri Light" w:cs="Calibri Light"/>
                          <w:sz w:val="24"/>
                          <w:szCs w:val="24"/>
                        </w:rPr>
                      </w:pPr>
                      <w:r w:rsidRPr="0034165E">
                        <w:rPr>
                          <w:rFonts w:ascii="Calibri Light" w:hAnsi="Calibri Light" w:cs="Calibri Light"/>
                          <w:color w:val="000000" w:themeColor="text1"/>
                          <w:kern w:val="24"/>
                          <w:sz w:val="24"/>
                          <w:szCs w:val="24"/>
                        </w:rPr>
                        <w:t>Marriage and civil partnership</w:t>
                      </w:r>
                    </w:p>
                    <w:p w14:paraId="76EB3599" w14:textId="77777777" w:rsidR="000D40DC" w:rsidRPr="0034165E" w:rsidRDefault="000D40DC" w:rsidP="0034165E">
                      <w:pPr>
                        <w:pStyle w:val="ListParagraph"/>
                        <w:numPr>
                          <w:ilvl w:val="0"/>
                          <w:numId w:val="5"/>
                        </w:numPr>
                        <w:spacing w:after="0" w:line="360" w:lineRule="auto"/>
                        <w:rPr>
                          <w:rFonts w:ascii="Calibri Light" w:eastAsia="Times New Roman" w:hAnsi="Calibri Light" w:cs="Calibri Light"/>
                          <w:sz w:val="24"/>
                          <w:szCs w:val="24"/>
                        </w:rPr>
                      </w:pPr>
                      <w:r w:rsidRPr="0034165E">
                        <w:rPr>
                          <w:rFonts w:ascii="Calibri Light" w:hAnsi="Calibri Light" w:cs="Calibri Light"/>
                          <w:color w:val="000000" w:themeColor="text1"/>
                          <w:kern w:val="24"/>
                          <w:sz w:val="24"/>
                          <w:szCs w:val="24"/>
                        </w:rPr>
                        <w:t xml:space="preserve">Pregnancy and maternity </w:t>
                      </w:r>
                    </w:p>
                    <w:p w14:paraId="387416E2" w14:textId="77777777" w:rsidR="000D40DC" w:rsidRPr="0034165E" w:rsidRDefault="000D40DC" w:rsidP="0034165E">
                      <w:pPr>
                        <w:pStyle w:val="ListParagraph"/>
                        <w:numPr>
                          <w:ilvl w:val="0"/>
                          <w:numId w:val="5"/>
                        </w:numPr>
                        <w:spacing w:after="0" w:line="360" w:lineRule="auto"/>
                        <w:rPr>
                          <w:rFonts w:ascii="Calibri Light" w:eastAsia="Times New Roman" w:hAnsi="Calibri Light" w:cs="Calibri Light"/>
                          <w:sz w:val="24"/>
                          <w:szCs w:val="24"/>
                        </w:rPr>
                      </w:pPr>
                      <w:r w:rsidRPr="0034165E">
                        <w:rPr>
                          <w:rFonts w:ascii="Calibri Light" w:hAnsi="Calibri Light" w:cs="Calibri Light"/>
                          <w:color w:val="000000" w:themeColor="text1"/>
                          <w:kern w:val="24"/>
                          <w:sz w:val="24"/>
                          <w:szCs w:val="24"/>
                        </w:rPr>
                        <w:t>Race</w:t>
                      </w:r>
                    </w:p>
                  </w:txbxContent>
                </v:textbox>
                <w10:wrap anchorx="margin"/>
              </v:shape>
            </w:pict>
          </mc:Fallback>
        </mc:AlternateContent>
      </w:r>
      <w:r w:rsidRPr="000D40DC">
        <w:rPr>
          <w:noProof/>
          <w:lang w:eastAsia="en-GB"/>
        </w:rPr>
        <mc:AlternateContent>
          <mc:Choice Requires="wps">
            <w:drawing>
              <wp:anchor distT="0" distB="0" distL="114300" distR="114300" simplePos="0" relativeHeight="251663360" behindDoc="0" locked="0" layoutInCell="1" allowOverlap="1" wp14:anchorId="09CD8034" wp14:editId="7090047D">
                <wp:simplePos x="0" y="0"/>
                <wp:positionH relativeFrom="margin">
                  <wp:posOffset>-314325</wp:posOffset>
                </wp:positionH>
                <wp:positionV relativeFrom="paragraph">
                  <wp:posOffset>8890</wp:posOffset>
                </wp:positionV>
                <wp:extent cx="2801895" cy="1015663"/>
                <wp:effectExtent l="0" t="0" r="0" b="0"/>
                <wp:wrapNone/>
                <wp:docPr id="2" name="TextBox 4">
                  <a:extLst xmlns:a="http://schemas.openxmlformats.org/drawingml/2006/main">
                    <a:ext uri="{FF2B5EF4-FFF2-40B4-BE49-F238E27FC236}">
                      <a16:creationId xmlns:a16="http://schemas.microsoft.com/office/drawing/2014/main" id="{F75DDD54-A2D8-4C6F-A874-6EE6F93D5D6A}"/>
                    </a:ext>
                  </a:extLst>
                </wp:docPr>
                <wp:cNvGraphicFramePr/>
                <a:graphic xmlns:a="http://schemas.openxmlformats.org/drawingml/2006/main">
                  <a:graphicData uri="http://schemas.microsoft.com/office/word/2010/wordprocessingShape">
                    <wps:wsp>
                      <wps:cNvSpPr txBox="1"/>
                      <wps:spPr>
                        <a:xfrm>
                          <a:off x="0" y="0"/>
                          <a:ext cx="2801895" cy="1015663"/>
                        </a:xfrm>
                        <a:prstGeom prst="rect">
                          <a:avLst/>
                        </a:prstGeom>
                        <a:noFill/>
                      </wps:spPr>
                      <wps:txbx>
                        <w:txbxContent>
                          <w:p w14:paraId="4E886616" w14:textId="0E763EB3" w:rsidR="009A1A41" w:rsidRPr="0034165E" w:rsidRDefault="009A1A41" w:rsidP="009A1A41">
                            <w:pPr>
                              <w:pStyle w:val="ListParagraph"/>
                              <w:numPr>
                                <w:ilvl w:val="0"/>
                                <w:numId w:val="5"/>
                              </w:numPr>
                              <w:spacing w:after="0" w:line="360" w:lineRule="auto"/>
                              <w:rPr>
                                <w:rFonts w:ascii="Calibri Light" w:eastAsia="Times New Roman" w:hAnsi="Calibri Light" w:cs="Calibri Light"/>
                                <w:sz w:val="24"/>
                                <w:szCs w:val="24"/>
                              </w:rPr>
                            </w:pPr>
                            <w:r>
                              <w:rPr>
                                <w:rFonts w:ascii="Calibri Light" w:hAnsi="Calibri Light" w:cs="Calibri Light"/>
                                <w:color w:val="000000" w:themeColor="text1"/>
                                <w:kern w:val="24"/>
                                <w:sz w:val="24"/>
                                <w:szCs w:val="24"/>
                              </w:rPr>
                              <w:t>Age</w:t>
                            </w:r>
                          </w:p>
                          <w:p w14:paraId="61C14536" w14:textId="640B8850" w:rsidR="009A1A41" w:rsidRPr="0034165E" w:rsidRDefault="009A1A41" w:rsidP="009A1A41">
                            <w:pPr>
                              <w:pStyle w:val="ListParagraph"/>
                              <w:numPr>
                                <w:ilvl w:val="0"/>
                                <w:numId w:val="5"/>
                              </w:numPr>
                              <w:spacing w:after="0" w:line="360" w:lineRule="auto"/>
                              <w:rPr>
                                <w:rFonts w:ascii="Calibri Light" w:eastAsia="Times New Roman" w:hAnsi="Calibri Light" w:cs="Calibri Light"/>
                                <w:sz w:val="24"/>
                                <w:szCs w:val="24"/>
                              </w:rPr>
                            </w:pPr>
                            <w:r>
                              <w:rPr>
                                <w:rFonts w:ascii="Calibri Light" w:hAnsi="Calibri Light" w:cs="Calibri Light"/>
                                <w:color w:val="000000" w:themeColor="text1"/>
                                <w:kern w:val="24"/>
                                <w:sz w:val="24"/>
                                <w:szCs w:val="24"/>
                              </w:rPr>
                              <w:t>Disability</w:t>
                            </w:r>
                          </w:p>
                          <w:p w14:paraId="4E89260C" w14:textId="6CD8112A" w:rsidR="009A1A41" w:rsidRPr="0034165E" w:rsidRDefault="009A1A41" w:rsidP="009A1A41">
                            <w:pPr>
                              <w:pStyle w:val="ListParagraph"/>
                              <w:numPr>
                                <w:ilvl w:val="0"/>
                                <w:numId w:val="5"/>
                              </w:numPr>
                              <w:spacing w:after="0" w:line="360" w:lineRule="auto"/>
                              <w:rPr>
                                <w:rFonts w:ascii="Calibri Light" w:eastAsia="Times New Roman" w:hAnsi="Calibri Light" w:cs="Calibri Light"/>
                                <w:sz w:val="24"/>
                                <w:szCs w:val="24"/>
                              </w:rPr>
                            </w:pPr>
                            <w:r>
                              <w:rPr>
                                <w:rFonts w:ascii="Calibri Light" w:hAnsi="Calibri Light" w:cs="Calibri Light"/>
                                <w:color w:val="000000" w:themeColor="text1"/>
                                <w:kern w:val="24"/>
                                <w:sz w:val="24"/>
                                <w:szCs w:val="24"/>
                              </w:rPr>
                              <w:t>Gender reassignment</w:t>
                            </w:r>
                          </w:p>
                        </w:txbxContent>
                      </wps:txbx>
                      <wps:bodyPr wrap="square" rtlCol="0">
                        <a:spAutoFit/>
                      </wps:bodyPr>
                    </wps:wsp>
                  </a:graphicData>
                </a:graphic>
              </wp:anchor>
            </w:drawing>
          </mc:Choice>
          <mc:Fallback>
            <w:pict>
              <v:shape w14:anchorId="09CD8034" id="_x0000_s1028" type="#_x0000_t202" style="position:absolute;left:0;text-align:left;margin-left:-24.75pt;margin-top:.7pt;width:220.6pt;height:79.9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lKlDAIAAPADAAAOAAAAZHJzL2Uyb0RvYy54bWysU9uO2yAQfa/Uf0C8O77E9jpWnFUSh6pS&#10;ta202w8gGCeWbEOBxI5W++8diJOt2peq6gsMAxzOmTksH8euRWeudCP6AoezACPeM1E1/aHA31+I&#10;l2GkDe0r2oqeF/jCNX5cffywHGTOI3EUbcUVApBe54Ms8NEYmfu+ZkfeUT0TkvewWQvVUQNLdfAr&#10;RQdA71o/CoLUH4SqpBKMaw3Z8rqJVw6/rjkzX+tac4PaAgM340blxr0d/dWS5gdF5bFhEw36Dyw6&#10;2vTw6B2qpIaik2r+gOoapoQWtZkx0fmirhvGnQZQEwa/qXk+UsmdFiiOlvcy6f8Hy57O3xRqqgJH&#10;GPW0gxa98NFsxIhiJwgWX7Sx0iC6SnolJNokOxJ7BCIvDjaxt9nFC49E82wXPZBtNE/f7O0wzZni&#10;1IA5Ple38obp39GfGm0LE/uuwI7nK3lIyrJMYm8dlZkXb1PirbOH2Et3u5Qs5mVSpus321jfcb7N&#10;ToU/SJ07zdYhLnyWUAAzgmLwr71m8xqSVvNYq87O0CgE++Cgy901th4MklEWhNkiwYjBXhiESZrO&#10;p+dv16XS5hMXHbJBgRXY0hWXnoHVlentiH2tF6RpW5t/52IjM+7HqVcTz72oLkB/AAMXWP84UcUx&#10;UqbdCud3C6bl+mQA0L1jUa53JnCwlSvQ9AWsb39du1PvH3X1EwAA//8DAFBLAwQUAAYACAAAACEA&#10;CAKAmd0AAAAJAQAADwAAAGRycy9kb3ducmV2LnhtbEyPy07DMBBF90j8gzVI7Fon9AENcaqKh8Si&#10;G0rYT+MhiYjHUew26d8zrGB5da7unMm3k+vUmYbQejaQzhNQxJW3LdcGyo/X2QOoEJEtdp7JwIUC&#10;bIvrqxwz60d+p/Mh1kpGOGRooImxz7QOVUMOw9z3xMK+/OAwShxqbQccZdx1+i5J1tphy3KhwZ6e&#10;Gqq+DydnIEa7Sy/liwtvn9P+eWySaoWlMbc30+4RVKQp/pXhV1/UoRCnoz+xDaozMFtuVlIVsAQl&#10;fLFJ70EdJa/TBegi1/8/KH4AAAD//wMAUEsBAi0AFAAGAAgAAAAhALaDOJL+AAAA4QEAABMAAAAA&#10;AAAAAAAAAAAAAAAAAFtDb250ZW50X1R5cGVzXS54bWxQSwECLQAUAAYACAAAACEAOP0h/9YAAACU&#10;AQAACwAAAAAAAAAAAAAAAAAvAQAAX3JlbHMvLnJlbHNQSwECLQAUAAYACAAAACEAArpSpQwCAADw&#10;AwAADgAAAAAAAAAAAAAAAAAuAgAAZHJzL2Uyb0RvYy54bWxQSwECLQAUAAYACAAAACEACAKAmd0A&#10;AAAJAQAADwAAAAAAAAAAAAAAAABmBAAAZHJzL2Rvd25yZXYueG1sUEsFBgAAAAAEAAQA8wAAAHAF&#10;AAAAAA==&#10;" filled="f" stroked="f">
                <v:textbox style="mso-fit-shape-to-text:t">
                  <w:txbxContent>
                    <w:p w14:paraId="4E886616" w14:textId="0E763EB3" w:rsidR="009A1A41" w:rsidRPr="0034165E" w:rsidRDefault="009A1A41" w:rsidP="009A1A41">
                      <w:pPr>
                        <w:pStyle w:val="ListParagraph"/>
                        <w:numPr>
                          <w:ilvl w:val="0"/>
                          <w:numId w:val="5"/>
                        </w:numPr>
                        <w:spacing w:after="0" w:line="360" w:lineRule="auto"/>
                        <w:rPr>
                          <w:rFonts w:ascii="Calibri Light" w:eastAsia="Times New Roman" w:hAnsi="Calibri Light" w:cs="Calibri Light"/>
                          <w:sz w:val="24"/>
                          <w:szCs w:val="24"/>
                        </w:rPr>
                      </w:pPr>
                      <w:r>
                        <w:rPr>
                          <w:rFonts w:ascii="Calibri Light" w:hAnsi="Calibri Light" w:cs="Calibri Light"/>
                          <w:color w:val="000000" w:themeColor="text1"/>
                          <w:kern w:val="24"/>
                          <w:sz w:val="24"/>
                          <w:szCs w:val="24"/>
                        </w:rPr>
                        <w:t>Age</w:t>
                      </w:r>
                    </w:p>
                    <w:p w14:paraId="61C14536" w14:textId="640B8850" w:rsidR="009A1A41" w:rsidRPr="0034165E" w:rsidRDefault="009A1A41" w:rsidP="009A1A41">
                      <w:pPr>
                        <w:pStyle w:val="ListParagraph"/>
                        <w:numPr>
                          <w:ilvl w:val="0"/>
                          <w:numId w:val="5"/>
                        </w:numPr>
                        <w:spacing w:after="0" w:line="360" w:lineRule="auto"/>
                        <w:rPr>
                          <w:rFonts w:ascii="Calibri Light" w:eastAsia="Times New Roman" w:hAnsi="Calibri Light" w:cs="Calibri Light"/>
                          <w:sz w:val="24"/>
                          <w:szCs w:val="24"/>
                        </w:rPr>
                      </w:pPr>
                      <w:r>
                        <w:rPr>
                          <w:rFonts w:ascii="Calibri Light" w:hAnsi="Calibri Light" w:cs="Calibri Light"/>
                          <w:color w:val="000000" w:themeColor="text1"/>
                          <w:kern w:val="24"/>
                          <w:sz w:val="24"/>
                          <w:szCs w:val="24"/>
                        </w:rPr>
                        <w:t>Disability</w:t>
                      </w:r>
                    </w:p>
                    <w:p w14:paraId="4E89260C" w14:textId="6CD8112A" w:rsidR="009A1A41" w:rsidRPr="0034165E" w:rsidRDefault="009A1A41" w:rsidP="009A1A41">
                      <w:pPr>
                        <w:pStyle w:val="ListParagraph"/>
                        <w:numPr>
                          <w:ilvl w:val="0"/>
                          <w:numId w:val="5"/>
                        </w:numPr>
                        <w:spacing w:after="0" w:line="360" w:lineRule="auto"/>
                        <w:rPr>
                          <w:rFonts w:ascii="Calibri Light" w:eastAsia="Times New Roman" w:hAnsi="Calibri Light" w:cs="Calibri Light"/>
                          <w:sz w:val="24"/>
                          <w:szCs w:val="24"/>
                        </w:rPr>
                      </w:pPr>
                      <w:r>
                        <w:rPr>
                          <w:rFonts w:ascii="Calibri Light" w:hAnsi="Calibri Light" w:cs="Calibri Light"/>
                          <w:color w:val="000000" w:themeColor="text1"/>
                          <w:kern w:val="24"/>
                          <w:sz w:val="24"/>
                          <w:szCs w:val="24"/>
                        </w:rPr>
                        <w:t>Gender reassignment</w:t>
                      </w:r>
                    </w:p>
                  </w:txbxContent>
                </v:textbox>
                <w10:wrap anchorx="margin"/>
              </v:shape>
            </w:pict>
          </mc:Fallback>
        </mc:AlternateContent>
      </w:r>
    </w:p>
    <w:p w14:paraId="4CABE845" w14:textId="47EBBDC2" w:rsidR="009A1A41" w:rsidRDefault="009A1A41" w:rsidP="00C85F5F">
      <w:pPr>
        <w:spacing w:line="360" w:lineRule="auto"/>
        <w:ind w:firstLine="360"/>
        <w:rPr>
          <w:rFonts w:asciiTheme="majorHAnsi" w:hAnsiTheme="majorHAnsi" w:cstheme="majorHAnsi"/>
          <w:sz w:val="24"/>
          <w:szCs w:val="24"/>
        </w:rPr>
      </w:pPr>
    </w:p>
    <w:p w14:paraId="0D33A986" w14:textId="67D35767" w:rsidR="009A1A41" w:rsidRDefault="009A1A41" w:rsidP="009A1A41">
      <w:pPr>
        <w:pStyle w:val="ListParagraph"/>
        <w:spacing w:line="360" w:lineRule="auto"/>
        <w:rPr>
          <w:rFonts w:asciiTheme="majorHAnsi" w:hAnsiTheme="majorHAnsi" w:cstheme="majorHAnsi"/>
          <w:sz w:val="24"/>
          <w:szCs w:val="24"/>
        </w:rPr>
      </w:pPr>
    </w:p>
    <w:p w14:paraId="1B8C62A7" w14:textId="49F74512" w:rsidR="002B74C2" w:rsidRDefault="003F2642" w:rsidP="009A1A41">
      <w:pPr>
        <w:spacing w:line="360" w:lineRule="auto"/>
        <w:ind w:firstLine="360"/>
        <w:rPr>
          <w:rFonts w:asciiTheme="majorHAnsi" w:hAnsiTheme="majorHAnsi" w:cstheme="majorHAnsi"/>
          <w:sz w:val="24"/>
          <w:szCs w:val="24"/>
        </w:rPr>
      </w:pPr>
      <w:r w:rsidRPr="009A1A41">
        <w:rPr>
          <w:rFonts w:asciiTheme="majorHAnsi" w:hAnsiTheme="majorHAnsi" w:cstheme="majorHAnsi"/>
          <w:sz w:val="24"/>
          <w:szCs w:val="24"/>
        </w:rPr>
        <w:t>To be inclusive</w:t>
      </w:r>
      <w:r w:rsidR="008C5B6C" w:rsidRPr="009A1A41">
        <w:rPr>
          <w:rFonts w:asciiTheme="majorHAnsi" w:hAnsiTheme="majorHAnsi" w:cstheme="majorHAnsi"/>
          <w:sz w:val="24"/>
          <w:szCs w:val="24"/>
        </w:rPr>
        <w:t xml:space="preserve">, the university has to understand </w:t>
      </w:r>
      <w:r w:rsidR="00754E80" w:rsidRPr="009A1A41">
        <w:rPr>
          <w:rFonts w:asciiTheme="majorHAnsi" w:hAnsiTheme="majorHAnsi" w:cstheme="majorHAnsi"/>
          <w:sz w:val="24"/>
          <w:szCs w:val="24"/>
        </w:rPr>
        <w:t>the different levels of diversity across the student population</w:t>
      </w:r>
      <w:r w:rsidR="00910D86" w:rsidRPr="009A1A41">
        <w:rPr>
          <w:rFonts w:asciiTheme="majorHAnsi" w:hAnsiTheme="majorHAnsi" w:cstheme="majorHAnsi"/>
          <w:sz w:val="24"/>
          <w:szCs w:val="24"/>
        </w:rPr>
        <w:t xml:space="preserve"> and </w:t>
      </w:r>
      <w:r w:rsidR="00247CB1" w:rsidRPr="009A1A41">
        <w:rPr>
          <w:rFonts w:asciiTheme="majorHAnsi" w:hAnsiTheme="majorHAnsi" w:cstheme="majorHAnsi"/>
          <w:sz w:val="24"/>
          <w:szCs w:val="24"/>
        </w:rPr>
        <w:t xml:space="preserve">use this knowledge to root equality into </w:t>
      </w:r>
      <w:r w:rsidR="004B02D0" w:rsidRPr="009A1A41">
        <w:rPr>
          <w:rFonts w:asciiTheme="majorHAnsi" w:hAnsiTheme="majorHAnsi" w:cstheme="majorHAnsi"/>
          <w:sz w:val="24"/>
          <w:szCs w:val="24"/>
        </w:rPr>
        <w:t>university life (Thomas &amp; May, 2010).</w:t>
      </w:r>
      <w:r w:rsidR="00DD137A" w:rsidRPr="009A1A41">
        <w:rPr>
          <w:rFonts w:asciiTheme="majorHAnsi" w:hAnsiTheme="majorHAnsi" w:cstheme="majorHAnsi"/>
          <w:sz w:val="24"/>
          <w:szCs w:val="24"/>
        </w:rPr>
        <w:t xml:space="preserve"> </w:t>
      </w:r>
      <w:r w:rsidR="007319C8" w:rsidRPr="009A1A41">
        <w:rPr>
          <w:rFonts w:asciiTheme="majorHAnsi" w:hAnsiTheme="majorHAnsi" w:cstheme="majorHAnsi"/>
          <w:sz w:val="24"/>
          <w:szCs w:val="24"/>
        </w:rPr>
        <w:t xml:space="preserve">This understanding can then be used when designing courses and modules so as not to leave any particular group out or cause </w:t>
      </w:r>
      <w:r w:rsidR="00827CC5" w:rsidRPr="009A1A41">
        <w:rPr>
          <w:rFonts w:asciiTheme="majorHAnsi" w:hAnsiTheme="majorHAnsi" w:cstheme="majorHAnsi"/>
          <w:sz w:val="24"/>
          <w:szCs w:val="24"/>
        </w:rPr>
        <w:t xml:space="preserve">unintentional offence. </w:t>
      </w:r>
    </w:p>
    <w:p w14:paraId="2E219F07" w14:textId="03CBE11D" w:rsidR="001F233B" w:rsidRDefault="001F233B" w:rsidP="009A1A41">
      <w:pPr>
        <w:spacing w:line="360" w:lineRule="auto"/>
        <w:ind w:firstLine="360"/>
        <w:rPr>
          <w:rFonts w:asciiTheme="majorHAnsi" w:hAnsiTheme="majorHAnsi" w:cstheme="majorHAnsi"/>
          <w:sz w:val="24"/>
          <w:szCs w:val="24"/>
        </w:rPr>
      </w:pPr>
      <w:r>
        <w:rPr>
          <w:rFonts w:asciiTheme="majorHAnsi" w:hAnsiTheme="majorHAnsi" w:cstheme="majorHAnsi"/>
          <w:sz w:val="24"/>
          <w:szCs w:val="24"/>
        </w:rPr>
        <w:t>There are four disti</w:t>
      </w:r>
      <w:r w:rsidR="00762DB3">
        <w:rPr>
          <w:rFonts w:asciiTheme="majorHAnsi" w:hAnsiTheme="majorHAnsi" w:cstheme="majorHAnsi"/>
          <w:sz w:val="24"/>
          <w:szCs w:val="24"/>
        </w:rPr>
        <w:t>nct diversity dimensions that can be further broken down into areas with potential for a lack of inclusion. These are outlined below:</w:t>
      </w:r>
    </w:p>
    <w:tbl>
      <w:tblPr>
        <w:tblStyle w:val="TableGrid"/>
        <w:tblW w:w="0" w:type="auto"/>
        <w:tblLook w:val="04A0" w:firstRow="1" w:lastRow="0" w:firstColumn="1" w:lastColumn="0" w:noHBand="0" w:noVBand="1"/>
      </w:tblPr>
      <w:tblGrid>
        <w:gridCol w:w="4508"/>
        <w:gridCol w:w="4508"/>
      </w:tblGrid>
      <w:tr w:rsidR="00762DB3" w14:paraId="344C4826" w14:textId="77777777" w:rsidTr="00762DB3">
        <w:tc>
          <w:tcPr>
            <w:tcW w:w="4508" w:type="dxa"/>
          </w:tcPr>
          <w:p w14:paraId="5C1FD8EF" w14:textId="49FD5B2B"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Educational</w:t>
            </w:r>
          </w:p>
        </w:tc>
        <w:tc>
          <w:tcPr>
            <w:tcW w:w="4508" w:type="dxa"/>
          </w:tcPr>
          <w:p w14:paraId="4CD22117" w14:textId="2EB35F5B"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Level of entry qualifications; Skills; Abilities; Knowledge; Education Experience; Life and Work Experience; Learning Approaches.</w:t>
            </w:r>
          </w:p>
        </w:tc>
      </w:tr>
      <w:tr w:rsidR="00762DB3" w14:paraId="72E356CF" w14:textId="77777777" w:rsidTr="00762DB3">
        <w:tc>
          <w:tcPr>
            <w:tcW w:w="4508" w:type="dxa"/>
          </w:tcPr>
          <w:p w14:paraId="6D7896A5" w14:textId="02A53FCF"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 xml:space="preserve">Dispositional </w:t>
            </w:r>
          </w:p>
        </w:tc>
        <w:tc>
          <w:tcPr>
            <w:tcW w:w="4508" w:type="dxa"/>
          </w:tcPr>
          <w:p w14:paraId="463824AA" w14:textId="1AF24DEF"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Identity; Self-Esteem; Confidence; Motivation; Aspirations; Expectations; Preferences; Attitudes; Assumptions; Beliefs; Emotional Intelligence; Maturity; Learning Styles; Interests; Self-Awareness; Sexuality; Gender.</w:t>
            </w:r>
          </w:p>
        </w:tc>
      </w:tr>
      <w:tr w:rsidR="00762DB3" w14:paraId="69E85BE8" w14:textId="77777777" w:rsidTr="00762DB3">
        <w:tc>
          <w:tcPr>
            <w:tcW w:w="4508" w:type="dxa"/>
          </w:tcPr>
          <w:p w14:paraId="1686473A" w14:textId="24B58914"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Circumstantial</w:t>
            </w:r>
          </w:p>
        </w:tc>
        <w:tc>
          <w:tcPr>
            <w:tcW w:w="4508" w:type="dxa"/>
          </w:tcPr>
          <w:p w14:paraId="386731A5" w14:textId="0165B73C"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Age; Disability; Paid/Voluntary Employment; Caring Responsibilities; Geographical Location; Access to IT; Transport; Time; Entitlements; Financial Background; Marital Status.</w:t>
            </w:r>
          </w:p>
        </w:tc>
      </w:tr>
      <w:tr w:rsidR="00762DB3" w14:paraId="41CB0254" w14:textId="77777777" w:rsidTr="00762DB3">
        <w:tc>
          <w:tcPr>
            <w:tcW w:w="4508" w:type="dxa"/>
          </w:tcPr>
          <w:p w14:paraId="121AD2BD" w14:textId="52C3A732"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Cultural</w:t>
            </w:r>
          </w:p>
        </w:tc>
        <w:tc>
          <w:tcPr>
            <w:tcW w:w="4508" w:type="dxa"/>
          </w:tcPr>
          <w:p w14:paraId="2A134F03" w14:textId="6ED4207A" w:rsidR="00762DB3" w:rsidRPr="00762DB3" w:rsidRDefault="00762DB3" w:rsidP="009A1A41">
            <w:pPr>
              <w:spacing w:line="360" w:lineRule="auto"/>
              <w:rPr>
                <w:rFonts w:asciiTheme="majorHAnsi" w:hAnsiTheme="majorHAnsi" w:cstheme="majorHAnsi"/>
                <w:sz w:val="20"/>
                <w:szCs w:val="20"/>
              </w:rPr>
            </w:pPr>
            <w:r w:rsidRPr="00762DB3">
              <w:rPr>
                <w:rFonts w:asciiTheme="majorHAnsi" w:hAnsiTheme="majorHAnsi" w:cstheme="majorHAnsi"/>
                <w:sz w:val="20"/>
                <w:szCs w:val="20"/>
              </w:rPr>
              <w:t>Language; Values; Cultural Capital; Religion and Belief; Country or Origin/Residence; Ethnicity/Race; Social Background.</w:t>
            </w:r>
          </w:p>
        </w:tc>
      </w:tr>
    </w:tbl>
    <w:p w14:paraId="3F87C856" w14:textId="3C9B9147" w:rsidR="00762DB3" w:rsidRDefault="00762DB3" w:rsidP="00762DB3">
      <w:pPr>
        <w:spacing w:line="360" w:lineRule="auto"/>
        <w:ind w:firstLine="360"/>
        <w:jc w:val="right"/>
        <w:rPr>
          <w:rFonts w:asciiTheme="majorHAnsi" w:hAnsiTheme="majorHAnsi" w:cstheme="majorHAnsi"/>
          <w:sz w:val="24"/>
          <w:szCs w:val="24"/>
        </w:rPr>
      </w:pP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0"/>
          <w:szCs w:val="20"/>
        </w:rPr>
        <w:t>(Morgan &amp; Houghton, 2011).</w:t>
      </w:r>
    </w:p>
    <w:p w14:paraId="79A64FE4" w14:textId="77777777" w:rsidR="00F50BF8" w:rsidRDefault="00F50BF8" w:rsidP="00762DB3">
      <w:pPr>
        <w:spacing w:line="360" w:lineRule="auto"/>
        <w:ind w:firstLine="360"/>
        <w:rPr>
          <w:rFonts w:asciiTheme="majorHAnsi" w:hAnsiTheme="majorHAnsi" w:cstheme="majorHAnsi"/>
          <w:sz w:val="24"/>
          <w:szCs w:val="24"/>
        </w:rPr>
      </w:pPr>
    </w:p>
    <w:p w14:paraId="747C7679" w14:textId="77777777" w:rsidR="00F50BF8" w:rsidRDefault="00F50BF8" w:rsidP="00762DB3">
      <w:pPr>
        <w:spacing w:line="360" w:lineRule="auto"/>
        <w:ind w:firstLine="360"/>
        <w:rPr>
          <w:rFonts w:asciiTheme="majorHAnsi" w:hAnsiTheme="majorHAnsi" w:cstheme="majorHAnsi"/>
          <w:sz w:val="24"/>
          <w:szCs w:val="24"/>
        </w:rPr>
      </w:pPr>
    </w:p>
    <w:p w14:paraId="573D02A5" w14:textId="1ED9800C" w:rsidR="00F50BF8" w:rsidRDefault="00F50BF8" w:rsidP="00F50BF8">
      <w:pPr>
        <w:pStyle w:val="Heading2"/>
        <w:spacing w:line="360" w:lineRule="auto"/>
      </w:pPr>
      <w:r>
        <w:t>Inclusive Practise</w:t>
      </w:r>
    </w:p>
    <w:p w14:paraId="7586AB27" w14:textId="204D798E" w:rsidR="00BF4555" w:rsidRDefault="009141C9" w:rsidP="00F50BF8">
      <w:pPr>
        <w:spacing w:line="360" w:lineRule="auto"/>
        <w:ind w:firstLine="360"/>
        <w:rPr>
          <w:rFonts w:asciiTheme="majorHAnsi" w:hAnsiTheme="majorHAnsi" w:cstheme="majorHAnsi"/>
          <w:sz w:val="24"/>
          <w:szCs w:val="24"/>
        </w:rPr>
      </w:pPr>
      <w:r>
        <w:rPr>
          <w:rFonts w:asciiTheme="majorHAnsi" w:hAnsiTheme="majorHAnsi" w:cstheme="majorHAnsi"/>
          <w:sz w:val="24"/>
          <w:szCs w:val="24"/>
        </w:rPr>
        <w:t xml:space="preserve">One strategy that is in place to promote inclusivity is called Inclusive Practise. Inclusive Practise </w:t>
      </w:r>
      <w:r w:rsidR="00AF119F">
        <w:rPr>
          <w:rFonts w:asciiTheme="majorHAnsi" w:hAnsiTheme="majorHAnsi" w:cstheme="majorHAnsi"/>
          <w:sz w:val="24"/>
          <w:szCs w:val="24"/>
        </w:rPr>
        <w:t xml:space="preserve">is a strategy aimed at the educators rather than the establishment. Inclusive Practise </w:t>
      </w:r>
      <w:r w:rsidR="006B6887">
        <w:rPr>
          <w:rFonts w:asciiTheme="majorHAnsi" w:hAnsiTheme="majorHAnsi" w:cstheme="majorHAnsi"/>
          <w:sz w:val="24"/>
          <w:szCs w:val="24"/>
        </w:rPr>
        <w:t>is a pedagogical approach to inclusivity that allows all students to access the course content, take part in the sessions</w:t>
      </w:r>
      <w:r w:rsidR="006374F3">
        <w:rPr>
          <w:rFonts w:asciiTheme="majorHAnsi" w:hAnsiTheme="majorHAnsi" w:cstheme="majorHAnsi"/>
          <w:sz w:val="24"/>
          <w:szCs w:val="24"/>
        </w:rPr>
        <w:t xml:space="preserve"> and to be able to complete the required assessments (E</w:t>
      </w:r>
      <w:r w:rsidR="009853DD">
        <w:rPr>
          <w:rFonts w:asciiTheme="majorHAnsi" w:hAnsiTheme="majorHAnsi" w:cstheme="majorHAnsi"/>
          <w:sz w:val="24"/>
          <w:szCs w:val="24"/>
        </w:rPr>
        <w:t>quality Challenge Unit, 2013 cited in Hutchin</w:t>
      </w:r>
      <w:r w:rsidR="00146081">
        <w:rPr>
          <w:rFonts w:asciiTheme="majorHAnsi" w:hAnsiTheme="majorHAnsi" w:cstheme="majorHAnsi"/>
          <w:sz w:val="24"/>
          <w:szCs w:val="24"/>
        </w:rPr>
        <w:t>gs, 2018</w:t>
      </w:r>
      <w:r w:rsidR="009853DD">
        <w:rPr>
          <w:rFonts w:asciiTheme="majorHAnsi" w:hAnsiTheme="majorHAnsi" w:cstheme="majorHAnsi"/>
          <w:sz w:val="24"/>
          <w:szCs w:val="24"/>
        </w:rPr>
        <w:t>).</w:t>
      </w:r>
      <w:r w:rsidR="00B33D5C">
        <w:rPr>
          <w:rFonts w:asciiTheme="majorHAnsi" w:hAnsiTheme="majorHAnsi" w:cstheme="majorHAnsi"/>
          <w:sz w:val="24"/>
          <w:szCs w:val="24"/>
        </w:rPr>
        <w:t xml:space="preserve"> Thomas &amp; May (2010) advised that research has found that the </w:t>
      </w:r>
      <w:r w:rsidR="006845C1">
        <w:rPr>
          <w:rFonts w:asciiTheme="majorHAnsi" w:hAnsiTheme="majorHAnsi" w:cstheme="majorHAnsi"/>
          <w:sz w:val="24"/>
          <w:szCs w:val="24"/>
        </w:rPr>
        <w:t>marginalisation</w:t>
      </w:r>
      <w:r w:rsidR="007D352D">
        <w:rPr>
          <w:rFonts w:asciiTheme="majorHAnsi" w:hAnsiTheme="majorHAnsi" w:cstheme="majorHAnsi"/>
          <w:sz w:val="24"/>
          <w:szCs w:val="24"/>
        </w:rPr>
        <w:t xml:space="preserve"> that</w:t>
      </w:r>
      <w:r w:rsidR="006845C1">
        <w:rPr>
          <w:rFonts w:asciiTheme="majorHAnsi" w:hAnsiTheme="majorHAnsi" w:cstheme="majorHAnsi"/>
          <w:sz w:val="24"/>
          <w:szCs w:val="24"/>
        </w:rPr>
        <w:t xml:space="preserve"> happen</w:t>
      </w:r>
      <w:r w:rsidR="007D352D">
        <w:rPr>
          <w:rFonts w:asciiTheme="majorHAnsi" w:hAnsiTheme="majorHAnsi" w:cstheme="majorHAnsi"/>
          <w:sz w:val="24"/>
          <w:szCs w:val="24"/>
        </w:rPr>
        <w:t>s</w:t>
      </w:r>
      <w:r w:rsidR="006845C1">
        <w:rPr>
          <w:rFonts w:asciiTheme="majorHAnsi" w:hAnsiTheme="majorHAnsi" w:cstheme="majorHAnsi"/>
          <w:sz w:val="24"/>
          <w:szCs w:val="24"/>
        </w:rPr>
        <w:t xml:space="preserve"> across the higher education curriculum</w:t>
      </w:r>
      <w:r w:rsidR="007D352D">
        <w:rPr>
          <w:rFonts w:asciiTheme="majorHAnsi" w:hAnsiTheme="majorHAnsi" w:cstheme="majorHAnsi"/>
          <w:sz w:val="24"/>
          <w:szCs w:val="24"/>
        </w:rPr>
        <w:t xml:space="preserve"> tends to be affected by class, gender, sexuality and disability</w:t>
      </w:r>
      <w:r w:rsidR="00BF4555">
        <w:rPr>
          <w:rFonts w:asciiTheme="majorHAnsi" w:hAnsiTheme="majorHAnsi" w:cstheme="majorHAnsi"/>
          <w:sz w:val="24"/>
          <w:szCs w:val="24"/>
        </w:rPr>
        <w:t>, with the hidden curriculum also being not as inclusive as it could, or should, be.</w:t>
      </w:r>
    </w:p>
    <w:p w14:paraId="6274C1A0" w14:textId="5C4D5D39" w:rsidR="009141C9" w:rsidRDefault="00BF4555" w:rsidP="00C85F5F">
      <w:pPr>
        <w:spacing w:line="360" w:lineRule="auto"/>
        <w:ind w:firstLine="360"/>
        <w:rPr>
          <w:rFonts w:asciiTheme="majorHAnsi" w:hAnsiTheme="majorHAnsi" w:cstheme="majorHAnsi"/>
          <w:sz w:val="24"/>
          <w:szCs w:val="24"/>
        </w:rPr>
      </w:pPr>
      <w:r>
        <w:rPr>
          <w:rFonts w:asciiTheme="majorHAnsi" w:hAnsiTheme="majorHAnsi" w:cstheme="majorHAnsi"/>
          <w:sz w:val="24"/>
          <w:szCs w:val="24"/>
        </w:rPr>
        <w:t xml:space="preserve">When designing </w:t>
      </w:r>
      <w:r w:rsidR="00DC0587">
        <w:rPr>
          <w:rFonts w:asciiTheme="majorHAnsi" w:hAnsiTheme="majorHAnsi" w:cstheme="majorHAnsi"/>
          <w:sz w:val="24"/>
          <w:szCs w:val="24"/>
        </w:rPr>
        <w:t xml:space="preserve">courses, the university should anticipate that certain students may have barriers to learning. Removing the barriers or amending the course to be more inclusive </w:t>
      </w:r>
      <w:r w:rsidR="00D743E9">
        <w:rPr>
          <w:rFonts w:asciiTheme="majorHAnsi" w:hAnsiTheme="majorHAnsi" w:cstheme="majorHAnsi"/>
          <w:sz w:val="24"/>
          <w:szCs w:val="24"/>
        </w:rPr>
        <w:t>has shown that students have better engagement with the course and have access to more course materials when needed (</w:t>
      </w:r>
      <w:proofErr w:type="spellStart"/>
      <w:r w:rsidR="00D743E9">
        <w:rPr>
          <w:rFonts w:asciiTheme="majorHAnsi" w:hAnsiTheme="majorHAnsi" w:cstheme="majorHAnsi"/>
          <w:sz w:val="24"/>
          <w:szCs w:val="24"/>
        </w:rPr>
        <w:t>Gibberd</w:t>
      </w:r>
      <w:proofErr w:type="spellEnd"/>
      <w:r w:rsidR="00D743E9">
        <w:rPr>
          <w:rFonts w:asciiTheme="majorHAnsi" w:hAnsiTheme="majorHAnsi" w:cstheme="majorHAnsi"/>
          <w:sz w:val="24"/>
          <w:szCs w:val="24"/>
        </w:rPr>
        <w:t>, 2018).</w:t>
      </w:r>
      <w:r w:rsidR="000A09F9">
        <w:rPr>
          <w:rFonts w:asciiTheme="majorHAnsi" w:hAnsiTheme="majorHAnsi" w:cstheme="majorHAnsi"/>
          <w:sz w:val="24"/>
          <w:szCs w:val="24"/>
        </w:rPr>
        <w:t xml:space="preserve"> Some examples of this would be </w:t>
      </w:r>
      <w:r w:rsidR="00E34343">
        <w:rPr>
          <w:rFonts w:asciiTheme="majorHAnsi" w:hAnsiTheme="majorHAnsi" w:cstheme="majorHAnsi"/>
          <w:sz w:val="24"/>
          <w:szCs w:val="24"/>
        </w:rPr>
        <w:t xml:space="preserve">advising a student with reduced or poor vision to gain access to the course materials in braille or a text to speech translator. </w:t>
      </w:r>
      <w:r w:rsidR="00A467C8">
        <w:rPr>
          <w:rFonts w:asciiTheme="majorHAnsi" w:hAnsiTheme="majorHAnsi" w:cstheme="majorHAnsi"/>
          <w:sz w:val="24"/>
          <w:szCs w:val="24"/>
        </w:rPr>
        <w:t>Another example of this is ensuring that if you have someone in your class who is in a wheelchair that any activities are wheelchair friendly.</w:t>
      </w:r>
    </w:p>
    <w:p w14:paraId="29176026" w14:textId="38672E90" w:rsidR="00CF1184" w:rsidRDefault="0002396B" w:rsidP="00986870">
      <w:pPr>
        <w:spacing w:line="360" w:lineRule="auto"/>
        <w:ind w:firstLine="360"/>
        <w:rPr>
          <w:rFonts w:asciiTheme="majorHAnsi" w:hAnsiTheme="majorHAnsi" w:cstheme="majorHAnsi"/>
          <w:sz w:val="24"/>
          <w:szCs w:val="24"/>
        </w:rPr>
      </w:pPr>
      <w:r>
        <w:rPr>
          <w:rFonts w:asciiTheme="majorHAnsi" w:hAnsiTheme="majorHAnsi" w:cstheme="majorHAnsi"/>
          <w:sz w:val="24"/>
          <w:szCs w:val="24"/>
        </w:rPr>
        <w:t xml:space="preserve">Language is a big part of inclusive practise and can be categorised into language used and language spoken. Language used within a classroom environment, even at university level, should be respectful of others and unoffensive. There are certain phrases that you may hear from overseas that are not used on a day to day basis in the UK. An example of this would be </w:t>
      </w:r>
      <w:r w:rsidR="00CB3228">
        <w:rPr>
          <w:rFonts w:asciiTheme="majorHAnsi" w:hAnsiTheme="majorHAnsi" w:cstheme="majorHAnsi"/>
          <w:sz w:val="24"/>
          <w:szCs w:val="24"/>
        </w:rPr>
        <w:t>the phrase “people of colour” which is used in America when identifying anyone who is not Caucasian. This phrase, however, is not commonly used in the UK and therefore may not be acceptable to people who may feel marginalised by that phrase</w:t>
      </w:r>
      <w:r w:rsidR="00D10248">
        <w:rPr>
          <w:rFonts w:asciiTheme="majorHAnsi" w:hAnsiTheme="majorHAnsi" w:cstheme="majorHAnsi"/>
          <w:sz w:val="24"/>
          <w:szCs w:val="24"/>
        </w:rPr>
        <w:t xml:space="preserve">. </w:t>
      </w:r>
    </w:p>
    <w:p w14:paraId="6972226D" w14:textId="3A774021" w:rsidR="00986870" w:rsidRDefault="00986870" w:rsidP="00986870">
      <w:pPr>
        <w:spacing w:line="360" w:lineRule="auto"/>
        <w:ind w:firstLine="360"/>
        <w:rPr>
          <w:rFonts w:asciiTheme="majorHAnsi" w:hAnsiTheme="majorHAnsi" w:cstheme="majorHAnsi"/>
          <w:sz w:val="24"/>
          <w:szCs w:val="24"/>
        </w:rPr>
      </w:pPr>
      <w:r>
        <w:rPr>
          <w:rFonts w:asciiTheme="majorHAnsi" w:hAnsiTheme="majorHAnsi" w:cstheme="majorHAnsi"/>
          <w:sz w:val="24"/>
          <w:szCs w:val="24"/>
        </w:rPr>
        <w:t xml:space="preserve">At times, something that is done to include one group often benefits everyone in the class. For Example, it has long been thought that good practice if you have students with dyslexia in your class that placing the notes and slides online first allows them to familiarize themselves with them beforehand. This would also benefit students with language barriers, </w:t>
      </w:r>
      <w:r>
        <w:rPr>
          <w:rFonts w:asciiTheme="majorHAnsi" w:hAnsiTheme="majorHAnsi" w:cstheme="majorHAnsi"/>
          <w:sz w:val="24"/>
          <w:szCs w:val="24"/>
        </w:rPr>
        <w:lastRenderedPageBreak/>
        <w:t xml:space="preserve">but also anyone who wishes to read up on the session before attending </w:t>
      </w:r>
      <w:r w:rsidRPr="00986870">
        <w:rPr>
          <w:rFonts w:asciiTheme="majorHAnsi" w:hAnsiTheme="majorHAnsi" w:cstheme="majorHAnsi"/>
          <w:sz w:val="24"/>
          <w:szCs w:val="24"/>
        </w:rPr>
        <w:t>(Morgan &amp; Houghton, 2011).</w:t>
      </w:r>
    </w:p>
    <w:p w14:paraId="0BE409EC" w14:textId="6DE3E997" w:rsidR="006B32B3" w:rsidRDefault="006B32B3" w:rsidP="00986870">
      <w:pPr>
        <w:spacing w:line="360" w:lineRule="auto"/>
        <w:ind w:firstLine="360"/>
        <w:rPr>
          <w:rFonts w:asciiTheme="majorHAnsi" w:hAnsiTheme="majorHAnsi" w:cstheme="majorHAnsi"/>
          <w:sz w:val="24"/>
          <w:szCs w:val="24"/>
        </w:rPr>
      </w:pPr>
      <w:r>
        <w:rPr>
          <w:rFonts w:asciiTheme="majorHAnsi" w:hAnsiTheme="majorHAnsi" w:cstheme="majorHAnsi"/>
          <w:sz w:val="24"/>
          <w:szCs w:val="24"/>
        </w:rPr>
        <w:t>Learning styles impact on higher education learning a lot</w:t>
      </w:r>
      <w:r w:rsidR="002A76B6">
        <w:rPr>
          <w:rFonts w:asciiTheme="majorHAnsi" w:hAnsiTheme="majorHAnsi" w:cstheme="majorHAnsi"/>
          <w:sz w:val="24"/>
          <w:szCs w:val="24"/>
        </w:rPr>
        <w:t xml:space="preserve"> and is important when discussing inclusive practise</w:t>
      </w:r>
      <w:r>
        <w:rPr>
          <w:rFonts w:asciiTheme="majorHAnsi" w:hAnsiTheme="majorHAnsi" w:cstheme="majorHAnsi"/>
          <w:sz w:val="24"/>
          <w:szCs w:val="24"/>
        </w:rPr>
        <w:t>. The whole point of working towards a degree is to prove you are able to work at a higher level than those without a degree. An inclusive curriculum should understand these different styles of learning and should reflect in the opportunities provided for alternative learning (Perry, 1970). The curriculum should be designed in a way that both encourages and champions different learning styles.</w:t>
      </w:r>
    </w:p>
    <w:p w14:paraId="0F171254" w14:textId="5C39E4D8" w:rsidR="006B32B3" w:rsidRDefault="00363F57" w:rsidP="00B02D13">
      <w:pPr>
        <w:spacing w:line="360" w:lineRule="auto"/>
        <w:ind w:firstLine="360"/>
        <w:rPr>
          <w:rFonts w:asciiTheme="majorHAnsi" w:hAnsiTheme="majorHAnsi" w:cstheme="majorHAnsi"/>
          <w:sz w:val="24"/>
          <w:szCs w:val="24"/>
        </w:rPr>
      </w:pPr>
      <w:r>
        <w:rPr>
          <w:rFonts w:asciiTheme="majorHAnsi" w:hAnsiTheme="majorHAnsi" w:cstheme="majorHAnsi"/>
          <w:sz w:val="24"/>
          <w:szCs w:val="24"/>
        </w:rPr>
        <w:t>There are certain facilities that the institution can offer in order to promote inclusivity. One of which being institution-led lecture recording. This will allow students to listen to lectures in their own time in case of any missed points or to reintegrate with the session if there was something they did not understand. This would also aid with blind students wanting to look back at lecture notes after the fact. The institution-led aspect of this will allow the</w:t>
      </w:r>
      <w:r w:rsidRPr="00EC1E8B">
        <w:rPr>
          <w:rFonts w:asciiTheme="majorHAnsi" w:hAnsiTheme="majorHAnsi" w:cstheme="majorHAnsi"/>
          <w:sz w:val="24"/>
          <w:szCs w:val="24"/>
        </w:rPr>
        <w:t>m to control the recording so there is less chance of plagiarism using the intellectual property of the lecturer. This also could have positive implications on the content within the lecture as the lecturer knows they are being recorded (JISC, 2016).</w:t>
      </w:r>
      <w:r w:rsidR="00AB2BAD" w:rsidRPr="00EC1E8B">
        <w:rPr>
          <w:rFonts w:asciiTheme="majorHAnsi" w:hAnsiTheme="majorHAnsi" w:cstheme="majorHAnsi"/>
          <w:sz w:val="24"/>
          <w:szCs w:val="24"/>
        </w:rPr>
        <w:t xml:space="preserve"> There have been some case studies completed that show a great number of downloads on lectures with over two million downloads at The University of Manchester alone (JISC, 2016). There is also, of course, the option to allow student-led recording. However, this may leave certain students feeling marginalised due to not having the equipment necessary for such a task.</w:t>
      </w:r>
    </w:p>
    <w:p w14:paraId="117EA503" w14:textId="7A1048AE" w:rsidR="00F50BF8" w:rsidRDefault="00F50BF8" w:rsidP="004F1996">
      <w:pPr>
        <w:pStyle w:val="Heading2"/>
        <w:spacing w:line="360" w:lineRule="auto"/>
      </w:pPr>
      <w:r>
        <w:t>Widening Participation</w:t>
      </w:r>
    </w:p>
    <w:p w14:paraId="70D512E8" w14:textId="2FDC9E63" w:rsidR="00B02D13" w:rsidRDefault="004F1996" w:rsidP="004F1996">
      <w:pPr>
        <w:spacing w:line="360" w:lineRule="auto"/>
        <w:rPr>
          <w:rFonts w:asciiTheme="majorHAnsi" w:hAnsiTheme="majorHAnsi" w:cstheme="majorHAnsi"/>
          <w:sz w:val="24"/>
          <w:szCs w:val="24"/>
        </w:rPr>
      </w:pPr>
      <w:r>
        <w:tab/>
      </w:r>
      <w:r w:rsidR="002B1531" w:rsidRPr="002B1531">
        <w:rPr>
          <w:rFonts w:asciiTheme="majorHAnsi" w:hAnsiTheme="majorHAnsi" w:cstheme="majorHAnsi"/>
          <w:sz w:val="24"/>
          <w:szCs w:val="24"/>
        </w:rPr>
        <w:t xml:space="preserve">Widening participation is </w:t>
      </w:r>
      <w:r w:rsidR="002B1531">
        <w:rPr>
          <w:rFonts w:asciiTheme="majorHAnsi" w:hAnsiTheme="majorHAnsi" w:cstheme="majorHAnsi"/>
          <w:sz w:val="24"/>
          <w:szCs w:val="24"/>
        </w:rPr>
        <w:t xml:space="preserve">a strategy </w:t>
      </w:r>
      <w:r w:rsidR="005343DF">
        <w:rPr>
          <w:rFonts w:asciiTheme="majorHAnsi" w:hAnsiTheme="majorHAnsi" w:cstheme="majorHAnsi"/>
          <w:sz w:val="24"/>
          <w:szCs w:val="24"/>
        </w:rPr>
        <w:t xml:space="preserve">used by higher education providers to target group of people who typically </w:t>
      </w:r>
      <w:r w:rsidR="005C060B">
        <w:rPr>
          <w:rFonts w:asciiTheme="majorHAnsi" w:hAnsiTheme="majorHAnsi" w:cstheme="majorHAnsi"/>
          <w:sz w:val="24"/>
          <w:szCs w:val="24"/>
        </w:rPr>
        <w:t xml:space="preserve">are under represented within the student community. </w:t>
      </w:r>
      <w:r w:rsidR="00716504">
        <w:rPr>
          <w:rFonts w:asciiTheme="majorHAnsi" w:hAnsiTheme="majorHAnsi" w:cstheme="majorHAnsi"/>
          <w:sz w:val="24"/>
          <w:szCs w:val="24"/>
        </w:rPr>
        <w:t>Generally</w:t>
      </w:r>
      <w:r w:rsidR="00501930">
        <w:rPr>
          <w:rFonts w:asciiTheme="majorHAnsi" w:hAnsiTheme="majorHAnsi" w:cstheme="majorHAnsi"/>
          <w:sz w:val="24"/>
          <w:szCs w:val="24"/>
        </w:rPr>
        <w:t>,</w:t>
      </w:r>
      <w:r w:rsidR="00716504">
        <w:rPr>
          <w:rFonts w:asciiTheme="majorHAnsi" w:hAnsiTheme="majorHAnsi" w:cstheme="majorHAnsi"/>
          <w:sz w:val="24"/>
          <w:szCs w:val="24"/>
        </w:rPr>
        <w:t xml:space="preserve"> this extends to women, </w:t>
      </w:r>
      <w:r w:rsidR="00092FE4">
        <w:rPr>
          <w:rFonts w:asciiTheme="majorHAnsi" w:hAnsiTheme="majorHAnsi" w:cstheme="majorHAnsi"/>
          <w:sz w:val="24"/>
          <w:szCs w:val="24"/>
        </w:rPr>
        <w:t>people from low socio-economic backgrounds, mature students, those from minority ethnic backgrounds</w:t>
      </w:r>
      <w:r w:rsidR="002F3F0D">
        <w:rPr>
          <w:rFonts w:asciiTheme="majorHAnsi" w:hAnsiTheme="majorHAnsi" w:cstheme="majorHAnsi"/>
          <w:sz w:val="24"/>
          <w:szCs w:val="24"/>
        </w:rPr>
        <w:t xml:space="preserve">, people living </w:t>
      </w:r>
      <w:r w:rsidR="007D5552">
        <w:rPr>
          <w:rFonts w:asciiTheme="majorHAnsi" w:hAnsiTheme="majorHAnsi" w:cstheme="majorHAnsi"/>
          <w:sz w:val="24"/>
          <w:szCs w:val="24"/>
        </w:rPr>
        <w:t>in remote areas</w:t>
      </w:r>
      <w:r w:rsidR="00092FE4">
        <w:rPr>
          <w:rFonts w:asciiTheme="majorHAnsi" w:hAnsiTheme="majorHAnsi" w:cstheme="majorHAnsi"/>
          <w:sz w:val="24"/>
          <w:szCs w:val="24"/>
        </w:rPr>
        <w:t xml:space="preserve"> and people with disabilities (</w:t>
      </w:r>
      <w:r w:rsidR="00871996">
        <w:rPr>
          <w:rFonts w:asciiTheme="majorHAnsi" w:hAnsiTheme="majorHAnsi" w:cstheme="majorHAnsi"/>
          <w:sz w:val="24"/>
          <w:szCs w:val="24"/>
        </w:rPr>
        <w:t>Tight, 2014).</w:t>
      </w:r>
      <w:r w:rsidR="00E11596">
        <w:rPr>
          <w:rFonts w:asciiTheme="majorHAnsi" w:hAnsiTheme="majorHAnsi" w:cstheme="majorHAnsi"/>
          <w:sz w:val="24"/>
          <w:szCs w:val="24"/>
        </w:rPr>
        <w:t xml:space="preserve"> Universities are free to offer t</w:t>
      </w:r>
      <w:r w:rsidR="00B857FF">
        <w:rPr>
          <w:rFonts w:asciiTheme="majorHAnsi" w:hAnsiTheme="majorHAnsi" w:cstheme="majorHAnsi"/>
          <w:sz w:val="24"/>
          <w:szCs w:val="24"/>
        </w:rPr>
        <w:t>o whichever of these groups they feel would benefit from it the most</w:t>
      </w:r>
      <w:r w:rsidR="00B40FAC">
        <w:rPr>
          <w:rFonts w:asciiTheme="majorHAnsi" w:hAnsiTheme="majorHAnsi" w:cstheme="majorHAnsi"/>
          <w:sz w:val="24"/>
          <w:szCs w:val="24"/>
        </w:rPr>
        <w:t>, therefore being inclusive but only partly.</w:t>
      </w:r>
    </w:p>
    <w:p w14:paraId="717A8145" w14:textId="66253894" w:rsidR="007C3CF8" w:rsidRDefault="00B40FAC" w:rsidP="004F1996">
      <w:pPr>
        <w:spacing w:line="360" w:lineRule="auto"/>
        <w:rPr>
          <w:rFonts w:asciiTheme="majorHAnsi" w:hAnsiTheme="majorHAnsi" w:cstheme="majorHAnsi"/>
          <w:sz w:val="24"/>
          <w:szCs w:val="24"/>
        </w:rPr>
      </w:pPr>
      <w:r>
        <w:rPr>
          <w:rFonts w:asciiTheme="majorHAnsi" w:hAnsiTheme="majorHAnsi" w:cstheme="majorHAnsi"/>
          <w:sz w:val="24"/>
          <w:szCs w:val="24"/>
        </w:rPr>
        <w:tab/>
        <w:t>Ed</w:t>
      </w:r>
      <w:r w:rsidR="005E430B">
        <w:rPr>
          <w:rFonts w:asciiTheme="majorHAnsi" w:hAnsiTheme="majorHAnsi" w:cstheme="majorHAnsi"/>
          <w:sz w:val="24"/>
          <w:szCs w:val="24"/>
        </w:rPr>
        <w:t>inburgh</w:t>
      </w:r>
      <w:r>
        <w:rPr>
          <w:rFonts w:asciiTheme="majorHAnsi" w:hAnsiTheme="majorHAnsi" w:cstheme="majorHAnsi"/>
          <w:sz w:val="24"/>
          <w:szCs w:val="24"/>
        </w:rPr>
        <w:t xml:space="preserve"> University (2018) offer widening participation </w:t>
      </w:r>
      <w:r w:rsidR="000B21D6">
        <w:rPr>
          <w:rFonts w:asciiTheme="majorHAnsi" w:hAnsiTheme="majorHAnsi" w:cstheme="majorHAnsi"/>
          <w:sz w:val="24"/>
          <w:szCs w:val="24"/>
        </w:rPr>
        <w:t>to those with low socio-economic backgrounds and those from low participation schools and neighbourhoods.</w:t>
      </w:r>
      <w:r w:rsidR="007C3CF8">
        <w:rPr>
          <w:rFonts w:asciiTheme="majorHAnsi" w:hAnsiTheme="majorHAnsi" w:cstheme="majorHAnsi"/>
          <w:sz w:val="24"/>
          <w:szCs w:val="24"/>
        </w:rPr>
        <w:t xml:space="preserve"> They </w:t>
      </w:r>
      <w:r w:rsidR="007C3CF8">
        <w:rPr>
          <w:rFonts w:asciiTheme="majorHAnsi" w:hAnsiTheme="majorHAnsi" w:cstheme="majorHAnsi"/>
          <w:sz w:val="24"/>
          <w:szCs w:val="24"/>
        </w:rPr>
        <w:lastRenderedPageBreak/>
        <w:t>advise that the strategy helps to prepare peo</w:t>
      </w:r>
      <w:r w:rsidR="005E430B">
        <w:rPr>
          <w:rFonts w:asciiTheme="majorHAnsi" w:hAnsiTheme="majorHAnsi" w:cstheme="majorHAnsi"/>
          <w:sz w:val="24"/>
          <w:szCs w:val="24"/>
        </w:rPr>
        <w:t>p</w:t>
      </w:r>
      <w:r w:rsidR="007C3CF8">
        <w:rPr>
          <w:rFonts w:asciiTheme="majorHAnsi" w:hAnsiTheme="majorHAnsi" w:cstheme="majorHAnsi"/>
          <w:sz w:val="24"/>
          <w:szCs w:val="24"/>
        </w:rPr>
        <w:t xml:space="preserve">le for university, </w:t>
      </w:r>
      <w:r w:rsidR="005E430B">
        <w:rPr>
          <w:rFonts w:asciiTheme="majorHAnsi" w:hAnsiTheme="majorHAnsi" w:cstheme="majorHAnsi"/>
          <w:sz w:val="24"/>
          <w:szCs w:val="24"/>
        </w:rPr>
        <w:t>ensure success, improve employability, open the opportunity for postgraduate study and life-long learning.</w:t>
      </w:r>
    </w:p>
    <w:p w14:paraId="313BD65F" w14:textId="0CDA32CC" w:rsidR="0020058B" w:rsidRDefault="00DA627F" w:rsidP="004F1996">
      <w:pPr>
        <w:spacing w:line="360" w:lineRule="auto"/>
        <w:rPr>
          <w:rFonts w:asciiTheme="majorHAnsi" w:hAnsiTheme="majorHAnsi" w:cstheme="majorHAnsi"/>
          <w:sz w:val="24"/>
          <w:szCs w:val="24"/>
        </w:rPr>
      </w:pPr>
      <w:r>
        <w:rPr>
          <w:rFonts w:asciiTheme="majorHAnsi" w:hAnsiTheme="majorHAnsi" w:cstheme="majorHAnsi"/>
          <w:sz w:val="24"/>
          <w:szCs w:val="24"/>
        </w:rPr>
        <w:tab/>
        <w:t xml:space="preserve">This policy </w:t>
      </w:r>
      <w:r w:rsidR="00921A0E">
        <w:rPr>
          <w:rFonts w:asciiTheme="majorHAnsi" w:hAnsiTheme="majorHAnsi" w:cstheme="majorHAnsi"/>
          <w:sz w:val="24"/>
          <w:szCs w:val="24"/>
        </w:rPr>
        <w:t>has been in place in the UK for a long time and has shown such success that it has survived the devolution of the UK Government and is policy in Wales, Scotland and Northern Ireland as well as England (Tight, 2014).</w:t>
      </w:r>
      <w:r w:rsidR="00DD1FFA">
        <w:rPr>
          <w:rFonts w:asciiTheme="majorHAnsi" w:hAnsiTheme="majorHAnsi" w:cstheme="majorHAnsi"/>
          <w:sz w:val="24"/>
          <w:szCs w:val="24"/>
        </w:rPr>
        <w:t xml:space="preserve"> UK Government statistics </w:t>
      </w:r>
      <w:r w:rsidR="006F31D5">
        <w:rPr>
          <w:rFonts w:asciiTheme="majorHAnsi" w:hAnsiTheme="majorHAnsi" w:cstheme="majorHAnsi"/>
          <w:sz w:val="24"/>
          <w:szCs w:val="24"/>
        </w:rPr>
        <w:t xml:space="preserve">show a clear increase in children </w:t>
      </w:r>
      <w:r w:rsidR="00095ADA">
        <w:rPr>
          <w:rFonts w:asciiTheme="majorHAnsi" w:hAnsiTheme="majorHAnsi" w:cstheme="majorHAnsi"/>
          <w:sz w:val="24"/>
          <w:szCs w:val="24"/>
        </w:rPr>
        <w:t xml:space="preserve">from a low socio-economic background </w:t>
      </w:r>
      <w:r w:rsidR="006F31D5">
        <w:rPr>
          <w:rFonts w:asciiTheme="majorHAnsi" w:hAnsiTheme="majorHAnsi" w:cstheme="majorHAnsi"/>
          <w:sz w:val="24"/>
          <w:szCs w:val="24"/>
        </w:rPr>
        <w:t xml:space="preserve">entering higher education between 2008/2009 to 2016/2017. </w:t>
      </w:r>
      <w:r w:rsidR="00095ADA">
        <w:rPr>
          <w:rFonts w:asciiTheme="majorHAnsi" w:hAnsiTheme="majorHAnsi" w:cstheme="majorHAnsi"/>
          <w:sz w:val="24"/>
          <w:szCs w:val="24"/>
        </w:rPr>
        <w:t xml:space="preserve">The statistics use the provision of free school meals to identify those from a low socio-economic background. </w:t>
      </w:r>
      <w:r w:rsidR="006F31D5">
        <w:rPr>
          <w:rFonts w:asciiTheme="majorHAnsi" w:hAnsiTheme="majorHAnsi" w:cstheme="majorHAnsi"/>
          <w:sz w:val="24"/>
          <w:szCs w:val="24"/>
        </w:rPr>
        <w:t>In the 2008/2009 academic year, the statistics show</w:t>
      </w:r>
      <w:r w:rsidR="000870E6">
        <w:rPr>
          <w:rFonts w:asciiTheme="majorHAnsi" w:hAnsiTheme="majorHAnsi" w:cstheme="majorHAnsi"/>
          <w:sz w:val="24"/>
          <w:szCs w:val="24"/>
        </w:rPr>
        <w:t xml:space="preserve"> that 17.4% of people who were provided free school meals at school attended higher education by the time they were 19 years old. By the 2016/2017 academic year this had risen to 25.6% (UK Gov, 2018).</w:t>
      </w:r>
      <w:r w:rsidR="005421FF">
        <w:rPr>
          <w:rFonts w:asciiTheme="majorHAnsi" w:hAnsiTheme="majorHAnsi" w:cstheme="majorHAnsi"/>
          <w:sz w:val="24"/>
          <w:szCs w:val="24"/>
        </w:rPr>
        <w:t xml:space="preserve"> The statistics also show a drastic increase </w:t>
      </w:r>
      <w:r w:rsidR="0019534D">
        <w:rPr>
          <w:rFonts w:asciiTheme="majorHAnsi" w:hAnsiTheme="majorHAnsi" w:cstheme="majorHAnsi"/>
          <w:sz w:val="24"/>
          <w:szCs w:val="24"/>
        </w:rPr>
        <w:t xml:space="preserve">between the 2011/2012 academic year and the 2016/2017 academic year when looking at job attainment within 6 months of graduating. They show </w:t>
      </w:r>
      <w:r w:rsidR="00526BB9">
        <w:rPr>
          <w:rFonts w:asciiTheme="majorHAnsi" w:hAnsiTheme="majorHAnsi" w:cstheme="majorHAnsi"/>
          <w:sz w:val="24"/>
          <w:szCs w:val="24"/>
        </w:rPr>
        <w:t>the percentage rise from 67.0% to 76.1% within this time (UK Gov, 2018).</w:t>
      </w:r>
    </w:p>
    <w:p w14:paraId="29DB7F52" w14:textId="085C7DBA" w:rsidR="006E4B07" w:rsidRDefault="006E4B07" w:rsidP="004F1996">
      <w:pPr>
        <w:spacing w:line="360" w:lineRule="auto"/>
        <w:rPr>
          <w:rFonts w:asciiTheme="majorHAnsi" w:hAnsiTheme="majorHAnsi" w:cstheme="majorHAnsi"/>
          <w:sz w:val="24"/>
          <w:szCs w:val="24"/>
        </w:rPr>
      </w:pPr>
      <w:r>
        <w:rPr>
          <w:rFonts w:asciiTheme="majorHAnsi" w:hAnsiTheme="majorHAnsi" w:cstheme="majorHAnsi"/>
          <w:sz w:val="24"/>
          <w:szCs w:val="24"/>
        </w:rPr>
        <w:tab/>
      </w:r>
      <w:r w:rsidR="004B04DE">
        <w:rPr>
          <w:rFonts w:asciiTheme="majorHAnsi" w:hAnsiTheme="majorHAnsi" w:cstheme="majorHAnsi"/>
          <w:sz w:val="24"/>
          <w:szCs w:val="24"/>
        </w:rPr>
        <w:t xml:space="preserve">Coventry University (2018, </w:t>
      </w:r>
      <w:r w:rsidR="004B04DE">
        <w:rPr>
          <w:rFonts w:asciiTheme="majorHAnsi" w:hAnsiTheme="majorHAnsi" w:cstheme="majorHAnsi"/>
          <w:i/>
          <w:sz w:val="24"/>
          <w:szCs w:val="24"/>
        </w:rPr>
        <w:t xml:space="preserve">cited in </w:t>
      </w:r>
      <w:r w:rsidR="004B04DE">
        <w:rPr>
          <w:rFonts w:asciiTheme="majorHAnsi" w:hAnsiTheme="majorHAnsi" w:cstheme="majorHAnsi"/>
          <w:sz w:val="24"/>
          <w:szCs w:val="24"/>
        </w:rPr>
        <w:t>Armstrong, 2018) shares their policy on widening participation:</w:t>
      </w:r>
    </w:p>
    <w:p w14:paraId="5F4FF8F9" w14:textId="07066B64" w:rsidR="004B04DE" w:rsidRPr="00635502" w:rsidRDefault="00635502" w:rsidP="00635502">
      <w:pPr>
        <w:spacing w:line="240" w:lineRule="auto"/>
        <w:jc w:val="center"/>
        <w:rPr>
          <w:rFonts w:asciiTheme="majorHAnsi" w:hAnsiTheme="majorHAnsi" w:cstheme="majorHAnsi"/>
          <w:sz w:val="20"/>
          <w:szCs w:val="20"/>
        </w:rPr>
      </w:pPr>
      <w:r w:rsidRPr="00635502">
        <w:rPr>
          <w:rStyle w:val="Emphasis"/>
          <w:rFonts w:asciiTheme="majorHAnsi" w:hAnsiTheme="majorHAnsi" w:cstheme="majorHAnsi"/>
          <w:color w:val="333333"/>
          <w:sz w:val="20"/>
          <w:szCs w:val="20"/>
        </w:rPr>
        <w:t>"This agenda is a philosophical position taken by the recent government to re-structure Higher Education and is based upon notions of equality. The aim of this agenda is to offer opportunities to groups within the population, who are under-represented in Higher Education, notably those from socio economic groups III-V; people with disabilities; people from specific ethnic minorities."</w:t>
      </w:r>
    </w:p>
    <w:p w14:paraId="2A90C2C2" w14:textId="2136D873" w:rsidR="003D77EC" w:rsidRDefault="00EC7343" w:rsidP="004F1996">
      <w:pPr>
        <w:spacing w:line="360" w:lineRule="auto"/>
        <w:rPr>
          <w:rFonts w:asciiTheme="majorHAnsi" w:hAnsiTheme="majorHAnsi" w:cstheme="majorHAnsi"/>
          <w:sz w:val="24"/>
          <w:szCs w:val="24"/>
        </w:rPr>
      </w:pPr>
      <w:r>
        <w:rPr>
          <w:rFonts w:asciiTheme="majorHAnsi" w:hAnsiTheme="majorHAnsi" w:cstheme="majorHAnsi"/>
          <w:sz w:val="24"/>
          <w:szCs w:val="24"/>
        </w:rPr>
        <w:tab/>
        <w:t xml:space="preserve">Once students have entered higher education with help from widening participation </w:t>
      </w:r>
      <w:r w:rsidR="00BE10F5">
        <w:rPr>
          <w:rFonts w:asciiTheme="majorHAnsi" w:hAnsiTheme="majorHAnsi" w:cstheme="majorHAnsi"/>
          <w:sz w:val="24"/>
          <w:szCs w:val="24"/>
        </w:rPr>
        <w:t xml:space="preserve">there is always a chance that without continued </w:t>
      </w:r>
      <w:r w:rsidR="00067266">
        <w:rPr>
          <w:rFonts w:asciiTheme="majorHAnsi" w:hAnsiTheme="majorHAnsi" w:cstheme="majorHAnsi"/>
          <w:sz w:val="24"/>
          <w:szCs w:val="24"/>
        </w:rPr>
        <w:t>support,</w:t>
      </w:r>
      <w:r w:rsidR="00BE10F5">
        <w:rPr>
          <w:rFonts w:asciiTheme="majorHAnsi" w:hAnsiTheme="majorHAnsi" w:cstheme="majorHAnsi"/>
          <w:sz w:val="24"/>
          <w:szCs w:val="24"/>
        </w:rPr>
        <w:t xml:space="preserve"> they will not complete their studies (Mullen, 2010).</w:t>
      </w:r>
      <w:r w:rsidR="00067266">
        <w:rPr>
          <w:rFonts w:asciiTheme="majorHAnsi" w:hAnsiTheme="majorHAnsi" w:cstheme="majorHAnsi"/>
          <w:sz w:val="24"/>
          <w:szCs w:val="24"/>
        </w:rPr>
        <w:t xml:space="preserve"> </w:t>
      </w:r>
      <w:r w:rsidR="00843F24">
        <w:rPr>
          <w:rFonts w:asciiTheme="majorHAnsi" w:hAnsiTheme="majorHAnsi" w:cstheme="majorHAnsi"/>
          <w:sz w:val="24"/>
          <w:szCs w:val="24"/>
        </w:rPr>
        <w:t xml:space="preserve">An example of this would be the social pressures that higher education puts on a person. If you are attending higher education for the first time it can be daunting, and some people may </w:t>
      </w:r>
      <w:r w:rsidR="00D62BF0">
        <w:rPr>
          <w:rFonts w:asciiTheme="majorHAnsi" w:hAnsiTheme="majorHAnsi" w:cstheme="majorHAnsi"/>
          <w:sz w:val="24"/>
          <w:szCs w:val="24"/>
        </w:rPr>
        <w:t>not enjoy that environment and without the correct support in place, they may miss lessons or drop out completely.</w:t>
      </w:r>
    </w:p>
    <w:p w14:paraId="501A77E3" w14:textId="23278893" w:rsidR="00DA6F49" w:rsidRDefault="00DA6F49" w:rsidP="00DA6F49">
      <w:pPr>
        <w:pStyle w:val="Heading2"/>
        <w:spacing w:line="360" w:lineRule="auto"/>
      </w:pPr>
      <w:r>
        <w:t>Differentiation</w:t>
      </w:r>
    </w:p>
    <w:p w14:paraId="3EAF2474" w14:textId="675901FE" w:rsidR="00DA6F49" w:rsidRDefault="00DA6F49" w:rsidP="00DA6F49">
      <w:pPr>
        <w:spacing w:line="360" w:lineRule="auto"/>
        <w:rPr>
          <w:rFonts w:asciiTheme="majorHAnsi" w:hAnsiTheme="majorHAnsi" w:cstheme="majorHAnsi"/>
          <w:sz w:val="24"/>
          <w:szCs w:val="24"/>
        </w:rPr>
      </w:pPr>
      <w:r>
        <w:tab/>
      </w:r>
      <w:r w:rsidR="003A2D62">
        <w:rPr>
          <w:rFonts w:asciiTheme="majorHAnsi" w:hAnsiTheme="majorHAnsi" w:cstheme="majorHAnsi"/>
          <w:sz w:val="24"/>
          <w:szCs w:val="24"/>
        </w:rPr>
        <w:t xml:space="preserve">Differentiation is a </w:t>
      </w:r>
      <w:r w:rsidR="00EC0AAB">
        <w:rPr>
          <w:rFonts w:asciiTheme="majorHAnsi" w:hAnsiTheme="majorHAnsi" w:cstheme="majorHAnsi"/>
          <w:sz w:val="24"/>
          <w:szCs w:val="24"/>
        </w:rPr>
        <w:t>pedagogical strategy that celebrates individuality within a class. It allows for different students to be able to access the same course in different ways.</w:t>
      </w:r>
      <w:r w:rsidR="00482854">
        <w:rPr>
          <w:rFonts w:asciiTheme="majorHAnsi" w:hAnsiTheme="majorHAnsi" w:cstheme="majorHAnsi"/>
          <w:sz w:val="24"/>
          <w:szCs w:val="24"/>
        </w:rPr>
        <w:t xml:space="preserve"> Differentiation uses people</w:t>
      </w:r>
      <w:r w:rsidR="00A675C7">
        <w:rPr>
          <w:rFonts w:asciiTheme="majorHAnsi" w:hAnsiTheme="majorHAnsi" w:cstheme="majorHAnsi"/>
          <w:sz w:val="24"/>
          <w:szCs w:val="24"/>
        </w:rPr>
        <w:t>’</w:t>
      </w:r>
      <w:r w:rsidR="00482854">
        <w:rPr>
          <w:rFonts w:asciiTheme="majorHAnsi" w:hAnsiTheme="majorHAnsi" w:cstheme="majorHAnsi"/>
          <w:sz w:val="24"/>
          <w:szCs w:val="24"/>
        </w:rPr>
        <w:t>s differences to tailor their learning experience to them so that everyone in the class has the chance to succeed within higher education (Tomlinson, 2001).</w:t>
      </w:r>
    </w:p>
    <w:p w14:paraId="5CAE4949" w14:textId="765E3477" w:rsidR="002C276E" w:rsidRDefault="00900D38" w:rsidP="00900D38">
      <w:pPr>
        <w:spacing w:line="360" w:lineRule="auto"/>
        <w:ind w:firstLine="720"/>
        <w:rPr>
          <w:rFonts w:asciiTheme="majorHAnsi" w:hAnsiTheme="majorHAnsi" w:cstheme="majorHAnsi"/>
          <w:sz w:val="24"/>
          <w:szCs w:val="24"/>
        </w:rPr>
      </w:pPr>
      <w:r>
        <w:rPr>
          <w:rFonts w:asciiTheme="majorHAnsi" w:hAnsiTheme="majorHAnsi" w:cstheme="majorHAnsi"/>
          <w:sz w:val="24"/>
          <w:szCs w:val="24"/>
        </w:rPr>
        <w:lastRenderedPageBreak/>
        <w:t xml:space="preserve">Differentiated classes are </w:t>
      </w:r>
      <w:r w:rsidRPr="00900D38">
        <w:rPr>
          <w:rFonts w:asciiTheme="majorHAnsi" w:hAnsiTheme="majorHAnsi" w:cstheme="majorHAnsi"/>
          <w:sz w:val="24"/>
          <w:szCs w:val="24"/>
        </w:rPr>
        <w:t>"responsive to students' varying readiness levels, varying interests, and varying learning profiles”</w:t>
      </w:r>
      <w:r>
        <w:rPr>
          <w:rFonts w:asciiTheme="majorHAnsi" w:hAnsiTheme="majorHAnsi" w:cstheme="majorHAnsi"/>
          <w:sz w:val="24"/>
          <w:szCs w:val="24"/>
        </w:rPr>
        <w:t xml:space="preserve"> (</w:t>
      </w:r>
      <w:r w:rsidR="0005223C">
        <w:rPr>
          <w:rFonts w:asciiTheme="majorHAnsi" w:hAnsiTheme="majorHAnsi" w:cstheme="majorHAnsi"/>
          <w:sz w:val="24"/>
          <w:szCs w:val="24"/>
        </w:rPr>
        <w:t xml:space="preserve">Tomlinson &amp; </w:t>
      </w:r>
      <w:proofErr w:type="spellStart"/>
      <w:r w:rsidR="0005223C">
        <w:rPr>
          <w:rFonts w:asciiTheme="majorHAnsi" w:hAnsiTheme="majorHAnsi" w:cstheme="majorHAnsi"/>
          <w:sz w:val="24"/>
          <w:szCs w:val="24"/>
        </w:rPr>
        <w:t>Kabfleisch</w:t>
      </w:r>
      <w:proofErr w:type="spellEnd"/>
      <w:r w:rsidR="0005223C">
        <w:rPr>
          <w:rFonts w:asciiTheme="majorHAnsi" w:hAnsiTheme="majorHAnsi" w:cstheme="majorHAnsi"/>
          <w:sz w:val="24"/>
          <w:szCs w:val="24"/>
        </w:rPr>
        <w:t xml:space="preserve">, 1998, </w:t>
      </w:r>
      <w:r w:rsidR="0005223C">
        <w:rPr>
          <w:rFonts w:asciiTheme="majorHAnsi" w:hAnsiTheme="majorHAnsi" w:cstheme="majorHAnsi"/>
          <w:i/>
          <w:sz w:val="24"/>
          <w:szCs w:val="24"/>
        </w:rPr>
        <w:t xml:space="preserve">cited in </w:t>
      </w:r>
      <w:r w:rsidR="0005223C">
        <w:rPr>
          <w:rFonts w:asciiTheme="majorHAnsi" w:hAnsiTheme="majorHAnsi" w:cstheme="majorHAnsi"/>
          <w:sz w:val="24"/>
          <w:szCs w:val="24"/>
        </w:rPr>
        <w:t>Lawrence-Brown, 2004</w:t>
      </w:r>
      <w:r w:rsidR="00B35A00">
        <w:rPr>
          <w:rFonts w:asciiTheme="majorHAnsi" w:hAnsiTheme="majorHAnsi" w:cstheme="majorHAnsi"/>
          <w:sz w:val="24"/>
          <w:szCs w:val="24"/>
        </w:rPr>
        <w:t>.</w:t>
      </w:r>
      <w:r w:rsidR="006B15E8">
        <w:rPr>
          <w:rFonts w:asciiTheme="majorHAnsi" w:hAnsiTheme="majorHAnsi" w:cstheme="majorHAnsi"/>
          <w:sz w:val="24"/>
          <w:szCs w:val="24"/>
        </w:rPr>
        <w:t xml:space="preserve"> p.37</w:t>
      </w:r>
      <w:r w:rsidR="0005223C">
        <w:rPr>
          <w:rFonts w:asciiTheme="majorHAnsi" w:hAnsiTheme="majorHAnsi" w:cstheme="majorHAnsi"/>
          <w:sz w:val="24"/>
          <w:szCs w:val="24"/>
        </w:rPr>
        <w:t>).</w:t>
      </w:r>
      <w:r w:rsidR="00A66B38">
        <w:rPr>
          <w:rFonts w:asciiTheme="majorHAnsi" w:hAnsiTheme="majorHAnsi" w:cstheme="majorHAnsi"/>
          <w:sz w:val="24"/>
          <w:szCs w:val="24"/>
        </w:rPr>
        <w:t xml:space="preserve"> Most differentiation strategies tend to focus on SEN students or students with additional learning needs.</w:t>
      </w:r>
    </w:p>
    <w:p w14:paraId="0D91BC15" w14:textId="31421417" w:rsidR="005A528B" w:rsidRDefault="005A528B" w:rsidP="00900D38">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In order to create an inclusive classroom environment </w:t>
      </w:r>
      <w:r w:rsidR="00C6490A">
        <w:rPr>
          <w:rFonts w:asciiTheme="majorHAnsi" w:hAnsiTheme="majorHAnsi" w:cstheme="majorHAnsi"/>
          <w:sz w:val="24"/>
          <w:szCs w:val="24"/>
        </w:rPr>
        <w:t>utilising differentiation there are 3 main steps that should be followed:</w:t>
      </w:r>
    </w:p>
    <w:p w14:paraId="4F0971B3" w14:textId="19E6DB9D" w:rsidR="00C6490A" w:rsidRDefault="00C6490A" w:rsidP="00C6490A">
      <w:pPr>
        <w:pStyle w:val="ListParagraph"/>
        <w:numPr>
          <w:ilvl w:val="0"/>
          <w:numId w:val="6"/>
        </w:numPr>
        <w:spacing w:line="360" w:lineRule="auto"/>
        <w:rPr>
          <w:rFonts w:asciiTheme="majorHAnsi" w:hAnsiTheme="majorHAnsi" w:cstheme="majorHAnsi"/>
          <w:sz w:val="24"/>
          <w:szCs w:val="24"/>
        </w:rPr>
      </w:pPr>
      <w:r>
        <w:rPr>
          <w:rFonts w:asciiTheme="majorHAnsi" w:hAnsiTheme="majorHAnsi" w:cstheme="majorHAnsi"/>
          <w:sz w:val="24"/>
          <w:szCs w:val="24"/>
        </w:rPr>
        <w:t>Promoting active learning</w:t>
      </w:r>
    </w:p>
    <w:p w14:paraId="4883DCFE" w14:textId="41F68ED7" w:rsidR="00B636C3" w:rsidRDefault="00B636C3" w:rsidP="00B636C3">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 xml:space="preserve">Hands on experience </w:t>
      </w:r>
    </w:p>
    <w:p w14:paraId="2AD29AFC" w14:textId="18C11A1D" w:rsidR="00B636C3" w:rsidRDefault="00B636C3" w:rsidP="00B636C3">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Multi-sensory activities</w:t>
      </w:r>
    </w:p>
    <w:p w14:paraId="43139517" w14:textId="0A39B6F8" w:rsidR="00B636C3" w:rsidRDefault="00B636C3" w:rsidP="00B636C3">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Real life concepts</w:t>
      </w:r>
    </w:p>
    <w:p w14:paraId="632CF3DA" w14:textId="4B83EB15" w:rsidR="00B636C3" w:rsidRDefault="00B636C3" w:rsidP="00B636C3">
      <w:pPr>
        <w:pStyle w:val="ListParagraph"/>
        <w:spacing w:line="360" w:lineRule="auto"/>
        <w:ind w:left="5760"/>
        <w:rPr>
          <w:rFonts w:asciiTheme="majorHAnsi" w:hAnsiTheme="majorHAnsi" w:cstheme="majorHAnsi"/>
          <w:sz w:val="24"/>
          <w:szCs w:val="24"/>
        </w:rPr>
      </w:pPr>
      <w:r>
        <w:rPr>
          <w:rFonts w:asciiTheme="majorHAnsi" w:hAnsiTheme="majorHAnsi" w:cstheme="majorHAnsi"/>
          <w:sz w:val="24"/>
          <w:szCs w:val="24"/>
        </w:rPr>
        <w:t>(Lawrence-Brown, 2004)</w:t>
      </w:r>
      <w:r w:rsidR="00C2409A">
        <w:rPr>
          <w:rFonts w:asciiTheme="majorHAnsi" w:hAnsiTheme="majorHAnsi" w:cstheme="majorHAnsi"/>
          <w:sz w:val="24"/>
          <w:szCs w:val="24"/>
        </w:rPr>
        <w:t>.</w:t>
      </w:r>
    </w:p>
    <w:p w14:paraId="438DF6B5" w14:textId="61EA0857" w:rsidR="005E28A1" w:rsidRDefault="005E28A1" w:rsidP="005E28A1">
      <w:pPr>
        <w:pStyle w:val="ListParagraph"/>
        <w:numPr>
          <w:ilvl w:val="0"/>
          <w:numId w:val="6"/>
        </w:numPr>
        <w:spacing w:line="360" w:lineRule="auto"/>
        <w:rPr>
          <w:rFonts w:asciiTheme="majorHAnsi" w:hAnsiTheme="majorHAnsi" w:cstheme="majorHAnsi"/>
          <w:sz w:val="24"/>
          <w:szCs w:val="24"/>
        </w:rPr>
      </w:pPr>
      <w:r>
        <w:rPr>
          <w:rFonts w:asciiTheme="majorHAnsi" w:hAnsiTheme="majorHAnsi" w:cstheme="majorHAnsi"/>
          <w:sz w:val="24"/>
          <w:szCs w:val="24"/>
        </w:rPr>
        <w:t>Connect the subject with the students via:</w:t>
      </w:r>
    </w:p>
    <w:p w14:paraId="6A4EE871" w14:textId="0024DFF3" w:rsidR="005E28A1" w:rsidRDefault="005E28A1" w:rsidP="005E28A1">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Their interests (Warner &amp; Cheney, 1996)</w:t>
      </w:r>
    </w:p>
    <w:p w14:paraId="21B02879" w14:textId="013823FE" w:rsidR="00893AB9" w:rsidRDefault="00893AB9" w:rsidP="005E28A1">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Their communities (Gladdens, 2002)</w:t>
      </w:r>
    </w:p>
    <w:p w14:paraId="61C986BC" w14:textId="2F2F5433" w:rsidR="00893AB9" w:rsidRDefault="00893AB9" w:rsidP="005E28A1">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Their experiences (Hollins &amp; Oliver, 1999)</w:t>
      </w:r>
    </w:p>
    <w:p w14:paraId="45BDF195" w14:textId="37B8E708" w:rsidR="00893AB9" w:rsidRDefault="00893AB9" w:rsidP="00893AB9">
      <w:pPr>
        <w:pStyle w:val="ListParagraph"/>
        <w:spacing w:line="360" w:lineRule="auto"/>
        <w:ind w:left="5760"/>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i/>
          <w:sz w:val="24"/>
          <w:szCs w:val="24"/>
        </w:rPr>
        <w:t xml:space="preserve">all cited in </w:t>
      </w:r>
      <w:r>
        <w:rPr>
          <w:rFonts w:asciiTheme="majorHAnsi" w:hAnsiTheme="majorHAnsi" w:cstheme="majorHAnsi"/>
          <w:sz w:val="24"/>
          <w:szCs w:val="24"/>
        </w:rPr>
        <w:t>Lawrence-Brown, 2004)</w:t>
      </w:r>
      <w:r w:rsidR="00C2409A">
        <w:rPr>
          <w:rFonts w:asciiTheme="majorHAnsi" w:hAnsiTheme="majorHAnsi" w:cstheme="majorHAnsi"/>
          <w:sz w:val="24"/>
          <w:szCs w:val="24"/>
        </w:rPr>
        <w:t>.</w:t>
      </w:r>
    </w:p>
    <w:p w14:paraId="19A4B5C8" w14:textId="4541117C" w:rsidR="00BC704B" w:rsidRDefault="00BC704B" w:rsidP="00BC704B">
      <w:pPr>
        <w:pStyle w:val="ListParagraph"/>
        <w:numPr>
          <w:ilvl w:val="0"/>
          <w:numId w:val="6"/>
        </w:numPr>
        <w:spacing w:line="360" w:lineRule="auto"/>
        <w:rPr>
          <w:rFonts w:asciiTheme="majorHAnsi" w:hAnsiTheme="majorHAnsi" w:cstheme="majorHAnsi"/>
          <w:sz w:val="24"/>
          <w:szCs w:val="24"/>
        </w:rPr>
      </w:pPr>
      <w:r>
        <w:rPr>
          <w:rFonts w:asciiTheme="majorHAnsi" w:hAnsiTheme="majorHAnsi" w:cstheme="majorHAnsi"/>
          <w:sz w:val="24"/>
          <w:szCs w:val="24"/>
        </w:rPr>
        <w:t>Incorporate multiple intelligences and learning styles such as:</w:t>
      </w:r>
    </w:p>
    <w:p w14:paraId="22BE0F35" w14:textId="551D8157" w:rsidR="00BC704B" w:rsidRDefault="00BC704B" w:rsidP="00BC704B">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Kinaesthetic</w:t>
      </w:r>
    </w:p>
    <w:p w14:paraId="47FC327A" w14:textId="46EA9880" w:rsidR="00BC704B" w:rsidRDefault="00BC704B" w:rsidP="00BC704B">
      <w:pPr>
        <w:pStyle w:val="ListParagraph"/>
        <w:numPr>
          <w:ilvl w:val="1"/>
          <w:numId w:val="6"/>
        </w:numPr>
        <w:spacing w:line="360" w:lineRule="auto"/>
        <w:rPr>
          <w:rFonts w:asciiTheme="majorHAnsi" w:hAnsiTheme="majorHAnsi" w:cstheme="majorHAnsi"/>
          <w:sz w:val="24"/>
          <w:szCs w:val="24"/>
        </w:rPr>
      </w:pPr>
      <w:r>
        <w:rPr>
          <w:rFonts w:asciiTheme="majorHAnsi" w:hAnsiTheme="majorHAnsi" w:cstheme="majorHAnsi"/>
          <w:sz w:val="24"/>
          <w:szCs w:val="24"/>
        </w:rPr>
        <w:t>Audio</w:t>
      </w:r>
    </w:p>
    <w:p w14:paraId="50BCBC3D" w14:textId="5489987C" w:rsidR="00DA6F49" w:rsidRPr="00C2409A" w:rsidRDefault="00BC704B" w:rsidP="00DA6F49">
      <w:pPr>
        <w:pStyle w:val="ListParagraph"/>
        <w:numPr>
          <w:ilvl w:val="1"/>
          <w:numId w:val="6"/>
        </w:numPr>
        <w:spacing w:line="360" w:lineRule="auto"/>
      </w:pPr>
      <w:r w:rsidRPr="00C2409A">
        <w:rPr>
          <w:rFonts w:asciiTheme="majorHAnsi" w:hAnsiTheme="majorHAnsi" w:cstheme="majorHAnsi"/>
          <w:sz w:val="24"/>
          <w:szCs w:val="24"/>
        </w:rPr>
        <w:t xml:space="preserve">Visual </w:t>
      </w:r>
    </w:p>
    <w:p w14:paraId="3DABBDBD" w14:textId="1EDE61EB" w:rsidR="00C2409A" w:rsidRPr="007806C1" w:rsidRDefault="00C2409A" w:rsidP="00C2409A">
      <w:pPr>
        <w:pStyle w:val="ListParagraph"/>
        <w:spacing w:line="360" w:lineRule="auto"/>
        <w:ind w:left="5760"/>
        <w:rPr>
          <w:rFonts w:asciiTheme="majorHAnsi" w:hAnsiTheme="majorHAnsi" w:cstheme="majorHAnsi"/>
          <w:sz w:val="24"/>
          <w:szCs w:val="24"/>
        </w:rPr>
      </w:pPr>
      <w:r w:rsidRPr="007806C1">
        <w:rPr>
          <w:rFonts w:asciiTheme="majorHAnsi" w:hAnsiTheme="majorHAnsi" w:cstheme="majorHAnsi"/>
          <w:sz w:val="24"/>
          <w:szCs w:val="24"/>
        </w:rPr>
        <w:t>(Lawrence-Brown, 2004).</w:t>
      </w:r>
    </w:p>
    <w:p w14:paraId="545F2D51" w14:textId="2C5E85F7" w:rsidR="00C2409A" w:rsidRPr="007806C1" w:rsidRDefault="004F2327" w:rsidP="00C2409A">
      <w:pPr>
        <w:spacing w:line="360" w:lineRule="auto"/>
        <w:rPr>
          <w:rFonts w:asciiTheme="majorHAnsi" w:hAnsiTheme="majorHAnsi" w:cstheme="majorHAnsi"/>
          <w:sz w:val="24"/>
          <w:szCs w:val="24"/>
        </w:rPr>
      </w:pPr>
      <w:r w:rsidRPr="007806C1">
        <w:rPr>
          <w:rFonts w:asciiTheme="majorHAnsi" w:hAnsiTheme="majorHAnsi" w:cstheme="majorHAnsi"/>
          <w:sz w:val="24"/>
          <w:szCs w:val="24"/>
        </w:rPr>
        <w:tab/>
        <w:t xml:space="preserve">Promoting active learning using the above </w:t>
      </w:r>
      <w:r w:rsidR="00A66B38" w:rsidRPr="007806C1">
        <w:rPr>
          <w:rFonts w:asciiTheme="majorHAnsi" w:hAnsiTheme="majorHAnsi" w:cstheme="majorHAnsi"/>
          <w:sz w:val="24"/>
          <w:szCs w:val="24"/>
        </w:rPr>
        <w:t xml:space="preserve">options would allow for a greater understanding of the lesson for someone with additional learning needs </w:t>
      </w:r>
      <w:r w:rsidR="005B7527" w:rsidRPr="007806C1">
        <w:rPr>
          <w:rFonts w:asciiTheme="majorHAnsi" w:hAnsiTheme="majorHAnsi" w:cstheme="majorHAnsi"/>
          <w:sz w:val="24"/>
          <w:szCs w:val="24"/>
        </w:rPr>
        <w:t>as they would not only be able to relate the learning to real life but would be able to learn in an alternative way if the regular academic route is difficult for them. Connecting the subjects to the student</w:t>
      </w:r>
      <w:r w:rsidR="008F22F3" w:rsidRPr="007806C1">
        <w:rPr>
          <w:rFonts w:asciiTheme="majorHAnsi" w:hAnsiTheme="majorHAnsi" w:cstheme="majorHAnsi"/>
          <w:sz w:val="24"/>
          <w:szCs w:val="24"/>
        </w:rPr>
        <w:t>’</w:t>
      </w:r>
      <w:r w:rsidR="005B7527" w:rsidRPr="007806C1">
        <w:rPr>
          <w:rFonts w:asciiTheme="majorHAnsi" w:hAnsiTheme="majorHAnsi" w:cstheme="majorHAnsi"/>
          <w:sz w:val="24"/>
          <w:szCs w:val="24"/>
        </w:rPr>
        <w:t xml:space="preserve">s interests, communities and experiences would also allow them to relate the learning to real life, but also </w:t>
      </w:r>
      <w:r w:rsidR="0055751F" w:rsidRPr="007806C1">
        <w:rPr>
          <w:rFonts w:asciiTheme="majorHAnsi" w:hAnsiTheme="majorHAnsi" w:cstheme="majorHAnsi"/>
          <w:sz w:val="24"/>
          <w:szCs w:val="24"/>
        </w:rPr>
        <w:t xml:space="preserve">may provide better context if they struggle to understand the concept of the learning outcomes. </w:t>
      </w:r>
      <w:r w:rsidR="008F22F3" w:rsidRPr="007806C1">
        <w:rPr>
          <w:rFonts w:asciiTheme="majorHAnsi" w:hAnsiTheme="majorHAnsi" w:cstheme="majorHAnsi"/>
          <w:sz w:val="24"/>
          <w:szCs w:val="24"/>
        </w:rPr>
        <w:t>Incorporating</w:t>
      </w:r>
      <w:r w:rsidR="0055751F" w:rsidRPr="007806C1">
        <w:rPr>
          <w:rFonts w:asciiTheme="majorHAnsi" w:hAnsiTheme="majorHAnsi" w:cstheme="majorHAnsi"/>
          <w:sz w:val="24"/>
          <w:szCs w:val="24"/>
        </w:rPr>
        <w:t xml:space="preserve"> multiple intelligences and utilising different learning styles </w:t>
      </w:r>
      <w:r w:rsidR="0055751F" w:rsidRPr="007806C1">
        <w:rPr>
          <w:rFonts w:asciiTheme="majorHAnsi" w:hAnsiTheme="majorHAnsi" w:cstheme="majorHAnsi"/>
          <w:sz w:val="24"/>
          <w:szCs w:val="24"/>
        </w:rPr>
        <w:lastRenderedPageBreak/>
        <w:t>would also take away the monotony of learning in one particular way and open learning opportunities to those who may struggle with the regular teaching method.</w:t>
      </w:r>
    </w:p>
    <w:p w14:paraId="414623A1" w14:textId="3C3E6C8D" w:rsidR="00AD27D1" w:rsidRPr="007806C1" w:rsidRDefault="00AD27D1" w:rsidP="00C2409A">
      <w:pPr>
        <w:spacing w:line="360" w:lineRule="auto"/>
        <w:rPr>
          <w:rFonts w:asciiTheme="majorHAnsi" w:hAnsiTheme="majorHAnsi" w:cstheme="majorHAnsi"/>
          <w:sz w:val="24"/>
          <w:szCs w:val="24"/>
        </w:rPr>
      </w:pPr>
      <w:r w:rsidRPr="007806C1">
        <w:rPr>
          <w:rFonts w:asciiTheme="majorHAnsi" w:hAnsiTheme="majorHAnsi" w:cstheme="majorHAnsi"/>
          <w:sz w:val="24"/>
          <w:szCs w:val="24"/>
        </w:rPr>
        <w:tab/>
        <w:t xml:space="preserve">Students that require additional support through differentiation </w:t>
      </w:r>
      <w:r w:rsidR="000756E4" w:rsidRPr="007806C1">
        <w:rPr>
          <w:rFonts w:asciiTheme="majorHAnsi" w:hAnsiTheme="majorHAnsi" w:cstheme="majorHAnsi"/>
          <w:sz w:val="24"/>
          <w:szCs w:val="24"/>
        </w:rPr>
        <w:t>tend to be intellectually capable (due to them reaching the level required to attend a higher university course) but the difficulties they have with learning can be complex (Lawrence-Brown</w:t>
      </w:r>
      <w:r w:rsidR="00FB57DB" w:rsidRPr="007806C1">
        <w:rPr>
          <w:rFonts w:asciiTheme="majorHAnsi" w:hAnsiTheme="majorHAnsi" w:cstheme="majorHAnsi"/>
          <w:sz w:val="24"/>
          <w:szCs w:val="24"/>
        </w:rPr>
        <w:t xml:space="preserve">, 2004).  This, naturally, can affect not only their attainment within the course but also the motivation required to complete higher education. </w:t>
      </w:r>
      <w:r w:rsidR="00F91565" w:rsidRPr="007806C1">
        <w:rPr>
          <w:rFonts w:asciiTheme="majorHAnsi" w:hAnsiTheme="majorHAnsi" w:cstheme="majorHAnsi"/>
          <w:sz w:val="24"/>
          <w:szCs w:val="24"/>
        </w:rPr>
        <w:t xml:space="preserve">There is immense pressure or higher education students to do well, this pressure is slightly different from the, mainly parental, pressure that comes from their previous schooling. This is due to the lack of additional funding, the financial aspect of higher education, peer pressure and pressure from the higher education facility for their students to do well. </w:t>
      </w:r>
      <w:r w:rsidR="005078A2" w:rsidRPr="007806C1">
        <w:rPr>
          <w:rFonts w:asciiTheme="majorHAnsi" w:hAnsiTheme="majorHAnsi" w:cstheme="majorHAnsi"/>
          <w:sz w:val="24"/>
          <w:szCs w:val="24"/>
        </w:rPr>
        <w:t>It is extremely important to maintain the standard of learning for students with additional learning needs to allow them to succeed within higher education (Lawrence-Brown, 2004).</w:t>
      </w:r>
    </w:p>
    <w:p w14:paraId="41D7314B" w14:textId="1BF2D49B" w:rsidR="005078A2" w:rsidRPr="007806C1" w:rsidRDefault="00CE1427" w:rsidP="00C2409A">
      <w:pPr>
        <w:spacing w:line="360" w:lineRule="auto"/>
        <w:rPr>
          <w:rFonts w:asciiTheme="majorHAnsi" w:hAnsiTheme="majorHAnsi" w:cstheme="majorHAnsi"/>
          <w:sz w:val="24"/>
          <w:szCs w:val="24"/>
        </w:rPr>
      </w:pPr>
      <w:r w:rsidRPr="007806C1">
        <w:rPr>
          <w:rFonts w:asciiTheme="majorHAnsi" w:hAnsiTheme="majorHAnsi" w:cstheme="majorHAnsi"/>
          <w:sz w:val="24"/>
          <w:szCs w:val="24"/>
        </w:rPr>
        <w:tab/>
        <w:t xml:space="preserve">When designing a differentiated course, the designer must not presume that any number of students will be on the same learning path. There needs to be specific measures in place to support students who require additional support (Tomlinson, </w:t>
      </w:r>
      <w:r w:rsidR="00231D2F" w:rsidRPr="007806C1">
        <w:rPr>
          <w:rFonts w:asciiTheme="majorHAnsi" w:hAnsiTheme="majorHAnsi" w:cstheme="majorHAnsi"/>
          <w:sz w:val="24"/>
          <w:szCs w:val="24"/>
        </w:rPr>
        <w:t>2014).</w:t>
      </w:r>
      <w:r w:rsidR="0061432B" w:rsidRPr="007806C1">
        <w:rPr>
          <w:rFonts w:asciiTheme="majorHAnsi" w:hAnsiTheme="majorHAnsi" w:cstheme="majorHAnsi"/>
          <w:sz w:val="24"/>
          <w:szCs w:val="24"/>
        </w:rPr>
        <w:t xml:space="preserve"> These do not necessarily have to be students with special educational needs, but anyone who requires any form of assistance due to a lack of understanding of the current teaching method. An example of someone requiring assistance with learning due to special education needs would be someone with learning difficulties. By the very definition, </w:t>
      </w:r>
      <w:r w:rsidR="001A6297" w:rsidRPr="007806C1">
        <w:rPr>
          <w:rFonts w:asciiTheme="majorHAnsi" w:hAnsiTheme="majorHAnsi" w:cstheme="majorHAnsi"/>
          <w:sz w:val="24"/>
          <w:szCs w:val="24"/>
        </w:rPr>
        <w:t xml:space="preserve">someone with </w:t>
      </w:r>
      <w:r w:rsidR="0061432B" w:rsidRPr="007806C1">
        <w:rPr>
          <w:rFonts w:asciiTheme="majorHAnsi" w:hAnsiTheme="majorHAnsi" w:cstheme="majorHAnsi"/>
          <w:sz w:val="24"/>
          <w:szCs w:val="24"/>
        </w:rPr>
        <w:t xml:space="preserve">learning difficulties </w:t>
      </w:r>
      <w:r w:rsidR="001A6297" w:rsidRPr="007806C1">
        <w:rPr>
          <w:rFonts w:asciiTheme="majorHAnsi" w:hAnsiTheme="majorHAnsi" w:cstheme="majorHAnsi"/>
          <w:sz w:val="24"/>
          <w:szCs w:val="24"/>
        </w:rPr>
        <w:t xml:space="preserve">has difficulty learning. This does not mean that they have any intellectual issue and may generally be at an intellectually similar level to all other classmates, but they would have difficulty understanding the lesson and the learning method. An example of someone without special educational needs that would still benefit from a differentiated classroom would be someone who learns at a much faster pace than those around them. Not providing these students with additional learning and </w:t>
      </w:r>
      <w:r w:rsidR="001012D1" w:rsidRPr="007806C1">
        <w:rPr>
          <w:rFonts w:asciiTheme="majorHAnsi" w:hAnsiTheme="majorHAnsi" w:cstheme="majorHAnsi"/>
          <w:sz w:val="24"/>
          <w:szCs w:val="24"/>
        </w:rPr>
        <w:t>a different route to the learning objectives could possibly hinder them in learning. This may also lead to lack of motivation due to them knowing or completing all the work and having nothing to do.</w:t>
      </w:r>
    </w:p>
    <w:p w14:paraId="14627954" w14:textId="00F1D414" w:rsidR="00DA6F49" w:rsidRDefault="001012D1" w:rsidP="001A396D">
      <w:pPr>
        <w:spacing w:line="360" w:lineRule="auto"/>
        <w:rPr>
          <w:rFonts w:asciiTheme="majorHAnsi" w:hAnsiTheme="majorHAnsi" w:cstheme="majorHAnsi"/>
          <w:sz w:val="24"/>
          <w:szCs w:val="24"/>
        </w:rPr>
      </w:pPr>
      <w:r w:rsidRPr="007806C1">
        <w:rPr>
          <w:rFonts w:asciiTheme="majorHAnsi" w:hAnsiTheme="majorHAnsi" w:cstheme="majorHAnsi"/>
          <w:sz w:val="24"/>
          <w:szCs w:val="24"/>
        </w:rPr>
        <w:tab/>
      </w:r>
      <w:r w:rsidR="00C11947" w:rsidRPr="007806C1">
        <w:rPr>
          <w:rFonts w:asciiTheme="majorHAnsi" w:hAnsiTheme="majorHAnsi" w:cstheme="majorHAnsi"/>
          <w:sz w:val="24"/>
          <w:szCs w:val="24"/>
        </w:rPr>
        <w:t xml:space="preserve">A differentiated classroom would also promote </w:t>
      </w:r>
      <w:proofErr w:type="spellStart"/>
      <w:r w:rsidR="00C11947" w:rsidRPr="007806C1">
        <w:rPr>
          <w:rFonts w:asciiTheme="majorHAnsi" w:hAnsiTheme="majorHAnsi" w:cstheme="majorHAnsi"/>
          <w:sz w:val="24"/>
          <w:szCs w:val="24"/>
        </w:rPr>
        <w:t>self competition</w:t>
      </w:r>
      <w:proofErr w:type="spellEnd"/>
      <w:r w:rsidR="00C11947" w:rsidRPr="007806C1">
        <w:rPr>
          <w:rFonts w:asciiTheme="majorHAnsi" w:hAnsiTheme="majorHAnsi" w:cstheme="majorHAnsi"/>
          <w:sz w:val="24"/>
          <w:szCs w:val="24"/>
        </w:rPr>
        <w:t xml:space="preserve"> rather than peer competition</w:t>
      </w:r>
      <w:r w:rsidR="003F27FF" w:rsidRPr="007806C1">
        <w:rPr>
          <w:rFonts w:asciiTheme="majorHAnsi" w:hAnsiTheme="majorHAnsi" w:cstheme="majorHAnsi"/>
          <w:sz w:val="24"/>
          <w:szCs w:val="24"/>
        </w:rPr>
        <w:t xml:space="preserve"> (Tomlinson, 2014). If a student is fully aware that they are receiving additional help, at times, this can be embarrassing to them. The last thing that a student in this position </w:t>
      </w:r>
      <w:r w:rsidR="003F27FF" w:rsidRPr="007806C1">
        <w:rPr>
          <w:rFonts w:asciiTheme="majorHAnsi" w:hAnsiTheme="majorHAnsi" w:cstheme="majorHAnsi"/>
          <w:sz w:val="24"/>
          <w:szCs w:val="24"/>
        </w:rPr>
        <w:lastRenderedPageBreak/>
        <w:t xml:space="preserve">needs is to be </w:t>
      </w:r>
      <w:r w:rsidR="00D323BC" w:rsidRPr="007806C1">
        <w:rPr>
          <w:rFonts w:asciiTheme="majorHAnsi" w:hAnsiTheme="majorHAnsi" w:cstheme="majorHAnsi"/>
          <w:sz w:val="24"/>
          <w:szCs w:val="24"/>
        </w:rPr>
        <w:t xml:space="preserve">compared to someone who may not be at the same point in learning as they are.  Teachers who teach in a differentiated class often ask students to </w:t>
      </w:r>
      <w:proofErr w:type="spellStart"/>
      <w:r w:rsidR="00D323BC" w:rsidRPr="007806C1">
        <w:rPr>
          <w:rFonts w:asciiTheme="majorHAnsi" w:hAnsiTheme="majorHAnsi" w:cstheme="majorHAnsi"/>
          <w:sz w:val="24"/>
          <w:szCs w:val="24"/>
        </w:rPr>
        <w:t>self compete</w:t>
      </w:r>
      <w:proofErr w:type="spellEnd"/>
      <w:r w:rsidR="00D323BC" w:rsidRPr="007806C1">
        <w:rPr>
          <w:rFonts w:asciiTheme="majorHAnsi" w:hAnsiTheme="majorHAnsi" w:cstheme="majorHAnsi"/>
          <w:sz w:val="24"/>
          <w:szCs w:val="24"/>
        </w:rPr>
        <w:t>, allowing them to compare their old work with new work once more learning has been completed, whilst at the same time keeping that air of competition still around. This may motivate students to try harder in tests and coursework assignments as they would want to do better and improve on their previous works.</w:t>
      </w:r>
    </w:p>
    <w:p w14:paraId="5861B76A" w14:textId="4CB31288" w:rsidR="00F75F1D" w:rsidRPr="007806C1" w:rsidRDefault="00F75F1D" w:rsidP="00F75F1D">
      <w:pPr>
        <w:spacing w:line="360" w:lineRule="auto"/>
        <w:ind w:firstLine="360"/>
        <w:jc w:val="center"/>
        <w:rPr>
          <w:rFonts w:asciiTheme="majorHAnsi" w:hAnsiTheme="majorHAnsi" w:cstheme="majorHAnsi"/>
          <w:sz w:val="24"/>
          <w:szCs w:val="24"/>
        </w:rPr>
      </w:pPr>
      <w:r>
        <w:rPr>
          <w:rFonts w:asciiTheme="majorHAnsi" w:hAnsiTheme="majorHAnsi" w:cstheme="majorHAnsi"/>
          <w:i/>
          <w:sz w:val="20"/>
          <w:szCs w:val="20"/>
        </w:rPr>
        <w:t>‘</w:t>
      </w:r>
      <w:r w:rsidRPr="007806C1">
        <w:rPr>
          <w:rFonts w:asciiTheme="majorHAnsi" w:hAnsiTheme="majorHAnsi" w:cstheme="majorHAnsi"/>
          <w:i/>
          <w:sz w:val="20"/>
          <w:szCs w:val="20"/>
        </w:rPr>
        <w:t>There is no single right way to create an effectively differentiated classroom; teachers craft responsive learning places in ways that match their own personality and approach to teaching</w:t>
      </w:r>
      <w:r>
        <w:rPr>
          <w:rFonts w:asciiTheme="majorHAnsi" w:hAnsiTheme="majorHAnsi" w:cstheme="majorHAnsi"/>
          <w:i/>
          <w:sz w:val="20"/>
          <w:szCs w:val="20"/>
        </w:rPr>
        <w:t>’</w:t>
      </w:r>
      <w:r>
        <w:rPr>
          <w:rFonts w:asciiTheme="majorHAnsi" w:hAnsiTheme="majorHAnsi" w:cstheme="majorHAnsi"/>
          <w:sz w:val="20"/>
          <w:szCs w:val="20"/>
        </w:rPr>
        <w:t xml:space="preserve"> (Tomlinson, 2014).</w:t>
      </w:r>
    </w:p>
    <w:p w14:paraId="65E64FF8" w14:textId="75789D00" w:rsidR="00526BB9" w:rsidRPr="00593C1B" w:rsidRDefault="00560CC5" w:rsidP="00560CC5">
      <w:pPr>
        <w:pStyle w:val="Heading2"/>
        <w:spacing w:line="360" w:lineRule="auto"/>
        <w:rPr>
          <w:sz w:val="24"/>
          <w:szCs w:val="24"/>
        </w:rPr>
      </w:pPr>
      <w:r>
        <w:t>Conclusion</w:t>
      </w:r>
    </w:p>
    <w:p w14:paraId="0411F38A" w14:textId="73DF69DA" w:rsidR="00560CC5" w:rsidRDefault="00560CC5" w:rsidP="00560CC5">
      <w:pPr>
        <w:spacing w:line="360" w:lineRule="auto"/>
        <w:rPr>
          <w:rFonts w:asciiTheme="majorHAnsi" w:hAnsiTheme="majorHAnsi" w:cstheme="majorHAnsi"/>
          <w:sz w:val="24"/>
          <w:szCs w:val="24"/>
        </w:rPr>
      </w:pPr>
      <w:r>
        <w:tab/>
      </w:r>
      <w:r w:rsidR="00E40B02">
        <w:rPr>
          <w:rFonts w:asciiTheme="majorHAnsi" w:hAnsiTheme="majorHAnsi" w:cstheme="majorHAnsi"/>
          <w:sz w:val="24"/>
          <w:szCs w:val="24"/>
        </w:rPr>
        <w:t xml:space="preserve">There are a number of strategies </w:t>
      </w:r>
      <w:r w:rsidR="003D49E8">
        <w:rPr>
          <w:rFonts w:asciiTheme="majorHAnsi" w:hAnsiTheme="majorHAnsi" w:cstheme="majorHAnsi"/>
          <w:sz w:val="24"/>
          <w:szCs w:val="24"/>
        </w:rPr>
        <w:t xml:space="preserve">that promote inclusivity within the higher education curriculum. </w:t>
      </w:r>
      <w:r w:rsidR="00DD1334">
        <w:rPr>
          <w:rFonts w:asciiTheme="majorHAnsi" w:hAnsiTheme="majorHAnsi" w:cstheme="majorHAnsi"/>
          <w:sz w:val="24"/>
          <w:szCs w:val="24"/>
        </w:rPr>
        <w:t xml:space="preserve">These strategies are deigned and utilised to aid students that would otherwise have a harder </w:t>
      </w:r>
      <w:r w:rsidR="00F421A6">
        <w:rPr>
          <w:rFonts w:asciiTheme="majorHAnsi" w:hAnsiTheme="majorHAnsi" w:cstheme="majorHAnsi"/>
          <w:sz w:val="24"/>
          <w:szCs w:val="24"/>
        </w:rPr>
        <w:t xml:space="preserve">time adjusting </w:t>
      </w:r>
      <w:r w:rsidR="00FE44EA">
        <w:rPr>
          <w:rFonts w:asciiTheme="majorHAnsi" w:hAnsiTheme="majorHAnsi" w:cstheme="majorHAnsi"/>
          <w:sz w:val="24"/>
          <w:szCs w:val="24"/>
        </w:rPr>
        <w:t xml:space="preserve">to, or accessing, higher education. These strategies are of utmost importance to the communities they help, but that’s not to say that more can not be done. </w:t>
      </w:r>
      <w:r w:rsidR="00856952">
        <w:rPr>
          <w:rFonts w:asciiTheme="majorHAnsi" w:hAnsiTheme="majorHAnsi" w:cstheme="majorHAnsi"/>
          <w:sz w:val="24"/>
          <w:szCs w:val="24"/>
        </w:rPr>
        <w:t xml:space="preserve">Realistically there will always be problems with being fully integrated as there are so many different reasons for someone being marginalised from a particular thing, whether that is education or not. However, the strategies that are currently in place are showing clear change within the higher education community, thus </w:t>
      </w:r>
      <w:r w:rsidR="005044C4">
        <w:rPr>
          <w:rFonts w:asciiTheme="majorHAnsi" w:hAnsiTheme="majorHAnsi" w:cstheme="majorHAnsi"/>
          <w:sz w:val="24"/>
          <w:szCs w:val="24"/>
        </w:rPr>
        <w:t>proving themselves useful in the fight for inclusion within higher education.</w:t>
      </w:r>
    </w:p>
    <w:p w14:paraId="5CECB51F" w14:textId="69F761B8" w:rsidR="00587D69" w:rsidRPr="00560CC5" w:rsidRDefault="00587D69" w:rsidP="00560CC5">
      <w:pPr>
        <w:spacing w:line="360" w:lineRule="auto"/>
        <w:rPr>
          <w:rFonts w:asciiTheme="majorHAnsi" w:hAnsiTheme="majorHAnsi" w:cstheme="majorHAnsi"/>
          <w:sz w:val="24"/>
          <w:szCs w:val="24"/>
        </w:rPr>
      </w:pPr>
      <w:r>
        <w:rPr>
          <w:rFonts w:asciiTheme="majorHAnsi" w:hAnsiTheme="majorHAnsi" w:cstheme="majorHAnsi"/>
          <w:sz w:val="24"/>
          <w:szCs w:val="24"/>
        </w:rPr>
        <w:tab/>
        <w:t xml:space="preserve">There are some limitations with the strategies. </w:t>
      </w:r>
      <w:r w:rsidR="00C345F2">
        <w:rPr>
          <w:rFonts w:asciiTheme="majorHAnsi" w:hAnsiTheme="majorHAnsi" w:cstheme="majorHAnsi"/>
          <w:sz w:val="24"/>
          <w:szCs w:val="24"/>
        </w:rPr>
        <w:t xml:space="preserve">The higher education curriculum can call for these policies to be put in place but </w:t>
      </w:r>
      <w:r w:rsidR="0086024B">
        <w:rPr>
          <w:rFonts w:asciiTheme="majorHAnsi" w:hAnsiTheme="majorHAnsi" w:cstheme="majorHAnsi"/>
          <w:sz w:val="24"/>
          <w:szCs w:val="24"/>
        </w:rPr>
        <w:t>ultimately,</w:t>
      </w:r>
      <w:r w:rsidR="00C345F2">
        <w:rPr>
          <w:rFonts w:asciiTheme="majorHAnsi" w:hAnsiTheme="majorHAnsi" w:cstheme="majorHAnsi"/>
          <w:sz w:val="24"/>
          <w:szCs w:val="24"/>
        </w:rPr>
        <w:t xml:space="preserve"> they need to attract the people they are targeted at. </w:t>
      </w:r>
    </w:p>
    <w:p w14:paraId="5A5E838F" w14:textId="13B10447" w:rsidR="00EC1E8B" w:rsidRDefault="003D672F" w:rsidP="00986870">
      <w:pPr>
        <w:spacing w:line="360" w:lineRule="auto"/>
        <w:ind w:firstLine="360"/>
        <w:rPr>
          <w:rFonts w:asciiTheme="majorHAnsi" w:hAnsiTheme="majorHAnsi" w:cstheme="majorHAnsi"/>
          <w:sz w:val="24"/>
          <w:szCs w:val="24"/>
        </w:rPr>
      </w:pPr>
      <w:r>
        <w:rPr>
          <w:rFonts w:asciiTheme="majorHAnsi" w:hAnsiTheme="majorHAnsi" w:cstheme="majorHAnsi"/>
          <w:sz w:val="24"/>
          <w:szCs w:val="24"/>
        </w:rPr>
        <w:t xml:space="preserve">If the UK government creates a truly inclusive curriculum this will greatly reduce the need for individual adjustments, providing a more </w:t>
      </w:r>
      <w:r w:rsidR="00EB51D9">
        <w:rPr>
          <w:rFonts w:asciiTheme="majorHAnsi" w:hAnsiTheme="majorHAnsi" w:cstheme="majorHAnsi"/>
          <w:sz w:val="24"/>
          <w:szCs w:val="24"/>
        </w:rPr>
        <w:t>harmonious</w:t>
      </w:r>
      <w:r>
        <w:rPr>
          <w:rFonts w:asciiTheme="majorHAnsi" w:hAnsiTheme="majorHAnsi" w:cstheme="majorHAnsi"/>
          <w:sz w:val="24"/>
          <w:szCs w:val="24"/>
        </w:rPr>
        <w:t xml:space="preserve"> and balanced learnin</w:t>
      </w:r>
      <w:r w:rsidR="00EB51D9">
        <w:rPr>
          <w:rFonts w:asciiTheme="majorHAnsi" w:hAnsiTheme="majorHAnsi" w:cstheme="majorHAnsi"/>
          <w:sz w:val="24"/>
          <w:szCs w:val="24"/>
        </w:rPr>
        <w:t>g</w:t>
      </w:r>
      <w:r>
        <w:rPr>
          <w:rFonts w:asciiTheme="majorHAnsi" w:hAnsiTheme="majorHAnsi" w:cstheme="majorHAnsi"/>
          <w:sz w:val="24"/>
          <w:szCs w:val="24"/>
        </w:rPr>
        <w:t xml:space="preserve"> environment for all.</w:t>
      </w:r>
      <w:r w:rsidR="001A396D">
        <w:rPr>
          <w:rFonts w:asciiTheme="majorHAnsi" w:hAnsiTheme="majorHAnsi" w:cstheme="majorHAnsi"/>
          <w:sz w:val="24"/>
          <w:szCs w:val="24"/>
        </w:rPr>
        <w:t xml:space="preserve"> To do this seems impossible, however, the policies and strategies are clearly working so if they are all included on the same programmes there is a less chance of lack of success due to the many avenues of additional support available. </w:t>
      </w:r>
    </w:p>
    <w:p w14:paraId="3C6CB21B" w14:textId="301D890E" w:rsidR="00986870" w:rsidRDefault="00986870" w:rsidP="00F75F1D">
      <w:pPr>
        <w:spacing w:line="360" w:lineRule="auto"/>
        <w:ind w:firstLine="360"/>
        <w:jc w:val="center"/>
        <w:rPr>
          <w:rFonts w:asciiTheme="majorHAnsi" w:hAnsiTheme="majorHAnsi" w:cstheme="majorHAnsi"/>
          <w:sz w:val="24"/>
          <w:szCs w:val="24"/>
        </w:rPr>
      </w:pPr>
    </w:p>
    <w:p w14:paraId="781FABC9" w14:textId="720E25B8" w:rsidR="00697702" w:rsidRDefault="00697702" w:rsidP="00F75F1D">
      <w:pPr>
        <w:spacing w:line="360" w:lineRule="auto"/>
        <w:ind w:firstLine="360"/>
        <w:jc w:val="center"/>
        <w:rPr>
          <w:rFonts w:asciiTheme="majorHAnsi" w:hAnsiTheme="majorHAnsi" w:cstheme="majorHAnsi"/>
          <w:sz w:val="24"/>
          <w:szCs w:val="24"/>
        </w:rPr>
      </w:pPr>
    </w:p>
    <w:p w14:paraId="23C9ECAC" w14:textId="14893A75" w:rsidR="00697702" w:rsidRDefault="00697702" w:rsidP="00F75F1D">
      <w:pPr>
        <w:spacing w:line="360" w:lineRule="auto"/>
        <w:ind w:firstLine="360"/>
        <w:jc w:val="center"/>
        <w:rPr>
          <w:rFonts w:asciiTheme="majorHAnsi" w:hAnsiTheme="majorHAnsi" w:cstheme="majorHAnsi"/>
          <w:sz w:val="24"/>
          <w:szCs w:val="24"/>
        </w:rPr>
      </w:pPr>
    </w:p>
    <w:p w14:paraId="6F23EDCD" w14:textId="77777777" w:rsidR="00697702" w:rsidRDefault="00697702" w:rsidP="00697702">
      <w:pPr>
        <w:pStyle w:val="ListParagraph"/>
        <w:numPr>
          <w:ilvl w:val="0"/>
          <w:numId w:val="9"/>
        </w:numPr>
      </w:pPr>
      <w:r>
        <w:lastRenderedPageBreak/>
        <w:t xml:space="preserve">ALLFIE (2018) – </w:t>
      </w:r>
      <w:r w:rsidRPr="00BB2B8A">
        <w:rPr>
          <w:i/>
        </w:rPr>
        <w:t xml:space="preserve">What is inclusion? </w:t>
      </w:r>
      <w:r>
        <w:t xml:space="preserve">Available at </w:t>
      </w:r>
      <w:hyperlink r:id="rId5" w:history="1">
        <w:r w:rsidRPr="005D18AE">
          <w:rPr>
            <w:rStyle w:val="Hyperlink"/>
          </w:rPr>
          <w:t>https://www.allfie.org.uk/definitions/what-is-inclusive-education/</w:t>
        </w:r>
      </w:hyperlink>
      <w:r>
        <w:t>. Accessed 02/12/2018 at 18.51pm.</w:t>
      </w:r>
    </w:p>
    <w:p w14:paraId="5066C7EF" w14:textId="77777777" w:rsidR="00697702" w:rsidRDefault="00697702" w:rsidP="00697702">
      <w:pPr>
        <w:pStyle w:val="ListParagraph"/>
        <w:numPr>
          <w:ilvl w:val="0"/>
          <w:numId w:val="9"/>
        </w:numPr>
      </w:pPr>
      <w:r>
        <w:t xml:space="preserve">Armstrong, C. (2018) – </w:t>
      </w:r>
      <w:r>
        <w:rPr>
          <w:i/>
        </w:rPr>
        <w:t xml:space="preserve">What you need to know about widening participation. </w:t>
      </w:r>
      <w:r>
        <w:t xml:space="preserve">Available at </w:t>
      </w:r>
      <w:hyperlink r:id="rId6" w:history="1">
        <w:r w:rsidRPr="00FF247C">
          <w:rPr>
            <w:rStyle w:val="Hyperlink"/>
          </w:rPr>
          <w:t>https://www.jobs.ac.uk/careers-advice/working-in-education/1146/what-you-need-to-know-about-widening-participation</w:t>
        </w:r>
      </w:hyperlink>
      <w:r>
        <w:t>. Accessed 05/12/2018 at 17.30pm.</w:t>
      </w:r>
    </w:p>
    <w:p w14:paraId="1210FC69" w14:textId="77777777" w:rsidR="00697702" w:rsidRDefault="00697702" w:rsidP="00697702">
      <w:pPr>
        <w:pStyle w:val="ListParagraph"/>
        <w:numPr>
          <w:ilvl w:val="0"/>
          <w:numId w:val="9"/>
        </w:numPr>
      </w:pPr>
      <w:r>
        <w:t xml:space="preserve">Edinburgh University (2018) – </w:t>
      </w:r>
      <w:r>
        <w:rPr>
          <w:i/>
        </w:rPr>
        <w:t xml:space="preserve">Widening participation. </w:t>
      </w:r>
      <w:r>
        <w:t xml:space="preserve">Available at </w:t>
      </w:r>
      <w:hyperlink r:id="rId7" w:history="1">
        <w:r w:rsidRPr="00992A69">
          <w:rPr>
            <w:rStyle w:val="Hyperlink"/>
          </w:rPr>
          <w:t>https://www.ed.ac.uk/student-recruitment/widening-participation/about/what</w:t>
        </w:r>
      </w:hyperlink>
      <w:r>
        <w:t>. Accessed 04/12/2018 at 21.40pm.</w:t>
      </w:r>
    </w:p>
    <w:p w14:paraId="30B000CB" w14:textId="77777777" w:rsidR="00697702" w:rsidRDefault="00697702" w:rsidP="00697702">
      <w:pPr>
        <w:pStyle w:val="ListParagraph"/>
        <w:numPr>
          <w:ilvl w:val="0"/>
          <w:numId w:val="9"/>
        </w:numPr>
      </w:pPr>
      <w:proofErr w:type="spellStart"/>
      <w:r>
        <w:t>Gibberd</w:t>
      </w:r>
      <w:proofErr w:type="spellEnd"/>
      <w:r>
        <w:t xml:space="preserve">, D. (2018) – </w:t>
      </w:r>
      <w:r>
        <w:rPr>
          <w:i/>
        </w:rPr>
        <w:t xml:space="preserve">Inclusive practise. </w:t>
      </w:r>
      <w:r>
        <w:t xml:space="preserve">Available at </w:t>
      </w:r>
      <w:hyperlink r:id="rId8" w:history="1">
        <w:r w:rsidRPr="001E6A0E">
          <w:rPr>
            <w:rStyle w:val="Hyperlink"/>
          </w:rPr>
          <w:t>https://www.brighton.ac.uk/about-us/your-university/equality/inclusive-practice.aspx</w:t>
        </w:r>
      </w:hyperlink>
      <w:r>
        <w:t>. Accessed 02/12/2018 at 22.24pm.</w:t>
      </w:r>
    </w:p>
    <w:p w14:paraId="6B1B2B82" w14:textId="77777777" w:rsidR="00697702" w:rsidRDefault="00697702" w:rsidP="00697702">
      <w:pPr>
        <w:pStyle w:val="ListParagraph"/>
        <w:numPr>
          <w:ilvl w:val="0"/>
          <w:numId w:val="9"/>
        </w:numPr>
      </w:pPr>
      <w:r>
        <w:t xml:space="preserve">Hutchings, L. (2018) – </w:t>
      </w:r>
      <w:r>
        <w:rPr>
          <w:i/>
        </w:rPr>
        <w:t xml:space="preserve">Curriculum studies. </w:t>
      </w:r>
      <w:proofErr w:type="spellStart"/>
      <w:r>
        <w:t>Powerpoint</w:t>
      </w:r>
      <w:proofErr w:type="spellEnd"/>
      <w:r>
        <w:t xml:space="preserve"> Presentation. M6X1528. </w:t>
      </w:r>
      <w:r>
        <w:rPr>
          <w:i/>
        </w:rPr>
        <w:t xml:space="preserve">Curriculum Studies Module. </w:t>
      </w:r>
      <w:r>
        <w:t xml:space="preserve">Available at </w:t>
      </w:r>
      <w:hyperlink r:id="rId9" w:history="1">
        <w:r w:rsidRPr="001E6A0E">
          <w:rPr>
            <w:rStyle w:val="Hyperlink"/>
          </w:rPr>
          <w:t>https://moodle.uwtsd.ac.uk/course/view.php?id=2589</w:t>
        </w:r>
      </w:hyperlink>
      <w:r>
        <w:t>. Accessed 02/12/2018 at 22.14pm.</w:t>
      </w:r>
    </w:p>
    <w:p w14:paraId="0C610A2C" w14:textId="77777777" w:rsidR="00697702" w:rsidRDefault="00697702" w:rsidP="00697702">
      <w:pPr>
        <w:pStyle w:val="ListParagraph"/>
        <w:numPr>
          <w:ilvl w:val="0"/>
          <w:numId w:val="9"/>
        </w:numPr>
      </w:pPr>
      <w:r>
        <w:t xml:space="preserve">JISC (2016) – </w:t>
      </w:r>
      <w:r>
        <w:rPr>
          <w:i/>
        </w:rPr>
        <w:t xml:space="preserve">Supporting an inclusive learner experience in higher education. </w:t>
      </w:r>
      <w:r>
        <w:t xml:space="preserve">Available at </w:t>
      </w:r>
      <w:hyperlink r:id="rId10" w:history="1">
        <w:r w:rsidRPr="00E07076">
          <w:rPr>
            <w:rStyle w:val="Hyperlink"/>
          </w:rPr>
          <w:t>https://www.jisc.ac.uk/guides/supporting-an-inclusive-learner-experience-in-higher-education</w:t>
        </w:r>
      </w:hyperlink>
      <w:r>
        <w:t>. Accessed 04/12/2018 at 16.03pm.</w:t>
      </w:r>
    </w:p>
    <w:p w14:paraId="01CFFBDA" w14:textId="77777777" w:rsidR="00697702" w:rsidRDefault="00697702" w:rsidP="00697702">
      <w:pPr>
        <w:pStyle w:val="ListParagraph"/>
        <w:numPr>
          <w:ilvl w:val="0"/>
          <w:numId w:val="9"/>
        </w:numPr>
      </w:pPr>
      <w:r>
        <w:t xml:space="preserve">Lawrence-Brown, D. (2004) – </w:t>
      </w:r>
      <w:r>
        <w:rPr>
          <w:i/>
        </w:rPr>
        <w:t xml:space="preserve">Differentiated instruction: Inclusive strategies for standard based learning that benefit the whole class. </w:t>
      </w:r>
      <w:r>
        <w:t>American Secondary education. 32 (3).</w:t>
      </w:r>
    </w:p>
    <w:p w14:paraId="22FD80B6" w14:textId="77777777" w:rsidR="00697702" w:rsidRDefault="00697702" w:rsidP="00697702">
      <w:pPr>
        <w:pStyle w:val="ListParagraph"/>
        <w:numPr>
          <w:ilvl w:val="0"/>
          <w:numId w:val="9"/>
        </w:numPr>
      </w:pPr>
      <w:r>
        <w:t xml:space="preserve">Morgan, H. &amp; Houghton, A. (2010) – </w:t>
      </w:r>
      <w:r>
        <w:rPr>
          <w:i/>
        </w:rPr>
        <w:t>Inclusive curriculum design for higher education.</w:t>
      </w:r>
      <w:r>
        <w:t xml:space="preserve"> The Higher Education Academy. Available at </w:t>
      </w:r>
      <w:hyperlink r:id="rId11" w:history="1">
        <w:r w:rsidRPr="00E07076">
          <w:rPr>
            <w:rStyle w:val="Hyperlink"/>
          </w:rPr>
          <w:t>file:///C:/Users/p151793/Downloads/education.pdf</w:t>
        </w:r>
      </w:hyperlink>
      <w:r>
        <w:t>. Accessed 04/12/2018 at 14.52pm.</w:t>
      </w:r>
    </w:p>
    <w:p w14:paraId="723F8787" w14:textId="77777777" w:rsidR="00697702" w:rsidRDefault="00697702" w:rsidP="00697702">
      <w:pPr>
        <w:pStyle w:val="ListParagraph"/>
        <w:numPr>
          <w:ilvl w:val="0"/>
          <w:numId w:val="9"/>
        </w:numPr>
      </w:pPr>
      <w:r>
        <w:t xml:space="preserve">Mullen, F. (2010) – </w:t>
      </w:r>
      <w:r>
        <w:rPr>
          <w:i/>
        </w:rPr>
        <w:t xml:space="preserve">Barriers to widening participation in higher education. </w:t>
      </w:r>
      <w:r>
        <w:t xml:space="preserve">For Scottish Parliament. Available at </w:t>
      </w:r>
      <w:hyperlink r:id="rId12" w:history="1">
        <w:r w:rsidRPr="00FF247C">
          <w:rPr>
            <w:rStyle w:val="Hyperlink"/>
          </w:rPr>
          <w:t>http://www.parliament.scot/Research%20briefings%20and%20fact%20sheets/SB_10-07.pdf</w:t>
        </w:r>
      </w:hyperlink>
      <w:r>
        <w:t>. Accessed 05/12/2018 at 16.30pm.</w:t>
      </w:r>
    </w:p>
    <w:p w14:paraId="0A3F4CD8" w14:textId="77777777" w:rsidR="00697702" w:rsidRDefault="00697702" w:rsidP="00697702">
      <w:pPr>
        <w:pStyle w:val="ListParagraph"/>
        <w:numPr>
          <w:ilvl w:val="0"/>
          <w:numId w:val="9"/>
        </w:numPr>
      </w:pPr>
      <w:r>
        <w:t xml:space="preserve">Perry, W. (1970) - </w:t>
      </w:r>
      <w:r w:rsidRPr="00576347">
        <w:rPr>
          <w:i/>
        </w:rPr>
        <w:t>Forms of intellectual and ethical development in the college years: a scheme</w:t>
      </w:r>
      <w:r>
        <w:t>.</w:t>
      </w:r>
      <w:r w:rsidRPr="00576347">
        <w:t xml:space="preserve"> </w:t>
      </w:r>
      <w:r>
        <w:t xml:space="preserve">Holt, Rinehart and Winston. New York, USA. </w:t>
      </w:r>
    </w:p>
    <w:p w14:paraId="3973A541" w14:textId="77777777" w:rsidR="00697702" w:rsidRDefault="00697702" w:rsidP="00697702">
      <w:pPr>
        <w:pStyle w:val="ListParagraph"/>
        <w:numPr>
          <w:ilvl w:val="0"/>
          <w:numId w:val="9"/>
        </w:numPr>
      </w:pPr>
      <w:r>
        <w:t xml:space="preserve">Thomas, L. &amp; May, H. (2010) – </w:t>
      </w:r>
      <w:r>
        <w:rPr>
          <w:i/>
        </w:rPr>
        <w:t xml:space="preserve">‘inclusive learning and teaching in higher education’. </w:t>
      </w:r>
      <w:r>
        <w:t xml:space="preserve">The Higher Education Academy. Available at </w:t>
      </w:r>
      <w:hyperlink r:id="rId13" w:history="1">
        <w:r w:rsidRPr="001E6A0E">
          <w:rPr>
            <w:rStyle w:val="Hyperlink"/>
          </w:rPr>
          <w:t>https://www.heacademy.ac.uk/system/files/inclusivelearningandteaching_finalreport.pdf</w:t>
        </w:r>
      </w:hyperlink>
      <w:r>
        <w:t>. Accessed 02/12/2018 at 21.00pm.</w:t>
      </w:r>
    </w:p>
    <w:p w14:paraId="24977D97" w14:textId="77777777" w:rsidR="00697702" w:rsidRDefault="00697702" w:rsidP="00697702">
      <w:pPr>
        <w:pStyle w:val="ListParagraph"/>
        <w:numPr>
          <w:ilvl w:val="0"/>
          <w:numId w:val="9"/>
        </w:numPr>
      </w:pPr>
      <w:r>
        <w:t xml:space="preserve">Tight, M. (2014) – </w:t>
      </w:r>
      <w:r>
        <w:rPr>
          <w:i/>
        </w:rPr>
        <w:t xml:space="preserve">Widening participation in UK Higher Education. </w:t>
      </w:r>
      <w:r>
        <w:t>Aspirations, Access and Attainment. Murray, N. &amp; Klinger, C. (2014) Eds. Routledge. Abingdon, UK.</w:t>
      </w:r>
    </w:p>
    <w:p w14:paraId="62B9CE90" w14:textId="77777777" w:rsidR="00697702" w:rsidRDefault="00697702" w:rsidP="00697702">
      <w:pPr>
        <w:pStyle w:val="ListParagraph"/>
        <w:numPr>
          <w:ilvl w:val="0"/>
          <w:numId w:val="9"/>
        </w:numPr>
      </w:pPr>
      <w:r>
        <w:t xml:space="preserve">Tomlinson, C. (2001) – </w:t>
      </w:r>
      <w:r>
        <w:rPr>
          <w:i/>
        </w:rPr>
        <w:t xml:space="preserve">Differentiated instruction. </w:t>
      </w:r>
      <w:r>
        <w:t xml:space="preserve">Available at </w:t>
      </w:r>
      <w:hyperlink r:id="rId14" w:history="1">
        <w:r w:rsidRPr="00FF247C">
          <w:rPr>
            <w:rStyle w:val="Hyperlink"/>
          </w:rPr>
          <w:t>http://www.basicknowledge101.com/pdf/Differentiated%20instruction.pdf</w:t>
        </w:r>
      </w:hyperlink>
      <w:r>
        <w:t>. Accessed 05/12/2018 at 17.57pm.</w:t>
      </w:r>
    </w:p>
    <w:p w14:paraId="0D3659CF" w14:textId="77777777" w:rsidR="00697702" w:rsidRDefault="00697702" w:rsidP="00697702">
      <w:pPr>
        <w:pStyle w:val="ListParagraph"/>
        <w:numPr>
          <w:ilvl w:val="0"/>
          <w:numId w:val="9"/>
        </w:numPr>
      </w:pPr>
      <w:r>
        <w:t xml:space="preserve">Tomlinson, C. (2014) – </w:t>
      </w:r>
      <w:r>
        <w:rPr>
          <w:i/>
        </w:rPr>
        <w:t xml:space="preserve">The differentiated classroom. </w:t>
      </w:r>
      <w:r>
        <w:t>2</w:t>
      </w:r>
      <w:r w:rsidRPr="009D6837">
        <w:rPr>
          <w:vertAlign w:val="superscript"/>
        </w:rPr>
        <w:t>nd</w:t>
      </w:r>
      <w:r>
        <w:t xml:space="preserve"> ed. ASCD. Alexandria, VA, USA.</w:t>
      </w:r>
    </w:p>
    <w:p w14:paraId="79201876" w14:textId="77777777" w:rsidR="00697702" w:rsidRDefault="00697702" w:rsidP="00697702">
      <w:pPr>
        <w:pStyle w:val="ListParagraph"/>
        <w:numPr>
          <w:ilvl w:val="0"/>
          <w:numId w:val="9"/>
        </w:numPr>
      </w:pPr>
      <w:r>
        <w:t xml:space="preserve">UK Gov (2018) – </w:t>
      </w:r>
      <w:r>
        <w:rPr>
          <w:i/>
        </w:rPr>
        <w:t xml:space="preserve">Widening participation. </w:t>
      </w:r>
      <w:r>
        <w:t xml:space="preserve">Available at </w:t>
      </w:r>
      <w:hyperlink r:id="rId15" w:history="1">
        <w:r w:rsidRPr="00FF247C">
          <w:rPr>
            <w:rStyle w:val="Hyperlink"/>
          </w:rPr>
          <w:t>https://assets.publishing.service.gov.uk/government/uploads/system/uploads/attachment_data/file/757897/WP2018-MainText.pdf.</w:t>
        </w:r>
      </w:hyperlink>
      <w:r>
        <w:rPr>
          <w:rStyle w:val="Hyperlink"/>
        </w:rPr>
        <w:t xml:space="preserve"> </w:t>
      </w:r>
      <w:r>
        <w:t>Accessed 04/12/2018 at 21.42pm.</w:t>
      </w:r>
    </w:p>
    <w:p w14:paraId="5F5764E5" w14:textId="77777777" w:rsidR="00697702" w:rsidRDefault="00697702" w:rsidP="00697702">
      <w:pPr>
        <w:pStyle w:val="ListParagraph"/>
        <w:numPr>
          <w:ilvl w:val="0"/>
          <w:numId w:val="9"/>
        </w:numPr>
      </w:pPr>
      <w:r>
        <w:t xml:space="preserve">UK Government (2010) – </w:t>
      </w:r>
      <w:r w:rsidRPr="00BB2B8A">
        <w:rPr>
          <w:i/>
        </w:rPr>
        <w:t xml:space="preserve">Equality Act. </w:t>
      </w:r>
      <w:r>
        <w:t xml:space="preserve">Available at </w:t>
      </w:r>
      <w:hyperlink r:id="rId16" w:history="1">
        <w:r w:rsidRPr="001E6A0E">
          <w:rPr>
            <w:rStyle w:val="Hyperlink"/>
          </w:rPr>
          <w:t>https://www.legislation.gov.uk/ukpga/2010/15/section/4</w:t>
        </w:r>
      </w:hyperlink>
      <w:r>
        <w:t>. Accessed 02/12/2018 at 19.25pm.</w:t>
      </w:r>
    </w:p>
    <w:p w14:paraId="6F946847" w14:textId="33C8834A" w:rsidR="00697702" w:rsidRDefault="00697702" w:rsidP="00697702">
      <w:pPr>
        <w:pStyle w:val="ListParagraph"/>
        <w:numPr>
          <w:ilvl w:val="0"/>
          <w:numId w:val="9"/>
        </w:numPr>
        <w:spacing w:line="360" w:lineRule="auto"/>
      </w:pPr>
      <w:r>
        <w:t xml:space="preserve">Wiles, J. (2009) – </w:t>
      </w:r>
      <w:r w:rsidRPr="00697702">
        <w:rPr>
          <w:i/>
        </w:rPr>
        <w:t>Leading curriculum development.</w:t>
      </w:r>
      <w:r>
        <w:t xml:space="preserve"> Corwin Press. California, U</w:t>
      </w:r>
      <w:r>
        <w:t>SA</w:t>
      </w:r>
      <w:bookmarkStart w:id="0" w:name="_GoBack"/>
      <w:bookmarkEnd w:id="0"/>
    </w:p>
    <w:p w14:paraId="2E616E2C" w14:textId="77777777" w:rsidR="00697702" w:rsidRDefault="00697702" w:rsidP="00697702">
      <w:pPr>
        <w:spacing w:line="360" w:lineRule="auto"/>
        <w:ind w:firstLine="360"/>
        <w:rPr>
          <w:rFonts w:asciiTheme="majorHAnsi" w:hAnsiTheme="majorHAnsi" w:cstheme="majorHAnsi"/>
          <w:sz w:val="24"/>
          <w:szCs w:val="24"/>
        </w:rPr>
      </w:pPr>
    </w:p>
    <w:sectPr w:rsidR="006977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D7CF2"/>
    <w:multiLevelType w:val="hybridMultilevel"/>
    <w:tmpl w:val="44B65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20368"/>
    <w:multiLevelType w:val="hybridMultilevel"/>
    <w:tmpl w:val="D402F77A"/>
    <w:lvl w:ilvl="0" w:tplc="C52A9622">
      <w:start w:val="1"/>
      <w:numFmt w:val="bullet"/>
      <w:lvlText w:val="•"/>
      <w:lvlJc w:val="left"/>
      <w:pPr>
        <w:tabs>
          <w:tab w:val="num" w:pos="720"/>
        </w:tabs>
        <w:ind w:left="720" w:hanging="360"/>
      </w:pPr>
      <w:rPr>
        <w:rFonts w:ascii="Arial" w:hAnsi="Arial" w:hint="default"/>
      </w:rPr>
    </w:lvl>
    <w:lvl w:ilvl="1" w:tplc="2DEC3DF0" w:tentative="1">
      <w:start w:val="1"/>
      <w:numFmt w:val="bullet"/>
      <w:lvlText w:val="•"/>
      <w:lvlJc w:val="left"/>
      <w:pPr>
        <w:tabs>
          <w:tab w:val="num" w:pos="1440"/>
        </w:tabs>
        <w:ind w:left="1440" w:hanging="360"/>
      </w:pPr>
      <w:rPr>
        <w:rFonts w:ascii="Arial" w:hAnsi="Arial" w:hint="default"/>
      </w:rPr>
    </w:lvl>
    <w:lvl w:ilvl="2" w:tplc="9B023274" w:tentative="1">
      <w:start w:val="1"/>
      <w:numFmt w:val="bullet"/>
      <w:lvlText w:val="•"/>
      <w:lvlJc w:val="left"/>
      <w:pPr>
        <w:tabs>
          <w:tab w:val="num" w:pos="2160"/>
        </w:tabs>
        <w:ind w:left="2160" w:hanging="360"/>
      </w:pPr>
      <w:rPr>
        <w:rFonts w:ascii="Arial" w:hAnsi="Arial" w:hint="default"/>
      </w:rPr>
    </w:lvl>
    <w:lvl w:ilvl="3" w:tplc="0BD8AE30" w:tentative="1">
      <w:start w:val="1"/>
      <w:numFmt w:val="bullet"/>
      <w:lvlText w:val="•"/>
      <w:lvlJc w:val="left"/>
      <w:pPr>
        <w:tabs>
          <w:tab w:val="num" w:pos="2880"/>
        </w:tabs>
        <w:ind w:left="2880" w:hanging="360"/>
      </w:pPr>
      <w:rPr>
        <w:rFonts w:ascii="Arial" w:hAnsi="Arial" w:hint="default"/>
      </w:rPr>
    </w:lvl>
    <w:lvl w:ilvl="4" w:tplc="1376050E" w:tentative="1">
      <w:start w:val="1"/>
      <w:numFmt w:val="bullet"/>
      <w:lvlText w:val="•"/>
      <w:lvlJc w:val="left"/>
      <w:pPr>
        <w:tabs>
          <w:tab w:val="num" w:pos="3600"/>
        </w:tabs>
        <w:ind w:left="3600" w:hanging="360"/>
      </w:pPr>
      <w:rPr>
        <w:rFonts w:ascii="Arial" w:hAnsi="Arial" w:hint="default"/>
      </w:rPr>
    </w:lvl>
    <w:lvl w:ilvl="5" w:tplc="22848EBA" w:tentative="1">
      <w:start w:val="1"/>
      <w:numFmt w:val="bullet"/>
      <w:lvlText w:val="•"/>
      <w:lvlJc w:val="left"/>
      <w:pPr>
        <w:tabs>
          <w:tab w:val="num" w:pos="4320"/>
        </w:tabs>
        <w:ind w:left="4320" w:hanging="360"/>
      </w:pPr>
      <w:rPr>
        <w:rFonts w:ascii="Arial" w:hAnsi="Arial" w:hint="default"/>
      </w:rPr>
    </w:lvl>
    <w:lvl w:ilvl="6" w:tplc="DE66AEF4" w:tentative="1">
      <w:start w:val="1"/>
      <w:numFmt w:val="bullet"/>
      <w:lvlText w:val="•"/>
      <w:lvlJc w:val="left"/>
      <w:pPr>
        <w:tabs>
          <w:tab w:val="num" w:pos="5040"/>
        </w:tabs>
        <w:ind w:left="5040" w:hanging="360"/>
      </w:pPr>
      <w:rPr>
        <w:rFonts w:ascii="Arial" w:hAnsi="Arial" w:hint="default"/>
      </w:rPr>
    </w:lvl>
    <w:lvl w:ilvl="7" w:tplc="796E0CF2" w:tentative="1">
      <w:start w:val="1"/>
      <w:numFmt w:val="bullet"/>
      <w:lvlText w:val="•"/>
      <w:lvlJc w:val="left"/>
      <w:pPr>
        <w:tabs>
          <w:tab w:val="num" w:pos="5760"/>
        </w:tabs>
        <w:ind w:left="5760" w:hanging="360"/>
      </w:pPr>
      <w:rPr>
        <w:rFonts w:ascii="Arial" w:hAnsi="Arial" w:hint="default"/>
      </w:rPr>
    </w:lvl>
    <w:lvl w:ilvl="8" w:tplc="1DCC71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C83541"/>
    <w:multiLevelType w:val="hybridMultilevel"/>
    <w:tmpl w:val="8C6C6BA0"/>
    <w:lvl w:ilvl="0" w:tplc="3856C7AC">
      <w:start w:val="1"/>
      <w:numFmt w:val="bullet"/>
      <w:lvlText w:val="•"/>
      <w:lvlJc w:val="left"/>
      <w:pPr>
        <w:tabs>
          <w:tab w:val="num" w:pos="720"/>
        </w:tabs>
        <w:ind w:left="720" w:hanging="360"/>
      </w:pPr>
      <w:rPr>
        <w:rFonts w:ascii="Arial" w:hAnsi="Arial" w:hint="default"/>
      </w:rPr>
    </w:lvl>
    <w:lvl w:ilvl="1" w:tplc="AFCCA97A" w:tentative="1">
      <w:start w:val="1"/>
      <w:numFmt w:val="bullet"/>
      <w:lvlText w:val="•"/>
      <w:lvlJc w:val="left"/>
      <w:pPr>
        <w:tabs>
          <w:tab w:val="num" w:pos="1440"/>
        </w:tabs>
        <w:ind w:left="1440" w:hanging="360"/>
      </w:pPr>
      <w:rPr>
        <w:rFonts w:ascii="Arial" w:hAnsi="Arial" w:hint="default"/>
      </w:rPr>
    </w:lvl>
    <w:lvl w:ilvl="2" w:tplc="50CACF1A" w:tentative="1">
      <w:start w:val="1"/>
      <w:numFmt w:val="bullet"/>
      <w:lvlText w:val="•"/>
      <w:lvlJc w:val="left"/>
      <w:pPr>
        <w:tabs>
          <w:tab w:val="num" w:pos="2160"/>
        </w:tabs>
        <w:ind w:left="2160" w:hanging="360"/>
      </w:pPr>
      <w:rPr>
        <w:rFonts w:ascii="Arial" w:hAnsi="Arial" w:hint="default"/>
      </w:rPr>
    </w:lvl>
    <w:lvl w:ilvl="3" w:tplc="AF12EB06" w:tentative="1">
      <w:start w:val="1"/>
      <w:numFmt w:val="bullet"/>
      <w:lvlText w:val="•"/>
      <w:lvlJc w:val="left"/>
      <w:pPr>
        <w:tabs>
          <w:tab w:val="num" w:pos="2880"/>
        </w:tabs>
        <w:ind w:left="2880" w:hanging="360"/>
      </w:pPr>
      <w:rPr>
        <w:rFonts w:ascii="Arial" w:hAnsi="Arial" w:hint="default"/>
      </w:rPr>
    </w:lvl>
    <w:lvl w:ilvl="4" w:tplc="F2F42FBE" w:tentative="1">
      <w:start w:val="1"/>
      <w:numFmt w:val="bullet"/>
      <w:lvlText w:val="•"/>
      <w:lvlJc w:val="left"/>
      <w:pPr>
        <w:tabs>
          <w:tab w:val="num" w:pos="3600"/>
        </w:tabs>
        <w:ind w:left="3600" w:hanging="360"/>
      </w:pPr>
      <w:rPr>
        <w:rFonts w:ascii="Arial" w:hAnsi="Arial" w:hint="default"/>
      </w:rPr>
    </w:lvl>
    <w:lvl w:ilvl="5" w:tplc="02280CC6" w:tentative="1">
      <w:start w:val="1"/>
      <w:numFmt w:val="bullet"/>
      <w:lvlText w:val="•"/>
      <w:lvlJc w:val="left"/>
      <w:pPr>
        <w:tabs>
          <w:tab w:val="num" w:pos="4320"/>
        </w:tabs>
        <w:ind w:left="4320" w:hanging="360"/>
      </w:pPr>
      <w:rPr>
        <w:rFonts w:ascii="Arial" w:hAnsi="Arial" w:hint="default"/>
      </w:rPr>
    </w:lvl>
    <w:lvl w:ilvl="6" w:tplc="4BA098D0" w:tentative="1">
      <w:start w:val="1"/>
      <w:numFmt w:val="bullet"/>
      <w:lvlText w:val="•"/>
      <w:lvlJc w:val="left"/>
      <w:pPr>
        <w:tabs>
          <w:tab w:val="num" w:pos="5040"/>
        </w:tabs>
        <w:ind w:left="5040" w:hanging="360"/>
      </w:pPr>
      <w:rPr>
        <w:rFonts w:ascii="Arial" w:hAnsi="Arial" w:hint="default"/>
      </w:rPr>
    </w:lvl>
    <w:lvl w:ilvl="7" w:tplc="D27671B2" w:tentative="1">
      <w:start w:val="1"/>
      <w:numFmt w:val="bullet"/>
      <w:lvlText w:val="•"/>
      <w:lvlJc w:val="left"/>
      <w:pPr>
        <w:tabs>
          <w:tab w:val="num" w:pos="5760"/>
        </w:tabs>
        <w:ind w:left="5760" w:hanging="360"/>
      </w:pPr>
      <w:rPr>
        <w:rFonts w:ascii="Arial" w:hAnsi="Arial" w:hint="default"/>
      </w:rPr>
    </w:lvl>
    <w:lvl w:ilvl="8" w:tplc="37C288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74024E"/>
    <w:multiLevelType w:val="hybridMultilevel"/>
    <w:tmpl w:val="16F64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83D4A42"/>
    <w:multiLevelType w:val="hybridMultilevel"/>
    <w:tmpl w:val="1640EAF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3CE60E4C"/>
    <w:multiLevelType w:val="hybridMultilevel"/>
    <w:tmpl w:val="0B82F0A6"/>
    <w:lvl w:ilvl="0" w:tplc="C8F6261E">
      <w:start w:val="1"/>
      <w:numFmt w:val="decimal"/>
      <w:lvlText w:val="%1."/>
      <w:lvlJc w:val="left"/>
      <w:pPr>
        <w:ind w:left="1800" w:hanging="360"/>
      </w:pPr>
      <w:rPr>
        <w:rFonts w:hint="default"/>
      </w:rPr>
    </w:lvl>
    <w:lvl w:ilvl="1" w:tplc="08090001">
      <w:start w:val="1"/>
      <w:numFmt w:val="bullet"/>
      <w:lvlText w:val=""/>
      <w:lvlJc w:val="left"/>
      <w:pPr>
        <w:ind w:left="2520" w:hanging="360"/>
      </w:pPr>
      <w:rPr>
        <w:rFonts w:ascii="Symbol" w:hAnsi="Symbol" w:hint="default"/>
      </w:r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59706D9D"/>
    <w:multiLevelType w:val="hybridMultilevel"/>
    <w:tmpl w:val="EDFA36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B354B3B"/>
    <w:multiLevelType w:val="hybridMultilevel"/>
    <w:tmpl w:val="D3E694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3CE056F"/>
    <w:multiLevelType w:val="hybridMultilevel"/>
    <w:tmpl w:val="D5967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7"/>
  </w:num>
  <w:num w:numId="5">
    <w:abstractNumId w:val="6"/>
  </w:num>
  <w:num w:numId="6">
    <w:abstractNumId w:val="5"/>
  </w:num>
  <w:num w:numId="7">
    <w:abstractNumId w:val="4"/>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E7B"/>
    <w:rsid w:val="0002396B"/>
    <w:rsid w:val="0005223C"/>
    <w:rsid w:val="00067266"/>
    <w:rsid w:val="000756E4"/>
    <w:rsid w:val="000870E6"/>
    <w:rsid w:val="00092FE4"/>
    <w:rsid w:val="00095ADA"/>
    <w:rsid w:val="000A09F9"/>
    <w:rsid w:val="000B21D6"/>
    <w:rsid w:val="000D40DC"/>
    <w:rsid w:val="000F5183"/>
    <w:rsid w:val="001012D1"/>
    <w:rsid w:val="00146081"/>
    <w:rsid w:val="00161DF6"/>
    <w:rsid w:val="0017302E"/>
    <w:rsid w:val="00195219"/>
    <w:rsid w:val="0019534D"/>
    <w:rsid w:val="001A396D"/>
    <w:rsid w:val="001A6297"/>
    <w:rsid w:val="001F233B"/>
    <w:rsid w:val="001F377D"/>
    <w:rsid w:val="0020058B"/>
    <w:rsid w:val="00216C50"/>
    <w:rsid w:val="00231D2F"/>
    <w:rsid w:val="00246CA3"/>
    <w:rsid w:val="00247CB1"/>
    <w:rsid w:val="0026315E"/>
    <w:rsid w:val="00275EB4"/>
    <w:rsid w:val="002A76B6"/>
    <w:rsid w:val="002B1531"/>
    <w:rsid w:val="002B46F9"/>
    <w:rsid w:val="002B74C2"/>
    <w:rsid w:val="002C276E"/>
    <w:rsid w:val="002F3F0D"/>
    <w:rsid w:val="003127ED"/>
    <w:rsid w:val="0034165E"/>
    <w:rsid w:val="00363F57"/>
    <w:rsid w:val="003674EC"/>
    <w:rsid w:val="003A1754"/>
    <w:rsid w:val="003A2D62"/>
    <w:rsid w:val="003D49E8"/>
    <w:rsid w:val="003D672F"/>
    <w:rsid w:val="003D77EC"/>
    <w:rsid w:val="003E0DEF"/>
    <w:rsid w:val="003F2642"/>
    <w:rsid w:val="003F27FF"/>
    <w:rsid w:val="00415AC4"/>
    <w:rsid w:val="0042560B"/>
    <w:rsid w:val="00450674"/>
    <w:rsid w:val="00463BC7"/>
    <w:rsid w:val="00472D8A"/>
    <w:rsid w:val="00482854"/>
    <w:rsid w:val="004B02D0"/>
    <w:rsid w:val="004B04DE"/>
    <w:rsid w:val="004B7EDB"/>
    <w:rsid w:val="004F1996"/>
    <w:rsid w:val="004F2327"/>
    <w:rsid w:val="004F496E"/>
    <w:rsid w:val="00501930"/>
    <w:rsid w:val="005044C4"/>
    <w:rsid w:val="00505D08"/>
    <w:rsid w:val="005078A2"/>
    <w:rsid w:val="00526BB9"/>
    <w:rsid w:val="00531387"/>
    <w:rsid w:val="00531D4C"/>
    <w:rsid w:val="005343DF"/>
    <w:rsid w:val="005421FF"/>
    <w:rsid w:val="0055751F"/>
    <w:rsid w:val="00560CC5"/>
    <w:rsid w:val="00587D69"/>
    <w:rsid w:val="00593C1B"/>
    <w:rsid w:val="005A2EAD"/>
    <w:rsid w:val="005A4231"/>
    <w:rsid w:val="005A528B"/>
    <w:rsid w:val="005B7527"/>
    <w:rsid w:val="005C060B"/>
    <w:rsid w:val="005C52E4"/>
    <w:rsid w:val="005C6845"/>
    <w:rsid w:val="005D029A"/>
    <w:rsid w:val="005E28A1"/>
    <w:rsid w:val="005E430B"/>
    <w:rsid w:val="0061432B"/>
    <w:rsid w:val="00635502"/>
    <w:rsid w:val="006374F3"/>
    <w:rsid w:val="00675349"/>
    <w:rsid w:val="006845C1"/>
    <w:rsid w:val="0069108D"/>
    <w:rsid w:val="00697702"/>
    <w:rsid w:val="006A6F40"/>
    <w:rsid w:val="006B15E8"/>
    <w:rsid w:val="006B32B3"/>
    <w:rsid w:val="006B6887"/>
    <w:rsid w:val="006E4B07"/>
    <w:rsid w:val="006F31D5"/>
    <w:rsid w:val="00716504"/>
    <w:rsid w:val="00723456"/>
    <w:rsid w:val="00725763"/>
    <w:rsid w:val="007319C8"/>
    <w:rsid w:val="00754E80"/>
    <w:rsid w:val="00762DB3"/>
    <w:rsid w:val="007806C1"/>
    <w:rsid w:val="007C36DF"/>
    <w:rsid w:val="007C3CF8"/>
    <w:rsid w:val="007D352D"/>
    <w:rsid w:val="007D5552"/>
    <w:rsid w:val="007E51DF"/>
    <w:rsid w:val="007F57F3"/>
    <w:rsid w:val="007F774F"/>
    <w:rsid w:val="00827CC5"/>
    <w:rsid w:val="00843F24"/>
    <w:rsid w:val="00856952"/>
    <w:rsid w:val="0086024B"/>
    <w:rsid w:val="00863D8C"/>
    <w:rsid w:val="00871996"/>
    <w:rsid w:val="00886B71"/>
    <w:rsid w:val="00887FC8"/>
    <w:rsid w:val="00893AB9"/>
    <w:rsid w:val="008C460F"/>
    <w:rsid w:val="008C5B6C"/>
    <w:rsid w:val="008C77B9"/>
    <w:rsid w:val="008D340E"/>
    <w:rsid w:val="008F22F3"/>
    <w:rsid w:val="00900D38"/>
    <w:rsid w:val="00904F6D"/>
    <w:rsid w:val="00910D86"/>
    <w:rsid w:val="009141C9"/>
    <w:rsid w:val="00921A0E"/>
    <w:rsid w:val="009426A6"/>
    <w:rsid w:val="00972569"/>
    <w:rsid w:val="009774F5"/>
    <w:rsid w:val="009853DD"/>
    <w:rsid w:val="00986870"/>
    <w:rsid w:val="00987DBB"/>
    <w:rsid w:val="00995E84"/>
    <w:rsid w:val="009A1A41"/>
    <w:rsid w:val="009D3D4E"/>
    <w:rsid w:val="00A467C8"/>
    <w:rsid w:val="00A66B38"/>
    <w:rsid w:val="00A675C7"/>
    <w:rsid w:val="00AB2BAD"/>
    <w:rsid w:val="00AD27D1"/>
    <w:rsid w:val="00AD7BE3"/>
    <w:rsid w:val="00AE3208"/>
    <w:rsid w:val="00AF119F"/>
    <w:rsid w:val="00AF4E7B"/>
    <w:rsid w:val="00B02D13"/>
    <w:rsid w:val="00B33D5C"/>
    <w:rsid w:val="00B34804"/>
    <w:rsid w:val="00B35A00"/>
    <w:rsid w:val="00B40FAC"/>
    <w:rsid w:val="00B53EB0"/>
    <w:rsid w:val="00B636C3"/>
    <w:rsid w:val="00B857FF"/>
    <w:rsid w:val="00BA5DAC"/>
    <w:rsid w:val="00BB6DAC"/>
    <w:rsid w:val="00BC704B"/>
    <w:rsid w:val="00BE10F5"/>
    <w:rsid w:val="00BF1CEE"/>
    <w:rsid w:val="00BF4555"/>
    <w:rsid w:val="00C11947"/>
    <w:rsid w:val="00C2409A"/>
    <w:rsid w:val="00C345F2"/>
    <w:rsid w:val="00C42201"/>
    <w:rsid w:val="00C42E38"/>
    <w:rsid w:val="00C6490A"/>
    <w:rsid w:val="00C77F41"/>
    <w:rsid w:val="00C85F5F"/>
    <w:rsid w:val="00CB3228"/>
    <w:rsid w:val="00CE1427"/>
    <w:rsid w:val="00CE2A61"/>
    <w:rsid w:val="00CF1184"/>
    <w:rsid w:val="00D039F6"/>
    <w:rsid w:val="00D10248"/>
    <w:rsid w:val="00D1152B"/>
    <w:rsid w:val="00D14893"/>
    <w:rsid w:val="00D31A13"/>
    <w:rsid w:val="00D323BC"/>
    <w:rsid w:val="00D5787B"/>
    <w:rsid w:val="00D62BF0"/>
    <w:rsid w:val="00D743E9"/>
    <w:rsid w:val="00D87C73"/>
    <w:rsid w:val="00DA627F"/>
    <w:rsid w:val="00DA6F49"/>
    <w:rsid w:val="00DC0587"/>
    <w:rsid w:val="00DD1334"/>
    <w:rsid w:val="00DD137A"/>
    <w:rsid w:val="00DD1FFA"/>
    <w:rsid w:val="00E079C0"/>
    <w:rsid w:val="00E11596"/>
    <w:rsid w:val="00E20770"/>
    <w:rsid w:val="00E34343"/>
    <w:rsid w:val="00E40B02"/>
    <w:rsid w:val="00EB46A4"/>
    <w:rsid w:val="00EB51D9"/>
    <w:rsid w:val="00EC0AAB"/>
    <w:rsid w:val="00EC1E8B"/>
    <w:rsid w:val="00EC2C83"/>
    <w:rsid w:val="00EC7343"/>
    <w:rsid w:val="00F14580"/>
    <w:rsid w:val="00F421A6"/>
    <w:rsid w:val="00F46B2B"/>
    <w:rsid w:val="00F50BF8"/>
    <w:rsid w:val="00F75F1D"/>
    <w:rsid w:val="00F91565"/>
    <w:rsid w:val="00FB3434"/>
    <w:rsid w:val="00FB3B7C"/>
    <w:rsid w:val="00FB57DB"/>
    <w:rsid w:val="00FD42AA"/>
    <w:rsid w:val="00FE4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E12A8"/>
  <w15:chartTrackingRefBased/>
  <w15:docId w15:val="{3920DDE2-8635-4CD6-91E4-69C725A1B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4E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4E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63BC7"/>
    <w:pPr>
      <w:ind w:left="720"/>
      <w:contextualSpacing/>
    </w:pPr>
  </w:style>
  <w:style w:type="table" w:styleId="TableGrid">
    <w:name w:val="Table Grid"/>
    <w:basedOn w:val="TableNormal"/>
    <w:uiPriority w:val="39"/>
    <w:rsid w:val="00762D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35502"/>
    <w:rPr>
      <w:i/>
      <w:iCs/>
    </w:rPr>
  </w:style>
  <w:style w:type="character" w:styleId="Hyperlink">
    <w:name w:val="Hyperlink"/>
    <w:basedOn w:val="DefaultParagraphFont"/>
    <w:uiPriority w:val="99"/>
    <w:unhideWhenUsed/>
    <w:rsid w:val="006977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on.ac.uk/about-us/your-university/equality/inclusive-practice.aspx" TargetMode="External"/><Relationship Id="rId13" Type="http://schemas.openxmlformats.org/officeDocument/2006/relationships/hyperlink" Target="https://www.heacademy.ac.uk/system/files/inclusivelearningandteaching_finalreport.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d.ac.uk/student-recruitment/widening-participation/about/what" TargetMode="External"/><Relationship Id="rId12" Type="http://schemas.openxmlformats.org/officeDocument/2006/relationships/hyperlink" Target="http://www.parliament.scot/Research%20briefings%20and%20fact%20sheets/SB_10-07.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4" TargetMode="External"/><Relationship Id="rId1" Type="http://schemas.openxmlformats.org/officeDocument/2006/relationships/numbering" Target="numbering.xml"/><Relationship Id="rId6" Type="http://schemas.openxmlformats.org/officeDocument/2006/relationships/hyperlink" Target="https://www.jobs.ac.uk/careers-advice/working-in-education/1146/what-you-need-to-know-about-widening-participation" TargetMode="External"/><Relationship Id="rId11" Type="http://schemas.openxmlformats.org/officeDocument/2006/relationships/hyperlink" Target="file:///C:/Users/p151793/Downloads/education.pdf" TargetMode="External"/><Relationship Id="rId5" Type="http://schemas.openxmlformats.org/officeDocument/2006/relationships/hyperlink" Target="https://www.allfie.org.uk/definitions/what-is-inclusive-education/" TargetMode="External"/><Relationship Id="rId15" Type="http://schemas.openxmlformats.org/officeDocument/2006/relationships/hyperlink" Target="https://assets.publishing.service.gov.uk/government/uploads/system/uploads/attachment_data/file/757897/WP2018-MainText.pdf." TargetMode="External"/><Relationship Id="rId10" Type="http://schemas.openxmlformats.org/officeDocument/2006/relationships/hyperlink" Target="https://www.jisc.ac.uk/guides/supporting-an-inclusive-learner-experience-in-higher-education" TargetMode="External"/><Relationship Id="rId4" Type="http://schemas.openxmlformats.org/officeDocument/2006/relationships/webSettings" Target="webSettings.xml"/><Relationship Id="rId9" Type="http://schemas.openxmlformats.org/officeDocument/2006/relationships/hyperlink" Target="https://moodle.uwtsd.ac.uk/course/view.php?id=2589" TargetMode="External"/><Relationship Id="rId14" Type="http://schemas.openxmlformats.org/officeDocument/2006/relationships/hyperlink" Target="http://www.basicknowledge101.com/pdf/Differentiated%20instru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3245</Words>
  <Characters>18501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Samuel</dc:creator>
  <cp:keywords/>
  <dc:description/>
  <cp:lastModifiedBy>Ryan Samuel (P151793)</cp:lastModifiedBy>
  <cp:revision>2</cp:revision>
  <dcterms:created xsi:type="dcterms:W3CDTF">2018-12-05T19:01:00Z</dcterms:created>
  <dcterms:modified xsi:type="dcterms:W3CDTF">2018-12-05T19:01:00Z</dcterms:modified>
</cp:coreProperties>
</file>