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before="200" w:line="360" w:lineRule="auto"/>
        <w:jc w:val="center"/>
        <w:rPr>
          <w:b w:val="1"/>
          <w:bCs w:val="1"/>
          <w:u w:val="single"/>
        </w:rPr>
      </w:pPr>
      <w:r>
        <w:rPr>
          <w:b w:val="1"/>
          <w:bCs w:val="1"/>
          <w:u w:val="single"/>
          <w:rtl w:val="0"/>
          <w:lang w:val="en-US"/>
        </w:rPr>
        <w:t>Assignment 1</w:t>
      </w:r>
    </w:p>
    <w:p>
      <w:pPr>
        <w:pStyle w:val="Body"/>
        <w:spacing w:before="200" w:line="360" w:lineRule="auto"/>
        <w:rPr>
          <w:b w:val="1"/>
          <w:bCs w:val="1"/>
          <w:u w:val="single"/>
        </w:rPr>
      </w:pPr>
      <w:r>
        <w:rPr>
          <w:b w:val="1"/>
          <w:bCs w:val="1"/>
          <w:u w:val="single"/>
          <w:rtl w:val="0"/>
          <w:lang w:val="en-US"/>
        </w:rPr>
        <w:t>Introduction and Rationale</w:t>
      </w:r>
    </w:p>
    <w:p>
      <w:pPr>
        <w:pStyle w:val="Body"/>
        <w:spacing w:before="200" w:line="360" w:lineRule="auto"/>
      </w:pPr>
      <w:r>
        <w:rPr>
          <w:rtl w:val="0"/>
          <w:lang w:val="en-US"/>
        </w:rPr>
        <w:t xml:space="preserve">During this study, I will conduct a thorough examination of issues surrounding male participation and retention in choir, primarily focusing on the middle school years (approximately ages 11-14). I will explore a range of theories as to why boys stop singing in choir as well as strategies to keep boys engaged in singing during this time of their lives. This study will involve relevant research findings in the areas of voice, choral music education and gender studies. </w:t>
      </w:r>
    </w:p>
    <w:p>
      <w:pPr>
        <w:pStyle w:val="Body"/>
        <w:spacing w:before="200" w:line="360" w:lineRule="auto"/>
      </w:pPr>
      <w:r>
        <w:rPr>
          <w:rtl w:val="0"/>
          <w:lang w:val="en-US"/>
        </w:rPr>
        <w:t xml:space="preserve">I am a choral music educator and have been working with middle school choirs for the majority of my career thus far. During my time working with this age group, I have engaged in many conversations and forum discussions surrounding this topic and have participated in several conference sessions and professional development seminars addressing the issue of </w:t>
      </w:r>
      <w:r>
        <w:rPr>
          <w:rtl w:val="1"/>
          <w:lang w:val="ar-SA" w:bidi="ar-SA"/>
        </w:rPr>
        <w:t>“</w:t>
      </w:r>
      <w:r>
        <w:rPr>
          <w:rtl w:val="0"/>
          <w:lang w:val="en-US"/>
        </w:rPr>
        <w:t>missing males</w:t>
      </w:r>
      <w:r>
        <w:rPr>
          <w:rtl w:val="0"/>
        </w:rPr>
        <w:t xml:space="preserve">” </w:t>
      </w:r>
      <w:r>
        <w:rPr>
          <w:rtl w:val="0"/>
          <w:lang w:val="en-US"/>
        </w:rPr>
        <w:t>in choral education (Koza, 1993, p. 212). These personal experiences have uncovered two primary areas of focus:</w:t>
      </w:r>
    </w:p>
    <w:p>
      <w:pPr>
        <w:pStyle w:val="Body"/>
        <w:numPr>
          <w:ilvl w:val="0"/>
          <w:numId w:val="2"/>
        </w:numPr>
        <w:bidi w:val="0"/>
        <w:spacing w:before="200" w:line="360" w:lineRule="auto"/>
        <w:ind w:right="0"/>
        <w:jc w:val="left"/>
        <w:rPr>
          <w:rtl w:val="0"/>
          <w:lang w:val="en-US"/>
        </w:rPr>
      </w:pPr>
      <w:r>
        <w:rPr>
          <w:rtl w:val="0"/>
          <w:lang w:val="en-US"/>
        </w:rPr>
        <w:t xml:space="preserve">recruiting more boys to join choral classes (Zemek, 2010, Elpus, 2015) </w:t>
      </w:r>
    </w:p>
    <w:p>
      <w:pPr>
        <w:pStyle w:val="Body"/>
        <w:numPr>
          <w:ilvl w:val="0"/>
          <w:numId w:val="2"/>
        </w:numPr>
        <w:bidi w:val="0"/>
        <w:spacing w:before="200" w:line="360" w:lineRule="auto"/>
        <w:ind w:right="0"/>
        <w:jc w:val="left"/>
        <w:rPr>
          <w:rtl w:val="0"/>
          <w:lang w:val="en-US"/>
        </w:rPr>
      </w:pPr>
      <w:r>
        <w:rPr>
          <w:rtl w:val="0"/>
          <w:lang w:val="en-US"/>
        </w:rPr>
        <w:t>retaining the boys who do enroll (Freer, 2012).</w:t>
      </w:r>
    </w:p>
    <w:p>
      <w:pPr>
        <w:pStyle w:val="Body"/>
        <w:spacing w:before="200" w:line="360" w:lineRule="auto"/>
      </w:pPr>
      <w:r>
        <w:rPr>
          <w:rtl w:val="0"/>
          <w:lang w:val="en-US"/>
        </w:rPr>
        <w:t xml:space="preserve">I currently teach choir in a large public school in a suburb of Atlanta, Georgia, USA. Prior to this, I worked for several years as the choral director at a small independent school, just outside of New York City. I had success recruiting and retaining boys in the small independent school setting, but have not had the same levels of success in my public school position. I have quickly learned that many of the tactics and techniques that were successful in my previous school are not as effective in my new position. I have questioned whether these challenges are primarily due to the differences in student demographic, differences in school culture, differences in public school education and independent school education, or any other number of factors. This has led me to inquire about new strategies to reach my students and engage them in choral singing. </w:t>
      </w:r>
    </w:p>
    <w:p>
      <w:pPr>
        <w:pStyle w:val="Body"/>
        <w:spacing w:before="200" w:line="360" w:lineRule="auto"/>
      </w:pPr>
      <w:r>
        <w:rPr>
          <w:rtl w:val="0"/>
          <w:lang w:val="en-US"/>
        </w:rPr>
        <w:t>One primary issue I am facing in my current teaching position is that a majority of the boys in my choral classes did not elect to enroll in choir and were placed in the class involuntarily. This has proven to cause many frustrations with classroom behavior and impose challenges with class singing. I am approaching this research with the goal of learning how to engage the students who did not elect to take choir while also learning strategies in which I can recruit and retain singers who want to be a part of my choral program so that there is no longer room for my class to be filled with students who do not elect choir.</w:t>
      </w:r>
    </w:p>
    <w:p>
      <w:pPr>
        <w:pStyle w:val="Body"/>
        <w:spacing w:before="200" w:line="360" w:lineRule="auto"/>
      </w:pPr>
      <w:r>
        <w:rPr>
          <w:rtl w:val="0"/>
          <w:lang w:val="en-US"/>
        </w:rPr>
        <w:t xml:space="preserve">A quick survey of literature on this topic revealed that recruiting and retaining boys in choral music programs has been the topic of discussion among choral researchers for decades (Van Camp, 1987; Gates, 1989; Koza, 1993) and a number of contemporary researchers have continued to explore the topic (Ashley, 2006, 2018; Freer, 2009a, 2009b, 2012, 2015, 2020; Harrison, 2004, 2007, 2010). It is clear that there is a wealth of relevant research on this topic, which may prove overwhelming. </w:t>
      </w:r>
    </w:p>
    <w:p>
      <w:pPr>
        <w:pStyle w:val="Body"/>
        <w:spacing w:before="200" w:line="360" w:lineRule="auto"/>
      </w:pPr>
      <w:r>
        <w:rPr>
          <w:rtl w:val="0"/>
          <w:lang w:val="en-US"/>
        </w:rPr>
        <w:t>During the course of this independent learning assignment, I will gain a deeper understanding of the many reasons boys may choose not to participate in choir. I am entering this project with a goal of keeping my research broad, with the hopes of uncovering more specific lines of inquiry through deeper analysis of the literature (Sandelowski and Barroso, 2007).</w:t>
      </w:r>
    </w:p>
    <w:p>
      <w:pPr>
        <w:pStyle w:val="Body"/>
        <w:spacing w:before="200" w:line="360" w:lineRule="auto"/>
        <w:rPr>
          <w:b w:val="1"/>
          <w:bCs w:val="1"/>
        </w:rPr>
      </w:pPr>
      <w:r>
        <w:rPr>
          <w:b w:val="1"/>
          <w:bCs w:val="1"/>
          <w:u w:val="single"/>
          <w:rtl w:val="0"/>
          <w:lang w:val="en-US"/>
        </w:rPr>
        <w:t>Planned Program of Study</w:t>
      </w:r>
    </w:p>
    <w:p>
      <w:pPr>
        <w:pStyle w:val="Body"/>
        <w:spacing w:before="200" w:line="360" w:lineRule="auto"/>
      </w:pPr>
      <w:r>
        <w:rPr>
          <w:b w:val="1"/>
          <w:bCs w:val="1"/>
          <w:rtl w:val="0"/>
          <w:lang w:val="en-US"/>
        </w:rPr>
        <w:t>Aims and Objectives:</w:t>
      </w:r>
    </w:p>
    <w:p>
      <w:pPr>
        <w:pStyle w:val="Body"/>
        <w:spacing w:before="200" w:line="360" w:lineRule="auto"/>
      </w:pPr>
      <w:r>
        <w:rPr>
          <w:rtl w:val="0"/>
          <w:lang w:val="en-US"/>
        </w:rPr>
        <w:t>The aims of my research project are:</w:t>
      </w:r>
    </w:p>
    <w:p>
      <w:pPr>
        <w:pStyle w:val="Body"/>
        <w:numPr>
          <w:ilvl w:val="0"/>
          <w:numId w:val="4"/>
        </w:numPr>
        <w:bidi w:val="0"/>
        <w:spacing w:before="200" w:line="360" w:lineRule="auto"/>
        <w:ind w:right="0"/>
        <w:jc w:val="left"/>
        <w:rPr>
          <w:rtl w:val="0"/>
          <w:lang w:val="en-US"/>
        </w:rPr>
      </w:pPr>
      <w:r>
        <w:rPr>
          <w:rtl w:val="0"/>
          <w:lang w:val="en-US"/>
        </w:rPr>
        <w:t>To gain a broader understanding of the issues surrounding recruitment and retention of male singers in middle school choir.</w:t>
      </w:r>
    </w:p>
    <w:p>
      <w:pPr>
        <w:pStyle w:val="Body"/>
        <w:numPr>
          <w:ilvl w:val="0"/>
          <w:numId w:val="4"/>
        </w:numPr>
        <w:bidi w:val="0"/>
        <w:spacing w:before="200" w:line="360" w:lineRule="auto"/>
        <w:ind w:right="0"/>
        <w:jc w:val="left"/>
        <w:rPr>
          <w:rtl w:val="0"/>
          <w:lang w:val="en-US"/>
        </w:rPr>
      </w:pPr>
      <w:r>
        <w:rPr>
          <w:rtl w:val="0"/>
          <w:lang w:val="en-US"/>
        </w:rPr>
        <w:t>To develop a deeper understanding of the ways in which peer pressure and gender stereotypes impact the choral classroom.</w:t>
      </w:r>
    </w:p>
    <w:p>
      <w:pPr>
        <w:pStyle w:val="Body"/>
        <w:numPr>
          <w:ilvl w:val="0"/>
          <w:numId w:val="4"/>
        </w:numPr>
        <w:bidi w:val="0"/>
        <w:spacing w:before="200" w:line="360" w:lineRule="auto"/>
        <w:ind w:right="0"/>
        <w:jc w:val="left"/>
        <w:rPr>
          <w:rtl w:val="0"/>
          <w:lang w:val="en-US"/>
        </w:rPr>
      </w:pPr>
      <w:r>
        <w:rPr>
          <w:rtl w:val="0"/>
          <w:lang w:val="en-US"/>
        </w:rPr>
        <w:t>To widen my knowledge of methodologies for researching and constructing a literature review.</w:t>
      </w:r>
    </w:p>
    <w:p>
      <w:pPr>
        <w:pStyle w:val="Body"/>
        <w:spacing w:before="200" w:line="360" w:lineRule="auto"/>
      </w:pPr>
      <w:r>
        <w:rPr>
          <w:rtl w:val="0"/>
          <w:lang w:val="en-US"/>
        </w:rPr>
        <w:t>The objectives of my research project are:</w:t>
      </w:r>
    </w:p>
    <w:p>
      <w:pPr>
        <w:pStyle w:val="Body"/>
        <w:numPr>
          <w:ilvl w:val="0"/>
          <w:numId w:val="6"/>
        </w:numPr>
        <w:bidi w:val="0"/>
        <w:spacing w:before="200" w:line="360" w:lineRule="auto"/>
        <w:ind w:right="0"/>
        <w:jc w:val="left"/>
        <w:rPr>
          <w:rtl w:val="0"/>
          <w:lang w:val="en-US"/>
        </w:rPr>
      </w:pPr>
      <w:r>
        <w:rPr>
          <w:rtl w:val="0"/>
          <w:lang w:val="en-US"/>
        </w:rPr>
        <w:t>To identify current leading contributors to research in the field.</w:t>
      </w:r>
    </w:p>
    <w:p>
      <w:pPr>
        <w:pStyle w:val="Body"/>
        <w:numPr>
          <w:ilvl w:val="0"/>
          <w:numId w:val="6"/>
        </w:numPr>
        <w:spacing w:before="200" w:line="360" w:lineRule="auto"/>
        <w:rPr>
          <w:lang w:val="en-US"/>
        </w:rPr>
      </w:pPr>
      <w:r>
        <w:rPr>
          <w:rtl w:val="0"/>
          <w:lang w:val="en-US"/>
        </w:rPr>
        <w:t>To critically analyze a range of theories and texts on this topic by undergoing a thorough investigation of the literature.</w:t>
      </w:r>
    </w:p>
    <w:p>
      <w:pPr>
        <w:pStyle w:val="Body"/>
        <w:numPr>
          <w:ilvl w:val="0"/>
          <w:numId w:val="6"/>
        </w:numPr>
        <w:bidi w:val="0"/>
        <w:spacing w:before="200" w:line="360" w:lineRule="auto"/>
        <w:ind w:right="0"/>
        <w:jc w:val="left"/>
        <w:rPr>
          <w:rtl w:val="0"/>
          <w:lang w:val="en-US"/>
        </w:rPr>
      </w:pPr>
      <w:r>
        <w:rPr>
          <w:rtl w:val="0"/>
          <w:lang w:val="en-US"/>
        </w:rPr>
        <w:t xml:space="preserve">To develop a systematic approach for searching for research, note taking, and organizing findings. </w:t>
      </w:r>
    </w:p>
    <w:p>
      <w:pPr>
        <w:pStyle w:val="Body"/>
        <w:numPr>
          <w:ilvl w:val="0"/>
          <w:numId w:val="6"/>
        </w:numPr>
        <w:spacing w:before="200" w:line="360" w:lineRule="auto"/>
        <w:rPr>
          <w:lang w:val="en-US"/>
        </w:rPr>
      </w:pPr>
      <w:r>
        <w:rPr>
          <w:rtl w:val="0"/>
          <w:lang w:val="en-US"/>
        </w:rPr>
        <w:t>To consider the ways in which relevant research can impact my practice.</w:t>
      </w:r>
    </w:p>
    <w:p>
      <w:pPr>
        <w:pStyle w:val="Body"/>
        <w:spacing w:before="200" w:line="360" w:lineRule="auto"/>
      </w:pPr>
    </w:p>
    <w:p>
      <w:pPr>
        <w:pStyle w:val="Body"/>
        <w:spacing w:before="200" w:line="360" w:lineRule="auto"/>
      </w:pPr>
    </w:p>
    <w:p>
      <w:pPr>
        <w:pStyle w:val="Body"/>
        <w:spacing w:before="200" w:line="360" w:lineRule="auto"/>
        <w:rPr>
          <w:b w:val="1"/>
          <w:bCs w:val="1"/>
        </w:rPr>
      </w:pPr>
      <w:r>
        <w:rPr>
          <w:rtl w:val="0"/>
          <w:lang w:val="en-US"/>
        </w:rPr>
        <w:t>The following charts outlines my planned timeline for my research:</w:t>
      </w:r>
    </w:p>
    <w:tbl>
      <w:tblPr>
        <w:tblW w:w="940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25"/>
        <w:gridCol w:w="270"/>
        <w:gridCol w:w="270"/>
        <w:gridCol w:w="270"/>
        <w:gridCol w:w="255"/>
        <w:gridCol w:w="240"/>
        <w:gridCol w:w="255"/>
        <w:gridCol w:w="240"/>
        <w:gridCol w:w="270"/>
        <w:gridCol w:w="270"/>
        <w:gridCol w:w="270"/>
        <w:gridCol w:w="270"/>
        <w:gridCol w:w="300"/>
        <w:gridCol w:w="270"/>
        <w:gridCol w:w="270"/>
        <w:gridCol w:w="255"/>
        <w:gridCol w:w="255"/>
        <w:gridCol w:w="270"/>
        <w:gridCol w:w="240"/>
        <w:gridCol w:w="270"/>
        <w:gridCol w:w="285"/>
        <w:gridCol w:w="285"/>
        <w:gridCol w:w="270"/>
        <w:gridCol w:w="270"/>
        <w:gridCol w:w="270"/>
        <w:gridCol w:w="270"/>
        <w:gridCol w:w="255"/>
        <w:gridCol w:w="255"/>
        <w:gridCol w:w="240"/>
        <w:gridCol w:w="270"/>
      </w:tblGrid>
      <w:tr>
        <w:tblPrEx>
          <w:shd w:val="clear" w:color="auto" w:fill="ced7e7"/>
        </w:tblPrEx>
        <w:trPr>
          <w:trHeight w:val="250" w:hRule="atLeast"/>
        </w:trPr>
        <w:tc>
          <w:tcPr>
            <w:tcW w:type="dxa" w:w="17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pPr>
              <w:pStyle w:val="Body"/>
              <w:widowControl w:val="0"/>
              <w:spacing w:before="200" w:line="360" w:lineRule="auto"/>
              <w:jc w:val="center"/>
            </w:pPr>
            <w:r>
              <w:rPr>
                <w:b w:val="1"/>
                <w:bCs w:val="1"/>
                <w:sz w:val="20"/>
                <w:szCs w:val="20"/>
                <w:shd w:val="nil" w:color="auto" w:fill="auto"/>
                <w:rtl w:val="0"/>
                <w:lang w:val="en-US"/>
              </w:rPr>
              <w:t>Task</w:t>
            </w:r>
          </w:p>
        </w:tc>
        <w:tc>
          <w:tcPr>
            <w:tcW w:type="dxa" w:w="1305"/>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d9d9d9"/>
            <w:tcMar>
              <w:top w:type="dxa" w:w="80"/>
              <w:left w:type="dxa" w:w="80"/>
              <w:bottom w:type="dxa" w:w="80"/>
              <w:right w:type="dxa" w:w="80"/>
            </w:tcMar>
            <w:vAlign w:val="bottom"/>
          </w:tcPr>
          <w:p>
            <w:pPr>
              <w:pStyle w:val="Body"/>
              <w:widowControl w:val="0"/>
              <w:spacing w:before="200" w:line="360" w:lineRule="auto"/>
              <w:jc w:val="center"/>
            </w:pPr>
            <w:r>
              <w:rPr>
                <w:rFonts w:ascii="Roboto" w:cs="Roboto" w:hAnsi="Roboto" w:eastAsia="Roboto"/>
                <w:b w:val="1"/>
                <w:bCs w:val="1"/>
                <w:outline w:val="0"/>
                <w:color w:val="434343"/>
                <w:sz w:val="18"/>
                <w:szCs w:val="18"/>
                <w:u w:color="434343"/>
                <w:shd w:val="nil" w:color="auto" w:fill="auto"/>
                <w:rtl w:val="0"/>
                <w:lang w:val="en-US"/>
                <w14:textFill>
                  <w14:solidFill>
                    <w14:srgbClr w14:val="434343"/>
                  </w14:solidFill>
                </w14:textFill>
              </w:rPr>
              <w:t>JAN</w:t>
            </w:r>
          </w:p>
        </w:tc>
        <w:tc>
          <w:tcPr>
            <w:tcW w:type="dxa" w:w="1035"/>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fefef"/>
            <w:tcMar>
              <w:top w:type="dxa" w:w="80"/>
              <w:left w:type="dxa" w:w="80"/>
              <w:bottom w:type="dxa" w:w="80"/>
              <w:right w:type="dxa" w:w="80"/>
            </w:tcMar>
            <w:vAlign w:val="bottom"/>
          </w:tcPr>
          <w:p>
            <w:pPr>
              <w:pStyle w:val="Body"/>
              <w:widowControl w:val="0"/>
              <w:spacing w:before="200" w:line="360" w:lineRule="auto"/>
              <w:jc w:val="center"/>
            </w:pPr>
            <w:r>
              <w:rPr>
                <w:rFonts w:ascii="Roboto" w:cs="Roboto" w:hAnsi="Roboto" w:eastAsia="Roboto"/>
                <w:b w:val="1"/>
                <w:bCs w:val="1"/>
                <w:outline w:val="0"/>
                <w:color w:val="434343"/>
                <w:sz w:val="18"/>
                <w:szCs w:val="18"/>
                <w:u w:color="434343"/>
                <w:shd w:val="nil" w:color="auto" w:fill="auto"/>
                <w:rtl w:val="0"/>
                <w:lang w:val="en-US"/>
                <w14:textFill>
                  <w14:solidFill>
                    <w14:srgbClr w14:val="434343"/>
                  </w14:solidFill>
                </w14:textFill>
              </w:rPr>
              <w:t>FEB</w:t>
            </w:r>
          </w:p>
        </w:tc>
        <w:tc>
          <w:tcPr>
            <w:tcW w:type="dxa" w:w="1380"/>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d9d9d9"/>
            <w:tcMar>
              <w:top w:type="dxa" w:w="80"/>
              <w:left w:type="dxa" w:w="80"/>
              <w:bottom w:type="dxa" w:w="80"/>
              <w:right w:type="dxa" w:w="80"/>
            </w:tcMar>
            <w:vAlign w:val="bottom"/>
          </w:tcPr>
          <w:p>
            <w:pPr>
              <w:pStyle w:val="Body"/>
              <w:widowControl w:val="0"/>
              <w:spacing w:before="200" w:line="360" w:lineRule="auto"/>
              <w:jc w:val="center"/>
            </w:pPr>
            <w:r>
              <w:rPr>
                <w:rFonts w:ascii="Roboto" w:cs="Roboto" w:hAnsi="Roboto" w:eastAsia="Roboto"/>
                <w:b w:val="1"/>
                <w:bCs w:val="1"/>
                <w:outline w:val="0"/>
                <w:color w:val="434343"/>
                <w:sz w:val="18"/>
                <w:szCs w:val="18"/>
                <w:u w:color="434343"/>
                <w:shd w:val="nil" w:color="auto" w:fill="auto"/>
                <w:rtl w:val="0"/>
                <w:lang w:val="en-US"/>
                <w14:textFill>
                  <w14:solidFill>
                    <w14:srgbClr w14:val="434343"/>
                  </w14:solidFill>
                </w14:textFill>
              </w:rPr>
              <w:t>MAR</w:t>
            </w:r>
          </w:p>
        </w:tc>
        <w:tc>
          <w:tcPr>
            <w:tcW w:type="dxa" w:w="1290"/>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fefef"/>
            <w:tcMar>
              <w:top w:type="dxa" w:w="80"/>
              <w:left w:type="dxa" w:w="80"/>
              <w:bottom w:type="dxa" w:w="80"/>
              <w:right w:type="dxa" w:w="80"/>
            </w:tcMar>
            <w:vAlign w:val="bottom"/>
          </w:tcPr>
          <w:p>
            <w:pPr>
              <w:pStyle w:val="Body"/>
              <w:widowControl w:val="0"/>
              <w:spacing w:before="200" w:line="360" w:lineRule="auto"/>
              <w:jc w:val="center"/>
            </w:pPr>
            <w:r>
              <w:rPr>
                <w:rFonts w:ascii="Roboto" w:cs="Roboto" w:hAnsi="Roboto" w:eastAsia="Roboto"/>
                <w:b w:val="1"/>
                <w:bCs w:val="1"/>
                <w:outline w:val="0"/>
                <w:color w:val="434343"/>
                <w:sz w:val="18"/>
                <w:szCs w:val="18"/>
                <w:u w:color="434343"/>
                <w:shd w:val="nil" w:color="auto" w:fill="auto"/>
                <w:rtl w:val="0"/>
                <w:lang w:val="en-US"/>
                <w14:textFill>
                  <w14:solidFill>
                    <w14:srgbClr w14:val="434343"/>
                  </w14:solidFill>
                </w14:textFill>
              </w:rPr>
              <w:t>APR</w:t>
            </w:r>
          </w:p>
        </w:tc>
        <w:tc>
          <w:tcPr>
            <w:tcW w:type="dxa" w:w="1380"/>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d9d9d9"/>
            <w:tcMar>
              <w:top w:type="dxa" w:w="80"/>
              <w:left w:type="dxa" w:w="80"/>
              <w:bottom w:type="dxa" w:w="80"/>
              <w:right w:type="dxa" w:w="80"/>
            </w:tcMar>
            <w:vAlign w:val="bottom"/>
          </w:tcPr>
          <w:p>
            <w:pPr>
              <w:pStyle w:val="Body"/>
              <w:widowControl w:val="0"/>
              <w:spacing w:before="200" w:line="360" w:lineRule="auto"/>
              <w:jc w:val="center"/>
            </w:pPr>
            <w:r>
              <w:rPr>
                <w:rFonts w:ascii="Roboto" w:cs="Roboto" w:hAnsi="Roboto" w:eastAsia="Roboto"/>
                <w:b w:val="1"/>
                <w:bCs w:val="1"/>
                <w:outline w:val="0"/>
                <w:color w:val="434343"/>
                <w:sz w:val="18"/>
                <w:szCs w:val="18"/>
                <w:u w:color="434343"/>
                <w:shd w:val="nil" w:color="auto" w:fill="auto"/>
                <w:rtl w:val="0"/>
                <w:lang w:val="en-US"/>
                <w14:textFill>
                  <w14:solidFill>
                    <w14:srgbClr w14:val="434343"/>
                  </w14:solidFill>
                </w14:textFill>
              </w:rPr>
              <w:t>MAY</w:t>
            </w:r>
          </w:p>
        </w:tc>
        <w:tc>
          <w:tcPr>
            <w:tcW w:type="dxa" w:w="1290"/>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fefef"/>
            <w:tcMar>
              <w:top w:type="dxa" w:w="80"/>
              <w:left w:type="dxa" w:w="80"/>
              <w:bottom w:type="dxa" w:w="80"/>
              <w:right w:type="dxa" w:w="80"/>
            </w:tcMar>
            <w:vAlign w:val="bottom"/>
          </w:tcPr>
          <w:p>
            <w:pPr>
              <w:pStyle w:val="Body"/>
              <w:widowControl w:val="0"/>
              <w:spacing w:before="200" w:line="360" w:lineRule="auto"/>
              <w:jc w:val="center"/>
            </w:pPr>
            <w:r>
              <w:rPr>
                <w:rFonts w:ascii="Roboto" w:cs="Roboto" w:hAnsi="Roboto" w:eastAsia="Roboto"/>
                <w:b w:val="1"/>
                <w:bCs w:val="1"/>
                <w:outline w:val="0"/>
                <w:color w:val="434343"/>
                <w:sz w:val="18"/>
                <w:szCs w:val="18"/>
                <w:u w:color="434343"/>
                <w:shd w:val="nil" w:color="auto" w:fill="auto"/>
                <w:rtl w:val="0"/>
                <w:lang w:val="en-US"/>
                <w14:textFill>
                  <w14:solidFill>
                    <w14:srgbClr w14:val="434343"/>
                  </w14:solidFill>
                </w14:textFill>
              </w:rPr>
              <w:t>JUN</w:t>
            </w:r>
          </w:p>
        </w:tc>
      </w:tr>
      <w:tr>
        <w:tblPrEx>
          <w:shd w:val="clear" w:color="auto" w:fill="ced7e7"/>
        </w:tblPrEx>
        <w:trPr>
          <w:trHeight w:val="1535" w:hRule="atLeast"/>
        </w:trPr>
        <w:tc>
          <w:tcPr>
            <w:tcW w:type="dxa" w:w="17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pPr>
              <w:pStyle w:val="Body"/>
              <w:widowControl w:val="0"/>
              <w:spacing w:before="200" w:line="360" w:lineRule="auto"/>
            </w:pPr>
            <w:r>
              <w:rPr>
                <w:sz w:val="20"/>
                <w:szCs w:val="20"/>
                <w:shd w:val="nil" w:color="auto" w:fill="auto"/>
                <w:rtl w:val="0"/>
                <w:lang w:val="en-US"/>
              </w:rPr>
              <w:t>Make decisions about research topic and meet with tutor to finalize.</w:t>
            </w: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3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r>
      <w:tr>
        <w:tblPrEx>
          <w:shd w:val="clear" w:color="auto" w:fill="ced7e7"/>
        </w:tblPrEx>
        <w:trPr>
          <w:trHeight w:val="1209" w:hRule="atLeast"/>
        </w:trPr>
        <w:tc>
          <w:tcPr>
            <w:tcW w:type="dxa" w:w="17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pPr>
              <w:pStyle w:val="Body"/>
              <w:widowControl w:val="0"/>
              <w:spacing w:before="200" w:line="360" w:lineRule="auto"/>
            </w:pPr>
            <w:r>
              <w:rPr>
                <w:sz w:val="20"/>
                <w:szCs w:val="20"/>
                <w:shd w:val="nil" w:color="auto" w:fill="auto"/>
                <w:rtl w:val="0"/>
                <w:lang w:val="en-US"/>
              </w:rPr>
              <w:t>Outline and write aims, objectives and project rationale.</w:t>
            </w: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3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r>
      <w:tr>
        <w:tblPrEx>
          <w:shd w:val="clear" w:color="auto" w:fill="ced7e7"/>
        </w:tblPrEx>
        <w:trPr>
          <w:trHeight w:val="1862" w:hRule="atLeast"/>
        </w:trPr>
        <w:tc>
          <w:tcPr>
            <w:tcW w:type="dxa" w:w="17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pPr>
              <w:pStyle w:val="Body"/>
              <w:widowControl w:val="0"/>
              <w:spacing w:before="200" w:line="360" w:lineRule="auto"/>
            </w:pPr>
            <w:r>
              <w:rPr>
                <w:sz w:val="20"/>
                <w:szCs w:val="20"/>
                <w:shd w:val="nil" w:color="auto" w:fill="auto"/>
                <w:rtl w:val="0"/>
                <w:lang w:val="en-US"/>
              </w:rPr>
              <w:t>Conduct research on appropriate Literature Review methodologies</w:t>
            </w: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3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r>
      <w:tr>
        <w:tblPrEx>
          <w:shd w:val="clear" w:color="auto" w:fill="ced7e7"/>
        </w:tblPrEx>
        <w:trPr>
          <w:trHeight w:val="1535" w:hRule="atLeast"/>
        </w:trPr>
        <w:tc>
          <w:tcPr>
            <w:tcW w:type="dxa" w:w="17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pPr>
              <w:pStyle w:val="Body"/>
              <w:widowControl w:val="0"/>
              <w:spacing w:before="200" w:line="360" w:lineRule="auto"/>
            </w:pPr>
            <w:r>
              <w:rPr>
                <w:sz w:val="20"/>
                <w:szCs w:val="20"/>
                <w:shd w:val="nil" w:color="auto" w:fill="auto"/>
                <w:rtl w:val="0"/>
                <w:lang w:val="en-US"/>
              </w:rPr>
              <w:t>Begin collecting research on the topic, organizing all notes, and drafting outline</w:t>
            </w: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3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r>
      <w:tr>
        <w:tblPrEx>
          <w:shd w:val="clear" w:color="auto" w:fill="ced7e7"/>
        </w:tblPrEx>
        <w:trPr>
          <w:trHeight w:val="1535" w:hRule="atLeast"/>
        </w:trPr>
        <w:tc>
          <w:tcPr>
            <w:tcW w:type="dxa" w:w="17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pPr>
              <w:pStyle w:val="Body"/>
              <w:widowControl w:val="0"/>
              <w:spacing w:before="200" w:line="360" w:lineRule="auto"/>
            </w:pPr>
            <w:r>
              <w:rPr>
                <w:sz w:val="20"/>
                <w:szCs w:val="20"/>
                <w:shd w:val="nil" w:color="auto" w:fill="auto"/>
                <w:rtl w:val="0"/>
                <w:lang w:val="en-US"/>
              </w:rPr>
              <w:t>Write first draft of Assignment 2 and submit to tutor for feedback</w:t>
            </w: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3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r>
      <w:tr>
        <w:tblPrEx>
          <w:shd w:val="clear" w:color="auto" w:fill="ced7e7"/>
        </w:tblPrEx>
        <w:trPr>
          <w:trHeight w:val="1535" w:hRule="atLeast"/>
        </w:trPr>
        <w:tc>
          <w:tcPr>
            <w:tcW w:type="dxa" w:w="17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pPr>
              <w:pStyle w:val="Body"/>
              <w:widowControl w:val="0"/>
              <w:spacing w:before="200" w:line="360" w:lineRule="auto"/>
            </w:pPr>
            <w:r>
              <w:rPr>
                <w:sz w:val="20"/>
                <w:szCs w:val="20"/>
                <w:shd w:val="nil" w:color="auto" w:fill="auto"/>
                <w:rtl w:val="0"/>
                <w:lang w:val="en-US"/>
              </w:rPr>
              <w:t>Reflect on research journey and write reflection for Assignment 1</w:t>
            </w: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3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r>
      <w:tr>
        <w:tblPrEx>
          <w:shd w:val="clear" w:color="auto" w:fill="ced7e7"/>
        </w:tblPrEx>
        <w:trPr>
          <w:trHeight w:val="1535" w:hRule="atLeast"/>
        </w:trPr>
        <w:tc>
          <w:tcPr>
            <w:tcW w:type="dxa" w:w="17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pPr>
              <w:pStyle w:val="Body"/>
              <w:widowControl w:val="0"/>
              <w:spacing w:before="200" w:line="360" w:lineRule="auto"/>
            </w:pPr>
            <w:r>
              <w:rPr>
                <w:sz w:val="20"/>
                <w:szCs w:val="20"/>
                <w:shd w:val="nil" w:color="auto" w:fill="auto"/>
                <w:rtl w:val="0"/>
                <w:lang w:val="en-US"/>
              </w:rPr>
              <w:t>Edit drafts and prepare for final submission, ensuring proper referencing</w:t>
            </w: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3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7b7b7"/>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7b7b7"/>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7b7b7"/>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7b7b7"/>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r>
      <w:tr>
        <w:tblPrEx>
          <w:shd w:val="clear" w:color="auto" w:fill="ced7e7"/>
        </w:tblPrEx>
        <w:trPr>
          <w:trHeight w:val="580" w:hRule="atLeast"/>
        </w:trPr>
        <w:tc>
          <w:tcPr>
            <w:tcW w:type="dxa" w:w="17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widowControl w:val="0"/>
              <w:spacing w:before="200" w:line="360" w:lineRule="auto"/>
            </w:pPr>
            <w:r>
              <w:rPr>
                <w:sz w:val="20"/>
                <w:szCs w:val="20"/>
                <w:shd w:val="nil" w:color="auto" w:fill="auto"/>
                <w:rtl w:val="0"/>
                <w:lang w:val="en-US"/>
              </w:rPr>
              <w:t>Submit project</w:t>
            </w: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30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8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999999"/>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4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c>
          <w:tcPr>
            <w:tcW w:type="dxa" w:w="27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fffff"/>
            <w:tcMar>
              <w:top w:type="dxa" w:w="80"/>
              <w:left w:type="dxa" w:w="80"/>
              <w:bottom w:type="dxa" w:w="80"/>
              <w:right w:type="dxa" w:w="80"/>
            </w:tcMar>
            <w:vAlign w:val="bottom"/>
          </w:tcPr>
          <w:p/>
        </w:tc>
      </w:tr>
    </w:tbl>
    <w:p>
      <w:pPr>
        <w:pStyle w:val="Body"/>
        <w:widowControl w:val="0"/>
        <w:spacing w:before="200" w:line="240" w:lineRule="auto"/>
        <w:rPr>
          <w:b w:val="1"/>
          <w:bCs w:val="1"/>
        </w:rPr>
      </w:pPr>
    </w:p>
    <w:p>
      <w:pPr>
        <w:pStyle w:val="Body"/>
        <w:spacing w:before="200" w:line="360" w:lineRule="auto"/>
        <w:rPr>
          <w:b w:val="1"/>
          <w:bCs w:val="1"/>
        </w:rPr>
      </w:pPr>
      <w:r>
        <w:rPr>
          <w:b w:val="1"/>
          <w:bCs w:val="1"/>
          <w:u w:val="single"/>
          <w:rtl w:val="0"/>
          <w:lang w:val="en-US"/>
        </w:rPr>
        <w:t>The Literature Review Process</w:t>
      </w:r>
    </w:p>
    <w:p>
      <w:pPr>
        <w:pStyle w:val="Body"/>
        <w:spacing w:before="200" w:line="360" w:lineRule="auto"/>
      </w:pPr>
      <w:r>
        <w:rPr>
          <w:rtl w:val="0"/>
          <w:lang w:val="en-US"/>
        </w:rPr>
        <w:t xml:space="preserve">The literature review process is a crucial step when undertaking any research endeavor (Bootes and Beile, 2005, Randolph, 2009). A good literature review will demonstrate to the reader that the researcher has developed a thorough knowledge of relevant vocabulary, themes, theories and history of the research topic (Creswell, 2005). The literature review process also aids researcher in uncovering </w:t>
      </w:r>
      <w:r>
        <w:rPr>
          <w:rtl w:val="1"/>
          <w:lang w:val="ar-SA" w:bidi="ar-SA"/>
        </w:rPr>
        <w:t>“</w:t>
      </w:r>
      <w:r>
        <w:rPr>
          <w:rtl w:val="0"/>
          <w:lang w:val="en-US"/>
        </w:rPr>
        <w:t>influential researchers and research groups in the field</w:t>
      </w:r>
      <w:r>
        <w:rPr>
          <w:rtl w:val="0"/>
        </w:rPr>
        <w:t xml:space="preserve">” </w:t>
      </w:r>
      <w:r>
        <w:rPr>
          <w:rtl w:val="0"/>
          <w:lang w:val="it-IT"/>
        </w:rPr>
        <w:t>(Randolph, 2009, p. 2)</w:t>
      </w:r>
      <w:r>
        <w:rPr>
          <w:sz w:val="24"/>
          <w:szCs w:val="24"/>
          <w:rtl w:val="0"/>
        </w:rPr>
        <w:t xml:space="preserve"> </w:t>
      </w:r>
      <w:r>
        <w:rPr>
          <w:rtl w:val="0"/>
          <w:lang w:val="en-US"/>
        </w:rPr>
        <w:t xml:space="preserve">A flawed literature review can bring into question the validity of a research project (Randolph, 2009). </w:t>
      </w:r>
    </w:p>
    <w:p>
      <w:pPr>
        <w:pStyle w:val="Body"/>
        <w:spacing w:before="200" w:line="360" w:lineRule="auto"/>
      </w:pPr>
      <w:r>
        <w:rPr>
          <w:rtl w:val="0"/>
          <w:lang w:val="en-US"/>
        </w:rPr>
        <w:t>Following Cooper</w:t>
      </w:r>
      <w:r>
        <w:rPr>
          <w:rtl w:val="1"/>
        </w:rPr>
        <w:t>’</w:t>
      </w:r>
      <w:r>
        <w:rPr>
          <w:rtl w:val="0"/>
          <w:lang w:val="en-US"/>
        </w:rPr>
        <w:t xml:space="preserve">s (1988) Taxonomy of Literature Reviews, the focus of my review is on research outcomes, involving the analysis of findings in the research literature. Due to the nature of my topic, I will be exploring research findings from qualitative research studies (Sanelowski and Barroso, 2007). Qualitative research has been criticized because findings cannot be used to generalize the experience of entire populations due to limits of sample size (Sandelowski and Barroso, 2007). Qualitative research synthesis can be used to </w:t>
      </w:r>
      <w:r>
        <w:rPr>
          <w:rtl w:val="1"/>
          <w:lang w:val="ar-SA" w:bidi="ar-SA"/>
        </w:rPr>
        <w:t>“</w:t>
      </w:r>
      <w:r>
        <w:rPr>
          <w:rtl w:val="0"/>
          <w:lang w:val="en-US"/>
        </w:rPr>
        <w:t>link individual studies</w:t>
      </w:r>
      <w:r>
        <w:rPr>
          <w:rtl w:val="0"/>
        </w:rPr>
        <w:t xml:space="preserve">” </w:t>
      </w:r>
      <w:r>
        <w:rPr>
          <w:rtl w:val="0"/>
          <w:lang w:val="en-US"/>
        </w:rPr>
        <w:t xml:space="preserve">(p. 3) and </w:t>
      </w:r>
      <w:r>
        <w:rPr>
          <w:rtl w:val="1"/>
          <w:lang w:val="ar-SA" w:bidi="ar-SA"/>
        </w:rPr>
        <w:t>“</w:t>
      </w:r>
      <w:r>
        <w:rPr>
          <w:rtl w:val="0"/>
          <w:lang w:val="en-US"/>
        </w:rPr>
        <w:t>integrate the findings in reports of completed qualitative studies</w:t>
      </w:r>
      <w:r>
        <w:rPr>
          <w:rtl w:val="0"/>
        </w:rPr>
        <w:t xml:space="preserve">” </w:t>
      </w:r>
      <w:r>
        <w:rPr>
          <w:rtl w:val="0"/>
          <w:lang w:val="en-US"/>
        </w:rPr>
        <w:t xml:space="preserve">(p. 17), with a primary goal of summarizing and analyzing the knowledge from a larger body of literature, linking these findings that are </w:t>
      </w:r>
      <w:r>
        <w:rPr>
          <w:rtl w:val="1"/>
          <w:lang w:val="ar-SA" w:bidi="ar-SA"/>
        </w:rPr>
        <w:t>“</w:t>
      </w:r>
      <w:r>
        <w:rPr>
          <w:rtl w:val="0"/>
          <w:lang w:val="en-US"/>
        </w:rPr>
        <w:t>directly relevant to practice</w:t>
      </w:r>
      <w:r>
        <w:rPr>
          <w:rtl w:val="0"/>
        </w:rPr>
        <w:t xml:space="preserve">” </w:t>
      </w:r>
      <w:r>
        <w:rPr>
          <w:rtl w:val="0"/>
        </w:rPr>
        <w:t>(p. 23).</w:t>
      </w:r>
    </w:p>
    <w:p>
      <w:pPr>
        <w:pStyle w:val="Body"/>
        <w:spacing w:before="200" w:line="360" w:lineRule="auto"/>
      </w:pPr>
      <w:r>
        <w:rPr>
          <w:rtl w:val="0"/>
          <w:lang w:val="en-US"/>
        </w:rPr>
        <w:t xml:space="preserve">When undertaking a research project such as this, it is sometimes challenging for the research coverage to be exhaustive due to the limits of time constraints (Cooper, 1988). Therefore, the researcher must develop criteria to select a </w:t>
      </w:r>
      <w:r>
        <w:rPr>
          <w:rtl w:val="1"/>
          <w:lang w:val="ar-SA" w:bidi="ar-SA"/>
        </w:rPr>
        <w:t>“</w:t>
      </w:r>
      <w:r>
        <w:rPr>
          <w:rtl w:val="0"/>
          <w:lang w:val="it-IT"/>
        </w:rPr>
        <w:t>representative</w:t>
      </w:r>
      <w:r>
        <w:rPr>
          <w:rtl w:val="0"/>
        </w:rPr>
        <w:t xml:space="preserve">” </w:t>
      </w:r>
      <w:r>
        <w:rPr>
          <w:rtl w:val="0"/>
          <w:lang w:val="en-US"/>
        </w:rPr>
        <w:t xml:space="preserve">sample (p. 109) and conduct an </w:t>
      </w:r>
      <w:r>
        <w:rPr>
          <w:rtl w:val="1"/>
          <w:lang w:val="ar-SA" w:bidi="ar-SA"/>
        </w:rPr>
        <w:t>“</w:t>
      </w:r>
      <w:r>
        <w:rPr>
          <w:rtl w:val="0"/>
          <w:lang w:val="en-US"/>
        </w:rPr>
        <w:t>intensive analysis</w:t>
      </w:r>
      <w:r>
        <w:rPr>
          <w:rtl w:val="0"/>
        </w:rPr>
        <w:t xml:space="preserve">” </w:t>
      </w:r>
      <w:r>
        <w:rPr>
          <w:rtl w:val="0"/>
          <w:lang w:val="en-US"/>
        </w:rPr>
        <w:t>of the sample (Sandelowski and Barroso, 2007, p. 23)</w:t>
      </w:r>
    </w:p>
    <w:p>
      <w:pPr>
        <w:pStyle w:val="Body"/>
        <w:spacing w:before="200" w:line="360" w:lineRule="auto"/>
      </w:pPr>
      <w:r>
        <w:rPr>
          <w:rtl w:val="0"/>
          <w:lang w:val="en-US"/>
        </w:rPr>
        <w:t xml:space="preserve">When I began researching this topic, I first conducted an author search (Bates, 1989) for relevant studies by Patrick Freer and Martin Ashley. I discovered a large body of research by Freer and Ashley while undergoing research for a previous module in which I focused on the male changing voice. Further examination of their work led to my interest in developing my research inquiry for this module. Scanning through search results in the articles in the UWTSD library database, I was able to determine which publications by Freer and Ashley would be relevant primarily based on their titles (Sandelowski and Barroso, 2007). </w:t>
      </w:r>
    </w:p>
    <w:p>
      <w:pPr>
        <w:pStyle w:val="Body"/>
        <w:spacing w:before="200" w:line="360" w:lineRule="auto"/>
        <w:rPr>
          <w:b w:val="1"/>
          <w:bCs w:val="1"/>
          <w:u w:val="single"/>
        </w:rPr>
      </w:pPr>
      <w:r>
        <w:rPr>
          <w:rtl w:val="0"/>
          <w:lang w:val="en-US"/>
        </w:rPr>
        <w:t xml:space="preserve">Next, I conducted general subject searches (Bell and Water, 2018) in the UWTSD library database. I first searched for keywords and phrases such as </w:t>
      </w:r>
      <w:r>
        <w:rPr>
          <w:i w:val="1"/>
          <w:iCs w:val="1"/>
          <w:rtl w:val="0"/>
          <w:lang w:val="en-US"/>
        </w:rPr>
        <w:t xml:space="preserve">boys singing, middle school choir, middle school boys singing, boys and chorus, voice change and choir, middle school chorus, gender and singing, </w:t>
      </w:r>
      <w:r>
        <w:rPr>
          <w:rtl w:val="0"/>
          <w:lang w:val="en-US"/>
        </w:rPr>
        <w:t xml:space="preserve">and </w:t>
      </w:r>
      <w:r>
        <w:rPr>
          <w:i w:val="1"/>
          <w:iCs w:val="1"/>
          <w:rtl w:val="0"/>
          <w:lang w:val="en-US"/>
        </w:rPr>
        <w:t>middle school chorus boy retention</w:t>
      </w:r>
      <w:r>
        <w:rPr>
          <w:rtl w:val="0"/>
          <w:lang w:val="en-US"/>
        </w:rPr>
        <w:t xml:space="preserve">. These searches proved to be very broad and relevant research was mixed with dozens of unrelated articles. I conducted similar searches in the databases of relevant publications such as </w:t>
      </w:r>
      <w:r>
        <w:rPr>
          <w:i w:val="1"/>
          <w:iCs w:val="1"/>
          <w:rtl w:val="0"/>
          <w:lang w:val="en-US"/>
        </w:rPr>
        <w:t xml:space="preserve">Journal of Voice, Choral Journal, </w:t>
      </w:r>
      <w:r>
        <w:rPr>
          <w:rtl w:val="0"/>
          <w:lang w:val="en-US"/>
        </w:rPr>
        <w:t xml:space="preserve">and </w:t>
      </w:r>
      <w:r>
        <w:rPr>
          <w:i w:val="1"/>
          <w:iCs w:val="1"/>
          <w:rtl w:val="0"/>
          <w:lang w:val="en-US"/>
        </w:rPr>
        <w:t>Journal of Research in Music Education</w:t>
      </w:r>
      <w:r>
        <w:rPr>
          <w:rtl w:val="0"/>
          <w:lang w:val="en-US"/>
        </w:rPr>
        <w:t>, which proved to be a clearer path to finding related articles</w:t>
      </w:r>
      <w:r>
        <w:rPr>
          <w:i w:val="1"/>
          <w:iCs w:val="1"/>
          <w:rtl w:val="0"/>
        </w:rPr>
        <w:t>.</w:t>
      </w:r>
    </w:p>
    <w:p>
      <w:pPr>
        <w:pStyle w:val="Body"/>
        <w:spacing w:before="200" w:line="360" w:lineRule="auto"/>
        <w:rPr>
          <w:b w:val="1"/>
          <w:bCs w:val="1"/>
          <w:u w:val="single"/>
        </w:rPr>
      </w:pPr>
      <w:r>
        <w:rPr>
          <w:rtl w:val="0"/>
          <w:lang w:val="en-US"/>
        </w:rPr>
        <w:t xml:space="preserve">After collecting initial articles, I began to explore more deeply by following the process of </w:t>
      </w:r>
      <w:r>
        <w:rPr>
          <w:rtl w:val="1"/>
          <w:lang w:val="ar-SA" w:bidi="ar-SA"/>
        </w:rPr>
        <w:t>“</w:t>
      </w:r>
      <w:r>
        <w:rPr>
          <w:rtl w:val="0"/>
          <w:lang w:val="en-US"/>
        </w:rPr>
        <w:t>footnote chasing</w:t>
      </w:r>
      <w:r>
        <w:rPr>
          <w:rtl w:val="0"/>
        </w:rPr>
        <w:t xml:space="preserve">” </w:t>
      </w:r>
      <w:r>
        <w:rPr>
          <w:rtl w:val="0"/>
          <w:lang w:val="en-US"/>
        </w:rPr>
        <w:t>(Bates, 1989, p. 1), in which I looked through the references of articles to find other relevant research on the topic. As I continued this process, I began to feel overwhelmed by the amount of information I was finding on this topic. I realized then that I would need to more clearly define the parameters of my search in order to make the collection of research more manageable (Bell and Waters, 2018).</w:t>
      </w:r>
    </w:p>
    <w:p>
      <w:pPr>
        <w:pStyle w:val="Body"/>
        <w:spacing w:before="200" w:line="360" w:lineRule="auto"/>
      </w:pPr>
      <w:r>
        <w:rPr>
          <w:rtl w:val="0"/>
          <w:lang w:val="en-US"/>
        </w:rPr>
        <w:t xml:space="preserve">I first decided to narrow my search to include only peer-reviewed articles from music education, choral and voice journal publications. While I decided to exclude masters and doctoral theses from this research, I did look through several doctoral theses and utilized the technique of </w:t>
      </w:r>
      <w:r>
        <w:rPr>
          <w:rtl w:val="1"/>
          <w:lang w:val="ar-SA" w:bidi="ar-SA"/>
        </w:rPr>
        <w:t>“</w:t>
      </w:r>
      <w:r>
        <w:rPr>
          <w:rtl w:val="0"/>
          <w:lang w:val="en-US"/>
        </w:rPr>
        <w:t>footnote chasing</w:t>
      </w:r>
      <w:r>
        <w:rPr>
          <w:rtl w:val="0"/>
        </w:rPr>
        <w:t xml:space="preserve">” </w:t>
      </w:r>
      <w:r>
        <w:rPr>
          <w:rtl w:val="0"/>
          <w:lang w:val="en-US"/>
        </w:rPr>
        <w:t xml:space="preserve">to uncover additional relevant research (Bates, 1989, p. 1). After first collecting approximately 20 articles, I began to read through them more thoroughly and noticed several themes emerging: societal expectations of masculinity and singing (Green, 1993; Hall, 2005; Ashley, 2006; Harrison, 2007; Freer, 2009a; Warnock, 2009; Sweet, 2010; Powell, 2015; Kelley, 2021), voice change concerns, (Cooksey, 2000; Fisher, 2012; Freer, 2012; Ashley, 2018), peer pressure (Ashley, 2006; Harrison, 2007; Freer, 2009; Sweet, 2010; Harrison, 2010;) and the impact of the teacher on the overall choral experience  (Ashley, 2006; Harrison, 2007; Freer, 2009a; Collins, 2012; Bennetts, 2013; Fisher, 2014). As I continued searching for literature with these specific themes in mind, I was able to make decisions on which articles to immediately exclude based on their titles and abstracts (Creswell, 2014). I continued the process of </w:t>
      </w:r>
      <w:r>
        <w:rPr>
          <w:rtl w:val="1"/>
          <w:lang w:val="ar-SA" w:bidi="ar-SA"/>
        </w:rPr>
        <w:t>“</w:t>
      </w:r>
      <w:r>
        <w:rPr>
          <w:rtl w:val="0"/>
          <w:lang w:val="en-US"/>
        </w:rPr>
        <w:t>footnote chasing</w:t>
      </w:r>
      <w:r>
        <w:rPr>
          <w:rtl w:val="0"/>
        </w:rPr>
        <w:t xml:space="preserve">” </w:t>
      </w:r>
      <w:r>
        <w:rPr>
          <w:rtl w:val="0"/>
          <w:lang w:val="en-US"/>
        </w:rPr>
        <w:t xml:space="preserve">(Bates, 1989, p.1) and additional </w:t>
      </w:r>
      <w:r>
        <w:rPr>
          <w:rtl w:val="1"/>
          <w:lang w:val="ar-SA" w:bidi="ar-SA"/>
        </w:rPr>
        <w:t>“</w:t>
      </w:r>
      <w:r>
        <w:rPr>
          <w:rtl w:val="0"/>
          <w:lang w:val="en-US"/>
        </w:rPr>
        <w:t>author searching</w:t>
      </w:r>
      <w:r>
        <w:rPr>
          <w:rtl w:val="0"/>
        </w:rPr>
        <w:t xml:space="preserve">” </w:t>
      </w:r>
      <w:r>
        <w:rPr>
          <w:rtl w:val="0"/>
          <w:lang w:val="en-US"/>
        </w:rPr>
        <w:t xml:space="preserve">(p.1) until I felt I had reached </w:t>
      </w:r>
      <w:r>
        <w:rPr>
          <w:rtl w:val="1"/>
          <w:lang w:val="ar-SA" w:bidi="ar-SA"/>
        </w:rPr>
        <w:t>“</w:t>
      </w:r>
      <w:r>
        <w:rPr>
          <w:rtl w:val="0"/>
          <w:lang w:val="en-US"/>
        </w:rPr>
        <w:t>a point of saturation</w:t>
      </w:r>
      <w:r>
        <w:rPr>
          <w:rtl w:val="0"/>
        </w:rPr>
        <w:t xml:space="preserve">” </w:t>
      </w:r>
      <w:r>
        <w:rPr>
          <w:rtl w:val="0"/>
          <w:lang w:val="it-IT"/>
        </w:rPr>
        <w:t>(Randolph, 2007, p. 7).</w:t>
      </w:r>
    </w:p>
    <w:p>
      <w:pPr>
        <w:pStyle w:val="Body"/>
        <w:spacing w:before="200" w:line="360" w:lineRule="auto"/>
        <w:rPr>
          <w:b w:val="1"/>
          <w:bCs w:val="1"/>
          <w:u w:val="single"/>
        </w:rPr>
      </w:pPr>
      <w:r>
        <w:rPr>
          <w:rtl w:val="0"/>
          <w:lang w:val="en-US"/>
        </w:rPr>
        <w:t>Based on the volume of research I ended up gathering, it was clear that I needed a structured system for taking notes and organizing information (Bell and Waters, 2018). I started first by taking notes in the articles as I went along, then transferred to a Google document, as cloud-based word processors are easy to access from multiple locations (Bell and Waters, 2018). When I noticed topics and themes continuing to emerge, I was able to begin coding my research (Cooper, 1984, Randolph, 2009) and then write my literature review.</w:t>
      </w:r>
    </w:p>
    <w:p>
      <w:pPr>
        <w:pStyle w:val="Body"/>
        <w:spacing w:before="200" w:line="360" w:lineRule="auto"/>
        <w:rPr>
          <w:b w:val="1"/>
          <w:bCs w:val="1"/>
          <w:u w:val="single"/>
        </w:rPr>
      </w:pPr>
    </w:p>
    <w:p>
      <w:pPr>
        <w:pStyle w:val="Body"/>
        <w:spacing w:before="200" w:line="360" w:lineRule="auto"/>
        <w:rPr>
          <w:b w:val="1"/>
          <w:bCs w:val="1"/>
          <w:u w:val="single"/>
        </w:rPr>
      </w:pPr>
      <w:r>
        <w:rPr>
          <w:b w:val="1"/>
          <w:bCs w:val="1"/>
          <w:u w:val="single"/>
          <w:rtl w:val="0"/>
          <w:lang w:val="en-US"/>
        </w:rPr>
        <w:t>Critical Reflection</w:t>
      </w:r>
    </w:p>
    <w:p>
      <w:pPr>
        <w:pStyle w:val="Body"/>
        <w:spacing w:before="200" w:line="360" w:lineRule="auto"/>
      </w:pPr>
      <w:r>
        <w:rPr>
          <w:rtl w:val="0"/>
          <w:lang w:val="en-US"/>
        </w:rPr>
        <w:t xml:space="preserve">Reflection is a crucial step in any learning journey and must be approached systematically in order to </w:t>
      </w:r>
      <w:r>
        <w:rPr>
          <w:rtl w:val="1"/>
          <w:lang w:val="ar-SA" w:bidi="ar-SA"/>
        </w:rPr>
        <w:t>“</w:t>
      </w:r>
      <w:r>
        <w:rPr>
          <w:rtl w:val="0"/>
          <w:lang w:val="en-US"/>
        </w:rPr>
        <w:t>sort through and learn from</w:t>
      </w:r>
      <w:r>
        <w:rPr>
          <w:rtl w:val="0"/>
        </w:rPr>
        <w:t xml:space="preserve">” </w:t>
      </w:r>
      <w:r>
        <w:rPr>
          <w:rtl w:val="0"/>
          <w:lang w:val="en-US"/>
        </w:rPr>
        <w:t>experiences (Ghaye, 2011, p. 3). Sch</w:t>
      </w:r>
      <w:r>
        <w:rPr>
          <w:rtl w:val="0"/>
          <w:lang w:val="sv-SE"/>
        </w:rPr>
        <w:t>ö</w:t>
      </w:r>
      <w:r>
        <w:rPr>
          <w:rtl w:val="0"/>
          <w:lang w:val="en-US"/>
        </w:rPr>
        <w:t>n separated reflective practice into two categories: reflection-in-action and reflection-on-action (Sch</w:t>
      </w:r>
      <w:r>
        <w:rPr>
          <w:rtl w:val="0"/>
          <w:lang w:val="sv-SE"/>
        </w:rPr>
        <w:t>ö</w:t>
      </w:r>
      <w:r>
        <w:rPr>
          <w:rtl w:val="0"/>
          <w:lang w:val="en-US"/>
        </w:rPr>
        <w:t>n, 1983). Reflection-in-action is the act of reflecting and recalling experiences in the moment, while reflection-on-action involves reflecting after an event has occurred (Sch</w:t>
      </w:r>
      <w:r>
        <w:rPr>
          <w:rtl w:val="0"/>
          <w:lang w:val="sv-SE"/>
        </w:rPr>
        <w:t>ö</w:t>
      </w:r>
      <w:r>
        <w:rPr>
          <w:rtl w:val="0"/>
          <w:lang w:val="en-US"/>
        </w:rPr>
        <w:t>n, 1983). As a researcher and teaching practitioner, I engaged in both types of reflection during my research path for this module. The following will document my reflection-on-action.</w:t>
      </w:r>
    </w:p>
    <w:p>
      <w:pPr>
        <w:pStyle w:val="Body"/>
        <w:spacing w:before="200" w:line="360" w:lineRule="auto"/>
      </w:pPr>
      <w:r>
        <w:rPr>
          <w:rtl w:val="0"/>
          <w:lang w:val="en-US"/>
        </w:rPr>
        <w:t>I chose to use Gibbs</w:t>
      </w:r>
      <w:r>
        <w:rPr>
          <w:rtl w:val="1"/>
        </w:rPr>
        <w:t xml:space="preserve">’ </w:t>
      </w:r>
      <w:r>
        <w:rPr>
          <w:rtl w:val="0"/>
          <w:lang w:val="en-US"/>
        </w:rPr>
        <w:t>(1988) reflective cycle as a framework for my reflection. Gibbs</w:t>
      </w:r>
      <w:r>
        <w:rPr>
          <w:rtl w:val="1"/>
        </w:rPr>
        <w:t xml:space="preserve">’ </w:t>
      </w:r>
      <w:r>
        <w:rPr>
          <w:rtl w:val="0"/>
          <w:lang w:val="en-US"/>
        </w:rPr>
        <w:t>model was appealing to me as it implies that reflection occurs in a neverending cyclical pattern, including the following steps:</w:t>
      </w:r>
    </w:p>
    <w:p>
      <w:pPr>
        <w:pStyle w:val="Body"/>
        <w:numPr>
          <w:ilvl w:val="0"/>
          <w:numId w:val="8"/>
        </w:numPr>
        <w:bidi w:val="0"/>
        <w:spacing w:before="200" w:line="360" w:lineRule="auto"/>
        <w:ind w:right="0"/>
        <w:jc w:val="left"/>
        <w:rPr>
          <w:rtl w:val="0"/>
          <w:lang w:val="fr-FR"/>
        </w:rPr>
      </w:pPr>
      <w:r>
        <w:rPr>
          <w:rtl w:val="0"/>
          <w:lang w:val="fr-FR"/>
        </w:rPr>
        <w:t>Description,</w:t>
      </w:r>
    </w:p>
    <w:p>
      <w:pPr>
        <w:pStyle w:val="Body"/>
        <w:numPr>
          <w:ilvl w:val="0"/>
          <w:numId w:val="8"/>
        </w:numPr>
        <w:bidi w:val="0"/>
        <w:spacing w:before="200" w:line="360" w:lineRule="auto"/>
        <w:ind w:right="0"/>
        <w:jc w:val="left"/>
        <w:rPr>
          <w:rtl w:val="0"/>
          <w:lang w:val="en-US"/>
        </w:rPr>
      </w:pPr>
      <w:r>
        <w:rPr>
          <w:rtl w:val="0"/>
          <w:lang w:val="en-US"/>
        </w:rPr>
        <w:t>Feelings,</w:t>
      </w:r>
    </w:p>
    <w:p>
      <w:pPr>
        <w:pStyle w:val="Body"/>
        <w:numPr>
          <w:ilvl w:val="0"/>
          <w:numId w:val="8"/>
        </w:numPr>
        <w:bidi w:val="0"/>
        <w:spacing w:before="200" w:line="360" w:lineRule="auto"/>
        <w:ind w:right="0"/>
        <w:jc w:val="left"/>
        <w:rPr>
          <w:rtl w:val="0"/>
          <w:lang w:val="en-US"/>
        </w:rPr>
      </w:pPr>
      <w:r>
        <w:rPr>
          <w:rtl w:val="0"/>
          <w:lang w:val="en-US"/>
        </w:rPr>
        <w:t>Evaluation,</w:t>
      </w:r>
    </w:p>
    <w:p>
      <w:pPr>
        <w:pStyle w:val="Body"/>
        <w:numPr>
          <w:ilvl w:val="0"/>
          <w:numId w:val="8"/>
        </w:numPr>
        <w:bidi w:val="0"/>
        <w:spacing w:before="200" w:line="360" w:lineRule="auto"/>
        <w:ind w:right="0"/>
        <w:jc w:val="left"/>
        <w:rPr>
          <w:rtl w:val="0"/>
          <w:lang w:val="en-US"/>
        </w:rPr>
      </w:pPr>
      <w:r>
        <w:rPr>
          <w:rtl w:val="0"/>
          <w:lang w:val="en-US"/>
        </w:rPr>
        <w:t>Analysis,</w:t>
      </w:r>
    </w:p>
    <w:p>
      <w:pPr>
        <w:pStyle w:val="Body"/>
        <w:numPr>
          <w:ilvl w:val="0"/>
          <w:numId w:val="8"/>
        </w:numPr>
        <w:bidi w:val="0"/>
        <w:spacing w:before="200" w:line="360" w:lineRule="auto"/>
        <w:ind w:right="0"/>
        <w:jc w:val="left"/>
        <w:rPr>
          <w:rtl w:val="0"/>
          <w:lang w:val="fr-FR"/>
        </w:rPr>
      </w:pPr>
      <w:r>
        <w:rPr>
          <w:rtl w:val="0"/>
          <w:lang w:val="fr-FR"/>
        </w:rPr>
        <w:t>Conclusion,</w:t>
      </w:r>
    </w:p>
    <w:p>
      <w:pPr>
        <w:pStyle w:val="Body"/>
        <w:numPr>
          <w:ilvl w:val="0"/>
          <w:numId w:val="8"/>
        </w:numPr>
        <w:bidi w:val="0"/>
        <w:spacing w:before="200" w:line="360" w:lineRule="auto"/>
        <w:ind w:right="0"/>
        <w:jc w:val="left"/>
        <w:rPr>
          <w:rtl w:val="0"/>
          <w:lang w:val="en-US"/>
        </w:rPr>
      </w:pPr>
      <w:r>
        <w:rPr>
          <w:rtl w:val="0"/>
          <w:lang w:val="en-US"/>
        </w:rPr>
        <w:t>Action Plan (Lia, 2015).</w:t>
      </w:r>
    </w:p>
    <w:p>
      <w:pPr>
        <w:pStyle w:val="Body"/>
        <w:spacing w:before="200" w:line="360" w:lineRule="auto"/>
      </w:pPr>
      <w:r>
        <w:rPr>
          <w:b w:val="1"/>
          <w:bCs w:val="1"/>
          <w:rtl w:val="0"/>
          <w:lang w:val="fr-FR"/>
        </w:rPr>
        <w:t>Description</w:t>
      </w:r>
    </w:p>
    <w:p>
      <w:pPr>
        <w:pStyle w:val="Body"/>
        <w:spacing w:before="200" w:line="360" w:lineRule="auto"/>
        <w:rPr>
          <w:b w:val="1"/>
          <w:bCs w:val="1"/>
        </w:rPr>
      </w:pPr>
      <w:r>
        <w:rPr>
          <w:rtl w:val="0"/>
          <w:lang w:val="en-US"/>
        </w:rPr>
        <w:t>I first began this research module in January 2022, focusing on motor learning. While this topic was fascinating, the scientific nature and cross-over with sports research proved to be extremely overwhelming. In addition to feeling overwhelmed by my research topic, I was also in the process of relocating with my family, finding a new job, and leaving a job that I had loved for years. This all became too much and I eventually decided with my tutor that it was best to pause my studies due to the stressful life changes that were occurring.</w:t>
      </w:r>
    </w:p>
    <w:p>
      <w:pPr>
        <w:pStyle w:val="Body"/>
        <w:spacing w:before="200" w:line="360" w:lineRule="auto"/>
      </w:pPr>
      <w:r>
        <w:rPr>
          <w:rtl w:val="0"/>
          <w:lang w:val="en-US"/>
        </w:rPr>
        <w:t xml:space="preserve">When I continued my studies in January 2023, I was still facing a certain number of personal challenges which made focusing on my research difficult. Right as I was set to return, my family experienced a failed adoption, which was emotionally devastating. While I had a difficult time motivating myself to get started, I eventually found that my studies and research were a helpful distraction. Based on the new professional challenges impacting my practice when I resumed my studies, I also made the decision to change my topic. I may revisit motor learning in the future, so I do not feel that my learning in this area was time wasted.  </w:t>
      </w:r>
    </w:p>
    <w:p>
      <w:pPr>
        <w:pStyle w:val="Body"/>
        <w:spacing w:before="200" w:line="360" w:lineRule="auto"/>
        <w:rPr>
          <w:b w:val="1"/>
          <w:bCs w:val="1"/>
        </w:rPr>
      </w:pPr>
      <w:r>
        <w:rPr>
          <w:b w:val="1"/>
          <w:bCs w:val="1"/>
          <w:rtl w:val="0"/>
          <w:lang w:val="en-US"/>
        </w:rPr>
        <w:t>Feelings</w:t>
      </w:r>
    </w:p>
    <w:p>
      <w:pPr>
        <w:pStyle w:val="Body"/>
        <w:spacing w:before="200" w:line="360" w:lineRule="auto"/>
      </w:pPr>
      <w:r>
        <w:rPr>
          <w:rtl w:val="0"/>
          <w:lang w:val="en-US"/>
        </w:rPr>
        <w:t>In my new position, I was facing new issues that I had not encountered in my previous years of teaching. In addition to experiencing a drastic increase in class sizes and changes in demographics, I was also tasked with rebuilding a choral program that had dwindled significantly in recent years. The challenges facing the school</w:t>
      </w:r>
      <w:r>
        <w:rPr>
          <w:rtl w:val="1"/>
        </w:rPr>
        <w:t>’</w:t>
      </w:r>
      <w:r>
        <w:rPr>
          <w:rtl w:val="0"/>
          <w:lang w:val="en-US"/>
        </w:rPr>
        <w:t>s choral program were partially due to COVID-19 protocols over the past few years and also related to low teacher retention in the choral program over the past decade. Due to the limited number of students who elected to take the class, many students were involuntarily placed in the class because other elective classes were full. This was particularly challenging in grades 7 and 8, with one 7th grade class being made up of mostly boys who did not elect to be there. My decision to focus on this research study came from the desire to engage the boys who did not choose to be there, retain the students who had elected to participate and recruit boys to participate in the following school year.</w:t>
      </w:r>
    </w:p>
    <w:p>
      <w:pPr>
        <w:pStyle w:val="Body"/>
        <w:spacing w:before="200" w:line="360" w:lineRule="auto"/>
        <w:rPr>
          <w:b w:val="1"/>
          <w:bCs w:val="1"/>
        </w:rPr>
      </w:pPr>
      <w:r>
        <w:rPr>
          <w:b w:val="1"/>
          <w:bCs w:val="1"/>
          <w:rtl w:val="0"/>
          <w:lang w:val="en-US"/>
        </w:rPr>
        <w:t>Evaluation</w:t>
      </w:r>
    </w:p>
    <w:p>
      <w:pPr>
        <w:pStyle w:val="Body"/>
        <w:spacing w:before="200" w:line="360" w:lineRule="auto"/>
      </w:pPr>
      <w:r>
        <w:rPr>
          <w:rtl w:val="0"/>
          <w:lang w:val="en-US"/>
        </w:rPr>
        <w:t xml:space="preserve">As I began reading and planning to begin the literature review process, I read a few sources (Bates, 1989; Sandelowski and Barroso, 2007; Randolph, 2009) and I felt confident that I was ready to begin the process of researching the literature. After beginning the process of research collection, I quickly realized I needed a more organized system for searching for literature (Creswell, 2014) and note taking (Bell and Waters, 2018). </w:t>
      </w:r>
    </w:p>
    <w:p>
      <w:pPr>
        <w:pStyle w:val="Body"/>
        <w:spacing w:before="200" w:line="360" w:lineRule="auto"/>
      </w:pPr>
      <w:r>
        <w:rPr>
          <w:rtl w:val="0"/>
          <w:lang w:val="en-US"/>
        </w:rPr>
        <w:t xml:space="preserve">Initially, I found myself focusing primarily on research by Freer (2007, 2009a, 2009b, 2012, 2014) and Ashley (2002, 2013, 2006, 2018) because I already knew them as two </w:t>
      </w:r>
      <w:r>
        <w:rPr>
          <w:rtl w:val="1"/>
          <w:lang w:val="ar-SA" w:bidi="ar-SA"/>
        </w:rPr>
        <w:t>“</w:t>
      </w:r>
      <w:r>
        <w:rPr>
          <w:rtl w:val="0"/>
          <w:lang w:val="en-US"/>
        </w:rPr>
        <w:t>influential researchers [...] in the field</w:t>
      </w:r>
      <w:r>
        <w:rPr>
          <w:rtl w:val="0"/>
        </w:rPr>
        <w:t xml:space="preserve">” </w:t>
      </w:r>
      <w:r>
        <w:rPr>
          <w:rtl w:val="0"/>
          <w:lang w:val="en-US"/>
        </w:rPr>
        <w:t>(Randolph, 2009, p. 2) who have both conducted years of research. I found it interesting to compare their findings as Freer</w:t>
      </w:r>
      <w:r>
        <w:rPr>
          <w:rtl w:val="1"/>
        </w:rPr>
        <w:t>’</w:t>
      </w:r>
      <w:r>
        <w:rPr>
          <w:rtl w:val="0"/>
          <w:lang w:val="en-US"/>
        </w:rPr>
        <w:t>s research deals predominantly with the American perspective, while Ashley</w:t>
      </w:r>
      <w:r>
        <w:rPr>
          <w:rtl w:val="1"/>
        </w:rPr>
        <w:t>’</w:t>
      </w:r>
      <w:r>
        <w:rPr>
          <w:rtl w:val="0"/>
          <w:lang w:val="en-US"/>
        </w:rPr>
        <w:t xml:space="preserve">s research has been conducted primarily in the United Kingdom. It was fascinating to find that they came to many of the same conclusions while carrying out research in different continents. I found myself wanting to read everything Freer and Ashley had published, which initially got in the way of seeking out other relevant research and finding additional leading researchers in this area. I did not want to rely solely on two researchers as this would lead to a flaw in my literature review (Randolph, 2009), so I began the process of finding other relevant research. Further examination revealed many other relevant researchers in the field and broadened the perspective of my research, although the amount of research I uncovered was initially overwhelming. </w:t>
      </w:r>
    </w:p>
    <w:p>
      <w:pPr>
        <w:pStyle w:val="Body"/>
        <w:spacing w:before="200" w:line="360" w:lineRule="auto"/>
      </w:pPr>
      <w:r>
        <w:rPr>
          <w:rtl w:val="0"/>
          <w:lang w:val="en-US"/>
        </w:rPr>
        <w:t xml:space="preserve">Once I developed a more clear process for deciding what literature to include and exclude (Sandelowski and Barroso, 2007), I found the collection of research to be much more manageable. I maintained an effective system for note taking from the beginning of the process, keeping careful records of references and direct quotations to avoid accidental plagiarism (Bells and Waters, 2018). After noticing the emerging themes and coding my notes (Cooper, 1984, Randolph, 2009), the process of writing the literature review proved to be fairly easy. In past modules, I have not organized my notes in such a systematic manner and had a much more challenging time with the writing process.  </w:t>
      </w:r>
    </w:p>
    <w:p>
      <w:pPr>
        <w:pStyle w:val="Body"/>
        <w:spacing w:before="200" w:line="360" w:lineRule="auto"/>
      </w:pPr>
      <w:r>
        <w:rPr>
          <w:rtl w:val="0"/>
          <w:lang w:val="en-US"/>
        </w:rPr>
        <w:t>Time management proved to be a challenge during this research module and I was not always able to keep up with my proposed timeline for this project. Although I was very interested in the topic of study and was learning a great deal of information that would directly impact my practice, I still had a difficult time balancing my research with my job and family life. There were many moments when I would immerse myself in the research and reading for several hours and then not be able to get back into it for several days. Although I could not always spend as much continuous time on my research as I would have liked, having time between research and note taking sometimes gave me time to reflect on my learning and how it could impact my teaching.</w:t>
      </w:r>
    </w:p>
    <w:p>
      <w:pPr>
        <w:pStyle w:val="Body"/>
        <w:spacing w:before="200" w:line="360" w:lineRule="auto"/>
        <w:rPr>
          <w:b w:val="1"/>
          <w:bCs w:val="1"/>
        </w:rPr>
      </w:pPr>
      <w:r>
        <w:rPr>
          <w:b w:val="1"/>
          <w:bCs w:val="1"/>
          <w:rtl w:val="0"/>
          <w:lang w:val="en-US"/>
        </w:rPr>
        <w:t>Analysis</w:t>
      </w:r>
    </w:p>
    <w:p>
      <w:pPr>
        <w:pStyle w:val="Body"/>
        <w:spacing w:before="200" w:line="360" w:lineRule="auto"/>
      </w:pPr>
      <w:r>
        <w:rPr>
          <w:rtl w:val="0"/>
          <w:lang w:val="en-US"/>
        </w:rPr>
        <w:t>As part of my reflection, I maintained a diary of observations from my teaching and ways in which I could apply my learning to my practice (Bell and Waters, 2018).  The primary observations I made through this process were:</w:t>
      </w:r>
    </w:p>
    <w:p>
      <w:pPr>
        <w:pStyle w:val="Body"/>
        <w:numPr>
          <w:ilvl w:val="0"/>
          <w:numId w:val="10"/>
        </w:numPr>
        <w:bidi w:val="0"/>
        <w:spacing w:before="200" w:line="360" w:lineRule="auto"/>
        <w:ind w:right="0"/>
        <w:jc w:val="left"/>
        <w:rPr>
          <w:rtl w:val="0"/>
          <w:lang w:val="en-US"/>
        </w:rPr>
      </w:pPr>
      <w:r>
        <w:rPr>
          <w:rtl w:val="0"/>
          <w:lang w:val="en-US"/>
        </w:rPr>
        <w:t>The gender makeup of my classes seemed to make a difference in terms of overall participation from both boys and girls (Bennetts, 2013). In particular, boys often seemed more likely to sing when they outnumbered the girls in the class, even in classes where boys primarily did not elect to be in choir.</w:t>
      </w:r>
    </w:p>
    <w:p>
      <w:pPr>
        <w:pStyle w:val="Body"/>
        <w:numPr>
          <w:ilvl w:val="0"/>
          <w:numId w:val="10"/>
        </w:numPr>
        <w:bidi w:val="0"/>
        <w:spacing w:before="200" w:line="360" w:lineRule="auto"/>
        <w:ind w:right="0"/>
        <w:jc w:val="left"/>
        <w:rPr>
          <w:rtl w:val="0"/>
          <w:lang w:val="en-US"/>
        </w:rPr>
      </w:pPr>
      <w:r>
        <w:rPr>
          <w:rtl w:val="0"/>
          <w:lang w:val="en-US"/>
        </w:rPr>
        <w:t>Boys frequently remarked that I seemed to focus more on their negative behavior than the behavior of the girls, and often felt that I was singling them out (Freer, 2014).</w:t>
      </w:r>
    </w:p>
    <w:p>
      <w:pPr>
        <w:pStyle w:val="Body"/>
        <w:numPr>
          <w:ilvl w:val="0"/>
          <w:numId w:val="10"/>
        </w:numPr>
        <w:bidi w:val="0"/>
        <w:spacing w:before="200" w:line="360" w:lineRule="auto"/>
        <w:ind w:right="0"/>
        <w:jc w:val="left"/>
        <w:rPr>
          <w:rtl w:val="0"/>
          <w:lang w:val="en-US"/>
        </w:rPr>
      </w:pPr>
      <w:r>
        <w:rPr>
          <w:rtl w:val="0"/>
          <w:lang w:val="en-US"/>
        </w:rPr>
        <w:t>When I was having trouble selecting repertoire, I noticed a tendency to focus on what would appeal to the boys more than what would appeal to the girls (Harrison, 2007; Watson, Rubie-Davies and Hattie, 2019).</w:t>
      </w:r>
    </w:p>
    <w:p>
      <w:pPr>
        <w:pStyle w:val="Body"/>
        <w:numPr>
          <w:ilvl w:val="0"/>
          <w:numId w:val="10"/>
        </w:numPr>
        <w:bidi w:val="0"/>
        <w:spacing w:before="200" w:line="360" w:lineRule="auto"/>
        <w:ind w:right="0"/>
        <w:jc w:val="left"/>
        <w:rPr>
          <w:rtl w:val="0"/>
          <w:lang w:val="en-US"/>
        </w:rPr>
      </w:pPr>
      <w:r>
        <w:rPr>
          <w:rtl w:val="0"/>
          <w:lang w:val="en-US"/>
        </w:rPr>
        <w:t>Even though boys demonstrated that they could sing, they did not all seem to enjoy choral singing and showed reluctance to participate in performances (Watson, Rubie-Davies and Hattie, 2019).</w:t>
      </w:r>
    </w:p>
    <w:p>
      <w:pPr>
        <w:pStyle w:val="Body"/>
        <w:spacing w:before="200" w:line="360" w:lineRule="auto"/>
      </w:pPr>
      <w:r>
        <w:rPr>
          <w:rtl w:val="0"/>
          <w:lang w:val="en-US"/>
        </w:rPr>
        <w:t>It was fascinating to observe the differences in student attitudes and participation based on the gender makeup of each of my classes. Focusing on my two 7th grade choir classes, one class was made up of 80% boys (Class 7A), while the other was 90% girls (Class 7B). Boys in 7B elected to be in the class, while the boys in 7A were involuntarily placed in the class. Despite initial resistance to singing, I had a much easier time getting the boys in 7A to sing and participate. Although this was not a single-gender class, it was a rare instance when the boys significantly outnumbered the girls (Ashley, 2016). In this circumstance, it seemed that the boys were more likely to participate when they outnumbered the girls, which perhaps indicates that separate classes for boys and girls at the middle school level can be beneficial (Elloriaga, 2011; Bennetts, 2013; Orton and Pitts, 2019). Additionally, the girls in 7A displayed much less progress over the course of the year than their counterparts in 7B, perhaps due to the fact that much of my attention was focused on managing the larger group of boys (Freer, 2014).</w:t>
      </w:r>
    </w:p>
    <w:p>
      <w:pPr>
        <w:pStyle w:val="Body"/>
        <w:spacing w:before="200" w:line="360" w:lineRule="auto"/>
      </w:pPr>
      <w:r>
        <w:rPr>
          <w:rtl w:val="0"/>
          <w:lang w:val="en-US"/>
        </w:rPr>
        <w:t xml:space="preserve">Upon further reflection, I found myself guilty of focusing on the boys much more than the girls in most of my classes. This was often due to either behavior management or issues with range which arose due to changing voices. The boys often complained that I was not fair in my classroom management and felt they got in trouble more than the girls, which I noticed was true. I believe this may have been caused, in part, by a shift in my focus due to this research project. Earlier in the school year, I found myself with lower expectations for the boys and did not challenge them enough with the repertoire and instruction (Bennetts, 2013). Perhaps my focus on this research led to a disproportionate shift in my focus in the classroom. </w:t>
      </w:r>
    </w:p>
    <w:p>
      <w:pPr>
        <w:pStyle w:val="Body"/>
        <w:spacing w:before="200" w:line="360" w:lineRule="auto"/>
      </w:pPr>
      <w:r>
        <w:rPr>
          <w:rtl w:val="0"/>
          <w:lang w:val="en-US"/>
        </w:rPr>
        <w:t>Prior to beginning this research project, I made attempts to engage the boys in my class through repertoire that I thought was simple and attainable. As this was mostly in unison and two parts, much of the repertoire was actually unsingable for many of the boys, especially in grades 7 and 8. One of my earliest areas of focus in this module was on repertoire (Demorest, 2000; Ashley, 2006; Freer, 2007, 2014; Wolfe, 2016). In reflecting on my repertoire decisions for the second half of the school year, it is very clear that I made choices primarily with the boys in mind. Further balance will be needed for repertoire selection in the future.</w:t>
      </w:r>
    </w:p>
    <w:p>
      <w:pPr>
        <w:pStyle w:val="Body"/>
        <w:spacing w:before="200" w:line="360" w:lineRule="auto"/>
      </w:pPr>
      <w:r>
        <w:rPr>
          <w:rtl w:val="0"/>
          <w:lang w:val="en-US"/>
        </w:rPr>
        <w:t xml:space="preserve">When focusing on the boys who did not elect to be in choir, it was apparent many made great progress with their singing over the course of the year, some even seemed to show pride in learning to sing in harmony in class. This echoes findings in my research that boys respond well to learning singing skills rather than strictly learning repertoire (Freer, 2009; Harrison, 2010). In fact, the boys displayed a strong interest in learning about their changing voices and often asked for opportunities to find out which student in the class had the lowest voice (Freer, 2014; Orton and Pitts, 2019).  </w:t>
      </w:r>
    </w:p>
    <w:p>
      <w:pPr>
        <w:pStyle w:val="Body"/>
        <w:spacing w:before="200" w:line="360" w:lineRule="auto"/>
        <w:rPr>
          <w:b w:val="1"/>
          <w:bCs w:val="1"/>
          <w:u w:val="single"/>
        </w:rPr>
      </w:pPr>
      <w:r>
        <w:rPr>
          <w:rtl w:val="0"/>
          <w:lang w:val="en-US"/>
        </w:rPr>
        <w:t xml:space="preserve">Despite the growth in their abilities to sing in tune, many of these students did not attend any of the concert performances throughout the year. When I asked one student why he chose not to participate, he responded that he was embarrassed to perform in front of an audience and was afraid his peers would make fun of him. Further questioning uncovered that many other students shared these feelings about performance, even students who did attend the concerts. Most of the students I spoke with were fearful of being teased by their peers, but some were able to negotiate their fears while others were not (Sweet, 2010). The possibility of a peer in the audience recording their performance and posting it on social media proved to be the primary concern among students. This supports findings by Watson, Rubie-Davies and Hattie (2017) suggesting that boys do not perform well under a </w:t>
      </w:r>
      <w:r>
        <w:rPr>
          <w:rtl w:val="1"/>
          <w:lang w:val="ar-SA" w:bidi="ar-SA"/>
        </w:rPr>
        <w:t>“</w:t>
      </w:r>
      <w:r>
        <w:rPr>
          <w:rtl w:val="0"/>
          <w:lang w:val="en-US"/>
        </w:rPr>
        <w:t>stereotype threat condition</w:t>
      </w:r>
      <w:r>
        <w:rPr>
          <w:rtl w:val="0"/>
        </w:rPr>
        <w:t xml:space="preserve">” </w:t>
      </w:r>
      <w:r>
        <w:rPr>
          <w:rtl w:val="0"/>
          <w:lang w:val="en-US"/>
        </w:rPr>
        <w:t xml:space="preserve">(p. 227). Citing Steele and Aronson (1995) they define a stereotype threat as a situation in which </w:t>
      </w:r>
      <w:r>
        <w:rPr>
          <w:rtl w:val="1"/>
          <w:lang w:val="ar-SA" w:bidi="ar-SA"/>
        </w:rPr>
        <w:t>“</w:t>
      </w:r>
      <w:r>
        <w:rPr>
          <w:rtl w:val="0"/>
          <w:lang w:val="en-US"/>
        </w:rPr>
        <w:t>individuals feel they might be at risk of personally confirming a negative stereotype associated with a group to which they belong</w:t>
      </w:r>
      <w:r>
        <w:rPr>
          <w:rtl w:val="0"/>
        </w:rPr>
        <w:t xml:space="preserve">” </w:t>
      </w:r>
      <w:r>
        <w:rPr>
          <w:rtl w:val="0"/>
          <w:lang w:val="en-US"/>
        </w:rPr>
        <w:t>(Watson, Rubie-Davies and Hattie, 2017). Additionally, this further highlights the fact that while many boys may enjoy singing and learning to improve their skills, that does not necessarily mean they want to participate in choral performance (Freer, 2014; Orton and Pitts, 2019). This has enormous implications for my teaching practice, highlighting the need to provide students with additional opportunities for singing outside of the traditional choral model (Freer, 2014). One way I was able to successfully accomplish this was by incorporating familiar and current popular songs in our class through karaoke (Orton and Pitts, 2019) and giving students a voice in selecting the theme and repertoire for our spring choral concert.</w:t>
      </w:r>
    </w:p>
    <w:p>
      <w:pPr>
        <w:pStyle w:val="Body"/>
        <w:spacing w:before="200" w:line="360" w:lineRule="auto"/>
        <w:rPr>
          <w:b w:val="1"/>
          <w:bCs w:val="1"/>
        </w:rPr>
      </w:pPr>
      <w:r>
        <w:rPr>
          <w:b w:val="1"/>
          <w:bCs w:val="1"/>
          <w:rtl w:val="0"/>
          <w:lang w:val="it-IT"/>
        </w:rPr>
        <w:t>Conclusion</w:t>
      </w:r>
    </w:p>
    <w:p>
      <w:pPr>
        <w:pStyle w:val="Body"/>
        <w:spacing w:before="200" w:line="360" w:lineRule="auto"/>
      </w:pPr>
      <w:r>
        <w:rPr>
          <w:rtl w:val="0"/>
          <w:lang w:val="en-US"/>
        </w:rPr>
        <w:t>Looking back, I recognize that I should have started my literature review process with more specific parameters to avoid aimless reading. Deciding inclusion and exclusion criteria sooner would have also made the initial collection of research more manageable (Sandelowski and Barroso, 2007). In examining how this research impacted my practice, there were definitely key areas of growth in my teaching, specifically in regards to engaging male choral students who were involuntarily placed in choir. This research module, and my teaching situation this year, seem to have shifted my focus much more to engaging my male students, which perhaps had disadvantageous impacts on my female students at times. More balanced focus in the future will hopefully lead to a positive learning environment for all students.</w:t>
      </w:r>
    </w:p>
    <w:p>
      <w:pPr>
        <w:pStyle w:val="Body"/>
        <w:spacing w:before="200" w:line="360" w:lineRule="auto"/>
        <w:rPr>
          <w:b w:val="1"/>
          <w:bCs w:val="1"/>
          <w:u w:val="single"/>
        </w:rPr>
      </w:pPr>
      <w:r>
        <w:rPr>
          <w:rtl w:val="0"/>
          <w:lang w:val="en-US"/>
        </w:rPr>
        <w:t xml:space="preserve">Ultimately, I was able to meet my aims and objectives for this research module. In particular, I achieved my goal of gaining a broader understanding of the issues surrounding recruitment and retention of male singers in middle school choir. Narrowing this focus in the future may prove to be a useful endeavor. </w:t>
      </w:r>
    </w:p>
    <w:p>
      <w:pPr>
        <w:pStyle w:val="Body"/>
        <w:spacing w:before="200" w:line="360" w:lineRule="auto"/>
        <w:rPr>
          <w:b w:val="1"/>
          <w:bCs w:val="1"/>
        </w:rPr>
      </w:pPr>
      <w:r>
        <w:rPr>
          <w:b w:val="1"/>
          <w:bCs w:val="1"/>
          <w:rtl w:val="0"/>
          <w:lang w:val="en-US"/>
        </w:rPr>
        <w:t>Action Plan</w:t>
      </w:r>
    </w:p>
    <w:p>
      <w:pPr>
        <w:pStyle w:val="Body"/>
        <w:spacing w:before="200" w:line="360" w:lineRule="auto"/>
      </w:pPr>
      <w:r>
        <w:rPr>
          <w:rtl w:val="0"/>
          <w:lang w:val="en-US"/>
        </w:rPr>
        <w:t>Based on my learning through reading, experience and reflection, I will approach my next school year differently. Although I am moving to a new teaching position, I will still be able to apply my learning to my next group of students through endeavors to do the following:</w:t>
      </w:r>
    </w:p>
    <w:p>
      <w:pPr>
        <w:pStyle w:val="Body"/>
        <w:numPr>
          <w:ilvl w:val="0"/>
          <w:numId w:val="12"/>
        </w:numPr>
        <w:bidi w:val="0"/>
        <w:spacing w:before="200" w:line="360" w:lineRule="auto"/>
        <w:ind w:right="0"/>
        <w:jc w:val="left"/>
        <w:rPr>
          <w:rtl w:val="0"/>
          <w:lang w:val="en-US"/>
        </w:rPr>
      </w:pPr>
      <w:r>
        <w:rPr>
          <w:rtl w:val="0"/>
          <w:lang w:val="en-US"/>
        </w:rPr>
        <w:t>Select a balanced and engaging repertoire suitable for all voices in my choir.</w:t>
      </w:r>
    </w:p>
    <w:p>
      <w:pPr>
        <w:pStyle w:val="Body"/>
        <w:numPr>
          <w:ilvl w:val="0"/>
          <w:numId w:val="12"/>
        </w:numPr>
        <w:bidi w:val="0"/>
        <w:spacing w:before="200" w:line="360" w:lineRule="auto"/>
        <w:ind w:right="0"/>
        <w:jc w:val="left"/>
        <w:rPr>
          <w:rtl w:val="0"/>
          <w:lang w:val="en-US"/>
        </w:rPr>
      </w:pPr>
      <w:r>
        <w:rPr>
          <w:rtl w:val="0"/>
          <w:lang w:val="en-US"/>
        </w:rPr>
        <w:t>Focus on the needs of adolescent boys, without ignoring the needs of adolescent girls.</w:t>
      </w:r>
    </w:p>
    <w:p>
      <w:pPr>
        <w:pStyle w:val="Body"/>
        <w:numPr>
          <w:ilvl w:val="0"/>
          <w:numId w:val="12"/>
        </w:numPr>
        <w:bidi w:val="0"/>
        <w:spacing w:before="200" w:line="360" w:lineRule="auto"/>
        <w:ind w:right="0"/>
        <w:jc w:val="left"/>
        <w:rPr>
          <w:rtl w:val="0"/>
          <w:lang w:val="en-US"/>
        </w:rPr>
      </w:pPr>
      <w:r>
        <w:rPr>
          <w:rtl w:val="0"/>
          <w:lang w:val="en-US"/>
        </w:rPr>
        <w:t>Advocate for opportunities to allow for single-gender choral instruction to explore its impacts on engaging students of all genders.</w:t>
      </w:r>
    </w:p>
    <w:p>
      <w:pPr>
        <w:pStyle w:val="Body"/>
        <w:spacing w:before="200" w:line="360" w:lineRule="auto"/>
      </w:pPr>
      <w:r>
        <w:rPr>
          <w:rtl w:val="0"/>
          <w:lang w:val="en-US"/>
        </w:rPr>
        <w:t xml:space="preserve">Late in my research, I came across a body of work examining issues that LGBTQIA choral educators face, particularly homosexual male choir teachers feeling as though they are perpetuating the trope that choir is a feminine or homosexual activity (Palkki and Sauerland, 2019). While I ultimately decided that much of this research was not relevant to this particular literature review, this body of research resonated with me and my own experiences as a homosexual male choir teacher. I found this research very interesting and plan to examine it further in a future study.  </w:t>
      </w:r>
    </w:p>
    <w:p>
      <w:pPr>
        <w:pStyle w:val="Body"/>
        <w:spacing w:before="200" w:line="360" w:lineRule="auto"/>
        <w:jc w:val="center"/>
      </w:pPr>
      <w:r>
        <w:rPr>
          <w:rFonts w:ascii="Arial Unicode MS" w:cs="Arial Unicode MS" w:hAnsi="Arial Unicode MS" w:eastAsia="Arial Unicode MS"/>
          <w:b w:val="0"/>
          <w:bCs w:val="0"/>
          <w:i w:val="0"/>
          <w:iCs w:val="0"/>
        </w:rPr>
        <w:br w:type="page"/>
      </w:r>
    </w:p>
    <w:p>
      <w:pPr>
        <w:pStyle w:val="Body"/>
        <w:spacing w:before="200" w:line="360" w:lineRule="auto"/>
        <w:jc w:val="center"/>
        <w:rPr>
          <w:b w:val="1"/>
          <w:bCs w:val="1"/>
          <w:u w:val="single"/>
        </w:rPr>
      </w:pPr>
      <w:r>
        <w:rPr>
          <w:b w:val="1"/>
          <w:bCs w:val="1"/>
          <w:u w:val="single"/>
          <w:rtl w:val="0"/>
          <w:lang w:val="en-US"/>
        </w:rPr>
        <w:t>Assignment 2</w:t>
      </w:r>
    </w:p>
    <w:p>
      <w:pPr>
        <w:pStyle w:val="Body"/>
        <w:spacing w:before="200" w:line="360" w:lineRule="auto"/>
        <w:rPr>
          <w:i w:val="1"/>
          <w:iCs w:val="1"/>
        </w:rPr>
      </w:pPr>
      <w:r>
        <w:rPr>
          <w:i w:val="1"/>
          <w:iCs w:val="1"/>
          <w:rtl w:val="0"/>
          <w:lang w:val="en-US"/>
        </w:rPr>
        <w:t xml:space="preserve">Examining Factors Influencing Participation and Retention of Male Singers in Middle School Choir and Beyond </w:t>
      </w:r>
    </w:p>
    <w:p>
      <w:pPr>
        <w:pStyle w:val="Body"/>
        <w:spacing w:before="200" w:line="360" w:lineRule="auto"/>
      </w:pPr>
      <w:r>
        <w:rPr>
          <w:rtl w:val="0"/>
          <w:lang w:val="en-US"/>
        </w:rPr>
        <w:t>The aim of this review is to critically analyze factors preventing middle school aged boys from participating in choral music, along with exploring strategies which may help encourage participation. As a middle school choral educator, this research topic is deeply relevant to my practice. Key researchers in this field were identified including Freer, Ashley and Harrison, but additional sources were explored for deeper analysis.</w:t>
      </w:r>
    </w:p>
    <w:p>
      <w:pPr>
        <w:pStyle w:val="Body"/>
        <w:spacing w:before="200" w:line="360" w:lineRule="auto"/>
      </w:pPr>
      <w:r>
        <w:rPr>
          <w:rtl w:val="0"/>
          <w:lang w:val="en-US"/>
        </w:rPr>
        <w:t xml:space="preserve">The concern surrounding a lack of male participation in choral music has been well documented in the literature (Radtke, 1950; Gates, 1989; Koza, 1993; Zemek, 2010; Freer, 2014; Elpus, 2015). Journal publications discussing issues of gender in music education have been dominated by the issues concerning males (Koza, 1993; Choral Journal, 2012). Studies have documented a decline in male participation in public singing over the past century (Gates, 1989; Zemeck, 2010, Elpus, 2015) leading educators and researchers to seek out strategies to recruit and retain male singers in choral programs (Szabo, 1999; Lucas, 2011; Freer, 2014). In attempting to uncover the reason for declining male participation, some researchers blame bad teaching practices (Koza, 1993), a lack of positive male sing models (Mizener, 1993), and difficulty singing during the voice change (Freer, 2009; Fisher, 2012). It is interesting to note that males dominate </w:t>
      </w:r>
      <w:r>
        <w:rPr>
          <w:rtl w:val="1"/>
          <w:lang w:val="ar-SA" w:bidi="ar-SA"/>
        </w:rPr>
        <w:t>“</w:t>
      </w:r>
      <w:r>
        <w:rPr>
          <w:rtl w:val="0"/>
          <w:lang w:val="en-US"/>
        </w:rPr>
        <w:t>higher levels of the music business,</w:t>
      </w:r>
      <w:r>
        <w:rPr>
          <w:rtl w:val="0"/>
        </w:rPr>
        <w:t xml:space="preserve">” </w:t>
      </w:r>
      <w:r>
        <w:rPr>
          <w:rtl w:val="0"/>
          <w:lang w:val="en-US"/>
        </w:rPr>
        <w:t>while girls seem to dominate in terms of participation in school music programs (Green, 1993, p. 225).</w:t>
      </w:r>
    </w:p>
    <w:p>
      <w:pPr>
        <w:pStyle w:val="Body"/>
        <w:spacing w:before="200" w:line="360" w:lineRule="auto"/>
      </w:pPr>
      <w:r>
        <w:rPr>
          <w:rtl w:val="0"/>
          <w:lang w:val="en-US"/>
        </w:rPr>
        <w:t>While it seems that many males stop participating in choral singing in middle school (Demorest, 2000; Zemeck, 2010) there is evidence that suggests that perceptions and attitudes about singing are developed in early adolescence (Mizener, 1993; Hall, 2005). This implies that solutions to this problem may start with addressing and shift early adolescent perceptions of singing (Orton and Pitts, 2019).</w:t>
      </w:r>
    </w:p>
    <w:p>
      <w:pPr>
        <w:pStyle w:val="Body"/>
        <w:spacing w:before="200" w:line="360" w:lineRule="auto"/>
      </w:pPr>
      <w:r>
        <w:rPr>
          <w:rtl w:val="0"/>
          <w:lang w:val="en-US"/>
        </w:rPr>
        <w:t>This review will first begin by further identifying the research problem by exploring boys' general feelings and attitudes about singing. Then, issues surrounding male participation in choral music will be identified and analyzed. Several key themes emerged from the literature including:</w:t>
      </w:r>
    </w:p>
    <w:p>
      <w:pPr>
        <w:pStyle w:val="Body"/>
        <w:numPr>
          <w:ilvl w:val="0"/>
          <w:numId w:val="14"/>
        </w:numPr>
        <w:bidi w:val="0"/>
        <w:spacing w:before="200" w:line="360" w:lineRule="auto"/>
        <w:ind w:right="0"/>
        <w:jc w:val="left"/>
        <w:rPr>
          <w:rtl w:val="0"/>
          <w:lang w:val="en-US"/>
        </w:rPr>
      </w:pPr>
      <w:r>
        <w:rPr>
          <w:rtl w:val="0"/>
          <w:lang w:val="en-US"/>
        </w:rPr>
        <w:t>Voice Change,</w:t>
      </w:r>
    </w:p>
    <w:p>
      <w:pPr>
        <w:pStyle w:val="Body"/>
        <w:numPr>
          <w:ilvl w:val="0"/>
          <w:numId w:val="14"/>
        </w:numPr>
        <w:bidi w:val="0"/>
        <w:spacing w:before="200" w:line="360" w:lineRule="auto"/>
        <w:ind w:right="0"/>
        <w:jc w:val="left"/>
        <w:rPr>
          <w:rtl w:val="0"/>
          <w:lang w:val="en-US"/>
        </w:rPr>
      </w:pPr>
      <w:r>
        <w:rPr>
          <w:rtl w:val="0"/>
          <w:lang w:val="en-US"/>
        </w:rPr>
        <w:t>Peer and Societal Expectations, and</w:t>
      </w:r>
    </w:p>
    <w:p>
      <w:pPr>
        <w:pStyle w:val="Body"/>
        <w:numPr>
          <w:ilvl w:val="0"/>
          <w:numId w:val="14"/>
        </w:numPr>
        <w:bidi w:val="0"/>
        <w:spacing w:before="200" w:line="360" w:lineRule="auto"/>
        <w:ind w:right="0"/>
        <w:jc w:val="left"/>
        <w:rPr>
          <w:rtl w:val="0"/>
        </w:rPr>
      </w:pPr>
      <w:r>
        <w:rPr>
          <w:rtl w:val="0"/>
        </w:rPr>
        <w:t>Gender Stereotyping.</w:t>
      </w:r>
    </w:p>
    <w:p>
      <w:pPr>
        <w:pStyle w:val="Body"/>
        <w:spacing w:before="200" w:line="360" w:lineRule="auto"/>
      </w:pPr>
      <w:r>
        <w:rPr>
          <w:rtl w:val="0"/>
          <w:lang w:val="en-US"/>
        </w:rPr>
        <w:t>Finally, the focus will shift to theories and strategies which may have an impact on recruiting more male singers, including:</w:t>
      </w:r>
    </w:p>
    <w:p>
      <w:pPr>
        <w:pStyle w:val="Body"/>
        <w:numPr>
          <w:ilvl w:val="0"/>
          <w:numId w:val="16"/>
        </w:numPr>
        <w:bidi w:val="0"/>
        <w:spacing w:before="200" w:line="360" w:lineRule="auto"/>
        <w:ind w:right="0"/>
        <w:jc w:val="left"/>
        <w:rPr>
          <w:rtl w:val="0"/>
          <w:lang w:val="en-US"/>
        </w:rPr>
      </w:pPr>
      <w:r>
        <w:rPr>
          <w:rtl w:val="0"/>
          <w:lang w:val="en-US"/>
        </w:rPr>
        <w:t>Teacher Gender and Attitudes,</w:t>
      </w:r>
    </w:p>
    <w:p>
      <w:pPr>
        <w:pStyle w:val="Body"/>
        <w:numPr>
          <w:ilvl w:val="0"/>
          <w:numId w:val="16"/>
        </w:numPr>
        <w:bidi w:val="0"/>
        <w:spacing w:before="200" w:line="360" w:lineRule="auto"/>
        <w:ind w:right="0"/>
        <w:jc w:val="left"/>
        <w:rPr>
          <w:rtl w:val="0"/>
          <w:lang w:val="en-US"/>
        </w:rPr>
      </w:pPr>
      <w:r>
        <w:rPr>
          <w:rtl w:val="0"/>
          <w:lang w:val="en-US"/>
        </w:rPr>
        <w:t xml:space="preserve">Male Singing Role Models, </w:t>
      </w:r>
    </w:p>
    <w:p>
      <w:pPr>
        <w:pStyle w:val="Body"/>
        <w:numPr>
          <w:ilvl w:val="0"/>
          <w:numId w:val="16"/>
        </w:numPr>
        <w:bidi w:val="0"/>
        <w:spacing w:before="200" w:line="360" w:lineRule="auto"/>
        <w:ind w:right="0"/>
        <w:jc w:val="left"/>
        <w:rPr>
          <w:rtl w:val="0"/>
          <w:lang w:val="de-DE"/>
        </w:rPr>
      </w:pPr>
      <w:r>
        <w:rPr>
          <w:rtl w:val="0"/>
          <w:lang w:val="de-DE"/>
        </w:rPr>
        <w:t xml:space="preserve">Class Structure, </w:t>
      </w:r>
    </w:p>
    <w:p>
      <w:pPr>
        <w:pStyle w:val="Body"/>
        <w:numPr>
          <w:ilvl w:val="0"/>
          <w:numId w:val="16"/>
        </w:numPr>
        <w:bidi w:val="0"/>
        <w:spacing w:before="200" w:line="360" w:lineRule="auto"/>
        <w:ind w:right="0"/>
        <w:jc w:val="left"/>
        <w:rPr>
          <w:rtl w:val="0"/>
          <w:lang w:val="en-US"/>
        </w:rPr>
      </w:pPr>
      <w:r>
        <w:rPr>
          <w:rtl w:val="0"/>
          <w:lang w:val="en-US"/>
        </w:rPr>
        <w:t>Single-Gender versus Mixed Gender Instruction, and</w:t>
      </w:r>
    </w:p>
    <w:p>
      <w:pPr>
        <w:pStyle w:val="Body"/>
        <w:numPr>
          <w:ilvl w:val="0"/>
          <w:numId w:val="16"/>
        </w:numPr>
        <w:bidi w:val="0"/>
        <w:spacing w:before="200" w:line="360" w:lineRule="auto"/>
        <w:ind w:right="0"/>
        <w:jc w:val="left"/>
        <w:rPr>
          <w:rtl w:val="0"/>
          <w:lang w:val="fr-FR"/>
        </w:rPr>
      </w:pPr>
      <w:r>
        <w:rPr>
          <w:rtl w:val="0"/>
          <w:lang w:val="fr-FR"/>
        </w:rPr>
        <w:t>Repertoire.</w:t>
      </w:r>
    </w:p>
    <w:p>
      <w:pPr>
        <w:pStyle w:val="Body"/>
        <w:spacing w:before="200" w:line="360" w:lineRule="auto"/>
      </w:pPr>
      <w:r>
        <w:rPr>
          <w:b w:val="1"/>
          <w:bCs w:val="1"/>
          <w:u w:val="single"/>
          <w:rtl w:val="0"/>
          <w:lang w:val="en-US"/>
        </w:rPr>
        <w:t>Boys Attitudes and Feelings About Singing</w:t>
      </w:r>
    </w:p>
    <w:p>
      <w:pPr>
        <w:pStyle w:val="Body"/>
        <w:spacing w:before="200" w:line="360" w:lineRule="auto"/>
        <w:rPr>
          <w:b w:val="1"/>
          <w:bCs w:val="1"/>
          <w:u w:val="single"/>
        </w:rPr>
      </w:pPr>
      <w:r>
        <w:rPr>
          <w:rtl w:val="0"/>
          <w:lang w:val="en-US"/>
        </w:rPr>
        <w:t>Orton and Pitts (2019) found that by age 14 boys are more likely to develop negative feelings about singing. A study by Mizener (1993) documented a decline in singing interest each year from grades 3 to 7 among both boys and girls. Furthermore, while 78 percent of participants in the study showed interest in singing, only 47 percent showed interest in choir, with girls making up the majority of positive responses for choral singing. This suggests that although students can sing, the traditional structure of music education ensembles in schools may not be appealing to student interests (Mizener, 1993; Freer, 2007). Additionally, Orton and Pitts (2019) found girls showed a higher interest in singing, while boys showed more interest in Music Technology, further highlighting a need for varied curricular music offerings in schools.</w:t>
      </w:r>
    </w:p>
    <w:p>
      <w:pPr>
        <w:pStyle w:val="Body"/>
        <w:spacing w:before="200" w:line="360" w:lineRule="auto"/>
        <w:rPr>
          <w:b w:val="1"/>
          <w:bCs w:val="1"/>
          <w:u w:val="single"/>
        </w:rPr>
      </w:pPr>
      <w:r>
        <w:rPr>
          <w:b w:val="1"/>
          <w:bCs w:val="1"/>
          <w:u w:val="single"/>
          <w:rtl w:val="0"/>
          <w:lang w:val="en-US"/>
        </w:rPr>
        <w:t>Voice Change</w:t>
      </w:r>
    </w:p>
    <w:p>
      <w:pPr>
        <w:pStyle w:val="Body"/>
        <w:spacing w:before="200" w:line="360" w:lineRule="auto"/>
      </w:pPr>
      <w:r>
        <w:rPr>
          <w:rtl w:val="0"/>
          <w:lang w:val="en-US"/>
        </w:rPr>
        <w:t xml:space="preserve">There have been examples of teachers claiming that boys should not sing during the voice change (Weiss, 1950; Fisher, 2009; Stockton, 2015). In cathedral choirs, boys were historically not allowed to sing while their voice was changing (Ashley, 2006). The changing voice was once called </w:t>
      </w:r>
      <w:r>
        <w:rPr>
          <w:rtl w:val="1"/>
          <w:lang w:val="ar-SA" w:bidi="ar-SA"/>
        </w:rPr>
        <w:t>“</w:t>
      </w:r>
      <w:r>
        <w:rPr>
          <w:rtl w:val="0"/>
          <w:lang w:val="nl-NL"/>
        </w:rPr>
        <w:t>broken,</w:t>
      </w:r>
      <w:r>
        <w:rPr>
          <w:rtl w:val="0"/>
        </w:rPr>
        <w:t xml:space="preserve">” </w:t>
      </w:r>
      <w:r>
        <w:rPr>
          <w:rtl w:val="0"/>
          <w:lang w:val="en-US"/>
        </w:rPr>
        <w:t>therefore implying that singing was not possible during this time (Ashley, 2013, p. 311), but Cooksey (2000a) was of the belief that if boys were told that their voices were broken they may lose interest in singing in the future.  It is currently an accepted practice to encourage boys to sing during their voice change (Cooksey, 2000a).</w:t>
      </w:r>
    </w:p>
    <w:p>
      <w:pPr>
        <w:pStyle w:val="Body"/>
        <w:spacing w:before="200" w:line="360" w:lineRule="auto"/>
        <w:rPr>
          <w:b w:val="1"/>
          <w:bCs w:val="1"/>
          <w:u w:val="single"/>
        </w:rPr>
      </w:pPr>
      <w:r>
        <w:rPr>
          <w:rtl w:val="0"/>
          <w:lang w:val="en-US"/>
        </w:rPr>
        <w:t>Evidence suggests that boys who stop singing during the voice change are not likely to ever participate in any form of public singing again (Ashley, 2018; Freer, 2012). The lack of male singing during the voice change, voluntary or involuntary, has a lasting impact on the numbers of tenors and basses in high school choirs and adult church and community choirs (Freer, 2012).</w:t>
      </w:r>
    </w:p>
    <w:p>
      <w:pPr>
        <w:pStyle w:val="Body"/>
        <w:spacing w:before="200" w:line="360" w:lineRule="auto"/>
      </w:pPr>
      <w:r>
        <w:rPr>
          <w:rtl w:val="0"/>
          <w:lang w:val="en-US"/>
        </w:rPr>
        <w:t xml:space="preserve">As middle school choral programs became increasingly popular in the United States, a variety of theories on how to best handle the male voice change emerged (Mackenzie, 1956; Cooksey, 1977a; Cooksey, 1977b; Cooksey, 1977c; Stockton, 2015). Cooper developed the cambia concept, composing music with a limited range specifically for the changing voice (Cooksey, 1977a; Stockton, 2015). Similarly, Mackenzie (1956) developed the alto-tenor plan, suggesting that all boys pass through a stage between alto and tenor at some point during middle school. Cookey (1977a) examined earlier theories by Swanson, Cooper and McKenzie to create what he called a </w:t>
      </w:r>
      <w:r>
        <w:rPr>
          <w:i w:val="1"/>
          <w:iCs w:val="1"/>
          <w:rtl w:val="0"/>
          <w:lang w:val="en-US"/>
        </w:rPr>
        <w:t>Contemporary, Eclectic Theory for the Training and Cultivation of the Junior High School Male Changing Voice</w:t>
      </w:r>
      <w:r>
        <w:rPr>
          <w:rtl w:val="0"/>
          <w:lang w:val="en-US"/>
        </w:rPr>
        <w:t>. Cooksey combined previously accepted theories with newer findings and sorted voice change into what he believed were 5 predictable stages (Cooksey, 2000b, p. 83):</w:t>
      </w:r>
    </w:p>
    <w:p>
      <w:pPr>
        <w:pStyle w:val="Body"/>
        <w:numPr>
          <w:ilvl w:val="0"/>
          <w:numId w:val="18"/>
        </w:numPr>
        <w:spacing w:before="200" w:line="360" w:lineRule="auto"/>
        <w:rPr>
          <w:lang w:val="en-US"/>
        </w:rPr>
      </w:pPr>
      <w:r>
        <w:rPr>
          <w:rtl w:val="0"/>
          <w:lang w:val="en-US"/>
        </w:rPr>
        <w:t>Early mutation (Midvoice I)</w:t>
      </w:r>
    </w:p>
    <w:p>
      <w:pPr>
        <w:pStyle w:val="Body"/>
        <w:numPr>
          <w:ilvl w:val="0"/>
          <w:numId w:val="18"/>
        </w:numPr>
        <w:spacing w:before="200" w:line="360" w:lineRule="auto"/>
        <w:rPr>
          <w:lang w:val="en-US"/>
        </w:rPr>
      </w:pPr>
      <w:r>
        <w:rPr>
          <w:rtl w:val="0"/>
          <w:lang w:val="en-US"/>
        </w:rPr>
        <w:t>High mutation (Midvoice II)</w:t>
      </w:r>
    </w:p>
    <w:p>
      <w:pPr>
        <w:pStyle w:val="Body"/>
        <w:numPr>
          <w:ilvl w:val="0"/>
          <w:numId w:val="18"/>
        </w:numPr>
        <w:spacing w:before="200" w:line="360" w:lineRule="auto"/>
        <w:rPr>
          <w:lang w:val="en-US"/>
        </w:rPr>
      </w:pPr>
      <w:r>
        <w:rPr>
          <w:rtl w:val="0"/>
          <w:lang w:val="en-US"/>
        </w:rPr>
        <w:t>Mutation climax (Midvoice IIA)</w:t>
      </w:r>
    </w:p>
    <w:p>
      <w:pPr>
        <w:pStyle w:val="Body"/>
        <w:numPr>
          <w:ilvl w:val="0"/>
          <w:numId w:val="18"/>
        </w:numPr>
        <w:spacing w:before="200" w:line="360" w:lineRule="auto"/>
        <w:rPr>
          <w:lang w:val="en-US"/>
        </w:rPr>
      </w:pPr>
      <w:r>
        <w:rPr>
          <w:rtl w:val="0"/>
          <w:lang w:val="en-US"/>
        </w:rPr>
        <w:t>Stabilizing post-mutation (New Voice)</w:t>
      </w:r>
    </w:p>
    <w:p>
      <w:pPr>
        <w:pStyle w:val="Body"/>
        <w:numPr>
          <w:ilvl w:val="0"/>
          <w:numId w:val="18"/>
        </w:numPr>
        <w:spacing w:before="200" w:line="360" w:lineRule="auto"/>
        <w:rPr>
          <w:lang w:val="en-US"/>
        </w:rPr>
      </w:pPr>
      <w:r>
        <w:rPr>
          <w:rtl w:val="0"/>
          <w:lang w:val="en-US"/>
        </w:rPr>
        <w:t>Developing post-mutation (Emerging Adult Voice)</w:t>
      </w:r>
    </w:p>
    <w:p>
      <w:pPr>
        <w:pStyle w:val="Body"/>
        <w:spacing w:before="200" w:line="360" w:lineRule="auto"/>
      </w:pPr>
      <w:r>
        <w:rPr>
          <w:rtl w:val="0"/>
          <w:lang w:val="en-US"/>
        </w:rPr>
        <w:t xml:space="preserve">Voice cracking during the voice change can be a frustration for boys which may prevent them from participating in choral music (Freer, 2009; Fisher, 2012). Some boys view their voices as damaged or </w:t>
      </w:r>
      <w:r>
        <w:rPr>
          <w:rtl w:val="1"/>
          <w:lang w:val="ar-SA" w:bidi="ar-SA"/>
        </w:rPr>
        <w:t>“</w:t>
      </w:r>
      <w:r>
        <w:rPr>
          <w:rtl w:val="0"/>
          <w:lang w:val="en-US"/>
        </w:rPr>
        <w:t>destroyed</w:t>
      </w:r>
      <w:r>
        <w:rPr>
          <w:rtl w:val="0"/>
        </w:rPr>
        <w:t xml:space="preserve">” </w:t>
      </w:r>
      <w:r>
        <w:rPr>
          <w:rtl w:val="0"/>
          <w:lang w:val="en-US"/>
        </w:rPr>
        <w:t>during the voice change and report feelings of sadness over the loss of their treble voice (Freer, 2014, p. 97). This frustration can be compounded by a teacher who does not address the voice change with thoughtfulness and care (Freer, 2009, 2014; Fisher, 2012). Boys who are taught that voice change will be both gradual and temporary may be less likely to develop negative associations with singing during the voice change process (Freer, 2014). In fact, 97 percent of boys participating in Freer</w:t>
      </w:r>
      <w:r>
        <w:rPr>
          <w:rtl w:val="1"/>
        </w:rPr>
        <w:t>’</w:t>
      </w:r>
      <w:r>
        <w:rPr>
          <w:rtl w:val="0"/>
          <w:lang w:val="en-US"/>
        </w:rPr>
        <w:t xml:space="preserve">s (2014) study suggested that teachers place a higher </w:t>
      </w:r>
      <w:r>
        <w:rPr>
          <w:rtl w:val="1"/>
          <w:lang w:val="ar-SA" w:bidi="ar-SA"/>
        </w:rPr>
        <w:t>“</w:t>
      </w:r>
      <w:r>
        <w:rPr>
          <w:rtl w:val="0"/>
          <w:lang w:val="en-US"/>
        </w:rPr>
        <w:t>focus on vocal technique specific to male changing voice</w:t>
      </w:r>
      <w:r>
        <w:rPr>
          <w:rtl w:val="0"/>
        </w:rPr>
        <w:t xml:space="preserve">” </w:t>
      </w:r>
      <w:r>
        <w:rPr>
          <w:rtl w:val="0"/>
          <w:lang w:val="en-US"/>
        </w:rPr>
        <w:t xml:space="preserve">(p. 102). Fisher (2014) found evidence supporting the claim that good vocal instruction during the voice change may even reduce negative characteristics associated with voice change, but suggested more research be conducted in this area. </w:t>
      </w:r>
    </w:p>
    <w:p>
      <w:pPr>
        <w:pStyle w:val="Body"/>
        <w:spacing w:before="200" w:line="360" w:lineRule="auto"/>
      </w:pPr>
      <w:r>
        <w:rPr>
          <w:rtl w:val="0"/>
          <w:lang w:val="en-US"/>
        </w:rPr>
        <w:t xml:space="preserve">Fisher (2014) conducted a study on the impacts of the voice change on the self-efficacy of adolescent males. He found that students with a </w:t>
      </w:r>
      <w:r>
        <w:rPr>
          <w:rtl w:val="1"/>
          <w:lang w:val="ar-SA" w:bidi="ar-SA"/>
        </w:rPr>
        <w:t>“</w:t>
      </w:r>
      <w:r>
        <w:rPr>
          <w:rtl w:val="0"/>
          <w:lang w:val="en-US"/>
        </w:rPr>
        <w:t>lower singing self-efficacy dropped out of choir and those with a higher singing self-efficacy continued</w:t>
      </w:r>
      <w:r>
        <w:rPr>
          <w:rtl w:val="0"/>
        </w:rPr>
        <w:t xml:space="preserve">” </w:t>
      </w:r>
      <w:r>
        <w:rPr>
          <w:rtl w:val="0"/>
          <w:lang w:val="en-US"/>
        </w:rPr>
        <w:t xml:space="preserve">(p. 286). It was interesting that the voice change did not have an impact on the self-efficacy of the students in this study, however these findings suggest that boys who like their voice may continue to sing while boys who view themselves as bad singers may not. </w:t>
      </w:r>
    </w:p>
    <w:p>
      <w:pPr>
        <w:pStyle w:val="Body"/>
        <w:spacing w:before="200" w:line="360" w:lineRule="auto"/>
        <w:rPr>
          <w:b w:val="1"/>
          <w:bCs w:val="1"/>
          <w:u w:val="single"/>
        </w:rPr>
      </w:pPr>
      <w:r>
        <w:rPr>
          <w:b w:val="1"/>
          <w:bCs w:val="1"/>
          <w:u w:val="single"/>
          <w:rtl w:val="0"/>
          <w:lang w:val="en-US"/>
        </w:rPr>
        <w:t>Peer and Societal Issues</w:t>
      </w:r>
    </w:p>
    <w:p>
      <w:pPr>
        <w:pStyle w:val="Body"/>
        <w:spacing w:before="200" w:line="360" w:lineRule="auto"/>
        <w:rPr>
          <w:b w:val="1"/>
          <w:bCs w:val="1"/>
          <w:u w:val="single"/>
        </w:rPr>
      </w:pPr>
      <w:r>
        <w:rPr>
          <w:rtl w:val="0"/>
          <w:lang w:val="en-US"/>
        </w:rPr>
        <w:t xml:space="preserve">Masculinity is a </w:t>
      </w:r>
      <w:r>
        <w:rPr>
          <w:rtl w:val="1"/>
          <w:lang w:val="ar-SA" w:bidi="ar-SA"/>
        </w:rPr>
        <w:t>“</w:t>
      </w:r>
      <w:r>
        <w:rPr>
          <w:rtl w:val="0"/>
          <w:lang w:val="en-US"/>
        </w:rPr>
        <w:t>socially constructed construct</w:t>
      </w:r>
      <w:r>
        <w:rPr>
          <w:rtl w:val="0"/>
        </w:rPr>
        <w:t xml:space="preserve">” </w:t>
      </w:r>
      <w:r>
        <w:rPr>
          <w:rtl w:val="0"/>
          <w:lang w:val="en-US"/>
        </w:rPr>
        <w:t xml:space="preserve">that is </w:t>
      </w:r>
      <w:r>
        <w:rPr>
          <w:rtl w:val="1"/>
          <w:lang w:val="ar-SA" w:bidi="ar-SA"/>
        </w:rPr>
        <w:t>“</w:t>
      </w:r>
      <w:r>
        <w:rPr>
          <w:rtl w:val="0"/>
          <w:lang w:val="en-US"/>
        </w:rPr>
        <w:t>associated with activities and stereotypes that exude power, aggression, competition, strength and macho attributes</w:t>
      </w:r>
      <w:r>
        <w:rPr>
          <w:rtl w:val="0"/>
        </w:rPr>
        <w:t xml:space="preserve">” </w:t>
      </w:r>
      <w:r>
        <w:rPr>
          <w:rtl w:val="0"/>
          <w:lang w:val="en-US"/>
        </w:rPr>
        <w:t>(Powell, 2015, p. 233). Femininity describes attributes and activities associated with women, and there are often societal assumptions and expectations that boys should not engage in activities deemed feminine (Ashley, 2006; Freer, 2008; Powell, 2015). Singing is an activity that has grown to be considered more feminine than masculine (Koza, 1993; Adler and Harrison, 2004; Ashley, 2006; Brockman, 2007; Harrison, 2010; Powell, 2015), despite a long history of being a male dominant pursuit for centuries (Ashley, 2016).</w:t>
      </w:r>
    </w:p>
    <w:p>
      <w:pPr>
        <w:pStyle w:val="Body"/>
        <w:spacing w:before="200" w:line="360" w:lineRule="auto"/>
      </w:pPr>
      <w:r>
        <w:rPr>
          <w:rtl w:val="0"/>
          <w:lang w:val="en-US"/>
        </w:rPr>
        <w:t>Several studies document boys reporting being harassed or teased for singing in choir (Harrison, 2007; Freer, 2009b; Sweet, 2010; Harrison, 2010; Ashley, 2016). Teasing can be especially prominent for tenors and boys with unchanged voices because others associate a high voice with being feminine or homosexual (Sweet, 2010; Harrison, 2010; Freer, 2014; Powell, 2015; Ashley, 2016). Studies indicate that boys are aware of the stigma associated with singing in choir, some are able to negotiate this and others are not (Sweet, 2010; Harrison, 2010, Powell, 2015)  Boys in Freer</w:t>
      </w:r>
      <w:r>
        <w:rPr>
          <w:rtl w:val="1"/>
        </w:rPr>
        <w:t>’</w:t>
      </w:r>
      <w:r>
        <w:rPr>
          <w:rtl w:val="0"/>
          <w:lang w:val="en-US"/>
        </w:rPr>
        <w:t xml:space="preserve">s (2014) study said that although teasing did not stop them from enjoying singing when they were younger, it did have an impact on their decision to continue singing when they started high school. </w:t>
      </w:r>
    </w:p>
    <w:p>
      <w:pPr>
        <w:pStyle w:val="Body"/>
        <w:spacing w:before="200" w:line="360" w:lineRule="auto"/>
        <w:rPr>
          <w:b w:val="1"/>
          <w:bCs w:val="1"/>
          <w:u w:val="single"/>
        </w:rPr>
      </w:pPr>
      <w:r>
        <w:rPr>
          <w:rtl w:val="0"/>
          <w:lang w:val="en-US"/>
        </w:rPr>
        <w:t>In addition to being teased by boys outside of choir, some boys experience teasing from fellow choir members who do not have the same level of interest in singing (Sweet, 2010). In Sweet</w:t>
      </w:r>
      <w:r>
        <w:rPr>
          <w:rtl w:val="1"/>
        </w:rPr>
        <w:t>’</w:t>
      </w:r>
      <w:r>
        <w:rPr>
          <w:rtl w:val="0"/>
          <w:lang w:val="en-US"/>
        </w:rPr>
        <w:t>s study, all teasers were identified as male. Sweet noted that while her students appeared to be confident, they were still noticeably bothered by the negative comments from their peers. The boys in Sweet</w:t>
      </w:r>
      <w:r>
        <w:rPr>
          <w:rtl w:val="1"/>
        </w:rPr>
        <w:t>’</w:t>
      </w:r>
      <w:r>
        <w:rPr>
          <w:rtl w:val="0"/>
          <w:lang w:val="en-US"/>
        </w:rPr>
        <w:t xml:space="preserve">s study developed a sense of camaraderie and teamwork, not only from the experience of singing together but also from navigating the negative comments from peers together. Other studies support the statement that camaraderie and teamwork with other male choir members can lead to further participation in choir (Kennedy, 2002; Freer, 2014; Powell, 2015). </w:t>
      </w:r>
    </w:p>
    <w:p>
      <w:pPr>
        <w:pStyle w:val="Body"/>
        <w:spacing w:before="200" w:line="360" w:lineRule="auto"/>
        <w:rPr>
          <w:b w:val="1"/>
          <w:bCs w:val="1"/>
          <w:u w:val="single"/>
        </w:rPr>
      </w:pPr>
      <w:r>
        <w:rPr>
          <w:b w:val="1"/>
          <w:bCs w:val="1"/>
          <w:u w:val="single"/>
          <w:rtl w:val="0"/>
          <w:lang w:val="de-DE"/>
        </w:rPr>
        <w:t>Gender Stereotyping</w:t>
      </w:r>
    </w:p>
    <w:p>
      <w:pPr>
        <w:pStyle w:val="Body"/>
        <w:spacing w:before="200" w:line="360" w:lineRule="auto"/>
        <w:rPr>
          <w:b w:val="1"/>
          <w:bCs w:val="1"/>
          <w:u w:val="single"/>
        </w:rPr>
      </w:pPr>
      <w:r>
        <w:rPr>
          <w:rtl w:val="0"/>
          <w:lang w:val="en-US"/>
        </w:rPr>
        <w:t>In a survey by Green (1993), many teachers indicated that girls were generally more successful in achieving higher levels of musical performance than boys, with no teacher stating that boys were more successful than girls. However, students in Wright</w:t>
      </w:r>
      <w:r>
        <w:rPr>
          <w:rtl w:val="1"/>
        </w:rPr>
        <w:t>’</w:t>
      </w:r>
      <w:r>
        <w:rPr>
          <w:rtl w:val="0"/>
          <w:lang w:val="en-US"/>
        </w:rPr>
        <w:t>s (2001) study did not perceive either gender as inherently more musically advantaged, asserting that girls may be viewed as more successful strictly because they are favored by their teachers. Teachers in Green</w:t>
      </w:r>
      <w:r>
        <w:rPr>
          <w:rtl w:val="1"/>
        </w:rPr>
        <w:t>’</w:t>
      </w:r>
      <w:r>
        <w:rPr>
          <w:rtl w:val="0"/>
          <w:lang w:val="en-US"/>
        </w:rPr>
        <w:t>s (1993) study felt girls were more successful because they are more mature and have longer attention spans. However, students in Wright</w:t>
      </w:r>
      <w:r>
        <w:rPr>
          <w:rtl w:val="1"/>
        </w:rPr>
        <w:t>’</w:t>
      </w:r>
      <w:r>
        <w:rPr>
          <w:rtl w:val="0"/>
          <w:lang w:val="en-US"/>
        </w:rPr>
        <w:t xml:space="preserve">s (2001) study did not perceive either gender as inherently more musically advantaged, asserting that girls may be viewed as more successful strictly because they are favored by their teachers. </w:t>
      </w:r>
    </w:p>
    <w:p>
      <w:pPr>
        <w:pStyle w:val="Body"/>
        <w:spacing w:before="200" w:line="360" w:lineRule="auto"/>
      </w:pPr>
      <w:r>
        <w:rPr>
          <w:rtl w:val="0"/>
          <w:lang w:val="en-US"/>
        </w:rPr>
        <w:t xml:space="preserve">In a study by Harrison (2007), undergraduate music and non-music students were asked if </w:t>
      </w:r>
      <w:r>
        <w:rPr>
          <w:rtl w:val="1"/>
          <w:lang w:val="ar-SA" w:bidi="ar-SA"/>
        </w:rPr>
        <w:t>“</w:t>
      </w:r>
      <w:r>
        <w:rPr>
          <w:rtl w:val="0"/>
          <w:lang w:val="en-US"/>
        </w:rPr>
        <w:t>instruments were perceived as having gender-associated attributes</w:t>
      </w:r>
      <w:r>
        <w:rPr>
          <w:rtl w:val="0"/>
        </w:rPr>
        <w:t xml:space="preserve">” </w:t>
      </w:r>
      <w:r>
        <w:rPr>
          <w:rtl w:val="0"/>
          <w:lang w:val="en-US"/>
        </w:rPr>
        <w:t xml:space="preserve">(p. 270). While some students found no gender associations with instruments, the flute was overwhelmingly considered the most feminine, while drums and trombone were the most masculine. Singing leaned on the feminine side of the scale. Instrumental participants in the study recalled changing to more masculine instruments as they got older (for example, changing from violin to cello), while singers recalled being teased for singing high, especially by boys whose voices had already changed. It was a fascinating observation that music majors made more gender associations with instruments than non-music majors. </w:t>
      </w:r>
    </w:p>
    <w:p>
      <w:pPr>
        <w:pStyle w:val="Body"/>
        <w:spacing w:before="200" w:line="360" w:lineRule="auto"/>
      </w:pPr>
      <w:r>
        <w:rPr>
          <w:rtl w:val="0"/>
          <w:lang w:val="en-US"/>
        </w:rPr>
        <w:t>Harrison</w:t>
      </w:r>
      <w:r>
        <w:rPr>
          <w:rtl w:val="1"/>
        </w:rPr>
        <w:t>’</w:t>
      </w:r>
      <w:r>
        <w:rPr>
          <w:rtl w:val="0"/>
          <w:lang w:val="en-US"/>
        </w:rPr>
        <w:t>s (2007) findings support findings from early studies by Abeles and Porter (1978) and Delzell and Leppla (1992) on gender associations of musical instruments. Abeles (2009) conducted a similar study comparing results from earlier research and found little change in musical gender associations.</w:t>
      </w:r>
    </w:p>
    <w:p>
      <w:pPr>
        <w:pStyle w:val="Body"/>
        <w:spacing w:before="200" w:line="360" w:lineRule="auto"/>
      </w:pPr>
      <w:r>
        <w:rPr>
          <w:rtl w:val="0"/>
          <w:lang w:val="en-US"/>
        </w:rPr>
        <w:t>Research by Hall (2005) indicates that gender associations with musical activities, including singing, may develop as early as age 5. Due to pressure and comments from peers (Harrison, 2007; Freer, 2009; Sweet, 2010; Ashley, 2016) or family (Harrison, 2007) boys may be less likely to participate in activities that are considered feminine (Wright, 2001; Warnock, 2009; Powell, 2015; Kelley, 2021), often because it challenges traditional societal views of masculinity (Powell, 2015; Kelley, 2021). A participant in Powell</w:t>
      </w:r>
      <w:r>
        <w:rPr>
          <w:rtl w:val="1"/>
        </w:rPr>
        <w:t>’</w:t>
      </w:r>
      <w:r>
        <w:rPr>
          <w:rtl w:val="0"/>
          <w:lang w:val="en-US"/>
        </w:rPr>
        <w:t xml:space="preserve">s (2015) study suggested that stereotypes surrounding masculinity and singing may stem from older generations struggling with the </w:t>
      </w:r>
      <w:r>
        <w:rPr>
          <w:rtl w:val="1"/>
          <w:lang w:val="ar-SA" w:bidi="ar-SA"/>
        </w:rPr>
        <w:t>“</w:t>
      </w:r>
      <w:r>
        <w:rPr>
          <w:rtl w:val="0"/>
          <w:lang w:val="en-US"/>
        </w:rPr>
        <w:t>increasing normalization and prevalence of homosexuality</w:t>
      </w:r>
      <w:r>
        <w:rPr>
          <w:rtl w:val="0"/>
        </w:rPr>
        <w:t xml:space="preserve">” </w:t>
      </w:r>
      <w:r>
        <w:rPr>
          <w:rtl w:val="0"/>
        </w:rPr>
        <w:t>(p. 238)</w:t>
      </w:r>
    </w:p>
    <w:p>
      <w:pPr>
        <w:pStyle w:val="Body"/>
        <w:spacing w:before="200" w:line="360" w:lineRule="auto"/>
      </w:pPr>
      <w:r>
        <w:rPr>
          <w:rtl w:val="0"/>
          <w:lang w:val="en-US"/>
        </w:rPr>
        <w:t>While boys are less likely than girls to participate in activities viewed as feminine, Kelley (2021) found that the same was not true of girls participating in activities deemed more masculine. Kelley</w:t>
      </w:r>
      <w:r>
        <w:rPr>
          <w:rtl w:val="1"/>
        </w:rPr>
        <w:t>’</w:t>
      </w:r>
      <w:r>
        <w:rPr>
          <w:rtl w:val="0"/>
          <w:lang w:val="en-US"/>
        </w:rPr>
        <w:t>s findings suggest that girls may have fewer social barriers to crossing gender stereotype lines.</w:t>
      </w:r>
    </w:p>
    <w:p>
      <w:pPr>
        <w:pStyle w:val="Body"/>
        <w:spacing w:before="200" w:line="360" w:lineRule="auto"/>
      </w:pPr>
      <w:r>
        <w:rPr>
          <w:rtl w:val="0"/>
          <w:lang w:val="en-US"/>
        </w:rPr>
        <w:t xml:space="preserve">In a study by Watson, Rubie-Davies and Hattie (2017), 16 choirs received performance ratings in two different performance scenarios. The study included co-ed choirs, all male and all female choirs. Each choir first performed for their entire school population, and then performed only for a group of peers from other arts classes. The boys performed significantly better in the second performance, which was deemed to be less of a </w:t>
      </w:r>
      <w:r>
        <w:rPr>
          <w:rtl w:val="1"/>
          <w:lang w:val="ar-SA" w:bidi="ar-SA"/>
        </w:rPr>
        <w:t>“</w:t>
      </w:r>
      <w:r>
        <w:rPr>
          <w:rtl w:val="0"/>
          <w:lang w:val="en-US"/>
        </w:rPr>
        <w:t>stereotype threat</w:t>
      </w:r>
      <w:r>
        <w:rPr>
          <w:rtl w:val="0"/>
        </w:rPr>
        <w:t xml:space="preserve">” </w:t>
      </w:r>
      <w:r>
        <w:rPr>
          <w:rtl w:val="0"/>
          <w:lang w:val="en-US"/>
        </w:rPr>
        <w:t>(p. 227) due to the absence of boys who were not involved in the arts. In evaluating responses from participants, it was discovered that while girls did not care about what male or female audience members thought of them, the boys cared only about the opinions of the boys in the audience.</w:t>
      </w:r>
    </w:p>
    <w:p>
      <w:pPr>
        <w:pStyle w:val="Body"/>
        <w:spacing w:before="200" w:line="360" w:lineRule="auto"/>
      </w:pPr>
      <w:r>
        <w:rPr>
          <w:rtl w:val="0"/>
          <w:lang w:val="en-US"/>
        </w:rPr>
        <w:t xml:space="preserve">Although it may be useful to acknowledge the existence of gender stereotypes, it may be detrimental to attempt to reach students through embracing masculine stereotypes (Powell, 2015). McBride (2016) warns that doing so may come at the expense of alienating certain populations of students, specifically those who are transgender or non-binary. </w:t>
      </w:r>
    </w:p>
    <w:p>
      <w:pPr>
        <w:pStyle w:val="Body"/>
        <w:spacing w:before="200" w:line="360" w:lineRule="auto"/>
        <w:rPr>
          <w:b w:val="1"/>
          <w:bCs w:val="1"/>
          <w:u w:val="single"/>
        </w:rPr>
      </w:pPr>
      <w:r>
        <w:rPr>
          <w:b w:val="1"/>
          <w:bCs w:val="1"/>
          <w:u w:val="single"/>
          <w:rtl w:val="0"/>
          <w:lang w:val="en-US"/>
        </w:rPr>
        <w:t>Teacher Gender and Attitudes</w:t>
      </w:r>
    </w:p>
    <w:p>
      <w:pPr>
        <w:pStyle w:val="Body"/>
        <w:spacing w:before="200" w:line="360" w:lineRule="auto"/>
      </w:pPr>
      <w:r>
        <w:rPr>
          <w:rtl w:val="0"/>
          <w:lang w:val="en-US"/>
        </w:rPr>
        <w:t>There is conflicting research from boys regarding their feelings on the importance of teacher gender in the middle school choral classroom (Freer, 2009a; Freer, 2009b; Freer, 2012; Freer, 2014; Ashley, 2016). Some boys suggest that teacher gender does matter in terms of vocal modeling and negotiating the voice change (Freer, 2009a; Freer, 2009b), however 88 percent of participants in Freer</w:t>
      </w:r>
      <w:r>
        <w:rPr>
          <w:rtl w:val="1"/>
        </w:rPr>
        <w:t>’</w:t>
      </w:r>
      <w:r>
        <w:rPr>
          <w:rtl w:val="0"/>
          <w:lang w:val="en-US"/>
        </w:rPr>
        <w:t>s (2014) study stated that teacher gender did not impact their decisions to sing in choir.</w:t>
      </w:r>
    </w:p>
    <w:p>
      <w:pPr>
        <w:pStyle w:val="Body"/>
        <w:spacing w:before="200" w:line="360" w:lineRule="auto"/>
      </w:pPr>
      <w:r>
        <w:rPr>
          <w:rtl w:val="0"/>
          <w:lang w:val="en-US"/>
        </w:rPr>
        <w:t>While it is not clear whether the gender of the teacher has an impact on choral participation, it is important to note that experiences with teachers, both positive and negative, do have an impact on future participation in music (Fisher, 2014; Freer, 2014,). Freer</w:t>
      </w:r>
      <w:r>
        <w:rPr>
          <w:rtl w:val="1"/>
        </w:rPr>
        <w:t>’</w:t>
      </w:r>
      <w:r>
        <w:rPr>
          <w:rtl w:val="0"/>
          <w:lang w:val="en-US"/>
        </w:rPr>
        <w:t>s (2014) study found that boys who sang could almost always name a role model who had an impact on their musical interest, while boys who withdrew from singing could not. Teachers with positive attitudes toward boys can make a positive impact, while teachers with low expectations of boys may lead to boredom and disinterested boys (Ashley, 2016). Boys notice when teachers are frustrated by their vocal issues and can interpret teacher attitudes to mean they do not have good voices (Freer, 2014). Bennetts (2013) observed that different teacher attitudes and levels of enthusiasm yielded varied levels of engagement and student achievement. This has implications to practice, indicating a need for teachers to thoughtfully examine teaching strategies and attitudes towards students and instruction.</w:t>
      </w:r>
    </w:p>
    <w:p>
      <w:pPr>
        <w:pStyle w:val="Body"/>
        <w:spacing w:before="200" w:line="360" w:lineRule="auto"/>
      </w:pPr>
      <w:r>
        <w:rPr>
          <w:rtl w:val="0"/>
          <w:lang w:val="en-US"/>
        </w:rPr>
        <w:t xml:space="preserve">Collins (2012) studied two choral classes at different performance levels and noticed instructional differences that appeared to impact student performance. Students in the higher performing class were exposed to a more student-centered teaching style, while students in the lower performing class were taught in a more traditional teacher-centered model. The higher performing class also had two instructors, one male and one female, so students were exposed to varied vocal models and also had the benefit of their teachers modeling positive collaboration. This echoes findings by Freer (2009b) highlighting benefits to both genders of having authentic gender appropriate vocal models. </w:t>
      </w:r>
    </w:p>
    <w:p>
      <w:pPr>
        <w:pStyle w:val="Body"/>
        <w:spacing w:before="200" w:line="360" w:lineRule="auto"/>
      </w:pPr>
      <w:r>
        <w:rPr>
          <w:rtl w:val="0"/>
          <w:lang w:val="en-US"/>
        </w:rPr>
        <w:t>Negative teacher attitudes can negatively impact a student</w:t>
      </w:r>
      <w:r>
        <w:rPr>
          <w:rtl w:val="1"/>
        </w:rPr>
        <w:t>’</w:t>
      </w:r>
      <w:r>
        <w:rPr>
          <w:rtl w:val="0"/>
          <w:lang w:val="en-US"/>
        </w:rPr>
        <w:t>s enjoyment of choral singing (Harrison, 2007; Freer, 2014). In Harrison</w:t>
      </w:r>
      <w:r>
        <w:rPr>
          <w:rtl w:val="1"/>
        </w:rPr>
        <w:t>’</w:t>
      </w:r>
      <w:r>
        <w:rPr>
          <w:rtl w:val="0"/>
          <w:lang w:val="en-US"/>
        </w:rPr>
        <w:t>s (2007) study, adult participants could vividly recall early impressions from childhood music making. For some, there was a strong connection with a teacher which encouraged continued participation as they grew older, with 17 participants stating that an enthusiastic and knowledgeable teacher made the most lasting impact. For others, a negative experience caused them to not participate in music later in life.</w:t>
      </w:r>
    </w:p>
    <w:p>
      <w:pPr>
        <w:pStyle w:val="Body"/>
        <w:spacing w:before="200" w:line="360" w:lineRule="auto"/>
        <w:rPr>
          <w:b w:val="1"/>
          <w:bCs w:val="1"/>
          <w:u w:val="single"/>
        </w:rPr>
      </w:pPr>
      <w:r>
        <w:rPr>
          <w:b w:val="1"/>
          <w:bCs w:val="1"/>
          <w:u w:val="single"/>
          <w:rtl w:val="0"/>
        </w:rPr>
        <w:t>Role Models</w:t>
      </w:r>
    </w:p>
    <w:p>
      <w:pPr>
        <w:pStyle w:val="Body"/>
        <w:spacing w:before="200" w:line="360" w:lineRule="auto"/>
      </w:pPr>
      <w:r>
        <w:rPr>
          <w:rtl w:val="0"/>
          <w:lang w:val="en-US"/>
        </w:rPr>
        <w:t xml:space="preserve">Parental influence has also been examined by researchers (Harrison, 2007; Freer, 2009; Warnock, 2009; Sweet, 2010; Collins, 2012). While some students may be inspired to sing by the presence of positive male singers in their family (Warnock, 2009; Sweet, 2010; Freer, 2014), others developed a resentment for singing due to a lack of family support (Collins, 2012). Harrison (2007) found in a study of adult men that parents heavily influenced early interest in singing. </w:t>
      </w:r>
    </w:p>
    <w:p>
      <w:pPr>
        <w:pStyle w:val="Body"/>
        <w:spacing w:before="200" w:line="360" w:lineRule="auto"/>
      </w:pPr>
      <w:r>
        <w:rPr>
          <w:rtl w:val="0"/>
          <w:lang w:val="en-US"/>
        </w:rPr>
        <w:t xml:space="preserve">Although parental influence is important (Harrison, 2007; Warnock, 2009), during adolescent years, </w:t>
      </w:r>
      <w:r>
        <w:rPr>
          <w:rtl w:val="1"/>
          <w:lang w:val="ar-SA" w:bidi="ar-SA"/>
        </w:rPr>
        <w:t>“</w:t>
      </w:r>
      <w:r>
        <w:rPr>
          <w:rtl w:val="0"/>
          <w:lang w:val="en-US"/>
        </w:rPr>
        <w:t>teenagers begin to pull away from their families and seek the approval of peers</w:t>
      </w:r>
      <w:r>
        <w:rPr>
          <w:rtl w:val="0"/>
        </w:rPr>
        <w:t xml:space="preserve">” </w:t>
      </w:r>
      <w:r>
        <w:rPr>
          <w:rtl w:val="0"/>
          <w:lang w:val="en-US"/>
        </w:rPr>
        <w:t xml:space="preserve">(Wolfe, 2016, p. 49). This is often a period of </w:t>
      </w:r>
      <w:r>
        <w:rPr>
          <w:rtl w:val="1"/>
          <w:lang w:val="ar-SA" w:bidi="ar-SA"/>
        </w:rPr>
        <w:t>“</w:t>
      </w:r>
      <w:r>
        <w:rPr>
          <w:rtl w:val="0"/>
          <w:lang w:val="en-US"/>
        </w:rPr>
        <w:t>trying on</w:t>
      </w:r>
      <w:r>
        <w:rPr>
          <w:rtl w:val="0"/>
        </w:rPr>
        <w:t xml:space="preserve">” </w:t>
      </w:r>
      <w:r>
        <w:rPr>
          <w:rtl w:val="0"/>
          <w:lang w:val="en-US"/>
        </w:rPr>
        <w:t>different identities, a process that can be either strengthened or diminished by participation in choral music (p. 49).</w:t>
      </w:r>
    </w:p>
    <w:p>
      <w:pPr>
        <w:pStyle w:val="Body"/>
        <w:spacing w:before="200" w:line="360" w:lineRule="auto"/>
      </w:pPr>
      <w:r>
        <w:rPr>
          <w:rtl w:val="0"/>
          <w:lang w:val="en-US"/>
        </w:rPr>
        <w:t xml:space="preserve">A study by Collins (2012) found that even when students have great male teacher role models, the influence of peer role models may have a greater impact. Several other studies highlight the influence of peer role models (Hall, 2005; Freer, 2009; Elorriaga, 2011; Freer, 2014). Hall (2005) observed a group of 5 year old boys interacting with older male choral singers. The young boys developed a bond with the older boys very quickly and showed an interest in imitating them and gaining their attention. The boys reacted positively when one older student made jokes and sang silly songs, but laughed when another sang a classical piece, claiming that he sounded like a girl. Although the young boys laughed at the classical performance, they continued to talk more about that piece than other pieces, suggesting that this performance brought out something fascinating and compelling to them. This led the researcher to suggest that peer modeling may help </w:t>
      </w:r>
      <w:r>
        <w:rPr>
          <w:rtl w:val="1"/>
          <w:lang w:val="ar-SA" w:bidi="ar-SA"/>
        </w:rPr>
        <w:t>“</w:t>
      </w:r>
      <w:r>
        <w:rPr>
          <w:rtl w:val="0"/>
          <w:lang w:val="en-US"/>
        </w:rPr>
        <w:t>challenge perceptions and offer a direction for future investigation</w:t>
      </w:r>
      <w:r>
        <w:rPr>
          <w:rtl w:val="0"/>
        </w:rPr>
        <w:t xml:space="preserve">” </w:t>
      </w:r>
      <w:r>
        <w:rPr>
          <w:rtl w:val="0"/>
        </w:rPr>
        <w:t xml:space="preserve">(p. 15). </w:t>
      </w:r>
    </w:p>
    <w:p>
      <w:pPr>
        <w:pStyle w:val="Body"/>
        <w:spacing w:before="200" w:line="360" w:lineRule="auto"/>
      </w:pPr>
      <w:r>
        <w:rPr>
          <w:rtl w:val="0"/>
          <w:lang w:val="en-US"/>
        </w:rPr>
        <w:t>In addition to influencing elementary aged boys, exposure to older male vocal models can have benefits for middle school boys as well (Freer, 2009; Elorriaga, 2011) Boys with unchanged voices can develop a goal of joining the baritone section once their voices change (Elorriaga, 2011) and exposure to changed tenor voices can encourage middle school boys to sing high (Freer, 2009), an activity many of them fear because it may seem feminine (Hall, 2005; Sweet, 2010; Harrison, 2010; Ashley, 2016).</w:t>
      </w:r>
    </w:p>
    <w:p>
      <w:pPr>
        <w:pStyle w:val="Body"/>
        <w:spacing w:before="200" w:line="360" w:lineRule="auto"/>
        <w:rPr>
          <w:b w:val="1"/>
          <w:bCs w:val="1"/>
          <w:u w:val="single"/>
        </w:rPr>
      </w:pPr>
      <w:r>
        <w:rPr>
          <w:rtl w:val="0"/>
          <w:lang w:val="en-US"/>
        </w:rPr>
        <w:t>Freer (2012) suggests providing opportunities for middle school boys to visit the high school in order to sing with older boys. In addition to inspiring them to continue singing successfully in middle school, Freer believes this may help the middle school boys visualize themselves belonging in the high school choir, hopefully facilitating a transition from middle school choir to high school choir.</w:t>
      </w:r>
    </w:p>
    <w:p>
      <w:pPr>
        <w:pStyle w:val="Body"/>
        <w:spacing w:before="200" w:line="360" w:lineRule="auto"/>
        <w:rPr>
          <w:b w:val="1"/>
          <w:bCs w:val="1"/>
          <w:u w:val="single"/>
        </w:rPr>
      </w:pPr>
      <w:r>
        <w:rPr>
          <w:b w:val="1"/>
          <w:bCs w:val="1"/>
          <w:u w:val="single"/>
          <w:rtl w:val="0"/>
          <w:lang w:val="fr-FR"/>
        </w:rPr>
        <w:t xml:space="preserve">Class Structure and Repertoire </w:t>
      </w:r>
    </w:p>
    <w:p>
      <w:pPr>
        <w:pStyle w:val="Body"/>
        <w:spacing w:before="200" w:line="360" w:lineRule="auto"/>
        <w:rPr>
          <w:b w:val="1"/>
          <w:bCs w:val="1"/>
          <w:u w:val="single"/>
        </w:rPr>
      </w:pPr>
      <w:r>
        <w:rPr>
          <w:rtl w:val="0"/>
          <w:lang w:val="en-US"/>
        </w:rPr>
        <w:t xml:space="preserve">Music education researchers have made claims regarding appealing repertoire for male singers, primarily suggesting that teachers select literature which appeals to stereotypes of masculinity (McBride and Palkki, 2020). This could include </w:t>
      </w:r>
      <w:r>
        <w:rPr>
          <w:rtl w:val="1"/>
          <w:lang w:val="ar-SA" w:bidi="ar-SA"/>
        </w:rPr>
        <w:t>“</w:t>
      </w:r>
      <w:r>
        <w:rPr>
          <w:rtl w:val="0"/>
          <w:lang w:val="en-US"/>
        </w:rPr>
        <w:t>manly text</w:t>
      </w:r>
      <w:r>
        <w:rPr>
          <w:rtl w:val="0"/>
        </w:rPr>
        <w:t xml:space="preserve">” </w:t>
      </w:r>
      <w:r>
        <w:rPr>
          <w:rtl w:val="0"/>
          <w:lang w:val="en-US"/>
        </w:rPr>
        <w:t xml:space="preserve">(Demorest, 2000, p. 38) or making sports analogies in the choral classroom in an effort to connect with boys (Johnson, 2012). However, McBride and Palkki (2020) suggest that this sends a message that femininity is undesirable in choral music, potentially leading to harmful implications for any students who are not cisgender males. Furthermore, there is no evidence to suggest that appealing to masculinity has caused any change in male enrollment in choir (Roulston and Mills, 2000), in fact enrollment has remained the same for the past 30 years (Elpus, 2015).They point to recent publications in </w:t>
      </w:r>
      <w:r>
        <w:rPr>
          <w:rtl w:val="1"/>
          <w:lang w:val="ar-SA" w:bidi="ar-SA"/>
        </w:rPr>
        <w:t>“</w:t>
      </w:r>
      <w:r>
        <w:rPr>
          <w:rtl w:val="0"/>
          <w:lang w:val="en-US"/>
        </w:rPr>
        <w:t xml:space="preserve">practitioner journals, such as the </w:t>
      </w:r>
      <w:r>
        <w:rPr>
          <w:i w:val="1"/>
          <w:iCs w:val="1"/>
          <w:rtl w:val="0"/>
          <w:lang w:val="en-US"/>
        </w:rPr>
        <w:t>Music Educators Journal</w:t>
      </w:r>
      <w:r>
        <w:rPr>
          <w:rtl w:val="0"/>
          <w:lang w:val="en-US"/>
        </w:rPr>
        <w:t xml:space="preserve"> and </w:t>
      </w:r>
      <w:r>
        <w:rPr>
          <w:i w:val="1"/>
          <w:iCs w:val="1"/>
          <w:rtl w:val="0"/>
          <w:lang w:val="fr-FR"/>
        </w:rPr>
        <w:t>Choral Journal</w:t>
      </w:r>
      <w:r>
        <w:rPr>
          <w:rtl w:val="0"/>
        </w:rPr>
        <w:t xml:space="preserve">” </w:t>
      </w:r>
      <w:r>
        <w:rPr>
          <w:rtl w:val="0"/>
          <w:lang w:val="en-US"/>
        </w:rPr>
        <w:t>(p. 415) discussing issues surrounding gender and sexual identity in music education as a sign that there may be a shift in how discussions of gender are approached in the choral profession.</w:t>
      </w:r>
    </w:p>
    <w:p>
      <w:pPr>
        <w:pStyle w:val="Body"/>
        <w:spacing w:before="200" w:line="360" w:lineRule="auto"/>
      </w:pPr>
      <w:r>
        <w:rPr>
          <w:rtl w:val="0"/>
          <w:lang w:val="en-US"/>
        </w:rPr>
        <w:t xml:space="preserve">Teachers have held beliefs and assumptions that girls may enjoy singing classical music and boys may enjoy singing predominantly popular music (Green, 1993). However, in a study by Wright (2001), students of both genders report favoring pop music. Although students indicate a preference for a certain musical style, this is often not found to be reflected in the ensemble programming (Bennetts, 2013). Ashley (2006) states that while students may not engage in classical music in their daily life, they can enjoy singing classical repertoire. Ashley argues that music choice in choir does not have to exclusively include music in which the students would normally engage, however Freer (2014) highlights the importance of engaging repertoire in a variety of styles to maintain student interest. </w:t>
      </w:r>
    </w:p>
    <w:p>
      <w:pPr>
        <w:pStyle w:val="Body"/>
        <w:spacing w:before="200" w:line="360" w:lineRule="auto"/>
      </w:pPr>
      <w:r>
        <w:rPr>
          <w:rtl w:val="0"/>
          <w:lang w:val="en-US"/>
        </w:rPr>
        <w:t>Freer conducted several studies researching perceptions of boys on singing (2009a; 2009b; 2014) and found that repertoire choice could either engage boys or cause them to misbehave or withdraw from choir. Boys respond well to challenging, quality literature (Freer, 2009b; Lucas, 2011) and can be motivated by achieving progressively more challenging repertoire (Freer, 2009a). Boys want to be held to high standards (Freer, 2014) and want an interesting and singable vocal line, an especially important consideration during the voice change (Crocker, 2000; Lucas, 2011; Freer, 2014). Freer (2007) suggests an approach based on flexible voicing, rather than strictly separating the choir into rigid vocal parts.</w:t>
      </w:r>
    </w:p>
    <w:p>
      <w:pPr>
        <w:pStyle w:val="Body"/>
        <w:spacing w:before="200" w:line="360" w:lineRule="auto"/>
      </w:pPr>
      <w:r>
        <w:rPr>
          <w:rtl w:val="0"/>
          <w:lang w:val="en-US"/>
        </w:rPr>
        <w:t xml:space="preserve">For many years, availability of suitable choral music for the changing voice was a cause of concern (Crocker, 2000; Freer, 2012). The United States has seen shifts to a focus on quality and accessible music for middle school voices, stemming from initiatives by the </w:t>
      </w:r>
      <w:r>
        <w:rPr>
          <w:i w:val="1"/>
          <w:iCs w:val="1"/>
          <w:rtl w:val="0"/>
          <w:lang w:val="en-US"/>
        </w:rPr>
        <w:t>American Choral Directors Association</w:t>
      </w:r>
      <w:r>
        <w:rPr>
          <w:rtl w:val="0"/>
        </w:rPr>
        <w:t xml:space="preserve"> (Freer 2012).</w:t>
      </w:r>
    </w:p>
    <w:p>
      <w:pPr>
        <w:pStyle w:val="Body"/>
        <w:spacing w:before="200" w:line="360" w:lineRule="auto"/>
      </w:pPr>
      <w:r>
        <w:rPr>
          <w:rtl w:val="0"/>
          <w:lang w:val="en-US"/>
        </w:rPr>
        <w:t>The social aspect of choir is important to both boys and girls (Freer, 2009), with some citing the opportunity for socializing as the most important factor impacting their participation (Orton and Pitts, 2019). Additionally, boys seem to dislike a scenario where the teacher/conductor makes all of the decisions, desiring more autonomy over their musical growth and learning (Freer, 2014). Students do not want teachers to explicitly tell them everything, but rather guide them (Freer, 2009). This supports findings from a study by Mizener (1993) who found that students demonstrated a decline in willingness to listen to teacher instructions each year from grades 3 to 6. These findings bring to question whether or not the traditional ensemble models of music education are designed to effectively engage students (Freer, 2007).</w:t>
      </w:r>
    </w:p>
    <w:p>
      <w:pPr>
        <w:pStyle w:val="Body"/>
        <w:spacing w:before="200" w:line="360" w:lineRule="auto"/>
      </w:pPr>
      <w:r>
        <w:rPr>
          <w:rtl w:val="0"/>
          <w:lang w:val="en-US"/>
        </w:rPr>
        <w:t xml:space="preserve">Boys also respond better to a focus on learning musical and vocal skills, rather than primarily focusing on repertoire for performance (Freer, 2009). Boys have emphasized that teaching about the voice change is important to them (Freer, 2009; Freer, 2014). Even boys who do not consider themselves singers stated that they would have been more interested in staying in choir if their teacher had taught them more specifically about the voice change (Freer, 2014). Voice change should be discussed with boys before the voice change begins (Freer, 2009), perhaps as early as late elementary school (Mizener, 1993). </w:t>
      </w:r>
    </w:p>
    <w:p>
      <w:pPr>
        <w:pStyle w:val="Body"/>
        <w:spacing w:before="200" w:line="360" w:lineRule="auto"/>
        <w:rPr>
          <w:b w:val="1"/>
          <w:bCs w:val="1"/>
          <w:u w:val="single"/>
        </w:rPr>
      </w:pPr>
      <w:r>
        <w:rPr>
          <w:b w:val="1"/>
          <w:bCs w:val="1"/>
          <w:u w:val="single"/>
          <w:rtl w:val="0"/>
          <w:lang w:val="en-US"/>
        </w:rPr>
        <w:t>Single Gender vs. Mixed Gender Classes</w:t>
      </w:r>
    </w:p>
    <w:p>
      <w:pPr>
        <w:pStyle w:val="Body"/>
        <w:spacing w:before="200" w:line="360" w:lineRule="auto"/>
      </w:pPr>
      <w:r>
        <w:rPr>
          <w:rtl w:val="0"/>
          <w:lang w:val="en-US"/>
        </w:rPr>
        <w:t xml:space="preserve">There exists in the literature recommendations for single-gender instruction in choral music (Bennetts, 2013; Elorriaga, 2011; Jorgensen and Pfeiler, 2008; Freer, 2009; Ashley, 2016). Ashley (2006) notes that </w:t>
      </w:r>
      <w:r>
        <w:rPr>
          <w:rtl w:val="1"/>
          <w:lang w:val="ar-SA" w:bidi="ar-SA"/>
        </w:rPr>
        <w:t>“</w:t>
      </w:r>
      <w:r>
        <w:rPr>
          <w:rtl w:val="0"/>
          <w:lang w:val="en-US"/>
        </w:rPr>
        <w:t>boys</w:t>
      </w:r>
      <w:r>
        <w:rPr>
          <w:rtl w:val="1"/>
        </w:rPr>
        <w:t xml:space="preserve">’ </w:t>
      </w:r>
      <w:r>
        <w:rPr>
          <w:rtl w:val="0"/>
          <w:lang w:val="en-US"/>
        </w:rPr>
        <w:t>and girls' voices are at their best at different ages of maturity,</w:t>
      </w:r>
      <w:r>
        <w:rPr>
          <w:rtl w:val="0"/>
        </w:rPr>
        <w:t xml:space="preserve">” </w:t>
      </w:r>
      <w:r>
        <w:rPr>
          <w:rtl w:val="0"/>
          <w:lang w:val="en-US"/>
        </w:rPr>
        <w:t>(p. 198) so mixing their voices as they are developing may not yield educational benefits. Boys may also feel self-conscious singing in front of girls while their voice is changing, so providing a male-only option may keep students from withdrawing from choral singing (Freer, 2009). Other advocates for single-gender choral education point to the ability to address the needs of the male changing voice (Jorgensen and Pfeiler, 2008; Freer, 2009, MORE). Additionally, a gender-neutral approach does little to benefit either the boys or the girls as it is not helpful to generalize instructional approaches (Freer, 2007).</w:t>
      </w:r>
    </w:p>
    <w:p>
      <w:pPr>
        <w:pStyle w:val="Body"/>
        <w:spacing w:before="200" w:line="360" w:lineRule="auto"/>
      </w:pPr>
      <w:r>
        <w:rPr>
          <w:rtl w:val="0"/>
          <w:lang w:val="en-US"/>
        </w:rPr>
        <w:t>Jorgensen and Pfeiler (2008) discuss the benefits they observed following a shift to single-sex choirs during the first two years of high school choral instruction. They argued that since there has existed a long tradition of treble choirs in schools there was justification to develop the same scenario for boys. While many treble ensembles may have initially been developed to make space for an abundance of girls in school choral programs, an additional benefit has been an opportunity to focus on techniques and strategies for the female developing voice (Gackle, 2011). Jorgensen and Pfeiler (2008) observed that organizing a baritone choir for freshman and sophomore students created growth in choir enrollment among boys and also aided in developing vocal skills and pitch matching.</w:t>
      </w:r>
    </w:p>
    <w:p>
      <w:pPr>
        <w:pStyle w:val="Body"/>
        <w:spacing w:before="200" w:line="360" w:lineRule="auto"/>
      </w:pPr>
      <w:r>
        <w:rPr>
          <w:rtl w:val="0"/>
          <w:lang w:val="en-US"/>
        </w:rPr>
        <w:t>It is interesting to note that Freer (2009b) found that some boys may not actually want to have choirs separated by gender. While the participants in Freer</w:t>
      </w:r>
      <w:r>
        <w:rPr>
          <w:rtl w:val="1"/>
        </w:rPr>
        <w:t>’</w:t>
      </w:r>
      <w:r>
        <w:rPr>
          <w:rtl w:val="0"/>
          <w:lang w:val="en-US"/>
        </w:rPr>
        <w:t xml:space="preserve">s study indicated that sectionals are important to build vocal skills and cultivate camaraderie among the boys, one participant noted that it only made sense to separate by gender if the girls had a female teacher and the boys had a male teacher. A successful example of such a scenario was observed by Collins (2012), who identified instructional benefits to this framework. </w:t>
      </w:r>
    </w:p>
    <w:p>
      <w:pPr>
        <w:pStyle w:val="Body"/>
        <w:spacing w:before="200" w:line="360" w:lineRule="auto"/>
      </w:pPr>
      <w:r>
        <w:rPr>
          <w:rtl w:val="0"/>
          <w:lang w:val="en-US"/>
        </w:rPr>
        <w:t>While Freer (2009b) found that some boys had no desire for single-sex instruction, other studies found that boys prefer to sing in an all-male choir rather than a mixed gender choir (Elorriaga, 2011; Bennetts, 2013, Ashley, 2006). Ashley (2006) suggests that boys may prefer singing in a single-sex environment due to the fact that girls tend to significantly outnumber boys in volunteer choirs. This supports findings by Bennetts (2013) who observed differences in attitudes of boys in a single-sex school and co-educational school. Boys in Bennetts</w:t>
      </w:r>
      <w:r>
        <w:rPr>
          <w:rtl w:val="1"/>
        </w:rPr>
        <w:t xml:space="preserve">’ </w:t>
      </w:r>
      <w:r>
        <w:rPr>
          <w:rtl w:val="0"/>
          <w:lang w:val="en-US"/>
        </w:rPr>
        <w:t xml:space="preserve">study said that the </w:t>
      </w:r>
      <w:r>
        <w:rPr>
          <w:rtl w:val="1"/>
          <w:lang w:val="ar-SA" w:bidi="ar-SA"/>
        </w:rPr>
        <w:t>“</w:t>
      </w:r>
      <w:r>
        <w:rPr>
          <w:rtl w:val="0"/>
          <w:lang w:val="en-US"/>
        </w:rPr>
        <w:t>absence or presence of girls</w:t>
      </w:r>
      <w:r>
        <w:rPr>
          <w:rtl w:val="0"/>
        </w:rPr>
        <w:t xml:space="preserve">” </w:t>
      </w:r>
      <w:r>
        <w:rPr>
          <w:rtl w:val="0"/>
          <w:lang w:val="en-US"/>
        </w:rPr>
        <w:t>(p. 226) was a determining factor in their decision to participate or refrain from choral singing. In addition to having more male choral participation, the single-sex school in Bennetts</w:t>
      </w:r>
      <w:r>
        <w:rPr>
          <w:rtl w:val="1"/>
        </w:rPr>
        <w:t xml:space="preserve">’ </w:t>
      </w:r>
      <w:r>
        <w:rPr>
          <w:rtl w:val="0"/>
          <w:lang w:val="en-US"/>
        </w:rPr>
        <w:t xml:space="preserve">study also had more boys in instrumental ensembles playing instruments that are commonly considered more feminine (Harrison, 2007; Abeles, 2009). Similarly, Powell (2015) found that students at an all boys school in Australia experienced less bullying for singing than boys in the co-educational schools in the study.  </w:t>
      </w:r>
    </w:p>
    <w:p>
      <w:pPr>
        <w:pStyle w:val="Body"/>
        <w:spacing w:before="200" w:line="360" w:lineRule="auto"/>
      </w:pPr>
      <w:r>
        <w:rPr>
          <w:rtl w:val="0"/>
          <w:lang w:val="en-US"/>
        </w:rPr>
        <w:t xml:space="preserve">There are conflicting opinions regarding separating choirs by gender, but </w:t>
      </w:r>
      <w:r>
        <w:rPr>
          <w:rtl w:val="1"/>
          <w:lang w:val="ar-SA" w:bidi="ar-SA"/>
        </w:rPr>
        <w:t>“</w:t>
      </w:r>
      <w:r>
        <w:rPr>
          <w:rtl w:val="0"/>
          <w:lang w:val="en-US"/>
        </w:rPr>
        <w:t>no clearly articulated argument supported by research exists in favor of gender-defined choral ensembles for adolescents</w:t>
      </w:r>
      <w:r>
        <w:rPr>
          <w:rtl w:val="0"/>
        </w:rPr>
        <w:t xml:space="preserve">” </w:t>
      </w:r>
      <w:r>
        <w:rPr>
          <w:rtl w:val="0"/>
          <w:lang w:val="en-US"/>
        </w:rPr>
        <w:t xml:space="preserve">(Zemek, 2010, p. 18) Since these conflicting opinions exist, Freer (2009) suggests providing as many different options as possible to </w:t>
      </w:r>
      <w:r>
        <w:rPr>
          <w:rtl w:val="1"/>
          <w:lang w:val="ar-SA" w:bidi="ar-SA"/>
        </w:rPr>
        <w:t>“</w:t>
      </w:r>
      <w:r>
        <w:rPr>
          <w:rtl w:val="0"/>
          <w:lang w:val="en-US"/>
        </w:rPr>
        <w:t>meet the musical needs of different boys</w:t>
      </w:r>
      <w:r>
        <w:rPr>
          <w:rtl w:val="0"/>
        </w:rPr>
        <w:t xml:space="preserve">” </w:t>
      </w:r>
      <w:r>
        <w:rPr>
          <w:rtl w:val="0"/>
          <w:lang w:val="en-US"/>
        </w:rPr>
        <w:t>(p. 349). This could include offering options for TTBB and SATB ensembles (Jorgensen and Pfeiler, 2008) or simply being thoughtful about classroom seating and performance placement for boys in a mixed-gender choral situation (Freer, 2007). For example, placing boys on one side of the ensemble and girls on the other may yield a more successful learning environment for the boys than placing them in the middle of the girls.</w:t>
      </w:r>
    </w:p>
    <w:p>
      <w:pPr>
        <w:pStyle w:val="Body"/>
        <w:spacing w:before="200" w:line="360" w:lineRule="auto"/>
        <w:rPr>
          <w:b w:val="1"/>
          <w:bCs w:val="1"/>
          <w:u w:val="single"/>
        </w:rPr>
      </w:pPr>
      <w:r>
        <w:rPr>
          <w:b w:val="1"/>
          <w:bCs w:val="1"/>
          <w:u w:val="single"/>
          <w:rtl w:val="0"/>
          <w:lang w:val="fr-FR"/>
        </w:rPr>
        <w:t>Conclusions</w:t>
      </w:r>
    </w:p>
    <w:p>
      <w:pPr>
        <w:pStyle w:val="Body"/>
        <w:spacing w:before="200" w:line="360" w:lineRule="auto"/>
      </w:pPr>
      <w:r>
        <w:rPr>
          <w:rtl w:val="0"/>
          <w:lang w:val="en-US"/>
        </w:rPr>
        <w:t>Key themes that emerged from the literature regarding retention and recruitment of male singers in middle school choral programs included: voice change (Freer, 2014; Fisher, 2014), gender stereotyping (Wright, 2001; Harrison, 2007; Abeles, 2009; McBride (2016) and peer and societal expectations (Harrison, 2010; Sweet, 2010; Powell, 2015). Gender stereotypes and associations can begin in early adolescence (Mizener, 1993; Hall, 2005), suggesting a need for further research into strategies that may aid in prohibiting gendered associations from establishing. As gender norms and stereotypes are a social construct, there are enormous obstacles to eliminating them (Palkki and Sauerland, 2019).</w:t>
      </w:r>
    </w:p>
    <w:p>
      <w:pPr>
        <w:pStyle w:val="Body"/>
        <w:spacing w:before="200" w:line="360" w:lineRule="auto"/>
      </w:pPr>
      <w:r>
        <w:rPr>
          <w:rtl w:val="0"/>
          <w:lang w:val="en-US"/>
        </w:rPr>
        <w:t>Although there is no consensus in the literature as to how teachers can best content with issues surrounding recruiting and retaining male singers, some suggested strategies include providing opportunities for positive male singing role models (Hall, 2005; Elorriaga, 2011; Collins, 2012), quality and energized teaching (Harrison, 2007; Bennetts, 2013; Fisher, 2014; Freer, 2014) challenging yet attainable repertoire (Freer, 2009b; Lucas, 2011).</w:t>
      </w:r>
    </w:p>
    <w:p>
      <w:pPr>
        <w:pStyle w:val="Body"/>
        <w:spacing w:before="200" w:line="360" w:lineRule="auto"/>
        <w:rPr>
          <w:b w:val="1"/>
          <w:bCs w:val="1"/>
          <w:u w:val="single"/>
        </w:rPr>
      </w:pPr>
      <w:r>
        <w:rPr>
          <w:b w:val="1"/>
          <w:bCs w:val="1"/>
          <w:u w:val="single"/>
          <w:rtl w:val="0"/>
          <w:lang w:val="fr-FR"/>
        </w:rPr>
        <w:t>References</w:t>
      </w:r>
    </w:p>
    <w:p>
      <w:pPr>
        <w:pStyle w:val="Body"/>
        <w:spacing w:before="200" w:after="20" w:line="360" w:lineRule="auto"/>
      </w:pPr>
      <w:r>
        <w:rPr>
          <w:rtl w:val="0"/>
          <w:lang w:val="en-US"/>
        </w:rPr>
        <w:t xml:space="preserve">Abeles, H. and Porter, S. (1978) </w:t>
      </w:r>
      <w:r>
        <w:rPr>
          <w:rtl w:val="1"/>
        </w:rPr>
        <w:t>‘</w:t>
      </w:r>
      <w:r>
        <w:rPr>
          <w:rtl w:val="0"/>
          <w:lang w:val="en-US"/>
        </w:rPr>
        <w:t>Sex-stereotyping of musical instruments</w:t>
      </w:r>
      <w:r>
        <w:rPr>
          <w:rtl w:val="1"/>
        </w:rPr>
        <w:t>’</w:t>
      </w:r>
      <w:r>
        <w:rPr>
          <w:rtl w:val="0"/>
        </w:rPr>
        <w:t xml:space="preserve">, </w:t>
      </w:r>
      <w:r>
        <w:rPr>
          <w:i w:val="1"/>
          <w:iCs w:val="1"/>
          <w:rtl w:val="0"/>
          <w:lang w:val="en-US"/>
        </w:rPr>
        <w:t>Journal of Research in Music Education</w:t>
      </w:r>
      <w:r>
        <w:rPr>
          <w:rtl w:val="0"/>
        </w:rPr>
        <w:t>, 26, pp. 65-75</w:t>
      </w:r>
    </w:p>
    <w:p>
      <w:pPr>
        <w:pStyle w:val="Body"/>
        <w:spacing w:before="200" w:after="20" w:line="360" w:lineRule="auto"/>
      </w:pPr>
      <w:r>
        <w:rPr>
          <w:rtl w:val="0"/>
        </w:rPr>
        <w:t xml:space="preserve">Abeles, H. (2009) </w:t>
      </w:r>
      <w:r>
        <w:rPr>
          <w:rtl w:val="1"/>
        </w:rPr>
        <w:t>‘</w:t>
      </w:r>
      <w:r>
        <w:rPr>
          <w:rtl w:val="0"/>
          <w:lang w:val="en-US"/>
        </w:rPr>
        <w:t>Are Musical Instrument Gender Associations Changing?</w:t>
      </w:r>
      <w:r>
        <w:rPr>
          <w:rtl w:val="1"/>
        </w:rPr>
        <w:t>’</w:t>
      </w:r>
      <w:r>
        <w:rPr>
          <w:rtl w:val="0"/>
        </w:rPr>
        <w:t xml:space="preserve">, </w:t>
      </w:r>
      <w:r>
        <w:rPr>
          <w:i w:val="1"/>
          <w:iCs w:val="1"/>
          <w:rtl w:val="0"/>
          <w:lang w:val="en-US"/>
        </w:rPr>
        <w:t>Journal of Research in Music Education</w:t>
      </w:r>
      <w:r>
        <w:rPr>
          <w:rtl w:val="0"/>
        </w:rPr>
        <w:t>, 57(2), pp. 127-139.</w:t>
      </w:r>
    </w:p>
    <w:p>
      <w:pPr>
        <w:pStyle w:val="Body"/>
        <w:spacing w:before="200" w:after="20" w:line="360" w:lineRule="auto"/>
      </w:pPr>
      <w:r>
        <w:rPr>
          <w:rtl w:val="0"/>
        </w:rPr>
        <w:t xml:space="preserve">Ashley, M. (2006) </w:t>
      </w:r>
      <w:r>
        <w:rPr>
          <w:rtl w:val="1"/>
        </w:rPr>
        <w:t>‘</w:t>
      </w:r>
      <w:r>
        <w:rPr>
          <w:rtl w:val="0"/>
          <w:lang w:val="en-US"/>
        </w:rPr>
        <w:t xml:space="preserve">You sing like a girl? An exploration of </w:t>
      </w:r>
      <w:r>
        <w:rPr>
          <w:rtl w:val="1"/>
        </w:rPr>
        <w:t>‘</w:t>
      </w:r>
      <w:r>
        <w:rPr>
          <w:rtl w:val="0"/>
        </w:rPr>
        <w:t>boyness</w:t>
      </w:r>
      <w:r>
        <w:rPr>
          <w:rtl w:val="1"/>
        </w:rPr>
        <w:t xml:space="preserve">’ </w:t>
      </w:r>
      <w:r>
        <w:rPr>
          <w:rtl w:val="0"/>
          <w:lang w:val="en-US"/>
        </w:rPr>
        <w:t>through the treble voice</w:t>
      </w:r>
      <w:r>
        <w:rPr>
          <w:rtl w:val="1"/>
        </w:rPr>
        <w:t>’</w:t>
      </w:r>
      <w:r>
        <w:rPr>
          <w:rtl w:val="0"/>
        </w:rPr>
        <w:t xml:space="preserve">, </w:t>
      </w:r>
      <w:r>
        <w:rPr>
          <w:i w:val="1"/>
          <w:iCs w:val="1"/>
          <w:rtl w:val="0"/>
          <w:lang w:val="en-US"/>
        </w:rPr>
        <w:t>Sex Education</w:t>
      </w:r>
      <w:r>
        <w:rPr>
          <w:rtl w:val="0"/>
        </w:rPr>
        <w:t>, 6(2), pp.193-205.</w:t>
      </w:r>
    </w:p>
    <w:p>
      <w:pPr>
        <w:pStyle w:val="Body"/>
        <w:spacing w:before="200" w:after="20" w:line="360" w:lineRule="auto"/>
        <w:rPr>
          <w:shd w:val="clear" w:color="auto" w:fill="ffffff"/>
        </w:rPr>
      </w:pPr>
      <w:r>
        <w:rPr>
          <w:shd w:val="clear" w:color="auto" w:fill="ffffff"/>
          <w:rtl w:val="0"/>
        </w:rPr>
        <w:t xml:space="preserve">Ashley, M. (2011) </w:t>
      </w:r>
      <w:r>
        <w:rPr>
          <w:shd w:val="clear" w:color="auto" w:fill="ffffff"/>
          <w:rtl w:val="1"/>
        </w:rPr>
        <w:t>‘</w:t>
      </w:r>
      <w:r>
        <w:rPr>
          <w:shd w:val="clear" w:color="auto" w:fill="ffffff"/>
          <w:rtl w:val="0"/>
          <w:lang w:val="en-US"/>
        </w:rPr>
        <w:t>The angel enigma: experienced boy singers</w:t>
      </w:r>
      <w:r>
        <w:rPr>
          <w:shd w:val="clear" w:color="auto" w:fill="ffffff"/>
          <w:rtl w:val="1"/>
        </w:rPr>
        <w:t xml:space="preserve">’ </w:t>
      </w:r>
      <w:r>
        <w:rPr>
          <w:shd w:val="clear" w:color="auto" w:fill="ffffff"/>
          <w:rtl w:val="0"/>
          <w:lang w:val="en-US"/>
        </w:rPr>
        <w:t>perceptual judgements of changing voices</w:t>
      </w:r>
      <w:r>
        <w:rPr>
          <w:shd w:val="clear" w:color="auto" w:fill="ffffff"/>
          <w:rtl w:val="1"/>
        </w:rPr>
        <w:t>’</w:t>
      </w:r>
      <w:r>
        <w:rPr>
          <w:shd w:val="clear" w:color="auto" w:fill="ffffff"/>
          <w:rtl w:val="0"/>
        </w:rPr>
        <w:t xml:space="preserve">, </w:t>
      </w:r>
      <w:r>
        <w:rPr>
          <w:i w:val="1"/>
          <w:iCs w:val="1"/>
          <w:shd w:val="clear" w:color="auto" w:fill="ffffff"/>
          <w:rtl w:val="0"/>
          <w:lang w:val="en-US"/>
        </w:rPr>
        <w:t>Music Education Research</w:t>
      </w:r>
      <w:r>
        <w:rPr>
          <w:shd w:val="clear" w:color="auto" w:fill="ffffff"/>
          <w:rtl w:val="0"/>
        </w:rPr>
        <w:t>, 13(3), pp. 343-354.</w:t>
      </w:r>
    </w:p>
    <w:p>
      <w:pPr>
        <w:pStyle w:val="Body"/>
        <w:spacing w:before="200" w:after="20" w:line="360" w:lineRule="auto"/>
        <w:rPr>
          <w:shd w:val="clear" w:color="auto" w:fill="ffffff"/>
        </w:rPr>
      </w:pPr>
      <w:r>
        <w:rPr>
          <w:shd w:val="clear" w:color="auto" w:fill="ffffff"/>
          <w:rtl w:val="0"/>
        </w:rPr>
        <w:t xml:space="preserve">Ashley, M. (2013) </w:t>
      </w:r>
      <w:r>
        <w:rPr>
          <w:shd w:val="clear" w:color="auto" w:fill="ffffff"/>
          <w:rtl w:val="1"/>
        </w:rPr>
        <w:t>‘</w:t>
      </w:r>
      <w:r>
        <w:rPr>
          <w:shd w:val="clear" w:color="auto" w:fill="ffffff"/>
          <w:rtl w:val="0"/>
          <w:lang w:val="en-US"/>
        </w:rPr>
        <w:t>Broken voices or a broken curriculum? The impact of research on UK school choral practice with boys</w:t>
      </w:r>
      <w:r>
        <w:rPr>
          <w:shd w:val="clear" w:color="auto" w:fill="ffffff"/>
          <w:rtl w:val="1"/>
        </w:rPr>
        <w:t>’</w:t>
      </w:r>
      <w:r>
        <w:rPr>
          <w:shd w:val="clear" w:color="auto" w:fill="ffffff"/>
          <w:rtl w:val="0"/>
        </w:rPr>
        <w:t xml:space="preserve">, </w:t>
      </w:r>
      <w:r>
        <w:rPr>
          <w:i w:val="1"/>
          <w:iCs w:val="1"/>
          <w:rtl w:val="0"/>
          <w:lang w:val="en-US"/>
        </w:rPr>
        <w:t>British Journal of Music Education</w:t>
      </w:r>
      <w:r>
        <w:rPr>
          <w:shd w:val="clear" w:color="auto" w:fill="ffffff"/>
          <w:rtl w:val="0"/>
        </w:rPr>
        <w:t>, 30(3), pp.311</w:t>
      </w:r>
      <w:r>
        <w:rPr>
          <w:shd w:val="clear" w:color="auto" w:fill="ffffff"/>
          <w:rtl w:val="0"/>
        </w:rPr>
        <w:t>–</w:t>
      </w:r>
      <w:r>
        <w:rPr>
          <w:shd w:val="clear" w:color="auto" w:fill="ffffff"/>
          <w:rtl w:val="0"/>
        </w:rPr>
        <w:t>327.</w:t>
      </w:r>
    </w:p>
    <w:p>
      <w:pPr>
        <w:pStyle w:val="Body"/>
        <w:spacing w:before="200" w:after="20" w:line="360" w:lineRule="auto"/>
      </w:pPr>
      <w:r>
        <w:rPr>
          <w:shd w:val="clear" w:color="auto" w:fill="ffffff"/>
          <w:rtl w:val="0"/>
        </w:rPr>
        <w:t xml:space="preserve">Ashley, M. (2018) </w:t>
      </w:r>
      <w:r>
        <w:rPr>
          <w:shd w:val="clear" w:color="auto" w:fill="ffffff"/>
          <w:rtl w:val="1"/>
        </w:rPr>
        <w:t>‘</w:t>
      </w:r>
      <w:r>
        <w:rPr>
          <w:shd w:val="clear" w:color="auto" w:fill="ffffff"/>
          <w:rtl w:val="0"/>
          <w:lang w:val="en-US"/>
        </w:rPr>
        <w:t xml:space="preserve">Beautiful Swansongs of English Cathedral Music: Adolescence and the Boy </w:t>
      </w:r>
      <w:r>
        <w:rPr>
          <w:shd w:val="clear" w:color="auto" w:fill="ffffff"/>
          <w:rtl w:val="1"/>
          <w:lang w:val="ar-SA" w:bidi="ar-SA"/>
        </w:rPr>
        <w:t>“</w:t>
      </w:r>
      <w:r>
        <w:rPr>
          <w:shd w:val="clear" w:color="auto" w:fill="ffffff"/>
          <w:rtl w:val="0"/>
        </w:rPr>
        <w:t>Treble Voice</w:t>
      </w:r>
      <w:r>
        <w:rPr>
          <w:shd w:val="clear" w:color="auto" w:fill="ffffff"/>
          <w:rtl w:val="1"/>
        </w:rPr>
        <w:t>’</w:t>
      </w:r>
      <w:r>
        <w:rPr>
          <w:shd w:val="clear" w:color="auto" w:fill="ffffff"/>
          <w:rtl w:val="0"/>
        </w:rPr>
        <w:t xml:space="preserve">, </w:t>
      </w:r>
      <w:r>
        <w:rPr>
          <w:i w:val="1"/>
          <w:iCs w:val="1"/>
          <w:shd w:val="clear" w:color="auto" w:fill="ffffff"/>
          <w:rtl w:val="0"/>
          <w:lang w:val="en-US"/>
        </w:rPr>
        <w:t>Journal of Singing</w:t>
      </w:r>
      <w:r>
        <w:rPr>
          <w:shd w:val="clear" w:color="auto" w:fill="ffffff"/>
          <w:rtl w:val="0"/>
        </w:rPr>
        <w:t>, 75(2), pp. 141-153.</w:t>
      </w:r>
    </w:p>
    <w:p>
      <w:pPr>
        <w:pStyle w:val="Body"/>
        <w:spacing w:before="200" w:after="20" w:line="360" w:lineRule="auto"/>
      </w:pPr>
      <w:r>
        <w:rPr>
          <w:rtl w:val="0"/>
        </w:rPr>
        <w:t xml:space="preserve">Bates, M. J. (1989) </w:t>
      </w:r>
      <w:r>
        <w:rPr>
          <w:rtl w:val="1"/>
        </w:rPr>
        <w:t>‘</w:t>
      </w:r>
      <w:r>
        <w:rPr>
          <w:rtl w:val="0"/>
          <w:lang w:val="en-US"/>
        </w:rPr>
        <w:t>The Design of Browsing and Berrypicking Techniques for the Online Search Interface</w:t>
      </w:r>
      <w:r>
        <w:rPr>
          <w:rtl w:val="1"/>
        </w:rPr>
        <w:t>’</w:t>
      </w:r>
      <w:r>
        <w:rPr>
          <w:rtl w:val="0"/>
        </w:rPr>
        <w:t>,</w:t>
      </w:r>
      <w:r>
        <w:rPr>
          <w:rStyle w:val="Hyperlink.0"/>
        </w:rPr>
        <w:fldChar w:fldCharType="begin" w:fldLock="0"/>
      </w:r>
      <w:r>
        <w:rPr>
          <w:rStyle w:val="Hyperlink.0"/>
        </w:rPr>
        <w:instrText xml:space="preserve"> HYPERLINK "https://pages.gseis.ucla.edu/faculty/bates/berrypicking.html"</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"https://pages.gseis.ucla.edu/faculty/bates/berrypicking.html"</w:instrText>
      </w:r>
      <w:r>
        <w:rPr>
          <w:rStyle w:val="Hyperlink.1"/>
        </w:rPr>
        <w:fldChar w:fldCharType="separate" w:fldLock="0"/>
      </w:r>
      <w:r>
        <w:rPr>
          <w:rStyle w:val="Hyperlink.1"/>
          <w:rtl w:val="0"/>
          <w:lang w:val="en-US"/>
        </w:rPr>
        <w:t>https://pages.gseis.ucla.edu/faculty/bates/berrypicking.html</w:t>
      </w:r>
      <w:r>
        <w:rPr/>
        <w:fldChar w:fldCharType="end" w:fldLock="0"/>
      </w:r>
      <w:r>
        <w:rPr>
          <w:rStyle w:val="Hyperlink.0"/>
          <w:rtl w:val="0"/>
          <w:lang w:val="en-US"/>
        </w:rPr>
        <w:t xml:space="preserve"> (Accessed, February 15, 2023).</w:t>
      </w:r>
    </w:p>
    <w:p>
      <w:pPr>
        <w:pStyle w:val="Body"/>
        <w:spacing w:before="200" w:after="20" w:line="360" w:lineRule="auto"/>
      </w:pPr>
      <w:r>
        <w:rPr>
          <w:rStyle w:val="None"/>
          <w:shd w:val="clear" w:color="auto" w:fill="ffffff"/>
          <w:rtl w:val="0"/>
          <w:lang w:val="en-US"/>
        </w:rPr>
        <w:t xml:space="preserve">Bell, J., and Waters, S. (2018) </w:t>
      </w:r>
      <w:r>
        <w:rPr>
          <w:rStyle w:val="None"/>
          <w:i w:val="1"/>
          <w:iCs w:val="1"/>
          <w:shd w:val="clear" w:color="auto" w:fill="ffffff"/>
          <w:rtl w:val="0"/>
          <w:lang w:val="en-US"/>
        </w:rPr>
        <w:t>Doing Your Research Project : a Guide for First-Time Researchers</w:t>
      </w:r>
      <w:r>
        <w:rPr>
          <w:rStyle w:val="None"/>
          <w:shd w:val="clear" w:color="auto" w:fill="ffffff"/>
          <w:rtl w:val="0"/>
          <w:lang w:val="en-US"/>
        </w:rPr>
        <w:t>. 7th ed. London: Open University Press, McGraw-Hill Education.</w:t>
      </w:r>
    </w:p>
    <w:p>
      <w:pPr>
        <w:pStyle w:val="Body"/>
        <w:spacing w:before="200" w:after="20" w:line="360" w:lineRule="auto"/>
      </w:pPr>
      <w:r>
        <w:rPr>
          <w:rStyle w:val="Hyperlink.0"/>
          <w:rtl w:val="0"/>
          <w:lang w:val="en-US"/>
        </w:rPr>
        <w:t xml:space="preserve">Bennetts, K. S. (2013) </w:t>
      </w:r>
      <w:r>
        <w:rPr>
          <w:rStyle w:val="Hyperlink.0"/>
          <w:rtl w:val="1"/>
        </w:rPr>
        <w:t>‘</w:t>
      </w:r>
      <w:r>
        <w:rPr>
          <w:rStyle w:val="Hyperlink.0"/>
          <w:rtl w:val="0"/>
          <w:lang w:val="en-US"/>
        </w:rPr>
        <w:t>Boys</w:t>
      </w:r>
      <w:r>
        <w:rPr>
          <w:rStyle w:val="Hyperlink.0"/>
          <w:rtl w:val="1"/>
        </w:rPr>
        <w:t xml:space="preserve">’ </w:t>
      </w:r>
      <w:r>
        <w:rPr>
          <w:rStyle w:val="Hyperlink.0"/>
          <w:rtl w:val="0"/>
          <w:lang w:val="en-US"/>
        </w:rPr>
        <w:t>music? School context and middle-school boys</w:t>
      </w:r>
      <w:r>
        <w:rPr>
          <w:rStyle w:val="Hyperlink.0"/>
          <w:rtl w:val="1"/>
        </w:rPr>
        <w:t xml:space="preserve">’ </w:t>
      </w:r>
      <w:r>
        <w:rPr>
          <w:rStyle w:val="Hyperlink.0"/>
          <w:rtl w:val="0"/>
          <w:lang w:val="en-US"/>
        </w:rPr>
        <w:t>musical choices</w:t>
      </w:r>
      <w:r>
        <w:rPr>
          <w:rStyle w:val="Hyperlink.0"/>
          <w:rtl w:val="1"/>
        </w:rPr>
        <w:t>’</w:t>
      </w:r>
      <w:r>
        <w:rPr>
          <w:rStyle w:val="Hyperlink.0"/>
          <w:rtl w:val="0"/>
        </w:rPr>
        <w:t xml:space="preserve">, </w:t>
      </w:r>
      <w:r>
        <w:rPr>
          <w:rStyle w:val="None"/>
          <w:i w:val="1"/>
          <w:iCs w:val="1"/>
          <w:rtl w:val="0"/>
          <w:lang w:val="en-US"/>
        </w:rPr>
        <w:t>Music Education Research</w:t>
      </w:r>
      <w:r>
        <w:rPr>
          <w:rStyle w:val="Hyperlink.0"/>
          <w:rtl w:val="0"/>
        </w:rPr>
        <w:t>, 15(2), pp. 214-230.</w:t>
      </w:r>
    </w:p>
    <w:p>
      <w:pPr>
        <w:pStyle w:val="Body"/>
        <w:spacing w:before="200" w:after="20" w:line="360" w:lineRule="auto"/>
      </w:pPr>
      <w:r>
        <w:rPr>
          <w:rStyle w:val="Hyperlink.0"/>
          <w:rtl w:val="0"/>
        </w:rPr>
        <w:t xml:space="preserve">Collins, A. (2012) </w:t>
      </w:r>
      <w:r>
        <w:rPr>
          <w:rStyle w:val="Hyperlink.0"/>
          <w:rtl w:val="1"/>
        </w:rPr>
        <w:t>‘</w:t>
      </w:r>
      <w:r>
        <w:rPr>
          <w:rStyle w:val="Hyperlink.0"/>
          <w:rtl w:val="0"/>
          <w:lang w:val="en-US"/>
        </w:rPr>
        <w:t>Boys</w:t>
      </w:r>
      <w:r>
        <w:rPr>
          <w:rStyle w:val="Hyperlink.0"/>
          <w:rtl w:val="1"/>
        </w:rPr>
        <w:t xml:space="preserve">’ </w:t>
      </w:r>
      <w:r>
        <w:rPr>
          <w:rStyle w:val="Hyperlink.0"/>
          <w:rtl w:val="0"/>
          <w:lang w:val="en-US"/>
        </w:rPr>
        <w:t>Music Education: Using the Boys</w:t>
      </w:r>
      <w:r>
        <w:rPr>
          <w:rStyle w:val="Hyperlink.0"/>
          <w:rtl w:val="1"/>
        </w:rPr>
        <w:t xml:space="preserve">’ </w:t>
      </w:r>
      <w:r>
        <w:rPr>
          <w:rStyle w:val="Hyperlink.0"/>
          <w:rtl w:val="0"/>
          <w:lang w:val="en-US"/>
        </w:rPr>
        <w:t>Music Ecosystem Model to Better Understand Successful Teaching Practices</w:t>
      </w:r>
      <w:r>
        <w:rPr>
          <w:rStyle w:val="Hyperlink.0"/>
          <w:rtl w:val="1"/>
        </w:rPr>
        <w:t>’</w:t>
      </w:r>
      <w:r>
        <w:rPr>
          <w:rStyle w:val="Hyperlink.0"/>
          <w:rtl w:val="0"/>
        </w:rPr>
        <w:t xml:space="preserve">, </w:t>
      </w:r>
      <w:r>
        <w:rPr>
          <w:rStyle w:val="None"/>
          <w:i w:val="1"/>
          <w:iCs w:val="1"/>
          <w:rtl w:val="0"/>
          <w:lang w:val="en-US"/>
        </w:rPr>
        <w:t>TEACH Journal of Christian Education</w:t>
      </w:r>
      <w:r>
        <w:rPr>
          <w:rStyle w:val="Hyperlink.0"/>
          <w:rtl w:val="0"/>
        </w:rPr>
        <w:t>, 6(1), pp. 36-43.</w:t>
      </w:r>
    </w:p>
    <w:p>
      <w:pPr>
        <w:pStyle w:val="Body"/>
        <w:spacing w:before="200" w:after="20" w:line="360" w:lineRule="auto"/>
      </w:pPr>
      <w:r>
        <w:rPr>
          <w:rStyle w:val="Hyperlink.0"/>
          <w:rtl w:val="0"/>
          <w:lang w:val="nl-NL"/>
        </w:rPr>
        <w:t xml:space="preserve">Cooksey, JM (1977a) </w:t>
      </w:r>
      <w:r>
        <w:rPr>
          <w:rStyle w:val="Hyperlink.0"/>
          <w:rtl w:val="1"/>
        </w:rPr>
        <w:t>‘</w:t>
      </w:r>
      <w:r>
        <w:rPr>
          <w:rStyle w:val="Hyperlink.0"/>
          <w:rtl w:val="0"/>
          <w:lang w:val="en-US"/>
        </w:rPr>
        <w:t>The Development of a Contemporary, Eclectic Theory for the Training and Cultivation of the Junior High School Male Changing Voice: Part I: Existing Theories</w:t>
      </w:r>
      <w:r>
        <w:rPr>
          <w:rStyle w:val="Hyperlink.0"/>
          <w:rtl w:val="1"/>
        </w:rPr>
        <w:t>’</w:t>
      </w:r>
      <w:r>
        <w:rPr>
          <w:rStyle w:val="Hyperlink.0"/>
          <w:rtl w:val="0"/>
        </w:rPr>
        <w:t xml:space="preserve">, </w:t>
      </w:r>
      <w:r>
        <w:rPr>
          <w:rStyle w:val="None"/>
          <w:i w:val="1"/>
          <w:iCs w:val="1"/>
          <w:rtl w:val="0"/>
          <w:lang w:val="en-US"/>
        </w:rPr>
        <w:t>The Choral Journal</w:t>
      </w:r>
      <w:r>
        <w:rPr>
          <w:rStyle w:val="Hyperlink.0"/>
          <w:rtl w:val="0"/>
        </w:rPr>
        <w:t>, 18(2), pp. 5-14.</w:t>
      </w:r>
    </w:p>
    <w:p>
      <w:pPr>
        <w:pStyle w:val="Body"/>
        <w:spacing w:before="200" w:after="20" w:line="360" w:lineRule="auto"/>
      </w:pPr>
      <w:r>
        <w:rPr>
          <w:rStyle w:val="Hyperlink.0"/>
          <w:rtl w:val="0"/>
          <w:lang w:val="nl-NL"/>
        </w:rPr>
        <w:t xml:space="preserve">Cooksey, JM (1977b) </w:t>
      </w:r>
      <w:r>
        <w:rPr>
          <w:rStyle w:val="Hyperlink.0"/>
          <w:rtl w:val="1"/>
        </w:rPr>
        <w:t>‘</w:t>
      </w:r>
      <w:r>
        <w:rPr>
          <w:rStyle w:val="Hyperlink.0"/>
          <w:rtl w:val="0"/>
          <w:lang w:val="en-US"/>
        </w:rPr>
        <w:t>The Development of a Contemporary, Eclectic Theory for the Training and Cultivation of the Junior High School Male Changing Voice: Part II: Scientific and Empirical Findings: Some Tentative Solutions</w:t>
      </w:r>
      <w:r>
        <w:rPr>
          <w:rStyle w:val="Hyperlink.0"/>
          <w:rtl w:val="1"/>
        </w:rPr>
        <w:t>’</w:t>
      </w:r>
      <w:r>
        <w:rPr>
          <w:rStyle w:val="Hyperlink.0"/>
          <w:rtl w:val="0"/>
        </w:rPr>
        <w:t xml:space="preserve">, </w:t>
      </w:r>
      <w:r>
        <w:rPr>
          <w:rStyle w:val="None"/>
          <w:i w:val="1"/>
          <w:iCs w:val="1"/>
          <w:rtl w:val="0"/>
          <w:lang w:val="en-US"/>
        </w:rPr>
        <w:t>The Choral Journal</w:t>
      </w:r>
      <w:r>
        <w:rPr>
          <w:rStyle w:val="Hyperlink.0"/>
          <w:rtl w:val="0"/>
        </w:rPr>
        <w:t>, 18(3), pp. 5-16.</w:t>
      </w:r>
    </w:p>
    <w:p>
      <w:pPr>
        <w:pStyle w:val="Body"/>
        <w:spacing w:before="200" w:after="20" w:line="360" w:lineRule="auto"/>
      </w:pPr>
      <w:r>
        <w:rPr>
          <w:rStyle w:val="Hyperlink.0"/>
          <w:rtl w:val="0"/>
          <w:lang w:val="nl-NL"/>
        </w:rPr>
        <w:t xml:space="preserve">Cooksey, JM (1977c) </w:t>
      </w:r>
      <w:r>
        <w:rPr>
          <w:rStyle w:val="Hyperlink.0"/>
          <w:rtl w:val="1"/>
        </w:rPr>
        <w:t>‘</w:t>
      </w:r>
      <w:r>
        <w:rPr>
          <w:rStyle w:val="Hyperlink.0"/>
          <w:rtl w:val="0"/>
          <w:lang w:val="en-US"/>
        </w:rPr>
        <w:t>The Development of a Contemporary, Eclectic Theory for the Training and Cultivation of the Junior High School Male Changing Voice: Part III: Developing an Integrated Approach to the Care and Training of the Junior High School Changing Male Voice</w:t>
      </w:r>
      <w:r>
        <w:rPr>
          <w:rStyle w:val="Hyperlink.0"/>
          <w:rtl w:val="1"/>
        </w:rPr>
        <w:t>’</w:t>
      </w:r>
      <w:r>
        <w:rPr>
          <w:rStyle w:val="Hyperlink.0"/>
          <w:rtl w:val="0"/>
        </w:rPr>
        <w:t xml:space="preserve">, </w:t>
      </w:r>
      <w:r>
        <w:rPr>
          <w:rStyle w:val="None"/>
          <w:i w:val="1"/>
          <w:iCs w:val="1"/>
          <w:rtl w:val="0"/>
          <w:lang w:val="en-US"/>
        </w:rPr>
        <w:t>The Choral Journal</w:t>
      </w:r>
      <w:r>
        <w:rPr>
          <w:rStyle w:val="Hyperlink.0"/>
          <w:rtl w:val="0"/>
        </w:rPr>
        <w:t>, 18(4), pp. 5-15.</w:t>
      </w:r>
    </w:p>
    <w:p>
      <w:pPr>
        <w:pStyle w:val="Body"/>
        <w:spacing w:before="200" w:after="20" w:line="360" w:lineRule="auto"/>
      </w:pPr>
      <w:r>
        <w:rPr>
          <w:rStyle w:val="Hyperlink.0"/>
          <w:rtl w:val="0"/>
        </w:rPr>
        <w:t xml:space="preserve">Cooksey, JM (1978) </w:t>
      </w:r>
      <w:r>
        <w:rPr>
          <w:rStyle w:val="Hyperlink.0"/>
          <w:rtl w:val="1"/>
        </w:rPr>
        <w:t>‘</w:t>
      </w:r>
      <w:r>
        <w:rPr>
          <w:rStyle w:val="Hyperlink.0"/>
          <w:rtl w:val="0"/>
          <w:lang w:val="en-US"/>
        </w:rPr>
        <w:t>The Development of a Contemporary, Eclectic Theory for the Training and Cultivation of the Junior High School Male Changing Voice: Part IV: Selecting Music for the Junior High School Male Changing Voice</w:t>
      </w:r>
      <w:r>
        <w:rPr>
          <w:rStyle w:val="Hyperlink.0"/>
          <w:rtl w:val="1"/>
        </w:rPr>
        <w:t>’</w:t>
      </w:r>
      <w:r>
        <w:rPr>
          <w:rStyle w:val="Hyperlink.0"/>
          <w:rtl w:val="0"/>
        </w:rPr>
        <w:t xml:space="preserve">, </w:t>
      </w:r>
      <w:r>
        <w:rPr>
          <w:rStyle w:val="None"/>
          <w:i w:val="1"/>
          <w:iCs w:val="1"/>
          <w:rtl w:val="0"/>
          <w:lang w:val="en-US"/>
        </w:rPr>
        <w:t>The Choral Journal</w:t>
      </w:r>
      <w:r>
        <w:rPr>
          <w:rStyle w:val="Hyperlink.0"/>
          <w:rtl w:val="0"/>
        </w:rPr>
        <w:t>, 18(5), pp. 5-18.</w:t>
      </w:r>
    </w:p>
    <w:p>
      <w:pPr>
        <w:pStyle w:val="Body"/>
        <w:spacing w:before="200" w:after="20" w:line="360" w:lineRule="auto"/>
      </w:pPr>
      <w:r>
        <w:rPr>
          <w:rStyle w:val="Hyperlink.0"/>
          <w:rtl w:val="0"/>
        </w:rPr>
        <w:t xml:space="preserve">Cooksey, JM (1999) </w:t>
      </w:r>
      <w:r>
        <w:rPr>
          <w:rStyle w:val="None"/>
          <w:i w:val="1"/>
          <w:iCs w:val="1"/>
          <w:rtl w:val="0"/>
          <w:lang w:val="en-US"/>
        </w:rPr>
        <w:t>Working with Adolescent Voices</w:t>
      </w:r>
      <w:r>
        <w:rPr>
          <w:rStyle w:val="Hyperlink.0"/>
          <w:rtl w:val="0"/>
          <w:lang w:val="en-US"/>
        </w:rPr>
        <w:t>, 2nd ed. Concordia Publishing, St Louis, MO.</w:t>
      </w:r>
    </w:p>
    <w:p>
      <w:pPr>
        <w:pStyle w:val="Body"/>
        <w:spacing w:before="200" w:after="20" w:line="360" w:lineRule="auto"/>
      </w:pPr>
      <w:r>
        <w:rPr>
          <w:rStyle w:val="Hyperlink.0"/>
          <w:rtl w:val="0"/>
          <w:lang w:val="nl-NL"/>
        </w:rPr>
        <w:t xml:space="preserve">Cooksey, JM (2000a) </w:t>
      </w:r>
      <w:r>
        <w:rPr>
          <w:rStyle w:val="Hyperlink.0"/>
          <w:rtl w:val="1"/>
        </w:rPr>
        <w:t>‘</w:t>
      </w:r>
      <w:r>
        <w:rPr>
          <w:rStyle w:val="Hyperlink.0"/>
          <w:rtl w:val="0"/>
          <w:lang w:val="en-US"/>
        </w:rPr>
        <w:t>Voice Transformation in Male Adolescents</w:t>
      </w:r>
      <w:r>
        <w:rPr>
          <w:rStyle w:val="Hyperlink.0"/>
          <w:rtl w:val="1"/>
        </w:rPr>
        <w:t xml:space="preserve">’ </w:t>
      </w:r>
      <w:r>
        <w:rPr>
          <w:rStyle w:val="Hyperlink.0"/>
          <w:rtl w:val="0"/>
          <w:lang w:val="en-US"/>
        </w:rPr>
        <w:t xml:space="preserve">in Thurman L &amp; Welch, G (Eds.) </w:t>
      </w:r>
      <w:r>
        <w:rPr>
          <w:rStyle w:val="None"/>
          <w:i w:val="1"/>
          <w:iCs w:val="1"/>
          <w:rtl w:val="0"/>
          <w:lang w:val="en-US"/>
        </w:rPr>
        <w:t xml:space="preserve">Bodymind &amp; Voice, </w:t>
      </w:r>
      <w:r>
        <w:rPr>
          <w:rStyle w:val="Hyperlink.0"/>
          <w:rtl w:val="0"/>
          <w:lang w:val="en-US"/>
        </w:rPr>
        <w:t xml:space="preserve">Foundations of Voice Education, The VoiceCare Network, National Centre for Voice and Speech, www.voicecarenetwork.org. </w:t>
      </w:r>
    </w:p>
    <w:p>
      <w:pPr>
        <w:pStyle w:val="Body"/>
        <w:spacing w:before="200" w:after="20" w:line="360" w:lineRule="auto"/>
      </w:pPr>
      <w:r>
        <w:rPr>
          <w:rStyle w:val="Hyperlink.0"/>
          <w:rtl w:val="0"/>
          <w:lang w:val="nl-NL"/>
        </w:rPr>
        <w:t xml:space="preserve">Cooksey, JM (2000b) </w:t>
      </w:r>
      <w:r>
        <w:rPr>
          <w:rStyle w:val="Hyperlink.0"/>
          <w:rtl w:val="1"/>
        </w:rPr>
        <w:t>‘</w:t>
      </w:r>
      <w:r>
        <w:rPr>
          <w:rStyle w:val="Hyperlink.0"/>
          <w:rtl w:val="0"/>
          <w:lang w:val="en-US"/>
        </w:rPr>
        <w:t>Male Adolescent Transforming Voices: Voice Classification, Voice Skill Development, and Music Literature Selection</w:t>
      </w:r>
      <w:r>
        <w:rPr>
          <w:rStyle w:val="Hyperlink.0"/>
          <w:rtl w:val="1"/>
        </w:rPr>
        <w:t xml:space="preserve">’ </w:t>
      </w:r>
      <w:r>
        <w:rPr>
          <w:rStyle w:val="Hyperlink.0"/>
          <w:rtl w:val="0"/>
          <w:lang w:val="en-US"/>
        </w:rPr>
        <w:t xml:space="preserve">in Thurman L &amp; Welch, G (Eds.) </w:t>
      </w:r>
      <w:r>
        <w:rPr>
          <w:rStyle w:val="None"/>
          <w:i w:val="1"/>
          <w:iCs w:val="1"/>
          <w:rtl w:val="0"/>
          <w:lang w:val="en-US"/>
        </w:rPr>
        <w:t xml:space="preserve">Bodymind &amp; Voice, </w:t>
      </w:r>
      <w:r>
        <w:rPr>
          <w:rStyle w:val="Hyperlink.0"/>
          <w:rtl w:val="0"/>
          <w:lang w:val="en-US"/>
        </w:rPr>
        <w:t>Foundations of Voice Education, The VoiceCare Network, National Centre for Voice and Speech, www.voicecarenetwork.org.</w:t>
      </w:r>
    </w:p>
    <w:p>
      <w:pPr>
        <w:pStyle w:val="Body"/>
        <w:spacing w:before="200" w:after="20" w:line="360" w:lineRule="auto"/>
        <w:rPr>
          <w:rStyle w:val="None"/>
          <w:shd w:val="clear" w:color="auto" w:fill="ffffff"/>
        </w:rPr>
      </w:pPr>
      <w:r>
        <w:rPr>
          <w:rStyle w:val="None"/>
          <w:shd w:val="clear" w:color="auto" w:fill="ffffff"/>
          <w:rtl w:val="0"/>
          <w:lang w:val="de-DE"/>
        </w:rPr>
        <w:t xml:space="preserve">Creswell, J.W. (2014) </w:t>
      </w:r>
      <w:r>
        <w:rPr>
          <w:rStyle w:val="None"/>
          <w:i w:val="1"/>
          <w:iCs w:val="1"/>
          <w:shd w:val="clear" w:color="auto" w:fill="ffffff"/>
          <w:rtl w:val="0"/>
          <w:lang w:val="en-US"/>
        </w:rPr>
        <w:t xml:space="preserve">Research design: qualitative, quantitative, and mixed methods approaches. </w:t>
      </w:r>
      <w:r>
        <w:rPr>
          <w:rStyle w:val="None"/>
          <w:shd w:val="clear" w:color="auto" w:fill="ffffff"/>
          <w:rtl w:val="0"/>
          <w:lang w:val="en-US"/>
        </w:rPr>
        <w:t>4th ed. Los Angeles: Sage.</w:t>
      </w:r>
    </w:p>
    <w:p>
      <w:pPr>
        <w:pStyle w:val="Body"/>
        <w:spacing w:before="200" w:after="20" w:line="360" w:lineRule="auto"/>
      </w:pPr>
      <w:r>
        <w:rPr>
          <w:rStyle w:val="Hyperlink.0"/>
          <w:rtl w:val="0"/>
          <w:lang w:val="it-IT"/>
        </w:rPr>
        <w:t xml:space="preserve">Crocker, E. (2000) </w:t>
      </w:r>
      <w:r>
        <w:rPr>
          <w:rStyle w:val="Hyperlink.0"/>
          <w:rtl w:val="1"/>
        </w:rPr>
        <w:t>‘</w:t>
      </w:r>
      <w:r>
        <w:rPr>
          <w:rStyle w:val="Hyperlink.0"/>
          <w:rtl w:val="0"/>
          <w:lang w:val="en-US"/>
        </w:rPr>
        <w:t>Choosing Music for Middle School Choir</w:t>
      </w:r>
      <w:r>
        <w:rPr>
          <w:rStyle w:val="Hyperlink.0"/>
          <w:rtl w:val="1"/>
        </w:rPr>
        <w:t>’</w:t>
      </w:r>
      <w:r>
        <w:rPr>
          <w:rStyle w:val="Hyperlink.0"/>
          <w:rtl w:val="0"/>
        </w:rPr>
        <w:t xml:space="preserve">, </w:t>
      </w:r>
      <w:r>
        <w:rPr>
          <w:rStyle w:val="None"/>
          <w:i w:val="1"/>
          <w:iCs w:val="1"/>
          <w:rtl w:val="0"/>
          <w:lang w:val="en-US"/>
        </w:rPr>
        <w:t>Music Educators Journal</w:t>
      </w:r>
      <w:r>
        <w:rPr>
          <w:rStyle w:val="Hyperlink.0"/>
          <w:rtl w:val="0"/>
        </w:rPr>
        <w:t>, 84(4), pp. 33-37.</w:t>
      </w:r>
    </w:p>
    <w:p>
      <w:pPr>
        <w:pStyle w:val="Body"/>
        <w:spacing w:before="200" w:after="20" w:line="360" w:lineRule="auto"/>
      </w:pPr>
      <w:r>
        <w:rPr>
          <w:rStyle w:val="Hyperlink.0"/>
          <w:rtl w:val="0"/>
          <w:lang w:val="en-US"/>
        </w:rPr>
        <w:t xml:space="preserve">Delzell, J. K., &amp; Leppla, D. A. (1992). Gender association of musical instruments and preferences of fourth- grade students for selected instruments. </w:t>
      </w:r>
      <w:r>
        <w:rPr>
          <w:rStyle w:val="None"/>
          <w:i w:val="1"/>
          <w:iCs w:val="1"/>
          <w:rtl w:val="0"/>
          <w:lang w:val="en-US"/>
        </w:rPr>
        <w:t>Journal of Research in Music Education</w:t>
      </w:r>
      <w:r>
        <w:rPr>
          <w:rStyle w:val="Hyperlink.0"/>
          <w:rtl w:val="0"/>
        </w:rPr>
        <w:t xml:space="preserve">, </w:t>
      </w:r>
      <w:r>
        <w:rPr>
          <w:rStyle w:val="None"/>
          <w:i w:val="1"/>
          <w:iCs w:val="1"/>
          <w:rtl w:val="0"/>
        </w:rPr>
        <w:t>40</w:t>
      </w:r>
      <w:r>
        <w:rPr>
          <w:rStyle w:val="Hyperlink.0"/>
          <w:rtl w:val="0"/>
        </w:rPr>
        <w:t>, 93</w:t>
      </w:r>
      <w:r>
        <w:rPr>
          <w:rStyle w:val="Hyperlink.0"/>
          <w:rtl w:val="0"/>
        </w:rPr>
        <w:t>–</w:t>
      </w:r>
      <w:r>
        <w:rPr>
          <w:rStyle w:val="Hyperlink.0"/>
          <w:rtl w:val="0"/>
        </w:rPr>
        <w:t xml:space="preserve">103. </w:t>
      </w:r>
    </w:p>
    <w:p>
      <w:pPr>
        <w:pStyle w:val="Body"/>
        <w:spacing w:before="200" w:after="20" w:line="360" w:lineRule="auto"/>
      </w:pPr>
      <w:r>
        <w:rPr>
          <w:rStyle w:val="Hyperlink.0"/>
          <w:rtl w:val="0"/>
          <w:lang w:val="pt-PT"/>
        </w:rPr>
        <w:t xml:space="preserve">Demorest, S. M. (2000) </w:t>
      </w:r>
      <w:r>
        <w:rPr>
          <w:rStyle w:val="Hyperlink.0"/>
          <w:rtl w:val="1"/>
        </w:rPr>
        <w:t>‘</w:t>
      </w:r>
      <w:r>
        <w:rPr>
          <w:rStyle w:val="Hyperlink.0"/>
          <w:rtl w:val="0"/>
          <w:lang w:val="en-US"/>
        </w:rPr>
        <w:t>Encouraging Male Participation in Chorus</w:t>
      </w:r>
      <w:r>
        <w:rPr>
          <w:rStyle w:val="Hyperlink.0"/>
          <w:rtl w:val="1"/>
        </w:rPr>
        <w:t>’</w:t>
      </w:r>
      <w:r>
        <w:rPr>
          <w:rStyle w:val="Hyperlink.0"/>
          <w:rtl w:val="0"/>
        </w:rPr>
        <w:t xml:space="preserve">, </w:t>
      </w:r>
      <w:r>
        <w:rPr>
          <w:rStyle w:val="None"/>
          <w:i w:val="1"/>
          <w:iCs w:val="1"/>
          <w:rtl w:val="0"/>
          <w:lang w:val="en-US"/>
        </w:rPr>
        <w:t>Music Educators Journal</w:t>
      </w:r>
      <w:r>
        <w:rPr>
          <w:rStyle w:val="Hyperlink.0"/>
          <w:rtl w:val="0"/>
        </w:rPr>
        <w:t>, 86(4), pp. 38-41.</w:t>
      </w:r>
    </w:p>
    <w:p>
      <w:pPr>
        <w:pStyle w:val="Body"/>
        <w:spacing w:before="200" w:after="20" w:line="360" w:lineRule="auto"/>
      </w:pPr>
      <w:r>
        <w:rPr>
          <w:rStyle w:val="Hyperlink.0"/>
          <w:rtl w:val="0"/>
        </w:rPr>
        <w:t xml:space="preserve">Elorriaga, A. (2011) </w:t>
      </w:r>
      <w:r>
        <w:rPr>
          <w:rStyle w:val="Hyperlink.0"/>
          <w:rtl w:val="1"/>
        </w:rPr>
        <w:t>‘</w:t>
      </w:r>
      <w:r>
        <w:rPr>
          <w:rStyle w:val="Hyperlink.0"/>
          <w:rtl w:val="0"/>
          <w:lang w:val="en-US"/>
        </w:rPr>
        <w:t>The construction of male gender identity through choir singing at a Spanish secondary school</w:t>
      </w:r>
      <w:r>
        <w:rPr>
          <w:rStyle w:val="Hyperlink.0"/>
          <w:rtl w:val="1"/>
        </w:rPr>
        <w:t>’</w:t>
      </w:r>
      <w:r>
        <w:rPr>
          <w:rStyle w:val="Hyperlink.0"/>
          <w:rtl w:val="0"/>
        </w:rPr>
        <w:t xml:space="preserve">, </w:t>
      </w:r>
      <w:r>
        <w:rPr>
          <w:rStyle w:val="None"/>
          <w:i w:val="1"/>
          <w:iCs w:val="1"/>
          <w:rtl w:val="0"/>
          <w:lang w:val="en-US"/>
        </w:rPr>
        <w:t>International Journal of Music Education</w:t>
      </w:r>
      <w:r>
        <w:rPr>
          <w:rStyle w:val="Hyperlink.0"/>
          <w:rtl w:val="0"/>
        </w:rPr>
        <w:t>, 29(4), pp. 318-332.</w:t>
      </w:r>
    </w:p>
    <w:p>
      <w:pPr>
        <w:pStyle w:val="Body"/>
        <w:spacing w:before="200" w:after="20" w:line="360" w:lineRule="auto"/>
      </w:pPr>
      <w:r>
        <w:rPr>
          <w:rStyle w:val="Hyperlink.0"/>
          <w:rtl w:val="0"/>
        </w:rPr>
        <w:t xml:space="preserve">Elpus, K. (2015) </w:t>
      </w:r>
      <w:r>
        <w:rPr>
          <w:rStyle w:val="Hyperlink.0"/>
          <w:rtl w:val="1"/>
        </w:rPr>
        <w:t>‘</w:t>
      </w:r>
      <w:r>
        <w:rPr>
          <w:rStyle w:val="Hyperlink.0"/>
          <w:rtl w:val="0"/>
          <w:lang w:val="en-US"/>
        </w:rPr>
        <w:t>National estimates of male and female enrolment in American high school choirs, bands and orchestras</w:t>
      </w:r>
      <w:r>
        <w:rPr>
          <w:rStyle w:val="Hyperlink.0"/>
          <w:rtl w:val="1"/>
        </w:rPr>
        <w:t>’</w:t>
      </w:r>
      <w:r>
        <w:rPr>
          <w:rStyle w:val="Hyperlink.0"/>
          <w:rtl w:val="0"/>
        </w:rPr>
        <w:t xml:space="preserve">, </w:t>
      </w:r>
      <w:r>
        <w:rPr>
          <w:rStyle w:val="None"/>
          <w:i w:val="1"/>
          <w:iCs w:val="1"/>
          <w:rtl w:val="0"/>
          <w:lang w:val="en-US"/>
        </w:rPr>
        <w:t>Music Education Research</w:t>
      </w:r>
      <w:r>
        <w:rPr>
          <w:rStyle w:val="Hyperlink.0"/>
          <w:rtl w:val="0"/>
        </w:rPr>
        <w:t xml:space="preserve">, 17(1), pp. 88-102. </w:t>
      </w:r>
    </w:p>
    <w:p>
      <w:pPr>
        <w:pStyle w:val="Body"/>
        <w:spacing w:before="200" w:after="20" w:line="360" w:lineRule="auto"/>
      </w:pPr>
      <w:r>
        <w:rPr>
          <w:rStyle w:val="Hyperlink.0"/>
          <w:rtl w:val="0"/>
        </w:rPr>
        <w:t xml:space="preserve">Fisher, R. A. (2014) </w:t>
      </w:r>
      <w:r>
        <w:rPr>
          <w:rStyle w:val="Hyperlink.0"/>
          <w:rtl w:val="1"/>
        </w:rPr>
        <w:t>‘</w:t>
      </w:r>
      <w:r>
        <w:rPr>
          <w:rStyle w:val="Hyperlink.0"/>
          <w:rtl w:val="0"/>
          <w:lang w:val="en-US"/>
        </w:rPr>
        <w:t>The Impacts of the Voice Change, Grade Level, and Experience on the Singing Self-Efficacy of Emerging Adolescent Males</w:t>
      </w:r>
      <w:r>
        <w:rPr>
          <w:rStyle w:val="Hyperlink.0"/>
          <w:rtl w:val="1"/>
        </w:rPr>
        <w:t>’</w:t>
      </w:r>
      <w:r>
        <w:rPr>
          <w:rStyle w:val="Hyperlink.0"/>
          <w:rtl w:val="0"/>
        </w:rPr>
        <w:t xml:space="preserve">, </w:t>
      </w:r>
      <w:r>
        <w:rPr>
          <w:rStyle w:val="None"/>
          <w:i w:val="1"/>
          <w:iCs w:val="1"/>
          <w:rtl w:val="0"/>
          <w:lang w:val="en-US"/>
        </w:rPr>
        <w:t>Journal of Research in Music Education</w:t>
      </w:r>
      <w:r>
        <w:rPr>
          <w:rStyle w:val="Hyperlink.0"/>
          <w:rtl w:val="0"/>
        </w:rPr>
        <w:t xml:space="preserve">, 62(3), pp. 277-290. </w:t>
      </w:r>
    </w:p>
    <w:p>
      <w:pPr>
        <w:pStyle w:val="Body"/>
        <w:spacing w:before="200" w:after="20" w:line="360" w:lineRule="auto"/>
      </w:pPr>
      <w:r>
        <w:rPr>
          <w:rStyle w:val="Hyperlink.0"/>
          <w:rtl w:val="0"/>
        </w:rPr>
        <w:t xml:space="preserve">Freer, P. K. (2006) </w:t>
      </w:r>
      <w:r>
        <w:rPr>
          <w:rStyle w:val="Hyperlink.0"/>
          <w:rtl w:val="1"/>
        </w:rPr>
        <w:t>‘</w:t>
      </w:r>
      <w:r>
        <w:rPr>
          <w:rStyle w:val="Hyperlink.0"/>
          <w:rtl w:val="0"/>
          <w:lang w:val="en-US"/>
        </w:rPr>
        <w:t>Hearing the Voices of Adolescent Boys in Choral Music: A Self-Story</w:t>
      </w:r>
      <w:r>
        <w:rPr>
          <w:rStyle w:val="Hyperlink.0"/>
          <w:rtl w:val="1"/>
        </w:rPr>
        <w:t>’</w:t>
      </w:r>
      <w:r>
        <w:rPr>
          <w:rStyle w:val="Hyperlink.0"/>
          <w:rtl w:val="0"/>
        </w:rPr>
        <w:t xml:space="preserve">, </w:t>
      </w:r>
      <w:r>
        <w:rPr>
          <w:rStyle w:val="None"/>
          <w:i w:val="1"/>
          <w:iCs w:val="1"/>
          <w:rtl w:val="0"/>
          <w:lang w:val="en-US"/>
        </w:rPr>
        <w:t>Research Studies in Music Education</w:t>
      </w:r>
      <w:r>
        <w:rPr>
          <w:rStyle w:val="Hyperlink.0"/>
          <w:rtl w:val="0"/>
        </w:rPr>
        <w:t>, 27, pp. 69-81.</w:t>
      </w:r>
    </w:p>
    <w:p>
      <w:pPr>
        <w:pStyle w:val="Body"/>
        <w:spacing w:before="200" w:after="20" w:line="360" w:lineRule="auto"/>
      </w:pPr>
      <w:r>
        <w:rPr>
          <w:rStyle w:val="Hyperlink.0"/>
          <w:rtl w:val="0"/>
        </w:rPr>
        <w:t xml:space="preserve">Freer, P. K. (2007) </w:t>
      </w:r>
      <w:r>
        <w:rPr>
          <w:rStyle w:val="Hyperlink.0"/>
          <w:rtl w:val="1"/>
        </w:rPr>
        <w:t>‘</w:t>
      </w:r>
      <w:r>
        <w:rPr>
          <w:rStyle w:val="Hyperlink.0"/>
          <w:rtl w:val="0"/>
          <w:lang w:val="en-US"/>
        </w:rPr>
        <w:t>Between research and practice: How choral music loses boys in the middle</w:t>
      </w:r>
      <w:r>
        <w:rPr>
          <w:rStyle w:val="Hyperlink.0"/>
          <w:rtl w:val="1"/>
        </w:rPr>
        <w:t>’</w:t>
      </w:r>
      <w:r>
        <w:rPr>
          <w:rStyle w:val="Hyperlink.0"/>
          <w:rtl w:val="0"/>
        </w:rPr>
        <w:t xml:space="preserve">, </w:t>
      </w:r>
      <w:r>
        <w:rPr>
          <w:rStyle w:val="None"/>
          <w:i w:val="1"/>
          <w:iCs w:val="1"/>
          <w:rtl w:val="0"/>
          <w:lang w:val="en-US"/>
        </w:rPr>
        <w:t>Music Educators Journal</w:t>
      </w:r>
      <w:r>
        <w:rPr>
          <w:rStyle w:val="Hyperlink.0"/>
          <w:rtl w:val="0"/>
        </w:rPr>
        <w:t>, 94(2), pp. 28-34.</w:t>
      </w:r>
    </w:p>
    <w:p>
      <w:pPr>
        <w:pStyle w:val="Body"/>
        <w:spacing w:before="200" w:after="20" w:line="360" w:lineRule="auto"/>
      </w:pPr>
      <w:r>
        <w:rPr>
          <w:rStyle w:val="Hyperlink.0"/>
          <w:rtl w:val="0"/>
          <w:lang w:val="nl-NL"/>
        </w:rPr>
        <w:t xml:space="preserve">Freer, P. K. (2009a) </w:t>
      </w:r>
      <w:r>
        <w:rPr>
          <w:rStyle w:val="Hyperlink.0"/>
          <w:rtl w:val="1"/>
        </w:rPr>
        <w:t>‘</w:t>
      </w:r>
      <w:r>
        <w:rPr>
          <w:rStyle w:val="Hyperlink.0"/>
          <w:rtl w:val="0"/>
        </w:rPr>
        <w:t>I</w:t>
      </w:r>
      <w:r>
        <w:rPr>
          <w:rStyle w:val="Hyperlink.0"/>
          <w:rtl w:val="1"/>
        </w:rPr>
        <w:t>’</w:t>
      </w:r>
      <w:r>
        <w:rPr>
          <w:rStyle w:val="Hyperlink.0"/>
          <w:rtl w:val="0"/>
          <w:lang w:val="en-US"/>
        </w:rPr>
        <w:t>ll sing with my buddies: Fostering the possible selves of male choral singers</w:t>
      </w:r>
      <w:r>
        <w:rPr>
          <w:rStyle w:val="Hyperlink.0"/>
          <w:rtl w:val="1"/>
        </w:rPr>
        <w:t>’</w:t>
      </w:r>
      <w:r>
        <w:rPr>
          <w:rStyle w:val="Hyperlink.0"/>
          <w:rtl w:val="0"/>
        </w:rPr>
        <w:t xml:space="preserve">, </w:t>
      </w:r>
      <w:r>
        <w:rPr>
          <w:rStyle w:val="None"/>
          <w:i w:val="1"/>
          <w:iCs w:val="1"/>
          <w:rtl w:val="0"/>
          <w:lang w:val="en-US"/>
        </w:rPr>
        <w:t>International Journal of Music Education</w:t>
      </w:r>
      <w:r>
        <w:rPr>
          <w:rStyle w:val="Hyperlink.0"/>
          <w:rtl w:val="0"/>
        </w:rPr>
        <w:t>, 27(4), pp. 341-355</w:t>
      </w:r>
    </w:p>
    <w:p>
      <w:pPr>
        <w:pStyle w:val="Body"/>
        <w:spacing w:before="200" w:after="20" w:line="360" w:lineRule="auto"/>
      </w:pPr>
      <w:r>
        <w:rPr>
          <w:rStyle w:val="Hyperlink.0"/>
          <w:rtl w:val="0"/>
          <w:lang w:val="nl-NL"/>
        </w:rPr>
        <w:t xml:space="preserve">Freer, P. K. (2009b) </w:t>
      </w:r>
      <w:r>
        <w:rPr>
          <w:rStyle w:val="Hyperlink.0"/>
          <w:rtl w:val="1"/>
        </w:rPr>
        <w:t>‘</w:t>
      </w:r>
      <w:r>
        <w:rPr>
          <w:rStyle w:val="Hyperlink.0"/>
          <w:rtl w:val="0"/>
          <w:lang w:val="en-US"/>
        </w:rPr>
        <w:t>Boys</w:t>
      </w:r>
      <w:r>
        <w:rPr>
          <w:rStyle w:val="Hyperlink.0"/>
          <w:rtl w:val="1"/>
        </w:rPr>
        <w:t xml:space="preserve">’ </w:t>
      </w:r>
      <w:r>
        <w:rPr>
          <w:rStyle w:val="Hyperlink.0"/>
          <w:rtl w:val="0"/>
          <w:lang w:val="en-US"/>
        </w:rPr>
        <w:t>descriptions of their experiences in choral music</w:t>
      </w:r>
      <w:r>
        <w:rPr>
          <w:rStyle w:val="Hyperlink.0"/>
          <w:rtl w:val="1"/>
        </w:rPr>
        <w:t>’</w:t>
      </w:r>
      <w:r>
        <w:rPr>
          <w:rStyle w:val="Hyperlink.0"/>
          <w:rtl w:val="0"/>
        </w:rPr>
        <w:t xml:space="preserve">, </w:t>
      </w:r>
      <w:r>
        <w:rPr>
          <w:rStyle w:val="None"/>
          <w:i w:val="1"/>
          <w:iCs w:val="1"/>
          <w:rtl w:val="0"/>
          <w:lang w:val="en-US"/>
        </w:rPr>
        <w:t>Research Studies in Music Education</w:t>
      </w:r>
      <w:r>
        <w:rPr>
          <w:rStyle w:val="Hyperlink.0"/>
          <w:rtl w:val="0"/>
        </w:rPr>
        <w:t>, 31(2), pp. 142-160.</w:t>
      </w:r>
    </w:p>
    <w:p>
      <w:pPr>
        <w:pStyle w:val="Body"/>
        <w:spacing w:before="200" w:after="20" w:line="360" w:lineRule="auto"/>
      </w:pPr>
      <w:r>
        <w:rPr>
          <w:rStyle w:val="Hyperlink.0"/>
          <w:rtl w:val="0"/>
        </w:rPr>
        <w:t xml:space="preserve">Freer, P. K. (2010) </w:t>
      </w:r>
      <w:r>
        <w:rPr>
          <w:rStyle w:val="Hyperlink.0"/>
          <w:rtl w:val="1"/>
        </w:rPr>
        <w:t>‘</w:t>
      </w:r>
      <w:r>
        <w:rPr>
          <w:rStyle w:val="Hyperlink.0"/>
          <w:rtl w:val="0"/>
          <w:lang w:val="en-US"/>
        </w:rPr>
        <w:t xml:space="preserve">Two Decades of research on possible selves and the </w:t>
      </w:r>
      <w:r>
        <w:rPr>
          <w:rStyle w:val="Hyperlink.0"/>
          <w:rtl w:val="1"/>
        </w:rPr>
        <w:t>‘</w:t>
      </w:r>
      <w:r>
        <w:rPr>
          <w:rStyle w:val="Hyperlink.0"/>
          <w:rtl w:val="0"/>
          <w:lang w:val="en-US"/>
        </w:rPr>
        <w:t>missing males</w:t>
      </w:r>
      <w:r>
        <w:rPr>
          <w:rStyle w:val="Hyperlink.0"/>
          <w:rtl w:val="1"/>
        </w:rPr>
        <w:t xml:space="preserve">’ </w:t>
      </w:r>
      <w:r>
        <w:rPr>
          <w:rStyle w:val="Hyperlink.0"/>
          <w:rtl w:val="0"/>
          <w:lang w:val="en-US"/>
        </w:rPr>
        <w:t>problem in choral music</w:t>
      </w:r>
      <w:r>
        <w:rPr>
          <w:rStyle w:val="Hyperlink.0"/>
          <w:rtl w:val="1"/>
        </w:rPr>
        <w:t>’</w:t>
      </w:r>
      <w:r>
        <w:rPr>
          <w:rStyle w:val="Hyperlink.0"/>
          <w:rtl w:val="0"/>
        </w:rPr>
        <w:t>,</w:t>
      </w:r>
      <w:r>
        <w:rPr>
          <w:rStyle w:val="None"/>
          <w:i w:val="1"/>
          <w:iCs w:val="1"/>
          <w:rtl w:val="0"/>
          <w:lang w:val="en-US"/>
        </w:rPr>
        <w:t xml:space="preserve"> International Journal of Music Education</w:t>
      </w:r>
      <w:r>
        <w:rPr>
          <w:rStyle w:val="Hyperlink.0"/>
          <w:rtl w:val="0"/>
        </w:rPr>
        <w:t>, 28(1), pp. 17-30.</w:t>
      </w:r>
    </w:p>
    <w:p>
      <w:pPr>
        <w:pStyle w:val="Body"/>
        <w:spacing w:before="200" w:after="20" w:line="360" w:lineRule="auto"/>
      </w:pPr>
      <w:r>
        <w:rPr>
          <w:rStyle w:val="Hyperlink.0"/>
          <w:rtl w:val="0"/>
        </w:rPr>
        <w:t xml:space="preserve">Freer, P. K. (2012) </w:t>
      </w:r>
      <w:r>
        <w:rPr>
          <w:rStyle w:val="Hyperlink.0"/>
          <w:rtl w:val="1"/>
        </w:rPr>
        <w:t>‘</w:t>
      </w:r>
      <w:r>
        <w:rPr>
          <w:rStyle w:val="Hyperlink.0"/>
          <w:rtl w:val="0"/>
          <w:lang w:val="en-US"/>
        </w:rPr>
        <w:t>The Successful Transition and Retention of Boys from Middle School to High School Choral Music</w:t>
      </w:r>
      <w:r>
        <w:rPr>
          <w:rStyle w:val="Hyperlink.0"/>
          <w:rtl w:val="1"/>
        </w:rPr>
        <w:t>’</w:t>
      </w:r>
      <w:r>
        <w:rPr>
          <w:rStyle w:val="Hyperlink.0"/>
          <w:rtl w:val="0"/>
        </w:rPr>
        <w:t xml:space="preserve">, </w:t>
      </w:r>
      <w:r>
        <w:rPr>
          <w:rStyle w:val="None"/>
          <w:i w:val="1"/>
          <w:iCs w:val="1"/>
          <w:rtl w:val="0"/>
          <w:lang w:val="en-US"/>
        </w:rPr>
        <w:t>The Choral Journal</w:t>
      </w:r>
      <w:r>
        <w:rPr>
          <w:rStyle w:val="Hyperlink.0"/>
          <w:rtl w:val="0"/>
        </w:rPr>
        <w:t>, 52(10) pp. 8-17.</w:t>
      </w:r>
    </w:p>
    <w:p>
      <w:pPr>
        <w:pStyle w:val="Body"/>
        <w:spacing w:before="200" w:after="20" w:line="360" w:lineRule="auto"/>
      </w:pPr>
      <w:r>
        <w:rPr>
          <w:rStyle w:val="Hyperlink.0"/>
          <w:rtl w:val="0"/>
        </w:rPr>
        <w:t xml:space="preserve">Freer, P. K. (2015) </w:t>
      </w:r>
      <w:r>
        <w:rPr>
          <w:rStyle w:val="Hyperlink.0"/>
          <w:rtl w:val="1"/>
        </w:rPr>
        <w:t>‘</w:t>
      </w:r>
      <w:r>
        <w:rPr>
          <w:rStyle w:val="Hyperlink.0"/>
          <w:rtl w:val="0"/>
          <w:lang w:val="en-US"/>
        </w:rPr>
        <w:t>Perspectives of European boys about their voice change and school choral singing: developing the possible selves of male singers</w:t>
      </w:r>
      <w:r>
        <w:rPr>
          <w:rStyle w:val="Hyperlink.0"/>
          <w:rtl w:val="1"/>
        </w:rPr>
        <w:t>’</w:t>
      </w:r>
      <w:r>
        <w:rPr>
          <w:rStyle w:val="Hyperlink.0"/>
          <w:rtl w:val="0"/>
        </w:rPr>
        <w:t xml:space="preserve">, </w:t>
      </w:r>
      <w:r>
        <w:rPr>
          <w:rStyle w:val="None"/>
          <w:i w:val="1"/>
          <w:iCs w:val="1"/>
          <w:rtl w:val="0"/>
          <w:lang w:val="en-US"/>
        </w:rPr>
        <w:t>British Journal of Music Education</w:t>
      </w:r>
      <w:r>
        <w:rPr>
          <w:rStyle w:val="Hyperlink.0"/>
          <w:rtl w:val="0"/>
        </w:rPr>
        <w:t>, 32(1), pp. 87-106.</w:t>
      </w:r>
    </w:p>
    <w:p>
      <w:pPr>
        <w:pStyle w:val="Body"/>
        <w:spacing w:before="200" w:after="20" w:line="360" w:lineRule="auto"/>
      </w:pPr>
      <w:r>
        <w:rPr>
          <w:rStyle w:val="Hyperlink.0"/>
          <w:rtl w:val="0"/>
        </w:rPr>
        <w:t xml:space="preserve">Gates, T. (1989) </w:t>
      </w:r>
      <w:r>
        <w:rPr>
          <w:rStyle w:val="Hyperlink.0"/>
          <w:rtl w:val="1"/>
        </w:rPr>
        <w:t>‘</w:t>
      </w:r>
      <w:r>
        <w:rPr>
          <w:rStyle w:val="Hyperlink.0"/>
          <w:rtl w:val="0"/>
          <w:lang w:val="en-US"/>
        </w:rPr>
        <w:t>A Historical Comparison of Public Singing by American Men and Women</w:t>
      </w:r>
      <w:r>
        <w:rPr>
          <w:rStyle w:val="Hyperlink.0"/>
          <w:rtl w:val="1"/>
        </w:rPr>
        <w:t>’</w:t>
      </w:r>
      <w:r>
        <w:rPr>
          <w:rStyle w:val="Hyperlink.0"/>
          <w:rtl w:val="0"/>
        </w:rPr>
        <w:t xml:space="preserve">, </w:t>
      </w:r>
      <w:r>
        <w:rPr>
          <w:rStyle w:val="None"/>
          <w:i w:val="1"/>
          <w:iCs w:val="1"/>
          <w:rtl w:val="0"/>
          <w:lang w:val="en-US"/>
        </w:rPr>
        <w:t>Journal of Research in Music Education</w:t>
      </w:r>
      <w:r>
        <w:rPr>
          <w:rStyle w:val="Hyperlink.0"/>
          <w:rtl w:val="0"/>
        </w:rPr>
        <w:t>, 37(1), pp. 32-47.</w:t>
      </w:r>
    </w:p>
    <w:p>
      <w:pPr>
        <w:pStyle w:val="Body"/>
        <w:spacing w:before="200" w:after="20" w:line="360" w:lineRule="auto"/>
      </w:pPr>
      <w:r>
        <w:rPr>
          <w:rStyle w:val="Hyperlink.0"/>
          <w:rtl w:val="0"/>
        </w:rPr>
        <w:t xml:space="preserve">Ghaye, T (2011) </w:t>
      </w:r>
      <w:r>
        <w:rPr>
          <w:rStyle w:val="None"/>
          <w:i w:val="1"/>
          <w:iCs w:val="1"/>
          <w:rtl w:val="0"/>
          <w:lang w:val="en-US"/>
        </w:rPr>
        <w:t>Teaching and Learning through Professional Practice: A Practical Guide for Positive Action</w:t>
      </w:r>
      <w:r>
        <w:rPr>
          <w:rStyle w:val="Hyperlink.0"/>
          <w:rtl w:val="0"/>
          <w:lang w:val="en-US"/>
        </w:rPr>
        <w:t xml:space="preserve">, 2nd Ed. Oxford: David Fulton Publishers. </w:t>
      </w:r>
    </w:p>
    <w:p>
      <w:pPr>
        <w:pStyle w:val="Body"/>
        <w:spacing w:before="200" w:after="20" w:line="360" w:lineRule="auto"/>
      </w:pPr>
      <w:r>
        <w:rPr>
          <w:rStyle w:val="Hyperlink.0"/>
          <w:rtl w:val="0"/>
        </w:rPr>
        <w:t xml:space="preserve">Green, L. (1993) </w:t>
      </w:r>
      <w:r>
        <w:rPr>
          <w:rStyle w:val="Hyperlink.0"/>
          <w:rtl w:val="1"/>
        </w:rPr>
        <w:t>‘</w:t>
      </w:r>
      <w:r>
        <w:rPr>
          <w:rStyle w:val="Hyperlink.0"/>
          <w:rtl w:val="0"/>
          <w:lang w:val="en-US"/>
        </w:rPr>
        <w:t>Music, gender and education.</w:t>
      </w:r>
      <w:r>
        <w:rPr>
          <w:rStyle w:val="Hyperlink.0"/>
          <w:rtl w:val="1"/>
        </w:rPr>
        <w:t xml:space="preserve">’ </w:t>
      </w:r>
      <w:r>
        <w:rPr>
          <w:rStyle w:val="None"/>
          <w:i w:val="1"/>
          <w:iCs w:val="1"/>
          <w:rtl w:val="0"/>
          <w:lang w:val="en-US"/>
        </w:rPr>
        <w:t>British Journal of Music Education</w:t>
      </w:r>
      <w:r>
        <w:rPr>
          <w:rStyle w:val="Hyperlink.0"/>
          <w:rtl w:val="0"/>
        </w:rPr>
        <w:t xml:space="preserve">, 10, pp. 219-253. </w:t>
      </w:r>
    </w:p>
    <w:p>
      <w:pPr>
        <w:pStyle w:val="Body"/>
        <w:spacing w:before="200" w:after="20" w:line="360" w:lineRule="auto"/>
      </w:pPr>
      <w:r>
        <w:rPr>
          <w:rStyle w:val="Hyperlink.0"/>
          <w:rtl w:val="0"/>
        </w:rPr>
        <w:t xml:space="preserve">Hall, C. (2005) </w:t>
      </w:r>
      <w:r>
        <w:rPr>
          <w:rStyle w:val="Hyperlink.0"/>
          <w:rtl w:val="1"/>
        </w:rPr>
        <w:t>‘</w:t>
      </w:r>
      <w:r>
        <w:rPr>
          <w:rStyle w:val="Hyperlink.0"/>
          <w:rtl w:val="0"/>
          <w:lang w:val="en-US"/>
        </w:rPr>
        <w:t>Gender and boys</w:t>
      </w:r>
      <w:r>
        <w:rPr>
          <w:rStyle w:val="Hyperlink.0"/>
          <w:rtl w:val="1"/>
        </w:rPr>
        <w:t xml:space="preserve">’ </w:t>
      </w:r>
      <w:r>
        <w:rPr>
          <w:rStyle w:val="Hyperlink.0"/>
          <w:rtl w:val="0"/>
          <w:lang w:val="en-US"/>
        </w:rPr>
        <w:t>singing in early childhood</w:t>
      </w:r>
      <w:r>
        <w:rPr>
          <w:rStyle w:val="Hyperlink.0"/>
          <w:rtl w:val="1"/>
        </w:rPr>
        <w:t>’</w:t>
      </w:r>
      <w:r>
        <w:rPr>
          <w:rStyle w:val="Hyperlink.0"/>
          <w:rtl w:val="0"/>
        </w:rPr>
        <w:t xml:space="preserve">, </w:t>
      </w:r>
      <w:r>
        <w:rPr>
          <w:rStyle w:val="None"/>
          <w:i w:val="1"/>
          <w:iCs w:val="1"/>
          <w:rtl w:val="0"/>
          <w:lang w:val="en-US"/>
        </w:rPr>
        <w:t xml:space="preserve">British Journal of Music Education, </w:t>
      </w:r>
      <w:r>
        <w:rPr>
          <w:rStyle w:val="Hyperlink.0"/>
          <w:rtl w:val="0"/>
        </w:rPr>
        <w:t>22(1), pp. 5-20.</w:t>
      </w:r>
    </w:p>
    <w:p>
      <w:pPr>
        <w:pStyle w:val="Body"/>
        <w:spacing w:before="200" w:after="20" w:line="360" w:lineRule="auto"/>
      </w:pPr>
      <w:r>
        <w:rPr>
          <w:rStyle w:val="Hyperlink.0"/>
          <w:rtl w:val="0"/>
        </w:rPr>
        <w:t xml:space="preserve">Harrison, S. (2007) </w:t>
      </w:r>
      <w:r>
        <w:rPr>
          <w:rStyle w:val="Hyperlink.0"/>
          <w:rtl w:val="1"/>
        </w:rPr>
        <w:t>‘</w:t>
      </w:r>
      <w:r>
        <w:rPr>
          <w:rStyle w:val="Hyperlink.0"/>
          <w:rtl w:val="0"/>
          <w:lang w:val="en-US"/>
        </w:rPr>
        <w:t>The perennial problem of gendered participation in music: what</w:t>
      </w:r>
      <w:r>
        <w:rPr>
          <w:rStyle w:val="Hyperlink.0"/>
          <w:rtl w:val="1"/>
        </w:rPr>
        <w:t>’</w:t>
      </w:r>
      <w:r>
        <w:rPr>
          <w:rStyle w:val="Hyperlink.0"/>
          <w:rtl w:val="0"/>
          <w:lang w:val="en-US"/>
        </w:rPr>
        <w:t>s happening to the boys?</w:t>
      </w:r>
      <w:r>
        <w:rPr>
          <w:rStyle w:val="Hyperlink.0"/>
          <w:rtl w:val="1"/>
        </w:rPr>
        <w:t>’</w:t>
      </w:r>
      <w:r>
        <w:rPr>
          <w:rStyle w:val="Hyperlink.0"/>
          <w:rtl w:val="0"/>
        </w:rPr>
        <w:t xml:space="preserve">, </w:t>
      </w:r>
      <w:r>
        <w:rPr>
          <w:rStyle w:val="None"/>
          <w:i w:val="1"/>
          <w:iCs w:val="1"/>
          <w:rtl w:val="0"/>
          <w:lang w:val="en-US"/>
        </w:rPr>
        <w:t>British Journal of Music Education</w:t>
      </w:r>
      <w:r>
        <w:rPr>
          <w:rStyle w:val="Hyperlink.0"/>
          <w:rtl w:val="0"/>
        </w:rPr>
        <w:t>, 24(3), pp. 267-280.</w:t>
      </w:r>
    </w:p>
    <w:p>
      <w:pPr>
        <w:pStyle w:val="Body"/>
        <w:spacing w:before="200" w:after="20" w:line="360" w:lineRule="auto"/>
      </w:pPr>
      <w:r>
        <w:rPr>
          <w:rStyle w:val="Hyperlink.0"/>
          <w:rtl w:val="0"/>
        </w:rPr>
        <w:t xml:space="preserve">Harrison, S. (2017) </w:t>
      </w:r>
      <w:r>
        <w:rPr>
          <w:rStyle w:val="Hyperlink.0"/>
          <w:rtl w:val="1"/>
        </w:rPr>
        <w:t>‘</w:t>
      </w:r>
      <w:r>
        <w:rPr>
          <w:rStyle w:val="Hyperlink.0"/>
          <w:rtl w:val="0"/>
          <w:lang w:val="en-US"/>
        </w:rPr>
        <w:t>Boys on the Outer: Themes in Male Engagement with Music</w:t>
      </w:r>
      <w:r>
        <w:rPr>
          <w:rStyle w:val="Hyperlink.0"/>
          <w:rtl w:val="1"/>
        </w:rPr>
        <w:t>’</w:t>
      </w:r>
      <w:r>
        <w:rPr>
          <w:rStyle w:val="Hyperlink.0"/>
          <w:rtl w:val="0"/>
        </w:rPr>
        <w:t xml:space="preserve">, </w:t>
      </w:r>
      <w:r>
        <w:rPr>
          <w:rStyle w:val="None"/>
          <w:i w:val="1"/>
          <w:iCs w:val="1"/>
          <w:rtl w:val="0"/>
          <w:lang w:val="en-US"/>
        </w:rPr>
        <w:t xml:space="preserve">Thymos: Journal of Boyhood Studies, </w:t>
      </w:r>
      <w:r>
        <w:rPr>
          <w:rStyle w:val="Hyperlink.0"/>
          <w:rtl w:val="0"/>
        </w:rPr>
        <w:t>4(1), pp. 39-53.</w:t>
      </w:r>
    </w:p>
    <w:p>
      <w:pPr>
        <w:pStyle w:val="Body"/>
        <w:spacing w:before="200" w:after="20" w:line="360" w:lineRule="auto"/>
      </w:pPr>
      <w:r>
        <w:rPr>
          <w:rStyle w:val="Hyperlink.0"/>
          <w:rtl w:val="0"/>
          <w:lang w:val="de-DE"/>
        </w:rPr>
        <w:t xml:space="preserve">Jorgensen, N. S. and Pfeiler, C. (2008) </w:t>
      </w:r>
      <w:r>
        <w:rPr>
          <w:rStyle w:val="Hyperlink.0"/>
          <w:rtl w:val="1"/>
        </w:rPr>
        <w:t>‘</w:t>
      </w:r>
      <w:r>
        <w:rPr>
          <w:rStyle w:val="Hyperlink.0"/>
          <w:rtl w:val="0"/>
          <w:lang w:val="en-US"/>
        </w:rPr>
        <w:t>Successful Single-Sex Offerings in the Choral Department</w:t>
      </w:r>
      <w:r>
        <w:rPr>
          <w:rStyle w:val="Hyperlink.0"/>
          <w:rtl w:val="1"/>
        </w:rPr>
        <w:t>’</w:t>
      </w:r>
      <w:r>
        <w:rPr>
          <w:rStyle w:val="Hyperlink.0"/>
          <w:rtl w:val="0"/>
        </w:rPr>
        <w:t xml:space="preserve">, </w:t>
      </w:r>
      <w:r>
        <w:rPr>
          <w:rStyle w:val="None"/>
          <w:i w:val="1"/>
          <w:iCs w:val="1"/>
          <w:rtl w:val="0"/>
          <w:lang w:val="en-US"/>
        </w:rPr>
        <w:t>Music Educators Journal</w:t>
      </w:r>
      <w:r>
        <w:rPr>
          <w:rStyle w:val="Hyperlink.0"/>
          <w:rtl w:val="0"/>
          <w:lang w:val="it-IT"/>
        </w:rPr>
        <w:t xml:space="preserve">, 94(5), pp. 36-40. </w:t>
      </w:r>
    </w:p>
    <w:p>
      <w:pPr>
        <w:pStyle w:val="Body"/>
        <w:spacing w:before="200" w:after="20" w:line="360" w:lineRule="auto"/>
      </w:pPr>
      <w:r>
        <w:rPr>
          <w:rStyle w:val="Hyperlink.0"/>
          <w:rtl w:val="0"/>
        </w:rPr>
        <w:t xml:space="preserve">Kelley, J. (2021) </w:t>
      </w:r>
      <w:r>
        <w:rPr>
          <w:rStyle w:val="Hyperlink.0"/>
          <w:rtl w:val="1"/>
        </w:rPr>
        <w:t>‘</w:t>
      </w:r>
      <w:r>
        <w:rPr>
          <w:rStyle w:val="Hyperlink.0"/>
          <w:rtl w:val="0"/>
          <w:lang w:val="en-US"/>
        </w:rPr>
        <w:t>Activating gender: How identity affects students</w:t>
      </w:r>
      <w:r>
        <w:rPr>
          <w:rStyle w:val="Hyperlink.0"/>
          <w:rtl w:val="1"/>
        </w:rPr>
        <w:t xml:space="preserve">’ </w:t>
      </w:r>
      <w:r>
        <w:rPr>
          <w:rStyle w:val="Hyperlink.0"/>
          <w:rtl w:val="0"/>
          <w:lang w:val="en-US"/>
        </w:rPr>
        <w:t>perceptions of music activities</w:t>
      </w:r>
      <w:r>
        <w:rPr>
          <w:rStyle w:val="Hyperlink.0"/>
          <w:rtl w:val="1"/>
        </w:rPr>
        <w:t>’</w:t>
      </w:r>
      <w:r>
        <w:rPr>
          <w:rStyle w:val="Hyperlink.0"/>
          <w:rtl w:val="0"/>
        </w:rPr>
        <w:t xml:space="preserve">, </w:t>
      </w:r>
      <w:r>
        <w:rPr>
          <w:rStyle w:val="None"/>
          <w:i w:val="1"/>
          <w:iCs w:val="1"/>
          <w:rtl w:val="0"/>
          <w:lang w:val="en-US"/>
        </w:rPr>
        <w:t>Research Studies in Music Education</w:t>
      </w:r>
      <w:r>
        <w:rPr>
          <w:rStyle w:val="Hyperlink.0"/>
          <w:rtl w:val="0"/>
        </w:rPr>
        <w:t xml:space="preserve">, 43(2), pp. 273-288. </w:t>
      </w:r>
    </w:p>
    <w:p>
      <w:pPr>
        <w:pStyle w:val="Body"/>
        <w:spacing w:before="200" w:after="20" w:line="360" w:lineRule="auto"/>
      </w:pPr>
      <w:r>
        <w:rPr>
          <w:rStyle w:val="Hyperlink.0"/>
          <w:rtl w:val="0"/>
        </w:rPr>
        <w:t xml:space="preserve">Kennedy, M. A. (2002) </w:t>
      </w:r>
      <w:r>
        <w:rPr>
          <w:rStyle w:val="Hyperlink.0"/>
          <w:rtl w:val="1"/>
        </w:rPr>
        <w:t>‘</w:t>
      </w:r>
      <w:r>
        <w:rPr>
          <w:rStyle w:val="Hyperlink.0"/>
          <w:rtl w:val="0"/>
          <w:lang w:val="en-US"/>
        </w:rPr>
        <w:t>It</w:t>
      </w:r>
      <w:r>
        <w:rPr>
          <w:rStyle w:val="Hyperlink.0"/>
          <w:rtl w:val="1"/>
        </w:rPr>
        <w:t>’</w:t>
      </w:r>
      <w:r>
        <w:rPr>
          <w:rStyle w:val="Hyperlink.0"/>
          <w:rtl w:val="0"/>
          <w:lang w:val="en-US"/>
        </w:rPr>
        <w:t>s cool because we like to sing: Junior High School Boys</w:t>
      </w:r>
      <w:r>
        <w:rPr>
          <w:rStyle w:val="Hyperlink.0"/>
          <w:rtl w:val="1"/>
        </w:rPr>
        <w:t xml:space="preserve">’ </w:t>
      </w:r>
      <w:r>
        <w:rPr>
          <w:rStyle w:val="Hyperlink.0"/>
          <w:rtl w:val="0"/>
          <w:lang w:val="en-US"/>
        </w:rPr>
        <w:t>Experience of Choral Music as an Elective</w:t>
      </w:r>
      <w:r>
        <w:rPr>
          <w:rStyle w:val="Hyperlink.0"/>
          <w:rtl w:val="1"/>
        </w:rPr>
        <w:t>’</w:t>
      </w:r>
      <w:r>
        <w:rPr>
          <w:rStyle w:val="Hyperlink.0"/>
          <w:rtl w:val="0"/>
        </w:rPr>
        <w:t xml:space="preserve">, </w:t>
      </w:r>
      <w:r>
        <w:rPr>
          <w:rStyle w:val="None"/>
          <w:i w:val="1"/>
          <w:iCs w:val="1"/>
          <w:rtl w:val="0"/>
          <w:lang w:val="en-US"/>
        </w:rPr>
        <w:t>Research Studies in Music Education</w:t>
      </w:r>
      <w:r>
        <w:rPr>
          <w:rStyle w:val="Hyperlink.0"/>
          <w:rtl w:val="0"/>
        </w:rPr>
        <w:t>, 18(18), pp. 26-37.</w:t>
      </w:r>
    </w:p>
    <w:p>
      <w:pPr>
        <w:pStyle w:val="Body"/>
        <w:spacing w:before="200" w:after="20" w:line="360" w:lineRule="auto"/>
      </w:pPr>
      <w:r>
        <w:rPr>
          <w:rStyle w:val="Hyperlink.0"/>
          <w:rtl w:val="0"/>
        </w:rPr>
        <w:t xml:space="preserve">Koza, J. E. (1993) </w:t>
      </w:r>
      <w:r>
        <w:rPr>
          <w:rStyle w:val="Hyperlink.0"/>
          <w:rtl w:val="1"/>
        </w:rPr>
        <w:t>‘</w:t>
      </w:r>
      <w:r>
        <w:rPr>
          <w:rStyle w:val="Hyperlink.0"/>
          <w:rtl w:val="0"/>
          <w:lang w:val="en-US"/>
        </w:rPr>
        <w:t xml:space="preserve">The missing males and other gender issues in music education: Evidence from the </w:t>
      </w:r>
      <w:r>
        <w:rPr>
          <w:rStyle w:val="None"/>
          <w:i w:val="1"/>
          <w:iCs w:val="1"/>
          <w:rtl w:val="0"/>
          <w:lang w:val="en-US"/>
        </w:rPr>
        <w:t>Music Supervisor</w:t>
      </w:r>
      <w:r>
        <w:rPr>
          <w:rStyle w:val="None"/>
          <w:i w:val="1"/>
          <w:iCs w:val="1"/>
          <w:rtl w:val="1"/>
        </w:rPr>
        <w:t xml:space="preserve">’ </w:t>
      </w:r>
      <w:r>
        <w:rPr>
          <w:rStyle w:val="None"/>
          <w:i w:val="1"/>
          <w:iCs w:val="1"/>
          <w:rtl w:val="0"/>
          <w:lang w:val="fr-FR"/>
        </w:rPr>
        <w:t>Journal,</w:t>
      </w:r>
      <w:r>
        <w:rPr>
          <w:rStyle w:val="Hyperlink.0"/>
          <w:rtl w:val="0"/>
        </w:rPr>
        <w:t xml:space="preserve"> 1914-1924, </w:t>
      </w:r>
      <w:r>
        <w:rPr>
          <w:rStyle w:val="None"/>
          <w:i w:val="1"/>
          <w:iCs w:val="1"/>
          <w:rtl w:val="0"/>
          <w:lang w:val="en-US"/>
        </w:rPr>
        <w:t xml:space="preserve">Journal of Research in Music Education, </w:t>
      </w:r>
      <w:r>
        <w:rPr>
          <w:rStyle w:val="Hyperlink.0"/>
          <w:rtl w:val="0"/>
        </w:rPr>
        <w:t>41, pp. 212-232.</w:t>
      </w:r>
    </w:p>
    <w:p>
      <w:pPr>
        <w:pStyle w:val="Body"/>
        <w:shd w:val="clear" w:color="auto" w:fill="ffffff"/>
        <w:spacing w:before="200" w:after="20" w:line="360" w:lineRule="auto"/>
      </w:pPr>
      <w:r>
        <w:rPr>
          <w:rStyle w:val="Hyperlink.0"/>
          <w:rtl w:val="0"/>
        </w:rPr>
        <w:t xml:space="preserve">Lia, P (2015), </w:t>
      </w:r>
      <w:r>
        <w:rPr>
          <w:rStyle w:val="None"/>
          <w:i w:val="1"/>
          <w:iCs w:val="1"/>
          <w:rtl w:val="0"/>
        </w:rPr>
        <w:t>Using Gibbs</w:t>
      </w:r>
      <w:r>
        <w:rPr>
          <w:rStyle w:val="None"/>
          <w:i w:val="1"/>
          <w:iCs w:val="1"/>
          <w:rtl w:val="1"/>
        </w:rPr>
        <w:t xml:space="preserve">’ </w:t>
      </w:r>
      <w:r>
        <w:rPr>
          <w:rStyle w:val="None"/>
          <w:i w:val="1"/>
          <w:iCs w:val="1"/>
          <w:rtl w:val="0"/>
          <w:lang w:val="en-US"/>
        </w:rPr>
        <w:t>Reflective Cycle</w:t>
      </w:r>
      <w:r>
        <w:rPr>
          <w:rStyle w:val="Hyperlink.0"/>
          <w:rtl w:val="0"/>
          <w:lang w:val="en-US"/>
        </w:rPr>
        <w:t>, Available at:</w:t>
      </w:r>
      <w:r>
        <w:rPr>
          <w:rStyle w:val="Hyperlink.0"/>
        </w:rPr>
        <w:fldChar w:fldCharType="begin" w:fldLock="0"/>
      </w:r>
      <w:r>
        <w:rPr>
          <w:rStyle w:val="Hyperlink.0"/>
        </w:rPr>
        <w:instrText xml:space="preserve"> HYPERLINK "https://www.kcl.ac.uk/campuslife/services/disability/service/Using-Gibbs-Reflective-Cycle-in-Coursework.pdf"</w:instrText>
      </w:r>
      <w:r>
        <w:rPr>
          <w:rStyle w:val="Hyperlink.0"/>
        </w:rPr>
        <w:fldChar w:fldCharType="separate" w:fldLock="0"/>
      </w:r>
      <w:r>
        <w:rPr>
          <w:rStyle w:val="Hyperlink.0"/>
          <w:rtl w:val="0"/>
        </w:rPr>
        <w:t xml:space="preserve"> </w:t>
      </w:r>
      <w:r>
        <w:rPr/>
        <w:fldChar w:fldCharType="end" w:fldLock="0"/>
      </w:r>
      <w:r>
        <w:rPr>
          <w:rStyle w:val="Hyperlink.2"/>
        </w:rPr>
        <w:fldChar w:fldCharType="begin" w:fldLock="0"/>
      </w:r>
      <w:r>
        <w:rPr>
          <w:rStyle w:val="Hyperlink.2"/>
        </w:rPr>
        <w:instrText xml:space="preserve"> HYPERLINK "https://www.kcl.ac.uk/campuslife/services/disability/service/Using-Gibbs-Reflective-Cycle-in-Coursework.pdf"</w:instrText>
      </w:r>
      <w:r>
        <w:rPr>
          <w:rStyle w:val="Hyperlink.2"/>
        </w:rPr>
        <w:fldChar w:fldCharType="separate" w:fldLock="0"/>
      </w:r>
      <w:r>
        <w:rPr>
          <w:rStyle w:val="Hyperlink.2"/>
          <w:rtl w:val="0"/>
          <w:lang w:val="en-US"/>
        </w:rPr>
        <w:t>https://www.kcl.ac.uk/campuslife/services/disability/service/Using-Gibbs-Reflective-Cycle-in-Coursework.pdf</w:t>
      </w:r>
      <w:r>
        <w:rPr/>
        <w:fldChar w:fldCharType="end" w:fldLock="0"/>
      </w:r>
      <w:r>
        <w:rPr>
          <w:rStyle w:val="Hyperlink.0"/>
          <w:rtl w:val="0"/>
          <w:lang w:val="en-US"/>
        </w:rPr>
        <w:t xml:space="preserve"> (Accessed May 20, 2023).</w:t>
      </w:r>
    </w:p>
    <w:p>
      <w:pPr>
        <w:pStyle w:val="Body"/>
        <w:shd w:val="clear" w:color="auto" w:fill="ffffff"/>
        <w:spacing w:before="240" w:after="240" w:line="360" w:lineRule="auto"/>
      </w:pPr>
      <w:r>
        <w:rPr>
          <w:rStyle w:val="Hyperlink.0"/>
          <w:rtl w:val="0"/>
          <w:lang w:val="pt-PT"/>
        </w:rPr>
        <w:t xml:space="preserve">Lucas, M. 2011. </w:t>
      </w:r>
      <w:r>
        <w:rPr>
          <w:rStyle w:val="Hyperlink.0"/>
          <w:rtl w:val="1"/>
        </w:rPr>
        <w:t>‘</w:t>
      </w:r>
      <w:r>
        <w:rPr>
          <w:rStyle w:val="Hyperlink.0"/>
          <w:rtl w:val="0"/>
          <w:lang w:val="en-US"/>
        </w:rPr>
        <w:t>Adolescent Male Attitudes about Singing in Choir</w:t>
      </w:r>
      <w:r>
        <w:rPr>
          <w:rStyle w:val="Hyperlink.0"/>
          <w:rtl w:val="1"/>
        </w:rPr>
        <w:t>’</w:t>
      </w:r>
      <w:r>
        <w:rPr>
          <w:rStyle w:val="Hyperlink.0"/>
          <w:rtl w:val="0"/>
        </w:rPr>
        <w:t xml:space="preserve">, </w:t>
      </w:r>
      <w:r>
        <w:rPr>
          <w:rStyle w:val="None"/>
          <w:i w:val="1"/>
          <w:iCs w:val="1"/>
          <w:rtl w:val="0"/>
          <w:lang w:val="en-US"/>
        </w:rPr>
        <w:t>Update: Applications of Research in Music Education</w:t>
      </w:r>
      <w:r>
        <w:rPr>
          <w:rStyle w:val="Hyperlink.0"/>
          <w:rtl w:val="0"/>
        </w:rPr>
        <w:t>, 30 (1), pp. 46</w:t>
      </w:r>
      <w:r>
        <w:rPr>
          <w:rStyle w:val="Hyperlink.0"/>
          <w:rtl w:val="0"/>
        </w:rPr>
        <w:t>–</w:t>
      </w:r>
      <w:r>
        <w:rPr>
          <w:rStyle w:val="Hyperlink.0"/>
          <w:rtl w:val="0"/>
        </w:rPr>
        <w:t>53.</w:t>
      </w:r>
    </w:p>
    <w:p>
      <w:pPr>
        <w:pStyle w:val="Body"/>
        <w:spacing w:before="240" w:after="240" w:line="360" w:lineRule="auto"/>
      </w:pPr>
      <w:r>
        <w:rPr>
          <w:rStyle w:val="Hyperlink.0"/>
          <w:rtl w:val="0"/>
        </w:rPr>
        <w:t xml:space="preserve">McBride, N. R. (2016) </w:t>
      </w:r>
      <w:r>
        <w:rPr>
          <w:rStyle w:val="Hyperlink.0"/>
          <w:rtl w:val="1"/>
        </w:rPr>
        <w:t>‘</w:t>
      </w:r>
      <w:r>
        <w:rPr>
          <w:rStyle w:val="Hyperlink.0"/>
          <w:rtl w:val="0"/>
          <w:lang w:val="en-US"/>
        </w:rPr>
        <w:t>Singing, Sissies, and Sexual Identity: How LGBTQ Choral Directors Negotiate Gender Discourse</w:t>
      </w:r>
      <w:r>
        <w:rPr>
          <w:rStyle w:val="Hyperlink.0"/>
          <w:rtl w:val="1"/>
        </w:rPr>
        <w:t>’</w:t>
      </w:r>
      <w:r>
        <w:rPr>
          <w:rStyle w:val="Hyperlink.0"/>
          <w:rtl w:val="0"/>
        </w:rPr>
        <w:t xml:space="preserve">, </w:t>
      </w:r>
      <w:r>
        <w:rPr>
          <w:rStyle w:val="None"/>
          <w:i w:val="1"/>
          <w:iCs w:val="1"/>
          <w:rtl w:val="0"/>
          <w:lang w:val="en-US"/>
        </w:rPr>
        <w:t>Music Educators Journal</w:t>
      </w:r>
      <w:r>
        <w:rPr>
          <w:rStyle w:val="Hyperlink.0"/>
          <w:rtl w:val="0"/>
        </w:rPr>
        <w:t>, 102(4), pp. 36-40.</w:t>
      </w:r>
    </w:p>
    <w:p>
      <w:pPr>
        <w:pStyle w:val="Body"/>
        <w:spacing w:before="240" w:after="240" w:line="360" w:lineRule="auto"/>
        <w:rPr>
          <w:rStyle w:val="None"/>
          <w:sz w:val="26"/>
          <w:szCs w:val="26"/>
        </w:rPr>
      </w:pPr>
      <w:r>
        <w:rPr>
          <w:rStyle w:val="Hyperlink.0"/>
          <w:rtl w:val="0"/>
        </w:rPr>
        <w:t>McBride, N. R., &amp; Palkki, J. (2020). Big boys don</w:t>
      </w:r>
      <w:r>
        <w:rPr>
          <w:rStyle w:val="Hyperlink.0"/>
          <w:rtl w:val="1"/>
        </w:rPr>
        <w:t>’</w:t>
      </w:r>
      <w:r>
        <w:rPr>
          <w:rStyle w:val="Hyperlink.0"/>
          <w:rtl w:val="0"/>
          <w:lang w:val="en-US"/>
        </w:rPr>
        <w:t xml:space="preserve">t cry (or sing)... still?: A modern exploration of gender, misogyny, and homophobia in college choral methods texts. </w:t>
      </w:r>
      <w:r>
        <w:rPr>
          <w:rStyle w:val="None"/>
          <w:i w:val="1"/>
          <w:iCs w:val="1"/>
          <w:rtl w:val="0"/>
          <w:lang w:val="en-US"/>
        </w:rPr>
        <w:t>Music Education Research</w:t>
      </w:r>
      <w:r>
        <w:rPr>
          <w:rStyle w:val="Hyperlink.0"/>
          <w:rtl w:val="0"/>
        </w:rPr>
        <w:t xml:space="preserve">, </w:t>
      </w:r>
      <w:r>
        <w:rPr>
          <w:rStyle w:val="None"/>
          <w:i w:val="1"/>
          <w:iCs w:val="1"/>
          <w:rtl w:val="0"/>
        </w:rPr>
        <w:t>22</w:t>
      </w:r>
      <w:r>
        <w:rPr>
          <w:rStyle w:val="Hyperlink.0"/>
          <w:rtl w:val="0"/>
        </w:rPr>
        <w:t>(4), 408</w:t>
      </w:r>
      <w:r>
        <w:rPr>
          <w:rStyle w:val="Hyperlink.0"/>
          <w:rtl w:val="0"/>
        </w:rPr>
        <w:t>–</w:t>
      </w:r>
      <w:r>
        <w:rPr>
          <w:rStyle w:val="Hyperlink.0"/>
          <w:rtl w:val="0"/>
        </w:rPr>
        <w:t>420.</w:t>
      </w:r>
    </w:p>
    <w:p>
      <w:pPr>
        <w:pStyle w:val="Body"/>
        <w:spacing w:before="200" w:after="20" w:line="360" w:lineRule="auto"/>
      </w:pPr>
      <w:r>
        <w:rPr>
          <w:rStyle w:val="Hyperlink.0"/>
          <w:rtl w:val="0"/>
          <w:lang w:val="it-IT"/>
        </w:rPr>
        <w:t xml:space="preserve">McKenzie, D. (1956) </w:t>
      </w:r>
      <w:r>
        <w:rPr>
          <w:rStyle w:val="None"/>
          <w:i w:val="1"/>
          <w:iCs w:val="1"/>
          <w:rtl w:val="0"/>
          <w:lang w:val="en-US"/>
        </w:rPr>
        <w:t>Training the boys</w:t>
      </w:r>
      <w:r>
        <w:rPr>
          <w:rStyle w:val="None"/>
          <w:i w:val="1"/>
          <w:iCs w:val="1"/>
          <w:rtl w:val="1"/>
        </w:rPr>
        <w:t xml:space="preserve">’ </w:t>
      </w:r>
      <w:r>
        <w:rPr>
          <w:rStyle w:val="None"/>
          <w:i w:val="1"/>
          <w:iCs w:val="1"/>
          <w:rtl w:val="0"/>
          <w:lang w:val="en-US"/>
        </w:rPr>
        <w:t xml:space="preserve">changing voice. </w:t>
      </w:r>
      <w:r>
        <w:rPr>
          <w:rStyle w:val="Hyperlink.0"/>
          <w:rtl w:val="0"/>
          <w:lang w:val="en-US"/>
        </w:rPr>
        <w:t xml:space="preserve">New Brunswick, NJ: Rutgers University Press. </w:t>
      </w:r>
    </w:p>
    <w:p>
      <w:pPr>
        <w:pStyle w:val="Body"/>
        <w:spacing w:before="200" w:after="20" w:line="360" w:lineRule="auto"/>
      </w:pPr>
      <w:r>
        <w:rPr>
          <w:rStyle w:val="Hyperlink.0"/>
          <w:rtl w:val="0"/>
        </w:rPr>
        <w:t xml:space="preserve">Mizener, C. P. (1993) </w:t>
      </w:r>
      <w:r>
        <w:rPr>
          <w:rStyle w:val="Hyperlink.0"/>
          <w:rtl w:val="1"/>
        </w:rPr>
        <w:t>‘</w:t>
      </w:r>
      <w:r>
        <w:rPr>
          <w:rStyle w:val="Hyperlink.0"/>
          <w:rtl w:val="0"/>
          <w:lang w:val="en-US"/>
        </w:rPr>
        <w:t>Attitudes of Children toward Singing and Choir Participation and Assessed Singing Skill</w:t>
      </w:r>
      <w:r>
        <w:rPr>
          <w:rStyle w:val="Hyperlink.0"/>
          <w:rtl w:val="1"/>
        </w:rPr>
        <w:t>’</w:t>
      </w:r>
      <w:r>
        <w:rPr>
          <w:rStyle w:val="Hyperlink.0"/>
          <w:rtl w:val="0"/>
        </w:rPr>
        <w:t xml:space="preserve">, </w:t>
      </w:r>
      <w:r>
        <w:rPr>
          <w:rStyle w:val="None"/>
          <w:i w:val="1"/>
          <w:iCs w:val="1"/>
          <w:rtl w:val="0"/>
          <w:lang w:val="en-US"/>
        </w:rPr>
        <w:t>Journal of Research in Music Education</w:t>
      </w:r>
      <w:r>
        <w:rPr>
          <w:rStyle w:val="Hyperlink.0"/>
          <w:rtl w:val="0"/>
        </w:rPr>
        <w:t>, 41(3), pp. 233-245.</w:t>
      </w:r>
    </w:p>
    <w:p>
      <w:pPr>
        <w:pStyle w:val="Body"/>
        <w:spacing w:before="200" w:after="20" w:line="360" w:lineRule="auto"/>
      </w:pPr>
      <w:r>
        <w:rPr>
          <w:rStyle w:val="Hyperlink.0"/>
          <w:rtl w:val="0"/>
          <w:lang w:val="en-US"/>
        </w:rPr>
        <w:t xml:space="preserve">Orton, A. And Pitts, S. E. (2019) </w:t>
      </w:r>
      <w:r>
        <w:rPr>
          <w:rStyle w:val="Hyperlink.0"/>
          <w:rtl w:val="1"/>
        </w:rPr>
        <w:t>‘</w:t>
      </w:r>
      <w:r>
        <w:rPr>
          <w:rStyle w:val="Hyperlink.0"/>
          <w:rtl w:val="0"/>
          <w:lang w:val="en-US"/>
        </w:rPr>
        <w:t>Adolescent perceptions of singing: exploring gendered differences in musical confidence, identity and ambition</w:t>
      </w:r>
      <w:r>
        <w:rPr>
          <w:rStyle w:val="Hyperlink.0"/>
          <w:rtl w:val="1"/>
        </w:rPr>
        <w:t>’</w:t>
      </w:r>
      <w:r>
        <w:rPr>
          <w:rStyle w:val="Hyperlink.0"/>
          <w:rtl w:val="0"/>
        </w:rPr>
        <w:t xml:space="preserve">, </w:t>
      </w:r>
      <w:r>
        <w:rPr>
          <w:rStyle w:val="None"/>
          <w:i w:val="1"/>
          <w:iCs w:val="1"/>
          <w:rtl w:val="0"/>
          <w:lang w:val="en-US"/>
        </w:rPr>
        <w:t>Music Education Research</w:t>
      </w:r>
      <w:r>
        <w:rPr>
          <w:rStyle w:val="Hyperlink.0"/>
          <w:rtl w:val="0"/>
        </w:rPr>
        <w:t>, 21(1), pp. 40-51.</w:t>
      </w:r>
    </w:p>
    <w:p>
      <w:pPr>
        <w:pStyle w:val="Body"/>
        <w:spacing w:before="200" w:after="20" w:line="360" w:lineRule="auto"/>
      </w:pPr>
      <w:r>
        <w:rPr>
          <w:rStyle w:val="Hyperlink.0"/>
          <w:rtl w:val="0"/>
        </w:rPr>
        <w:t xml:space="preserve">Palkki, J. and Sauerland, W. (2019) </w:t>
      </w:r>
      <w:r>
        <w:rPr>
          <w:rStyle w:val="Hyperlink.0"/>
          <w:rtl w:val="1"/>
        </w:rPr>
        <w:t>‘</w:t>
      </w:r>
      <w:r>
        <w:rPr>
          <w:rStyle w:val="Hyperlink.0"/>
          <w:rtl w:val="0"/>
          <w:lang w:val="en-US"/>
        </w:rPr>
        <w:t>Considering Gender Complexity in Music Teacher Education</w:t>
      </w:r>
      <w:r>
        <w:rPr>
          <w:rStyle w:val="Hyperlink.0"/>
          <w:rtl w:val="1"/>
        </w:rPr>
        <w:t>’</w:t>
      </w:r>
      <w:r>
        <w:rPr>
          <w:rStyle w:val="Hyperlink.0"/>
          <w:rtl w:val="0"/>
        </w:rPr>
        <w:t xml:space="preserve">, </w:t>
      </w:r>
      <w:r>
        <w:rPr>
          <w:rStyle w:val="None"/>
          <w:i w:val="1"/>
          <w:iCs w:val="1"/>
          <w:rtl w:val="0"/>
          <w:lang w:val="en-US"/>
        </w:rPr>
        <w:t>Journal of Music Teacher Education</w:t>
      </w:r>
      <w:r>
        <w:rPr>
          <w:rStyle w:val="Hyperlink.0"/>
          <w:rtl w:val="0"/>
        </w:rPr>
        <w:t>, 28(3), pp. 72-84.</w:t>
      </w:r>
    </w:p>
    <w:p>
      <w:pPr>
        <w:pStyle w:val="Body"/>
        <w:spacing w:before="200" w:after="20" w:line="360" w:lineRule="auto"/>
      </w:pPr>
      <w:r>
        <w:rPr>
          <w:rStyle w:val="Hyperlink.0"/>
          <w:rtl w:val="0"/>
          <w:lang w:val="en-US"/>
        </w:rPr>
        <w:t xml:space="preserve">Powell, S. J. (2015) </w:t>
      </w:r>
      <w:r>
        <w:rPr>
          <w:rStyle w:val="Hyperlink.0"/>
          <w:rtl w:val="1"/>
        </w:rPr>
        <w:t>‘</w:t>
      </w:r>
      <w:r>
        <w:rPr>
          <w:rStyle w:val="Hyperlink.0"/>
          <w:rtl w:val="0"/>
          <w:lang w:val="en-US"/>
        </w:rPr>
        <w:t>Masculinity and choral singing: An Australian perspective</w:t>
      </w:r>
      <w:r>
        <w:rPr>
          <w:rStyle w:val="Hyperlink.0"/>
          <w:rtl w:val="1"/>
        </w:rPr>
        <w:t>’</w:t>
      </w:r>
      <w:r>
        <w:rPr>
          <w:rStyle w:val="Hyperlink.0"/>
          <w:rtl w:val="0"/>
        </w:rPr>
        <w:t xml:space="preserve">, </w:t>
      </w:r>
      <w:r>
        <w:rPr>
          <w:rStyle w:val="None"/>
          <w:i w:val="1"/>
          <w:iCs w:val="1"/>
          <w:rtl w:val="0"/>
          <w:lang w:val="en-US"/>
        </w:rPr>
        <w:t>International Journal of Music Education</w:t>
      </w:r>
      <w:r>
        <w:rPr>
          <w:rStyle w:val="Hyperlink.0"/>
          <w:rtl w:val="0"/>
        </w:rPr>
        <w:t xml:space="preserve">, 33(2), pp. 233-243. </w:t>
      </w:r>
    </w:p>
    <w:p>
      <w:pPr>
        <w:pStyle w:val="Body"/>
        <w:spacing w:before="200" w:after="20" w:line="360" w:lineRule="auto"/>
      </w:pPr>
      <w:r>
        <w:rPr>
          <w:rStyle w:val="Hyperlink.0"/>
          <w:rtl w:val="0"/>
        </w:rPr>
        <w:t xml:space="preserve">Radtke, A. (1950) </w:t>
      </w:r>
      <w:r>
        <w:rPr>
          <w:rStyle w:val="Hyperlink.0"/>
          <w:rtl w:val="1"/>
        </w:rPr>
        <w:t>‘</w:t>
      </w:r>
      <w:r>
        <w:rPr>
          <w:rStyle w:val="Hyperlink.0"/>
          <w:rtl w:val="0"/>
          <w:lang w:val="en-US"/>
        </w:rPr>
        <w:t>Positive Attitudes toward Singing for Adolescent Boys</w:t>
      </w:r>
      <w:r>
        <w:rPr>
          <w:rStyle w:val="Hyperlink.0"/>
          <w:rtl w:val="1"/>
        </w:rPr>
        <w:t>’</w:t>
      </w:r>
      <w:r>
        <w:rPr>
          <w:rStyle w:val="Hyperlink.0"/>
          <w:rtl w:val="0"/>
        </w:rPr>
        <w:t xml:space="preserve">, </w:t>
      </w:r>
      <w:r>
        <w:rPr>
          <w:rStyle w:val="None"/>
          <w:i w:val="1"/>
          <w:iCs w:val="1"/>
          <w:rtl w:val="0"/>
          <w:lang w:val="en-US"/>
        </w:rPr>
        <w:t>Music Educators Journal</w:t>
      </w:r>
      <w:r>
        <w:rPr>
          <w:rStyle w:val="Hyperlink.0"/>
          <w:rtl w:val="0"/>
        </w:rPr>
        <w:t>, 36(3), p. 48.</w:t>
      </w:r>
    </w:p>
    <w:p>
      <w:pPr>
        <w:pStyle w:val="Body"/>
        <w:spacing w:before="200" w:after="20" w:line="360" w:lineRule="auto"/>
      </w:pPr>
      <w:r>
        <w:rPr>
          <w:rStyle w:val="Hyperlink.0"/>
          <w:rtl w:val="0"/>
          <w:lang w:val="en-US"/>
        </w:rPr>
        <w:t xml:space="preserve">Roulston, K. and Mills, M. (2000) </w:t>
      </w:r>
      <w:r>
        <w:rPr>
          <w:rStyle w:val="Hyperlink.0"/>
          <w:rtl w:val="1"/>
        </w:rPr>
        <w:t>‘</w:t>
      </w:r>
      <w:r>
        <w:rPr>
          <w:rStyle w:val="Hyperlink.0"/>
          <w:rtl w:val="0"/>
          <w:lang w:val="en-US"/>
        </w:rPr>
        <w:t>Male Teachers in Feminised Teaching Area: Marching to the beat of the men</w:t>
      </w:r>
      <w:r>
        <w:rPr>
          <w:rStyle w:val="Hyperlink.0"/>
          <w:rtl w:val="1"/>
        </w:rPr>
        <w:t>’</w:t>
      </w:r>
      <w:r>
        <w:rPr>
          <w:rStyle w:val="Hyperlink.0"/>
          <w:rtl w:val="0"/>
          <w:lang w:val="en-US"/>
        </w:rPr>
        <w:t>s movement drums?</w:t>
      </w:r>
      <w:r>
        <w:rPr>
          <w:rStyle w:val="Hyperlink.0"/>
          <w:rtl w:val="1"/>
        </w:rPr>
        <w:t>’</w:t>
      </w:r>
      <w:r>
        <w:rPr>
          <w:rStyle w:val="Hyperlink.0"/>
          <w:rtl w:val="0"/>
        </w:rPr>
        <w:t xml:space="preserve">, </w:t>
      </w:r>
      <w:r>
        <w:rPr>
          <w:rStyle w:val="None"/>
          <w:i w:val="1"/>
          <w:iCs w:val="1"/>
          <w:rtl w:val="0"/>
          <w:lang w:val="en-US"/>
        </w:rPr>
        <w:t>Oxford Review of Education</w:t>
      </w:r>
      <w:r>
        <w:rPr>
          <w:rStyle w:val="Hyperlink.0"/>
          <w:rtl w:val="0"/>
        </w:rPr>
        <w:t>, 26(2), pp. 221-237.</w:t>
      </w:r>
    </w:p>
    <w:p>
      <w:pPr>
        <w:pStyle w:val="Body"/>
        <w:spacing w:before="200" w:after="20" w:line="360" w:lineRule="auto"/>
      </w:pPr>
      <w:r>
        <w:rPr>
          <w:rStyle w:val="Hyperlink.0"/>
          <w:rtl w:val="0"/>
        </w:rPr>
        <w:t xml:space="preserve">Randolph, J. J. (2009) </w:t>
      </w:r>
      <w:r>
        <w:rPr>
          <w:rStyle w:val="Hyperlink.0"/>
          <w:rtl w:val="1"/>
        </w:rPr>
        <w:t>‘</w:t>
      </w:r>
      <w:r>
        <w:rPr>
          <w:rStyle w:val="Hyperlink.0"/>
          <w:rtl w:val="0"/>
          <w:lang w:val="en-US"/>
        </w:rPr>
        <w:t>A Guide to Writing the Dissertation Literature Review</w:t>
      </w:r>
      <w:r>
        <w:rPr>
          <w:rStyle w:val="Hyperlink.0"/>
          <w:rtl w:val="1"/>
        </w:rPr>
        <w:t>’</w:t>
      </w:r>
      <w:r>
        <w:rPr>
          <w:rStyle w:val="Hyperlink.0"/>
          <w:rtl w:val="0"/>
        </w:rPr>
        <w:t xml:space="preserve">, </w:t>
      </w:r>
      <w:r>
        <w:rPr>
          <w:rStyle w:val="None"/>
          <w:i w:val="1"/>
          <w:iCs w:val="1"/>
          <w:rtl w:val="0"/>
          <w:lang w:val="en-US"/>
        </w:rPr>
        <w:t>Practical Assessment, Research &amp; Evaluation</w:t>
      </w:r>
      <w:r>
        <w:rPr>
          <w:rStyle w:val="Hyperlink.0"/>
          <w:rtl w:val="0"/>
        </w:rPr>
        <w:t>, 14(13), pp. 1-13.</w:t>
      </w:r>
    </w:p>
    <w:p>
      <w:pPr>
        <w:pStyle w:val="Body"/>
        <w:spacing w:before="200" w:after="20" w:line="360" w:lineRule="auto"/>
      </w:pPr>
      <w:r>
        <w:rPr>
          <w:rStyle w:val="Hyperlink.0"/>
          <w:rtl w:val="0"/>
          <w:lang w:val="en-US"/>
        </w:rPr>
        <w:t xml:space="preserve">Sandelowski, M. and Barroso, J. (2007) </w:t>
      </w:r>
      <w:r>
        <w:rPr>
          <w:rStyle w:val="None"/>
          <w:i w:val="1"/>
          <w:iCs w:val="1"/>
          <w:rtl w:val="0"/>
          <w:lang w:val="en-US"/>
        </w:rPr>
        <w:t>Handbook for Synthesizing Qualitative Research</w:t>
      </w:r>
      <w:r>
        <w:rPr>
          <w:rStyle w:val="Hyperlink.0"/>
          <w:rtl w:val="0"/>
          <w:lang w:val="en-US"/>
        </w:rPr>
        <w:t>, New York, NY: Springer Publishing Company, Inc.</w:t>
      </w:r>
    </w:p>
    <w:p>
      <w:pPr>
        <w:pStyle w:val="Body"/>
        <w:spacing w:before="200" w:after="20" w:line="360" w:lineRule="auto"/>
      </w:pPr>
      <w:r>
        <w:rPr>
          <w:rStyle w:val="Hyperlink.0"/>
          <w:rtl w:val="0"/>
          <w:lang w:val="de-DE"/>
        </w:rPr>
        <w:t>Sch</w:t>
      </w:r>
      <w:r>
        <w:rPr>
          <w:rStyle w:val="Hyperlink.0"/>
          <w:rtl w:val="0"/>
          <w:lang w:val="sv-SE"/>
        </w:rPr>
        <w:t>ö</w:t>
      </w:r>
      <w:r>
        <w:rPr>
          <w:rStyle w:val="Hyperlink.0"/>
          <w:rtl w:val="0"/>
        </w:rPr>
        <w:t xml:space="preserve">n, DA (1983) </w:t>
      </w:r>
      <w:r>
        <w:rPr>
          <w:rStyle w:val="None"/>
          <w:i w:val="1"/>
          <w:iCs w:val="1"/>
          <w:rtl w:val="0"/>
          <w:lang w:val="en-US"/>
        </w:rPr>
        <w:t>The Reflective Practitioner: How Professionals Think in Action</w:t>
      </w:r>
      <w:r>
        <w:rPr>
          <w:rStyle w:val="Hyperlink.0"/>
          <w:rtl w:val="0"/>
          <w:lang w:val="en-US"/>
        </w:rPr>
        <w:t>, USA: Basic Books, Inc.</w:t>
      </w:r>
    </w:p>
    <w:p>
      <w:pPr>
        <w:pStyle w:val="Body"/>
        <w:spacing w:before="200" w:after="20" w:line="360" w:lineRule="auto"/>
      </w:pPr>
      <w:r>
        <w:rPr>
          <w:rStyle w:val="Hyperlink.0"/>
          <w:rtl w:val="0"/>
        </w:rPr>
        <w:t xml:space="preserve">Stockton, PH (2015) </w:t>
      </w:r>
      <w:r>
        <w:rPr>
          <w:rStyle w:val="Hyperlink.0"/>
          <w:rtl w:val="1"/>
        </w:rPr>
        <w:t>‘</w:t>
      </w:r>
      <w:r>
        <w:rPr>
          <w:rStyle w:val="Hyperlink.0"/>
          <w:rtl w:val="0"/>
          <w:lang w:val="en-US"/>
        </w:rPr>
        <w:t>Irvin Cooper (1900-1971) and the Development of the Cambiata Concept for Adolescent Voices</w:t>
      </w:r>
      <w:r>
        <w:rPr>
          <w:rStyle w:val="Hyperlink.0"/>
          <w:rtl w:val="1"/>
        </w:rPr>
        <w:t>’</w:t>
      </w:r>
      <w:r>
        <w:rPr>
          <w:rStyle w:val="Hyperlink.0"/>
          <w:rtl w:val="0"/>
        </w:rPr>
        <w:t xml:space="preserve">, </w:t>
      </w:r>
      <w:r>
        <w:rPr>
          <w:rStyle w:val="None"/>
          <w:i w:val="1"/>
          <w:iCs w:val="1"/>
          <w:rtl w:val="0"/>
          <w:lang w:val="en-US"/>
        </w:rPr>
        <w:t>Journal of Historical Research in Music Education</w:t>
      </w:r>
      <w:r>
        <w:rPr>
          <w:rStyle w:val="Hyperlink.0"/>
          <w:rtl w:val="0"/>
        </w:rPr>
        <w:t>, 37(1), pp. 75-87.</w:t>
      </w:r>
    </w:p>
    <w:p>
      <w:pPr>
        <w:pStyle w:val="Body"/>
        <w:spacing w:before="200" w:after="20" w:line="360" w:lineRule="auto"/>
      </w:pPr>
      <w:r>
        <w:rPr>
          <w:rStyle w:val="Hyperlink.0"/>
          <w:rtl w:val="0"/>
          <w:lang w:val="nl-NL"/>
        </w:rPr>
        <w:t xml:space="preserve">Sweet, B. (2010) </w:t>
      </w:r>
      <w:r>
        <w:rPr>
          <w:rStyle w:val="Hyperlink.0"/>
          <w:rtl w:val="1"/>
        </w:rPr>
        <w:t>‘</w:t>
      </w:r>
      <w:r>
        <w:rPr>
          <w:rStyle w:val="Hyperlink.0"/>
          <w:rtl w:val="0"/>
          <w:lang w:val="en-US"/>
        </w:rPr>
        <w:t>A Case Study: Middle School Boys</w:t>
      </w:r>
      <w:r>
        <w:rPr>
          <w:rStyle w:val="Hyperlink.0"/>
          <w:rtl w:val="1"/>
        </w:rPr>
        <w:t xml:space="preserve">’ </w:t>
      </w:r>
      <w:r>
        <w:rPr>
          <w:rStyle w:val="Hyperlink.0"/>
          <w:rtl w:val="0"/>
          <w:lang w:val="en-US"/>
        </w:rPr>
        <w:t>Perceptions of Singing and Participation in Choir</w:t>
      </w:r>
      <w:r>
        <w:rPr>
          <w:rStyle w:val="Hyperlink.0"/>
          <w:rtl w:val="1"/>
        </w:rPr>
        <w:t>’</w:t>
      </w:r>
      <w:r>
        <w:rPr>
          <w:rStyle w:val="Hyperlink.0"/>
          <w:rtl w:val="0"/>
        </w:rPr>
        <w:t xml:space="preserve">, </w:t>
      </w:r>
      <w:r>
        <w:rPr>
          <w:rStyle w:val="None"/>
          <w:i w:val="1"/>
          <w:iCs w:val="1"/>
          <w:rtl w:val="0"/>
          <w:lang w:val="en-US"/>
        </w:rPr>
        <w:t>MENC: The National Association for Music Education</w:t>
      </w:r>
      <w:r>
        <w:rPr>
          <w:rStyle w:val="Hyperlink.0"/>
          <w:rtl w:val="0"/>
        </w:rPr>
        <w:t>, 28(2), pp. 5-12.</w:t>
      </w:r>
    </w:p>
    <w:p>
      <w:pPr>
        <w:pStyle w:val="Body"/>
        <w:spacing w:before="200" w:after="20" w:line="360" w:lineRule="auto"/>
      </w:pPr>
      <w:r>
        <w:rPr>
          <w:rStyle w:val="Hyperlink.0"/>
          <w:rtl w:val="0"/>
        </w:rPr>
        <w:t xml:space="preserve">Van Camp (1987) </w:t>
      </w:r>
      <w:r>
        <w:rPr>
          <w:rStyle w:val="Hyperlink.0"/>
          <w:rtl w:val="1"/>
        </w:rPr>
        <w:t>‘</w:t>
      </w:r>
      <w:r>
        <w:rPr>
          <w:rStyle w:val="Hyperlink.0"/>
          <w:rtl w:val="0"/>
          <w:lang w:val="en-US"/>
        </w:rPr>
        <w:t>The Choral Crisis and a Plan for Action (An Open Letter to My Colleagues)</w:t>
      </w:r>
      <w:r>
        <w:rPr>
          <w:rStyle w:val="Hyperlink.0"/>
          <w:rtl w:val="1"/>
        </w:rPr>
        <w:t>’</w:t>
      </w:r>
      <w:r>
        <w:rPr>
          <w:rStyle w:val="Hyperlink.0"/>
          <w:rtl w:val="0"/>
        </w:rPr>
        <w:t xml:space="preserve">, </w:t>
      </w:r>
      <w:r>
        <w:rPr>
          <w:rStyle w:val="None"/>
          <w:i w:val="1"/>
          <w:iCs w:val="1"/>
          <w:rtl w:val="0"/>
          <w:lang w:val="en-US"/>
        </w:rPr>
        <w:t>The Choral Journal</w:t>
      </w:r>
      <w:r>
        <w:rPr>
          <w:rStyle w:val="Hyperlink.0"/>
          <w:rtl w:val="0"/>
        </w:rPr>
        <w:t>, 28(5), pp. 15-20.</w:t>
      </w:r>
    </w:p>
    <w:p>
      <w:pPr>
        <w:pStyle w:val="Body"/>
        <w:spacing w:before="200" w:after="20" w:line="360" w:lineRule="auto"/>
      </w:pPr>
      <w:r>
        <w:rPr>
          <w:rStyle w:val="Hyperlink.0"/>
          <w:rtl w:val="0"/>
        </w:rPr>
        <w:t xml:space="preserve">Warnock, E. C. (2009) </w:t>
      </w:r>
      <w:r>
        <w:rPr>
          <w:rStyle w:val="Hyperlink.0"/>
          <w:rtl w:val="1"/>
        </w:rPr>
        <w:t>‘</w:t>
      </w:r>
      <w:r>
        <w:rPr>
          <w:rStyle w:val="Hyperlink.0"/>
          <w:rtl w:val="0"/>
          <w:lang w:val="en-US"/>
        </w:rPr>
        <w:t>Gender and Attraction: Predicting Middle School Choral Ensemble Participation</w:t>
      </w:r>
      <w:r>
        <w:rPr>
          <w:rStyle w:val="Hyperlink.0"/>
          <w:rtl w:val="1"/>
        </w:rPr>
        <w:t>’</w:t>
      </w:r>
      <w:r>
        <w:rPr>
          <w:rStyle w:val="Hyperlink.0"/>
          <w:rtl w:val="0"/>
        </w:rPr>
        <w:t xml:space="preserve">, </w:t>
      </w:r>
      <w:r>
        <w:rPr>
          <w:rStyle w:val="None"/>
          <w:i w:val="1"/>
          <w:iCs w:val="1"/>
          <w:rtl w:val="0"/>
          <w:lang w:val="en-US"/>
        </w:rPr>
        <w:t>Contributions to Music Education</w:t>
      </w:r>
      <w:r>
        <w:rPr>
          <w:rStyle w:val="Hyperlink.0"/>
          <w:rtl w:val="0"/>
        </w:rPr>
        <w:t>, 36(2), pp. 59-78.</w:t>
      </w:r>
    </w:p>
    <w:p>
      <w:pPr>
        <w:pStyle w:val="Body"/>
        <w:spacing w:before="200" w:after="20" w:line="360" w:lineRule="auto"/>
      </w:pPr>
      <w:r>
        <w:rPr>
          <w:rStyle w:val="Hyperlink.0"/>
          <w:rtl w:val="0"/>
          <w:lang w:val="en-US"/>
        </w:rPr>
        <w:t xml:space="preserve">Watson, P., Rubie-Davies, C. M., and Hattie, J. A. (2017) </w:t>
      </w:r>
      <w:r>
        <w:rPr>
          <w:rStyle w:val="Hyperlink.0"/>
          <w:rtl w:val="1"/>
        </w:rPr>
        <w:t>‘</w:t>
      </w:r>
      <w:r>
        <w:rPr>
          <w:rStyle w:val="Hyperlink.0"/>
          <w:rtl w:val="0"/>
          <w:lang w:val="en-US"/>
        </w:rPr>
        <w:t>Stereotype threat, gender-role conformity, and New Zealand adolescent males in choirs</w:t>
      </w:r>
      <w:r>
        <w:rPr>
          <w:rStyle w:val="Hyperlink.0"/>
          <w:rtl w:val="1"/>
        </w:rPr>
        <w:t>’</w:t>
      </w:r>
      <w:r>
        <w:rPr>
          <w:rStyle w:val="Hyperlink.0"/>
          <w:rtl w:val="0"/>
        </w:rPr>
        <w:t xml:space="preserve">, </w:t>
      </w:r>
      <w:r>
        <w:rPr>
          <w:rStyle w:val="None"/>
          <w:i w:val="1"/>
          <w:iCs w:val="1"/>
          <w:rtl w:val="0"/>
          <w:lang w:val="en-US"/>
        </w:rPr>
        <w:t>Research Studies in Music Education</w:t>
      </w:r>
      <w:r>
        <w:rPr>
          <w:rStyle w:val="Hyperlink.0"/>
          <w:rtl w:val="0"/>
        </w:rPr>
        <w:t xml:space="preserve">, 39(2), pp. 226-246. </w:t>
      </w:r>
    </w:p>
    <w:p>
      <w:pPr>
        <w:pStyle w:val="Body"/>
        <w:spacing w:before="200" w:after="20" w:line="360" w:lineRule="auto"/>
      </w:pPr>
      <w:r>
        <w:rPr>
          <w:rStyle w:val="Hyperlink.0"/>
          <w:rtl w:val="0"/>
          <w:lang w:val="en-US"/>
        </w:rPr>
        <w:t xml:space="preserve">Wright, R. (2001) </w:t>
      </w:r>
      <w:r>
        <w:rPr>
          <w:rStyle w:val="Hyperlink.0"/>
          <w:rtl w:val="1"/>
        </w:rPr>
        <w:t>‘</w:t>
      </w:r>
      <w:r>
        <w:rPr>
          <w:rStyle w:val="Hyperlink.0"/>
          <w:rtl w:val="0"/>
          <w:lang w:val="en-US"/>
        </w:rPr>
        <w:t>Gender and achievement in music education: the view from the classroom</w:t>
      </w:r>
      <w:r>
        <w:rPr>
          <w:rStyle w:val="Hyperlink.0"/>
          <w:rtl w:val="1"/>
        </w:rPr>
        <w:t>’</w:t>
      </w:r>
      <w:r>
        <w:rPr>
          <w:rStyle w:val="Hyperlink.0"/>
          <w:rtl w:val="0"/>
        </w:rPr>
        <w:t xml:space="preserve">, </w:t>
      </w:r>
      <w:r>
        <w:rPr>
          <w:rStyle w:val="None"/>
          <w:i w:val="1"/>
          <w:iCs w:val="1"/>
          <w:rtl w:val="0"/>
          <w:lang w:val="en-US"/>
        </w:rPr>
        <w:t>British Journal of Music Education</w:t>
      </w:r>
      <w:r>
        <w:rPr>
          <w:rStyle w:val="Hyperlink.0"/>
          <w:rtl w:val="0"/>
        </w:rPr>
        <w:t>, 18(3), pp. 275-291.</w:t>
      </w:r>
    </w:p>
    <w:p>
      <w:pPr>
        <w:pStyle w:val="Body"/>
        <w:spacing w:before="200" w:after="20" w:line="360" w:lineRule="auto"/>
      </w:pPr>
      <w:r>
        <w:rPr>
          <w:rStyle w:val="Hyperlink.0"/>
          <w:rtl w:val="0"/>
        </w:rPr>
        <w:t xml:space="preserve">Wolfe, N. (2016) </w:t>
      </w:r>
      <w:r>
        <w:rPr>
          <w:rStyle w:val="Hyperlink.0"/>
          <w:rtl w:val="1"/>
        </w:rPr>
        <w:t>‘</w:t>
      </w:r>
      <w:r>
        <w:rPr>
          <w:rStyle w:val="Hyperlink.0"/>
          <w:rtl w:val="0"/>
          <w:lang w:val="en-US"/>
        </w:rPr>
        <w:t>Adolescent Identity Formation and the Singing Voice</w:t>
      </w:r>
      <w:r>
        <w:rPr>
          <w:rStyle w:val="Hyperlink.0"/>
          <w:rtl w:val="1"/>
        </w:rPr>
        <w:t>’</w:t>
      </w:r>
      <w:r>
        <w:rPr>
          <w:rStyle w:val="Hyperlink.0"/>
          <w:rtl w:val="0"/>
        </w:rPr>
        <w:t xml:space="preserve">, </w:t>
      </w:r>
      <w:r>
        <w:rPr>
          <w:rStyle w:val="None"/>
          <w:i w:val="1"/>
          <w:iCs w:val="1"/>
          <w:rtl w:val="0"/>
          <w:lang w:val="en-US"/>
        </w:rPr>
        <w:t>The Choral Journal</w:t>
      </w:r>
      <w:r>
        <w:rPr>
          <w:rStyle w:val="Hyperlink.0"/>
          <w:rtl w:val="0"/>
        </w:rPr>
        <w:t>, 57(3), pp. 49-52.</w:t>
      </w:r>
    </w:p>
    <w:p>
      <w:pPr>
        <w:pStyle w:val="Body"/>
        <w:spacing w:before="200" w:after="20" w:line="360" w:lineRule="auto"/>
      </w:pPr>
      <w:r>
        <w:rPr>
          <w:rStyle w:val="Hyperlink.0"/>
          <w:rtl w:val="0"/>
        </w:rPr>
        <w:t xml:space="preserve">Zemek, M. D. (2010) </w:t>
      </w:r>
      <w:r>
        <w:rPr>
          <w:rStyle w:val="Hyperlink.0"/>
          <w:rtl w:val="1"/>
        </w:rPr>
        <w:t>‘</w:t>
      </w:r>
      <w:r>
        <w:rPr>
          <w:rStyle w:val="Hyperlink.0"/>
          <w:rtl w:val="0"/>
          <w:lang w:val="en-US"/>
        </w:rPr>
        <w:t>Where</w:t>
      </w:r>
      <w:r>
        <w:rPr>
          <w:rStyle w:val="Hyperlink.0"/>
          <w:rtl w:val="1"/>
        </w:rPr>
        <w:t>’</w:t>
      </w:r>
      <w:r>
        <w:rPr>
          <w:rStyle w:val="Hyperlink.0"/>
          <w:rtl w:val="0"/>
          <w:lang w:val="en-US"/>
        </w:rPr>
        <w:t>s the Evidence? Finding Support for Separating Middle and Junior High School Choirs by Gender</w:t>
      </w:r>
      <w:r>
        <w:rPr>
          <w:rStyle w:val="Hyperlink.0"/>
          <w:rtl w:val="1"/>
        </w:rPr>
        <w:t>’</w:t>
      </w:r>
      <w:r>
        <w:rPr>
          <w:rStyle w:val="Hyperlink.0"/>
          <w:rtl w:val="0"/>
        </w:rPr>
        <w:t xml:space="preserve">, </w:t>
      </w:r>
      <w:r>
        <w:rPr>
          <w:rStyle w:val="None"/>
          <w:i w:val="1"/>
          <w:iCs w:val="1"/>
          <w:rtl w:val="0"/>
          <w:lang w:val="en-US"/>
        </w:rPr>
        <w:t>MENC: The National Association for Music Education</w:t>
      </w:r>
      <w:r>
        <w:rPr>
          <w:rStyle w:val="Hyperlink.0"/>
          <w:rtl w:val="0"/>
        </w:rPr>
        <w:t>, 29(1), pp. 15-21.</w:t>
      </w:r>
    </w:p>
    <w:p>
      <w:pPr>
        <w:pStyle w:val="Body"/>
        <w:spacing w:before="200" w:after="20" w:line="360" w:lineRule="auto"/>
        <w:rPr>
          <w:rStyle w:val="None"/>
          <w:b w:val="1"/>
          <w:bCs w:val="1"/>
          <w:u w:val="single"/>
        </w:rPr>
      </w:pPr>
    </w:p>
    <w:p>
      <w:pPr>
        <w:pStyle w:val="Body"/>
        <w:spacing w:before="200" w:after="20" w:line="360" w:lineRule="auto"/>
      </w:pPr>
    </w:p>
    <w:p>
      <w:pPr>
        <w:pStyle w:val="Body"/>
        <w:spacing w:before="200" w:after="20" w:line="360" w:lineRule="auto"/>
      </w:p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Roboto">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48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48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48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48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48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48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numStyleLink w:val="Imported Style 7"/>
  </w:abstractNum>
  <w:abstractNum w:abstractNumId="13">
    <w:multiLevelType w:val="hybridMultilevel"/>
    <w:styleLink w:val="Imported Style 7"/>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multiLevelType w:val="hybridMultilevel"/>
    <w:numStyleLink w:val="Imported Style 8"/>
  </w:abstractNum>
  <w:abstractNum w:abstractNumId="15">
    <w:multiLevelType w:val="hybridMultilevel"/>
    <w:styleLink w:val="Imported Style 8"/>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multiLevelType w:val="hybridMultilevel"/>
    <w:numStyleLink w:val="Imported Style 9"/>
  </w:abstractNum>
  <w:abstractNum w:abstractNumId="17">
    <w:multiLevelType w:val="hybridMultilevel"/>
    <w:styleLink w:val="Imported Style 9"/>
    <w:lvl w:ilvl="0">
      <w:start w:val="1"/>
      <w:numFmt w:val="upp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482"/>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482"/>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482"/>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 w:numId="15">
    <w:abstractNumId w:val="15"/>
  </w:num>
  <w:num w:numId="16">
    <w:abstractNumId w:val="14"/>
  </w:num>
  <w:num w:numId="17">
    <w:abstractNumId w:val="17"/>
  </w:num>
  <w:num w:numId="18">
    <w:abstractNumId w:val="16"/>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numbering" w:styleId="Imported Style 6">
    <w:name w:val="Imported Style 6"/>
    <w:pPr>
      <w:numPr>
        <w:numId w:val="11"/>
      </w:numPr>
    </w:pPr>
  </w:style>
  <w:style w:type="numbering" w:styleId="Imported Style 7">
    <w:name w:val="Imported Style 7"/>
    <w:pPr>
      <w:numPr>
        <w:numId w:val="13"/>
      </w:numPr>
    </w:pPr>
  </w:style>
  <w:style w:type="numbering" w:styleId="Imported Style 8">
    <w:name w:val="Imported Style 8"/>
    <w:pPr>
      <w:numPr>
        <w:numId w:val="15"/>
      </w:numPr>
    </w:pPr>
  </w:style>
  <w:style w:type="numbering" w:styleId="Imported Style 9">
    <w:name w:val="Imported Style 9"/>
    <w:pPr>
      <w:numPr>
        <w:numId w:val="17"/>
      </w:numPr>
    </w:pPr>
  </w:style>
  <w:style w:type="character" w:styleId="None">
    <w:name w:val="None"/>
  </w:style>
  <w:style w:type="character" w:styleId="Hyperlink.0">
    <w:name w:val="Hyperlink.0"/>
    <w:basedOn w:val="None"/>
    <w:next w:val="Hyperlink.0"/>
    <w:rPr/>
  </w:style>
  <w:style w:type="character" w:styleId="Hyperlink.1">
    <w:name w:val="Hyperlink.1"/>
    <w:basedOn w:val="None"/>
    <w:next w:val="Hyperlink.1"/>
    <w:rPr>
      <w:outline w:val="0"/>
      <w:color w:val="1155cc"/>
      <w:u w:val="single" w:color="1155cc"/>
      <w14:textFill>
        <w14:solidFill>
          <w14:srgbClr w14:val="1155CC"/>
        </w14:solidFill>
      </w14:textFill>
    </w:rPr>
  </w:style>
  <w:style w:type="character" w:styleId="Hyperlink.2">
    <w:name w:val="Hyperlink.2"/>
    <w:basedOn w:val="None"/>
    <w:next w:val="Hyperlink.2"/>
    <w:rPr>
      <w:outline w:val="0"/>
      <w:color w:val="1155cc"/>
      <w:u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