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CD83BD" w14:textId="5E43DA47" w:rsidR="00081A79" w:rsidRPr="00277198" w:rsidRDefault="00081A79" w:rsidP="004709E5">
      <w:pPr>
        <w:jc w:val="center"/>
        <w:rPr>
          <w:b/>
          <w:bCs/>
          <w:sz w:val="22"/>
          <w:szCs w:val="28"/>
          <w:lang w:val="en-US"/>
        </w:rPr>
      </w:pPr>
      <w:r w:rsidRPr="00277198">
        <w:rPr>
          <w:rFonts w:cs="Arial"/>
          <w:noProof/>
          <w:sz w:val="22"/>
          <w:lang w:val="en-US"/>
        </w:rPr>
        <w:drawing>
          <wp:inline distT="0" distB="0" distL="0" distR="0" wp14:anchorId="6C19AFDB" wp14:editId="307C4B23">
            <wp:extent cx="2668941" cy="1111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2629" cy="1112786"/>
                    </a:xfrm>
                    <a:prstGeom prst="rect">
                      <a:avLst/>
                    </a:prstGeom>
                    <a:noFill/>
                  </pic:spPr>
                </pic:pic>
              </a:graphicData>
            </a:graphic>
          </wp:inline>
        </w:drawing>
      </w:r>
    </w:p>
    <w:p w14:paraId="7C3CA943" w14:textId="3E367876" w:rsidR="00354233" w:rsidRPr="00354233" w:rsidRDefault="004709E5" w:rsidP="00354233">
      <w:pPr>
        <w:jc w:val="center"/>
        <w:rPr>
          <w:b/>
          <w:bCs/>
          <w:sz w:val="28"/>
          <w:szCs w:val="36"/>
          <w:lang w:val="en-US"/>
        </w:rPr>
      </w:pPr>
      <w:r w:rsidRPr="00277198">
        <w:rPr>
          <w:b/>
          <w:bCs/>
          <w:sz w:val="28"/>
          <w:szCs w:val="36"/>
          <w:lang w:val="en-US"/>
        </w:rPr>
        <w:t>Systematic Review on Antimicrobial Resistance and Antibiotic Prescribing Practices in Community P</w:t>
      </w:r>
      <w:r w:rsidR="00354233">
        <w:rPr>
          <w:b/>
          <w:bCs/>
          <w:sz w:val="28"/>
          <w:szCs w:val="36"/>
          <w:lang w:val="en-US"/>
        </w:rPr>
        <w:t>harmacies in the United Kingdom.</w:t>
      </w:r>
    </w:p>
    <w:p w14:paraId="79C0CF98" w14:textId="20EBEDA7" w:rsidR="004709E5" w:rsidRPr="00277198" w:rsidRDefault="00A62299" w:rsidP="004709E5">
      <w:pPr>
        <w:jc w:val="center"/>
        <w:rPr>
          <w:sz w:val="28"/>
          <w:szCs w:val="36"/>
          <w:lang w:val="en-US"/>
        </w:rPr>
      </w:pPr>
      <w:bookmarkStart w:id="0" w:name="_GoBack"/>
      <w:bookmarkEnd w:id="0"/>
      <w:r>
        <w:rPr>
          <w:b/>
          <w:bCs/>
          <w:sz w:val="28"/>
          <w:szCs w:val="36"/>
          <w:lang w:val="en-US"/>
        </w:rPr>
        <w:t>By</w:t>
      </w:r>
    </w:p>
    <w:p w14:paraId="120A6B0C" w14:textId="5C4B915E" w:rsidR="004709E5" w:rsidRDefault="004709E5" w:rsidP="00277198">
      <w:pPr>
        <w:jc w:val="center"/>
        <w:rPr>
          <w:b/>
          <w:bCs/>
          <w:sz w:val="28"/>
          <w:szCs w:val="36"/>
          <w:lang w:val="en-US"/>
        </w:rPr>
      </w:pPr>
      <w:r w:rsidRPr="00277198">
        <w:rPr>
          <w:b/>
          <w:bCs/>
          <w:sz w:val="28"/>
          <w:szCs w:val="36"/>
          <w:lang w:val="en-US"/>
        </w:rPr>
        <w:t>Md. Al Zakaria</w:t>
      </w:r>
    </w:p>
    <w:p w14:paraId="12642DC4" w14:textId="3FFA3128" w:rsidR="00354233" w:rsidRDefault="00354233" w:rsidP="00277198">
      <w:pPr>
        <w:jc w:val="center"/>
        <w:rPr>
          <w:b/>
          <w:bCs/>
          <w:sz w:val="28"/>
          <w:szCs w:val="36"/>
          <w:lang w:val="en-US"/>
        </w:rPr>
      </w:pPr>
      <w:r>
        <w:rPr>
          <w:b/>
          <w:bCs/>
          <w:sz w:val="28"/>
          <w:szCs w:val="36"/>
          <w:lang w:val="en-US"/>
        </w:rPr>
        <w:t>Module Code: LCHS7004</w:t>
      </w:r>
    </w:p>
    <w:p w14:paraId="1D8AD83A" w14:textId="59AEC2FD" w:rsidR="00957D67" w:rsidRDefault="00354233" w:rsidP="00277198">
      <w:pPr>
        <w:jc w:val="center"/>
        <w:rPr>
          <w:b/>
          <w:bCs/>
          <w:sz w:val="28"/>
          <w:szCs w:val="36"/>
          <w:lang w:val="en-US"/>
        </w:rPr>
      </w:pPr>
      <w:r>
        <w:rPr>
          <w:b/>
          <w:bCs/>
          <w:sz w:val="28"/>
          <w:szCs w:val="36"/>
          <w:lang w:val="en-US"/>
        </w:rPr>
        <w:t xml:space="preserve">Student </w:t>
      </w:r>
      <w:r w:rsidR="00957D67">
        <w:rPr>
          <w:b/>
          <w:bCs/>
          <w:sz w:val="28"/>
          <w:szCs w:val="36"/>
          <w:lang w:val="en-US"/>
        </w:rPr>
        <w:t>ID: 2511048</w:t>
      </w:r>
    </w:p>
    <w:p w14:paraId="379345A1" w14:textId="22840811" w:rsidR="00957D67" w:rsidRDefault="00957D67" w:rsidP="00277198">
      <w:pPr>
        <w:jc w:val="center"/>
        <w:rPr>
          <w:b/>
          <w:bCs/>
          <w:sz w:val="28"/>
          <w:szCs w:val="36"/>
          <w:lang w:val="en-US"/>
        </w:rPr>
      </w:pPr>
      <w:r>
        <w:rPr>
          <w:b/>
          <w:bCs/>
          <w:sz w:val="28"/>
          <w:szCs w:val="36"/>
          <w:lang w:val="en-US"/>
        </w:rPr>
        <w:t>Supervisor Name: Soban Sadik</w:t>
      </w:r>
    </w:p>
    <w:p w14:paraId="5A3D5701" w14:textId="52192B43" w:rsidR="00354233" w:rsidRDefault="00354233" w:rsidP="00277198">
      <w:pPr>
        <w:jc w:val="center"/>
        <w:rPr>
          <w:b/>
          <w:bCs/>
          <w:sz w:val="28"/>
          <w:szCs w:val="36"/>
          <w:lang w:val="en-US"/>
        </w:rPr>
      </w:pPr>
      <w:r>
        <w:rPr>
          <w:b/>
          <w:bCs/>
          <w:sz w:val="28"/>
          <w:szCs w:val="36"/>
          <w:lang w:val="en-US"/>
        </w:rPr>
        <w:t xml:space="preserve">Word Count: </w:t>
      </w:r>
      <w:r w:rsidR="001564D2">
        <w:rPr>
          <w:b/>
          <w:bCs/>
          <w:sz w:val="28"/>
          <w:szCs w:val="36"/>
          <w:lang w:val="en-US"/>
        </w:rPr>
        <w:t>16482</w:t>
      </w:r>
    </w:p>
    <w:p w14:paraId="6A92E4E1" w14:textId="02055EB6" w:rsidR="00354233" w:rsidRPr="00277198" w:rsidRDefault="00354233" w:rsidP="00277198">
      <w:pPr>
        <w:jc w:val="center"/>
        <w:rPr>
          <w:sz w:val="28"/>
          <w:szCs w:val="36"/>
          <w:lang w:val="en-US"/>
        </w:rPr>
      </w:pPr>
      <w:r>
        <w:rPr>
          <w:b/>
          <w:bCs/>
          <w:sz w:val="28"/>
          <w:szCs w:val="36"/>
          <w:lang w:val="en-US"/>
        </w:rPr>
        <w:t>Submission Date: 23 September 2026</w:t>
      </w:r>
    </w:p>
    <w:p w14:paraId="28D2242A" w14:textId="7823D760" w:rsidR="004709E5" w:rsidRPr="00277198" w:rsidRDefault="004709E5" w:rsidP="004709E5">
      <w:pPr>
        <w:jc w:val="center"/>
        <w:rPr>
          <w:sz w:val="28"/>
          <w:szCs w:val="36"/>
          <w:lang w:val="en-US"/>
        </w:rPr>
      </w:pPr>
      <w:r w:rsidRPr="00277198">
        <w:rPr>
          <w:sz w:val="28"/>
          <w:szCs w:val="36"/>
          <w:lang w:val="en-US"/>
        </w:rPr>
        <w:t>A Dissertation submitted in partial fulfilment of the requirements for the degree of</w:t>
      </w:r>
    </w:p>
    <w:p w14:paraId="20C22312" w14:textId="77777777" w:rsidR="004709E5" w:rsidRPr="00277198" w:rsidRDefault="004709E5" w:rsidP="004709E5">
      <w:pPr>
        <w:jc w:val="center"/>
        <w:rPr>
          <w:sz w:val="28"/>
          <w:szCs w:val="36"/>
          <w:lang w:val="en-US"/>
        </w:rPr>
      </w:pPr>
      <w:r w:rsidRPr="00277198">
        <w:rPr>
          <w:b/>
          <w:bCs/>
          <w:sz w:val="28"/>
          <w:szCs w:val="36"/>
          <w:lang w:val="en-US"/>
        </w:rPr>
        <w:t>Masters of Science in Public Health and Social Care in Practice</w:t>
      </w:r>
    </w:p>
    <w:p w14:paraId="1F6779F5" w14:textId="77777777" w:rsidR="004709E5" w:rsidRPr="00277198" w:rsidRDefault="004709E5" w:rsidP="004709E5">
      <w:pPr>
        <w:jc w:val="center"/>
        <w:rPr>
          <w:sz w:val="28"/>
          <w:szCs w:val="36"/>
          <w:lang w:val="en-US"/>
        </w:rPr>
      </w:pPr>
    </w:p>
    <w:p w14:paraId="64443AA5" w14:textId="2A3DC97D" w:rsidR="004709E5" w:rsidRPr="00277198" w:rsidRDefault="004709E5" w:rsidP="004709E5">
      <w:pPr>
        <w:jc w:val="center"/>
        <w:rPr>
          <w:sz w:val="28"/>
          <w:szCs w:val="36"/>
          <w:lang w:val="en-US"/>
        </w:rPr>
      </w:pPr>
      <w:r w:rsidRPr="00277198">
        <w:rPr>
          <w:sz w:val="28"/>
          <w:szCs w:val="36"/>
          <w:lang w:val="en-US"/>
        </w:rPr>
        <w:t>The Institute of Inner-City Learning</w:t>
      </w:r>
    </w:p>
    <w:p w14:paraId="6C6F0C19" w14:textId="5C3DB108" w:rsidR="004709E5" w:rsidRPr="00277198" w:rsidRDefault="004709E5" w:rsidP="009328AC">
      <w:pPr>
        <w:jc w:val="center"/>
        <w:rPr>
          <w:sz w:val="28"/>
          <w:szCs w:val="36"/>
          <w:lang w:val="en-US"/>
        </w:rPr>
      </w:pPr>
      <w:r w:rsidRPr="00277198">
        <w:rPr>
          <w:sz w:val="28"/>
          <w:szCs w:val="36"/>
          <w:lang w:val="en-US"/>
        </w:rPr>
        <w:t xml:space="preserve">University of Wales Trinity Saint David </w:t>
      </w:r>
      <w:r w:rsidR="002A0FFE">
        <w:rPr>
          <w:sz w:val="28"/>
          <w:szCs w:val="36"/>
          <w:lang w:val="en-US"/>
        </w:rPr>
        <w:t>-</w:t>
      </w:r>
      <w:r w:rsidRPr="00277198">
        <w:rPr>
          <w:sz w:val="28"/>
          <w:szCs w:val="36"/>
          <w:lang w:val="en-US"/>
        </w:rPr>
        <w:t xml:space="preserve"> London Campus</w:t>
      </w:r>
    </w:p>
    <w:p w14:paraId="55A656A8" w14:textId="5F507526" w:rsidR="001C2917" w:rsidRDefault="004709E5" w:rsidP="004709E5">
      <w:pPr>
        <w:jc w:val="center"/>
        <w:rPr>
          <w:sz w:val="28"/>
          <w:szCs w:val="36"/>
          <w:lang w:val="en-US"/>
        </w:rPr>
      </w:pPr>
      <w:r w:rsidRPr="00277198">
        <w:rPr>
          <w:sz w:val="28"/>
          <w:szCs w:val="36"/>
          <w:lang w:val="en-US"/>
        </w:rPr>
        <w:t>2026</w:t>
      </w:r>
    </w:p>
    <w:p w14:paraId="2CAB0B39" w14:textId="77777777" w:rsidR="001C2917" w:rsidRDefault="001C2917">
      <w:pPr>
        <w:spacing w:line="259" w:lineRule="auto"/>
        <w:jc w:val="left"/>
        <w:rPr>
          <w:sz w:val="28"/>
          <w:szCs w:val="36"/>
          <w:lang w:val="en-US"/>
        </w:rPr>
      </w:pPr>
      <w:r>
        <w:rPr>
          <w:sz w:val="28"/>
          <w:szCs w:val="36"/>
          <w:lang w:val="en-US"/>
        </w:rPr>
        <w:br w:type="page"/>
      </w:r>
    </w:p>
    <w:p w14:paraId="7F2EAC0C" w14:textId="404BDC11" w:rsidR="001C2917" w:rsidRPr="001C2917" w:rsidRDefault="001C2917" w:rsidP="001C2917">
      <w:pPr>
        <w:pStyle w:val="Heading1"/>
      </w:pPr>
      <w:bookmarkStart w:id="1" w:name="_Toc240927929"/>
      <w:r w:rsidRPr="001C2917">
        <w:lastRenderedPageBreak/>
        <w:t>DECLARATION</w:t>
      </w:r>
      <w:bookmarkEnd w:id="1"/>
    </w:p>
    <w:p w14:paraId="449D995D" w14:textId="61B52E07" w:rsidR="00380C5E" w:rsidRPr="00171C77" w:rsidRDefault="001C2917" w:rsidP="00171C77">
      <w:pPr>
        <w:rPr>
          <w:lang w:val="hr-HR"/>
        </w:rPr>
      </w:pPr>
      <w:r w:rsidRPr="001C2917">
        <w:rPr>
          <w:noProof/>
          <w:lang w:val="en-US"/>
        </w:rPr>
        <w:drawing>
          <wp:anchor distT="0" distB="0" distL="114300" distR="114300" simplePos="0" relativeHeight="251677696" behindDoc="0" locked="0" layoutInCell="1" allowOverlap="1" wp14:anchorId="1D0F615E" wp14:editId="226BC331">
            <wp:simplePos x="0" y="0"/>
            <wp:positionH relativeFrom="column">
              <wp:posOffset>-2084070</wp:posOffset>
            </wp:positionH>
            <wp:positionV relativeFrom="paragraph">
              <wp:posOffset>-224790</wp:posOffset>
            </wp:positionV>
            <wp:extent cx="920750" cy="920750"/>
            <wp:effectExtent l="1905" t="3810" r="1270" b="0"/>
            <wp:wrapNone/>
            <wp:docPr id="25" name="Ink 2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w:r>
      <w:r w:rsidRPr="001C2917">
        <w:rPr>
          <w:noProof/>
          <w:lang w:val="en-US"/>
        </w:rPr>
        <w:drawing>
          <wp:anchor distT="0" distB="0" distL="114300" distR="114300" simplePos="0" relativeHeight="251678720" behindDoc="0" locked="0" layoutInCell="1" allowOverlap="1" wp14:anchorId="721724E4" wp14:editId="3AFF9793">
            <wp:simplePos x="0" y="0"/>
            <wp:positionH relativeFrom="column">
              <wp:posOffset>-2084070</wp:posOffset>
            </wp:positionH>
            <wp:positionV relativeFrom="paragraph">
              <wp:posOffset>233045</wp:posOffset>
            </wp:positionV>
            <wp:extent cx="920750" cy="40640"/>
            <wp:effectExtent l="1905" t="4445" r="1270" b="2540"/>
            <wp:wrapNone/>
            <wp:docPr id="24" name="Ink 2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w:r>
      <w:r w:rsidRPr="001C2917">
        <w:rPr>
          <w:noProof/>
          <w:lang w:val="en-US"/>
        </w:rPr>
        <w:drawing>
          <wp:anchor distT="0" distB="0" distL="114300" distR="114300" simplePos="0" relativeHeight="251679744" behindDoc="0" locked="0" layoutInCell="1" allowOverlap="1" wp14:anchorId="7CEF458C" wp14:editId="7EC11DC1">
            <wp:simplePos x="0" y="0"/>
            <wp:positionH relativeFrom="column">
              <wp:posOffset>-2084070</wp:posOffset>
            </wp:positionH>
            <wp:positionV relativeFrom="paragraph">
              <wp:posOffset>-214630</wp:posOffset>
            </wp:positionV>
            <wp:extent cx="920750" cy="920750"/>
            <wp:effectExtent l="1905" t="4445" r="1270" b="0"/>
            <wp:wrapNone/>
            <wp:docPr id="23" name="Ink 23"/>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w:r>
      <w:r w:rsidRPr="001C2917">
        <w:rPr>
          <w:noProof/>
          <w:lang w:val="en-US"/>
        </w:rPr>
        <w:drawing>
          <wp:anchor distT="0" distB="0" distL="114300" distR="114300" simplePos="0" relativeHeight="251680768" behindDoc="0" locked="0" layoutInCell="1" allowOverlap="1" wp14:anchorId="024BFC7B" wp14:editId="3B307E8A">
            <wp:simplePos x="0" y="0"/>
            <wp:positionH relativeFrom="column">
              <wp:posOffset>-2395855</wp:posOffset>
            </wp:positionH>
            <wp:positionV relativeFrom="paragraph">
              <wp:posOffset>-216535</wp:posOffset>
            </wp:positionV>
            <wp:extent cx="920750" cy="920750"/>
            <wp:effectExtent l="4445" t="2540" r="0" b="635"/>
            <wp:wrapNone/>
            <wp:docPr id="22" name="Ink 22"/>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w:r>
      <w:r w:rsidRPr="001C2917">
        <w:rPr>
          <w:lang w:val="hr-HR"/>
        </w:rPr>
        <w:t xml:space="preserve">I, </w:t>
      </w:r>
      <w:r w:rsidRPr="00171C77">
        <w:rPr>
          <w:sz w:val="28"/>
          <w:szCs w:val="36"/>
          <w:lang w:val="en-US"/>
        </w:rPr>
        <w:t>Md. Al Zakaria</w:t>
      </w:r>
      <w:r w:rsidRPr="001C2917">
        <w:rPr>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00380C5E">
        <w:br w:type="page"/>
      </w:r>
    </w:p>
    <w:p w14:paraId="0C018AC0" w14:textId="77FAD9DB" w:rsidR="00277198" w:rsidRPr="00277198" w:rsidRDefault="005A7C36" w:rsidP="00277198">
      <w:pPr>
        <w:pStyle w:val="Heading1"/>
      </w:pPr>
      <w:bookmarkStart w:id="2" w:name="_Toc240927930"/>
      <w:r w:rsidRPr="00277198">
        <w:t>ACKNOWLEDGEMENT</w:t>
      </w:r>
      <w:bookmarkEnd w:id="2"/>
    </w:p>
    <w:p w14:paraId="541297F9" w14:textId="5CF83BE9" w:rsidR="005F6E8B" w:rsidRPr="005F6E8B" w:rsidRDefault="005F6E8B" w:rsidP="005F6E8B">
      <w:pPr>
        <w:rPr>
          <w:sz w:val="22"/>
          <w:lang w:val="en-US"/>
        </w:rPr>
      </w:pPr>
      <w:r w:rsidRPr="005F6E8B">
        <w:rPr>
          <w:sz w:val="22"/>
          <w:lang w:val="en-US"/>
        </w:rPr>
        <w:t>I wish to thank my supervisor for guidance, constructive comments and constant academic support during the preparation of this dissertation. The support and guidance given during the research process have been very helpful in the formulation and completion of this systematic review.</w:t>
      </w:r>
    </w:p>
    <w:p w14:paraId="685CFDA7" w14:textId="77777777" w:rsidR="005F6E8B" w:rsidRPr="005F6E8B" w:rsidRDefault="005F6E8B" w:rsidP="005F6E8B">
      <w:pPr>
        <w:rPr>
          <w:sz w:val="22"/>
          <w:lang w:val="en-US"/>
        </w:rPr>
      </w:pPr>
      <w:r w:rsidRPr="005F6E8B">
        <w:rPr>
          <w:sz w:val="22"/>
          <w:lang w:val="en-US"/>
        </w:rPr>
        <w:t>Finally, I would like to express my gratitude to the academic staff at the Institute of Inner-City Learning and the University of Wales Trinity Saint David for their support, knowledge and academic environment in completing my MSc in Public Health and Social Care in Practice.</w:t>
      </w:r>
    </w:p>
    <w:p w14:paraId="36D8C2D8" w14:textId="527BD379" w:rsidR="00277198" w:rsidRPr="00277198" w:rsidRDefault="005F6E8B" w:rsidP="005F6E8B">
      <w:pPr>
        <w:rPr>
          <w:sz w:val="22"/>
          <w:lang w:val="en-US"/>
        </w:rPr>
      </w:pPr>
      <w:r w:rsidRPr="005F6E8B">
        <w:rPr>
          <w:sz w:val="22"/>
          <w:lang w:val="en-US"/>
        </w:rPr>
        <w:t>Last but not least, I would like to thank all my family and friends for being patient, encouraging and supporting me in my studies. During the completion of this dissertation, their motivation and understanding have been of great importance.</w:t>
      </w:r>
    </w:p>
    <w:p w14:paraId="73D0B40F" w14:textId="77777777" w:rsidR="00277198" w:rsidRPr="00277198" w:rsidRDefault="00277198">
      <w:pPr>
        <w:spacing w:line="259" w:lineRule="auto"/>
        <w:jc w:val="left"/>
        <w:rPr>
          <w:b/>
          <w:bCs/>
          <w:sz w:val="22"/>
          <w:lang w:val="en-US"/>
        </w:rPr>
      </w:pPr>
      <w:r w:rsidRPr="00277198">
        <w:rPr>
          <w:b/>
          <w:bCs/>
          <w:sz w:val="22"/>
          <w:lang w:val="en-US"/>
        </w:rPr>
        <w:br w:type="page"/>
      </w:r>
    </w:p>
    <w:p w14:paraId="06A7CDB8" w14:textId="1B9050EB" w:rsidR="00277198" w:rsidRPr="00277198" w:rsidRDefault="005A7C36" w:rsidP="00277198">
      <w:pPr>
        <w:pStyle w:val="Heading1"/>
      </w:pPr>
      <w:bookmarkStart w:id="3" w:name="_Toc240927931"/>
      <w:r w:rsidRPr="00277198">
        <w:t>ABSTRACT</w:t>
      </w:r>
      <w:bookmarkEnd w:id="3"/>
    </w:p>
    <w:p w14:paraId="6E8BC3F6" w14:textId="179F2248" w:rsidR="00277198" w:rsidRPr="00277198" w:rsidRDefault="00744132" w:rsidP="00277198">
      <w:pPr>
        <w:rPr>
          <w:sz w:val="22"/>
          <w:lang w:val="en-US"/>
        </w:rPr>
      </w:pPr>
      <w:r w:rsidRPr="00744132">
        <w:rPr>
          <w:sz w:val="22"/>
        </w:rPr>
        <w:t>Antimicrobial resistance (AMR)</w:t>
      </w:r>
      <w:r w:rsidR="00D2075D" w:rsidRPr="00D2075D">
        <w:rPr>
          <w:sz w:val="22"/>
          <w:lang w:val="en-US"/>
        </w:rPr>
        <w:t xml:space="preserve"> is a significant public health problem in the UK, and community pharmacies are now more involved in managing infections and providing antibiotic-related services. The aim of this systematic review was to examine antibiotic prescribing and dispensing behaviour in community pharmacies in the UK and to explore the potential for this behaviour to drive or prevent AMR. Evidence was systematically searched in PubMed/MEDLINE, EMBASE, CINAHL, ScienceDirect, Cochrane Library, and supplemental databases from 1st January 2019 to 10 August 2026. Studies were sought and assessed against pre-defined inclusion and exclusion criteria and appraised using the Critical Appraisal Skills Programme (CASP) framework. There were 15 studies identified which satisfied the inclusion and quality criteria, and these were synthesised thematically from 411 identified records. The four main themes were identified as structured clinical pathways and diagnostic safeguards, stewardship at the time of dispensing and self-care consultations, workforce capability, confidence and whole team learning and opportunity, communication, access and unintended pressure at the time of the organisation. The results show that community pharmacies can play their role in the fight against antimicrobial resistance by conducting structured assessments, carrying out </w:t>
      </w:r>
      <w:r w:rsidR="00F03EF0" w:rsidRPr="00F03EF0">
        <w:rPr>
          <w:sz w:val="22"/>
        </w:rPr>
        <w:t>POC</w:t>
      </w:r>
      <w:r w:rsidR="00D2075D" w:rsidRPr="00D2075D">
        <w:rPr>
          <w:sz w:val="22"/>
          <w:lang w:val="en-US"/>
        </w:rPr>
        <w:t xml:space="preserve">, checking the prescription, counselling the patient, safety-netting and appropriate referral. But the risks of stewardship may be heightened where there is a lack of clarity around diagnoses, insufficient information sharing, staff pressures, inconsistent capability to make decisions, and poor service design that results in incentives for staff decisions. There was no evidence of a direct causal relationship between the community-pharmacy practice and microbiological resistance. The review concludes that </w:t>
      </w:r>
      <w:r w:rsidR="00240010" w:rsidRPr="00240010">
        <w:rPr>
          <w:sz w:val="22"/>
        </w:rPr>
        <w:t>community pharmacy is neither inherently a risk nor inherently a solution to AMR</w:t>
      </w:r>
      <w:r w:rsidR="00D2075D" w:rsidRPr="00D2075D">
        <w:rPr>
          <w:sz w:val="22"/>
          <w:lang w:val="en-US"/>
        </w:rPr>
        <w:t>. Its contribution will be influenced by service design, diagnostic safety, competence of staff, communication and organisational capacity, and ongoing monitoring will be needed, as the role of the pharmacy becomes more significant within a primary-care service which is accessible and rapidly developing.</w:t>
      </w:r>
    </w:p>
    <w:p w14:paraId="02E9B672" w14:textId="084BE2E9" w:rsidR="00277198" w:rsidRDefault="00277198" w:rsidP="00277198">
      <w:pPr>
        <w:rPr>
          <w:sz w:val="22"/>
          <w:lang w:val="en-US"/>
        </w:rPr>
      </w:pPr>
      <w:r w:rsidRPr="00277198">
        <w:rPr>
          <w:b/>
          <w:bCs/>
          <w:sz w:val="22"/>
          <w:lang w:val="en-US"/>
        </w:rPr>
        <w:t>Keywords:</w:t>
      </w:r>
      <w:r w:rsidRPr="00277198">
        <w:rPr>
          <w:sz w:val="22"/>
          <w:lang w:val="en-US"/>
        </w:rPr>
        <w:t xml:space="preserve"> Antimicrobial resistance; antimicrobial stewardship; community pharmacy; antibiotic prescribing; antibiotic dispensing; United Kingdom; systematic review.</w:t>
      </w:r>
    </w:p>
    <w:p w14:paraId="624CBA4B" w14:textId="77777777" w:rsidR="00277198" w:rsidRDefault="00277198">
      <w:pPr>
        <w:spacing w:line="259" w:lineRule="auto"/>
        <w:jc w:val="left"/>
        <w:rPr>
          <w:sz w:val="22"/>
          <w:lang w:val="en-US"/>
        </w:rPr>
      </w:pPr>
      <w:r>
        <w:rPr>
          <w:sz w:val="22"/>
          <w:lang w:val="en-US"/>
        </w:rPr>
        <w:br w:type="page"/>
      </w:r>
    </w:p>
    <w:p w14:paraId="44AF4E39" w14:textId="777C3D80" w:rsidR="00E069A6" w:rsidRPr="00E069A6" w:rsidRDefault="005A7C36" w:rsidP="00E069A6">
      <w:pPr>
        <w:pStyle w:val="Heading1"/>
      </w:pPr>
      <w:bookmarkStart w:id="4" w:name="_Toc240927932"/>
      <w:r w:rsidRPr="00E069A6">
        <w:t>LIST OF TABLES</w:t>
      </w:r>
      <w:bookmarkEnd w:id="4"/>
    </w:p>
    <w:tbl>
      <w:tblPr>
        <w:tblStyle w:val="TableGrid"/>
        <w:tblW w:w="0" w:type="auto"/>
        <w:tblLook w:val="04A0" w:firstRow="1" w:lastRow="0" w:firstColumn="1" w:lastColumn="0" w:noHBand="0" w:noVBand="1"/>
      </w:tblPr>
      <w:tblGrid>
        <w:gridCol w:w="9350"/>
      </w:tblGrid>
      <w:tr w:rsidR="00E069A6" w:rsidRPr="00E069A6" w14:paraId="21AF815C" w14:textId="77777777" w:rsidTr="00E069A6">
        <w:tc>
          <w:tcPr>
            <w:tcW w:w="9576" w:type="dxa"/>
          </w:tcPr>
          <w:p w14:paraId="3F89B9F3" w14:textId="77777777" w:rsidR="00E069A6" w:rsidRPr="00E069A6" w:rsidRDefault="00E069A6" w:rsidP="00957D67">
            <w:pPr>
              <w:rPr>
                <w:sz w:val="22"/>
                <w:lang w:val="en-US"/>
              </w:rPr>
            </w:pPr>
            <w:r w:rsidRPr="00E069A6">
              <w:rPr>
                <w:b/>
                <w:bCs/>
                <w:sz w:val="22"/>
                <w:lang w:val="en-US"/>
              </w:rPr>
              <w:t>Table 3.1:</w:t>
            </w:r>
            <w:r w:rsidRPr="00E069A6">
              <w:rPr>
                <w:sz w:val="22"/>
                <w:lang w:val="en-US"/>
              </w:rPr>
              <w:t xml:space="preserve"> SPIDER Framework for the Review Question</w:t>
            </w:r>
          </w:p>
        </w:tc>
      </w:tr>
      <w:tr w:rsidR="00E069A6" w:rsidRPr="00E069A6" w14:paraId="2AA94B67" w14:textId="77777777" w:rsidTr="00E069A6">
        <w:tc>
          <w:tcPr>
            <w:tcW w:w="9576" w:type="dxa"/>
          </w:tcPr>
          <w:p w14:paraId="65027758" w14:textId="77777777" w:rsidR="00E069A6" w:rsidRPr="00E069A6" w:rsidRDefault="00E069A6" w:rsidP="00957D67">
            <w:pPr>
              <w:jc w:val="left"/>
              <w:rPr>
                <w:sz w:val="22"/>
                <w:lang w:val="en-US"/>
              </w:rPr>
            </w:pPr>
            <w:r w:rsidRPr="00E069A6">
              <w:rPr>
                <w:b/>
                <w:bCs/>
                <w:sz w:val="22"/>
                <w:lang w:val="en-US"/>
              </w:rPr>
              <w:t>Table 3.2:</w:t>
            </w:r>
            <w:r w:rsidRPr="00E069A6">
              <w:rPr>
                <w:sz w:val="22"/>
                <w:lang w:val="en-US"/>
              </w:rPr>
              <w:t xml:space="preserve"> Inclusion and Exclusion Criteria</w:t>
            </w:r>
          </w:p>
        </w:tc>
      </w:tr>
      <w:tr w:rsidR="00E069A6" w:rsidRPr="00E069A6" w14:paraId="162DCCC8" w14:textId="77777777" w:rsidTr="00E069A6">
        <w:tc>
          <w:tcPr>
            <w:tcW w:w="9576" w:type="dxa"/>
          </w:tcPr>
          <w:p w14:paraId="3BBE7F7E" w14:textId="77777777" w:rsidR="00E069A6" w:rsidRPr="00E069A6" w:rsidRDefault="00E069A6" w:rsidP="00957D67">
            <w:pPr>
              <w:jc w:val="left"/>
              <w:rPr>
                <w:sz w:val="22"/>
                <w:lang w:val="en-US"/>
              </w:rPr>
            </w:pPr>
            <w:r w:rsidRPr="00E069A6">
              <w:rPr>
                <w:b/>
                <w:bCs/>
                <w:sz w:val="22"/>
                <w:lang w:val="en-US"/>
              </w:rPr>
              <w:t>Table 3.3:</w:t>
            </w:r>
            <w:r w:rsidRPr="00E069A6">
              <w:rPr>
                <w:sz w:val="22"/>
                <w:lang w:val="en-US"/>
              </w:rPr>
              <w:t xml:space="preserve"> Reconciled PRISMA Screening Pathway </w:t>
            </w:r>
          </w:p>
        </w:tc>
      </w:tr>
      <w:tr w:rsidR="00E069A6" w:rsidRPr="00E069A6" w14:paraId="3FDECD2A" w14:textId="77777777" w:rsidTr="00E069A6">
        <w:tc>
          <w:tcPr>
            <w:tcW w:w="9576" w:type="dxa"/>
          </w:tcPr>
          <w:p w14:paraId="7615DD7C" w14:textId="77777777" w:rsidR="00E069A6" w:rsidRPr="00E069A6" w:rsidRDefault="00E069A6" w:rsidP="00957D67">
            <w:pPr>
              <w:jc w:val="left"/>
              <w:rPr>
                <w:sz w:val="22"/>
                <w:lang w:val="en-US"/>
              </w:rPr>
            </w:pPr>
            <w:r w:rsidRPr="00E069A6">
              <w:rPr>
                <w:b/>
                <w:bCs/>
                <w:sz w:val="22"/>
                <w:lang w:val="en-US"/>
              </w:rPr>
              <w:t>Table 4.1:</w:t>
            </w:r>
            <w:r w:rsidRPr="00E069A6">
              <w:rPr>
                <w:sz w:val="22"/>
                <w:lang w:val="en-US"/>
              </w:rPr>
              <w:t xml:space="preserve"> Characteristics, Appraisal and Extracted Themes of the 15 Included Studies</w:t>
            </w:r>
          </w:p>
        </w:tc>
      </w:tr>
      <w:tr w:rsidR="00E069A6" w:rsidRPr="00E069A6" w14:paraId="60F2DDEC" w14:textId="77777777" w:rsidTr="00E069A6">
        <w:tc>
          <w:tcPr>
            <w:tcW w:w="9576" w:type="dxa"/>
          </w:tcPr>
          <w:p w14:paraId="6171AC7B" w14:textId="77777777" w:rsidR="00E069A6" w:rsidRPr="00E069A6" w:rsidRDefault="00E069A6" w:rsidP="00957D67">
            <w:pPr>
              <w:jc w:val="left"/>
              <w:rPr>
                <w:sz w:val="22"/>
                <w:lang w:val="en-US"/>
              </w:rPr>
            </w:pPr>
            <w:r w:rsidRPr="00E069A6">
              <w:rPr>
                <w:b/>
                <w:bCs/>
                <w:sz w:val="22"/>
                <w:lang w:val="en-US"/>
              </w:rPr>
              <w:t>Appendix A</w:t>
            </w:r>
            <w:r w:rsidRPr="000B1001">
              <w:rPr>
                <w:b/>
                <w:bCs/>
                <w:sz w:val="22"/>
                <w:lang w:val="en-US"/>
              </w:rPr>
              <w:t xml:space="preserve"> </w:t>
            </w:r>
            <w:r w:rsidRPr="00E069A6">
              <w:rPr>
                <w:b/>
                <w:bCs/>
                <w:sz w:val="22"/>
                <w:lang w:val="en-US"/>
              </w:rPr>
              <w:t>Table A1:</w:t>
            </w:r>
            <w:r w:rsidRPr="00E069A6">
              <w:rPr>
                <w:sz w:val="22"/>
                <w:lang w:val="en-US"/>
              </w:rPr>
              <w:t xml:space="preserve"> CASP Critical Appraisal of the 15 Included Studies </w:t>
            </w:r>
          </w:p>
        </w:tc>
      </w:tr>
      <w:tr w:rsidR="00B5030E" w:rsidRPr="00E069A6" w14:paraId="52E7A642" w14:textId="77777777" w:rsidTr="00E069A6">
        <w:tc>
          <w:tcPr>
            <w:tcW w:w="9576" w:type="dxa"/>
          </w:tcPr>
          <w:p w14:paraId="12A15933" w14:textId="663B85E7" w:rsidR="00B5030E" w:rsidRPr="00B5030E" w:rsidRDefault="00B5030E" w:rsidP="00957D67">
            <w:pPr>
              <w:jc w:val="left"/>
              <w:rPr>
                <w:b/>
                <w:bCs/>
                <w:sz w:val="22"/>
              </w:rPr>
            </w:pPr>
            <w:r w:rsidRPr="00E069A6">
              <w:rPr>
                <w:b/>
                <w:bCs/>
                <w:sz w:val="22"/>
                <w:lang w:val="en-US"/>
              </w:rPr>
              <w:t xml:space="preserve">Appendix </w:t>
            </w:r>
            <w:r>
              <w:rPr>
                <w:b/>
                <w:bCs/>
                <w:sz w:val="22"/>
                <w:lang w:val="en-US"/>
              </w:rPr>
              <w:t>B</w:t>
            </w:r>
            <w:r w:rsidRPr="000B1001">
              <w:rPr>
                <w:b/>
                <w:bCs/>
                <w:sz w:val="22"/>
                <w:lang w:val="en-US"/>
              </w:rPr>
              <w:t xml:space="preserve"> </w:t>
            </w:r>
            <w:r w:rsidRPr="00B5030E">
              <w:rPr>
                <w:b/>
                <w:bCs/>
                <w:sz w:val="22"/>
              </w:rPr>
              <w:t xml:space="preserve">Table B1: </w:t>
            </w:r>
            <w:r w:rsidRPr="00B5030E">
              <w:rPr>
                <w:sz w:val="22"/>
              </w:rPr>
              <w:t>Database and Supplementary Search Record Summary</w:t>
            </w:r>
          </w:p>
        </w:tc>
      </w:tr>
      <w:tr w:rsidR="00B5030E" w:rsidRPr="00E069A6" w14:paraId="5B7C7266" w14:textId="77777777" w:rsidTr="00E069A6">
        <w:tc>
          <w:tcPr>
            <w:tcW w:w="9576" w:type="dxa"/>
          </w:tcPr>
          <w:p w14:paraId="0203811A" w14:textId="7D960BBE" w:rsidR="00B5030E" w:rsidRPr="00B5030E" w:rsidRDefault="00B5030E" w:rsidP="00B5030E">
            <w:pPr>
              <w:jc w:val="left"/>
              <w:rPr>
                <w:b/>
                <w:bCs/>
                <w:sz w:val="22"/>
              </w:rPr>
            </w:pPr>
            <w:r w:rsidRPr="00E069A6">
              <w:rPr>
                <w:b/>
                <w:bCs/>
                <w:sz w:val="22"/>
                <w:lang w:val="en-US"/>
              </w:rPr>
              <w:t xml:space="preserve">Appendix </w:t>
            </w:r>
            <w:r>
              <w:rPr>
                <w:b/>
                <w:bCs/>
                <w:sz w:val="22"/>
                <w:lang w:val="en-US"/>
              </w:rPr>
              <w:t>B</w:t>
            </w:r>
            <w:r w:rsidRPr="000B1001">
              <w:rPr>
                <w:b/>
                <w:bCs/>
                <w:sz w:val="22"/>
                <w:lang w:val="en-US"/>
              </w:rPr>
              <w:t xml:space="preserve"> </w:t>
            </w:r>
            <w:r w:rsidRPr="00B5030E">
              <w:rPr>
                <w:b/>
                <w:bCs/>
                <w:sz w:val="22"/>
              </w:rPr>
              <w:t xml:space="preserve">Table B2: </w:t>
            </w:r>
            <w:r w:rsidRPr="00B5030E">
              <w:rPr>
                <w:sz w:val="22"/>
              </w:rPr>
              <w:t>Master Search Strategy</w:t>
            </w:r>
          </w:p>
        </w:tc>
      </w:tr>
    </w:tbl>
    <w:p w14:paraId="1BC8C27E" w14:textId="45D1CDB6" w:rsidR="00E069A6" w:rsidRPr="00E069A6" w:rsidRDefault="005A7C36" w:rsidP="00E069A6">
      <w:pPr>
        <w:pStyle w:val="Heading1"/>
      </w:pPr>
      <w:bookmarkStart w:id="5" w:name="_Toc240927933"/>
      <w:r w:rsidRPr="00E069A6">
        <w:t>LIST OF FIGURES</w:t>
      </w:r>
      <w:bookmarkEnd w:id="5"/>
    </w:p>
    <w:tbl>
      <w:tblPr>
        <w:tblStyle w:val="TableGrid"/>
        <w:tblW w:w="0" w:type="auto"/>
        <w:tblLook w:val="04A0" w:firstRow="1" w:lastRow="0" w:firstColumn="1" w:lastColumn="0" w:noHBand="0" w:noVBand="1"/>
      </w:tblPr>
      <w:tblGrid>
        <w:gridCol w:w="9350"/>
      </w:tblGrid>
      <w:tr w:rsidR="00E069A6" w:rsidRPr="00E069A6" w14:paraId="74DD6319" w14:textId="77777777" w:rsidTr="00E069A6">
        <w:tc>
          <w:tcPr>
            <w:tcW w:w="9576" w:type="dxa"/>
          </w:tcPr>
          <w:p w14:paraId="02438F4E" w14:textId="77777777" w:rsidR="00E069A6" w:rsidRPr="00E069A6" w:rsidRDefault="00E069A6" w:rsidP="00957D67">
            <w:pPr>
              <w:rPr>
                <w:sz w:val="22"/>
                <w:lang w:val="en-US"/>
              </w:rPr>
            </w:pPr>
            <w:r w:rsidRPr="00E069A6">
              <w:rPr>
                <w:b/>
                <w:bCs/>
                <w:sz w:val="22"/>
                <w:lang w:val="en-US"/>
              </w:rPr>
              <w:t>Figure 1.1:</w:t>
            </w:r>
            <w:r w:rsidRPr="00E069A6">
              <w:rPr>
                <w:sz w:val="22"/>
                <w:lang w:val="en-US"/>
              </w:rPr>
              <w:t xml:space="preserve"> Antibiotic-Resistant Bloodstream Infection Cases in England, 2019–2024 </w:t>
            </w:r>
          </w:p>
        </w:tc>
      </w:tr>
      <w:tr w:rsidR="00E069A6" w:rsidRPr="00E069A6" w14:paraId="7B013354" w14:textId="77777777" w:rsidTr="00E069A6">
        <w:tc>
          <w:tcPr>
            <w:tcW w:w="9576" w:type="dxa"/>
          </w:tcPr>
          <w:p w14:paraId="6C2FA606" w14:textId="77777777" w:rsidR="00E069A6" w:rsidRPr="00E069A6" w:rsidRDefault="00E069A6" w:rsidP="00957D67">
            <w:pPr>
              <w:rPr>
                <w:sz w:val="22"/>
                <w:lang w:val="en-US"/>
              </w:rPr>
            </w:pPr>
            <w:r w:rsidRPr="00E069A6">
              <w:rPr>
                <w:b/>
                <w:bCs/>
                <w:sz w:val="22"/>
                <w:lang w:val="en-US"/>
              </w:rPr>
              <w:t>Figure 2.1:</w:t>
            </w:r>
            <w:r w:rsidRPr="00E069A6">
              <w:rPr>
                <w:sz w:val="22"/>
                <w:lang w:val="en-US"/>
              </w:rPr>
              <w:t xml:space="preserve"> Theoretical Framework Linking Community Pharmacy Antibiotic Practice and AMR Risk</w:t>
            </w:r>
          </w:p>
        </w:tc>
      </w:tr>
      <w:tr w:rsidR="00E069A6" w:rsidRPr="00E069A6" w14:paraId="44BA1D4C" w14:textId="77777777" w:rsidTr="00E069A6">
        <w:tc>
          <w:tcPr>
            <w:tcW w:w="9576" w:type="dxa"/>
          </w:tcPr>
          <w:p w14:paraId="781B2728" w14:textId="77777777" w:rsidR="00E069A6" w:rsidRPr="00E069A6" w:rsidRDefault="00E069A6" w:rsidP="00957D67">
            <w:pPr>
              <w:rPr>
                <w:sz w:val="22"/>
                <w:lang w:val="en-US"/>
              </w:rPr>
            </w:pPr>
            <w:r w:rsidRPr="00E069A6">
              <w:rPr>
                <w:b/>
                <w:bCs/>
                <w:sz w:val="22"/>
                <w:lang w:val="en-US"/>
              </w:rPr>
              <w:t>Figure 4.1:</w:t>
            </w:r>
            <w:r w:rsidRPr="00E069A6">
              <w:rPr>
                <w:sz w:val="22"/>
                <w:lang w:val="en-US"/>
              </w:rPr>
              <w:t xml:space="preserve"> PRISMA Flow Diagram for Study Selection</w:t>
            </w:r>
          </w:p>
        </w:tc>
      </w:tr>
    </w:tbl>
    <w:p w14:paraId="67B43B18" w14:textId="20E7ADC5" w:rsidR="007766E6" w:rsidRDefault="007766E6" w:rsidP="00277198">
      <w:pPr>
        <w:rPr>
          <w:sz w:val="22"/>
          <w:lang w:val="en-US"/>
        </w:rPr>
      </w:pPr>
    </w:p>
    <w:p w14:paraId="730219D5" w14:textId="77777777" w:rsidR="007766E6" w:rsidRDefault="007766E6">
      <w:pPr>
        <w:spacing w:line="259" w:lineRule="auto"/>
        <w:jc w:val="left"/>
        <w:rPr>
          <w:sz w:val="22"/>
          <w:lang w:val="en-US"/>
        </w:rPr>
      </w:pPr>
      <w:r>
        <w:rPr>
          <w:sz w:val="22"/>
          <w:lang w:val="en-US"/>
        </w:rPr>
        <w:br w:type="page"/>
      </w:r>
    </w:p>
    <w:p w14:paraId="721EA899" w14:textId="7FAB43D5" w:rsidR="007766E6" w:rsidRPr="007766E6" w:rsidRDefault="005A7C36" w:rsidP="007766E6">
      <w:pPr>
        <w:pStyle w:val="Heading1"/>
      </w:pPr>
      <w:bookmarkStart w:id="6" w:name="_Toc240927934"/>
      <w:r w:rsidRPr="007766E6">
        <w:t>LIST OF ABBREVIATIONS</w:t>
      </w:r>
      <w:bookmarkEnd w:id="6"/>
    </w:p>
    <w:tbl>
      <w:tblPr>
        <w:tblStyle w:val="TableGrid"/>
        <w:tblW w:w="0" w:type="auto"/>
        <w:tblLook w:val="04A0" w:firstRow="1" w:lastRow="0" w:firstColumn="1" w:lastColumn="0" w:noHBand="0" w:noVBand="1"/>
      </w:tblPr>
      <w:tblGrid>
        <w:gridCol w:w="1561"/>
        <w:gridCol w:w="7789"/>
      </w:tblGrid>
      <w:tr w:rsidR="007766E6" w:rsidRPr="007766E6" w14:paraId="70928082" w14:textId="77777777" w:rsidTr="007766E6">
        <w:tc>
          <w:tcPr>
            <w:tcW w:w="1458" w:type="dxa"/>
            <w:hideMark/>
          </w:tcPr>
          <w:p w14:paraId="1D36E993" w14:textId="77777777" w:rsidR="007766E6" w:rsidRPr="007766E6" w:rsidRDefault="007766E6" w:rsidP="007766E6">
            <w:pPr>
              <w:spacing w:after="160"/>
              <w:rPr>
                <w:b/>
                <w:bCs/>
                <w:sz w:val="22"/>
                <w:lang w:val="en-US"/>
              </w:rPr>
            </w:pPr>
            <w:r w:rsidRPr="007766E6">
              <w:rPr>
                <w:b/>
                <w:bCs/>
                <w:sz w:val="22"/>
                <w:lang w:val="en-US"/>
              </w:rPr>
              <w:t>Abbreviation</w:t>
            </w:r>
          </w:p>
        </w:tc>
        <w:tc>
          <w:tcPr>
            <w:tcW w:w="7937" w:type="dxa"/>
            <w:hideMark/>
          </w:tcPr>
          <w:p w14:paraId="5EAB66C5" w14:textId="77777777" w:rsidR="007766E6" w:rsidRPr="007766E6" w:rsidRDefault="007766E6" w:rsidP="007766E6">
            <w:pPr>
              <w:rPr>
                <w:b/>
                <w:bCs/>
                <w:sz w:val="22"/>
                <w:lang w:val="en-US"/>
              </w:rPr>
            </w:pPr>
            <w:r w:rsidRPr="007766E6">
              <w:rPr>
                <w:b/>
                <w:bCs/>
                <w:sz w:val="22"/>
                <w:lang w:val="en-US"/>
              </w:rPr>
              <w:t>Full Form</w:t>
            </w:r>
          </w:p>
        </w:tc>
      </w:tr>
      <w:tr w:rsidR="007766E6" w:rsidRPr="007766E6" w14:paraId="44416235" w14:textId="77777777" w:rsidTr="007766E6">
        <w:tc>
          <w:tcPr>
            <w:tcW w:w="1458" w:type="dxa"/>
            <w:hideMark/>
          </w:tcPr>
          <w:p w14:paraId="3F58FF7A" w14:textId="77777777" w:rsidR="007766E6" w:rsidRPr="007766E6" w:rsidRDefault="007766E6" w:rsidP="007766E6">
            <w:pPr>
              <w:rPr>
                <w:sz w:val="22"/>
                <w:lang w:val="en-US"/>
              </w:rPr>
            </w:pPr>
            <w:r w:rsidRPr="007766E6">
              <w:rPr>
                <w:sz w:val="22"/>
                <w:lang w:val="en-US"/>
              </w:rPr>
              <w:t>AMR</w:t>
            </w:r>
          </w:p>
        </w:tc>
        <w:tc>
          <w:tcPr>
            <w:tcW w:w="7937" w:type="dxa"/>
            <w:hideMark/>
          </w:tcPr>
          <w:p w14:paraId="544DB5B9" w14:textId="77777777" w:rsidR="007766E6" w:rsidRPr="007766E6" w:rsidRDefault="007766E6" w:rsidP="007766E6">
            <w:pPr>
              <w:rPr>
                <w:sz w:val="22"/>
                <w:lang w:val="en-US"/>
              </w:rPr>
            </w:pPr>
            <w:r w:rsidRPr="007766E6">
              <w:rPr>
                <w:sz w:val="22"/>
                <w:lang w:val="en-US"/>
              </w:rPr>
              <w:t>Antimicrobial Resistance</w:t>
            </w:r>
          </w:p>
        </w:tc>
      </w:tr>
      <w:tr w:rsidR="007766E6" w:rsidRPr="007766E6" w14:paraId="7A587627" w14:textId="77777777" w:rsidTr="007766E6">
        <w:tc>
          <w:tcPr>
            <w:tcW w:w="1458" w:type="dxa"/>
            <w:hideMark/>
          </w:tcPr>
          <w:p w14:paraId="1B616997" w14:textId="77777777" w:rsidR="007766E6" w:rsidRPr="007766E6" w:rsidRDefault="007766E6" w:rsidP="007766E6">
            <w:pPr>
              <w:rPr>
                <w:sz w:val="22"/>
                <w:lang w:val="en-US"/>
              </w:rPr>
            </w:pPr>
            <w:r w:rsidRPr="007766E6">
              <w:rPr>
                <w:sz w:val="22"/>
                <w:lang w:val="en-US"/>
              </w:rPr>
              <w:t>AMS</w:t>
            </w:r>
          </w:p>
        </w:tc>
        <w:tc>
          <w:tcPr>
            <w:tcW w:w="7937" w:type="dxa"/>
            <w:hideMark/>
          </w:tcPr>
          <w:p w14:paraId="031C93A3" w14:textId="77777777" w:rsidR="007766E6" w:rsidRPr="007766E6" w:rsidRDefault="007766E6" w:rsidP="007766E6">
            <w:pPr>
              <w:rPr>
                <w:sz w:val="22"/>
                <w:lang w:val="en-US"/>
              </w:rPr>
            </w:pPr>
            <w:r w:rsidRPr="007766E6">
              <w:rPr>
                <w:sz w:val="22"/>
                <w:lang w:val="en-US"/>
              </w:rPr>
              <w:t>Antimicrobial Stewardship</w:t>
            </w:r>
          </w:p>
        </w:tc>
      </w:tr>
      <w:tr w:rsidR="007766E6" w:rsidRPr="007766E6" w14:paraId="068132C8" w14:textId="77777777" w:rsidTr="007766E6">
        <w:tc>
          <w:tcPr>
            <w:tcW w:w="1458" w:type="dxa"/>
            <w:hideMark/>
          </w:tcPr>
          <w:p w14:paraId="2EB9C13D" w14:textId="77777777" w:rsidR="007766E6" w:rsidRPr="007766E6" w:rsidRDefault="007766E6" w:rsidP="007766E6">
            <w:pPr>
              <w:rPr>
                <w:sz w:val="22"/>
                <w:lang w:val="en-US"/>
              </w:rPr>
            </w:pPr>
            <w:r w:rsidRPr="007766E6">
              <w:rPr>
                <w:sz w:val="22"/>
                <w:lang w:val="en-US"/>
              </w:rPr>
              <w:t>AWaRe</w:t>
            </w:r>
          </w:p>
        </w:tc>
        <w:tc>
          <w:tcPr>
            <w:tcW w:w="7937" w:type="dxa"/>
            <w:hideMark/>
          </w:tcPr>
          <w:p w14:paraId="27371083" w14:textId="77777777" w:rsidR="007766E6" w:rsidRPr="007766E6" w:rsidRDefault="007766E6" w:rsidP="007766E6">
            <w:pPr>
              <w:rPr>
                <w:sz w:val="22"/>
                <w:lang w:val="en-US"/>
              </w:rPr>
            </w:pPr>
            <w:r w:rsidRPr="007766E6">
              <w:rPr>
                <w:sz w:val="22"/>
                <w:lang w:val="en-US"/>
              </w:rPr>
              <w:t>Access, Watch and Reserve</w:t>
            </w:r>
          </w:p>
        </w:tc>
      </w:tr>
      <w:tr w:rsidR="007766E6" w:rsidRPr="007766E6" w14:paraId="1038920B" w14:textId="77777777" w:rsidTr="007766E6">
        <w:tc>
          <w:tcPr>
            <w:tcW w:w="1458" w:type="dxa"/>
            <w:hideMark/>
          </w:tcPr>
          <w:p w14:paraId="2585D72F" w14:textId="77777777" w:rsidR="007766E6" w:rsidRPr="007766E6" w:rsidRDefault="007766E6" w:rsidP="007766E6">
            <w:pPr>
              <w:rPr>
                <w:sz w:val="22"/>
                <w:lang w:val="en-US"/>
              </w:rPr>
            </w:pPr>
            <w:r w:rsidRPr="007766E6">
              <w:rPr>
                <w:sz w:val="22"/>
                <w:lang w:val="en-US"/>
              </w:rPr>
              <w:t>CASP</w:t>
            </w:r>
          </w:p>
        </w:tc>
        <w:tc>
          <w:tcPr>
            <w:tcW w:w="7937" w:type="dxa"/>
            <w:hideMark/>
          </w:tcPr>
          <w:p w14:paraId="1A9CE637" w14:textId="77777777" w:rsidR="007766E6" w:rsidRPr="007766E6" w:rsidRDefault="007766E6" w:rsidP="007766E6">
            <w:pPr>
              <w:rPr>
                <w:sz w:val="22"/>
                <w:lang w:val="en-US"/>
              </w:rPr>
            </w:pPr>
            <w:r w:rsidRPr="007766E6">
              <w:rPr>
                <w:sz w:val="22"/>
                <w:lang w:val="en-US"/>
              </w:rPr>
              <w:t>Critical Appraisal Skills Programme</w:t>
            </w:r>
          </w:p>
        </w:tc>
      </w:tr>
      <w:tr w:rsidR="007766E6" w:rsidRPr="007766E6" w14:paraId="0637D32D" w14:textId="77777777" w:rsidTr="007766E6">
        <w:tc>
          <w:tcPr>
            <w:tcW w:w="1458" w:type="dxa"/>
            <w:hideMark/>
          </w:tcPr>
          <w:p w14:paraId="65475D1A" w14:textId="77777777" w:rsidR="007766E6" w:rsidRPr="007766E6" w:rsidRDefault="007766E6" w:rsidP="007766E6">
            <w:pPr>
              <w:rPr>
                <w:sz w:val="22"/>
                <w:lang w:val="en-US"/>
              </w:rPr>
            </w:pPr>
            <w:r w:rsidRPr="007766E6">
              <w:rPr>
                <w:sz w:val="22"/>
                <w:lang w:val="en-US"/>
              </w:rPr>
              <w:t>CINAHL</w:t>
            </w:r>
          </w:p>
        </w:tc>
        <w:tc>
          <w:tcPr>
            <w:tcW w:w="7937" w:type="dxa"/>
            <w:hideMark/>
          </w:tcPr>
          <w:p w14:paraId="7DCB959E" w14:textId="77777777" w:rsidR="007766E6" w:rsidRPr="007766E6" w:rsidRDefault="007766E6" w:rsidP="007766E6">
            <w:pPr>
              <w:rPr>
                <w:sz w:val="22"/>
                <w:lang w:val="en-US"/>
              </w:rPr>
            </w:pPr>
            <w:r w:rsidRPr="007766E6">
              <w:rPr>
                <w:sz w:val="22"/>
                <w:lang w:val="en-US"/>
              </w:rPr>
              <w:t>Cumulative Index to Nursing and Allied Health Literature</w:t>
            </w:r>
          </w:p>
        </w:tc>
      </w:tr>
      <w:tr w:rsidR="007766E6" w:rsidRPr="007766E6" w14:paraId="58C9B0FA" w14:textId="77777777" w:rsidTr="007766E6">
        <w:tc>
          <w:tcPr>
            <w:tcW w:w="1458" w:type="dxa"/>
            <w:hideMark/>
          </w:tcPr>
          <w:p w14:paraId="26AD13BB" w14:textId="77777777" w:rsidR="007766E6" w:rsidRPr="007766E6" w:rsidRDefault="007766E6" w:rsidP="007766E6">
            <w:pPr>
              <w:rPr>
                <w:sz w:val="22"/>
                <w:lang w:val="en-US"/>
              </w:rPr>
            </w:pPr>
            <w:r w:rsidRPr="007766E6">
              <w:rPr>
                <w:sz w:val="22"/>
                <w:lang w:val="en-US"/>
              </w:rPr>
              <w:t>COM-B</w:t>
            </w:r>
          </w:p>
        </w:tc>
        <w:tc>
          <w:tcPr>
            <w:tcW w:w="7937" w:type="dxa"/>
            <w:hideMark/>
          </w:tcPr>
          <w:p w14:paraId="58DAB11E" w14:textId="77777777" w:rsidR="007766E6" w:rsidRPr="007766E6" w:rsidRDefault="007766E6" w:rsidP="007766E6">
            <w:pPr>
              <w:rPr>
                <w:sz w:val="22"/>
                <w:lang w:val="en-US"/>
              </w:rPr>
            </w:pPr>
            <w:r w:rsidRPr="007766E6">
              <w:rPr>
                <w:sz w:val="22"/>
                <w:lang w:val="en-US"/>
              </w:rPr>
              <w:t>Capability, Opportunity, Motivation–Behaviour</w:t>
            </w:r>
          </w:p>
        </w:tc>
      </w:tr>
      <w:tr w:rsidR="007766E6" w:rsidRPr="007766E6" w14:paraId="01171EB6" w14:textId="77777777" w:rsidTr="007766E6">
        <w:tc>
          <w:tcPr>
            <w:tcW w:w="1458" w:type="dxa"/>
            <w:hideMark/>
          </w:tcPr>
          <w:p w14:paraId="4C9741EF" w14:textId="77777777" w:rsidR="007766E6" w:rsidRPr="007766E6" w:rsidRDefault="007766E6" w:rsidP="007766E6">
            <w:pPr>
              <w:rPr>
                <w:sz w:val="22"/>
                <w:lang w:val="en-US"/>
              </w:rPr>
            </w:pPr>
            <w:r w:rsidRPr="007766E6">
              <w:rPr>
                <w:sz w:val="22"/>
                <w:lang w:val="en-US"/>
              </w:rPr>
              <w:t>COREQ</w:t>
            </w:r>
          </w:p>
        </w:tc>
        <w:tc>
          <w:tcPr>
            <w:tcW w:w="7937" w:type="dxa"/>
            <w:hideMark/>
          </w:tcPr>
          <w:p w14:paraId="61C942DE" w14:textId="77777777" w:rsidR="007766E6" w:rsidRPr="007766E6" w:rsidRDefault="007766E6" w:rsidP="007766E6">
            <w:pPr>
              <w:rPr>
                <w:sz w:val="22"/>
                <w:lang w:val="en-US"/>
              </w:rPr>
            </w:pPr>
            <w:r w:rsidRPr="007766E6">
              <w:rPr>
                <w:sz w:val="22"/>
                <w:lang w:val="en-US"/>
              </w:rPr>
              <w:t>Consolidated Criteria for Reporting Qualitative Research</w:t>
            </w:r>
          </w:p>
        </w:tc>
      </w:tr>
      <w:tr w:rsidR="007766E6" w:rsidRPr="007766E6" w14:paraId="03876A6A" w14:textId="77777777" w:rsidTr="007766E6">
        <w:tc>
          <w:tcPr>
            <w:tcW w:w="1458" w:type="dxa"/>
            <w:hideMark/>
          </w:tcPr>
          <w:p w14:paraId="6F01DA58" w14:textId="77777777" w:rsidR="007766E6" w:rsidRPr="007766E6" w:rsidRDefault="007766E6" w:rsidP="007766E6">
            <w:pPr>
              <w:rPr>
                <w:sz w:val="22"/>
                <w:lang w:val="en-US"/>
              </w:rPr>
            </w:pPr>
            <w:r w:rsidRPr="007766E6">
              <w:rPr>
                <w:sz w:val="22"/>
                <w:lang w:val="en-US"/>
              </w:rPr>
              <w:t>CRP</w:t>
            </w:r>
          </w:p>
        </w:tc>
        <w:tc>
          <w:tcPr>
            <w:tcW w:w="7937" w:type="dxa"/>
            <w:hideMark/>
          </w:tcPr>
          <w:p w14:paraId="352264F2" w14:textId="77777777" w:rsidR="007766E6" w:rsidRPr="007766E6" w:rsidRDefault="007766E6" w:rsidP="007766E6">
            <w:pPr>
              <w:rPr>
                <w:sz w:val="22"/>
                <w:lang w:val="en-US"/>
              </w:rPr>
            </w:pPr>
            <w:r w:rsidRPr="007766E6">
              <w:rPr>
                <w:sz w:val="22"/>
                <w:lang w:val="en-US"/>
              </w:rPr>
              <w:t>C-Reactive Protein</w:t>
            </w:r>
          </w:p>
        </w:tc>
      </w:tr>
      <w:tr w:rsidR="007766E6" w:rsidRPr="007766E6" w14:paraId="438D8893" w14:textId="77777777" w:rsidTr="007766E6">
        <w:tc>
          <w:tcPr>
            <w:tcW w:w="1458" w:type="dxa"/>
            <w:hideMark/>
          </w:tcPr>
          <w:p w14:paraId="7D0A1775" w14:textId="77777777" w:rsidR="007766E6" w:rsidRPr="007766E6" w:rsidRDefault="007766E6" w:rsidP="007766E6">
            <w:pPr>
              <w:rPr>
                <w:sz w:val="22"/>
                <w:lang w:val="en-US"/>
              </w:rPr>
            </w:pPr>
            <w:r w:rsidRPr="007766E6">
              <w:rPr>
                <w:sz w:val="22"/>
                <w:lang w:val="en-US"/>
              </w:rPr>
              <w:t>ENTREQ</w:t>
            </w:r>
          </w:p>
        </w:tc>
        <w:tc>
          <w:tcPr>
            <w:tcW w:w="7937" w:type="dxa"/>
            <w:hideMark/>
          </w:tcPr>
          <w:p w14:paraId="0732D121" w14:textId="77777777" w:rsidR="007766E6" w:rsidRPr="007766E6" w:rsidRDefault="007766E6" w:rsidP="007766E6">
            <w:pPr>
              <w:rPr>
                <w:sz w:val="22"/>
                <w:lang w:val="en-US"/>
              </w:rPr>
            </w:pPr>
            <w:r w:rsidRPr="007766E6">
              <w:rPr>
                <w:sz w:val="22"/>
                <w:lang w:val="en-US"/>
              </w:rPr>
              <w:t>Enhancing Transparency in Reporting the Synthesis of Qualitative Research</w:t>
            </w:r>
          </w:p>
        </w:tc>
      </w:tr>
      <w:tr w:rsidR="007766E6" w:rsidRPr="007766E6" w14:paraId="5B19B528" w14:textId="77777777" w:rsidTr="007766E6">
        <w:tc>
          <w:tcPr>
            <w:tcW w:w="1458" w:type="dxa"/>
            <w:hideMark/>
          </w:tcPr>
          <w:p w14:paraId="27BD41FA" w14:textId="77777777" w:rsidR="007766E6" w:rsidRPr="007766E6" w:rsidRDefault="007766E6" w:rsidP="007766E6">
            <w:pPr>
              <w:rPr>
                <w:sz w:val="22"/>
                <w:lang w:val="en-US"/>
              </w:rPr>
            </w:pPr>
            <w:r w:rsidRPr="007766E6">
              <w:rPr>
                <w:sz w:val="22"/>
                <w:lang w:val="en-US"/>
              </w:rPr>
              <w:t>GP</w:t>
            </w:r>
          </w:p>
        </w:tc>
        <w:tc>
          <w:tcPr>
            <w:tcW w:w="7937" w:type="dxa"/>
            <w:hideMark/>
          </w:tcPr>
          <w:p w14:paraId="2298CDBE" w14:textId="77777777" w:rsidR="007766E6" w:rsidRPr="007766E6" w:rsidRDefault="007766E6" w:rsidP="007766E6">
            <w:pPr>
              <w:rPr>
                <w:sz w:val="22"/>
                <w:lang w:val="en-US"/>
              </w:rPr>
            </w:pPr>
            <w:r w:rsidRPr="007766E6">
              <w:rPr>
                <w:sz w:val="22"/>
                <w:lang w:val="en-US"/>
              </w:rPr>
              <w:t>General Practitioner</w:t>
            </w:r>
          </w:p>
        </w:tc>
      </w:tr>
      <w:tr w:rsidR="007766E6" w:rsidRPr="007766E6" w14:paraId="40C6F17B" w14:textId="77777777" w:rsidTr="007766E6">
        <w:tc>
          <w:tcPr>
            <w:tcW w:w="1458" w:type="dxa"/>
            <w:hideMark/>
          </w:tcPr>
          <w:p w14:paraId="0447B626" w14:textId="77777777" w:rsidR="007766E6" w:rsidRPr="007766E6" w:rsidRDefault="007766E6" w:rsidP="007766E6">
            <w:pPr>
              <w:rPr>
                <w:sz w:val="22"/>
                <w:lang w:val="en-US"/>
              </w:rPr>
            </w:pPr>
            <w:r w:rsidRPr="007766E6">
              <w:rPr>
                <w:sz w:val="22"/>
                <w:lang w:val="en-US"/>
              </w:rPr>
              <w:t>JBI</w:t>
            </w:r>
          </w:p>
        </w:tc>
        <w:tc>
          <w:tcPr>
            <w:tcW w:w="7937" w:type="dxa"/>
            <w:hideMark/>
          </w:tcPr>
          <w:p w14:paraId="4E237186" w14:textId="77777777" w:rsidR="007766E6" w:rsidRPr="007766E6" w:rsidRDefault="007766E6" w:rsidP="007766E6">
            <w:pPr>
              <w:rPr>
                <w:sz w:val="22"/>
                <w:lang w:val="en-US"/>
              </w:rPr>
            </w:pPr>
            <w:r w:rsidRPr="007766E6">
              <w:rPr>
                <w:sz w:val="22"/>
                <w:lang w:val="en-US"/>
              </w:rPr>
              <w:t>Joanna Briggs Institute</w:t>
            </w:r>
          </w:p>
        </w:tc>
      </w:tr>
      <w:tr w:rsidR="007766E6" w:rsidRPr="007766E6" w14:paraId="5F3D1207" w14:textId="77777777" w:rsidTr="007766E6">
        <w:tc>
          <w:tcPr>
            <w:tcW w:w="1458" w:type="dxa"/>
            <w:hideMark/>
          </w:tcPr>
          <w:p w14:paraId="2B2AC052" w14:textId="77777777" w:rsidR="007766E6" w:rsidRPr="007766E6" w:rsidRDefault="007766E6" w:rsidP="007766E6">
            <w:pPr>
              <w:rPr>
                <w:sz w:val="22"/>
                <w:lang w:val="en-US"/>
              </w:rPr>
            </w:pPr>
            <w:r w:rsidRPr="007766E6">
              <w:rPr>
                <w:sz w:val="22"/>
                <w:lang w:val="en-US"/>
              </w:rPr>
              <w:t>NHS</w:t>
            </w:r>
          </w:p>
        </w:tc>
        <w:tc>
          <w:tcPr>
            <w:tcW w:w="7937" w:type="dxa"/>
            <w:hideMark/>
          </w:tcPr>
          <w:p w14:paraId="2220CBF4" w14:textId="77777777" w:rsidR="007766E6" w:rsidRPr="007766E6" w:rsidRDefault="007766E6" w:rsidP="007766E6">
            <w:pPr>
              <w:rPr>
                <w:sz w:val="22"/>
                <w:lang w:val="en-US"/>
              </w:rPr>
            </w:pPr>
            <w:r w:rsidRPr="007766E6">
              <w:rPr>
                <w:sz w:val="22"/>
                <w:lang w:val="en-US"/>
              </w:rPr>
              <w:t>National Health Service</w:t>
            </w:r>
          </w:p>
        </w:tc>
      </w:tr>
      <w:tr w:rsidR="007766E6" w:rsidRPr="007766E6" w14:paraId="66DA1389" w14:textId="77777777" w:rsidTr="007766E6">
        <w:tc>
          <w:tcPr>
            <w:tcW w:w="1458" w:type="dxa"/>
            <w:hideMark/>
          </w:tcPr>
          <w:p w14:paraId="44E96DD6" w14:textId="77777777" w:rsidR="007766E6" w:rsidRPr="007766E6" w:rsidRDefault="007766E6" w:rsidP="007766E6">
            <w:pPr>
              <w:rPr>
                <w:sz w:val="22"/>
                <w:lang w:val="en-US"/>
              </w:rPr>
            </w:pPr>
            <w:r w:rsidRPr="007766E6">
              <w:rPr>
                <w:sz w:val="22"/>
                <w:lang w:val="en-US"/>
              </w:rPr>
              <w:t>NICE</w:t>
            </w:r>
          </w:p>
        </w:tc>
        <w:tc>
          <w:tcPr>
            <w:tcW w:w="7937" w:type="dxa"/>
            <w:hideMark/>
          </w:tcPr>
          <w:p w14:paraId="4A2775AC" w14:textId="77777777" w:rsidR="007766E6" w:rsidRPr="007766E6" w:rsidRDefault="007766E6" w:rsidP="007766E6">
            <w:pPr>
              <w:rPr>
                <w:sz w:val="22"/>
                <w:lang w:val="en-US"/>
              </w:rPr>
            </w:pPr>
            <w:r w:rsidRPr="007766E6">
              <w:rPr>
                <w:sz w:val="22"/>
                <w:lang w:val="en-US"/>
              </w:rPr>
              <w:t>National Institute for Health and Care Excellence</w:t>
            </w:r>
          </w:p>
        </w:tc>
      </w:tr>
      <w:tr w:rsidR="007766E6" w:rsidRPr="007766E6" w14:paraId="3F0814EA" w14:textId="77777777" w:rsidTr="007766E6">
        <w:tc>
          <w:tcPr>
            <w:tcW w:w="1458" w:type="dxa"/>
            <w:hideMark/>
          </w:tcPr>
          <w:p w14:paraId="572C569E" w14:textId="77777777" w:rsidR="007766E6" w:rsidRPr="007766E6" w:rsidRDefault="007766E6" w:rsidP="007766E6">
            <w:pPr>
              <w:rPr>
                <w:sz w:val="22"/>
                <w:lang w:val="en-US"/>
              </w:rPr>
            </w:pPr>
            <w:r w:rsidRPr="007766E6">
              <w:rPr>
                <w:sz w:val="22"/>
                <w:lang w:val="en-US"/>
              </w:rPr>
              <w:t>OAFS</w:t>
            </w:r>
          </w:p>
        </w:tc>
        <w:tc>
          <w:tcPr>
            <w:tcW w:w="7937" w:type="dxa"/>
            <w:hideMark/>
          </w:tcPr>
          <w:p w14:paraId="5B03E229" w14:textId="77777777" w:rsidR="007766E6" w:rsidRPr="007766E6" w:rsidRDefault="007766E6" w:rsidP="007766E6">
            <w:pPr>
              <w:rPr>
                <w:sz w:val="22"/>
                <w:lang w:val="en-US"/>
              </w:rPr>
            </w:pPr>
            <w:r w:rsidRPr="007766E6">
              <w:rPr>
                <w:sz w:val="22"/>
                <w:lang w:val="en-US"/>
              </w:rPr>
              <w:t>Outcome-Based Payment and Follow-Up</w:t>
            </w:r>
          </w:p>
        </w:tc>
      </w:tr>
      <w:tr w:rsidR="007766E6" w:rsidRPr="007766E6" w14:paraId="6F689CEE" w14:textId="77777777" w:rsidTr="007766E6">
        <w:tc>
          <w:tcPr>
            <w:tcW w:w="1458" w:type="dxa"/>
            <w:hideMark/>
          </w:tcPr>
          <w:p w14:paraId="34171C91" w14:textId="77777777" w:rsidR="007766E6" w:rsidRPr="007766E6" w:rsidRDefault="007766E6" w:rsidP="007766E6">
            <w:pPr>
              <w:rPr>
                <w:sz w:val="22"/>
                <w:lang w:val="en-US"/>
              </w:rPr>
            </w:pPr>
            <w:r w:rsidRPr="007766E6">
              <w:rPr>
                <w:sz w:val="22"/>
                <w:lang w:val="en-US"/>
              </w:rPr>
              <w:t>OTC</w:t>
            </w:r>
          </w:p>
        </w:tc>
        <w:tc>
          <w:tcPr>
            <w:tcW w:w="7937" w:type="dxa"/>
            <w:hideMark/>
          </w:tcPr>
          <w:p w14:paraId="75AFAC0E" w14:textId="77777777" w:rsidR="007766E6" w:rsidRPr="007766E6" w:rsidRDefault="007766E6" w:rsidP="007766E6">
            <w:pPr>
              <w:rPr>
                <w:sz w:val="22"/>
                <w:lang w:val="en-US"/>
              </w:rPr>
            </w:pPr>
            <w:r w:rsidRPr="007766E6">
              <w:rPr>
                <w:sz w:val="22"/>
                <w:lang w:val="en-US"/>
              </w:rPr>
              <w:t>Over-the-Counter</w:t>
            </w:r>
          </w:p>
        </w:tc>
      </w:tr>
      <w:tr w:rsidR="007766E6" w:rsidRPr="007766E6" w14:paraId="7A89347C" w14:textId="77777777" w:rsidTr="007766E6">
        <w:tc>
          <w:tcPr>
            <w:tcW w:w="1458" w:type="dxa"/>
            <w:hideMark/>
          </w:tcPr>
          <w:p w14:paraId="1B593C71" w14:textId="77777777" w:rsidR="007766E6" w:rsidRPr="007766E6" w:rsidRDefault="007766E6" w:rsidP="007766E6">
            <w:pPr>
              <w:rPr>
                <w:sz w:val="22"/>
                <w:lang w:val="en-US"/>
              </w:rPr>
            </w:pPr>
            <w:r w:rsidRPr="007766E6">
              <w:rPr>
                <w:sz w:val="22"/>
                <w:lang w:val="en-US"/>
              </w:rPr>
              <w:t>PAMSI</w:t>
            </w:r>
          </w:p>
        </w:tc>
        <w:tc>
          <w:tcPr>
            <w:tcW w:w="7937" w:type="dxa"/>
            <w:hideMark/>
          </w:tcPr>
          <w:p w14:paraId="497076C5" w14:textId="77777777" w:rsidR="007766E6" w:rsidRPr="007766E6" w:rsidRDefault="007766E6" w:rsidP="007766E6">
            <w:pPr>
              <w:rPr>
                <w:sz w:val="22"/>
                <w:lang w:val="en-US"/>
              </w:rPr>
            </w:pPr>
            <w:r w:rsidRPr="007766E6">
              <w:rPr>
                <w:sz w:val="22"/>
                <w:lang w:val="en-US"/>
              </w:rPr>
              <w:t>Pharmacy Antimicrobial Stewardship Intervention</w:t>
            </w:r>
          </w:p>
        </w:tc>
      </w:tr>
      <w:tr w:rsidR="007766E6" w:rsidRPr="007766E6" w14:paraId="67164672" w14:textId="77777777" w:rsidTr="007766E6">
        <w:tc>
          <w:tcPr>
            <w:tcW w:w="1458" w:type="dxa"/>
            <w:hideMark/>
          </w:tcPr>
          <w:p w14:paraId="7CAF7FD7" w14:textId="77777777" w:rsidR="007766E6" w:rsidRPr="007766E6" w:rsidRDefault="007766E6" w:rsidP="007766E6">
            <w:pPr>
              <w:rPr>
                <w:sz w:val="22"/>
                <w:lang w:val="en-US"/>
              </w:rPr>
            </w:pPr>
            <w:r w:rsidRPr="007766E6">
              <w:rPr>
                <w:sz w:val="22"/>
                <w:lang w:val="en-US"/>
              </w:rPr>
              <w:t>POC</w:t>
            </w:r>
          </w:p>
        </w:tc>
        <w:tc>
          <w:tcPr>
            <w:tcW w:w="7937" w:type="dxa"/>
            <w:hideMark/>
          </w:tcPr>
          <w:p w14:paraId="73C8529D" w14:textId="77777777" w:rsidR="007766E6" w:rsidRPr="007766E6" w:rsidRDefault="007766E6" w:rsidP="007766E6">
            <w:pPr>
              <w:rPr>
                <w:sz w:val="22"/>
                <w:lang w:val="en-US"/>
              </w:rPr>
            </w:pPr>
            <w:r w:rsidRPr="007766E6">
              <w:rPr>
                <w:sz w:val="22"/>
                <w:lang w:val="en-US"/>
              </w:rPr>
              <w:t>Point-of-Care</w:t>
            </w:r>
          </w:p>
        </w:tc>
      </w:tr>
      <w:tr w:rsidR="007766E6" w:rsidRPr="007766E6" w14:paraId="2DB4C67C" w14:textId="77777777" w:rsidTr="007766E6">
        <w:tc>
          <w:tcPr>
            <w:tcW w:w="1458" w:type="dxa"/>
            <w:hideMark/>
          </w:tcPr>
          <w:p w14:paraId="5C997587" w14:textId="77777777" w:rsidR="007766E6" w:rsidRPr="007766E6" w:rsidRDefault="007766E6" w:rsidP="007766E6">
            <w:pPr>
              <w:rPr>
                <w:sz w:val="22"/>
                <w:lang w:val="en-US"/>
              </w:rPr>
            </w:pPr>
            <w:r w:rsidRPr="007766E6">
              <w:rPr>
                <w:sz w:val="22"/>
                <w:lang w:val="en-US"/>
              </w:rPr>
              <w:t>PQS</w:t>
            </w:r>
          </w:p>
        </w:tc>
        <w:tc>
          <w:tcPr>
            <w:tcW w:w="7937" w:type="dxa"/>
            <w:hideMark/>
          </w:tcPr>
          <w:p w14:paraId="063EAE63" w14:textId="77777777" w:rsidR="007766E6" w:rsidRPr="007766E6" w:rsidRDefault="007766E6" w:rsidP="007766E6">
            <w:pPr>
              <w:rPr>
                <w:sz w:val="22"/>
                <w:lang w:val="en-US"/>
              </w:rPr>
            </w:pPr>
            <w:r w:rsidRPr="007766E6">
              <w:rPr>
                <w:sz w:val="22"/>
                <w:lang w:val="en-US"/>
              </w:rPr>
              <w:t>Pharmacy Quality Scheme</w:t>
            </w:r>
          </w:p>
        </w:tc>
      </w:tr>
      <w:tr w:rsidR="007766E6" w:rsidRPr="007766E6" w14:paraId="3C6DB3DE" w14:textId="77777777" w:rsidTr="007766E6">
        <w:tc>
          <w:tcPr>
            <w:tcW w:w="1458" w:type="dxa"/>
            <w:hideMark/>
          </w:tcPr>
          <w:p w14:paraId="0B2F5792" w14:textId="77777777" w:rsidR="007766E6" w:rsidRPr="007766E6" w:rsidRDefault="007766E6" w:rsidP="007766E6">
            <w:pPr>
              <w:rPr>
                <w:sz w:val="22"/>
                <w:lang w:val="en-US"/>
              </w:rPr>
            </w:pPr>
            <w:r w:rsidRPr="007766E6">
              <w:rPr>
                <w:sz w:val="22"/>
                <w:lang w:val="en-US"/>
              </w:rPr>
              <w:t>PRISMA</w:t>
            </w:r>
          </w:p>
        </w:tc>
        <w:tc>
          <w:tcPr>
            <w:tcW w:w="7937" w:type="dxa"/>
            <w:hideMark/>
          </w:tcPr>
          <w:p w14:paraId="323F2B52" w14:textId="77777777" w:rsidR="007766E6" w:rsidRPr="007766E6" w:rsidRDefault="007766E6" w:rsidP="007766E6">
            <w:pPr>
              <w:rPr>
                <w:sz w:val="22"/>
                <w:lang w:val="en-US"/>
              </w:rPr>
            </w:pPr>
            <w:r w:rsidRPr="007766E6">
              <w:rPr>
                <w:sz w:val="22"/>
                <w:lang w:val="en-US"/>
              </w:rPr>
              <w:t>Preferred Reporting Items for Systematic Reviews and Meta-Analyses</w:t>
            </w:r>
          </w:p>
        </w:tc>
      </w:tr>
      <w:tr w:rsidR="007766E6" w:rsidRPr="007766E6" w14:paraId="315918CD" w14:textId="77777777" w:rsidTr="007766E6">
        <w:tc>
          <w:tcPr>
            <w:tcW w:w="1458" w:type="dxa"/>
            <w:hideMark/>
          </w:tcPr>
          <w:p w14:paraId="579A25A3" w14:textId="77777777" w:rsidR="007766E6" w:rsidRPr="007766E6" w:rsidRDefault="007766E6" w:rsidP="007766E6">
            <w:pPr>
              <w:rPr>
                <w:sz w:val="22"/>
                <w:lang w:val="en-US"/>
              </w:rPr>
            </w:pPr>
            <w:r w:rsidRPr="007766E6">
              <w:rPr>
                <w:sz w:val="22"/>
                <w:lang w:val="en-US"/>
              </w:rPr>
              <w:t>PRISMA-P</w:t>
            </w:r>
          </w:p>
        </w:tc>
        <w:tc>
          <w:tcPr>
            <w:tcW w:w="7937" w:type="dxa"/>
            <w:hideMark/>
          </w:tcPr>
          <w:p w14:paraId="4FA2BDD3" w14:textId="77777777" w:rsidR="007766E6" w:rsidRPr="007766E6" w:rsidRDefault="007766E6" w:rsidP="007766E6">
            <w:pPr>
              <w:rPr>
                <w:sz w:val="22"/>
                <w:lang w:val="en-US"/>
              </w:rPr>
            </w:pPr>
            <w:r w:rsidRPr="007766E6">
              <w:rPr>
                <w:sz w:val="22"/>
                <w:lang w:val="en-US"/>
              </w:rPr>
              <w:t>Preferred Reporting Items for Systematic Review and Meta-Analysis Protocols</w:t>
            </w:r>
          </w:p>
        </w:tc>
      </w:tr>
      <w:tr w:rsidR="007766E6" w:rsidRPr="007766E6" w14:paraId="735AFB8A" w14:textId="77777777" w:rsidTr="007766E6">
        <w:tc>
          <w:tcPr>
            <w:tcW w:w="1458" w:type="dxa"/>
            <w:hideMark/>
          </w:tcPr>
          <w:p w14:paraId="42193F73" w14:textId="77777777" w:rsidR="007766E6" w:rsidRPr="007766E6" w:rsidRDefault="007766E6" w:rsidP="007766E6">
            <w:pPr>
              <w:rPr>
                <w:sz w:val="22"/>
                <w:lang w:val="en-US"/>
              </w:rPr>
            </w:pPr>
            <w:r w:rsidRPr="007766E6">
              <w:rPr>
                <w:sz w:val="22"/>
                <w:lang w:val="en-US"/>
              </w:rPr>
              <w:t>PRISMA-S</w:t>
            </w:r>
          </w:p>
        </w:tc>
        <w:tc>
          <w:tcPr>
            <w:tcW w:w="7937" w:type="dxa"/>
            <w:hideMark/>
          </w:tcPr>
          <w:p w14:paraId="5DA3E37C" w14:textId="77777777" w:rsidR="007766E6" w:rsidRPr="007766E6" w:rsidRDefault="007766E6" w:rsidP="007766E6">
            <w:pPr>
              <w:rPr>
                <w:sz w:val="22"/>
                <w:lang w:val="en-US"/>
              </w:rPr>
            </w:pPr>
            <w:r w:rsidRPr="007766E6">
              <w:rPr>
                <w:sz w:val="22"/>
                <w:lang w:val="en-US"/>
              </w:rPr>
              <w:t>PRISMA Extension for Reporting Literature Searches in Systematic Reviews</w:t>
            </w:r>
          </w:p>
        </w:tc>
      </w:tr>
      <w:tr w:rsidR="007766E6" w:rsidRPr="007766E6" w14:paraId="71CF7B80" w14:textId="77777777" w:rsidTr="007766E6">
        <w:tc>
          <w:tcPr>
            <w:tcW w:w="1458" w:type="dxa"/>
            <w:hideMark/>
          </w:tcPr>
          <w:p w14:paraId="0470C1C4" w14:textId="77777777" w:rsidR="007766E6" w:rsidRPr="007766E6" w:rsidRDefault="007766E6" w:rsidP="007766E6">
            <w:pPr>
              <w:rPr>
                <w:sz w:val="22"/>
                <w:lang w:val="en-US"/>
              </w:rPr>
            </w:pPr>
            <w:r w:rsidRPr="007766E6">
              <w:rPr>
                <w:sz w:val="22"/>
                <w:lang w:val="en-US"/>
              </w:rPr>
              <w:t>SPIDER</w:t>
            </w:r>
          </w:p>
        </w:tc>
        <w:tc>
          <w:tcPr>
            <w:tcW w:w="7937" w:type="dxa"/>
            <w:hideMark/>
          </w:tcPr>
          <w:p w14:paraId="74C62D94" w14:textId="77777777" w:rsidR="007766E6" w:rsidRPr="007766E6" w:rsidRDefault="007766E6" w:rsidP="007766E6">
            <w:pPr>
              <w:rPr>
                <w:sz w:val="22"/>
                <w:lang w:val="en-US"/>
              </w:rPr>
            </w:pPr>
            <w:r w:rsidRPr="007766E6">
              <w:rPr>
                <w:sz w:val="22"/>
                <w:lang w:val="en-US"/>
              </w:rPr>
              <w:t>Sample, Phenomenon of Interest, Design, Evaluation and Research Type</w:t>
            </w:r>
          </w:p>
        </w:tc>
      </w:tr>
      <w:tr w:rsidR="007766E6" w:rsidRPr="007766E6" w14:paraId="73086312" w14:textId="77777777" w:rsidTr="007766E6">
        <w:tc>
          <w:tcPr>
            <w:tcW w:w="1458" w:type="dxa"/>
            <w:hideMark/>
          </w:tcPr>
          <w:p w14:paraId="3FC1DDB4" w14:textId="77777777" w:rsidR="007766E6" w:rsidRPr="007766E6" w:rsidRDefault="007766E6" w:rsidP="007766E6">
            <w:pPr>
              <w:rPr>
                <w:sz w:val="22"/>
                <w:lang w:val="en-US"/>
              </w:rPr>
            </w:pPr>
            <w:r w:rsidRPr="007766E6">
              <w:rPr>
                <w:sz w:val="22"/>
                <w:lang w:val="en-US"/>
              </w:rPr>
              <w:t>STTT</w:t>
            </w:r>
          </w:p>
        </w:tc>
        <w:tc>
          <w:tcPr>
            <w:tcW w:w="7937" w:type="dxa"/>
            <w:hideMark/>
          </w:tcPr>
          <w:p w14:paraId="0B631424" w14:textId="77777777" w:rsidR="007766E6" w:rsidRPr="007766E6" w:rsidRDefault="007766E6" w:rsidP="007766E6">
            <w:pPr>
              <w:rPr>
                <w:sz w:val="22"/>
                <w:lang w:val="en-US"/>
              </w:rPr>
            </w:pPr>
            <w:r w:rsidRPr="007766E6">
              <w:rPr>
                <w:sz w:val="22"/>
                <w:lang w:val="en-US"/>
              </w:rPr>
              <w:t>Sore Throat Test and Treat</w:t>
            </w:r>
          </w:p>
        </w:tc>
      </w:tr>
      <w:tr w:rsidR="007766E6" w:rsidRPr="007766E6" w14:paraId="2DA21BE3" w14:textId="77777777" w:rsidTr="007766E6">
        <w:tc>
          <w:tcPr>
            <w:tcW w:w="1458" w:type="dxa"/>
            <w:hideMark/>
          </w:tcPr>
          <w:p w14:paraId="23CD9A02" w14:textId="77777777" w:rsidR="007766E6" w:rsidRPr="007766E6" w:rsidRDefault="007766E6" w:rsidP="007766E6">
            <w:pPr>
              <w:rPr>
                <w:sz w:val="22"/>
                <w:lang w:val="en-US"/>
              </w:rPr>
            </w:pPr>
            <w:r w:rsidRPr="007766E6">
              <w:rPr>
                <w:sz w:val="22"/>
                <w:lang w:val="en-US"/>
              </w:rPr>
              <w:t>TARGET</w:t>
            </w:r>
          </w:p>
        </w:tc>
        <w:tc>
          <w:tcPr>
            <w:tcW w:w="7937" w:type="dxa"/>
            <w:hideMark/>
          </w:tcPr>
          <w:p w14:paraId="219A0AEE" w14:textId="77777777" w:rsidR="007766E6" w:rsidRPr="007766E6" w:rsidRDefault="007766E6" w:rsidP="007766E6">
            <w:pPr>
              <w:rPr>
                <w:sz w:val="22"/>
                <w:lang w:val="en-US"/>
              </w:rPr>
            </w:pPr>
            <w:r w:rsidRPr="007766E6">
              <w:rPr>
                <w:sz w:val="22"/>
                <w:lang w:val="en-US"/>
              </w:rPr>
              <w:t>Treat Antibiotics Responsibly, Guidance, Education and Tools</w:t>
            </w:r>
          </w:p>
        </w:tc>
      </w:tr>
      <w:tr w:rsidR="007766E6" w:rsidRPr="007766E6" w14:paraId="4B4B96EB" w14:textId="77777777" w:rsidTr="007766E6">
        <w:tc>
          <w:tcPr>
            <w:tcW w:w="1458" w:type="dxa"/>
            <w:hideMark/>
          </w:tcPr>
          <w:p w14:paraId="3F149B9F" w14:textId="77777777" w:rsidR="007766E6" w:rsidRPr="007766E6" w:rsidRDefault="007766E6" w:rsidP="007766E6">
            <w:pPr>
              <w:rPr>
                <w:sz w:val="22"/>
                <w:lang w:val="en-US"/>
              </w:rPr>
            </w:pPr>
            <w:r w:rsidRPr="007766E6">
              <w:rPr>
                <w:sz w:val="22"/>
                <w:lang w:val="en-US"/>
              </w:rPr>
              <w:t>TYI</w:t>
            </w:r>
          </w:p>
        </w:tc>
        <w:tc>
          <w:tcPr>
            <w:tcW w:w="7937" w:type="dxa"/>
            <w:hideMark/>
          </w:tcPr>
          <w:p w14:paraId="14A2F988" w14:textId="77777777" w:rsidR="007766E6" w:rsidRPr="007766E6" w:rsidRDefault="007766E6" w:rsidP="007766E6">
            <w:pPr>
              <w:rPr>
                <w:sz w:val="22"/>
                <w:lang w:val="en-US"/>
              </w:rPr>
            </w:pPr>
            <w:r w:rsidRPr="007766E6">
              <w:rPr>
                <w:sz w:val="22"/>
                <w:lang w:val="en-US"/>
              </w:rPr>
              <w:t>Treating Your Infection</w:t>
            </w:r>
          </w:p>
        </w:tc>
      </w:tr>
      <w:tr w:rsidR="007766E6" w:rsidRPr="007766E6" w14:paraId="4D84004C" w14:textId="77777777" w:rsidTr="007766E6">
        <w:tc>
          <w:tcPr>
            <w:tcW w:w="1458" w:type="dxa"/>
            <w:hideMark/>
          </w:tcPr>
          <w:p w14:paraId="2DE99E46" w14:textId="77777777" w:rsidR="007766E6" w:rsidRPr="007766E6" w:rsidRDefault="007766E6" w:rsidP="007766E6">
            <w:pPr>
              <w:rPr>
                <w:sz w:val="22"/>
                <w:lang w:val="en-US"/>
              </w:rPr>
            </w:pPr>
            <w:r w:rsidRPr="007766E6">
              <w:rPr>
                <w:sz w:val="22"/>
                <w:lang w:val="en-US"/>
              </w:rPr>
              <w:t>UK</w:t>
            </w:r>
          </w:p>
        </w:tc>
        <w:tc>
          <w:tcPr>
            <w:tcW w:w="7937" w:type="dxa"/>
            <w:hideMark/>
          </w:tcPr>
          <w:p w14:paraId="7669A24B" w14:textId="77777777" w:rsidR="007766E6" w:rsidRPr="007766E6" w:rsidRDefault="007766E6" w:rsidP="007766E6">
            <w:pPr>
              <w:rPr>
                <w:sz w:val="22"/>
                <w:lang w:val="en-US"/>
              </w:rPr>
            </w:pPr>
            <w:r w:rsidRPr="007766E6">
              <w:rPr>
                <w:sz w:val="22"/>
                <w:lang w:val="en-US"/>
              </w:rPr>
              <w:t>United Kingdom</w:t>
            </w:r>
          </w:p>
        </w:tc>
      </w:tr>
      <w:tr w:rsidR="007766E6" w:rsidRPr="007766E6" w14:paraId="254C8DFA" w14:textId="77777777" w:rsidTr="007766E6">
        <w:tc>
          <w:tcPr>
            <w:tcW w:w="1458" w:type="dxa"/>
            <w:hideMark/>
          </w:tcPr>
          <w:p w14:paraId="5C0C308F" w14:textId="77777777" w:rsidR="007766E6" w:rsidRPr="007766E6" w:rsidRDefault="007766E6" w:rsidP="007766E6">
            <w:pPr>
              <w:rPr>
                <w:sz w:val="22"/>
                <w:lang w:val="en-US"/>
              </w:rPr>
            </w:pPr>
            <w:r w:rsidRPr="007766E6">
              <w:rPr>
                <w:sz w:val="22"/>
                <w:lang w:val="en-US"/>
              </w:rPr>
              <w:t>UKHSA</w:t>
            </w:r>
          </w:p>
        </w:tc>
        <w:tc>
          <w:tcPr>
            <w:tcW w:w="7937" w:type="dxa"/>
            <w:hideMark/>
          </w:tcPr>
          <w:p w14:paraId="5AAFCCB1" w14:textId="77777777" w:rsidR="007766E6" w:rsidRPr="007766E6" w:rsidRDefault="007766E6" w:rsidP="007766E6">
            <w:pPr>
              <w:rPr>
                <w:sz w:val="22"/>
                <w:lang w:val="en-US"/>
              </w:rPr>
            </w:pPr>
            <w:r w:rsidRPr="007766E6">
              <w:rPr>
                <w:sz w:val="22"/>
                <w:lang w:val="en-US"/>
              </w:rPr>
              <w:t>UK Health Security Agency</w:t>
            </w:r>
          </w:p>
        </w:tc>
      </w:tr>
      <w:tr w:rsidR="007766E6" w:rsidRPr="007766E6" w14:paraId="6446588F" w14:textId="77777777" w:rsidTr="007766E6">
        <w:tc>
          <w:tcPr>
            <w:tcW w:w="1458" w:type="dxa"/>
            <w:hideMark/>
          </w:tcPr>
          <w:p w14:paraId="04EF63F9" w14:textId="77777777" w:rsidR="007766E6" w:rsidRPr="007766E6" w:rsidRDefault="007766E6" w:rsidP="007766E6">
            <w:pPr>
              <w:rPr>
                <w:sz w:val="22"/>
                <w:lang w:val="en-US"/>
              </w:rPr>
            </w:pPr>
            <w:r w:rsidRPr="007766E6">
              <w:rPr>
                <w:sz w:val="22"/>
                <w:lang w:val="en-US"/>
              </w:rPr>
              <w:t>UTI</w:t>
            </w:r>
          </w:p>
        </w:tc>
        <w:tc>
          <w:tcPr>
            <w:tcW w:w="7937" w:type="dxa"/>
            <w:hideMark/>
          </w:tcPr>
          <w:p w14:paraId="6EDB0B1D" w14:textId="77777777" w:rsidR="007766E6" w:rsidRPr="007766E6" w:rsidRDefault="007766E6" w:rsidP="007766E6">
            <w:pPr>
              <w:rPr>
                <w:sz w:val="22"/>
                <w:lang w:val="en-US"/>
              </w:rPr>
            </w:pPr>
            <w:r w:rsidRPr="007766E6">
              <w:rPr>
                <w:sz w:val="22"/>
                <w:lang w:val="en-US"/>
              </w:rPr>
              <w:t>Urinary Tract Infection</w:t>
            </w:r>
          </w:p>
        </w:tc>
      </w:tr>
    </w:tbl>
    <w:p w14:paraId="5F92E1A7" w14:textId="77777777" w:rsidR="00277198" w:rsidRPr="00277198" w:rsidRDefault="00277198" w:rsidP="00277198">
      <w:pPr>
        <w:rPr>
          <w:sz w:val="22"/>
          <w:lang w:val="en-US"/>
        </w:rPr>
      </w:pPr>
    </w:p>
    <w:p w14:paraId="61F8161F" w14:textId="77E2F7D1" w:rsidR="000C2B4E" w:rsidRPr="00277198" w:rsidRDefault="000C2B4E">
      <w:pPr>
        <w:spacing w:line="259" w:lineRule="auto"/>
        <w:jc w:val="left"/>
        <w:rPr>
          <w:sz w:val="22"/>
        </w:rPr>
      </w:pPr>
      <w:r w:rsidRPr="00277198">
        <w:rPr>
          <w:sz w:val="22"/>
        </w:rPr>
        <w:br w:type="page"/>
      </w:r>
    </w:p>
    <w:sdt>
      <w:sdtPr>
        <w:rPr>
          <w:rFonts w:ascii="Arial" w:eastAsiaTheme="minorHAnsi" w:hAnsi="Arial" w:cstheme="minorBidi"/>
          <w:b/>
          <w:bCs/>
          <w:color w:val="FFFFFF" w:themeColor="background1"/>
          <w:sz w:val="24"/>
          <w:szCs w:val="22"/>
          <w:lang w:val="en-GB"/>
        </w:rPr>
        <w:id w:val="-1447075908"/>
        <w:docPartObj>
          <w:docPartGallery w:val="Table of Contents"/>
          <w:docPartUnique/>
        </w:docPartObj>
      </w:sdtPr>
      <w:sdtEndPr>
        <w:rPr>
          <w:noProof/>
          <w:color w:val="auto"/>
          <w:sz w:val="22"/>
        </w:rPr>
      </w:sdtEndPr>
      <w:sdtContent>
        <w:p w14:paraId="4E7A931A" w14:textId="5970BBC3" w:rsidR="00194BC0" w:rsidRPr="00030E0C" w:rsidRDefault="00194BC0" w:rsidP="00277198">
          <w:pPr>
            <w:pStyle w:val="TOCHeading"/>
            <w:rPr>
              <w:b/>
              <w:bCs/>
              <w:color w:val="FFFFFF" w:themeColor="background1"/>
            </w:rPr>
          </w:pPr>
          <w:r w:rsidRPr="00030E0C">
            <w:rPr>
              <w:b/>
              <w:bCs/>
              <w:color w:val="FFFFFF" w:themeColor="background1"/>
            </w:rPr>
            <w:t>Table of Contents</w:t>
          </w:r>
        </w:p>
        <w:p w14:paraId="4B1E2CAD" w14:textId="5E4169E6" w:rsidR="00860498" w:rsidRDefault="00194BC0">
          <w:pPr>
            <w:pStyle w:val="TOC1"/>
            <w:tabs>
              <w:tab w:val="right" w:leader="dot" w:pos="9350"/>
            </w:tabs>
            <w:rPr>
              <w:rFonts w:asciiTheme="minorHAnsi" w:eastAsiaTheme="minorEastAsia" w:hAnsiTheme="minorHAnsi"/>
              <w:noProof/>
              <w:kern w:val="2"/>
              <w:szCs w:val="24"/>
              <w:lang w:val="en-US" w:eastAsia="zh-CN"/>
              <w14:ligatures w14:val="standardContextual"/>
            </w:rPr>
          </w:pPr>
          <w:r w:rsidRPr="00277198">
            <w:rPr>
              <w:sz w:val="22"/>
            </w:rPr>
            <w:fldChar w:fldCharType="begin"/>
          </w:r>
          <w:r w:rsidRPr="00277198">
            <w:rPr>
              <w:sz w:val="22"/>
            </w:rPr>
            <w:instrText xml:space="preserve"> TOC \o "1-3" \h \z \u </w:instrText>
          </w:r>
          <w:r w:rsidRPr="00277198">
            <w:rPr>
              <w:sz w:val="22"/>
            </w:rPr>
            <w:fldChar w:fldCharType="separate"/>
          </w:r>
          <w:hyperlink w:anchor="_Toc240927929" w:history="1">
            <w:r w:rsidR="00860498" w:rsidRPr="0000038D">
              <w:rPr>
                <w:rStyle w:val="Hyperlink"/>
                <w:noProof/>
              </w:rPr>
              <w:t>DECLARATION</w:t>
            </w:r>
            <w:r w:rsidR="00860498">
              <w:rPr>
                <w:noProof/>
                <w:webHidden/>
              </w:rPr>
              <w:tab/>
            </w:r>
            <w:r w:rsidR="00860498">
              <w:rPr>
                <w:noProof/>
                <w:webHidden/>
              </w:rPr>
              <w:fldChar w:fldCharType="begin"/>
            </w:r>
            <w:r w:rsidR="00860498">
              <w:rPr>
                <w:noProof/>
                <w:webHidden/>
              </w:rPr>
              <w:instrText xml:space="preserve"> PAGEREF _Toc240927929 \h </w:instrText>
            </w:r>
            <w:r w:rsidR="00860498">
              <w:rPr>
                <w:noProof/>
                <w:webHidden/>
              </w:rPr>
            </w:r>
            <w:r w:rsidR="00860498">
              <w:rPr>
                <w:noProof/>
                <w:webHidden/>
              </w:rPr>
              <w:fldChar w:fldCharType="separate"/>
            </w:r>
            <w:r w:rsidR="00860498">
              <w:rPr>
                <w:noProof/>
                <w:webHidden/>
              </w:rPr>
              <w:t>2</w:t>
            </w:r>
            <w:r w:rsidR="00860498">
              <w:rPr>
                <w:noProof/>
                <w:webHidden/>
              </w:rPr>
              <w:fldChar w:fldCharType="end"/>
            </w:r>
          </w:hyperlink>
        </w:p>
        <w:p w14:paraId="5FA4C815" w14:textId="68183AB5" w:rsidR="00860498" w:rsidRDefault="0028733C">
          <w:pPr>
            <w:pStyle w:val="TOC1"/>
            <w:tabs>
              <w:tab w:val="right" w:leader="dot" w:pos="9350"/>
            </w:tabs>
            <w:rPr>
              <w:rFonts w:asciiTheme="minorHAnsi" w:eastAsiaTheme="minorEastAsia" w:hAnsiTheme="minorHAnsi"/>
              <w:noProof/>
              <w:kern w:val="2"/>
              <w:szCs w:val="24"/>
              <w:lang w:val="en-US" w:eastAsia="zh-CN"/>
              <w14:ligatures w14:val="standardContextual"/>
            </w:rPr>
          </w:pPr>
          <w:hyperlink w:anchor="_Toc240927930" w:history="1">
            <w:r w:rsidR="00860498" w:rsidRPr="0000038D">
              <w:rPr>
                <w:rStyle w:val="Hyperlink"/>
                <w:noProof/>
              </w:rPr>
              <w:t>ACKNOWLEDGEMENT</w:t>
            </w:r>
            <w:r w:rsidR="00860498">
              <w:rPr>
                <w:noProof/>
                <w:webHidden/>
              </w:rPr>
              <w:tab/>
            </w:r>
            <w:r w:rsidR="00860498">
              <w:rPr>
                <w:noProof/>
                <w:webHidden/>
              </w:rPr>
              <w:fldChar w:fldCharType="begin"/>
            </w:r>
            <w:r w:rsidR="00860498">
              <w:rPr>
                <w:noProof/>
                <w:webHidden/>
              </w:rPr>
              <w:instrText xml:space="preserve"> PAGEREF _Toc240927930 \h </w:instrText>
            </w:r>
            <w:r w:rsidR="00860498">
              <w:rPr>
                <w:noProof/>
                <w:webHidden/>
              </w:rPr>
            </w:r>
            <w:r w:rsidR="00860498">
              <w:rPr>
                <w:noProof/>
                <w:webHidden/>
              </w:rPr>
              <w:fldChar w:fldCharType="separate"/>
            </w:r>
            <w:r w:rsidR="00860498">
              <w:rPr>
                <w:noProof/>
                <w:webHidden/>
              </w:rPr>
              <w:t>3</w:t>
            </w:r>
            <w:r w:rsidR="00860498">
              <w:rPr>
                <w:noProof/>
                <w:webHidden/>
              </w:rPr>
              <w:fldChar w:fldCharType="end"/>
            </w:r>
          </w:hyperlink>
        </w:p>
        <w:p w14:paraId="4F9CB94D" w14:textId="63D387D7" w:rsidR="00860498" w:rsidRDefault="0028733C">
          <w:pPr>
            <w:pStyle w:val="TOC1"/>
            <w:tabs>
              <w:tab w:val="right" w:leader="dot" w:pos="9350"/>
            </w:tabs>
            <w:rPr>
              <w:rFonts w:asciiTheme="minorHAnsi" w:eastAsiaTheme="minorEastAsia" w:hAnsiTheme="minorHAnsi"/>
              <w:noProof/>
              <w:kern w:val="2"/>
              <w:szCs w:val="24"/>
              <w:lang w:val="en-US" w:eastAsia="zh-CN"/>
              <w14:ligatures w14:val="standardContextual"/>
            </w:rPr>
          </w:pPr>
          <w:hyperlink w:anchor="_Toc240927931" w:history="1">
            <w:r w:rsidR="00860498" w:rsidRPr="0000038D">
              <w:rPr>
                <w:rStyle w:val="Hyperlink"/>
                <w:noProof/>
              </w:rPr>
              <w:t>ABSTRACT</w:t>
            </w:r>
            <w:r w:rsidR="00860498">
              <w:rPr>
                <w:noProof/>
                <w:webHidden/>
              </w:rPr>
              <w:tab/>
            </w:r>
            <w:r w:rsidR="00860498">
              <w:rPr>
                <w:noProof/>
                <w:webHidden/>
              </w:rPr>
              <w:fldChar w:fldCharType="begin"/>
            </w:r>
            <w:r w:rsidR="00860498">
              <w:rPr>
                <w:noProof/>
                <w:webHidden/>
              </w:rPr>
              <w:instrText xml:space="preserve"> PAGEREF _Toc240927931 \h </w:instrText>
            </w:r>
            <w:r w:rsidR="00860498">
              <w:rPr>
                <w:noProof/>
                <w:webHidden/>
              </w:rPr>
            </w:r>
            <w:r w:rsidR="00860498">
              <w:rPr>
                <w:noProof/>
                <w:webHidden/>
              </w:rPr>
              <w:fldChar w:fldCharType="separate"/>
            </w:r>
            <w:r w:rsidR="00860498">
              <w:rPr>
                <w:noProof/>
                <w:webHidden/>
              </w:rPr>
              <w:t>4</w:t>
            </w:r>
            <w:r w:rsidR="00860498">
              <w:rPr>
                <w:noProof/>
                <w:webHidden/>
              </w:rPr>
              <w:fldChar w:fldCharType="end"/>
            </w:r>
          </w:hyperlink>
        </w:p>
        <w:p w14:paraId="4A7D997C" w14:textId="733DC6E5" w:rsidR="00860498" w:rsidRDefault="0028733C">
          <w:pPr>
            <w:pStyle w:val="TOC1"/>
            <w:tabs>
              <w:tab w:val="right" w:leader="dot" w:pos="9350"/>
            </w:tabs>
            <w:rPr>
              <w:rFonts w:asciiTheme="minorHAnsi" w:eastAsiaTheme="minorEastAsia" w:hAnsiTheme="minorHAnsi"/>
              <w:noProof/>
              <w:kern w:val="2"/>
              <w:szCs w:val="24"/>
              <w:lang w:val="en-US" w:eastAsia="zh-CN"/>
              <w14:ligatures w14:val="standardContextual"/>
            </w:rPr>
          </w:pPr>
          <w:hyperlink w:anchor="_Toc240927932" w:history="1">
            <w:r w:rsidR="00860498" w:rsidRPr="0000038D">
              <w:rPr>
                <w:rStyle w:val="Hyperlink"/>
                <w:noProof/>
              </w:rPr>
              <w:t>LIST OF TABLES</w:t>
            </w:r>
            <w:r w:rsidR="00860498">
              <w:rPr>
                <w:noProof/>
                <w:webHidden/>
              </w:rPr>
              <w:tab/>
            </w:r>
            <w:r w:rsidR="00860498">
              <w:rPr>
                <w:noProof/>
                <w:webHidden/>
              </w:rPr>
              <w:fldChar w:fldCharType="begin"/>
            </w:r>
            <w:r w:rsidR="00860498">
              <w:rPr>
                <w:noProof/>
                <w:webHidden/>
              </w:rPr>
              <w:instrText xml:space="preserve"> PAGEREF _Toc240927932 \h </w:instrText>
            </w:r>
            <w:r w:rsidR="00860498">
              <w:rPr>
                <w:noProof/>
                <w:webHidden/>
              </w:rPr>
            </w:r>
            <w:r w:rsidR="00860498">
              <w:rPr>
                <w:noProof/>
                <w:webHidden/>
              </w:rPr>
              <w:fldChar w:fldCharType="separate"/>
            </w:r>
            <w:r w:rsidR="00860498">
              <w:rPr>
                <w:noProof/>
                <w:webHidden/>
              </w:rPr>
              <w:t>5</w:t>
            </w:r>
            <w:r w:rsidR="00860498">
              <w:rPr>
                <w:noProof/>
                <w:webHidden/>
              </w:rPr>
              <w:fldChar w:fldCharType="end"/>
            </w:r>
          </w:hyperlink>
        </w:p>
        <w:p w14:paraId="4F761412" w14:textId="0BC51EE2" w:rsidR="00860498" w:rsidRDefault="0028733C">
          <w:pPr>
            <w:pStyle w:val="TOC1"/>
            <w:tabs>
              <w:tab w:val="right" w:leader="dot" w:pos="9350"/>
            </w:tabs>
            <w:rPr>
              <w:rFonts w:asciiTheme="minorHAnsi" w:eastAsiaTheme="minorEastAsia" w:hAnsiTheme="minorHAnsi"/>
              <w:noProof/>
              <w:kern w:val="2"/>
              <w:szCs w:val="24"/>
              <w:lang w:val="en-US" w:eastAsia="zh-CN"/>
              <w14:ligatures w14:val="standardContextual"/>
            </w:rPr>
          </w:pPr>
          <w:hyperlink w:anchor="_Toc240927933" w:history="1">
            <w:r w:rsidR="00860498" w:rsidRPr="0000038D">
              <w:rPr>
                <w:rStyle w:val="Hyperlink"/>
                <w:noProof/>
              </w:rPr>
              <w:t>LIST OF FIGURES</w:t>
            </w:r>
            <w:r w:rsidR="00860498">
              <w:rPr>
                <w:noProof/>
                <w:webHidden/>
              </w:rPr>
              <w:tab/>
            </w:r>
            <w:r w:rsidR="00860498">
              <w:rPr>
                <w:noProof/>
                <w:webHidden/>
              </w:rPr>
              <w:fldChar w:fldCharType="begin"/>
            </w:r>
            <w:r w:rsidR="00860498">
              <w:rPr>
                <w:noProof/>
                <w:webHidden/>
              </w:rPr>
              <w:instrText xml:space="preserve"> PAGEREF _Toc240927933 \h </w:instrText>
            </w:r>
            <w:r w:rsidR="00860498">
              <w:rPr>
                <w:noProof/>
                <w:webHidden/>
              </w:rPr>
            </w:r>
            <w:r w:rsidR="00860498">
              <w:rPr>
                <w:noProof/>
                <w:webHidden/>
              </w:rPr>
              <w:fldChar w:fldCharType="separate"/>
            </w:r>
            <w:r w:rsidR="00860498">
              <w:rPr>
                <w:noProof/>
                <w:webHidden/>
              </w:rPr>
              <w:t>5</w:t>
            </w:r>
            <w:r w:rsidR="00860498">
              <w:rPr>
                <w:noProof/>
                <w:webHidden/>
              </w:rPr>
              <w:fldChar w:fldCharType="end"/>
            </w:r>
          </w:hyperlink>
        </w:p>
        <w:p w14:paraId="7FECD133" w14:textId="5579F543" w:rsidR="00860498" w:rsidRDefault="0028733C">
          <w:pPr>
            <w:pStyle w:val="TOC1"/>
            <w:tabs>
              <w:tab w:val="right" w:leader="dot" w:pos="9350"/>
            </w:tabs>
            <w:rPr>
              <w:rFonts w:asciiTheme="minorHAnsi" w:eastAsiaTheme="minorEastAsia" w:hAnsiTheme="minorHAnsi"/>
              <w:noProof/>
              <w:kern w:val="2"/>
              <w:szCs w:val="24"/>
              <w:lang w:val="en-US" w:eastAsia="zh-CN"/>
              <w14:ligatures w14:val="standardContextual"/>
            </w:rPr>
          </w:pPr>
          <w:hyperlink w:anchor="_Toc240927934" w:history="1">
            <w:r w:rsidR="00860498" w:rsidRPr="0000038D">
              <w:rPr>
                <w:rStyle w:val="Hyperlink"/>
                <w:noProof/>
              </w:rPr>
              <w:t>LIST OF ABBREVIATIONS</w:t>
            </w:r>
            <w:r w:rsidR="00860498">
              <w:rPr>
                <w:noProof/>
                <w:webHidden/>
              </w:rPr>
              <w:tab/>
            </w:r>
            <w:r w:rsidR="00860498">
              <w:rPr>
                <w:noProof/>
                <w:webHidden/>
              </w:rPr>
              <w:fldChar w:fldCharType="begin"/>
            </w:r>
            <w:r w:rsidR="00860498">
              <w:rPr>
                <w:noProof/>
                <w:webHidden/>
              </w:rPr>
              <w:instrText xml:space="preserve"> PAGEREF _Toc240927934 \h </w:instrText>
            </w:r>
            <w:r w:rsidR="00860498">
              <w:rPr>
                <w:noProof/>
                <w:webHidden/>
              </w:rPr>
            </w:r>
            <w:r w:rsidR="00860498">
              <w:rPr>
                <w:noProof/>
                <w:webHidden/>
              </w:rPr>
              <w:fldChar w:fldCharType="separate"/>
            </w:r>
            <w:r w:rsidR="00860498">
              <w:rPr>
                <w:noProof/>
                <w:webHidden/>
              </w:rPr>
              <w:t>6</w:t>
            </w:r>
            <w:r w:rsidR="00860498">
              <w:rPr>
                <w:noProof/>
                <w:webHidden/>
              </w:rPr>
              <w:fldChar w:fldCharType="end"/>
            </w:r>
          </w:hyperlink>
        </w:p>
        <w:p w14:paraId="3B22897D" w14:textId="640B64E1" w:rsidR="00860498" w:rsidRDefault="0028733C">
          <w:pPr>
            <w:pStyle w:val="TOC1"/>
            <w:tabs>
              <w:tab w:val="right" w:leader="dot" w:pos="9350"/>
            </w:tabs>
            <w:rPr>
              <w:rFonts w:asciiTheme="minorHAnsi" w:eastAsiaTheme="minorEastAsia" w:hAnsiTheme="minorHAnsi"/>
              <w:noProof/>
              <w:kern w:val="2"/>
              <w:szCs w:val="24"/>
              <w:lang w:val="en-US" w:eastAsia="zh-CN"/>
              <w14:ligatures w14:val="standardContextual"/>
            </w:rPr>
          </w:pPr>
          <w:hyperlink w:anchor="_Toc240927935" w:history="1">
            <w:r w:rsidR="00860498" w:rsidRPr="0000038D">
              <w:rPr>
                <w:rStyle w:val="Hyperlink"/>
                <w:noProof/>
              </w:rPr>
              <w:t>CHAPTER 1: INTRODUCTION</w:t>
            </w:r>
            <w:r w:rsidR="00860498">
              <w:rPr>
                <w:noProof/>
                <w:webHidden/>
              </w:rPr>
              <w:tab/>
            </w:r>
            <w:r w:rsidR="00860498">
              <w:rPr>
                <w:noProof/>
                <w:webHidden/>
              </w:rPr>
              <w:fldChar w:fldCharType="begin"/>
            </w:r>
            <w:r w:rsidR="00860498">
              <w:rPr>
                <w:noProof/>
                <w:webHidden/>
              </w:rPr>
              <w:instrText xml:space="preserve"> PAGEREF _Toc240927935 \h </w:instrText>
            </w:r>
            <w:r w:rsidR="00860498">
              <w:rPr>
                <w:noProof/>
                <w:webHidden/>
              </w:rPr>
            </w:r>
            <w:r w:rsidR="00860498">
              <w:rPr>
                <w:noProof/>
                <w:webHidden/>
              </w:rPr>
              <w:fldChar w:fldCharType="separate"/>
            </w:r>
            <w:r w:rsidR="00860498">
              <w:rPr>
                <w:noProof/>
                <w:webHidden/>
              </w:rPr>
              <w:t>11</w:t>
            </w:r>
            <w:r w:rsidR="00860498">
              <w:rPr>
                <w:noProof/>
                <w:webHidden/>
              </w:rPr>
              <w:fldChar w:fldCharType="end"/>
            </w:r>
          </w:hyperlink>
        </w:p>
        <w:p w14:paraId="370152E8" w14:textId="6E31717B"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36" w:history="1">
            <w:r w:rsidR="00860498" w:rsidRPr="0000038D">
              <w:rPr>
                <w:rStyle w:val="Hyperlink"/>
                <w:noProof/>
              </w:rPr>
              <w:t>1.1 Introduction</w:t>
            </w:r>
            <w:r w:rsidR="00860498">
              <w:rPr>
                <w:noProof/>
                <w:webHidden/>
              </w:rPr>
              <w:tab/>
            </w:r>
            <w:r w:rsidR="00860498">
              <w:rPr>
                <w:noProof/>
                <w:webHidden/>
              </w:rPr>
              <w:fldChar w:fldCharType="begin"/>
            </w:r>
            <w:r w:rsidR="00860498">
              <w:rPr>
                <w:noProof/>
                <w:webHidden/>
              </w:rPr>
              <w:instrText xml:space="preserve"> PAGEREF _Toc240927936 \h </w:instrText>
            </w:r>
            <w:r w:rsidR="00860498">
              <w:rPr>
                <w:noProof/>
                <w:webHidden/>
              </w:rPr>
            </w:r>
            <w:r w:rsidR="00860498">
              <w:rPr>
                <w:noProof/>
                <w:webHidden/>
              </w:rPr>
              <w:fldChar w:fldCharType="separate"/>
            </w:r>
            <w:r w:rsidR="00860498">
              <w:rPr>
                <w:noProof/>
                <w:webHidden/>
              </w:rPr>
              <w:t>11</w:t>
            </w:r>
            <w:r w:rsidR="00860498">
              <w:rPr>
                <w:noProof/>
                <w:webHidden/>
              </w:rPr>
              <w:fldChar w:fldCharType="end"/>
            </w:r>
          </w:hyperlink>
        </w:p>
        <w:p w14:paraId="48D66798" w14:textId="0A6672EE"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37" w:history="1">
            <w:r w:rsidR="00860498" w:rsidRPr="0000038D">
              <w:rPr>
                <w:rStyle w:val="Hyperlink"/>
                <w:noProof/>
              </w:rPr>
              <w:t>1.2 Background of the Study</w:t>
            </w:r>
            <w:r w:rsidR="00860498">
              <w:rPr>
                <w:noProof/>
                <w:webHidden/>
              </w:rPr>
              <w:tab/>
            </w:r>
            <w:r w:rsidR="00860498">
              <w:rPr>
                <w:noProof/>
                <w:webHidden/>
              </w:rPr>
              <w:fldChar w:fldCharType="begin"/>
            </w:r>
            <w:r w:rsidR="00860498">
              <w:rPr>
                <w:noProof/>
                <w:webHidden/>
              </w:rPr>
              <w:instrText xml:space="preserve"> PAGEREF _Toc240927937 \h </w:instrText>
            </w:r>
            <w:r w:rsidR="00860498">
              <w:rPr>
                <w:noProof/>
                <w:webHidden/>
              </w:rPr>
            </w:r>
            <w:r w:rsidR="00860498">
              <w:rPr>
                <w:noProof/>
                <w:webHidden/>
              </w:rPr>
              <w:fldChar w:fldCharType="separate"/>
            </w:r>
            <w:r w:rsidR="00860498">
              <w:rPr>
                <w:noProof/>
                <w:webHidden/>
              </w:rPr>
              <w:t>11</w:t>
            </w:r>
            <w:r w:rsidR="00860498">
              <w:rPr>
                <w:noProof/>
                <w:webHidden/>
              </w:rPr>
              <w:fldChar w:fldCharType="end"/>
            </w:r>
          </w:hyperlink>
        </w:p>
        <w:p w14:paraId="64511FD6" w14:textId="02648E62"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38" w:history="1">
            <w:r w:rsidR="00860498" w:rsidRPr="0000038D">
              <w:rPr>
                <w:rStyle w:val="Hyperlink"/>
                <w:noProof/>
              </w:rPr>
              <w:t>1.3 Statement of the Problem</w:t>
            </w:r>
            <w:r w:rsidR="00860498">
              <w:rPr>
                <w:noProof/>
                <w:webHidden/>
              </w:rPr>
              <w:tab/>
            </w:r>
            <w:r w:rsidR="00860498">
              <w:rPr>
                <w:noProof/>
                <w:webHidden/>
              </w:rPr>
              <w:fldChar w:fldCharType="begin"/>
            </w:r>
            <w:r w:rsidR="00860498">
              <w:rPr>
                <w:noProof/>
                <w:webHidden/>
              </w:rPr>
              <w:instrText xml:space="preserve"> PAGEREF _Toc240927938 \h </w:instrText>
            </w:r>
            <w:r w:rsidR="00860498">
              <w:rPr>
                <w:noProof/>
                <w:webHidden/>
              </w:rPr>
            </w:r>
            <w:r w:rsidR="00860498">
              <w:rPr>
                <w:noProof/>
                <w:webHidden/>
              </w:rPr>
              <w:fldChar w:fldCharType="separate"/>
            </w:r>
            <w:r w:rsidR="00860498">
              <w:rPr>
                <w:noProof/>
                <w:webHidden/>
              </w:rPr>
              <w:t>11</w:t>
            </w:r>
            <w:r w:rsidR="00860498">
              <w:rPr>
                <w:noProof/>
                <w:webHidden/>
              </w:rPr>
              <w:fldChar w:fldCharType="end"/>
            </w:r>
          </w:hyperlink>
        </w:p>
        <w:p w14:paraId="173F4AFB" w14:textId="336341DA"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39" w:history="1">
            <w:r w:rsidR="00860498" w:rsidRPr="0000038D">
              <w:rPr>
                <w:rStyle w:val="Hyperlink"/>
                <w:noProof/>
              </w:rPr>
              <w:t>1.4 Rationale of the Study</w:t>
            </w:r>
            <w:r w:rsidR="00860498">
              <w:rPr>
                <w:noProof/>
                <w:webHidden/>
              </w:rPr>
              <w:tab/>
            </w:r>
            <w:r w:rsidR="00860498">
              <w:rPr>
                <w:noProof/>
                <w:webHidden/>
              </w:rPr>
              <w:fldChar w:fldCharType="begin"/>
            </w:r>
            <w:r w:rsidR="00860498">
              <w:rPr>
                <w:noProof/>
                <w:webHidden/>
              </w:rPr>
              <w:instrText xml:space="preserve"> PAGEREF _Toc240927939 \h </w:instrText>
            </w:r>
            <w:r w:rsidR="00860498">
              <w:rPr>
                <w:noProof/>
                <w:webHidden/>
              </w:rPr>
            </w:r>
            <w:r w:rsidR="00860498">
              <w:rPr>
                <w:noProof/>
                <w:webHidden/>
              </w:rPr>
              <w:fldChar w:fldCharType="separate"/>
            </w:r>
            <w:r w:rsidR="00860498">
              <w:rPr>
                <w:noProof/>
                <w:webHidden/>
              </w:rPr>
              <w:t>13</w:t>
            </w:r>
            <w:r w:rsidR="00860498">
              <w:rPr>
                <w:noProof/>
                <w:webHidden/>
              </w:rPr>
              <w:fldChar w:fldCharType="end"/>
            </w:r>
          </w:hyperlink>
        </w:p>
        <w:p w14:paraId="722C4AC9" w14:textId="6CE56774"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40" w:history="1">
            <w:r w:rsidR="00860498" w:rsidRPr="0000038D">
              <w:rPr>
                <w:rStyle w:val="Hyperlink"/>
                <w:noProof/>
                <w:lang w:val="en-US"/>
              </w:rPr>
              <w:t>1.5 Research Question</w:t>
            </w:r>
            <w:r w:rsidR="00860498">
              <w:rPr>
                <w:noProof/>
                <w:webHidden/>
              </w:rPr>
              <w:tab/>
            </w:r>
            <w:r w:rsidR="00860498">
              <w:rPr>
                <w:noProof/>
                <w:webHidden/>
              </w:rPr>
              <w:fldChar w:fldCharType="begin"/>
            </w:r>
            <w:r w:rsidR="00860498">
              <w:rPr>
                <w:noProof/>
                <w:webHidden/>
              </w:rPr>
              <w:instrText xml:space="preserve"> PAGEREF _Toc240927940 \h </w:instrText>
            </w:r>
            <w:r w:rsidR="00860498">
              <w:rPr>
                <w:noProof/>
                <w:webHidden/>
              </w:rPr>
            </w:r>
            <w:r w:rsidR="00860498">
              <w:rPr>
                <w:noProof/>
                <w:webHidden/>
              </w:rPr>
              <w:fldChar w:fldCharType="separate"/>
            </w:r>
            <w:r w:rsidR="00860498">
              <w:rPr>
                <w:noProof/>
                <w:webHidden/>
              </w:rPr>
              <w:t>13</w:t>
            </w:r>
            <w:r w:rsidR="00860498">
              <w:rPr>
                <w:noProof/>
                <w:webHidden/>
              </w:rPr>
              <w:fldChar w:fldCharType="end"/>
            </w:r>
          </w:hyperlink>
        </w:p>
        <w:p w14:paraId="283DE56D" w14:textId="55130CEC"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41" w:history="1">
            <w:r w:rsidR="00860498" w:rsidRPr="0000038D">
              <w:rPr>
                <w:rStyle w:val="Hyperlink"/>
                <w:noProof/>
                <w:lang w:val="en-US"/>
              </w:rPr>
              <w:t>1.6 Research Aim</w:t>
            </w:r>
            <w:r w:rsidR="00860498">
              <w:rPr>
                <w:noProof/>
                <w:webHidden/>
              </w:rPr>
              <w:tab/>
            </w:r>
            <w:r w:rsidR="00860498">
              <w:rPr>
                <w:noProof/>
                <w:webHidden/>
              </w:rPr>
              <w:fldChar w:fldCharType="begin"/>
            </w:r>
            <w:r w:rsidR="00860498">
              <w:rPr>
                <w:noProof/>
                <w:webHidden/>
              </w:rPr>
              <w:instrText xml:space="preserve"> PAGEREF _Toc240927941 \h </w:instrText>
            </w:r>
            <w:r w:rsidR="00860498">
              <w:rPr>
                <w:noProof/>
                <w:webHidden/>
              </w:rPr>
            </w:r>
            <w:r w:rsidR="00860498">
              <w:rPr>
                <w:noProof/>
                <w:webHidden/>
              </w:rPr>
              <w:fldChar w:fldCharType="separate"/>
            </w:r>
            <w:r w:rsidR="00860498">
              <w:rPr>
                <w:noProof/>
                <w:webHidden/>
              </w:rPr>
              <w:t>14</w:t>
            </w:r>
            <w:r w:rsidR="00860498">
              <w:rPr>
                <w:noProof/>
                <w:webHidden/>
              </w:rPr>
              <w:fldChar w:fldCharType="end"/>
            </w:r>
          </w:hyperlink>
        </w:p>
        <w:p w14:paraId="6997495B" w14:textId="78645B02"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42" w:history="1">
            <w:r w:rsidR="00860498" w:rsidRPr="0000038D">
              <w:rPr>
                <w:rStyle w:val="Hyperlink"/>
                <w:noProof/>
                <w:lang w:val="en-US"/>
              </w:rPr>
              <w:t>1.7 Research Objectives</w:t>
            </w:r>
            <w:r w:rsidR="00860498">
              <w:rPr>
                <w:noProof/>
                <w:webHidden/>
              </w:rPr>
              <w:tab/>
            </w:r>
            <w:r w:rsidR="00860498">
              <w:rPr>
                <w:noProof/>
                <w:webHidden/>
              </w:rPr>
              <w:fldChar w:fldCharType="begin"/>
            </w:r>
            <w:r w:rsidR="00860498">
              <w:rPr>
                <w:noProof/>
                <w:webHidden/>
              </w:rPr>
              <w:instrText xml:space="preserve"> PAGEREF _Toc240927942 \h </w:instrText>
            </w:r>
            <w:r w:rsidR="00860498">
              <w:rPr>
                <w:noProof/>
                <w:webHidden/>
              </w:rPr>
            </w:r>
            <w:r w:rsidR="00860498">
              <w:rPr>
                <w:noProof/>
                <w:webHidden/>
              </w:rPr>
              <w:fldChar w:fldCharType="separate"/>
            </w:r>
            <w:r w:rsidR="00860498">
              <w:rPr>
                <w:noProof/>
                <w:webHidden/>
              </w:rPr>
              <w:t>14</w:t>
            </w:r>
            <w:r w:rsidR="00860498">
              <w:rPr>
                <w:noProof/>
                <w:webHidden/>
              </w:rPr>
              <w:fldChar w:fldCharType="end"/>
            </w:r>
          </w:hyperlink>
        </w:p>
        <w:p w14:paraId="6BE62230" w14:textId="799AA90C"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43" w:history="1">
            <w:r w:rsidR="00860498" w:rsidRPr="0000038D">
              <w:rPr>
                <w:rStyle w:val="Hyperlink"/>
                <w:noProof/>
              </w:rPr>
              <w:t>1.8 Significance of the Study</w:t>
            </w:r>
            <w:r w:rsidR="00860498">
              <w:rPr>
                <w:noProof/>
                <w:webHidden/>
              </w:rPr>
              <w:tab/>
            </w:r>
            <w:r w:rsidR="00860498">
              <w:rPr>
                <w:noProof/>
                <w:webHidden/>
              </w:rPr>
              <w:fldChar w:fldCharType="begin"/>
            </w:r>
            <w:r w:rsidR="00860498">
              <w:rPr>
                <w:noProof/>
                <w:webHidden/>
              </w:rPr>
              <w:instrText xml:space="preserve"> PAGEREF _Toc240927943 \h </w:instrText>
            </w:r>
            <w:r w:rsidR="00860498">
              <w:rPr>
                <w:noProof/>
                <w:webHidden/>
              </w:rPr>
            </w:r>
            <w:r w:rsidR="00860498">
              <w:rPr>
                <w:noProof/>
                <w:webHidden/>
              </w:rPr>
              <w:fldChar w:fldCharType="separate"/>
            </w:r>
            <w:r w:rsidR="00860498">
              <w:rPr>
                <w:noProof/>
                <w:webHidden/>
              </w:rPr>
              <w:t>14</w:t>
            </w:r>
            <w:r w:rsidR="00860498">
              <w:rPr>
                <w:noProof/>
                <w:webHidden/>
              </w:rPr>
              <w:fldChar w:fldCharType="end"/>
            </w:r>
          </w:hyperlink>
        </w:p>
        <w:p w14:paraId="76BA8E7C" w14:textId="394357BD"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44" w:history="1">
            <w:r w:rsidR="00860498" w:rsidRPr="0000038D">
              <w:rPr>
                <w:rStyle w:val="Hyperlink"/>
                <w:noProof/>
              </w:rPr>
              <w:t>1.9 Scope of the Study</w:t>
            </w:r>
            <w:r w:rsidR="00860498">
              <w:rPr>
                <w:noProof/>
                <w:webHidden/>
              </w:rPr>
              <w:tab/>
            </w:r>
            <w:r w:rsidR="00860498">
              <w:rPr>
                <w:noProof/>
                <w:webHidden/>
              </w:rPr>
              <w:fldChar w:fldCharType="begin"/>
            </w:r>
            <w:r w:rsidR="00860498">
              <w:rPr>
                <w:noProof/>
                <w:webHidden/>
              </w:rPr>
              <w:instrText xml:space="preserve"> PAGEREF _Toc240927944 \h </w:instrText>
            </w:r>
            <w:r w:rsidR="00860498">
              <w:rPr>
                <w:noProof/>
                <w:webHidden/>
              </w:rPr>
            </w:r>
            <w:r w:rsidR="00860498">
              <w:rPr>
                <w:noProof/>
                <w:webHidden/>
              </w:rPr>
              <w:fldChar w:fldCharType="separate"/>
            </w:r>
            <w:r w:rsidR="00860498">
              <w:rPr>
                <w:noProof/>
                <w:webHidden/>
              </w:rPr>
              <w:t>14</w:t>
            </w:r>
            <w:r w:rsidR="00860498">
              <w:rPr>
                <w:noProof/>
                <w:webHidden/>
              </w:rPr>
              <w:fldChar w:fldCharType="end"/>
            </w:r>
          </w:hyperlink>
        </w:p>
        <w:p w14:paraId="6DF91F68" w14:textId="4420D805"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45" w:history="1">
            <w:r w:rsidR="00860498" w:rsidRPr="0000038D">
              <w:rPr>
                <w:rStyle w:val="Hyperlink"/>
                <w:noProof/>
              </w:rPr>
              <w:t>1.10 Structure of the Dissertation</w:t>
            </w:r>
            <w:r w:rsidR="00860498">
              <w:rPr>
                <w:noProof/>
                <w:webHidden/>
              </w:rPr>
              <w:tab/>
            </w:r>
            <w:r w:rsidR="00860498">
              <w:rPr>
                <w:noProof/>
                <w:webHidden/>
              </w:rPr>
              <w:fldChar w:fldCharType="begin"/>
            </w:r>
            <w:r w:rsidR="00860498">
              <w:rPr>
                <w:noProof/>
                <w:webHidden/>
              </w:rPr>
              <w:instrText xml:space="preserve"> PAGEREF _Toc240927945 \h </w:instrText>
            </w:r>
            <w:r w:rsidR="00860498">
              <w:rPr>
                <w:noProof/>
                <w:webHidden/>
              </w:rPr>
            </w:r>
            <w:r w:rsidR="00860498">
              <w:rPr>
                <w:noProof/>
                <w:webHidden/>
              </w:rPr>
              <w:fldChar w:fldCharType="separate"/>
            </w:r>
            <w:r w:rsidR="00860498">
              <w:rPr>
                <w:noProof/>
                <w:webHidden/>
              </w:rPr>
              <w:t>15</w:t>
            </w:r>
            <w:r w:rsidR="00860498">
              <w:rPr>
                <w:noProof/>
                <w:webHidden/>
              </w:rPr>
              <w:fldChar w:fldCharType="end"/>
            </w:r>
          </w:hyperlink>
        </w:p>
        <w:p w14:paraId="0936DC6F" w14:textId="4D327301"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46" w:history="1">
            <w:r w:rsidR="00860498" w:rsidRPr="0000038D">
              <w:rPr>
                <w:rStyle w:val="Hyperlink"/>
                <w:noProof/>
              </w:rPr>
              <w:t>1.11 Summary of the Chapter</w:t>
            </w:r>
            <w:r w:rsidR="00860498">
              <w:rPr>
                <w:noProof/>
                <w:webHidden/>
              </w:rPr>
              <w:tab/>
            </w:r>
            <w:r w:rsidR="00860498">
              <w:rPr>
                <w:noProof/>
                <w:webHidden/>
              </w:rPr>
              <w:fldChar w:fldCharType="begin"/>
            </w:r>
            <w:r w:rsidR="00860498">
              <w:rPr>
                <w:noProof/>
                <w:webHidden/>
              </w:rPr>
              <w:instrText xml:space="preserve"> PAGEREF _Toc240927946 \h </w:instrText>
            </w:r>
            <w:r w:rsidR="00860498">
              <w:rPr>
                <w:noProof/>
                <w:webHidden/>
              </w:rPr>
            </w:r>
            <w:r w:rsidR="00860498">
              <w:rPr>
                <w:noProof/>
                <w:webHidden/>
              </w:rPr>
              <w:fldChar w:fldCharType="separate"/>
            </w:r>
            <w:r w:rsidR="00860498">
              <w:rPr>
                <w:noProof/>
                <w:webHidden/>
              </w:rPr>
              <w:t>15</w:t>
            </w:r>
            <w:r w:rsidR="00860498">
              <w:rPr>
                <w:noProof/>
                <w:webHidden/>
              </w:rPr>
              <w:fldChar w:fldCharType="end"/>
            </w:r>
          </w:hyperlink>
        </w:p>
        <w:p w14:paraId="18B34759" w14:textId="213899D6" w:rsidR="00860498" w:rsidRDefault="0028733C">
          <w:pPr>
            <w:pStyle w:val="TOC1"/>
            <w:tabs>
              <w:tab w:val="right" w:leader="dot" w:pos="9350"/>
            </w:tabs>
            <w:rPr>
              <w:rFonts w:asciiTheme="minorHAnsi" w:eastAsiaTheme="minorEastAsia" w:hAnsiTheme="minorHAnsi"/>
              <w:noProof/>
              <w:kern w:val="2"/>
              <w:szCs w:val="24"/>
              <w:lang w:val="en-US" w:eastAsia="zh-CN"/>
              <w14:ligatures w14:val="standardContextual"/>
            </w:rPr>
          </w:pPr>
          <w:hyperlink w:anchor="_Toc240927947" w:history="1">
            <w:r w:rsidR="00860498" w:rsidRPr="0000038D">
              <w:rPr>
                <w:rStyle w:val="Hyperlink"/>
                <w:noProof/>
              </w:rPr>
              <w:t>CHAPTER 2: LITERATURE REVIEW AND THEORETICAL FRAMEWORK</w:t>
            </w:r>
            <w:r w:rsidR="00860498">
              <w:rPr>
                <w:noProof/>
                <w:webHidden/>
              </w:rPr>
              <w:tab/>
            </w:r>
            <w:r w:rsidR="00860498">
              <w:rPr>
                <w:noProof/>
                <w:webHidden/>
              </w:rPr>
              <w:fldChar w:fldCharType="begin"/>
            </w:r>
            <w:r w:rsidR="00860498">
              <w:rPr>
                <w:noProof/>
                <w:webHidden/>
              </w:rPr>
              <w:instrText xml:space="preserve"> PAGEREF _Toc240927947 \h </w:instrText>
            </w:r>
            <w:r w:rsidR="00860498">
              <w:rPr>
                <w:noProof/>
                <w:webHidden/>
              </w:rPr>
            </w:r>
            <w:r w:rsidR="00860498">
              <w:rPr>
                <w:noProof/>
                <w:webHidden/>
              </w:rPr>
              <w:fldChar w:fldCharType="separate"/>
            </w:r>
            <w:r w:rsidR="00860498">
              <w:rPr>
                <w:noProof/>
                <w:webHidden/>
              </w:rPr>
              <w:t>16</w:t>
            </w:r>
            <w:r w:rsidR="00860498">
              <w:rPr>
                <w:noProof/>
                <w:webHidden/>
              </w:rPr>
              <w:fldChar w:fldCharType="end"/>
            </w:r>
          </w:hyperlink>
        </w:p>
        <w:p w14:paraId="30C4DD93" w14:textId="08941B6D"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48" w:history="1">
            <w:r w:rsidR="00860498" w:rsidRPr="0000038D">
              <w:rPr>
                <w:rStyle w:val="Hyperlink"/>
                <w:noProof/>
              </w:rPr>
              <w:t>2.1 Introduction</w:t>
            </w:r>
            <w:r w:rsidR="00860498">
              <w:rPr>
                <w:noProof/>
                <w:webHidden/>
              </w:rPr>
              <w:tab/>
            </w:r>
            <w:r w:rsidR="00860498">
              <w:rPr>
                <w:noProof/>
                <w:webHidden/>
              </w:rPr>
              <w:fldChar w:fldCharType="begin"/>
            </w:r>
            <w:r w:rsidR="00860498">
              <w:rPr>
                <w:noProof/>
                <w:webHidden/>
              </w:rPr>
              <w:instrText xml:space="preserve"> PAGEREF _Toc240927948 \h </w:instrText>
            </w:r>
            <w:r w:rsidR="00860498">
              <w:rPr>
                <w:noProof/>
                <w:webHidden/>
              </w:rPr>
            </w:r>
            <w:r w:rsidR="00860498">
              <w:rPr>
                <w:noProof/>
                <w:webHidden/>
              </w:rPr>
              <w:fldChar w:fldCharType="separate"/>
            </w:r>
            <w:r w:rsidR="00860498">
              <w:rPr>
                <w:noProof/>
                <w:webHidden/>
              </w:rPr>
              <w:t>16</w:t>
            </w:r>
            <w:r w:rsidR="00860498">
              <w:rPr>
                <w:noProof/>
                <w:webHidden/>
              </w:rPr>
              <w:fldChar w:fldCharType="end"/>
            </w:r>
          </w:hyperlink>
        </w:p>
        <w:p w14:paraId="0B752BBE" w14:textId="0FBC00A3"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49" w:history="1">
            <w:r w:rsidR="00860498" w:rsidRPr="0000038D">
              <w:rPr>
                <w:rStyle w:val="Hyperlink"/>
                <w:noProof/>
              </w:rPr>
              <w:t>2.2 Literature Search Strategy</w:t>
            </w:r>
            <w:r w:rsidR="00860498">
              <w:rPr>
                <w:noProof/>
                <w:webHidden/>
              </w:rPr>
              <w:tab/>
            </w:r>
            <w:r w:rsidR="00860498">
              <w:rPr>
                <w:noProof/>
                <w:webHidden/>
              </w:rPr>
              <w:fldChar w:fldCharType="begin"/>
            </w:r>
            <w:r w:rsidR="00860498">
              <w:rPr>
                <w:noProof/>
                <w:webHidden/>
              </w:rPr>
              <w:instrText xml:space="preserve"> PAGEREF _Toc240927949 \h </w:instrText>
            </w:r>
            <w:r w:rsidR="00860498">
              <w:rPr>
                <w:noProof/>
                <w:webHidden/>
              </w:rPr>
            </w:r>
            <w:r w:rsidR="00860498">
              <w:rPr>
                <w:noProof/>
                <w:webHidden/>
              </w:rPr>
              <w:fldChar w:fldCharType="separate"/>
            </w:r>
            <w:r w:rsidR="00860498">
              <w:rPr>
                <w:noProof/>
                <w:webHidden/>
              </w:rPr>
              <w:t>16</w:t>
            </w:r>
            <w:r w:rsidR="00860498">
              <w:rPr>
                <w:noProof/>
                <w:webHidden/>
              </w:rPr>
              <w:fldChar w:fldCharType="end"/>
            </w:r>
          </w:hyperlink>
        </w:p>
        <w:p w14:paraId="291BDB9C" w14:textId="758AD6E7"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50" w:history="1">
            <w:r w:rsidR="00860498" w:rsidRPr="0000038D">
              <w:rPr>
                <w:rStyle w:val="Hyperlink"/>
                <w:noProof/>
              </w:rPr>
              <w:t>2.3 Antimicrobial Resistance as a UK Public Health Issue</w:t>
            </w:r>
            <w:r w:rsidR="00860498">
              <w:rPr>
                <w:noProof/>
                <w:webHidden/>
              </w:rPr>
              <w:tab/>
            </w:r>
            <w:r w:rsidR="00860498">
              <w:rPr>
                <w:noProof/>
                <w:webHidden/>
              </w:rPr>
              <w:fldChar w:fldCharType="begin"/>
            </w:r>
            <w:r w:rsidR="00860498">
              <w:rPr>
                <w:noProof/>
                <w:webHidden/>
              </w:rPr>
              <w:instrText xml:space="preserve"> PAGEREF _Toc240927950 \h </w:instrText>
            </w:r>
            <w:r w:rsidR="00860498">
              <w:rPr>
                <w:noProof/>
                <w:webHidden/>
              </w:rPr>
            </w:r>
            <w:r w:rsidR="00860498">
              <w:rPr>
                <w:noProof/>
                <w:webHidden/>
              </w:rPr>
              <w:fldChar w:fldCharType="separate"/>
            </w:r>
            <w:r w:rsidR="00860498">
              <w:rPr>
                <w:noProof/>
                <w:webHidden/>
              </w:rPr>
              <w:t>17</w:t>
            </w:r>
            <w:r w:rsidR="00860498">
              <w:rPr>
                <w:noProof/>
                <w:webHidden/>
              </w:rPr>
              <w:fldChar w:fldCharType="end"/>
            </w:r>
          </w:hyperlink>
        </w:p>
        <w:p w14:paraId="2CC4C35E" w14:textId="30A7297A"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51" w:history="1">
            <w:r w:rsidR="00860498" w:rsidRPr="0000038D">
              <w:rPr>
                <w:rStyle w:val="Hyperlink"/>
                <w:noProof/>
              </w:rPr>
              <w:t>2.4 Antibiotic Prescribing and Dispensing in UK Primary Care</w:t>
            </w:r>
            <w:r w:rsidR="00860498">
              <w:rPr>
                <w:noProof/>
                <w:webHidden/>
              </w:rPr>
              <w:tab/>
            </w:r>
            <w:r w:rsidR="00860498">
              <w:rPr>
                <w:noProof/>
                <w:webHidden/>
              </w:rPr>
              <w:fldChar w:fldCharType="begin"/>
            </w:r>
            <w:r w:rsidR="00860498">
              <w:rPr>
                <w:noProof/>
                <w:webHidden/>
              </w:rPr>
              <w:instrText xml:space="preserve"> PAGEREF _Toc240927951 \h </w:instrText>
            </w:r>
            <w:r w:rsidR="00860498">
              <w:rPr>
                <w:noProof/>
                <w:webHidden/>
              </w:rPr>
            </w:r>
            <w:r w:rsidR="00860498">
              <w:rPr>
                <w:noProof/>
                <w:webHidden/>
              </w:rPr>
              <w:fldChar w:fldCharType="separate"/>
            </w:r>
            <w:r w:rsidR="00860498">
              <w:rPr>
                <w:noProof/>
                <w:webHidden/>
              </w:rPr>
              <w:t>18</w:t>
            </w:r>
            <w:r w:rsidR="00860498">
              <w:rPr>
                <w:noProof/>
                <w:webHidden/>
              </w:rPr>
              <w:fldChar w:fldCharType="end"/>
            </w:r>
          </w:hyperlink>
        </w:p>
        <w:p w14:paraId="1387C2DF" w14:textId="0A78EA20"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52" w:history="1">
            <w:r w:rsidR="00860498" w:rsidRPr="0000038D">
              <w:rPr>
                <w:rStyle w:val="Hyperlink"/>
                <w:noProof/>
              </w:rPr>
              <w:t>2.5 Community Pharmacy Infection Services and Antibiotic Access</w:t>
            </w:r>
            <w:r w:rsidR="00860498">
              <w:rPr>
                <w:noProof/>
                <w:webHidden/>
              </w:rPr>
              <w:tab/>
            </w:r>
            <w:r w:rsidR="00860498">
              <w:rPr>
                <w:noProof/>
                <w:webHidden/>
              </w:rPr>
              <w:fldChar w:fldCharType="begin"/>
            </w:r>
            <w:r w:rsidR="00860498">
              <w:rPr>
                <w:noProof/>
                <w:webHidden/>
              </w:rPr>
              <w:instrText xml:space="preserve"> PAGEREF _Toc240927952 \h </w:instrText>
            </w:r>
            <w:r w:rsidR="00860498">
              <w:rPr>
                <w:noProof/>
                <w:webHidden/>
              </w:rPr>
            </w:r>
            <w:r w:rsidR="00860498">
              <w:rPr>
                <w:noProof/>
                <w:webHidden/>
              </w:rPr>
              <w:fldChar w:fldCharType="separate"/>
            </w:r>
            <w:r w:rsidR="00860498">
              <w:rPr>
                <w:noProof/>
                <w:webHidden/>
              </w:rPr>
              <w:t>19</w:t>
            </w:r>
            <w:r w:rsidR="00860498">
              <w:rPr>
                <w:noProof/>
                <w:webHidden/>
              </w:rPr>
              <w:fldChar w:fldCharType="end"/>
            </w:r>
          </w:hyperlink>
        </w:p>
        <w:p w14:paraId="5A4B90B2" w14:textId="3774EC8F"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53" w:history="1">
            <w:r w:rsidR="00860498" w:rsidRPr="0000038D">
              <w:rPr>
                <w:rStyle w:val="Hyperlink"/>
                <w:noProof/>
              </w:rPr>
              <w:t>2.6 Antimicrobial Stewardship Interventions in Community Pharmacy</w:t>
            </w:r>
            <w:r w:rsidR="00860498">
              <w:rPr>
                <w:noProof/>
                <w:webHidden/>
              </w:rPr>
              <w:tab/>
            </w:r>
            <w:r w:rsidR="00860498">
              <w:rPr>
                <w:noProof/>
                <w:webHidden/>
              </w:rPr>
              <w:fldChar w:fldCharType="begin"/>
            </w:r>
            <w:r w:rsidR="00860498">
              <w:rPr>
                <w:noProof/>
                <w:webHidden/>
              </w:rPr>
              <w:instrText xml:space="preserve"> PAGEREF _Toc240927953 \h </w:instrText>
            </w:r>
            <w:r w:rsidR="00860498">
              <w:rPr>
                <w:noProof/>
                <w:webHidden/>
              </w:rPr>
            </w:r>
            <w:r w:rsidR="00860498">
              <w:rPr>
                <w:noProof/>
                <w:webHidden/>
              </w:rPr>
              <w:fldChar w:fldCharType="separate"/>
            </w:r>
            <w:r w:rsidR="00860498">
              <w:rPr>
                <w:noProof/>
                <w:webHidden/>
              </w:rPr>
              <w:t>20</w:t>
            </w:r>
            <w:r w:rsidR="00860498">
              <w:rPr>
                <w:noProof/>
                <w:webHidden/>
              </w:rPr>
              <w:fldChar w:fldCharType="end"/>
            </w:r>
          </w:hyperlink>
        </w:p>
        <w:p w14:paraId="1FFAD289" w14:textId="450DD4C0"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54" w:history="1">
            <w:r w:rsidR="00860498" w:rsidRPr="0000038D">
              <w:rPr>
                <w:rStyle w:val="Hyperlink"/>
                <w:noProof/>
              </w:rPr>
              <w:t>2.7 Knowledge, Attitudes and Training of Pharmacy Staff</w:t>
            </w:r>
            <w:r w:rsidR="00860498">
              <w:rPr>
                <w:noProof/>
                <w:webHidden/>
              </w:rPr>
              <w:tab/>
            </w:r>
            <w:r w:rsidR="00860498">
              <w:rPr>
                <w:noProof/>
                <w:webHidden/>
              </w:rPr>
              <w:fldChar w:fldCharType="begin"/>
            </w:r>
            <w:r w:rsidR="00860498">
              <w:rPr>
                <w:noProof/>
                <w:webHidden/>
              </w:rPr>
              <w:instrText xml:space="preserve"> PAGEREF _Toc240927954 \h </w:instrText>
            </w:r>
            <w:r w:rsidR="00860498">
              <w:rPr>
                <w:noProof/>
                <w:webHidden/>
              </w:rPr>
            </w:r>
            <w:r w:rsidR="00860498">
              <w:rPr>
                <w:noProof/>
                <w:webHidden/>
              </w:rPr>
              <w:fldChar w:fldCharType="separate"/>
            </w:r>
            <w:r w:rsidR="00860498">
              <w:rPr>
                <w:noProof/>
                <w:webHidden/>
              </w:rPr>
              <w:t>21</w:t>
            </w:r>
            <w:r w:rsidR="00860498">
              <w:rPr>
                <w:noProof/>
                <w:webHidden/>
              </w:rPr>
              <w:fldChar w:fldCharType="end"/>
            </w:r>
          </w:hyperlink>
        </w:p>
        <w:p w14:paraId="746B8B63" w14:textId="69E033AC"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55" w:history="1">
            <w:r w:rsidR="00860498" w:rsidRPr="0000038D">
              <w:rPr>
                <w:rStyle w:val="Hyperlink"/>
                <w:noProof/>
              </w:rPr>
              <w:t>2.8 Behavioural and Organisational Factors Influencing Antibiotic Supply</w:t>
            </w:r>
            <w:r w:rsidR="00860498">
              <w:rPr>
                <w:noProof/>
                <w:webHidden/>
              </w:rPr>
              <w:tab/>
            </w:r>
            <w:r w:rsidR="00860498">
              <w:rPr>
                <w:noProof/>
                <w:webHidden/>
              </w:rPr>
              <w:fldChar w:fldCharType="begin"/>
            </w:r>
            <w:r w:rsidR="00860498">
              <w:rPr>
                <w:noProof/>
                <w:webHidden/>
              </w:rPr>
              <w:instrText xml:space="preserve"> PAGEREF _Toc240927955 \h </w:instrText>
            </w:r>
            <w:r w:rsidR="00860498">
              <w:rPr>
                <w:noProof/>
                <w:webHidden/>
              </w:rPr>
            </w:r>
            <w:r w:rsidR="00860498">
              <w:rPr>
                <w:noProof/>
                <w:webHidden/>
              </w:rPr>
              <w:fldChar w:fldCharType="separate"/>
            </w:r>
            <w:r w:rsidR="00860498">
              <w:rPr>
                <w:noProof/>
                <w:webHidden/>
              </w:rPr>
              <w:t>22</w:t>
            </w:r>
            <w:r w:rsidR="00860498">
              <w:rPr>
                <w:noProof/>
                <w:webHidden/>
              </w:rPr>
              <w:fldChar w:fldCharType="end"/>
            </w:r>
          </w:hyperlink>
        </w:p>
        <w:p w14:paraId="5CCF48F4" w14:textId="22749241"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7956" w:history="1">
            <w:r w:rsidR="00860498" w:rsidRPr="0000038D">
              <w:rPr>
                <w:rStyle w:val="Hyperlink"/>
                <w:noProof/>
              </w:rPr>
              <w:t>2.9 Patient Communication, Public Expectations and Safety-Netting</w:t>
            </w:r>
            <w:r w:rsidR="00860498">
              <w:rPr>
                <w:noProof/>
                <w:webHidden/>
              </w:rPr>
              <w:tab/>
            </w:r>
            <w:r w:rsidR="00860498">
              <w:rPr>
                <w:noProof/>
                <w:webHidden/>
              </w:rPr>
              <w:fldChar w:fldCharType="begin"/>
            </w:r>
            <w:r w:rsidR="00860498">
              <w:rPr>
                <w:noProof/>
                <w:webHidden/>
              </w:rPr>
              <w:instrText xml:space="preserve"> PAGEREF _Toc240927956 \h </w:instrText>
            </w:r>
            <w:r w:rsidR="00860498">
              <w:rPr>
                <w:noProof/>
                <w:webHidden/>
              </w:rPr>
            </w:r>
            <w:r w:rsidR="00860498">
              <w:rPr>
                <w:noProof/>
                <w:webHidden/>
              </w:rPr>
              <w:fldChar w:fldCharType="separate"/>
            </w:r>
            <w:r w:rsidR="00860498">
              <w:rPr>
                <w:noProof/>
                <w:webHidden/>
              </w:rPr>
              <w:t>23</w:t>
            </w:r>
            <w:r w:rsidR="00860498">
              <w:rPr>
                <w:noProof/>
                <w:webHidden/>
              </w:rPr>
              <w:fldChar w:fldCharType="end"/>
            </w:r>
          </w:hyperlink>
        </w:p>
        <w:p w14:paraId="172E9960" w14:textId="18E79EEA"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30" w:history="1">
            <w:r w:rsidR="00860498" w:rsidRPr="0000038D">
              <w:rPr>
                <w:rStyle w:val="Hyperlink"/>
                <w:bCs/>
                <w:noProof/>
              </w:rPr>
              <w:t>2.10 Gaps in the Literature</w:t>
            </w:r>
            <w:r w:rsidR="00860498">
              <w:rPr>
                <w:noProof/>
                <w:webHidden/>
              </w:rPr>
              <w:tab/>
            </w:r>
            <w:r w:rsidR="00860498">
              <w:rPr>
                <w:noProof/>
                <w:webHidden/>
              </w:rPr>
              <w:fldChar w:fldCharType="begin"/>
            </w:r>
            <w:r w:rsidR="00860498">
              <w:rPr>
                <w:noProof/>
                <w:webHidden/>
              </w:rPr>
              <w:instrText xml:space="preserve"> PAGEREF _Toc240928030 \h </w:instrText>
            </w:r>
            <w:r w:rsidR="00860498">
              <w:rPr>
                <w:noProof/>
                <w:webHidden/>
              </w:rPr>
            </w:r>
            <w:r w:rsidR="00860498">
              <w:rPr>
                <w:noProof/>
                <w:webHidden/>
              </w:rPr>
              <w:fldChar w:fldCharType="separate"/>
            </w:r>
            <w:r w:rsidR="00860498">
              <w:rPr>
                <w:noProof/>
                <w:webHidden/>
              </w:rPr>
              <w:t>24</w:t>
            </w:r>
            <w:r w:rsidR="00860498">
              <w:rPr>
                <w:noProof/>
                <w:webHidden/>
              </w:rPr>
              <w:fldChar w:fldCharType="end"/>
            </w:r>
          </w:hyperlink>
        </w:p>
        <w:p w14:paraId="71BEBE74" w14:textId="5DE60107"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31" w:history="1">
            <w:r w:rsidR="00860498" w:rsidRPr="0000038D">
              <w:rPr>
                <w:rStyle w:val="Hyperlink"/>
                <w:noProof/>
              </w:rPr>
              <w:t>2.11 Theoretical Framework</w:t>
            </w:r>
            <w:r w:rsidR="00860498">
              <w:rPr>
                <w:noProof/>
                <w:webHidden/>
              </w:rPr>
              <w:tab/>
            </w:r>
            <w:r w:rsidR="00860498">
              <w:rPr>
                <w:noProof/>
                <w:webHidden/>
              </w:rPr>
              <w:fldChar w:fldCharType="begin"/>
            </w:r>
            <w:r w:rsidR="00860498">
              <w:rPr>
                <w:noProof/>
                <w:webHidden/>
              </w:rPr>
              <w:instrText xml:space="preserve"> PAGEREF _Toc240928031 \h </w:instrText>
            </w:r>
            <w:r w:rsidR="00860498">
              <w:rPr>
                <w:noProof/>
                <w:webHidden/>
              </w:rPr>
            </w:r>
            <w:r w:rsidR="00860498">
              <w:rPr>
                <w:noProof/>
                <w:webHidden/>
              </w:rPr>
              <w:fldChar w:fldCharType="separate"/>
            </w:r>
            <w:r w:rsidR="00860498">
              <w:rPr>
                <w:noProof/>
                <w:webHidden/>
              </w:rPr>
              <w:t>25</w:t>
            </w:r>
            <w:r w:rsidR="00860498">
              <w:rPr>
                <w:noProof/>
                <w:webHidden/>
              </w:rPr>
              <w:fldChar w:fldCharType="end"/>
            </w:r>
          </w:hyperlink>
        </w:p>
        <w:p w14:paraId="3D9D6C64" w14:textId="79FDB211"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32" w:history="1">
            <w:r w:rsidR="00860498" w:rsidRPr="0000038D">
              <w:rPr>
                <w:rStyle w:val="Hyperlink"/>
                <w:noProof/>
              </w:rPr>
              <w:t>2.12 Summary of the Chapter</w:t>
            </w:r>
            <w:r w:rsidR="00860498">
              <w:rPr>
                <w:noProof/>
                <w:webHidden/>
              </w:rPr>
              <w:tab/>
            </w:r>
            <w:r w:rsidR="00860498">
              <w:rPr>
                <w:noProof/>
                <w:webHidden/>
              </w:rPr>
              <w:fldChar w:fldCharType="begin"/>
            </w:r>
            <w:r w:rsidR="00860498">
              <w:rPr>
                <w:noProof/>
                <w:webHidden/>
              </w:rPr>
              <w:instrText xml:space="preserve"> PAGEREF _Toc240928032 \h </w:instrText>
            </w:r>
            <w:r w:rsidR="00860498">
              <w:rPr>
                <w:noProof/>
                <w:webHidden/>
              </w:rPr>
            </w:r>
            <w:r w:rsidR="00860498">
              <w:rPr>
                <w:noProof/>
                <w:webHidden/>
              </w:rPr>
              <w:fldChar w:fldCharType="separate"/>
            </w:r>
            <w:r w:rsidR="00860498">
              <w:rPr>
                <w:noProof/>
                <w:webHidden/>
              </w:rPr>
              <w:t>26</w:t>
            </w:r>
            <w:r w:rsidR="00860498">
              <w:rPr>
                <w:noProof/>
                <w:webHidden/>
              </w:rPr>
              <w:fldChar w:fldCharType="end"/>
            </w:r>
          </w:hyperlink>
        </w:p>
        <w:p w14:paraId="5B5402BB" w14:textId="1FC52257" w:rsidR="00860498" w:rsidRDefault="0028733C">
          <w:pPr>
            <w:pStyle w:val="TOC1"/>
            <w:tabs>
              <w:tab w:val="right" w:leader="dot" w:pos="9350"/>
            </w:tabs>
            <w:rPr>
              <w:rFonts w:asciiTheme="minorHAnsi" w:eastAsiaTheme="minorEastAsia" w:hAnsiTheme="minorHAnsi"/>
              <w:noProof/>
              <w:kern w:val="2"/>
              <w:szCs w:val="24"/>
              <w:lang w:val="en-US" w:eastAsia="zh-CN"/>
              <w14:ligatures w14:val="standardContextual"/>
            </w:rPr>
          </w:pPr>
          <w:hyperlink w:anchor="_Toc240928033" w:history="1">
            <w:r w:rsidR="00860498" w:rsidRPr="0000038D">
              <w:rPr>
                <w:rStyle w:val="Hyperlink"/>
                <w:noProof/>
              </w:rPr>
              <w:t>CHAPTER 3: METHODOLOGY</w:t>
            </w:r>
            <w:r w:rsidR="00860498">
              <w:rPr>
                <w:noProof/>
                <w:webHidden/>
              </w:rPr>
              <w:tab/>
            </w:r>
            <w:r w:rsidR="00860498">
              <w:rPr>
                <w:noProof/>
                <w:webHidden/>
              </w:rPr>
              <w:fldChar w:fldCharType="begin"/>
            </w:r>
            <w:r w:rsidR="00860498">
              <w:rPr>
                <w:noProof/>
                <w:webHidden/>
              </w:rPr>
              <w:instrText xml:space="preserve"> PAGEREF _Toc240928033 \h </w:instrText>
            </w:r>
            <w:r w:rsidR="00860498">
              <w:rPr>
                <w:noProof/>
                <w:webHidden/>
              </w:rPr>
            </w:r>
            <w:r w:rsidR="00860498">
              <w:rPr>
                <w:noProof/>
                <w:webHidden/>
              </w:rPr>
              <w:fldChar w:fldCharType="separate"/>
            </w:r>
            <w:r w:rsidR="00860498">
              <w:rPr>
                <w:noProof/>
                <w:webHidden/>
              </w:rPr>
              <w:t>28</w:t>
            </w:r>
            <w:r w:rsidR="00860498">
              <w:rPr>
                <w:noProof/>
                <w:webHidden/>
              </w:rPr>
              <w:fldChar w:fldCharType="end"/>
            </w:r>
          </w:hyperlink>
        </w:p>
        <w:p w14:paraId="40F9A7EF" w14:textId="1712E087"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34" w:history="1">
            <w:r w:rsidR="00860498" w:rsidRPr="0000038D">
              <w:rPr>
                <w:rStyle w:val="Hyperlink"/>
                <w:noProof/>
              </w:rPr>
              <w:t>3.1 Introduction</w:t>
            </w:r>
            <w:r w:rsidR="00860498">
              <w:rPr>
                <w:noProof/>
                <w:webHidden/>
              </w:rPr>
              <w:tab/>
            </w:r>
            <w:r w:rsidR="00860498">
              <w:rPr>
                <w:noProof/>
                <w:webHidden/>
              </w:rPr>
              <w:fldChar w:fldCharType="begin"/>
            </w:r>
            <w:r w:rsidR="00860498">
              <w:rPr>
                <w:noProof/>
                <w:webHidden/>
              </w:rPr>
              <w:instrText xml:space="preserve"> PAGEREF _Toc240928034 \h </w:instrText>
            </w:r>
            <w:r w:rsidR="00860498">
              <w:rPr>
                <w:noProof/>
                <w:webHidden/>
              </w:rPr>
            </w:r>
            <w:r w:rsidR="00860498">
              <w:rPr>
                <w:noProof/>
                <w:webHidden/>
              </w:rPr>
              <w:fldChar w:fldCharType="separate"/>
            </w:r>
            <w:r w:rsidR="00860498">
              <w:rPr>
                <w:noProof/>
                <w:webHidden/>
              </w:rPr>
              <w:t>28</w:t>
            </w:r>
            <w:r w:rsidR="00860498">
              <w:rPr>
                <w:noProof/>
                <w:webHidden/>
              </w:rPr>
              <w:fldChar w:fldCharType="end"/>
            </w:r>
          </w:hyperlink>
        </w:p>
        <w:p w14:paraId="44AC5A29" w14:textId="31B5FF0A"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35" w:history="1">
            <w:r w:rsidR="00860498" w:rsidRPr="0000038D">
              <w:rPr>
                <w:rStyle w:val="Hyperlink"/>
                <w:noProof/>
              </w:rPr>
              <w:t>3.2 Research Philosophy</w:t>
            </w:r>
            <w:r w:rsidR="00860498">
              <w:rPr>
                <w:noProof/>
                <w:webHidden/>
              </w:rPr>
              <w:tab/>
            </w:r>
            <w:r w:rsidR="00860498">
              <w:rPr>
                <w:noProof/>
                <w:webHidden/>
              </w:rPr>
              <w:fldChar w:fldCharType="begin"/>
            </w:r>
            <w:r w:rsidR="00860498">
              <w:rPr>
                <w:noProof/>
                <w:webHidden/>
              </w:rPr>
              <w:instrText xml:space="preserve"> PAGEREF _Toc240928035 \h </w:instrText>
            </w:r>
            <w:r w:rsidR="00860498">
              <w:rPr>
                <w:noProof/>
                <w:webHidden/>
              </w:rPr>
            </w:r>
            <w:r w:rsidR="00860498">
              <w:rPr>
                <w:noProof/>
                <w:webHidden/>
              </w:rPr>
              <w:fldChar w:fldCharType="separate"/>
            </w:r>
            <w:r w:rsidR="00860498">
              <w:rPr>
                <w:noProof/>
                <w:webHidden/>
              </w:rPr>
              <w:t>28</w:t>
            </w:r>
            <w:r w:rsidR="00860498">
              <w:rPr>
                <w:noProof/>
                <w:webHidden/>
              </w:rPr>
              <w:fldChar w:fldCharType="end"/>
            </w:r>
          </w:hyperlink>
        </w:p>
        <w:p w14:paraId="230BA4AC" w14:textId="25653D80"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36" w:history="1">
            <w:r w:rsidR="00860498" w:rsidRPr="0000038D">
              <w:rPr>
                <w:rStyle w:val="Hyperlink"/>
                <w:noProof/>
              </w:rPr>
              <w:t>3.3 Ethical Considerations</w:t>
            </w:r>
            <w:r w:rsidR="00860498">
              <w:rPr>
                <w:noProof/>
                <w:webHidden/>
              </w:rPr>
              <w:tab/>
            </w:r>
            <w:r w:rsidR="00860498">
              <w:rPr>
                <w:noProof/>
                <w:webHidden/>
              </w:rPr>
              <w:fldChar w:fldCharType="begin"/>
            </w:r>
            <w:r w:rsidR="00860498">
              <w:rPr>
                <w:noProof/>
                <w:webHidden/>
              </w:rPr>
              <w:instrText xml:space="preserve"> PAGEREF _Toc240928036 \h </w:instrText>
            </w:r>
            <w:r w:rsidR="00860498">
              <w:rPr>
                <w:noProof/>
                <w:webHidden/>
              </w:rPr>
            </w:r>
            <w:r w:rsidR="00860498">
              <w:rPr>
                <w:noProof/>
                <w:webHidden/>
              </w:rPr>
              <w:fldChar w:fldCharType="separate"/>
            </w:r>
            <w:r w:rsidR="00860498">
              <w:rPr>
                <w:noProof/>
                <w:webHidden/>
              </w:rPr>
              <w:t>29</w:t>
            </w:r>
            <w:r w:rsidR="00860498">
              <w:rPr>
                <w:noProof/>
                <w:webHidden/>
              </w:rPr>
              <w:fldChar w:fldCharType="end"/>
            </w:r>
          </w:hyperlink>
        </w:p>
        <w:p w14:paraId="10B922CB" w14:textId="34D5D33F"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37" w:history="1">
            <w:r w:rsidR="00860498" w:rsidRPr="0000038D">
              <w:rPr>
                <w:rStyle w:val="Hyperlink"/>
                <w:noProof/>
              </w:rPr>
              <w:t>3.4 Research Approach and Review Strategy</w:t>
            </w:r>
            <w:r w:rsidR="00860498">
              <w:rPr>
                <w:noProof/>
                <w:webHidden/>
              </w:rPr>
              <w:tab/>
            </w:r>
            <w:r w:rsidR="00860498">
              <w:rPr>
                <w:noProof/>
                <w:webHidden/>
              </w:rPr>
              <w:fldChar w:fldCharType="begin"/>
            </w:r>
            <w:r w:rsidR="00860498">
              <w:rPr>
                <w:noProof/>
                <w:webHidden/>
              </w:rPr>
              <w:instrText xml:space="preserve"> PAGEREF _Toc240928037 \h </w:instrText>
            </w:r>
            <w:r w:rsidR="00860498">
              <w:rPr>
                <w:noProof/>
                <w:webHidden/>
              </w:rPr>
            </w:r>
            <w:r w:rsidR="00860498">
              <w:rPr>
                <w:noProof/>
                <w:webHidden/>
              </w:rPr>
              <w:fldChar w:fldCharType="separate"/>
            </w:r>
            <w:r w:rsidR="00860498">
              <w:rPr>
                <w:noProof/>
                <w:webHidden/>
              </w:rPr>
              <w:t>29</w:t>
            </w:r>
            <w:r w:rsidR="00860498">
              <w:rPr>
                <w:noProof/>
                <w:webHidden/>
              </w:rPr>
              <w:fldChar w:fldCharType="end"/>
            </w:r>
          </w:hyperlink>
        </w:p>
        <w:p w14:paraId="29788417" w14:textId="62BD3340"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38" w:history="1">
            <w:r w:rsidR="00860498" w:rsidRPr="0000038D">
              <w:rPr>
                <w:rStyle w:val="Hyperlink"/>
                <w:noProof/>
              </w:rPr>
              <w:t>3.5 Review Question and Eligibility Framework</w:t>
            </w:r>
            <w:r w:rsidR="00860498">
              <w:rPr>
                <w:noProof/>
                <w:webHidden/>
              </w:rPr>
              <w:tab/>
            </w:r>
            <w:r w:rsidR="00860498">
              <w:rPr>
                <w:noProof/>
                <w:webHidden/>
              </w:rPr>
              <w:fldChar w:fldCharType="begin"/>
            </w:r>
            <w:r w:rsidR="00860498">
              <w:rPr>
                <w:noProof/>
                <w:webHidden/>
              </w:rPr>
              <w:instrText xml:space="preserve"> PAGEREF _Toc240928038 \h </w:instrText>
            </w:r>
            <w:r w:rsidR="00860498">
              <w:rPr>
                <w:noProof/>
                <w:webHidden/>
              </w:rPr>
            </w:r>
            <w:r w:rsidR="00860498">
              <w:rPr>
                <w:noProof/>
                <w:webHidden/>
              </w:rPr>
              <w:fldChar w:fldCharType="separate"/>
            </w:r>
            <w:r w:rsidR="00860498">
              <w:rPr>
                <w:noProof/>
                <w:webHidden/>
              </w:rPr>
              <w:t>30</w:t>
            </w:r>
            <w:r w:rsidR="00860498">
              <w:rPr>
                <w:noProof/>
                <w:webHidden/>
              </w:rPr>
              <w:fldChar w:fldCharType="end"/>
            </w:r>
          </w:hyperlink>
        </w:p>
        <w:p w14:paraId="0F701EA1" w14:textId="56E1739D"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39" w:history="1">
            <w:r w:rsidR="00860498" w:rsidRPr="0000038D">
              <w:rPr>
                <w:rStyle w:val="Hyperlink"/>
                <w:noProof/>
              </w:rPr>
              <w:t>3.6 Information Sources and Search Strategy</w:t>
            </w:r>
            <w:r w:rsidR="00860498">
              <w:rPr>
                <w:noProof/>
                <w:webHidden/>
              </w:rPr>
              <w:tab/>
            </w:r>
            <w:r w:rsidR="00860498">
              <w:rPr>
                <w:noProof/>
                <w:webHidden/>
              </w:rPr>
              <w:fldChar w:fldCharType="begin"/>
            </w:r>
            <w:r w:rsidR="00860498">
              <w:rPr>
                <w:noProof/>
                <w:webHidden/>
              </w:rPr>
              <w:instrText xml:space="preserve"> PAGEREF _Toc240928039 \h </w:instrText>
            </w:r>
            <w:r w:rsidR="00860498">
              <w:rPr>
                <w:noProof/>
                <w:webHidden/>
              </w:rPr>
            </w:r>
            <w:r w:rsidR="00860498">
              <w:rPr>
                <w:noProof/>
                <w:webHidden/>
              </w:rPr>
              <w:fldChar w:fldCharType="separate"/>
            </w:r>
            <w:r w:rsidR="00860498">
              <w:rPr>
                <w:noProof/>
                <w:webHidden/>
              </w:rPr>
              <w:t>30</w:t>
            </w:r>
            <w:r w:rsidR="00860498">
              <w:rPr>
                <w:noProof/>
                <w:webHidden/>
              </w:rPr>
              <w:fldChar w:fldCharType="end"/>
            </w:r>
          </w:hyperlink>
        </w:p>
        <w:p w14:paraId="5B53C9C6" w14:textId="3D313711"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40" w:history="1">
            <w:r w:rsidR="00860498" w:rsidRPr="0000038D">
              <w:rPr>
                <w:rStyle w:val="Hyperlink"/>
                <w:noProof/>
              </w:rPr>
              <w:t>3.7 Inclusion and Exclusion Criteria</w:t>
            </w:r>
            <w:r w:rsidR="00860498">
              <w:rPr>
                <w:noProof/>
                <w:webHidden/>
              </w:rPr>
              <w:tab/>
            </w:r>
            <w:r w:rsidR="00860498">
              <w:rPr>
                <w:noProof/>
                <w:webHidden/>
              </w:rPr>
              <w:fldChar w:fldCharType="begin"/>
            </w:r>
            <w:r w:rsidR="00860498">
              <w:rPr>
                <w:noProof/>
                <w:webHidden/>
              </w:rPr>
              <w:instrText xml:space="preserve"> PAGEREF _Toc240928040 \h </w:instrText>
            </w:r>
            <w:r w:rsidR="00860498">
              <w:rPr>
                <w:noProof/>
                <w:webHidden/>
              </w:rPr>
            </w:r>
            <w:r w:rsidR="00860498">
              <w:rPr>
                <w:noProof/>
                <w:webHidden/>
              </w:rPr>
              <w:fldChar w:fldCharType="separate"/>
            </w:r>
            <w:r w:rsidR="00860498">
              <w:rPr>
                <w:noProof/>
                <w:webHidden/>
              </w:rPr>
              <w:t>32</w:t>
            </w:r>
            <w:r w:rsidR="00860498">
              <w:rPr>
                <w:noProof/>
                <w:webHidden/>
              </w:rPr>
              <w:fldChar w:fldCharType="end"/>
            </w:r>
          </w:hyperlink>
        </w:p>
        <w:p w14:paraId="38708F1E" w14:textId="2438B087"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41" w:history="1">
            <w:r w:rsidR="00860498" w:rsidRPr="0000038D">
              <w:rPr>
                <w:rStyle w:val="Hyperlink"/>
                <w:noProof/>
              </w:rPr>
              <w:t>3.8 Study Selection and Screening Outcome</w:t>
            </w:r>
            <w:r w:rsidR="00860498">
              <w:rPr>
                <w:noProof/>
                <w:webHidden/>
              </w:rPr>
              <w:tab/>
            </w:r>
            <w:r w:rsidR="00860498">
              <w:rPr>
                <w:noProof/>
                <w:webHidden/>
              </w:rPr>
              <w:fldChar w:fldCharType="begin"/>
            </w:r>
            <w:r w:rsidR="00860498">
              <w:rPr>
                <w:noProof/>
                <w:webHidden/>
              </w:rPr>
              <w:instrText xml:space="preserve"> PAGEREF _Toc240928041 \h </w:instrText>
            </w:r>
            <w:r w:rsidR="00860498">
              <w:rPr>
                <w:noProof/>
                <w:webHidden/>
              </w:rPr>
            </w:r>
            <w:r w:rsidR="00860498">
              <w:rPr>
                <w:noProof/>
                <w:webHidden/>
              </w:rPr>
              <w:fldChar w:fldCharType="separate"/>
            </w:r>
            <w:r w:rsidR="00860498">
              <w:rPr>
                <w:noProof/>
                <w:webHidden/>
              </w:rPr>
              <w:t>33</w:t>
            </w:r>
            <w:r w:rsidR="00860498">
              <w:rPr>
                <w:noProof/>
                <w:webHidden/>
              </w:rPr>
              <w:fldChar w:fldCharType="end"/>
            </w:r>
          </w:hyperlink>
        </w:p>
        <w:p w14:paraId="512F31BD" w14:textId="02FDF8DA"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42" w:history="1">
            <w:r w:rsidR="00860498" w:rsidRPr="0000038D">
              <w:rPr>
                <w:rStyle w:val="Hyperlink"/>
                <w:noProof/>
              </w:rPr>
              <w:t>3.9 Quality Appraisal</w:t>
            </w:r>
            <w:r w:rsidR="00860498">
              <w:rPr>
                <w:noProof/>
                <w:webHidden/>
              </w:rPr>
              <w:tab/>
            </w:r>
            <w:r w:rsidR="00860498">
              <w:rPr>
                <w:noProof/>
                <w:webHidden/>
              </w:rPr>
              <w:fldChar w:fldCharType="begin"/>
            </w:r>
            <w:r w:rsidR="00860498">
              <w:rPr>
                <w:noProof/>
                <w:webHidden/>
              </w:rPr>
              <w:instrText xml:space="preserve"> PAGEREF _Toc240928042 \h </w:instrText>
            </w:r>
            <w:r w:rsidR="00860498">
              <w:rPr>
                <w:noProof/>
                <w:webHidden/>
              </w:rPr>
            </w:r>
            <w:r w:rsidR="00860498">
              <w:rPr>
                <w:noProof/>
                <w:webHidden/>
              </w:rPr>
              <w:fldChar w:fldCharType="separate"/>
            </w:r>
            <w:r w:rsidR="00860498">
              <w:rPr>
                <w:noProof/>
                <w:webHidden/>
              </w:rPr>
              <w:t>34</w:t>
            </w:r>
            <w:r w:rsidR="00860498">
              <w:rPr>
                <w:noProof/>
                <w:webHidden/>
              </w:rPr>
              <w:fldChar w:fldCharType="end"/>
            </w:r>
          </w:hyperlink>
        </w:p>
        <w:p w14:paraId="1A93F036" w14:textId="4195906C"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43" w:history="1">
            <w:r w:rsidR="00860498" w:rsidRPr="0000038D">
              <w:rPr>
                <w:rStyle w:val="Hyperlink"/>
                <w:noProof/>
              </w:rPr>
              <w:t>3.10 Data Extraction and Management</w:t>
            </w:r>
            <w:r w:rsidR="00860498">
              <w:rPr>
                <w:noProof/>
                <w:webHidden/>
              </w:rPr>
              <w:tab/>
            </w:r>
            <w:r w:rsidR="00860498">
              <w:rPr>
                <w:noProof/>
                <w:webHidden/>
              </w:rPr>
              <w:fldChar w:fldCharType="begin"/>
            </w:r>
            <w:r w:rsidR="00860498">
              <w:rPr>
                <w:noProof/>
                <w:webHidden/>
              </w:rPr>
              <w:instrText xml:space="preserve"> PAGEREF _Toc240928043 \h </w:instrText>
            </w:r>
            <w:r w:rsidR="00860498">
              <w:rPr>
                <w:noProof/>
                <w:webHidden/>
              </w:rPr>
            </w:r>
            <w:r w:rsidR="00860498">
              <w:rPr>
                <w:noProof/>
                <w:webHidden/>
              </w:rPr>
              <w:fldChar w:fldCharType="separate"/>
            </w:r>
            <w:r w:rsidR="00860498">
              <w:rPr>
                <w:noProof/>
                <w:webHidden/>
              </w:rPr>
              <w:t>34</w:t>
            </w:r>
            <w:r w:rsidR="00860498">
              <w:rPr>
                <w:noProof/>
                <w:webHidden/>
              </w:rPr>
              <w:fldChar w:fldCharType="end"/>
            </w:r>
          </w:hyperlink>
        </w:p>
        <w:p w14:paraId="38730536" w14:textId="40D3F37C"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44" w:history="1">
            <w:r w:rsidR="00860498" w:rsidRPr="0000038D">
              <w:rPr>
                <w:rStyle w:val="Hyperlink"/>
                <w:noProof/>
              </w:rPr>
              <w:t>3.11 Data Synthesis and Analysis</w:t>
            </w:r>
            <w:r w:rsidR="00860498">
              <w:rPr>
                <w:noProof/>
                <w:webHidden/>
              </w:rPr>
              <w:tab/>
            </w:r>
            <w:r w:rsidR="00860498">
              <w:rPr>
                <w:noProof/>
                <w:webHidden/>
              </w:rPr>
              <w:fldChar w:fldCharType="begin"/>
            </w:r>
            <w:r w:rsidR="00860498">
              <w:rPr>
                <w:noProof/>
                <w:webHidden/>
              </w:rPr>
              <w:instrText xml:space="preserve"> PAGEREF _Toc240928044 \h </w:instrText>
            </w:r>
            <w:r w:rsidR="00860498">
              <w:rPr>
                <w:noProof/>
                <w:webHidden/>
              </w:rPr>
            </w:r>
            <w:r w:rsidR="00860498">
              <w:rPr>
                <w:noProof/>
                <w:webHidden/>
              </w:rPr>
              <w:fldChar w:fldCharType="separate"/>
            </w:r>
            <w:r w:rsidR="00860498">
              <w:rPr>
                <w:noProof/>
                <w:webHidden/>
              </w:rPr>
              <w:t>35</w:t>
            </w:r>
            <w:r w:rsidR="00860498">
              <w:rPr>
                <w:noProof/>
                <w:webHidden/>
              </w:rPr>
              <w:fldChar w:fldCharType="end"/>
            </w:r>
          </w:hyperlink>
        </w:p>
        <w:p w14:paraId="2F9BA7EF" w14:textId="02C83C7D"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45" w:history="1">
            <w:r w:rsidR="00860498" w:rsidRPr="0000038D">
              <w:rPr>
                <w:rStyle w:val="Hyperlink"/>
                <w:noProof/>
              </w:rPr>
              <w:t>3.12 Methodological Limitations and Bias Control</w:t>
            </w:r>
            <w:r w:rsidR="00860498">
              <w:rPr>
                <w:noProof/>
                <w:webHidden/>
              </w:rPr>
              <w:tab/>
            </w:r>
            <w:r w:rsidR="00860498">
              <w:rPr>
                <w:noProof/>
                <w:webHidden/>
              </w:rPr>
              <w:fldChar w:fldCharType="begin"/>
            </w:r>
            <w:r w:rsidR="00860498">
              <w:rPr>
                <w:noProof/>
                <w:webHidden/>
              </w:rPr>
              <w:instrText xml:space="preserve"> PAGEREF _Toc240928045 \h </w:instrText>
            </w:r>
            <w:r w:rsidR="00860498">
              <w:rPr>
                <w:noProof/>
                <w:webHidden/>
              </w:rPr>
            </w:r>
            <w:r w:rsidR="00860498">
              <w:rPr>
                <w:noProof/>
                <w:webHidden/>
              </w:rPr>
              <w:fldChar w:fldCharType="separate"/>
            </w:r>
            <w:r w:rsidR="00860498">
              <w:rPr>
                <w:noProof/>
                <w:webHidden/>
              </w:rPr>
              <w:t>36</w:t>
            </w:r>
            <w:r w:rsidR="00860498">
              <w:rPr>
                <w:noProof/>
                <w:webHidden/>
              </w:rPr>
              <w:fldChar w:fldCharType="end"/>
            </w:r>
          </w:hyperlink>
        </w:p>
        <w:p w14:paraId="018641F6" w14:textId="2EAC2103"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46" w:history="1">
            <w:r w:rsidR="00860498" w:rsidRPr="0000038D">
              <w:rPr>
                <w:rStyle w:val="Hyperlink"/>
                <w:noProof/>
              </w:rPr>
              <w:t>3.13 Chapter Summary</w:t>
            </w:r>
            <w:r w:rsidR="00860498">
              <w:rPr>
                <w:noProof/>
                <w:webHidden/>
              </w:rPr>
              <w:tab/>
            </w:r>
            <w:r w:rsidR="00860498">
              <w:rPr>
                <w:noProof/>
                <w:webHidden/>
              </w:rPr>
              <w:fldChar w:fldCharType="begin"/>
            </w:r>
            <w:r w:rsidR="00860498">
              <w:rPr>
                <w:noProof/>
                <w:webHidden/>
              </w:rPr>
              <w:instrText xml:space="preserve"> PAGEREF _Toc240928046 \h </w:instrText>
            </w:r>
            <w:r w:rsidR="00860498">
              <w:rPr>
                <w:noProof/>
                <w:webHidden/>
              </w:rPr>
            </w:r>
            <w:r w:rsidR="00860498">
              <w:rPr>
                <w:noProof/>
                <w:webHidden/>
              </w:rPr>
              <w:fldChar w:fldCharType="separate"/>
            </w:r>
            <w:r w:rsidR="00860498">
              <w:rPr>
                <w:noProof/>
                <w:webHidden/>
              </w:rPr>
              <w:t>36</w:t>
            </w:r>
            <w:r w:rsidR="00860498">
              <w:rPr>
                <w:noProof/>
                <w:webHidden/>
              </w:rPr>
              <w:fldChar w:fldCharType="end"/>
            </w:r>
          </w:hyperlink>
        </w:p>
        <w:p w14:paraId="169D2E72" w14:textId="616E3E75" w:rsidR="00860498" w:rsidRDefault="0028733C">
          <w:pPr>
            <w:pStyle w:val="TOC1"/>
            <w:tabs>
              <w:tab w:val="right" w:leader="dot" w:pos="9350"/>
            </w:tabs>
            <w:rPr>
              <w:rFonts w:asciiTheme="minorHAnsi" w:eastAsiaTheme="minorEastAsia" w:hAnsiTheme="minorHAnsi"/>
              <w:noProof/>
              <w:kern w:val="2"/>
              <w:szCs w:val="24"/>
              <w:lang w:val="en-US" w:eastAsia="zh-CN"/>
              <w14:ligatures w14:val="standardContextual"/>
            </w:rPr>
          </w:pPr>
          <w:hyperlink w:anchor="_Toc240928047" w:history="1">
            <w:r w:rsidR="00860498" w:rsidRPr="0000038D">
              <w:rPr>
                <w:rStyle w:val="Hyperlink"/>
                <w:noProof/>
              </w:rPr>
              <w:t>CHAPTER 4: RESULTS</w:t>
            </w:r>
            <w:r w:rsidR="00860498">
              <w:rPr>
                <w:noProof/>
                <w:webHidden/>
              </w:rPr>
              <w:tab/>
            </w:r>
            <w:r w:rsidR="00860498">
              <w:rPr>
                <w:noProof/>
                <w:webHidden/>
              </w:rPr>
              <w:fldChar w:fldCharType="begin"/>
            </w:r>
            <w:r w:rsidR="00860498">
              <w:rPr>
                <w:noProof/>
                <w:webHidden/>
              </w:rPr>
              <w:instrText xml:space="preserve"> PAGEREF _Toc240928047 \h </w:instrText>
            </w:r>
            <w:r w:rsidR="00860498">
              <w:rPr>
                <w:noProof/>
                <w:webHidden/>
              </w:rPr>
            </w:r>
            <w:r w:rsidR="00860498">
              <w:rPr>
                <w:noProof/>
                <w:webHidden/>
              </w:rPr>
              <w:fldChar w:fldCharType="separate"/>
            </w:r>
            <w:r w:rsidR="00860498">
              <w:rPr>
                <w:noProof/>
                <w:webHidden/>
              </w:rPr>
              <w:t>38</w:t>
            </w:r>
            <w:r w:rsidR="00860498">
              <w:rPr>
                <w:noProof/>
                <w:webHidden/>
              </w:rPr>
              <w:fldChar w:fldCharType="end"/>
            </w:r>
          </w:hyperlink>
        </w:p>
        <w:p w14:paraId="270B881C" w14:textId="55F94B85"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48" w:history="1">
            <w:r w:rsidR="00860498" w:rsidRPr="0000038D">
              <w:rPr>
                <w:rStyle w:val="Hyperlink"/>
                <w:noProof/>
              </w:rPr>
              <w:t>4.1 Introduction</w:t>
            </w:r>
            <w:r w:rsidR="00860498">
              <w:rPr>
                <w:noProof/>
                <w:webHidden/>
              </w:rPr>
              <w:tab/>
            </w:r>
            <w:r w:rsidR="00860498">
              <w:rPr>
                <w:noProof/>
                <w:webHidden/>
              </w:rPr>
              <w:fldChar w:fldCharType="begin"/>
            </w:r>
            <w:r w:rsidR="00860498">
              <w:rPr>
                <w:noProof/>
                <w:webHidden/>
              </w:rPr>
              <w:instrText xml:space="preserve"> PAGEREF _Toc240928048 \h </w:instrText>
            </w:r>
            <w:r w:rsidR="00860498">
              <w:rPr>
                <w:noProof/>
                <w:webHidden/>
              </w:rPr>
            </w:r>
            <w:r w:rsidR="00860498">
              <w:rPr>
                <w:noProof/>
                <w:webHidden/>
              </w:rPr>
              <w:fldChar w:fldCharType="separate"/>
            </w:r>
            <w:r w:rsidR="00860498">
              <w:rPr>
                <w:noProof/>
                <w:webHidden/>
              </w:rPr>
              <w:t>38</w:t>
            </w:r>
            <w:r w:rsidR="00860498">
              <w:rPr>
                <w:noProof/>
                <w:webHidden/>
              </w:rPr>
              <w:fldChar w:fldCharType="end"/>
            </w:r>
          </w:hyperlink>
        </w:p>
        <w:p w14:paraId="00715E19" w14:textId="275C8DFB"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49" w:history="1">
            <w:r w:rsidR="00860498" w:rsidRPr="0000038D">
              <w:rPr>
                <w:rStyle w:val="Hyperlink"/>
                <w:noProof/>
              </w:rPr>
              <w:t>4.2 Systematic Search Results</w:t>
            </w:r>
            <w:r w:rsidR="00860498">
              <w:rPr>
                <w:noProof/>
                <w:webHidden/>
              </w:rPr>
              <w:tab/>
            </w:r>
            <w:r w:rsidR="00860498">
              <w:rPr>
                <w:noProof/>
                <w:webHidden/>
              </w:rPr>
              <w:fldChar w:fldCharType="begin"/>
            </w:r>
            <w:r w:rsidR="00860498">
              <w:rPr>
                <w:noProof/>
                <w:webHidden/>
              </w:rPr>
              <w:instrText xml:space="preserve"> PAGEREF _Toc240928049 \h </w:instrText>
            </w:r>
            <w:r w:rsidR="00860498">
              <w:rPr>
                <w:noProof/>
                <w:webHidden/>
              </w:rPr>
            </w:r>
            <w:r w:rsidR="00860498">
              <w:rPr>
                <w:noProof/>
                <w:webHidden/>
              </w:rPr>
              <w:fldChar w:fldCharType="separate"/>
            </w:r>
            <w:r w:rsidR="00860498">
              <w:rPr>
                <w:noProof/>
                <w:webHidden/>
              </w:rPr>
              <w:t>38</w:t>
            </w:r>
            <w:r w:rsidR="00860498">
              <w:rPr>
                <w:noProof/>
                <w:webHidden/>
              </w:rPr>
              <w:fldChar w:fldCharType="end"/>
            </w:r>
          </w:hyperlink>
        </w:p>
        <w:p w14:paraId="18339E98" w14:textId="7538FFF6"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50" w:history="1">
            <w:r w:rsidR="00860498" w:rsidRPr="0000038D">
              <w:rPr>
                <w:rStyle w:val="Hyperlink"/>
                <w:noProof/>
              </w:rPr>
              <w:t>4.3 Study Characteristics</w:t>
            </w:r>
            <w:r w:rsidR="00860498">
              <w:rPr>
                <w:noProof/>
                <w:webHidden/>
              </w:rPr>
              <w:tab/>
            </w:r>
            <w:r w:rsidR="00860498">
              <w:rPr>
                <w:noProof/>
                <w:webHidden/>
              </w:rPr>
              <w:fldChar w:fldCharType="begin"/>
            </w:r>
            <w:r w:rsidR="00860498">
              <w:rPr>
                <w:noProof/>
                <w:webHidden/>
              </w:rPr>
              <w:instrText xml:space="preserve"> PAGEREF _Toc240928050 \h </w:instrText>
            </w:r>
            <w:r w:rsidR="00860498">
              <w:rPr>
                <w:noProof/>
                <w:webHidden/>
              </w:rPr>
            </w:r>
            <w:r w:rsidR="00860498">
              <w:rPr>
                <w:noProof/>
                <w:webHidden/>
              </w:rPr>
              <w:fldChar w:fldCharType="separate"/>
            </w:r>
            <w:r w:rsidR="00860498">
              <w:rPr>
                <w:noProof/>
                <w:webHidden/>
              </w:rPr>
              <w:t>40</w:t>
            </w:r>
            <w:r w:rsidR="00860498">
              <w:rPr>
                <w:noProof/>
                <w:webHidden/>
              </w:rPr>
              <w:fldChar w:fldCharType="end"/>
            </w:r>
          </w:hyperlink>
        </w:p>
        <w:p w14:paraId="0F57DD37" w14:textId="0DF77646"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51" w:history="1">
            <w:r w:rsidR="00860498" w:rsidRPr="0000038D">
              <w:rPr>
                <w:rStyle w:val="Hyperlink"/>
                <w:noProof/>
              </w:rPr>
              <w:t>4.4 Quality Appraisal and Evidence Profile</w:t>
            </w:r>
            <w:r w:rsidR="00860498">
              <w:rPr>
                <w:noProof/>
                <w:webHidden/>
              </w:rPr>
              <w:tab/>
            </w:r>
            <w:r w:rsidR="00860498">
              <w:rPr>
                <w:noProof/>
                <w:webHidden/>
              </w:rPr>
              <w:fldChar w:fldCharType="begin"/>
            </w:r>
            <w:r w:rsidR="00860498">
              <w:rPr>
                <w:noProof/>
                <w:webHidden/>
              </w:rPr>
              <w:instrText xml:space="preserve"> PAGEREF _Toc240928051 \h </w:instrText>
            </w:r>
            <w:r w:rsidR="00860498">
              <w:rPr>
                <w:noProof/>
                <w:webHidden/>
              </w:rPr>
            </w:r>
            <w:r w:rsidR="00860498">
              <w:rPr>
                <w:noProof/>
                <w:webHidden/>
              </w:rPr>
              <w:fldChar w:fldCharType="separate"/>
            </w:r>
            <w:r w:rsidR="00860498">
              <w:rPr>
                <w:noProof/>
                <w:webHidden/>
              </w:rPr>
              <w:t>43</w:t>
            </w:r>
            <w:r w:rsidR="00860498">
              <w:rPr>
                <w:noProof/>
                <w:webHidden/>
              </w:rPr>
              <w:fldChar w:fldCharType="end"/>
            </w:r>
          </w:hyperlink>
        </w:p>
        <w:p w14:paraId="38CE3FDA" w14:textId="52754C87"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52" w:history="1">
            <w:r w:rsidR="00860498" w:rsidRPr="0000038D">
              <w:rPr>
                <w:rStyle w:val="Hyperlink"/>
                <w:noProof/>
              </w:rPr>
              <w:t>4.5 Theme 1: Structured Clinical Pathways and Diagnostic Safeguards</w:t>
            </w:r>
            <w:r w:rsidR="00860498">
              <w:rPr>
                <w:noProof/>
                <w:webHidden/>
              </w:rPr>
              <w:tab/>
            </w:r>
            <w:r w:rsidR="00860498">
              <w:rPr>
                <w:noProof/>
                <w:webHidden/>
              </w:rPr>
              <w:fldChar w:fldCharType="begin"/>
            </w:r>
            <w:r w:rsidR="00860498">
              <w:rPr>
                <w:noProof/>
                <w:webHidden/>
              </w:rPr>
              <w:instrText xml:space="preserve"> PAGEREF _Toc240928052 \h </w:instrText>
            </w:r>
            <w:r w:rsidR="00860498">
              <w:rPr>
                <w:noProof/>
                <w:webHidden/>
              </w:rPr>
            </w:r>
            <w:r w:rsidR="00860498">
              <w:rPr>
                <w:noProof/>
                <w:webHidden/>
              </w:rPr>
              <w:fldChar w:fldCharType="separate"/>
            </w:r>
            <w:r w:rsidR="00860498">
              <w:rPr>
                <w:noProof/>
                <w:webHidden/>
              </w:rPr>
              <w:t>44</w:t>
            </w:r>
            <w:r w:rsidR="00860498">
              <w:rPr>
                <w:noProof/>
                <w:webHidden/>
              </w:rPr>
              <w:fldChar w:fldCharType="end"/>
            </w:r>
          </w:hyperlink>
        </w:p>
        <w:p w14:paraId="5B7462DD" w14:textId="4DB0C4DB"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53" w:history="1">
            <w:r w:rsidR="00860498" w:rsidRPr="0000038D">
              <w:rPr>
                <w:rStyle w:val="Hyperlink"/>
                <w:noProof/>
              </w:rPr>
              <w:t>4.6 Theme 2: Stewardship at Dispensing and During Self-care Consultations</w:t>
            </w:r>
            <w:r w:rsidR="00860498">
              <w:rPr>
                <w:noProof/>
                <w:webHidden/>
              </w:rPr>
              <w:tab/>
            </w:r>
            <w:r w:rsidR="00860498">
              <w:rPr>
                <w:noProof/>
                <w:webHidden/>
              </w:rPr>
              <w:fldChar w:fldCharType="begin"/>
            </w:r>
            <w:r w:rsidR="00860498">
              <w:rPr>
                <w:noProof/>
                <w:webHidden/>
              </w:rPr>
              <w:instrText xml:space="preserve"> PAGEREF _Toc240928053 \h </w:instrText>
            </w:r>
            <w:r w:rsidR="00860498">
              <w:rPr>
                <w:noProof/>
                <w:webHidden/>
              </w:rPr>
            </w:r>
            <w:r w:rsidR="00860498">
              <w:rPr>
                <w:noProof/>
                <w:webHidden/>
              </w:rPr>
              <w:fldChar w:fldCharType="separate"/>
            </w:r>
            <w:r w:rsidR="00860498">
              <w:rPr>
                <w:noProof/>
                <w:webHidden/>
              </w:rPr>
              <w:t>46</w:t>
            </w:r>
            <w:r w:rsidR="00860498">
              <w:rPr>
                <w:noProof/>
                <w:webHidden/>
              </w:rPr>
              <w:fldChar w:fldCharType="end"/>
            </w:r>
          </w:hyperlink>
        </w:p>
        <w:p w14:paraId="1B019BDE" w14:textId="5966E4E4"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54" w:history="1">
            <w:r w:rsidR="00860498" w:rsidRPr="0000038D">
              <w:rPr>
                <w:rStyle w:val="Hyperlink"/>
                <w:noProof/>
              </w:rPr>
              <w:t>4.7 Theme 3: Workforce Capability, Confidence and Whole-team Learning</w:t>
            </w:r>
            <w:r w:rsidR="00860498">
              <w:rPr>
                <w:noProof/>
                <w:webHidden/>
              </w:rPr>
              <w:tab/>
            </w:r>
            <w:r w:rsidR="00860498">
              <w:rPr>
                <w:noProof/>
                <w:webHidden/>
              </w:rPr>
              <w:fldChar w:fldCharType="begin"/>
            </w:r>
            <w:r w:rsidR="00860498">
              <w:rPr>
                <w:noProof/>
                <w:webHidden/>
              </w:rPr>
              <w:instrText xml:space="preserve"> PAGEREF _Toc240928054 \h </w:instrText>
            </w:r>
            <w:r w:rsidR="00860498">
              <w:rPr>
                <w:noProof/>
                <w:webHidden/>
              </w:rPr>
            </w:r>
            <w:r w:rsidR="00860498">
              <w:rPr>
                <w:noProof/>
                <w:webHidden/>
              </w:rPr>
              <w:fldChar w:fldCharType="separate"/>
            </w:r>
            <w:r w:rsidR="00860498">
              <w:rPr>
                <w:noProof/>
                <w:webHidden/>
              </w:rPr>
              <w:t>48</w:t>
            </w:r>
            <w:r w:rsidR="00860498">
              <w:rPr>
                <w:noProof/>
                <w:webHidden/>
              </w:rPr>
              <w:fldChar w:fldCharType="end"/>
            </w:r>
          </w:hyperlink>
        </w:p>
        <w:p w14:paraId="27C5567C" w14:textId="25ADF5AF"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55" w:history="1">
            <w:r w:rsidR="00860498" w:rsidRPr="0000038D">
              <w:rPr>
                <w:rStyle w:val="Hyperlink"/>
                <w:noProof/>
              </w:rPr>
              <w:t>4.8 Theme 4: Organisational Opportunity, Communication, Access and Unintended Pressure</w:t>
            </w:r>
            <w:r w:rsidR="00860498">
              <w:rPr>
                <w:noProof/>
                <w:webHidden/>
              </w:rPr>
              <w:tab/>
            </w:r>
            <w:r w:rsidR="00860498">
              <w:rPr>
                <w:noProof/>
                <w:webHidden/>
              </w:rPr>
              <w:fldChar w:fldCharType="begin"/>
            </w:r>
            <w:r w:rsidR="00860498">
              <w:rPr>
                <w:noProof/>
                <w:webHidden/>
              </w:rPr>
              <w:instrText xml:space="preserve"> PAGEREF _Toc240928055 \h </w:instrText>
            </w:r>
            <w:r w:rsidR="00860498">
              <w:rPr>
                <w:noProof/>
                <w:webHidden/>
              </w:rPr>
            </w:r>
            <w:r w:rsidR="00860498">
              <w:rPr>
                <w:noProof/>
                <w:webHidden/>
              </w:rPr>
              <w:fldChar w:fldCharType="separate"/>
            </w:r>
            <w:r w:rsidR="00860498">
              <w:rPr>
                <w:noProof/>
                <w:webHidden/>
              </w:rPr>
              <w:t>49</w:t>
            </w:r>
            <w:r w:rsidR="00860498">
              <w:rPr>
                <w:noProof/>
                <w:webHidden/>
              </w:rPr>
              <w:fldChar w:fldCharType="end"/>
            </w:r>
          </w:hyperlink>
        </w:p>
        <w:p w14:paraId="5893ADC9" w14:textId="12A3D2B3"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56" w:history="1">
            <w:r w:rsidR="00860498" w:rsidRPr="0000038D">
              <w:rPr>
                <w:rStyle w:val="Hyperlink"/>
                <w:noProof/>
              </w:rPr>
              <w:t>4.9 Integrated Summary of Thematic Findings</w:t>
            </w:r>
            <w:r w:rsidR="00860498">
              <w:rPr>
                <w:noProof/>
                <w:webHidden/>
              </w:rPr>
              <w:tab/>
            </w:r>
            <w:r w:rsidR="00860498">
              <w:rPr>
                <w:noProof/>
                <w:webHidden/>
              </w:rPr>
              <w:fldChar w:fldCharType="begin"/>
            </w:r>
            <w:r w:rsidR="00860498">
              <w:rPr>
                <w:noProof/>
                <w:webHidden/>
              </w:rPr>
              <w:instrText xml:space="preserve"> PAGEREF _Toc240928056 \h </w:instrText>
            </w:r>
            <w:r w:rsidR="00860498">
              <w:rPr>
                <w:noProof/>
                <w:webHidden/>
              </w:rPr>
            </w:r>
            <w:r w:rsidR="00860498">
              <w:rPr>
                <w:noProof/>
                <w:webHidden/>
              </w:rPr>
              <w:fldChar w:fldCharType="separate"/>
            </w:r>
            <w:r w:rsidR="00860498">
              <w:rPr>
                <w:noProof/>
                <w:webHidden/>
              </w:rPr>
              <w:t>51</w:t>
            </w:r>
            <w:r w:rsidR="00860498">
              <w:rPr>
                <w:noProof/>
                <w:webHidden/>
              </w:rPr>
              <w:fldChar w:fldCharType="end"/>
            </w:r>
          </w:hyperlink>
        </w:p>
        <w:p w14:paraId="347ED096" w14:textId="47E1712A"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57" w:history="1">
            <w:r w:rsidR="00860498" w:rsidRPr="0000038D">
              <w:rPr>
                <w:rStyle w:val="Hyperlink"/>
                <w:noProof/>
              </w:rPr>
              <w:t>4.10 Chapter Summary</w:t>
            </w:r>
            <w:r w:rsidR="00860498">
              <w:rPr>
                <w:noProof/>
                <w:webHidden/>
              </w:rPr>
              <w:tab/>
            </w:r>
            <w:r w:rsidR="00860498">
              <w:rPr>
                <w:noProof/>
                <w:webHidden/>
              </w:rPr>
              <w:fldChar w:fldCharType="begin"/>
            </w:r>
            <w:r w:rsidR="00860498">
              <w:rPr>
                <w:noProof/>
                <w:webHidden/>
              </w:rPr>
              <w:instrText xml:space="preserve"> PAGEREF _Toc240928057 \h </w:instrText>
            </w:r>
            <w:r w:rsidR="00860498">
              <w:rPr>
                <w:noProof/>
                <w:webHidden/>
              </w:rPr>
            </w:r>
            <w:r w:rsidR="00860498">
              <w:rPr>
                <w:noProof/>
                <w:webHidden/>
              </w:rPr>
              <w:fldChar w:fldCharType="separate"/>
            </w:r>
            <w:r w:rsidR="00860498">
              <w:rPr>
                <w:noProof/>
                <w:webHidden/>
              </w:rPr>
              <w:t>51</w:t>
            </w:r>
            <w:r w:rsidR="00860498">
              <w:rPr>
                <w:noProof/>
                <w:webHidden/>
              </w:rPr>
              <w:fldChar w:fldCharType="end"/>
            </w:r>
          </w:hyperlink>
        </w:p>
        <w:p w14:paraId="0014D8CC" w14:textId="6E292C74" w:rsidR="00860498" w:rsidRDefault="0028733C">
          <w:pPr>
            <w:pStyle w:val="TOC1"/>
            <w:tabs>
              <w:tab w:val="right" w:leader="dot" w:pos="9350"/>
            </w:tabs>
            <w:rPr>
              <w:rFonts w:asciiTheme="minorHAnsi" w:eastAsiaTheme="minorEastAsia" w:hAnsiTheme="minorHAnsi"/>
              <w:noProof/>
              <w:kern w:val="2"/>
              <w:szCs w:val="24"/>
              <w:lang w:val="en-US" w:eastAsia="zh-CN"/>
              <w14:ligatures w14:val="standardContextual"/>
            </w:rPr>
          </w:pPr>
          <w:hyperlink w:anchor="_Toc240928058" w:history="1">
            <w:r w:rsidR="00860498" w:rsidRPr="0000038D">
              <w:rPr>
                <w:rStyle w:val="Hyperlink"/>
                <w:noProof/>
              </w:rPr>
              <w:t>CHAPTER 5: DISCUSSION</w:t>
            </w:r>
            <w:r w:rsidR="00860498">
              <w:rPr>
                <w:noProof/>
                <w:webHidden/>
              </w:rPr>
              <w:tab/>
            </w:r>
            <w:r w:rsidR="00860498">
              <w:rPr>
                <w:noProof/>
                <w:webHidden/>
              </w:rPr>
              <w:fldChar w:fldCharType="begin"/>
            </w:r>
            <w:r w:rsidR="00860498">
              <w:rPr>
                <w:noProof/>
                <w:webHidden/>
              </w:rPr>
              <w:instrText xml:space="preserve"> PAGEREF _Toc240928058 \h </w:instrText>
            </w:r>
            <w:r w:rsidR="00860498">
              <w:rPr>
                <w:noProof/>
                <w:webHidden/>
              </w:rPr>
            </w:r>
            <w:r w:rsidR="00860498">
              <w:rPr>
                <w:noProof/>
                <w:webHidden/>
              </w:rPr>
              <w:fldChar w:fldCharType="separate"/>
            </w:r>
            <w:r w:rsidR="00860498">
              <w:rPr>
                <w:noProof/>
                <w:webHidden/>
              </w:rPr>
              <w:t>53</w:t>
            </w:r>
            <w:r w:rsidR="00860498">
              <w:rPr>
                <w:noProof/>
                <w:webHidden/>
              </w:rPr>
              <w:fldChar w:fldCharType="end"/>
            </w:r>
          </w:hyperlink>
        </w:p>
        <w:p w14:paraId="3ACDB678" w14:textId="2CEC5754"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59" w:history="1">
            <w:r w:rsidR="00860498" w:rsidRPr="0000038D">
              <w:rPr>
                <w:rStyle w:val="Hyperlink"/>
                <w:noProof/>
                <w:lang w:val="en-US"/>
              </w:rPr>
              <w:t>5.1 Introduction</w:t>
            </w:r>
            <w:r w:rsidR="00860498">
              <w:rPr>
                <w:noProof/>
                <w:webHidden/>
              </w:rPr>
              <w:tab/>
            </w:r>
            <w:r w:rsidR="00860498">
              <w:rPr>
                <w:noProof/>
                <w:webHidden/>
              </w:rPr>
              <w:fldChar w:fldCharType="begin"/>
            </w:r>
            <w:r w:rsidR="00860498">
              <w:rPr>
                <w:noProof/>
                <w:webHidden/>
              </w:rPr>
              <w:instrText xml:space="preserve"> PAGEREF _Toc240928059 \h </w:instrText>
            </w:r>
            <w:r w:rsidR="00860498">
              <w:rPr>
                <w:noProof/>
                <w:webHidden/>
              </w:rPr>
            </w:r>
            <w:r w:rsidR="00860498">
              <w:rPr>
                <w:noProof/>
                <w:webHidden/>
              </w:rPr>
              <w:fldChar w:fldCharType="separate"/>
            </w:r>
            <w:r w:rsidR="00860498">
              <w:rPr>
                <w:noProof/>
                <w:webHidden/>
              </w:rPr>
              <w:t>53</w:t>
            </w:r>
            <w:r w:rsidR="00860498">
              <w:rPr>
                <w:noProof/>
                <w:webHidden/>
              </w:rPr>
              <w:fldChar w:fldCharType="end"/>
            </w:r>
          </w:hyperlink>
        </w:p>
        <w:p w14:paraId="00DDE175" w14:textId="1DE07ECB"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60" w:history="1">
            <w:r w:rsidR="00860498" w:rsidRPr="0000038D">
              <w:rPr>
                <w:rStyle w:val="Hyperlink"/>
                <w:noProof/>
                <w:lang w:val="en-US"/>
              </w:rPr>
              <w:t>5.2 Answer to the Research Question</w:t>
            </w:r>
            <w:r w:rsidR="00860498">
              <w:rPr>
                <w:noProof/>
                <w:webHidden/>
              </w:rPr>
              <w:tab/>
            </w:r>
            <w:r w:rsidR="00860498">
              <w:rPr>
                <w:noProof/>
                <w:webHidden/>
              </w:rPr>
              <w:fldChar w:fldCharType="begin"/>
            </w:r>
            <w:r w:rsidR="00860498">
              <w:rPr>
                <w:noProof/>
                <w:webHidden/>
              </w:rPr>
              <w:instrText xml:space="preserve"> PAGEREF _Toc240928060 \h </w:instrText>
            </w:r>
            <w:r w:rsidR="00860498">
              <w:rPr>
                <w:noProof/>
                <w:webHidden/>
              </w:rPr>
            </w:r>
            <w:r w:rsidR="00860498">
              <w:rPr>
                <w:noProof/>
                <w:webHidden/>
              </w:rPr>
              <w:fldChar w:fldCharType="separate"/>
            </w:r>
            <w:r w:rsidR="00860498">
              <w:rPr>
                <w:noProof/>
                <w:webHidden/>
              </w:rPr>
              <w:t>53</w:t>
            </w:r>
            <w:r w:rsidR="00860498">
              <w:rPr>
                <w:noProof/>
                <w:webHidden/>
              </w:rPr>
              <w:fldChar w:fldCharType="end"/>
            </w:r>
          </w:hyperlink>
        </w:p>
        <w:p w14:paraId="5B1EE7AB" w14:textId="38F17D5A"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61" w:history="1">
            <w:r w:rsidR="00860498" w:rsidRPr="0000038D">
              <w:rPr>
                <w:rStyle w:val="Hyperlink"/>
                <w:noProof/>
                <w:lang w:val="en-US"/>
              </w:rPr>
              <w:t>5.3 Discussion of Key Findings Against the Aim and Objectives</w:t>
            </w:r>
            <w:r w:rsidR="00860498">
              <w:rPr>
                <w:noProof/>
                <w:webHidden/>
              </w:rPr>
              <w:tab/>
            </w:r>
            <w:r w:rsidR="00860498">
              <w:rPr>
                <w:noProof/>
                <w:webHidden/>
              </w:rPr>
              <w:fldChar w:fldCharType="begin"/>
            </w:r>
            <w:r w:rsidR="00860498">
              <w:rPr>
                <w:noProof/>
                <w:webHidden/>
              </w:rPr>
              <w:instrText xml:space="preserve"> PAGEREF _Toc240928061 \h </w:instrText>
            </w:r>
            <w:r w:rsidR="00860498">
              <w:rPr>
                <w:noProof/>
                <w:webHidden/>
              </w:rPr>
            </w:r>
            <w:r w:rsidR="00860498">
              <w:rPr>
                <w:noProof/>
                <w:webHidden/>
              </w:rPr>
              <w:fldChar w:fldCharType="separate"/>
            </w:r>
            <w:r w:rsidR="00860498">
              <w:rPr>
                <w:noProof/>
                <w:webHidden/>
              </w:rPr>
              <w:t>54</w:t>
            </w:r>
            <w:r w:rsidR="00860498">
              <w:rPr>
                <w:noProof/>
                <w:webHidden/>
              </w:rPr>
              <w:fldChar w:fldCharType="end"/>
            </w:r>
          </w:hyperlink>
        </w:p>
        <w:p w14:paraId="4BAA84BB" w14:textId="3DCC97FB"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62" w:history="1">
            <w:r w:rsidR="00860498" w:rsidRPr="0000038D">
              <w:rPr>
                <w:rStyle w:val="Hyperlink"/>
                <w:noProof/>
                <w:lang w:val="en-US"/>
              </w:rPr>
              <w:t>5.4 Interpretation Through the COM-B Framework</w:t>
            </w:r>
            <w:r w:rsidR="00860498">
              <w:rPr>
                <w:noProof/>
                <w:webHidden/>
              </w:rPr>
              <w:tab/>
            </w:r>
            <w:r w:rsidR="00860498">
              <w:rPr>
                <w:noProof/>
                <w:webHidden/>
              </w:rPr>
              <w:fldChar w:fldCharType="begin"/>
            </w:r>
            <w:r w:rsidR="00860498">
              <w:rPr>
                <w:noProof/>
                <w:webHidden/>
              </w:rPr>
              <w:instrText xml:space="preserve"> PAGEREF _Toc240928062 \h </w:instrText>
            </w:r>
            <w:r w:rsidR="00860498">
              <w:rPr>
                <w:noProof/>
                <w:webHidden/>
              </w:rPr>
            </w:r>
            <w:r w:rsidR="00860498">
              <w:rPr>
                <w:noProof/>
                <w:webHidden/>
              </w:rPr>
              <w:fldChar w:fldCharType="separate"/>
            </w:r>
            <w:r w:rsidR="00860498">
              <w:rPr>
                <w:noProof/>
                <w:webHidden/>
              </w:rPr>
              <w:t>55</w:t>
            </w:r>
            <w:r w:rsidR="00860498">
              <w:rPr>
                <w:noProof/>
                <w:webHidden/>
              </w:rPr>
              <w:fldChar w:fldCharType="end"/>
            </w:r>
          </w:hyperlink>
        </w:p>
        <w:p w14:paraId="67B2D7AB" w14:textId="65DC666A"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63" w:history="1">
            <w:r w:rsidR="00860498" w:rsidRPr="0000038D">
              <w:rPr>
                <w:rStyle w:val="Hyperlink"/>
                <w:noProof/>
                <w:lang w:val="en-US"/>
              </w:rPr>
              <w:t>5.5 Strengths and Limitations</w:t>
            </w:r>
            <w:r w:rsidR="00860498">
              <w:rPr>
                <w:noProof/>
                <w:webHidden/>
              </w:rPr>
              <w:tab/>
            </w:r>
            <w:r w:rsidR="00860498">
              <w:rPr>
                <w:noProof/>
                <w:webHidden/>
              </w:rPr>
              <w:fldChar w:fldCharType="begin"/>
            </w:r>
            <w:r w:rsidR="00860498">
              <w:rPr>
                <w:noProof/>
                <w:webHidden/>
              </w:rPr>
              <w:instrText xml:space="preserve"> PAGEREF _Toc240928063 \h </w:instrText>
            </w:r>
            <w:r w:rsidR="00860498">
              <w:rPr>
                <w:noProof/>
                <w:webHidden/>
              </w:rPr>
            </w:r>
            <w:r w:rsidR="00860498">
              <w:rPr>
                <w:noProof/>
                <w:webHidden/>
              </w:rPr>
              <w:fldChar w:fldCharType="separate"/>
            </w:r>
            <w:r w:rsidR="00860498">
              <w:rPr>
                <w:noProof/>
                <w:webHidden/>
              </w:rPr>
              <w:t>56</w:t>
            </w:r>
            <w:r w:rsidR="00860498">
              <w:rPr>
                <w:noProof/>
                <w:webHidden/>
              </w:rPr>
              <w:fldChar w:fldCharType="end"/>
            </w:r>
          </w:hyperlink>
        </w:p>
        <w:p w14:paraId="53089DE0" w14:textId="757D9BD1"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64" w:history="1">
            <w:r w:rsidR="00860498" w:rsidRPr="0000038D">
              <w:rPr>
                <w:rStyle w:val="Hyperlink"/>
                <w:noProof/>
                <w:lang w:val="en-US"/>
              </w:rPr>
              <w:t>5.6 Chapter Summary</w:t>
            </w:r>
            <w:r w:rsidR="00860498">
              <w:rPr>
                <w:noProof/>
                <w:webHidden/>
              </w:rPr>
              <w:tab/>
            </w:r>
            <w:r w:rsidR="00860498">
              <w:rPr>
                <w:noProof/>
                <w:webHidden/>
              </w:rPr>
              <w:fldChar w:fldCharType="begin"/>
            </w:r>
            <w:r w:rsidR="00860498">
              <w:rPr>
                <w:noProof/>
                <w:webHidden/>
              </w:rPr>
              <w:instrText xml:space="preserve"> PAGEREF _Toc240928064 \h </w:instrText>
            </w:r>
            <w:r w:rsidR="00860498">
              <w:rPr>
                <w:noProof/>
                <w:webHidden/>
              </w:rPr>
            </w:r>
            <w:r w:rsidR="00860498">
              <w:rPr>
                <w:noProof/>
                <w:webHidden/>
              </w:rPr>
              <w:fldChar w:fldCharType="separate"/>
            </w:r>
            <w:r w:rsidR="00860498">
              <w:rPr>
                <w:noProof/>
                <w:webHidden/>
              </w:rPr>
              <w:t>56</w:t>
            </w:r>
            <w:r w:rsidR="00860498">
              <w:rPr>
                <w:noProof/>
                <w:webHidden/>
              </w:rPr>
              <w:fldChar w:fldCharType="end"/>
            </w:r>
          </w:hyperlink>
        </w:p>
        <w:p w14:paraId="0C9D83A7" w14:textId="07ECA9E8" w:rsidR="00860498" w:rsidRDefault="0028733C">
          <w:pPr>
            <w:pStyle w:val="TOC1"/>
            <w:tabs>
              <w:tab w:val="right" w:leader="dot" w:pos="9350"/>
            </w:tabs>
            <w:rPr>
              <w:rFonts w:asciiTheme="minorHAnsi" w:eastAsiaTheme="minorEastAsia" w:hAnsiTheme="minorHAnsi"/>
              <w:noProof/>
              <w:kern w:val="2"/>
              <w:szCs w:val="24"/>
              <w:lang w:val="en-US" w:eastAsia="zh-CN"/>
              <w14:ligatures w14:val="standardContextual"/>
            </w:rPr>
          </w:pPr>
          <w:hyperlink w:anchor="_Toc240928065" w:history="1">
            <w:r w:rsidR="00860498" w:rsidRPr="0000038D">
              <w:rPr>
                <w:rStyle w:val="Hyperlink"/>
                <w:noProof/>
              </w:rPr>
              <w:t>CHAPTER 6: RECOMMENDATIONS AND CONCLUSION</w:t>
            </w:r>
            <w:r w:rsidR="00860498">
              <w:rPr>
                <w:noProof/>
                <w:webHidden/>
              </w:rPr>
              <w:tab/>
            </w:r>
            <w:r w:rsidR="00860498">
              <w:rPr>
                <w:noProof/>
                <w:webHidden/>
              </w:rPr>
              <w:fldChar w:fldCharType="begin"/>
            </w:r>
            <w:r w:rsidR="00860498">
              <w:rPr>
                <w:noProof/>
                <w:webHidden/>
              </w:rPr>
              <w:instrText xml:space="preserve"> PAGEREF _Toc240928065 \h </w:instrText>
            </w:r>
            <w:r w:rsidR="00860498">
              <w:rPr>
                <w:noProof/>
                <w:webHidden/>
              </w:rPr>
            </w:r>
            <w:r w:rsidR="00860498">
              <w:rPr>
                <w:noProof/>
                <w:webHidden/>
              </w:rPr>
              <w:fldChar w:fldCharType="separate"/>
            </w:r>
            <w:r w:rsidR="00860498">
              <w:rPr>
                <w:noProof/>
                <w:webHidden/>
              </w:rPr>
              <w:t>57</w:t>
            </w:r>
            <w:r w:rsidR="00860498">
              <w:rPr>
                <w:noProof/>
                <w:webHidden/>
              </w:rPr>
              <w:fldChar w:fldCharType="end"/>
            </w:r>
          </w:hyperlink>
        </w:p>
        <w:p w14:paraId="11D05904" w14:textId="3572A7F0"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66" w:history="1">
            <w:r w:rsidR="00860498" w:rsidRPr="0000038D">
              <w:rPr>
                <w:rStyle w:val="Hyperlink"/>
                <w:noProof/>
                <w:lang w:val="en-US"/>
              </w:rPr>
              <w:t>6.1 Introduction</w:t>
            </w:r>
            <w:r w:rsidR="00860498">
              <w:rPr>
                <w:noProof/>
                <w:webHidden/>
              </w:rPr>
              <w:tab/>
            </w:r>
            <w:r w:rsidR="00860498">
              <w:rPr>
                <w:noProof/>
                <w:webHidden/>
              </w:rPr>
              <w:fldChar w:fldCharType="begin"/>
            </w:r>
            <w:r w:rsidR="00860498">
              <w:rPr>
                <w:noProof/>
                <w:webHidden/>
              </w:rPr>
              <w:instrText xml:space="preserve"> PAGEREF _Toc240928066 \h </w:instrText>
            </w:r>
            <w:r w:rsidR="00860498">
              <w:rPr>
                <w:noProof/>
                <w:webHidden/>
              </w:rPr>
            </w:r>
            <w:r w:rsidR="00860498">
              <w:rPr>
                <w:noProof/>
                <w:webHidden/>
              </w:rPr>
              <w:fldChar w:fldCharType="separate"/>
            </w:r>
            <w:r w:rsidR="00860498">
              <w:rPr>
                <w:noProof/>
                <w:webHidden/>
              </w:rPr>
              <w:t>57</w:t>
            </w:r>
            <w:r w:rsidR="00860498">
              <w:rPr>
                <w:noProof/>
                <w:webHidden/>
              </w:rPr>
              <w:fldChar w:fldCharType="end"/>
            </w:r>
          </w:hyperlink>
        </w:p>
        <w:p w14:paraId="00F39C8A" w14:textId="3CCF2BFF"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67" w:history="1">
            <w:r w:rsidR="00860498" w:rsidRPr="0000038D">
              <w:rPr>
                <w:rStyle w:val="Hyperlink"/>
                <w:noProof/>
                <w:lang w:val="en-US"/>
              </w:rPr>
              <w:t>6.2 Recommendations for Community Pharmacy Practice and Policy</w:t>
            </w:r>
            <w:r w:rsidR="00860498">
              <w:rPr>
                <w:noProof/>
                <w:webHidden/>
              </w:rPr>
              <w:tab/>
            </w:r>
            <w:r w:rsidR="00860498">
              <w:rPr>
                <w:noProof/>
                <w:webHidden/>
              </w:rPr>
              <w:fldChar w:fldCharType="begin"/>
            </w:r>
            <w:r w:rsidR="00860498">
              <w:rPr>
                <w:noProof/>
                <w:webHidden/>
              </w:rPr>
              <w:instrText xml:space="preserve"> PAGEREF _Toc240928067 \h </w:instrText>
            </w:r>
            <w:r w:rsidR="00860498">
              <w:rPr>
                <w:noProof/>
                <w:webHidden/>
              </w:rPr>
            </w:r>
            <w:r w:rsidR="00860498">
              <w:rPr>
                <w:noProof/>
                <w:webHidden/>
              </w:rPr>
              <w:fldChar w:fldCharType="separate"/>
            </w:r>
            <w:r w:rsidR="00860498">
              <w:rPr>
                <w:noProof/>
                <w:webHidden/>
              </w:rPr>
              <w:t>57</w:t>
            </w:r>
            <w:r w:rsidR="00860498">
              <w:rPr>
                <w:noProof/>
                <w:webHidden/>
              </w:rPr>
              <w:fldChar w:fldCharType="end"/>
            </w:r>
          </w:hyperlink>
        </w:p>
        <w:p w14:paraId="1CC90272" w14:textId="04630FA0"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68" w:history="1">
            <w:r w:rsidR="00860498" w:rsidRPr="0000038D">
              <w:rPr>
                <w:rStyle w:val="Hyperlink"/>
                <w:noProof/>
                <w:lang w:val="en-US"/>
              </w:rPr>
              <w:t>6.3 Recommendations for Future Research</w:t>
            </w:r>
            <w:r w:rsidR="00860498">
              <w:rPr>
                <w:noProof/>
                <w:webHidden/>
              </w:rPr>
              <w:tab/>
            </w:r>
            <w:r w:rsidR="00860498">
              <w:rPr>
                <w:noProof/>
                <w:webHidden/>
              </w:rPr>
              <w:fldChar w:fldCharType="begin"/>
            </w:r>
            <w:r w:rsidR="00860498">
              <w:rPr>
                <w:noProof/>
                <w:webHidden/>
              </w:rPr>
              <w:instrText xml:space="preserve"> PAGEREF _Toc240928068 \h </w:instrText>
            </w:r>
            <w:r w:rsidR="00860498">
              <w:rPr>
                <w:noProof/>
                <w:webHidden/>
              </w:rPr>
            </w:r>
            <w:r w:rsidR="00860498">
              <w:rPr>
                <w:noProof/>
                <w:webHidden/>
              </w:rPr>
              <w:fldChar w:fldCharType="separate"/>
            </w:r>
            <w:r w:rsidR="00860498">
              <w:rPr>
                <w:noProof/>
                <w:webHidden/>
              </w:rPr>
              <w:t>58</w:t>
            </w:r>
            <w:r w:rsidR="00860498">
              <w:rPr>
                <w:noProof/>
                <w:webHidden/>
              </w:rPr>
              <w:fldChar w:fldCharType="end"/>
            </w:r>
          </w:hyperlink>
        </w:p>
        <w:p w14:paraId="666F9E9D" w14:textId="555F6496"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69" w:history="1">
            <w:r w:rsidR="00860498" w:rsidRPr="0000038D">
              <w:rPr>
                <w:rStyle w:val="Hyperlink"/>
                <w:noProof/>
                <w:lang w:val="en-US"/>
              </w:rPr>
              <w:t>6.4 Overall Conclusion</w:t>
            </w:r>
            <w:r w:rsidR="00860498">
              <w:rPr>
                <w:noProof/>
                <w:webHidden/>
              </w:rPr>
              <w:tab/>
            </w:r>
            <w:r w:rsidR="00860498">
              <w:rPr>
                <w:noProof/>
                <w:webHidden/>
              </w:rPr>
              <w:fldChar w:fldCharType="begin"/>
            </w:r>
            <w:r w:rsidR="00860498">
              <w:rPr>
                <w:noProof/>
                <w:webHidden/>
              </w:rPr>
              <w:instrText xml:space="preserve"> PAGEREF _Toc240928069 \h </w:instrText>
            </w:r>
            <w:r w:rsidR="00860498">
              <w:rPr>
                <w:noProof/>
                <w:webHidden/>
              </w:rPr>
            </w:r>
            <w:r w:rsidR="00860498">
              <w:rPr>
                <w:noProof/>
                <w:webHidden/>
              </w:rPr>
              <w:fldChar w:fldCharType="separate"/>
            </w:r>
            <w:r w:rsidR="00860498">
              <w:rPr>
                <w:noProof/>
                <w:webHidden/>
              </w:rPr>
              <w:t>58</w:t>
            </w:r>
            <w:r w:rsidR="00860498">
              <w:rPr>
                <w:noProof/>
                <w:webHidden/>
              </w:rPr>
              <w:fldChar w:fldCharType="end"/>
            </w:r>
          </w:hyperlink>
        </w:p>
        <w:p w14:paraId="6324D226" w14:textId="57BB1B8B"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70" w:history="1">
            <w:r w:rsidR="00860498" w:rsidRPr="0000038D">
              <w:rPr>
                <w:rStyle w:val="Hyperlink"/>
                <w:noProof/>
                <w:lang w:val="en-US"/>
              </w:rPr>
              <w:t>6.5 Final Statement</w:t>
            </w:r>
            <w:r w:rsidR="00860498">
              <w:rPr>
                <w:noProof/>
                <w:webHidden/>
              </w:rPr>
              <w:tab/>
            </w:r>
            <w:r w:rsidR="00860498">
              <w:rPr>
                <w:noProof/>
                <w:webHidden/>
              </w:rPr>
              <w:fldChar w:fldCharType="begin"/>
            </w:r>
            <w:r w:rsidR="00860498">
              <w:rPr>
                <w:noProof/>
                <w:webHidden/>
              </w:rPr>
              <w:instrText xml:space="preserve"> PAGEREF _Toc240928070 \h </w:instrText>
            </w:r>
            <w:r w:rsidR="00860498">
              <w:rPr>
                <w:noProof/>
                <w:webHidden/>
              </w:rPr>
            </w:r>
            <w:r w:rsidR="00860498">
              <w:rPr>
                <w:noProof/>
                <w:webHidden/>
              </w:rPr>
              <w:fldChar w:fldCharType="separate"/>
            </w:r>
            <w:r w:rsidR="00860498">
              <w:rPr>
                <w:noProof/>
                <w:webHidden/>
              </w:rPr>
              <w:t>58</w:t>
            </w:r>
            <w:r w:rsidR="00860498">
              <w:rPr>
                <w:noProof/>
                <w:webHidden/>
              </w:rPr>
              <w:fldChar w:fldCharType="end"/>
            </w:r>
          </w:hyperlink>
        </w:p>
        <w:p w14:paraId="169EED8C" w14:textId="5964150D" w:rsidR="00860498" w:rsidRDefault="0028733C">
          <w:pPr>
            <w:pStyle w:val="TOC1"/>
            <w:tabs>
              <w:tab w:val="right" w:leader="dot" w:pos="9350"/>
            </w:tabs>
            <w:rPr>
              <w:rFonts w:asciiTheme="minorHAnsi" w:eastAsiaTheme="minorEastAsia" w:hAnsiTheme="minorHAnsi"/>
              <w:noProof/>
              <w:kern w:val="2"/>
              <w:szCs w:val="24"/>
              <w:lang w:val="en-US" w:eastAsia="zh-CN"/>
              <w14:ligatures w14:val="standardContextual"/>
            </w:rPr>
          </w:pPr>
          <w:hyperlink w:anchor="_Toc240928071" w:history="1">
            <w:r w:rsidR="00860498" w:rsidRPr="0000038D">
              <w:rPr>
                <w:rStyle w:val="Hyperlink"/>
                <w:noProof/>
              </w:rPr>
              <w:t>REFERENCE LIST</w:t>
            </w:r>
            <w:r w:rsidR="00860498">
              <w:rPr>
                <w:noProof/>
                <w:webHidden/>
              </w:rPr>
              <w:tab/>
            </w:r>
            <w:r w:rsidR="00860498">
              <w:rPr>
                <w:noProof/>
                <w:webHidden/>
              </w:rPr>
              <w:fldChar w:fldCharType="begin"/>
            </w:r>
            <w:r w:rsidR="00860498">
              <w:rPr>
                <w:noProof/>
                <w:webHidden/>
              </w:rPr>
              <w:instrText xml:space="preserve"> PAGEREF _Toc240928071 \h </w:instrText>
            </w:r>
            <w:r w:rsidR="00860498">
              <w:rPr>
                <w:noProof/>
                <w:webHidden/>
              </w:rPr>
            </w:r>
            <w:r w:rsidR="00860498">
              <w:rPr>
                <w:noProof/>
                <w:webHidden/>
              </w:rPr>
              <w:fldChar w:fldCharType="separate"/>
            </w:r>
            <w:r w:rsidR="00860498">
              <w:rPr>
                <w:noProof/>
                <w:webHidden/>
              </w:rPr>
              <w:t>59</w:t>
            </w:r>
            <w:r w:rsidR="00860498">
              <w:rPr>
                <w:noProof/>
                <w:webHidden/>
              </w:rPr>
              <w:fldChar w:fldCharType="end"/>
            </w:r>
          </w:hyperlink>
        </w:p>
        <w:p w14:paraId="6A0BE35B" w14:textId="05A1961A" w:rsidR="00860498" w:rsidRDefault="0028733C">
          <w:pPr>
            <w:pStyle w:val="TOC1"/>
            <w:tabs>
              <w:tab w:val="right" w:leader="dot" w:pos="9350"/>
            </w:tabs>
            <w:rPr>
              <w:rFonts w:asciiTheme="minorHAnsi" w:eastAsiaTheme="minorEastAsia" w:hAnsiTheme="minorHAnsi"/>
              <w:noProof/>
              <w:kern w:val="2"/>
              <w:szCs w:val="24"/>
              <w:lang w:val="en-US" w:eastAsia="zh-CN"/>
              <w14:ligatures w14:val="standardContextual"/>
            </w:rPr>
          </w:pPr>
          <w:hyperlink w:anchor="_Toc240928072" w:history="1">
            <w:r w:rsidR="00860498" w:rsidRPr="0000038D">
              <w:rPr>
                <w:rStyle w:val="Hyperlink"/>
                <w:noProof/>
              </w:rPr>
              <w:t>APPENDICES</w:t>
            </w:r>
            <w:r w:rsidR="00860498">
              <w:rPr>
                <w:noProof/>
                <w:webHidden/>
              </w:rPr>
              <w:tab/>
            </w:r>
            <w:r w:rsidR="00860498">
              <w:rPr>
                <w:noProof/>
                <w:webHidden/>
              </w:rPr>
              <w:fldChar w:fldCharType="begin"/>
            </w:r>
            <w:r w:rsidR="00860498">
              <w:rPr>
                <w:noProof/>
                <w:webHidden/>
              </w:rPr>
              <w:instrText xml:space="preserve"> PAGEREF _Toc240928072 \h </w:instrText>
            </w:r>
            <w:r w:rsidR="00860498">
              <w:rPr>
                <w:noProof/>
                <w:webHidden/>
              </w:rPr>
            </w:r>
            <w:r w:rsidR="00860498">
              <w:rPr>
                <w:noProof/>
                <w:webHidden/>
              </w:rPr>
              <w:fldChar w:fldCharType="separate"/>
            </w:r>
            <w:r w:rsidR="00860498">
              <w:rPr>
                <w:noProof/>
                <w:webHidden/>
              </w:rPr>
              <w:t>74</w:t>
            </w:r>
            <w:r w:rsidR="00860498">
              <w:rPr>
                <w:noProof/>
                <w:webHidden/>
              </w:rPr>
              <w:fldChar w:fldCharType="end"/>
            </w:r>
          </w:hyperlink>
        </w:p>
        <w:p w14:paraId="651E0F8B" w14:textId="648362E8"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73" w:history="1">
            <w:r w:rsidR="00860498" w:rsidRPr="0000038D">
              <w:rPr>
                <w:rStyle w:val="Hyperlink"/>
                <w:noProof/>
              </w:rPr>
              <w:t>Appendix A - CASP Critical Appraisal</w:t>
            </w:r>
            <w:r w:rsidR="00860498">
              <w:rPr>
                <w:noProof/>
                <w:webHidden/>
              </w:rPr>
              <w:tab/>
            </w:r>
            <w:r w:rsidR="00860498">
              <w:rPr>
                <w:noProof/>
                <w:webHidden/>
              </w:rPr>
              <w:fldChar w:fldCharType="begin"/>
            </w:r>
            <w:r w:rsidR="00860498">
              <w:rPr>
                <w:noProof/>
                <w:webHidden/>
              </w:rPr>
              <w:instrText xml:space="preserve"> PAGEREF _Toc240928073 \h </w:instrText>
            </w:r>
            <w:r w:rsidR="00860498">
              <w:rPr>
                <w:noProof/>
                <w:webHidden/>
              </w:rPr>
            </w:r>
            <w:r w:rsidR="00860498">
              <w:rPr>
                <w:noProof/>
                <w:webHidden/>
              </w:rPr>
              <w:fldChar w:fldCharType="separate"/>
            </w:r>
            <w:r w:rsidR="00860498">
              <w:rPr>
                <w:noProof/>
                <w:webHidden/>
              </w:rPr>
              <w:t>74</w:t>
            </w:r>
            <w:r w:rsidR="00860498">
              <w:rPr>
                <w:noProof/>
                <w:webHidden/>
              </w:rPr>
              <w:fldChar w:fldCharType="end"/>
            </w:r>
          </w:hyperlink>
        </w:p>
        <w:p w14:paraId="4D474081" w14:textId="5E3B68DA" w:rsidR="00860498" w:rsidRDefault="0028733C">
          <w:pPr>
            <w:pStyle w:val="TOC2"/>
            <w:tabs>
              <w:tab w:val="right" w:leader="dot" w:pos="9350"/>
            </w:tabs>
            <w:rPr>
              <w:rFonts w:asciiTheme="minorHAnsi" w:eastAsiaTheme="minorEastAsia" w:hAnsiTheme="minorHAnsi"/>
              <w:noProof/>
              <w:kern w:val="2"/>
              <w:szCs w:val="24"/>
              <w:lang w:val="en-US" w:eastAsia="zh-CN"/>
              <w14:ligatures w14:val="standardContextual"/>
            </w:rPr>
          </w:pPr>
          <w:hyperlink w:anchor="_Toc240928074" w:history="1">
            <w:r w:rsidR="00860498" w:rsidRPr="0000038D">
              <w:rPr>
                <w:rStyle w:val="Hyperlink"/>
                <w:noProof/>
              </w:rPr>
              <w:t>Appendix B - Search Strategy Record</w:t>
            </w:r>
            <w:r w:rsidR="00860498">
              <w:rPr>
                <w:noProof/>
                <w:webHidden/>
              </w:rPr>
              <w:tab/>
            </w:r>
            <w:r w:rsidR="00860498">
              <w:rPr>
                <w:noProof/>
                <w:webHidden/>
              </w:rPr>
              <w:fldChar w:fldCharType="begin"/>
            </w:r>
            <w:r w:rsidR="00860498">
              <w:rPr>
                <w:noProof/>
                <w:webHidden/>
              </w:rPr>
              <w:instrText xml:space="preserve"> PAGEREF _Toc240928074 \h </w:instrText>
            </w:r>
            <w:r w:rsidR="00860498">
              <w:rPr>
                <w:noProof/>
                <w:webHidden/>
              </w:rPr>
            </w:r>
            <w:r w:rsidR="00860498">
              <w:rPr>
                <w:noProof/>
                <w:webHidden/>
              </w:rPr>
              <w:fldChar w:fldCharType="separate"/>
            </w:r>
            <w:r w:rsidR="00860498">
              <w:rPr>
                <w:noProof/>
                <w:webHidden/>
              </w:rPr>
              <w:t>75</w:t>
            </w:r>
            <w:r w:rsidR="00860498">
              <w:rPr>
                <w:noProof/>
                <w:webHidden/>
              </w:rPr>
              <w:fldChar w:fldCharType="end"/>
            </w:r>
          </w:hyperlink>
        </w:p>
        <w:p w14:paraId="4F6A37D1" w14:textId="41827C1D" w:rsidR="00194BC0" w:rsidRPr="00277198" w:rsidRDefault="00194BC0">
          <w:pPr>
            <w:rPr>
              <w:sz w:val="22"/>
            </w:rPr>
          </w:pPr>
          <w:r w:rsidRPr="00277198">
            <w:rPr>
              <w:b/>
              <w:bCs/>
              <w:noProof/>
              <w:sz w:val="22"/>
            </w:rPr>
            <w:fldChar w:fldCharType="end"/>
          </w:r>
        </w:p>
      </w:sdtContent>
    </w:sdt>
    <w:p w14:paraId="54DF6D07" w14:textId="0B892CE1" w:rsidR="0036225C" w:rsidRPr="00277198" w:rsidRDefault="0036225C">
      <w:pPr>
        <w:rPr>
          <w:sz w:val="22"/>
        </w:rPr>
      </w:pPr>
    </w:p>
    <w:p w14:paraId="467C6CF8" w14:textId="2E6D4FAB" w:rsidR="000C2B4E" w:rsidRPr="00277198" w:rsidRDefault="000C2B4E">
      <w:pPr>
        <w:spacing w:line="259" w:lineRule="auto"/>
        <w:jc w:val="left"/>
        <w:rPr>
          <w:sz w:val="22"/>
        </w:rPr>
      </w:pPr>
      <w:r w:rsidRPr="00277198">
        <w:rPr>
          <w:sz w:val="22"/>
        </w:rPr>
        <w:br w:type="page"/>
      </w:r>
    </w:p>
    <w:p w14:paraId="689D30B5" w14:textId="5E702D60" w:rsidR="000C2B4E" w:rsidRPr="00277198" w:rsidRDefault="005A7C36" w:rsidP="00277198">
      <w:pPr>
        <w:pStyle w:val="Heading1"/>
      </w:pPr>
      <w:bookmarkStart w:id="7" w:name="_Toc240927935"/>
      <w:r w:rsidRPr="00277198">
        <w:t>CHAPTER 1: INTRODUCTION</w:t>
      </w:r>
      <w:bookmarkEnd w:id="7"/>
    </w:p>
    <w:p w14:paraId="45BABB3F" w14:textId="77777777" w:rsidR="00194BC0" w:rsidRPr="00277198" w:rsidRDefault="00194BC0" w:rsidP="00277198">
      <w:pPr>
        <w:pStyle w:val="Heading2"/>
      </w:pPr>
      <w:bookmarkStart w:id="8" w:name="_Toc240927936"/>
      <w:r w:rsidRPr="00277198">
        <w:t>1.1 Introduction</w:t>
      </w:r>
      <w:bookmarkEnd w:id="8"/>
    </w:p>
    <w:p w14:paraId="27AE3262" w14:textId="77777777" w:rsidR="00194BC0" w:rsidRPr="00277198" w:rsidRDefault="00194BC0" w:rsidP="00194BC0">
      <w:pPr>
        <w:rPr>
          <w:sz w:val="22"/>
        </w:rPr>
      </w:pPr>
      <w:r w:rsidRPr="00277198">
        <w:rPr>
          <w:sz w:val="22"/>
        </w:rPr>
        <w:t>This chapter will give an overview of antimicrobial resistance (AMR) and antibiotic prescribing and dispensing in UK community pharmacies, focusing on the benefits of wider pharmacy services and the stewardship risks (Department of Health and Social Care, 2024; UKHSA, 2025). It will show a background, problem statement, rationale, research question, aim, objectives, significance, scope, and dissertation structure and chapter summary, which will give a basis for a qualitative systematic review of community pharmacy evidence (Hayes et al., 2023; Martin et al., 2024).</w:t>
      </w:r>
    </w:p>
    <w:p w14:paraId="60CFB2EA" w14:textId="77777777" w:rsidR="00194BC0" w:rsidRPr="00277198" w:rsidRDefault="00194BC0" w:rsidP="00277198">
      <w:pPr>
        <w:pStyle w:val="Heading2"/>
      </w:pPr>
      <w:bookmarkStart w:id="9" w:name="_Toc240927937"/>
      <w:r w:rsidRPr="00277198">
        <w:rPr>
          <w:rStyle w:val="Strong"/>
          <w:b/>
          <w:bCs w:val="0"/>
        </w:rPr>
        <w:t xml:space="preserve">1.2 Background of the </w:t>
      </w:r>
      <w:r w:rsidRPr="00277198">
        <w:t>Study</w:t>
      </w:r>
      <w:bookmarkEnd w:id="9"/>
    </w:p>
    <w:p w14:paraId="4B52615E" w14:textId="5CECA421" w:rsidR="00194BC0" w:rsidRPr="00277198" w:rsidRDefault="004A4208" w:rsidP="00194BC0">
      <w:pPr>
        <w:rPr>
          <w:sz w:val="22"/>
        </w:rPr>
      </w:pPr>
      <w:r w:rsidRPr="00277198">
        <w:rPr>
          <w:sz w:val="22"/>
        </w:rPr>
        <w:t>Antimicrobial resistance (AMR) continues to be a significant public health issue in the UK due to the associated burden on treatment, clinical risk and strain on health systems, necessitating coordinated efforts in antimicrobial stewardship (AMS), surveillance, prevention and appropriate antibiotic use (Department of Health and Social Care, 2024; McLeod et al., 2019; Aliabadi et al., 2021). Primary care is still a significant context for antibiotic prescribing, and community pharmacies are increasingly becoming part of the frontline pathways of infection (McCloskey et al., 2023; Dolk et al., 2018; Pouwels et al., 2018). Sore-throat and urinary-tract-infection (UTI) services have now been introduced in community pharmacies, which present opportunities and new stewardship responsibilities for the pharmacy team (Tonna et al., 2020; Lakha et al., 2024). There is evidence that diagnostic testing and structured pathways can help make suitable antibiotic decisions, but this is dependent on the service design, capability of service staff and patient expectations (Mantzourani et al., 2020</w:t>
      </w:r>
      <w:r w:rsidR="00EB7A68">
        <w:rPr>
          <w:sz w:val="22"/>
        </w:rPr>
        <w:t>a</w:t>
      </w:r>
      <w:r w:rsidRPr="00277198">
        <w:rPr>
          <w:sz w:val="22"/>
        </w:rPr>
        <w:t>; Holmes et al., 2018; Mantzourani et al., 2024). In addition, time pressure, staffing, behaviour and communication may limit stewardship (Borek et al., 2020; Jones et al., 2018; Lee et al., 2025). Support for counselling and decision-making has been enhanced by national programs such as PAMSI, TARGET and Pharmacy Quality Scheme, but these are only implemented effectively if there is organisational capability as well as professional knowledge (Allison et al., 2020; Zerbinato et al., 2025).</w:t>
      </w:r>
    </w:p>
    <w:p w14:paraId="326E3C46" w14:textId="77777777" w:rsidR="00194BC0" w:rsidRPr="00277198" w:rsidRDefault="00194BC0" w:rsidP="00277198">
      <w:pPr>
        <w:pStyle w:val="Heading2"/>
      </w:pPr>
      <w:bookmarkStart w:id="10" w:name="_Toc240927938"/>
      <w:r w:rsidRPr="00277198">
        <w:t>1.3 Statement of the Problem</w:t>
      </w:r>
      <w:bookmarkEnd w:id="10"/>
    </w:p>
    <w:p w14:paraId="4A0B1D33" w14:textId="77777777" w:rsidR="00194BC0" w:rsidRPr="00277198" w:rsidRDefault="00194BC0" w:rsidP="00194BC0">
      <w:pPr>
        <w:rPr>
          <w:sz w:val="22"/>
        </w:rPr>
      </w:pPr>
      <w:r w:rsidRPr="00277198">
        <w:rPr>
          <w:sz w:val="22"/>
        </w:rPr>
        <w:t>The policy challenge has been for the UK to depend on community pharmacy to provide access to treat minor infections, and at the same time to have stricter rules on antibiotic use in policy to manage antibiotic resistance (Department of Health and Social Care, 2024; NHS England, 2025). This places a practical demand on the head of the Community Pharmacist to reconcile the ease of access with maintaining diagnostic security, the quality of follow-up and counselling, and the avoidance of unnecessary antibiotic exposure - a tension which has been described as diagnostic uncertainty, but which remains controversial due to the presence of pressure (Matuluko et al., 2025; Parekh et al., 2023a).</w:t>
      </w:r>
    </w:p>
    <w:p w14:paraId="276C0A37" w14:textId="77777777" w:rsidR="00194BC0" w:rsidRPr="00277198" w:rsidRDefault="00194BC0" w:rsidP="00194BC0">
      <w:pPr>
        <w:rPr>
          <w:sz w:val="22"/>
        </w:rPr>
      </w:pPr>
      <w:r w:rsidRPr="00277198">
        <w:rPr>
          <w:sz w:val="22"/>
        </w:rPr>
        <w:t>However, this is a problem that is urgent, as surveillance indicates that the proportion of infected patients with resistant infections is increasing, and that the use of antibiotics is not limited to GP prescribing. In one year, the number of cases of antibiotic-resistant bacteraemia rose from 18,740 in 2023 to 20,484 in 2024, and deaths in those with resistant infection rose from 2,041 to 2,379 (UKHSA, 2025; Department of Health and Social Care, 2024). Concurrently, access to prescription-only medicines is not always limited to the formal prescribing pathway of the NHS, with online availability of antibiotics from within the UK offering a prime example of stewardship in community settings being crucial (Boyd et al., 2024; UKHSA, 2025).</w:t>
      </w:r>
    </w:p>
    <w:p w14:paraId="5D6C4CCD" w14:textId="4566812A" w:rsidR="000C2B4E" w:rsidRPr="00277198" w:rsidRDefault="00194BC0" w:rsidP="000C2B4E">
      <w:pPr>
        <w:rPr>
          <w:sz w:val="22"/>
        </w:rPr>
      </w:pPr>
      <w:r w:rsidRPr="00277198">
        <w:rPr>
          <w:sz w:val="22"/>
        </w:rPr>
        <w:t>The number of people who die from resistant infection rose by 338 (from 2,041 to 2,379) in a single year, and the number of cases of antibiotic-resistant bacteraemia grew from 18,740 in 2023 to 20,484 in 2024 (UKHSA, 2025; Department of Health and Social Care, 2024).</w:t>
      </w:r>
    </w:p>
    <w:p w14:paraId="1EFEA288" w14:textId="11A04DD4" w:rsidR="000C2B4E" w:rsidRPr="00277198" w:rsidRDefault="000C2B4E" w:rsidP="000C2B4E">
      <w:pPr>
        <w:jc w:val="center"/>
        <w:rPr>
          <w:sz w:val="22"/>
          <w:lang w:val="en-US"/>
        </w:rPr>
      </w:pPr>
      <w:r w:rsidRPr="00277198">
        <w:rPr>
          <w:noProof/>
          <w:sz w:val="22"/>
          <w:lang w:val="en-US"/>
        </w:rPr>
        <w:drawing>
          <wp:inline distT="0" distB="0" distL="0" distR="0" wp14:anchorId="4DD67204" wp14:editId="36E0DF8A">
            <wp:extent cx="4572000" cy="2743200"/>
            <wp:effectExtent l="0" t="0" r="0" b="0"/>
            <wp:docPr id="1"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A6006DC-2FD2-7178-107E-0B86047CC3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A2A40CD" w14:textId="334F443B" w:rsidR="000C2B4E" w:rsidRPr="00277198" w:rsidRDefault="005349D2" w:rsidP="005349D2">
      <w:pPr>
        <w:jc w:val="center"/>
        <w:rPr>
          <w:sz w:val="22"/>
          <w:lang w:val="en-US"/>
        </w:rPr>
      </w:pPr>
      <w:r w:rsidRPr="00277198">
        <w:rPr>
          <w:sz w:val="22"/>
          <w:lang w:val="en-US"/>
        </w:rPr>
        <w:t>Figure 1.1: Antibiotic-Resistant Bloodstream Infection Cases in England, 2019–2024</w:t>
      </w:r>
    </w:p>
    <w:p w14:paraId="1241B3CD" w14:textId="3EF8CA8C" w:rsidR="000C2B4E" w:rsidRPr="00277198" w:rsidRDefault="003351F7" w:rsidP="000C2B4E">
      <w:pPr>
        <w:jc w:val="center"/>
        <w:rPr>
          <w:sz w:val="22"/>
        </w:rPr>
      </w:pPr>
      <w:r w:rsidRPr="00277198">
        <w:rPr>
          <w:sz w:val="22"/>
        </w:rPr>
        <w:t>Source: Adapted from UKHSA (2025)</w:t>
      </w:r>
    </w:p>
    <w:p w14:paraId="28432C12" w14:textId="77777777" w:rsidR="00194BC0" w:rsidRPr="00277198" w:rsidRDefault="00194BC0" w:rsidP="00194BC0">
      <w:pPr>
        <w:rPr>
          <w:rFonts w:ascii="Times New Roman" w:hAnsi="Times New Roman"/>
          <w:sz w:val="22"/>
          <w:lang w:val="en-US"/>
        </w:rPr>
      </w:pPr>
      <w:r w:rsidRPr="00277198">
        <w:rPr>
          <w:sz w:val="22"/>
        </w:rPr>
        <w:t>The growing problem of antibiotic resistance in bloodstream infections (BSI) in England is displayed in Figure 1.1 below, highlighting the significance of antibiotic stewardship in community settings such as pharmacies. Given the upward trend, it is important to review community pharmacy antibiotic use to ensure that expanded access services do not undermine stewardship but, in some areas, create unnecessary antibiotic usage if safeguards are less consistently used (NHS England, 2025; UKHSA, 2025).</w:t>
      </w:r>
    </w:p>
    <w:p w14:paraId="33FE7DD0" w14:textId="77777777" w:rsidR="00194BC0" w:rsidRPr="00277198" w:rsidRDefault="00194BC0" w:rsidP="00194BC0">
      <w:pPr>
        <w:rPr>
          <w:sz w:val="22"/>
        </w:rPr>
      </w:pPr>
      <w:r w:rsidRPr="00277198">
        <w:rPr>
          <w:sz w:val="22"/>
        </w:rPr>
        <w:t xml:space="preserve">The issue is not whether community pharmacy can be useful for patients, but how community pharmacy practices related to antibiotics are regulated, experienced and translated into safe care. Supporting the use of a Pharmacy First and similar pathways with audit and training can support access and AMS, but if thresholds for antibiotic prescribing are not being consistently adhered to, or there is insufficient documentation, or training in counselling about the benefits and risks of these medications, then exposure may be increased (NHS England, 2023; NHS England, 2025). </w:t>
      </w:r>
    </w:p>
    <w:p w14:paraId="452D7525" w14:textId="77777777" w:rsidR="00194BC0" w:rsidRPr="00277198" w:rsidRDefault="00194BC0" w:rsidP="00277198">
      <w:pPr>
        <w:pStyle w:val="Heading2"/>
      </w:pPr>
      <w:bookmarkStart w:id="11" w:name="_Toc240927939"/>
      <w:r w:rsidRPr="00277198">
        <w:t>1.4 Rationale of the Study</w:t>
      </w:r>
      <w:bookmarkEnd w:id="11"/>
    </w:p>
    <w:p w14:paraId="7BF3EB72" w14:textId="77777777" w:rsidR="00194BC0" w:rsidRPr="00277198" w:rsidRDefault="00194BC0" w:rsidP="00194BC0">
      <w:pPr>
        <w:rPr>
          <w:sz w:val="22"/>
        </w:rPr>
      </w:pPr>
      <w:r w:rsidRPr="00277198">
        <w:rPr>
          <w:sz w:val="22"/>
        </w:rPr>
        <w:t>There is a need for this study due to limited ability to synthesise qualitative evidence regarding the knowledge, perception and experience of pharmacy staff of antibiotic requests in their management and more evidence focusing on prescribing level, infection surveillance and policy targets for AMR for the UK (McCloskey et al., 2023; Martin et al., 2024). A qualitative systematic review can then help to capture the barriers and facilitators, as well as professional confidence and patient conversations and organisational issues, which explain why stewardship tools work or fail in practice (Hayes et al., 2022; Seaton et al., 2022).</w:t>
      </w:r>
    </w:p>
    <w:p w14:paraId="579C80E7" w14:textId="77777777" w:rsidR="00194BC0" w:rsidRPr="00277198" w:rsidRDefault="00194BC0" w:rsidP="00194BC0">
      <w:pPr>
        <w:rPr>
          <w:sz w:val="22"/>
        </w:rPr>
      </w:pPr>
      <w:r w:rsidRPr="00277198">
        <w:rPr>
          <w:sz w:val="22"/>
        </w:rPr>
        <w:t>It is also reinforced by recent advances in services. There are cases demonstrating that UTI consultations can influence antibiotic provision, and sore throat management and natural policy differences between Wales and England show that pharmacy-led pathways can have an impact on provision of antibiotics, but analysis of the available evidence requires consideration of local service rules, diagnostic resources and patients' expectations (Parekh et al., 2023a; Matuluko et al., 2025). As such, between 2019 and 2026, studies will reflect the impact of the UK AMR action plan, service pressures during the pandemic, PQS programmes and Pharmacy First (Department of Health and Social Care, 2024) and Pharmacy First (NHS England, 2025).</w:t>
      </w:r>
    </w:p>
    <w:p w14:paraId="6D78E2F8" w14:textId="345615B8" w:rsidR="000C2B4E" w:rsidRPr="00277198" w:rsidRDefault="000C2B4E" w:rsidP="000C2B4E">
      <w:pPr>
        <w:rPr>
          <w:sz w:val="22"/>
          <w:lang w:val="en-US"/>
        </w:rPr>
      </w:pPr>
    </w:p>
    <w:p w14:paraId="51A830AA" w14:textId="77777777" w:rsidR="000C2B4E" w:rsidRPr="00277198" w:rsidRDefault="000C2B4E" w:rsidP="00277198">
      <w:pPr>
        <w:pStyle w:val="Heading2"/>
        <w:rPr>
          <w:lang w:val="en-US"/>
        </w:rPr>
      </w:pPr>
      <w:bookmarkStart w:id="12" w:name="_Toc240927940"/>
      <w:r w:rsidRPr="00277198">
        <w:rPr>
          <w:lang w:val="en-US"/>
        </w:rPr>
        <w:t>1.5 Research Question</w:t>
      </w:r>
      <w:bookmarkEnd w:id="12"/>
    </w:p>
    <w:p w14:paraId="3C5FCB3D" w14:textId="77777777" w:rsidR="000C2B4E" w:rsidRPr="00277198" w:rsidRDefault="000C2B4E" w:rsidP="00194BC0">
      <w:pPr>
        <w:rPr>
          <w:sz w:val="22"/>
          <w:lang w:val="en-US"/>
        </w:rPr>
      </w:pPr>
      <w:r w:rsidRPr="00277198">
        <w:rPr>
          <w:sz w:val="22"/>
          <w:lang w:val="en-US"/>
        </w:rPr>
        <w:t>How could antibiotic prescribing and dispensing practices in UK community pharmacies contribute to antimicrobial resistance? The safeguards enacted and strategies necessitated.</w:t>
      </w:r>
    </w:p>
    <w:p w14:paraId="4204C910" w14:textId="77777777" w:rsidR="000C2B4E" w:rsidRPr="00277198" w:rsidRDefault="000C2B4E" w:rsidP="00277198">
      <w:pPr>
        <w:pStyle w:val="Heading2"/>
        <w:rPr>
          <w:lang w:val="en-US"/>
        </w:rPr>
      </w:pPr>
      <w:bookmarkStart w:id="13" w:name="_Toc240927941"/>
      <w:r w:rsidRPr="00277198">
        <w:rPr>
          <w:lang w:val="en-US"/>
        </w:rPr>
        <w:t>1.6 Research Aim</w:t>
      </w:r>
      <w:bookmarkEnd w:id="13"/>
    </w:p>
    <w:p w14:paraId="4CA245DA" w14:textId="77777777" w:rsidR="000C2B4E" w:rsidRPr="00277198" w:rsidRDefault="000C2B4E" w:rsidP="00194BC0">
      <w:pPr>
        <w:rPr>
          <w:sz w:val="22"/>
          <w:lang w:val="en-US"/>
        </w:rPr>
      </w:pPr>
      <w:r w:rsidRPr="00277198">
        <w:rPr>
          <w:sz w:val="22"/>
          <w:lang w:val="en-US"/>
        </w:rPr>
        <w:t>To evaluate antibiotic prescribing and dispensing practices in community pharmacies in the UK and assess their potential contribution to antimicrobial resistance.</w:t>
      </w:r>
    </w:p>
    <w:p w14:paraId="085E8A46" w14:textId="77777777" w:rsidR="000C2B4E" w:rsidRPr="00277198" w:rsidRDefault="000C2B4E" w:rsidP="00277198">
      <w:pPr>
        <w:pStyle w:val="Heading2"/>
        <w:rPr>
          <w:lang w:val="en-US"/>
        </w:rPr>
      </w:pPr>
      <w:bookmarkStart w:id="14" w:name="_Toc240927942"/>
      <w:r w:rsidRPr="00277198">
        <w:rPr>
          <w:lang w:val="en-US"/>
        </w:rPr>
        <w:t>1.7 Research Objectives</w:t>
      </w:r>
      <w:bookmarkEnd w:id="14"/>
    </w:p>
    <w:p w14:paraId="4B38656D" w14:textId="77777777" w:rsidR="00747768" w:rsidRPr="00277198" w:rsidRDefault="000C2B4E" w:rsidP="00747768">
      <w:pPr>
        <w:pStyle w:val="ListParagraph"/>
        <w:numPr>
          <w:ilvl w:val="0"/>
          <w:numId w:val="1"/>
        </w:numPr>
        <w:rPr>
          <w:sz w:val="22"/>
          <w:lang w:val="en-US"/>
        </w:rPr>
      </w:pPr>
      <w:r w:rsidRPr="00277198">
        <w:rPr>
          <w:sz w:val="22"/>
          <w:lang w:val="en-US"/>
        </w:rPr>
        <w:t>To examine current antibiotic prescribing and dispensing patterns in UK community pharmacies.</w:t>
      </w:r>
    </w:p>
    <w:p w14:paraId="6285F145" w14:textId="77777777" w:rsidR="00747768" w:rsidRPr="00277198" w:rsidRDefault="000C2B4E" w:rsidP="00747768">
      <w:pPr>
        <w:pStyle w:val="ListParagraph"/>
        <w:numPr>
          <w:ilvl w:val="0"/>
          <w:numId w:val="1"/>
        </w:numPr>
        <w:rPr>
          <w:sz w:val="22"/>
          <w:lang w:val="en-US"/>
        </w:rPr>
      </w:pPr>
      <w:r w:rsidRPr="00277198">
        <w:rPr>
          <w:sz w:val="22"/>
          <w:lang w:val="en-US"/>
        </w:rPr>
        <w:t>To conduct a systematic review in assessing pharmacists' knowledge and awareness regarding antimicrobial resistance (AMR).</w:t>
      </w:r>
    </w:p>
    <w:p w14:paraId="6E9A7942" w14:textId="77777777" w:rsidR="00747768" w:rsidRPr="00277198" w:rsidRDefault="000C2B4E" w:rsidP="00747768">
      <w:pPr>
        <w:pStyle w:val="ListParagraph"/>
        <w:numPr>
          <w:ilvl w:val="0"/>
          <w:numId w:val="1"/>
        </w:numPr>
        <w:rPr>
          <w:sz w:val="22"/>
          <w:lang w:val="en-US"/>
        </w:rPr>
      </w:pPr>
      <w:r w:rsidRPr="00277198">
        <w:rPr>
          <w:sz w:val="22"/>
          <w:lang w:val="en-US"/>
        </w:rPr>
        <w:t>To identify factors influencing inappropriate antibiotic supply in community pharmacy settings.</w:t>
      </w:r>
    </w:p>
    <w:p w14:paraId="2DEB5D3F" w14:textId="746555D3" w:rsidR="000C2B4E" w:rsidRPr="00277198" w:rsidRDefault="000C2B4E" w:rsidP="00747768">
      <w:pPr>
        <w:pStyle w:val="ListParagraph"/>
        <w:numPr>
          <w:ilvl w:val="0"/>
          <w:numId w:val="1"/>
        </w:numPr>
        <w:rPr>
          <w:sz w:val="22"/>
          <w:lang w:val="en-US"/>
        </w:rPr>
      </w:pPr>
      <w:r w:rsidRPr="00277198">
        <w:rPr>
          <w:sz w:val="22"/>
          <w:lang w:val="en-US"/>
        </w:rPr>
        <w:t>To provide recommendations that community pharmacists use to reduce antimicrobial resistance.</w:t>
      </w:r>
    </w:p>
    <w:p w14:paraId="260C1F87" w14:textId="77777777" w:rsidR="00194BC0" w:rsidRPr="00277198" w:rsidRDefault="00194BC0" w:rsidP="00277198">
      <w:pPr>
        <w:pStyle w:val="Heading2"/>
      </w:pPr>
      <w:bookmarkStart w:id="15" w:name="_Toc240927943"/>
      <w:r w:rsidRPr="00277198">
        <w:rPr>
          <w:rStyle w:val="Strong"/>
          <w:b/>
          <w:bCs w:val="0"/>
          <w:sz w:val="22"/>
        </w:rPr>
        <w:t>1.8 Significance of the Study</w:t>
      </w:r>
      <w:bookmarkEnd w:id="15"/>
    </w:p>
    <w:p w14:paraId="3A2245E4" w14:textId="77777777" w:rsidR="00194BC0" w:rsidRPr="00277198" w:rsidRDefault="00194BC0" w:rsidP="00194BC0">
      <w:pPr>
        <w:rPr>
          <w:sz w:val="22"/>
        </w:rPr>
      </w:pPr>
      <w:r w:rsidRPr="00277198">
        <w:rPr>
          <w:sz w:val="22"/>
        </w:rPr>
        <w:t>The research has implications because it begins to link AMR surveillance to community-use pharmacists in a world in which they have new expectations to handle increased demand relating to infections. It will inform policy makers, NHS commissioners, and professional bodies and teams on antibiotic teams about where training, audit, decision support and patient-facing counselling could lead to a reduction in inappropriate antibiotic supply (NHS England, 2023; Parekh et al., 2025).</w:t>
      </w:r>
    </w:p>
    <w:p w14:paraId="4FE00DD6" w14:textId="77777777" w:rsidR="00194BC0" w:rsidRPr="00277198" w:rsidRDefault="00194BC0" w:rsidP="00194BC0">
      <w:pPr>
        <w:rPr>
          <w:sz w:val="22"/>
        </w:rPr>
      </w:pPr>
      <w:r w:rsidRPr="00277198">
        <w:rPr>
          <w:sz w:val="22"/>
        </w:rPr>
        <w:t>From an academic perspective, the study will add value by synthesising qualitative results, which will provide an explanation of behaviour, and not just measure prescribing outcomes. This is important as there is an interactive relationship between the numerical aspects of prescribing trends and clinical judgement, confidence, pressure from patients and the design and workload of services (Hayes et al., 2023; Martin et al., 2024).</w:t>
      </w:r>
    </w:p>
    <w:p w14:paraId="617FB058" w14:textId="2375FAFB" w:rsidR="00194BC0" w:rsidRPr="00277198" w:rsidRDefault="00194BC0" w:rsidP="00277198">
      <w:pPr>
        <w:pStyle w:val="Heading2"/>
      </w:pPr>
      <w:bookmarkStart w:id="16" w:name="_Toc240927944"/>
      <w:r w:rsidRPr="00277198">
        <w:rPr>
          <w:rStyle w:val="Strong"/>
          <w:b/>
          <w:bCs w:val="0"/>
          <w:sz w:val="22"/>
        </w:rPr>
        <w:t>1.9 Scope of the Stud</w:t>
      </w:r>
      <w:r w:rsidR="00376727" w:rsidRPr="00277198">
        <w:rPr>
          <w:rStyle w:val="Strong"/>
          <w:b/>
          <w:bCs w:val="0"/>
          <w:sz w:val="22"/>
        </w:rPr>
        <w:t>y</w:t>
      </w:r>
      <w:bookmarkEnd w:id="16"/>
    </w:p>
    <w:p w14:paraId="7A9D057E" w14:textId="1A60051E" w:rsidR="00194BC0" w:rsidRPr="00277198" w:rsidRDefault="00194BC0" w:rsidP="00194BC0">
      <w:pPr>
        <w:rPr>
          <w:sz w:val="22"/>
        </w:rPr>
      </w:pPr>
      <w:r w:rsidRPr="00277198">
        <w:rPr>
          <w:sz w:val="22"/>
        </w:rPr>
        <w:t xml:space="preserve">The study will be conducted across community pharmacies in the UK, which will involve community pharmacists, plus members of the pharmacists' support team (pharmacy technicians and other pharmacy staff who are engaged in antibiotic prescribing, dispensing and/or AMS-related activity). It will incorporate peer-reviewed qualitative studies and good quality UK grey literature (those studies published between 2019 and 2026, but which are not peer-reviewed) which provide qualitative evidence beyond that of quantitative studies and not all quantitative studies will provide qualitative evidence, </w:t>
      </w:r>
      <w:r w:rsidR="00FD0712" w:rsidRPr="00277198">
        <w:rPr>
          <w:sz w:val="22"/>
        </w:rPr>
        <w:t xml:space="preserve">It will not include studies conducted solely in hospital contexts </w:t>
      </w:r>
      <w:r w:rsidRPr="00277198">
        <w:rPr>
          <w:sz w:val="22"/>
        </w:rPr>
        <w:t xml:space="preserve">(Seaton et al., 2022; Department of Health and Social Care, 2024), and will not include non-UK studies </w:t>
      </w:r>
      <w:r w:rsidR="00C8123F" w:rsidRPr="00C8123F">
        <w:rPr>
          <w:sz w:val="22"/>
        </w:rPr>
        <w:t>quantitative studies that do not answer the review question</w:t>
      </w:r>
      <w:r w:rsidRPr="00277198">
        <w:rPr>
          <w:sz w:val="22"/>
        </w:rPr>
        <w:t>, or studies conducted in a hospital context only (Seaton et al., 2022; Department of Health and Social Care, 2024).</w:t>
      </w:r>
    </w:p>
    <w:p w14:paraId="74E8B7B1" w14:textId="77777777" w:rsidR="00194BC0" w:rsidRPr="00277198" w:rsidRDefault="00194BC0" w:rsidP="00277198">
      <w:pPr>
        <w:pStyle w:val="Heading2"/>
      </w:pPr>
      <w:bookmarkStart w:id="17" w:name="_Toc240927945"/>
      <w:r w:rsidRPr="00277198">
        <w:rPr>
          <w:rStyle w:val="Strong"/>
          <w:b/>
          <w:bCs w:val="0"/>
          <w:sz w:val="22"/>
        </w:rPr>
        <w:t>1.10 Structure of the Dissertation</w:t>
      </w:r>
      <w:bookmarkEnd w:id="17"/>
    </w:p>
    <w:p w14:paraId="1EDC0A7F" w14:textId="58876FFE" w:rsidR="00194BC0" w:rsidRPr="00277198" w:rsidRDefault="00282CB8" w:rsidP="00194BC0">
      <w:pPr>
        <w:rPr>
          <w:sz w:val="22"/>
        </w:rPr>
      </w:pPr>
      <w:r w:rsidRPr="00277198">
        <w:rPr>
          <w:sz w:val="22"/>
        </w:rPr>
        <w:t>The topic, problem and direction for the research are given in Chapter 1. The literature review and theoretical perspectives are discussed in Chapter 2. Details on the systematic review methodology are provided in Chapter 3. Study selection, study characteristics and thematic findings from the quality appraisal of the studies are detailed in Chapter 4. The findings are discussed critically in Chapter 5 in relation to the research question and aim, as well as the objectives and COM-B framework, and the strengths and limitations of the evidence. Recommendations for community pharmacy practice, policy and future research, as well as the overall conclusion, are provided in Chapter 6.</w:t>
      </w:r>
    </w:p>
    <w:p w14:paraId="7A8B7416" w14:textId="77777777" w:rsidR="00194BC0" w:rsidRPr="00277198" w:rsidRDefault="00194BC0" w:rsidP="00277198">
      <w:pPr>
        <w:pStyle w:val="Heading2"/>
      </w:pPr>
      <w:bookmarkStart w:id="18" w:name="_Toc240927946"/>
      <w:r w:rsidRPr="00277198">
        <w:rPr>
          <w:rStyle w:val="Strong"/>
          <w:b/>
          <w:bCs w:val="0"/>
          <w:sz w:val="22"/>
        </w:rPr>
        <w:t>1.11 Summary of the Chapter</w:t>
      </w:r>
      <w:bookmarkEnd w:id="18"/>
    </w:p>
    <w:p w14:paraId="52F17AE9" w14:textId="77777777" w:rsidR="00194BC0" w:rsidRPr="00277198" w:rsidRDefault="00194BC0" w:rsidP="00194BC0">
      <w:pPr>
        <w:rPr>
          <w:sz w:val="22"/>
        </w:rPr>
      </w:pPr>
      <w:r w:rsidRPr="00277198">
        <w:rPr>
          <w:sz w:val="22"/>
        </w:rPr>
        <w:t>This chapter introduced the concepts of AMR and antibiotic prescribing and dispensing in community pharmacies in the UK. It demonstrated that the access benefits of the model of services for infections delivered by a Pharmacist were associated with increased stewardship risk in areas with diagnostic uncertainty, patient requests, workload and at times inconsistent counselling. The research question, aim, objectives, significance and scope and the structure for the dissertation were presented as the foundation for the systematic review. This led to a qualitative synthesis which highlights safeguards, staff behaviour and policy translation in the context of the UK community practice of today.</w:t>
      </w:r>
    </w:p>
    <w:p w14:paraId="7B636818" w14:textId="22378EB5" w:rsidR="005349D2" w:rsidRPr="00277198" w:rsidRDefault="005349D2">
      <w:pPr>
        <w:spacing w:line="259" w:lineRule="auto"/>
        <w:jc w:val="left"/>
        <w:rPr>
          <w:sz w:val="22"/>
          <w:lang w:val="en-US"/>
        </w:rPr>
      </w:pPr>
    </w:p>
    <w:p w14:paraId="167C1C7D" w14:textId="77777777" w:rsidR="00282CB8" w:rsidRPr="00277198" w:rsidRDefault="00282CB8">
      <w:pPr>
        <w:spacing w:line="259" w:lineRule="auto"/>
        <w:jc w:val="left"/>
        <w:rPr>
          <w:rFonts w:eastAsiaTheme="majorEastAsia" w:cstheme="majorBidi"/>
          <w:b/>
          <w:sz w:val="22"/>
          <w:szCs w:val="32"/>
          <w:lang w:val="en-US"/>
        </w:rPr>
      </w:pPr>
      <w:bookmarkStart w:id="19" w:name="_Toc233990195"/>
      <w:bookmarkStart w:id="20" w:name="_Toc233953656"/>
      <w:r w:rsidRPr="00277198">
        <w:rPr>
          <w:sz w:val="22"/>
        </w:rPr>
        <w:br w:type="page"/>
      </w:r>
    </w:p>
    <w:p w14:paraId="0C58695B" w14:textId="14478313" w:rsidR="00FF19FD" w:rsidRPr="00277198" w:rsidRDefault="00FF19FD" w:rsidP="00277198">
      <w:pPr>
        <w:pStyle w:val="Heading1"/>
      </w:pPr>
      <w:bookmarkStart w:id="21" w:name="_Toc240927947"/>
      <w:r w:rsidRPr="00277198">
        <w:t>CHAPTER 2: LITERATURE REVIEW AND THEORETICAL FRAMEWORK</w:t>
      </w:r>
      <w:bookmarkEnd w:id="19"/>
      <w:bookmarkEnd w:id="21"/>
    </w:p>
    <w:p w14:paraId="36CE705F" w14:textId="77777777" w:rsidR="00FF19FD" w:rsidRPr="00277198" w:rsidRDefault="00FF19FD" w:rsidP="00277198">
      <w:pPr>
        <w:pStyle w:val="Heading2"/>
      </w:pPr>
      <w:bookmarkStart w:id="22" w:name="_Toc233990196"/>
      <w:bookmarkStart w:id="23" w:name="_Toc240927948"/>
      <w:r w:rsidRPr="00277198">
        <w:rPr>
          <w:rStyle w:val="Strong"/>
          <w:b/>
          <w:bCs w:val="0"/>
          <w:sz w:val="22"/>
        </w:rPr>
        <w:t>2.1 Introduction</w:t>
      </w:r>
      <w:bookmarkEnd w:id="22"/>
      <w:bookmarkEnd w:id="23"/>
    </w:p>
    <w:p w14:paraId="28B9BBB6" w14:textId="77777777" w:rsidR="00FF19FD" w:rsidRPr="00277198" w:rsidRDefault="00FF19FD" w:rsidP="00FF19FD">
      <w:pPr>
        <w:rPr>
          <w:sz w:val="22"/>
        </w:rPr>
      </w:pPr>
      <w:r w:rsidRPr="00277198">
        <w:rPr>
          <w:sz w:val="22"/>
        </w:rPr>
        <w:t>The literature review will cover work done on antimicrobial resistance (AMR), antibiotic prescribing and dispensing behaviour and antimicrobial stewardship (AMS) in UK community pharmacy. The scoping search strategy to find background evidence will be described first, followed by critical discussions of the UK AMR policy context, prescribing in primary care, changes to prescribing by a pharmacist, stewardship interventions, staff knowledge and training, patient communication and interprofessional pathways. It will then highlight gaps in the literature and offer a theoretical model primarily derived from the COM-B model, including behavioural science perspectives relevant to the prescribing and/or dispensing context. This structure was chosen due to the emphasis of the dissertation not just on the supply of antibiotics, but also the behavioural, organisational and policy environment in which community pharmacies can either enhance or hinder AMR control (Borek et al., 2022; Department of Health and Social Care, 2024).</w:t>
      </w:r>
    </w:p>
    <w:p w14:paraId="78630EBA" w14:textId="77777777" w:rsidR="00FF19FD" w:rsidRPr="00277198" w:rsidRDefault="00FF19FD" w:rsidP="00277198">
      <w:pPr>
        <w:pStyle w:val="Heading2"/>
      </w:pPr>
      <w:bookmarkStart w:id="24" w:name="_Toc233990197"/>
      <w:bookmarkStart w:id="25" w:name="_Toc240927949"/>
      <w:r w:rsidRPr="00277198">
        <w:rPr>
          <w:rStyle w:val="Strong"/>
          <w:b/>
          <w:bCs w:val="0"/>
          <w:sz w:val="22"/>
        </w:rPr>
        <w:t>2.2 Literature Search Strategy</w:t>
      </w:r>
      <w:bookmarkEnd w:id="24"/>
      <w:bookmarkEnd w:id="25"/>
    </w:p>
    <w:p w14:paraId="0B38FF11" w14:textId="77777777" w:rsidR="00FF19FD" w:rsidRPr="00277198" w:rsidRDefault="00FF19FD" w:rsidP="00FF19FD">
      <w:pPr>
        <w:rPr>
          <w:sz w:val="22"/>
        </w:rPr>
      </w:pPr>
      <w:r w:rsidRPr="00277198">
        <w:rPr>
          <w:sz w:val="22"/>
        </w:rPr>
        <w:t>For this chapter, the literature search strategy served as a scoping process to understand the topic and develop the background, not as a final systematic search that is reported in Chapter 3. The search was restricted to evidence published in the UK in recent years as the review question relates to community pharmacy practice in the UK, particularly after the introduction of COVID-19, Pharmacy Quality Scheme AMS activities and expansion of services related to Pharmacy First (Knowles et al., 2024; NHS England, 2023). Key academic databases searched were PubMed, ScienceDirect, CINAHL, EMBASE and the sources linked to Cochrane (to ensure that practice evidence was interpreted within the current AMR national policy), and grey literature included NHS England, UKHSA and UK government AMR policy documents.</w:t>
      </w:r>
    </w:p>
    <w:p w14:paraId="249DEEA4" w14:textId="53C97FF4" w:rsidR="00FF19FD" w:rsidRPr="00277198" w:rsidRDefault="00FF19FD" w:rsidP="00FF19FD">
      <w:pPr>
        <w:rPr>
          <w:sz w:val="22"/>
        </w:rPr>
      </w:pPr>
      <w:r w:rsidRPr="00277198">
        <w:rPr>
          <w:sz w:val="22"/>
        </w:rPr>
        <w:t xml:space="preserve">Some of the search terms included were antimicrobial resistance, antibiotic prescribing, antibiotic dispensing, community pharmacy, community pharmacist, Pharmacy First, sore throat, urinary tract infection, p.o.c. testing, TARGET antibiotic checklist, Pharmacy Quality Scheme, and the UK. Pharmacy setting was combined with AMR behaviour and stewardship practice (e.g., community pharmacy AND antimicrobial stewardship AND England) or antibiotic prescribing AND community pharmacist AND qualitative (Hayes et al., 2023; Parekh et al., 2023b) using Boolean combinations. </w:t>
      </w:r>
    </w:p>
    <w:p w14:paraId="59D8DDA5" w14:textId="77777777" w:rsidR="00FF19FD" w:rsidRPr="00277198" w:rsidRDefault="00FF19FD" w:rsidP="00277198">
      <w:pPr>
        <w:pStyle w:val="Heading2"/>
      </w:pPr>
      <w:bookmarkStart w:id="26" w:name="_Toc233990198"/>
      <w:bookmarkStart w:id="27" w:name="_Toc240927950"/>
      <w:r w:rsidRPr="00277198">
        <w:rPr>
          <w:rStyle w:val="Strong"/>
          <w:b/>
          <w:bCs w:val="0"/>
          <w:sz w:val="22"/>
        </w:rPr>
        <w:t>2.3 Antimicrobial Resistance as a UK Public Health Issue</w:t>
      </w:r>
      <w:bookmarkEnd w:id="26"/>
      <w:bookmarkEnd w:id="27"/>
    </w:p>
    <w:p w14:paraId="6FBBFB80" w14:textId="0D6BB588" w:rsidR="00FF19FD" w:rsidRPr="00277198" w:rsidRDefault="00FF19FD" w:rsidP="00FF19FD">
      <w:pPr>
        <w:rPr>
          <w:sz w:val="22"/>
        </w:rPr>
      </w:pPr>
      <w:r w:rsidRPr="00277198">
        <w:rPr>
          <w:sz w:val="22"/>
        </w:rPr>
        <w:t>The issue of AMR has an enormous public health importance, as antibiotic resistance makes it less effective to treat infections and makes health systems, patients and society more burdened</w:t>
      </w:r>
      <w:r w:rsidR="00CA3406" w:rsidRPr="00277198">
        <w:rPr>
          <w:sz w:val="22"/>
        </w:rPr>
        <w:t xml:space="preserve"> (McLeod et al., 2019; Lishman et al., 2018; Aliabadi et al., 2021)</w:t>
      </w:r>
      <w:r w:rsidRPr="00277198">
        <w:rPr>
          <w:sz w:val="22"/>
        </w:rPr>
        <w:t>. AMR is viewed as a cross-sector issue and must be addressed through a coordinated response between prescribing, infection prevention, surveillance, diagnostics, public education and antimicrobial stewardship (AMS) (Department of Health and Social Care, 2024; UKHSA, 2025). Within the context of community pharmacy, this framing is significant as the pharmacy is positioned not as a sideline to the AMR control system, but at the front line of the health care system where antibiotic expectations are negotiated between public access, primary care workload and medicine supply and patient education (Lambert et al., 2025; Lee et al., 2025).</w:t>
      </w:r>
    </w:p>
    <w:p w14:paraId="19AC414F" w14:textId="77777777" w:rsidR="00FF19FD" w:rsidRPr="00277198" w:rsidRDefault="00FF19FD" w:rsidP="00FF19FD">
      <w:pPr>
        <w:rPr>
          <w:sz w:val="22"/>
        </w:rPr>
      </w:pPr>
      <w:r w:rsidRPr="00277198">
        <w:rPr>
          <w:sz w:val="22"/>
        </w:rPr>
        <w:t>The UK 2024–2029 AMR action plan highlights other interventions in addition to hospital prescribing, including prevention, appropriate antimicrobial use, surveillance and professional behaviour change (Department of Health and Social Care, 2024; Knowles et al., 2024). While policy ambition does not necessarily equate to action, the prescription and dispensing of a policy is influenced by time, confidence, patient expectations, organisation workload and service design (Borek et al., 2022; Meadows et al., 2025). Thus, it is vital to consider the community setting since it represents a multifaceted environment where the clinical advice, retail visibility, convenience and increasing NHS service functions are valuable and potentially challenging opportunities for AMS (Lambert et al., 2025; Zerbinato et al., 2025).</w:t>
      </w:r>
    </w:p>
    <w:p w14:paraId="00522515" w14:textId="0CBB006F" w:rsidR="00FF19FD" w:rsidRPr="00277198" w:rsidRDefault="00FF19FD" w:rsidP="00FF19FD">
      <w:pPr>
        <w:rPr>
          <w:sz w:val="22"/>
        </w:rPr>
      </w:pPr>
      <w:r w:rsidRPr="00277198">
        <w:rPr>
          <w:sz w:val="22"/>
        </w:rPr>
        <w:t>Antibiotic use is not equitably distributed amongst a variety of populations, conditions or professional groups in UK surveillance and prescribing studies</w:t>
      </w:r>
      <w:r w:rsidR="00CA3406" w:rsidRPr="00277198">
        <w:rPr>
          <w:sz w:val="22"/>
        </w:rPr>
        <w:t xml:space="preserve"> (Dolk et al., 2018; Thomson et al., 2020; Curtis et al., 2019)</w:t>
      </w:r>
      <w:r w:rsidRPr="00277198">
        <w:rPr>
          <w:sz w:val="22"/>
        </w:rPr>
        <w:t>. When assessing stewardship and predicting patterns of AMR, consideration of the variation in antibiotic prescribing across age groups and across sex groups is important (Waterlow et al., 2024), and respiratory virus activity is predictive of antibiotic use across general practice consultations by age and antibiotic class (Miller et al., 2025). Appropriate antibiotic use is critical because this is not solely a reflection of poor professional practice, but also the challenge of making a diagnosis when the illness is viral in nature during a given season, and the difficulty diagnosing bacterial vs. viral illness in community-based service settings (Miller et al., 2025; Waterlow et al., 2024).</w:t>
      </w:r>
    </w:p>
    <w:p w14:paraId="6A653EA3" w14:textId="77777777" w:rsidR="00FF19FD" w:rsidRPr="00277198" w:rsidRDefault="00FF19FD" w:rsidP="00FF19FD">
      <w:pPr>
        <w:rPr>
          <w:sz w:val="22"/>
        </w:rPr>
      </w:pPr>
      <w:r w:rsidRPr="00277198">
        <w:rPr>
          <w:sz w:val="22"/>
        </w:rPr>
        <w:t>There is also evidence of improvement and assurance related to ESPAUR and the importance of surveillance. In addition, NHS England improvement and assurance schemes feature in the broader ESPAUR reporting system (McLeod et al., 2026) and antibiotic usage and resistance are included in a national surveillance programme (UKHSA, 2025). This is helpful to note as sources have documented that stewardship needs to be measurable, auditable and tied to system accountability, and not just encouraged via professional advice. Finally, for community pharmacy, service expansion should go hand in hand with monitoring of what antibiotics are used, what quality of consultations is provided, what referrals are made, and how safe patients are when accessing the service; otherwise, increased service is likely to be hard to distinguish from increased risk (McLeod et al., 2026; UKHSA, 2025).</w:t>
      </w:r>
    </w:p>
    <w:p w14:paraId="4920F345" w14:textId="77777777" w:rsidR="00FF19FD" w:rsidRPr="00277198" w:rsidRDefault="00FF19FD" w:rsidP="00277198">
      <w:pPr>
        <w:pStyle w:val="Heading2"/>
      </w:pPr>
      <w:bookmarkStart w:id="28" w:name="_Toc233990199"/>
      <w:bookmarkStart w:id="29" w:name="_Toc240927951"/>
      <w:r w:rsidRPr="00277198">
        <w:rPr>
          <w:rStyle w:val="Strong"/>
          <w:b/>
          <w:bCs w:val="0"/>
          <w:sz w:val="22"/>
        </w:rPr>
        <w:t>2.4 Antibiotic Prescribing and Dispensing in UK Primary Care</w:t>
      </w:r>
      <w:bookmarkEnd w:id="28"/>
      <w:bookmarkEnd w:id="29"/>
    </w:p>
    <w:p w14:paraId="10217031" w14:textId="35264F16" w:rsidR="00FF19FD" w:rsidRPr="00277198" w:rsidRDefault="00FF19FD" w:rsidP="00FF19FD">
      <w:pPr>
        <w:rPr>
          <w:sz w:val="22"/>
        </w:rPr>
      </w:pPr>
      <w:r w:rsidRPr="00277198">
        <w:rPr>
          <w:sz w:val="22"/>
        </w:rPr>
        <w:t>The understanding of community pharmacy antibiotic practice needs to be taken in the context of more general prescribing trends in primary care</w:t>
      </w:r>
      <w:r w:rsidR="00DE06F8" w:rsidRPr="00277198">
        <w:rPr>
          <w:sz w:val="22"/>
        </w:rPr>
        <w:t xml:space="preserve"> (Pouwels et al., 2018; Smith et al., 2018; Smieszek et al., 2018)</w:t>
      </w:r>
      <w:r w:rsidRPr="00277198">
        <w:rPr>
          <w:sz w:val="22"/>
        </w:rPr>
        <w:t>. McCloskey et al. (2023) identified a shift in antibiotic prescribing practices in primary care during 2014 to 2022, and COVID-19 impacted prescribing for common infections and antibiotic use in England</w:t>
      </w:r>
      <w:r w:rsidR="00247820" w:rsidRPr="00277198">
        <w:rPr>
          <w:sz w:val="22"/>
        </w:rPr>
        <w:t xml:space="preserve"> </w:t>
      </w:r>
      <w:r w:rsidR="00722BF2" w:rsidRPr="00277198">
        <w:rPr>
          <w:sz w:val="22"/>
        </w:rPr>
        <w:t>(Williams et al., 2018; Hayward et al., 2019; Pouwels et al., 2019)</w:t>
      </w:r>
      <w:r w:rsidRPr="00277198">
        <w:rPr>
          <w:sz w:val="22"/>
        </w:rPr>
        <w:t>. The findings point to a disruption in sensitivity of stewardship outcomes, which is important as pharmacy uptake of demand rises as GP access declines (McCloskey et al., 2023; Yang et al., 2023</w:t>
      </w:r>
      <w:r w:rsidR="00ED16DA">
        <w:rPr>
          <w:sz w:val="22"/>
        </w:rPr>
        <w:t>a</w:t>
      </w:r>
      <w:r w:rsidRPr="00277198">
        <w:rPr>
          <w:sz w:val="22"/>
        </w:rPr>
        <w:t>).</w:t>
      </w:r>
    </w:p>
    <w:p w14:paraId="6DD9BE45" w14:textId="77777777" w:rsidR="00FF19FD" w:rsidRPr="00277198" w:rsidRDefault="00FF19FD" w:rsidP="00FF19FD">
      <w:pPr>
        <w:rPr>
          <w:sz w:val="22"/>
        </w:rPr>
      </w:pPr>
      <w:r w:rsidRPr="00277198">
        <w:rPr>
          <w:sz w:val="22"/>
        </w:rPr>
        <w:t>The non-medical prescribing role is dynamic, reflecting the expansion of the practice, which adds to the stewardship picture. Courtenay, Gillespie and Lim (2023) looked at antibiotic prescribing patterns by GPs and nurse independent prescribers in the community and Veillard et al. (2026) reviewed antibiotic prescribing by non-medical healthcare professionals in primary care. These data suggest that antibiotic governance is not strictly medical prescribing and that there is a need for shared antibiotic thresholds, communication channels and training for professionals working in the community to prevent variation in antibiotic thresholds (Courtenay et al., 2023; Veillard et al., 2026).</w:t>
      </w:r>
    </w:p>
    <w:p w14:paraId="55655F4A" w14:textId="77777777" w:rsidR="00FF19FD" w:rsidRPr="00277198" w:rsidRDefault="00FF19FD" w:rsidP="00FF19FD">
      <w:pPr>
        <w:rPr>
          <w:sz w:val="22"/>
        </w:rPr>
      </w:pPr>
      <w:r w:rsidRPr="00277198">
        <w:rPr>
          <w:sz w:val="22"/>
        </w:rPr>
        <w:t>With Pharmacy First expanding, this is topical. Jundi and Elshenawy (2026) measured Pharmacy First using the World Health Organisation AWaRe classification and NICE guideline concordance, suggesting that there are two ways of measuring Pharmacy First: antibiotic selection and guideline concordance. A key implication is that bringing the service to the people is not necessarily anti-stewardship, as it has to be demonstrated that antibiotics would be clinically justified, properly classified, and safety-netted (Bou-Antoun et al., 2024; Jundi and Elshenawy, 2026).</w:t>
      </w:r>
    </w:p>
    <w:p w14:paraId="2D058E66" w14:textId="77777777" w:rsidR="00FF19FD" w:rsidRPr="00277198" w:rsidRDefault="00FF19FD" w:rsidP="00277198">
      <w:pPr>
        <w:pStyle w:val="Heading2"/>
      </w:pPr>
      <w:bookmarkStart w:id="30" w:name="_Toc233990200"/>
      <w:bookmarkStart w:id="31" w:name="_Toc240927952"/>
      <w:r w:rsidRPr="00277198">
        <w:rPr>
          <w:rStyle w:val="Strong"/>
          <w:b/>
          <w:bCs w:val="0"/>
          <w:sz w:val="22"/>
        </w:rPr>
        <w:t>2.5 Community Pharmacy Infection Services and Antibiotic Access</w:t>
      </w:r>
      <w:bookmarkEnd w:id="30"/>
      <w:bookmarkEnd w:id="31"/>
    </w:p>
    <w:p w14:paraId="4934A3D7" w14:textId="7D4D895A" w:rsidR="00FF19FD" w:rsidRPr="00277198" w:rsidRDefault="00FF19FD" w:rsidP="00FF19FD">
      <w:pPr>
        <w:rPr>
          <w:sz w:val="22"/>
        </w:rPr>
      </w:pPr>
      <w:r w:rsidRPr="00277198">
        <w:rPr>
          <w:sz w:val="22"/>
        </w:rPr>
        <w:t>Infection-related services, including sore throat assessment, UTI consultations and UTI point-of-care testing, have been increasingly provided in the community pharmacy setting. The characteristics of STREP management in community pharmacies were later demonstrated in a large-scale study of 11,304 sore throat presentations with good evidence that a test-and-treat sore throat service in pharmacy could impact on patient experience (Mantzourani et al., 2020</w:t>
      </w:r>
      <w:r w:rsidR="00350D89">
        <w:rPr>
          <w:sz w:val="22"/>
        </w:rPr>
        <w:t>b</w:t>
      </w:r>
      <w:r w:rsidRPr="00277198">
        <w:rPr>
          <w:sz w:val="22"/>
        </w:rPr>
        <w:t>; Mantzourani et al., 2022). The aforementioned studies indicate that, despite the ability of pharmacies for structured assessment, questions remain regarding the reduction or merely a shift in antibiotic use from GP settings (Mantzourani et al., 2022; Matuluko et al., 2025).</w:t>
      </w:r>
    </w:p>
    <w:p w14:paraId="037E3F35" w14:textId="4A7E1304" w:rsidR="00FF19FD" w:rsidRPr="00277198" w:rsidRDefault="00FF19FD" w:rsidP="00FF19FD">
      <w:pPr>
        <w:rPr>
          <w:sz w:val="22"/>
        </w:rPr>
      </w:pPr>
      <w:r w:rsidRPr="00277198">
        <w:rPr>
          <w:sz w:val="22"/>
        </w:rPr>
        <w:t>Sore throat services are helpful to use as evidence because while many sore throat cases are self-limiting or viral, they still have high expectations of sore throat. Mantzourani et al. (202</w:t>
      </w:r>
      <w:r w:rsidR="00493A28" w:rsidRPr="00277198">
        <w:rPr>
          <w:sz w:val="22"/>
        </w:rPr>
        <w:t>5</w:t>
      </w:r>
      <w:r w:rsidRPr="00277198">
        <w:rPr>
          <w:sz w:val="22"/>
        </w:rPr>
        <w:t>) compared clinical outcomes following acute sore throat assessment in community pharmacy with general practice, and Matuluko et al. (2025) conducted a natural policy experiment to compare the provision of antibiotics following the assessment of acute sore throat in Welsh and English community pharmacy. While these investigations highlighted the clinical relevance of these pathways, the provision of antibiotics goes beyond just the pharmacy and relies more upon local policy, testing availability and consultation rules (Mantzourani et al., 202</w:t>
      </w:r>
      <w:r w:rsidR="007E0F54">
        <w:rPr>
          <w:sz w:val="22"/>
        </w:rPr>
        <w:t>6</w:t>
      </w:r>
      <w:r w:rsidRPr="00277198">
        <w:rPr>
          <w:sz w:val="22"/>
        </w:rPr>
        <w:t>; Matuluko et al., 2025).</w:t>
      </w:r>
    </w:p>
    <w:p w14:paraId="1D4B8E67" w14:textId="41E82EB4" w:rsidR="00FF19FD" w:rsidRPr="00277198" w:rsidRDefault="00FF19FD" w:rsidP="00FF19FD">
      <w:pPr>
        <w:rPr>
          <w:sz w:val="22"/>
        </w:rPr>
      </w:pPr>
      <w:r w:rsidRPr="00277198">
        <w:rPr>
          <w:sz w:val="22"/>
        </w:rPr>
        <w:t>The same is true for services for urinary tract infection</w:t>
      </w:r>
      <w:r w:rsidR="00722BF2" w:rsidRPr="00277198">
        <w:rPr>
          <w:sz w:val="22"/>
        </w:rPr>
        <w:t xml:space="preserve"> (Ahmed et al., 2018; Croker et al., 2019; Shallcross et al., 2020)</w:t>
      </w:r>
      <w:r w:rsidRPr="00277198">
        <w:rPr>
          <w:sz w:val="22"/>
        </w:rPr>
        <w:t>. Parekh et al. (2023a) assessed patient responses to UTI symptoms in community pharmacies in England, and Mantzourani et al. (2025) looked at the outcomes of 9,077 consultations in a national pilot community pharmacy-led UTI service. As such, this evidence confirms that pharmacies have the potential to become meaningful platforms to tackle a significant proportion of common infections on scale, but also serves as a reminder of the importance of the AMS safeguards: sometimes clinical criteria will be vague, there is a risk of strong antibiotic expectations, and a lack of consistency in clinical criteria application in the pharmacy could lead to inappropriate supply (Mantzourani et al., 2025; Parekh et al., 2023a).</w:t>
      </w:r>
    </w:p>
    <w:p w14:paraId="76A2B718" w14:textId="427396F4" w:rsidR="00FF19FD" w:rsidRPr="00277198" w:rsidRDefault="00FF19FD" w:rsidP="00FF19FD">
      <w:pPr>
        <w:rPr>
          <w:sz w:val="22"/>
        </w:rPr>
      </w:pPr>
      <w:r w:rsidRPr="00277198">
        <w:rPr>
          <w:sz w:val="22"/>
        </w:rPr>
        <w:t>While sometimes described as a way to circumvent diagnostic uncertainty, the literature indicates that POC may be interpreted differently</w:t>
      </w:r>
      <w:r w:rsidR="00895695" w:rsidRPr="00277198">
        <w:rPr>
          <w:sz w:val="22"/>
        </w:rPr>
        <w:t xml:space="preserve"> (Holmes et al., 2018; Little et al., 2021; Mantzourani et al., 2024)</w:t>
      </w:r>
      <w:r w:rsidRPr="00277198">
        <w:rPr>
          <w:sz w:val="22"/>
        </w:rPr>
        <w:t>. In a Northern Ireland community pharmacy pilot, O'Neill et al. (2022) have demonstrated the value of C-reactive protein testing to help guide decision-making. However, testing is not a 'one and done' stewardship solution as it needs to be implemented with staff training, quality control, patient education and protocols for escalation and non-antibiotic advice (Martin et al., 2024; O'Neill et al., 2022).</w:t>
      </w:r>
    </w:p>
    <w:p w14:paraId="5B56FDF7" w14:textId="77777777" w:rsidR="00FF19FD" w:rsidRPr="00277198" w:rsidRDefault="00FF19FD" w:rsidP="00FF19FD">
      <w:pPr>
        <w:rPr>
          <w:sz w:val="22"/>
          <w:lang w:val="en-US"/>
        </w:rPr>
      </w:pPr>
      <w:r w:rsidRPr="00277198">
        <w:rPr>
          <w:sz w:val="22"/>
        </w:rPr>
        <w:t>An additional and important consideration is that there are instances where community pharmacy evidence highlights reach, but fails to grasp opportunity cost. Feasibility and patient acceptance, as demonstrated by high consultation numbers (sore throat or UTI service activity), do not necessarily justify stewardship quality unless antibiotic supply is evaluated by clinical criteria, class/species of antibiotic and follow-up outcomes (Mantzourani et al., 2025; Jundi and Elshenawy, 2026). That's why there is a need to use a service evaluation with an interpretation of behaviour. A service can also have a lower rate of GP appointments but still have an issue relating to AMR, as antibiotics are distributed either where they might not have been needed, or they were given earlier than they should have been. On the flip side, pharmacy pathways can support AMR control by incorporating the structured assessment of the patient's underlying cause, TARGET counselling, AWaRe-informed antibiotic selection, and documented safety-netting (Bou-Antoun et al., 2024; Parekh et al., 2024)</w:t>
      </w:r>
      <w:r w:rsidRPr="00277198">
        <w:rPr>
          <w:sz w:val="22"/>
          <w:lang w:val="en-US"/>
        </w:rPr>
        <w:t>.</w:t>
      </w:r>
    </w:p>
    <w:p w14:paraId="3359DC73" w14:textId="77777777" w:rsidR="00FF19FD" w:rsidRPr="00277198" w:rsidRDefault="00FF19FD" w:rsidP="00277198">
      <w:pPr>
        <w:pStyle w:val="Heading2"/>
      </w:pPr>
      <w:bookmarkStart w:id="32" w:name="_Toc233990201"/>
      <w:bookmarkStart w:id="33" w:name="_Toc240927953"/>
      <w:r w:rsidRPr="00277198">
        <w:t>2.6 Antimicrobial Stewardship Interventions in Community Pharmacy</w:t>
      </w:r>
      <w:bookmarkEnd w:id="32"/>
      <w:bookmarkEnd w:id="33"/>
    </w:p>
    <w:p w14:paraId="196AFAF3" w14:textId="792E27CE" w:rsidR="00FF19FD" w:rsidRPr="00277198" w:rsidRDefault="00FF19FD" w:rsidP="00FF19FD">
      <w:pPr>
        <w:rPr>
          <w:sz w:val="22"/>
        </w:rPr>
      </w:pPr>
      <w:r w:rsidRPr="00277198">
        <w:rPr>
          <w:sz w:val="22"/>
        </w:rPr>
        <w:t>The interventions in community pharmacy that AMS are targeting aim to increase patient counselling, decisions about antibiotics and the confidence of the community pharmacist</w:t>
      </w:r>
      <w:r w:rsidR="00895695" w:rsidRPr="00277198">
        <w:rPr>
          <w:sz w:val="22"/>
        </w:rPr>
        <w:t xml:space="preserve"> (McNulty et al., 2018; Allison et al., 2020; Parekh and Fleming, 2026)</w:t>
      </w:r>
      <w:r w:rsidRPr="00277198">
        <w:rPr>
          <w:sz w:val="22"/>
        </w:rPr>
        <w:t>. The most relevant UK example is PAMSI, as this aimed to change the behaviour of community pharmacy and was subsequently rolled out across England between 2020–2022 (Hayes et al., 2023; NHS England, 2023). This is key as it allows the evidence of national commissioning to shift from being a policy priority to everyday pharmacy work, with quality of implementation differing by Pharmacy (Hayes et al., 2023; Zerbinato et al., 2025).</w:t>
      </w:r>
    </w:p>
    <w:p w14:paraId="382A0795" w14:textId="77777777" w:rsidR="00FF19FD" w:rsidRPr="00277198" w:rsidRDefault="00FF19FD" w:rsidP="00FF19FD">
      <w:pPr>
        <w:rPr>
          <w:sz w:val="22"/>
        </w:rPr>
      </w:pPr>
      <w:r w:rsidRPr="00277198">
        <w:rPr>
          <w:sz w:val="22"/>
        </w:rPr>
        <w:t>Another crucial intervention, the TARGET antibiotic checklist, is also crucial as it provides a framework for patient discussions and promotes safe antibiotic use. Parekh et al. (2023b) explored the use of the TARGET checklist in community pharmacies in England, and Parekh et al. (2024) evaluated a patient counselling prompt. These studies indicate that structured tools can help increase consistency, but that they must be used meaningfully by staff, rather than as compliance tasks, for them to be effective (Parekh et al., 2023b; Parekh et al., 2024).</w:t>
      </w:r>
    </w:p>
    <w:p w14:paraId="3F71A7A9" w14:textId="5E66D671" w:rsidR="00FF19FD" w:rsidRPr="00277198" w:rsidRDefault="00FF19FD" w:rsidP="00FF19FD">
      <w:pPr>
        <w:rPr>
          <w:sz w:val="22"/>
        </w:rPr>
      </w:pPr>
      <w:r w:rsidRPr="00277198">
        <w:rPr>
          <w:sz w:val="22"/>
        </w:rPr>
        <w:t>Leaflets that face the patient are also very important to stewardship</w:t>
      </w:r>
      <w:r w:rsidR="00DE07C5" w:rsidRPr="00277198">
        <w:rPr>
          <w:sz w:val="22"/>
        </w:rPr>
        <w:t xml:space="preserve"> (Hamilton et al., 2024; McNulty et al., 2019; Bou-Antoun et al., 2018)</w:t>
      </w:r>
      <w:r w:rsidRPr="00277198">
        <w:rPr>
          <w:sz w:val="22"/>
        </w:rPr>
        <w:t>. Parekh et al. (2025) evaluated leaflets for respiratory care in the community pharmacy in England; it demonstrates that communication tools can be used to facilitate discussions on self-care, delayed antibiotics and safety-netting. However, leaflets will not be effective in changing patient behaviour unless they are used interactively by pharmacy personnel, who provide patients with advice about alleviating their complaints, informing them of the duration of symptoms, and normalising the management without antibiotics (Parekh et al., 2025; Lee et al., 2025).</w:t>
      </w:r>
    </w:p>
    <w:p w14:paraId="0639D1A5" w14:textId="53CE8558" w:rsidR="00FF19FD" w:rsidRPr="00277198" w:rsidRDefault="00FF19FD" w:rsidP="00FF19FD">
      <w:pPr>
        <w:rPr>
          <w:sz w:val="22"/>
        </w:rPr>
      </w:pPr>
      <w:r w:rsidRPr="00277198">
        <w:rPr>
          <w:sz w:val="22"/>
        </w:rPr>
        <w:t>The AWaRe framework introduces a tier structure with the antibiotic categories Access, Watch and Reserve to inform priorities for antibiotic stewardship</w:t>
      </w:r>
      <w:r w:rsidR="00965A2B" w:rsidRPr="00277198">
        <w:rPr>
          <w:sz w:val="22"/>
        </w:rPr>
        <w:t xml:space="preserve"> (Barnes and Lindström, 2025; Zhong et al., 2023b)</w:t>
      </w:r>
      <w:r w:rsidRPr="00277198">
        <w:rPr>
          <w:sz w:val="22"/>
        </w:rPr>
        <w:t>. The goal of Bou-Antoun et al. (2024) was to adapt the AWaRe to UK national priorities, as community pharmacy prescribing and supply need to be measured not only by the numbers but by the type of antibiotics purchased. Thus, Stewardship in Pharmacies should consider whether services are enhancing the use of narrow-spectrum, guideline-consistent treatments or driving up uptake of wider-spectrum agents (Bou-Antoun et al., 2024; Jundi and Elshenawy, 2026).</w:t>
      </w:r>
    </w:p>
    <w:p w14:paraId="732C52D9" w14:textId="77777777" w:rsidR="00FF19FD" w:rsidRPr="00277198" w:rsidRDefault="00FF19FD" w:rsidP="00277198">
      <w:pPr>
        <w:pStyle w:val="Heading2"/>
        <w:rPr>
          <w:rStyle w:val="Strong"/>
          <w:b/>
          <w:bCs w:val="0"/>
          <w:sz w:val="22"/>
        </w:rPr>
      </w:pPr>
      <w:bookmarkStart w:id="34" w:name="_Toc233990202"/>
      <w:bookmarkStart w:id="35" w:name="_Toc240927954"/>
      <w:r w:rsidRPr="00277198">
        <w:rPr>
          <w:rStyle w:val="Strong"/>
          <w:b/>
          <w:bCs w:val="0"/>
          <w:sz w:val="22"/>
        </w:rPr>
        <w:t>2.7 Knowledge, Attitudes and Training of Pharmacy Staff</w:t>
      </w:r>
      <w:bookmarkEnd w:id="34"/>
      <w:bookmarkEnd w:id="35"/>
    </w:p>
    <w:p w14:paraId="0673399C" w14:textId="514CA6F2" w:rsidR="00FF19FD" w:rsidRPr="00277198" w:rsidRDefault="00FF19FD" w:rsidP="00FF19FD">
      <w:pPr>
        <w:rPr>
          <w:sz w:val="22"/>
        </w:rPr>
      </w:pPr>
      <w:r w:rsidRPr="00277198">
        <w:rPr>
          <w:sz w:val="22"/>
        </w:rPr>
        <w:t>Knowledge and attitudes play a very important role in AMR practice as pharmacists and other health care providers frequently need to provide a rationale for the failure to prescribe antibiotics, for antibiotic refusal, delay and substitution with self-care</w:t>
      </w:r>
      <w:r w:rsidR="00DE07C5" w:rsidRPr="00277198">
        <w:rPr>
          <w:sz w:val="22"/>
        </w:rPr>
        <w:t xml:space="preserve"> (Jones et al., 2018; Tonna et al., 2020; Lakha et al., 2024)</w:t>
      </w:r>
      <w:r w:rsidRPr="00277198">
        <w:rPr>
          <w:sz w:val="22"/>
        </w:rPr>
        <w:t>. Ashiru-Oredope et al. (2022) studied the knowledge and attitudes of 2,404 UK healthcare workers; Tang et al. (2025) compared national data of healthcare workers in 2019 and 2024. The results of these studies indicate that awareness of AMR is present, but awareness alone is not sufficient to ensure behaviour change; communication skills and confidence among professionals in applying stewardship under pressure are still needed (Ashiru-Oredope et al., 2022; Tang et al., 2025).</w:t>
      </w:r>
    </w:p>
    <w:p w14:paraId="0D75C302" w14:textId="77777777" w:rsidR="00FF19FD" w:rsidRPr="00277198" w:rsidRDefault="00FF19FD" w:rsidP="00FF19FD">
      <w:pPr>
        <w:rPr>
          <w:sz w:val="22"/>
        </w:rPr>
      </w:pPr>
      <w:r w:rsidRPr="00277198">
        <w:rPr>
          <w:sz w:val="22"/>
        </w:rPr>
        <w:t>To specifically look at the knowledge, attitudes and behaviour of pharmacy workers in the UK towards AMS and the effect of training, Seaton et al. (2022) did so. They are important because the study has shown that the pharmacy team, which includes counter staff and technicians, have a role to play in AMR prevention, and their own role is outside the scope of the pharmacist's work (Seaton et al., 2022; Martin et al., 2024). This team-based view is crucial given that inappropriate demands for antibiotics can be initiated at the first point of care, particularly for management of a sore throat, cough and/or urinary symptoms (Parekh et al., 2023a; Parekh et al., 2025).</w:t>
      </w:r>
    </w:p>
    <w:p w14:paraId="79C6D314" w14:textId="7ABA01CB" w:rsidR="00FF19FD" w:rsidRPr="00277198" w:rsidRDefault="00FF19FD" w:rsidP="00FF19FD">
      <w:pPr>
        <w:rPr>
          <w:sz w:val="22"/>
        </w:rPr>
      </w:pPr>
      <w:r w:rsidRPr="00277198">
        <w:rPr>
          <w:sz w:val="22"/>
        </w:rPr>
        <w:t>AMS education training support for UK community pharmacists, suggesting training needs to be specific to community pharmacist settings in the community and not generic AMR information</w:t>
      </w:r>
      <w:r w:rsidR="0066183B" w:rsidRPr="00277198">
        <w:rPr>
          <w:sz w:val="22"/>
        </w:rPr>
        <w:t xml:space="preserve"> (Ng et al., 2021; Allison et al., 2020; Ashiru-Oredope et al., 2021)</w:t>
      </w:r>
      <w:r w:rsidRPr="00277198">
        <w:rPr>
          <w:sz w:val="22"/>
        </w:rPr>
        <w:t>. A similar recent study by Meadows et al. (2025) looked at factors affecting the level of uptake and implementation of an AMS training programme for primary-care providers in England, noting that it is related to practical fit, professional motivation and organisational conditions. The results are a challenge to the notion that more information equals better stewardship, as training needs to be focused on capability, opportunity, and motivation (Martin et al., 2024; Meadows et al., 2025).</w:t>
      </w:r>
    </w:p>
    <w:p w14:paraId="5B9C9EAD" w14:textId="7E4D472E" w:rsidR="00FF19FD" w:rsidRPr="00277198" w:rsidRDefault="00FF19FD" w:rsidP="00FF19FD">
      <w:pPr>
        <w:rPr>
          <w:sz w:val="22"/>
        </w:rPr>
      </w:pPr>
      <w:r w:rsidRPr="00277198">
        <w:rPr>
          <w:sz w:val="22"/>
        </w:rPr>
        <w:t>Behavioural theory has also been proven to be helpful in education interventions. Hayes et al. (2021) created and trialled an AMR education programme for youth groups in England and Scotland that went beyond awareness and knowledge; they considered the capacity, opportunity and motivation of the target groups. While this study was not focused on pharmacy staff, it is a theoretical study that is relevant as patients' expectations and understanding will have an impact on pharmacy consultations, and thus on antibiotic demand (Hayes et al., 2021; Borek et al., 2022</w:t>
      </w:r>
      <w:r w:rsidR="00682198" w:rsidRPr="00277198">
        <w:rPr>
          <w:sz w:val="22"/>
        </w:rPr>
        <w:t>; Turner et al., 2025</w:t>
      </w:r>
      <w:r w:rsidRPr="00277198">
        <w:rPr>
          <w:sz w:val="22"/>
        </w:rPr>
        <w:t>).</w:t>
      </w:r>
    </w:p>
    <w:p w14:paraId="29A9B456" w14:textId="77777777" w:rsidR="00FF19FD" w:rsidRPr="00277198" w:rsidRDefault="00FF19FD" w:rsidP="00277198">
      <w:pPr>
        <w:pStyle w:val="Heading2"/>
      </w:pPr>
      <w:bookmarkStart w:id="36" w:name="_Toc233990203"/>
      <w:bookmarkStart w:id="37" w:name="_Toc240927955"/>
      <w:r w:rsidRPr="00277198">
        <w:rPr>
          <w:rStyle w:val="Strong"/>
          <w:b/>
          <w:bCs w:val="0"/>
          <w:sz w:val="22"/>
        </w:rPr>
        <w:t>2.8 Behavioural and Organisational Factors Influencing Antibiotic Supply</w:t>
      </w:r>
      <w:bookmarkEnd w:id="36"/>
      <w:bookmarkEnd w:id="37"/>
    </w:p>
    <w:p w14:paraId="0F27507F" w14:textId="5F50B997" w:rsidR="00FF19FD" w:rsidRPr="00277198" w:rsidRDefault="00FF19FD" w:rsidP="00FF19FD">
      <w:pPr>
        <w:rPr>
          <w:sz w:val="22"/>
        </w:rPr>
      </w:pPr>
      <w:r w:rsidRPr="00277198">
        <w:rPr>
          <w:sz w:val="22"/>
        </w:rPr>
        <w:t>Behavioural science is helpful because antibiotic decisions are not technical</w:t>
      </w:r>
      <w:r w:rsidR="00520D38" w:rsidRPr="00277198">
        <w:rPr>
          <w:sz w:val="22"/>
        </w:rPr>
        <w:t xml:space="preserve"> (Borek et al., 2020; Anyanwu et al., 2020; Anyanwu et al., 2021)</w:t>
      </w:r>
      <w:r w:rsidRPr="00277198">
        <w:rPr>
          <w:sz w:val="22"/>
        </w:rPr>
        <w:t>. Borek and colleagues (2022) suggest that behavioural science can help augment the qualitative AMS research because it can explain the role of context, beliefs, social norms and environmental constraints on practice. This is particularly pertinent in community pharmacies, where patients may demand the dispensing of a medicine, but due to complaints, professional responsibility, or the pressure of time, staff shortages and uncertainty over escalation pathways, these medicines may be dispensed (Borek et al., 2022; Lee et al., 2025).</w:t>
      </w:r>
    </w:p>
    <w:p w14:paraId="7247DB32" w14:textId="77777777" w:rsidR="00FF19FD" w:rsidRPr="00277198" w:rsidRDefault="00FF19FD" w:rsidP="00FF19FD">
      <w:pPr>
        <w:rPr>
          <w:sz w:val="22"/>
        </w:rPr>
      </w:pPr>
      <w:r w:rsidRPr="00277198">
        <w:rPr>
          <w:sz w:val="22"/>
        </w:rPr>
        <w:t>Another major issue is that of interprofessional communication. Lee et al. (2025) examined community pharmacy professionals' and GPs' perspectives on primary-care communication and access to antibiotics in England and found that antibiotic decision-making in community pharmacies is a part of the relationship between patients, pharmacists and general practice. Strong pathways can contribute to safer referral, shared expectations and coherent stewardship (Lee et al., 2025; Lambert et al., 2025), and poor communication can add uncertainty, or cause consultation duplication or mixed messages.</w:t>
      </w:r>
    </w:p>
    <w:p w14:paraId="49B0FCCF" w14:textId="77777777" w:rsidR="00FF19FD" w:rsidRPr="00277198" w:rsidRDefault="00FF19FD" w:rsidP="00FF19FD">
      <w:pPr>
        <w:rPr>
          <w:sz w:val="22"/>
        </w:rPr>
      </w:pPr>
      <w:r w:rsidRPr="00277198">
        <w:rPr>
          <w:sz w:val="22"/>
        </w:rPr>
        <w:t>Also, the workload of the organisation is a factor. The impact of AMS tools can be reduced if they are designed well, but not available and not given enough time in a busy pharmacy. Zerbinato, Cunningham and Tonna (2025) looked at AMS interventions with community-pharmacy teams and concluded that the community-pharmacy workforce is a necessary component of stewardship delivery, but is underpinned by a diverse evidence base and is subject to context-specific implementation. This aligns with a critical view, where community pharmacies can play a role in the fight against AMR, but not unless the system is working to support clinical practice, not for the individual professional (Zerbinato et al., 2025; NHS England, 2023).</w:t>
      </w:r>
    </w:p>
    <w:p w14:paraId="25DF5D8E" w14:textId="77777777" w:rsidR="00FF19FD" w:rsidRPr="00277198" w:rsidRDefault="00FF19FD" w:rsidP="00277198">
      <w:pPr>
        <w:pStyle w:val="Heading2"/>
      </w:pPr>
      <w:bookmarkStart w:id="38" w:name="_Toc233990204"/>
      <w:bookmarkStart w:id="39" w:name="_Toc240927956"/>
      <w:r w:rsidRPr="00277198">
        <w:rPr>
          <w:rStyle w:val="Strong"/>
          <w:b/>
          <w:bCs w:val="0"/>
          <w:sz w:val="22"/>
        </w:rPr>
        <w:t>2.9 Patient Communication, Public Expectations and Safety-Netting</w:t>
      </w:r>
      <w:bookmarkEnd w:id="38"/>
      <w:bookmarkEnd w:id="39"/>
    </w:p>
    <w:p w14:paraId="0514C796" w14:textId="1D5C227A" w:rsidR="00FF19FD" w:rsidRPr="00277198" w:rsidRDefault="00FF19FD" w:rsidP="00FF19FD">
      <w:pPr>
        <w:rPr>
          <w:sz w:val="22"/>
        </w:rPr>
      </w:pPr>
      <w:r w:rsidRPr="00277198">
        <w:rPr>
          <w:sz w:val="22"/>
        </w:rPr>
        <w:t>Communication is a key part of antibiotic stewardship; this is because sometimes inappropriate use is fueled by the expectation that antibiotics are a faster and/or required remedy for common infections</w:t>
      </w:r>
      <w:r w:rsidR="00003259" w:rsidRPr="00277198">
        <w:rPr>
          <w:sz w:val="22"/>
        </w:rPr>
        <w:t xml:space="preserve"> (Boiko et al., 2020; Roope et al., 2020; Morrell et al., 2021)</w:t>
      </w:r>
      <w:r w:rsidRPr="00277198">
        <w:rPr>
          <w:sz w:val="22"/>
        </w:rPr>
        <w:t>. Pharmacy professionals should communicate to patients about symptom duration, red flags, guidance for self-care, guidelines for antibiotic decisions, and when to seek further medical care, and uphold patient satisfaction and trust (Parekh et al., 2025; Seaton et al., 2022). This is challenging in community pharmacies as consultations can take place in high-throughput retail settings and privacy, time, and continuity may be limited (Martin et al., 2024; Lambert et al., 2025).</w:t>
      </w:r>
    </w:p>
    <w:p w14:paraId="09398569" w14:textId="77777777" w:rsidR="00FF19FD" w:rsidRPr="00277198" w:rsidRDefault="00FF19FD" w:rsidP="00FF19FD">
      <w:pPr>
        <w:rPr>
          <w:sz w:val="22"/>
        </w:rPr>
      </w:pPr>
      <w:r w:rsidRPr="00277198">
        <w:rPr>
          <w:sz w:val="22"/>
        </w:rPr>
        <w:t>The Literature indicates a greater degree of effectiveness when communication is used in the context of conversation, rather than information. The TARGET checklist and the TYI leaflets are helpful resources that support the structuring of advice and document antibiotic-related counselling and require professional judgement and explanation based on the person's context (Parekh et al., 2023b; Parekh et al., 2025). Stewardship is thus a relational process, not just an outcome of stewardship (Lee et al., 2025; Borek et al., 2022).</w:t>
      </w:r>
    </w:p>
    <w:p w14:paraId="7EBFBE4B" w14:textId="364DA822" w:rsidR="00FF19FD" w:rsidRPr="00277198" w:rsidRDefault="00FF19FD" w:rsidP="00FF19FD">
      <w:pPr>
        <w:rPr>
          <w:sz w:val="22"/>
        </w:rPr>
      </w:pPr>
      <w:r w:rsidRPr="00277198">
        <w:rPr>
          <w:sz w:val="22"/>
        </w:rPr>
        <w:t>The debate is complicated additionally by Patient Experience evidence. Patients appreciated sore throat test and treat at the Pharmacy (Mantzourani et al., 2020</w:t>
      </w:r>
      <w:r w:rsidR="00350D89">
        <w:rPr>
          <w:sz w:val="22"/>
        </w:rPr>
        <w:t>a</w:t>
      </w:r>
      <w:r w:rsidRPr="00277198">
        <w:rPr>
          <w:sz w:val="22"/>
        </w:rPr>
        <w:t>), and patient reported outcomes from UTI consultations (Mantzourani et al., 2025). While availability of services may play a role in minimising delays and enhancing individuals' confidence in the care they receive within community settings, high satisfaction does not necessarily imply good stewardship, as it does not consider the antibiotic decision and clinical justification (Mantzourani et al., 2020</w:t>
      </w:r>
      <w:r w:rsidR="00350D89">
        <w:rPr>
          <w:sz w:val="22"/>
        </w:rPr>
        <w:t>b</w:t>
      </w:r>
      <w:r w:rsidRPr="00277198">
        <w:rPr>
          <w:sz w:val="22"/>
        </w:rPr>
        <w:t>; Mantzourani et al., 2025).</w:t>
      </w:r>
    </w:p>
    <w:p w14:paraId="1CF44972" w14:textId="77777777" w:rsidR="00FF19FD" w:rsidRPr="00277198" w:rsidRDefault="00FF19FD" w:rsidP="00FF19FD">
      <w:pPr>
        <w:rPr>
          <w:sz w:val="22"/>
        </w:rPr>
      </w:pPr>
      <w:r w:rsidRPr="00277198">
        <w:rPr>
          <w:sz w:val="22"/>
        </w:rPr>
        <w:t>In general, the Literature supports a 'balanced' view where community pharmacies would not be considered a problem per se, but as their role in the distribution of antibiotics and their accessibility increases, it changes who or where is responsible for antibiotic stewardship. The review therefore requires examining how service design, staff behaviour and patient demand play into each other, rather than thinking that the more available and the more protected the access is, the more protected the AMR is (Lambert et al., 2025; Lee et al., 2025).</w:t>
      </w:r>
    </w:p>
    <w:p w14:paraId="62B25A2D" w14:textId="77777777" w:rsidR="00FF19FD" w:rsidRPr="00277198" w:rsidRDefault="00FF19FD" w:rsidP="00277198">
      <w:pPr>
        <w:pStyle w:val="Heading2"/>
      </w:pPr>
      <w:bookmarkStart w:id="40" w:name="_Toc233990205"/>
      <w:bookmarkStart w:id="41" w:name="_Toc240928030"/>
      <w:r w:rsidRPr="00277198">
        <w:rPr>
          <w:rStyle w:val="Strong"/>
          <w:color w:val="0E101A"/>
          <w:sz w:val="22"/>
        </w:rPr>
        <w:t>2.10 Gaps in the Literature</w:t>
      </w:r>
      <w:bookmarkEnd w:id="40"/>
      <w:bookmarkEnd w:id="41"/>
    </w:p>
    <w:p w14:paraId="6F3A604A" w14:textId="4C1501A3" w:rsidR="00FF19FD" w:rsidRPr="00277198" w:rsidRDefault="00FF19FD" w:rsidP="00FF19FD">
      <w:pPr>
        <w:rPr>
          <w:sz w:val="22"/>
        </w:rPr>
      </w:pPr>
      <w:r w:rsidRPr="00277198">
        <w:rPr>
          <w:sz w:val="22"/>
        </w:rPr>
        <w:t>There is robust evidence in the Literature of the ability of UK community pharmacies to assist with AMS using a structured service, checklists, training and PO</w:t>
      </w:r>
      <w:r w:rsidR="00EB7A68">
        <w:rPr>
          <w:sz w:val="22"/>
        </w:rPr>
        <w:t>C</w:t>
      </w:r>
      <w:r w:rsidRPr="00277198">
        <w:rPr>
          <w:sz w:val="22"/>
        </w:rPr>
        <w:t xml:space="preserve"> and national quality schemes</w:t>
      </w:r>
      <w:r w:rsidR="00003259" w:rsidRPr="00277198">
        <w:rPr>
          <w:sz w:val="22"/>
        </w:rPr>
        <w:t xml:space="preserve"> (Van Staa et al., 2022; Marwick et al., 2022)</w:t>
      </w:r>
      <w:r w:rsidRPr="00277198">
        <w:rPr>
          <w:sz w:val="22"/>
        </w:rPr>
        <w:t>. However, there is a lack of synthesis of qualitative evidence regarding the experience of staff in the Pharmacy in antibiotic-related decision-making in the following contexts: Sore throat, UTI symptoms, Pharmacy First pathway and AMS counselling (Hayes et al., 2023; Zerbinato et al., 2025). There is a lot of evidence to date that correlates consultations with outputs of that consultation, such as prescriptions or services, but fewer studies grapple with how confidence in the profession, workload, patient expectations and interprofessional communication feed into the decision-making process (Lee et al., 2025; Martin et al., 2024).</w:t>
      </w:r>
    </w:p>
    <w:p w14:paraId="2D8CDEF6" w14:textId="77777777" w:rsidR="00FF19FD" w:rsidRPr="00277198" w:rsidRDefault="00FF19FD" w:rsidP="00FF19FD">
      <w:pPr>
        <w:rPr>
          <w:sz w:val="22"/>
        </w:rPr>
      </w:pPr>
      <w:r w:rsidRPr="00277198">
        <w:rPr>
          <w:sz w:val="22"/>
        </w:rPr>
        <w:t>The second gap is between the national-level policy and what happens in practice. There are no implementation plans in the Literature that outline the necessary local workflow, staffing, training uptake and consultation design needed to implement the UK AMR action plan and NHS quality schemes (Department of Health and Social Care, 2024; Meadows et al., 2025). This implies that tools like AWaRe, TARGET or PQS don't guarantee a successful policy—the success must be measured by the way the tool is deployed in the real world of a pharmacy encounter (Bou-Antoun et al., 2024; Parekh et al., 2024).</w:t>
      </w:r>
    </w:p>
    <w:p w14:paraId="10524263" w14:textId="77777777" w:rsidR="00FF19FD" w:rsidRPr="00277198" w:rsidRDefault="00FF19FD" w:rsidP="00FF19FD">
      <w:pPr>
        <w:rPr>
          <w:sz w:val="22"/>
        </w:rPr>
      </w:pPr>
      <w:r w:rsidRPr="00277198">
        <w:rPr>
          <w:sz w:val="22"/>
        </w:rPr>
        <w:t>A third gap relates to theory. Behavioural science is recommended for qualitative AMS research, and COM-B has been applied in educational interventions on antibiotics; however, only a few pharmacy studies have applied these in a comprehensive manner within a behavioural context (Borek et al., 2022; Hayes et al., 2021). This dissertation thus has a rationale for applying COM-B to explain the reasons for, and against, antibiotic prescribing and dispensing practices being influenced by COM-B factors (Borek et al., 2022; Martin et al., 2024).</w:t>
      </w:r>
    </w:p>
    <w:p w14:paraId="3EC97A3A" w14:textId="77777777" w:rsidR="00FF19FD" w:rsidRPr="00277198" w:rsidRDefault="00FF19FD" w:rsidP="00277198">
      <w:pPr>
        <w:pStyle w:val="Heading2"/>
      </w:pPr>
      <w:bookmarkStart w:id="42" w:name="_Toc233990206"/>
      <w:bookmarkStart w:id="43" w:name="_Toc240928031"/>
      <w:r w:rsidRPr="00277198">
        <w:t>2.11 Theoretical Framework</w:t>
      </w:r>
      <w:bookmarkEnd w:id="42"/>
      <w:bookmarkEnd w:id="43"/>
    </w:p>
    <w:p w14:paraId="5262C7A1" w14:textId="77777777" w:rsidR="00FF19FD" w:rsidRPr="00277198" w:rsidRDefault="00FF19FD" w:rsidP="00FF19FD">
      <w:pPr>
        <w:rPr>
          <w:sz w:val="22"/>
        </w:rPr>
      </w:pPr>
      <w:r w:rsidRPr="00277198">
        <w:rPr>
          <w:sz w:val="22"/>
        </w:rPr>
        <w:t>Theories used to underpin this review will be largely COM-B, which describes behaviour in terms of capability, opportunity and motivation. The term capability' relates to what is visible in the studies, such as that of the pharmacy workers' AMS training, healthcare workers' AMR awareness and AMS education required by community pharmacists (Ashiru-Oredope et al., 2022; Seaton et al., 2022). Opportunity is defined as the environment and social circumstances of successful implementation, including access to consultation rooms, time, staff, GP communication and diagnostic support (Lee et al., 2025; O'Neill et al., 2022). Motivation is defined as professional beliefs, patient dissatisfaction, perceived responsibility, and confidence in denying antibiotics, as well as being committed to stewardship objectives (Borek et al., 2022; Meadows et al., 2025).</w:t>
      </w:r>
    </w:p>
    <w:p w14:paraId="32914D0C" w14:textId="77777777" w:rsidR="00FF19FD" w:rsidRPr="00277198" w:rsidRDefault="00FF19FD" w:rsidP="00FF19FD">
      <w:pPr>
        <w:rPr>
          <w:sz w:val="22"/>
        </w:rPr>
      </w:pPr>
      <w:r w:rsidRPr="00277198">
        <w:rPr>
          <w:sz w:val="22"/>
        </w:rPr>
        <w:t>The use of COM-B has been deemed appropriate due to the fact that it does not blame pharmacists for the inappropriate use of antibiotics; it identifies the agency of the professional. For instance, although a pharmacist is knowledgeable of AMR, they may lack the ability to implement stewardship if the Pharmacy is staffed down and the patient insists on taking antibiotics, GP feedback is limited, and the service pathway incentivises speed over depth of counselling (Martin et al., 2024; Lee et al., 2025). The theory, therefore, is appropriate to the dissertation's emphasis on the role that antibiotic prescribing and dispensing behaviours can play in the development of AMR, both behaviourally and structurally (Borek et al., 2022; Department of Health and Social Care, 2024).</w:t>
      </w:r>
    </w:p>
    <w:p w14:paraId="0B458BDF" w14:textId="77777777" w:rsidR="00FF19FD" w:rsidRPr="00277198" w:rsidRDefault="00FF19FD" w:rsidP="00FF19FD">
      <w:pPr>
        <w:rPr>
          <w:sz w:val="22"/>
        </w:rPr>
      </w:pPr>
      <w:r w:rsidRPr="00277198">
        <w:rPr>
          <w:sz w:val="22"/>
        </w:rPr>
        <w:t>It will also draw on information from the Theory of Planned Behaviour, including attitudes, subjective norms and perceived behavioural control. Attitudes of the pharmacy staff towards antibiotics and resistance influence AMS; subjective norms are based on patients' expectations and the broader professional culture; and perceived behavioural control is related to whether or not staff feel they have the capacity to refuse, delay, counsel or refer safely (Ashiru-Oredope et al., 2022; Tang et al., 2025). Encounters in the Pharmacy are about social pressure, not only clinical reasoning (Borek et al., 2021; Parekh et al., 2025), which is why it is useful to have this supporting theory.</w:t>
      </w:r>
    </w:p>
    <w:p w14:paraId="06139A92" w14:textId="77777777" w:rsidR="00FF19FD" w:rsidRPr="00277198" w:rsidRDefault="00FF19FD" w:rsidP="00FF19FD">
      <w:pPr>
        <w:rPr>
          <w:sz w:val="22"/>
          <w:lang w:val="en-US"/>
        </w:rPr>
      </w:pPr>
      <w:r w:rsidRPr="00277198">
        <w:rPr>
          <w:sz w:val="22"/>
          <w:lang w:val="en-US"/>
        </w:rPr>
        <w:t>Figure 2.1: Theoretical Framework Linking Community Pharmacy Antibiotic Practice and AMR Risk</w:t>
      </w:r>
    </w:p>
    <w:p w14:paraId="391D7B20" w14:textId="77777777" w:rsidR="00FF19FD" w:rsidRPr="00277198" w:rsidRDefault="00FF19FD" w:rsidP="00FF19FD">
      <w:pPr>
        <w:rPr>
          <w:sz w:val="22"/>
          <w:lang w:val="en-US"/>
        </w:rPr>
      </w:pPr>
      <w:r w:rsidRPr="00277198">
        <w:rPr>
          <w:noProof/>
          <w:sz w:val="22"/>
          <w:lang w:val="en-US"/>
        </w:rPr>
        <w:drawing>
          <wp:inline distT="0" distB="0" distL="0" distR="0" wp14:anchorId="258E5C61" wp14:editId="617AB36D">
            <wp:extent cx="5943600" cy="3257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5943600" cy="3257550"/>
                    </a:xfrm>
                    <a:prstGeom prst="rect">
                      <a:avLst/>
                    </a:prstGeom>
                    <a:noFill/>
                    <a:ln>
                      <a:noFill/>
                    </a:ln>
                    <a:extLst>
                      <a:ext uri="{53640926-AAD7-44D8-BBD7-CCE9431645EC}">
                        <a14:shadowObscured xmlns:a14="http://schemas.microsoft.com/office/drawing/2010/main"/>
                      </a:ext>
                    </a:extLst>
                  </pic:spPr>
                </pic:pic>
              </a:graphicData>
            </a:graphic>
          </wp:inline>
        </w:drawing>
      </w:r>
    </w:p>
    <w:p w14:paraId="3B095B48" w14:textId="77777777" w:rsidR="00FF19FD" w:rsidRPr="00277198" w:rsidRDefault="00FF19FD" w:rsidP="00FF19FD">
      <w:pPr>
        <w:rPr>
          <w:rFonts w:ascii="Times New Roman" w:hAnsi="Times New Roman"/>
          <w:sz w:val="22"/>
          <w:lang w:val="en-US"/>
        </w:rPr>
      </w:pPr>
      <w:r w:rsidRPr="00277198">
        <w:rPr>
          <w:sz w:val="22"/>
        </w:rPr>
        <w:t>Figure 2.1. Pharmacy services can contribute to boost AMS, if supported by training, a structured framework, diagnostic pathways and interprofessional communication (Hayes et al., 2023; Zerbinato et al., 2025); avoidable antibiotic supply may occur when weak due to workload, uncertainty or pressure. The framework is therefore also appropriate for the themes in Chapter 4 and the discussion in Chapter 5, as it connects individual behaviour, service design and service AMR policy consequences (Borek et al., 2022; Department of Health and Social Care, 2024).</w:t>
      </w:r>
    </w:p>
    <w:p w14:paraId="70FFBF22" w14:textId="77777777" w:rsidR="00FF19FD" w:rsidRPr="00277198" w:rsidRDefault="00FF19FD" w:rsidP="00277198">
      <w:pPr>
        <w:pStyle w:val="Heading2"/>
      </w:pPr>
      <w:bookmarkStart w:id="44" w:name="_Toc233990207"/>
      <w:bookmarkStart w:id="45" w:name="_Toc240928032"/>
      <w:r w:rsidRPr="00277198">
        <w:rPr>
          <w:rStyle w:val="Strong"/>
          <w:b/>
          <w:bCs w:val="0"/>
          <w:sz w:val="22"/>
        </w:rPr>
        <w:t>2.12 Summary of the Chapter</w:t>
      </w:r>
      <w:bookmarkEnd w:id="44"/>
      <w:bookmarkEnd w:id="45"/>
    </w:p>
    <w:p w14:paraId="52A37093" w14:textId="5AF862DB" w:rsidR="00FF19FD" w:rsidRPr="00277198" w:rsidRDefault="00FF19FD" w:rsidP="00171C77">
      <w:pPr>
        <w:rPr>
          <w:sz w:val="22"/>
        </w:rPr>
      </w:pPr>
      <w:r w:rsidRPr="00277198">
        <w:rPr>
          <w:sz w:val="22"/>
        </w:rPr>
        <w:t>The evidence presented in this chapter comprises AMR, trends in antibiotics in UK primary care, community pharmacy infection services, AMR stewardship interventions, AMR staff knowledge, AMR behavioural influences, AMR patient communication, and AMR implementation gaps. The Literature highlighted several tools (PAMSI, TARGET, PQS, point-of-care testing, and structured infection pathway) with the potential to enhance access and assist in antibiotic safety in community pharmacies. There were, however, important risks identified during the review, related to patient expectations, diagnostic uncertainty, variable training, and workload and communication issues between the Pharmacy and general. Therefore, COM-B, based on the concepts of behaviour science and planned behaviours, was used as a theoretical framework for the qualitative systematic review of how prescribing and dispensing practices might impact AMR in UK community pharmacies, as it was deemed to be suitable for this analysis.</w:t>
      </w:r>
    </w:p>
    <w:p w14:paraId="4445C7A3" w14:textId="32B8E28B" w:rsidR="006F1B12" w:rsidRPr="00277198" w:rsidRDefault="005A7C36" w:rsidP="00277198">
      <w:pPr>
        <w:pStyle w:val="Heading1"/>
      </w:pPr>
      <w:bookmarkStart w:id="46" w:name="_Toc237277556"/>
      <w:bookmarkStart w:id="47" w:name="_Toc240928033"/>
      <w:r w:rsidRPr="00277198">
        <w:t>CHAPTER 3: METHODOLOGY</w:t>
      </w:r>
      <w:bookmarkEnd w:id="46"/>
      <w:bookmarkEnd w:id="47"/>
    </w:p>
    <w:p w14:paraId="44089B45" w14:textId="77777777" w:rsidR="006F1B12" w:rsidRPr="00277198" w:rsidRDefault="006F1B12" w:rsidP="00277198">
      <w:pPr>
        <w:pStyle w:val="Heading2"/>
      </w:pPr>
      <w:bookmarkStart w:id="48" w:name="_Toc237277557"/>
      <w:bookmarkStart w:id="49" w:name="_Toc240928034"/>
      <w:r w:rsidRPr="00277198">
        <w:t>3.1 Introduction</w:t>
      </w:r>
      <w:bookmarkEnd w:id="48"/>
      <w:bookmarkEnd w:id="49"/>
    </w:p>
    <w:p w14:paraId="193984DA" w14:textId="77777777" w:rsidR="006F1B12" w:rsidRPr="00277198" w:rsidRDefault="006F1B12" w:rsidP="006F1B12">
      <w:pPr>
        <w:spacing w:after="0"/>
        <w:rPr>
          <w:sz w:val="22"/>
        </w:rPr>
      </w:pPr>
      <w:r w:rsidRPr="00277198">
        <w:rPr>
          <w:sz w:val="22"/>
        </w:rPr>
        <w:t>This chapter outlines the approach taken to address the review question: What can be done to inform the potential role of community pharmacy and antibiotic prescribing and dispensing in the development of antimicrobial resistance in the United Kingdom, and what measures are in place to address this, and what other measures are needed? It provides a philosophical stance, design for the review, search and selection of literature, critical appraisal, data extraction, synthesis and ethical protections. The method was designed according to the PRISMA 2020, which is the explanation and elaboration of the PRISMA guideline, and reported according to the steps such that the process from identifying the records to including the articles in the study is transparent and reproducible.</w:t>
      </w:r>
    </w:p>
    <w:p w14:paraId="4EAA706B" w14:textId="77777777" w:rsidR="006F1B12" w:rsidRPr="00277198" w:rsidRDefault="006F1B12" w:rsidP="00277198">
      <w:pPr>
        <w:pStyle w:val="Heading2"/>
      </w:pPr>
      <w:bookmarkStart w:id="50" w:name="_Toc237277558"/>
      <w:bookmarkStart w:id="51" w:name="_Toc240928035"/>
      <w:r w:rsidRPr="00277198">
        <w:t>3.2 Research Philosophy</w:t>
      </w:r>
      <w:bookmarkEnd w:id="50"/>
      <w:bookmarkEnd w:id="51"/>
    </w:p>
    <w:p w14:paraId="7BA78ECF" w14:textId="77777777" w:rsidR="006F1B12" w:rsidRPr="00277198" w:rsidRDefault="006F1B12" w:rsidP="006F1B12">
      <w:pPr>
        <w:spacing w:after="0"/>
        <w:rPr>
          <w:sz w:val="22"/>
        </w:rPr>
      </w:pPr>
      <w:r w:rsidRPr="00277198">
        <w:rPr>
          <w:sz w:val="22"/>
        </w:rPr>
        <w:t>The review was given an open-minded, interpretive approach. Appropriateness was justified because the dissertation tackles an applied public-health issue and seeks evidence of what happens in practice and how pharmacists, members of the pharmacist profession, patients and primary-care partners explain what happens in practice (Tong et al., 2012; Page et al., 2021a; Page et al., 2021b). The interpretive element acknowledges that prescriptions, dispensing, counselling and/or referral are not simply neutral events, but are situated within a social context. The situation of professional confidence, commercial pressure, diagnostic uncertainty and patient expectation should be interpreted as part of the picture. This role aligns with qualitative evidence synthesis, where the process involves synthesising conceptual meaning from studies, while maintaining a focus on the studies' contexts (Dixon-Woods et al., 2006; Noyes et al., 2024).</w:t>
      </w:r>
    </w:p>
    <w:p w14:paraId="661EA883" w14:textId="77777777" w:rsidR="006F1B12" w:rsidRPr="00277198" w:rsidRDefault="006F1B12" w:rsidP="006F1B12">
      <w:pPr>
        <w:spacing w:after="0"/>
        <w:rPr>
          <w:sz w:val="22"/>
        </w:rPr>
      </w:pPr>
      <w:r w:rsidRPr="00277198">
        <w:rPr>
          <w:sz w:val="22"/>
        </w:rPr>
        <w:t>Themes were not considered as facts that needed to be found. Themes were constructed by engaging with the extracted findings in an active and reflexive way and by recording competing interpretations in the absence of premature consensus (Braun and Clarke, 2019; Braun and Clarke, 2021). Nevertheless, reporting was based on accepted qualitative standards. The sampling, researcher position, context, data collection and analysis in the primary studies were highlighted by COREQ and the Standards for Reporting Qualitative Research (Tong et al., 2007; O'Brien et al., 2014). This allowed an interpretive, yet auditable analysis to be performed.</w:t>
      </w:r>
    </w:p>
    <w:p w14:paraId="4133999C" w14:textId="77777777" w:rsidR="006F1B12" w:rsidRPr="00277198" w:rsidRDefault="006F1B12" w:rsidP="00277198">
      <w:pPr>
        <w:pStyle w:val="Heading2"/>
      </w:pPr>
      <w:bookmarkStart w:id="52" w:name="_Toc237277559"/>
      <w:bookmarkStart w:id="53" w:name="_Toc240928036"/>
      <w:r w:rsidRPr="00277198">
        <w:t>3.3 Ethical Considerations</w:t>
      </w:r>
      <w:bookmarkEnd w:id="52"/>
      <w:bookmarkEnd w:id="53"/>
    </w:p>
    <w:p w14:paraId="7398BE59" w14:textId="77777777" w:rsidR="006F1B12" w:rsidRPr="00277198" w:rsidRDefault="006F1B12" w:rsidP="006F1B12">
      <w:pPr>
        <w:spacing w:after="0"/>
        <w:rPr>
          <w:sz w:val="22"/>
        </w:rPr>
      </w:pPr>
      <w:r w:rsidRPr="00277198">
        <w:rPr>
          <w:sz w:val="22"/>
        </w:rPr>
        <w:t>This was a review of published and readily available resources, and there was no active recruitment, intervention, gathering of personal data or personal contact with people. Participant consent was thus not formally obtained. The University's governance process was followed in preparing an application for institutional ethical permission for the review activity. Selective citation, inaccurate representation, and undisclosed changes still mattered for ethical reasons as they can have an impact on the evidence base. The review was conducted with reference to guidelines for honesty, accountability, transparency and responsible management of data from the code of practice for research integrity in the UK (UKRIO, 2025).</w:t>
      </w:r>
    </w:p>
    <w:p w14:paraId="45CB63E1" w14:textId="77777777" w:rsidR="006F1B12" w:rsidRPr="00277198" w:rsidRDefault="006F1B12" w:rsidP="006F1B12">
      <w:pPr>
        <w:spacing w:after="0"/>
        <w:rPr>
          <w:sz w:val="22"/>
        </w:rPr>
      </w:pPr>
      <w:r w:rsidRPr="00277198">
        <w:rPr>
          <w:sz w:val="22"/>
        </w:rPr>
        <w:t>Exports and screening decisions, reasons for eligibility and eventual appraisal forms and extraction records were maintained as an audit trail. As per PRISMA-P (Moher et al., 2015), the question and main methods were predefined according to the protocol. Any deviation from the protocol was noted. In particular, studies with a below-average score of 50% on CASP criteria applicable to their study were not included in the final appraisal rule because the programme's guidance for conducting systematic reviews specified this. There was no confidential material created and all sources included were cited correctly.</w:t>
      </w:r>
    </w:p>
    <w:p w14:paraId="26C378D8" w14:textId="77777777" w:rsidR="006F1B12" w:rsidRPr="00277198" w:rsidRDefault="006F1B12" w:rsidP="00277198">
      <w:pPr>
        <w:pStyle w:val="Heading2"/>
      </w:pPr>
      <w:bookmarkStart w:id="54" w:name="_Toc237277560"/>
      <w:bookmarkStart w:id="55" w:name="_Toc240928037"/>
      <w:r w:rsidRPr="00277198">
        <w:t>3.4 Research Approach and Review Strategy</w:t>
      </w:r>
      <w:bookmarkEnd w:id="54"/>
      <w:bookmarkEnd w:id="55"/>
    </w:p>
    <w:p w14:paraId="33FFC299" w14:textId="77777777" w:rsidR="006F1B12" w:rsidRPr="00277198" w:rsidRDefault="006F1B12" w:rsidP="006F1B12">
      <w:pPr>
        <w:spacing w:after="0"/>
        <w:rPr>
          <w:sz w:val="22"/>
        </w:rPr>
      </w:pPr>
      <w:r w:rsidRPr="00277198">
        <w:rPr>
          <w:sz w:val="22"/>
        </w:rPr>
        <w:t>A method of systematic review and qualitative thematic synthesis was chosen. A narrative literature review would have been broad enough to offer discussion but would not have been explicit in its searching, screening and appraisal to enable a focused literature review in a way that could be reproduced to address a focused question. Due to the expected data for this study consisting of qualitative interviews, survey research with interpretive findings, service evaluations, and mixed methods with inconsistent outcomes, a quantitative meta-analysis was not appropriate. The methodology should be tailored to the purpose in the context of evidence and intended synthesis rather than copying and pasting the statistical design (Munn et al., 2018; JBI, 2024).</w:t>
      </w:r>
    </w:p>
    <w:p w14:paraId="75D93009" w14:textId="77777777" w:rsidR="006F1B12" w:rsidRPr="00277198" w:rsidRDefault="006F1B12" w:rsidP="006F1B12">
      <w:pPr>
        <w:spacing w:after="0"/>
        <w:rPr>
          <w:sz w:val="22"/>
        </w:rPr>
      </w:pPr>
      <w:r w:rsidRPr="00277198">
        <w:rPr>
          <w:sz w:val="22"/>
        </w:rPr>
        <w:t>The strategy included a systematic process of identification and critical appraisal as well as an interpretive synthesis of reported experiences, influences, barriers, safeguards and proposed improvements. When the review aims to provide an explanation of implementation, acceptability and contextual influences, in addition to evidence on the intervention or service, Cochrane qualitative guidance supports this approach (Noyes et al., 2024). The unit of analysis was the articles, which would have been grouped together if there was more than one report on the same study, in order to avoid double counting.</w:t>
      </w:r>
    </w:p>
    <w:p w14:paraId="2814BBE9" w14:textId="77777777" w:rsidR="006F1B12" w:rsidRPr="00277198" w:rsidRDefault="006F1B12" w:rsidP="00277198">
      <w:pPr>
        <w:pStyle w:val="Heading2"/>
      </w:pPr>
      <w:bookmarkStart w:id="56" w:name="_Toc237277561"/>
      <w:bookmarkStart w:id="57" w:name="_Toc240928038"/>
      <w:r w:rsidRPr="00277198">
        <w:t>3.5 Review Question and Eligibility Framework</w:t>
      </w:r>
      <w:bookmarkEnd w:id="56"/>
      <w:bookmarkEnd w:id="57"/>
    </w:p>
    <w:p w14:paraId="3E79B030" w14:textId="77777777" w:rsidR="006F1B12" w:rsidRPr="00277198" w:rsidRDefault="006F1B12" w:rsidP="006F1B12">
      <w:pPr>
        <w:spacing w:after="0"/>
        <w:rPr>
          <w:sz w:val="22"/>
        </w:rPr>
      </w:pPr>
      <w:r w:rsidRPr="00277198">
        <w:rPr>
          <w:sz w:val="22"/>
        </w:rPr>
        <w:t>For the purpose of operationalising the research question, it was decided to use SPIDER as this holds a specific focus on study design and research type (Cooke et al., 2012; Harris et al., 2018) and was fit for qualitative and mixed methods evidence. The framework was used in the following way.</w:t>
      </w:r>
    </w:p>
    <w:p w14:paraId="5D68F368" w14:textId="77777777" w:rsidR="006F1B12" w:rsidRPr="00277198" w:rsidRDefault="006F1B12" w:rsidP="006F1B12">
      <w:pPr>
        <w:rPr>
          <w:sz w:val="22"/>
        </w:rPr>
      </w:pPr>
      <w:r w:rsidRPr="00277198">
        <w:rPr>
          <w:sz w:val="22"/>
        </w:rPr>
        <w:t>Table 3.1: SPIDER framework for the review question</w:t>
      </w:r>
    </w:p>
    <w:tbl>
      <w:tblPr>
        <w:tblStyle w:val="TableGrid"/>
        <w:tblW w:w="10080" w:type="dxa"/>
        <w:tblLayout w:type="fixed"/>
        <w:tblLook w:val="04A0" w:firstRow="1" w:lastRow="0" w:firstColumn="1" w:lastColumn="0" w:noHBand="0" w:noVBand="1"/>
      </w:tblPr>
      <w:tblGrid>
        <w:gridCol w:w="1728"/>
        <w:gridCol w:w="8352"/>
      </w:tblGrid>
      <w:tr w:rsidR="006F1B12" w:rsidRPr="00277198" w14:paraId="42C1B6B2" w14:textId="77777777" w:rsidTr="00957D67">
        <w:tc>
          <w:tcPr>
            <w:tcW w:w="1728" w:type="dxa"/>
          </w:tcPr>
          <w:p w14:paraId="1E4ED20C" w14:textId="77777777" w:rsidR="006F1B12" w:rsidRPr="00277198" w:rsidRDefault="006F1B12" w:rsidP="00957D67">
            <w:pPr>
              <w:keepLines/>
              <w:jc w:val="left"/>
              <w:rPr>
                <w:sz w:val="22"/>
                <w:szCs w:val="24"/>
              </w:rPr>
            </w:pPr>
            <w:r w:rsidRPr="00277198">
              <w:rPr>
                <w:b/>
                <w:sz w:val="22"/>
                <w:szCs w:val="24"/>
              </w:rPr>
              <w:t>Element</w:t>
            </w:r>
          </w:p>
        </w:tc>
        <w:tc>
          <w:tcPr>
            <w:tcW w:w="8352" w:type="dxa"/>
          </w:tcPr>
          <w:p w14:paraId="50DCD419" w14:textId="77777777" w:rsidR="006F1B12" w:rsidRPr="00277198" w:rsidRDefault="006F1B12" w:rsidP="00957D67">
            <w:pPr>
              <w:keepLines/>
              <w:jc w:val="left"/>
              <w:rPr>
                <w:sz w:val="22"/>
                <w:szCs w:val="24"/>
              </w:rPr>
            </w:pPr>
            <w:r w:rsidRPr="00277198">
              <w:rPr>
                <w:b/>
                <w:sz w:val="22"/>
                <w:szCs w:val="24"/>
              </w:rPr>
              <w:t>Operational definition</w:t>
            </w:r>
          </w:p>
        </w:tc>
      </w:tr>
      <w:tr w:rsidR="006F1B12" w:rsidRPr="00277198" w14:paraId="3B9D71F6" w14:textId="77777777" w:rsidTr="00957D67">
        <w:tc>
          <w:tcPr>
            <w:tcW w:w="1728" w:type="dxa"/>
          </w:tcPr>
          <w:p w14:paraId="1C8AAEEC" w14:textId="77777777" w:rsidR="006F1B12" w:rsidRPr="00277198" w:rsidRDefault="006F1B12" w:rsidP="00957D67">
            <w:pPr>
              <w:keepLines/>
              <w:jc w:val="left"/>
              <w:rPr>
                <w:sz w:val="22"/>
                <w:szCs w:val="24"/>
              </w:rPr>
            </w:pPr>
            <w:r w:rsidRPr="00277198">
              <w:rPr>
                <w:color w:val="000000"/>
                <w:sz w:val="22"/>
                <w:szCs w:val="24"/>
              </w:rPr>
              <w:t>Sample</w:t>
            </w:r>
          </w:p>
        </w:tc>
        <w:tc>
          <w:tcPr>
            <w:tcW w:w="8352" w:type="dxa"/>
          </w:tcPr>
          <w:p w14:paraId="0F654890" w14:textId="77777777" w:rsidR="006F1B12" w:rsidRPr="00277198" w:rsidRDefault="006F1B12" w:rsidP="00957D67">
            <w:pPr>
              <w:keepLines/>
              <w:jc w:val="left"/>
              <w:rPr>
                <w:sz w:val="22"/>
                <w:szCs w:val="24"/>
              </w:rPr>
            </w:pPr>
            <w:r w:rsidRPr="00277198">
              <w:rPr>
                <w:color w:val="000000"/>
                <w:sz w:val="22"/>
                <w:szCs w:val="24"/>
              </w:rPr>
              <w:t>UK community pharmacists, independent prescribers, pharmacy technicians or other pharmacy staff; patients and linked primary-care professionals when findings directly concerned community-pharmacy antibiotic pathways.</w:t>
            </w:r>
          </w:p>
        </w:tc>
      </w:tr>
      <w:tr w:rsidR="006F1B12" w:rsidRPr="00277198" w14:paraId="7AB9506C" w14:textId="77777777" w:rsidTr="00957D67">
        <w:tc>
          <w:tcPr>
            <w:tcW w:w="1728" w:type="dxa"/>
          </w:tcPr>
          <w:p w14:paraId="2229C64E" w14:textId="77777777" w:rsidR="006F1B12" w:rsidRPr="00277198" w:rsidRDefault="006F1B12" w:rsidP="00957D67">
            <w:pPr>
              <w:keepLines/>
              <w:jc w:val="left"/>
              <w:rPr>
                <w:sz w:val="22"/>
                <w:szCs w:val="24"/>
              </w:rPr>
            </w:pPr>
            <w:r w:rsidRPr="00277198">
              <w:rPr>
                <w:color w:val="000000"/>
                <w:sz w:val="22"/>
                <w:szCs w:val="24"/>
              </w:rPr>
              <w:t>Phenomenon of Interest</w:t>
            </w:r>
          </w:p>
        </w:tc>
        <w:tc>
          <w:tcPr>
            <w:tcW w:w="8352" w:type="dxa"/>
          </w:tcPr>
          <w:p w14:paraId="37A9734E" w14:textId="77777777" w:rsidR="006F1B12" w:rsidRPr="00277198" w:rsidRDefault="006F1B12" w:rsidP="00957D67">
            <w:pPr>
              <w:keepLines/>
              <w:jc w:val="left"/>
              <w:rPr>
                <w:sz w:val="22"/>
                <w:szCs w:val="24"/>
              </w:rPr>
            </w:pPr>
            <w:r w:rsidRPr="00277198">
              <w:rPr>
                <w:color w:val="000000"/>
                <w:sz w:val="22"/>
                <w:szCs w:val="24"/>
              </w:rPr>
              <w:t>Antibiotic prescribing, dispensing, supply, counselling, referral and antimicrobial-stewardship practice in community pharmacies.</w:t>
            </w:r>
          </w:p>
        </w:tc>
      </w:tr>
      <w:tr w:rsidR="006F1B12" w:rsidRPr="00277198" w14:paraId="6652D773" w14:textId="77777777" w:rsidTr="00957D67">
        <w:tc>
          <w:tcPr>
            <w:tcW w:w="1728" w:type="dxa"/>
          </w:tcPr>
          <w:p w14:paraId="324F3E50" w14:textId="77777777" w:rsidR="006F1B12" w:rsidRPr="00277198" w:rsidRDefault="006F1B12" w:rsidP="00957D67">
            <w:pPr>
              <w:keepLines/>
              <w:jc w:val="left"/>
              <w:rPr>
                <w:sz w:val="22"/>
                <w:szCs w:val="24"/>
              </w:rPr>
            </w:pPr>
            <w:r w:rsidRPr="00277198">
              <w:rPr>
                <w:color w:val="000000"/>
                <w:sz w:val="22"/>
                <w:szCs w:val="24"/>
              </w:rPr>
              <w:t>Design</w:t>
            </w:r>
          </w:p>
        </w:tc>
        <w:tc>
          <w:tcPr>
            <w:tcW w:w="8352" w:type="dxa"/>
          </w:tcPr>
          <w:p w14:paraId="25165F4D" w14:textId="77777777" w:rsidR="006F1B12" w:rsidRPr="00277198" w:rsidRDefault="006F1B12" w:rsidP="00957D67">
            <w:pPr>
              <w:keepLines/>
              <w:jc w:val="left"/>
              <w:rPr>
                <w:sz w:val="22"/>
                <w:szCs w:val="24"/>
              </w:rPr>
            </w:pPr>
            <w:r w:rsidRPr="00277198">
              <w:rPr>
                <w:color w:val="000000"/>
                <w:sz w:val="22"/>
                <w:szCs w:val="24"/>
              </w:rPr>
              <w:t>Interviews, focus groups, observation, surveys, audits, service evaluations and mixed-methods designs with extractable empirical findings.</w:t>
            </w:r>
          </w:p>
        </w:tc>
      </w:tr>
      <w:tr w:rsidR="006F1B12" w:rsidRPr="00277198" w14:paraId="73720418" w14:textId="77777777" w:rsidTr="00957D67">
        <w:tc>
          <w:tcPr>
            <w:tcW w:w="1728" w:type="dxa"/>
          </w:tcPr>
          <w:p w14:paraId="132045C0" w14:textId="77777777" w:rsidR="006F1B12" w:rsidRPr="00277198" w:rsidRDefault="006F1B12" w:rsidP="00957D67">
            <w:pPr>
              <w:keepLines/>
              <w:jc w:val="left"/>
              <w:rPr>
                <w:sz w:val="22"/>
                <w:szCs w:val="24"/>
              </w:rPr>
            </w:pPr>
            <w:r w:rsidRPr="00277198">
              <w:rPr>
                <w:color w:val="000000"/>
                <w:sz w:val="22"/>
                <w:szCs w:val="24"/>
              </w:rPr>
              <w:t>Evaluation</w:t>
            </w:r>
          </w:p>
        </w:tc>
        <w:tc>
          <w:tcPr>
            <w:tcW w:w="8352" w:type="dxa"/>
          </w:tcPr>
          <w:p w14:paraId="58208A99" w14:textId="77777777" w:rsidR="006F1B12" w:rsidRPr="00277198" w:rsidRDefault="006F1B12" w:rsidP="00957D67">
            <w:pPr>
              <w:keepLines/>
              <w:jc w:val="left"/>
              <w:rPr>
                <w:sz w:val="22"/>
                <w:szCs w:val="24"/>
              </w:rPr>
            </w:pPr>
            <w:r w:rsidRPr="00277198">
              <w:rPr>
                <w:color w:val="000000"/>
                <w:sz w:val="22"/>
                <w:szCs w:val="24"/>
              </w:rPr>
              <w:t>Practice patterns, experiences, knowledge, attitudes, barriers, facilitators, guideline concordance, safeguards, AMR implications and improvement strategies.</w:t>
            </w:r>
          </w:p>
        </w:tc>
      </w:tr>
      <w:tr w:rsidR="006F1B12" w:rsidRPr="00277198" w14:paraId="1FEC72B7" w14:textId="77777777" w:rsidTr="00957D67">
        <w:tc>
          <w:tcPr>
            <w:tcW w:w="1728" w:type="dxa"/>
          </w:tcPr>
          <w:p w14:paraId="7813F7DD" w14:textId="77777777" w:rsidR="006F1B12" w:rsidRPr="00277198" w:rsidRDefault="006F1B12" w:rsidP="00957D67">
            <w:pPr>
              <w:keepLines/>
              <w:jc w:val="left"/>
              <w:rPr>
                <w:sz w:val="22"/>
                <w:szCs w:val="24"/>
              </w:rPr>
            </w:pPr>
            <w:r w:rsidRPr="00277198">
              <w:rPr>
                <w:color w:val="000000"/>
                <w:sz w:val="22"/>
                <w:szCs w:val="24"/>
              </w:rPr>
              <w:t>Research type</w:t>
            </w:r>
          </w:p>
        </w:tc>
        <w:tc>
          <w:tcPr>
            <w:tcW w:w="8352" w:type="dxa"/>
          </w:tcPr>
          <w:p w14:paraId="3118CFE6" w14:textId="77777777" w:rsidR="006F1B12" w:rsidRPr="00277198" w:rsidRDefault="006F1B12" w:rsidP="00957D67">
            <w:pPr>
              <w:keepLines/>
              <w:jc w:val="left"/>
              <w:rPr>
                <w:sz w:val="22"/>
                <w:szCs w:val="24"/>
              </w:rPr>
            </w:pPr>
            <w:r w:rsidRPr="00277198">
              <w:rPr>
                <w:color w:val="000000"/>
                <w:sz w:val="22"/>
                <w:szCs w:val="24"/>
              </w:rPr>
              <w:t>Qualitative and mixed-methods research, with relevant quantitative empirical evidence where it answered the review question.</w:t>
            </w:r>
          </w:p>
        </w:tc>
      </w:tr>
    </w:tbl>
    <w:p w14:paraId="4CF986E2" w14:textId="77777777" w:rsidR="006F1B12" w:rsidRPr="00277198" w:rsidRDefault="006F1B12" w:rsidP="006F1B12">
      <w:pPr>
        <w:spacing w:after="0"/>
        <w:rPr>
          <w:sz w:val="22"/>
        </w:rPr>
      </w:pPr>
    </w:p>
    <w:p w14:paraId="1BB872FB" w14:textId="77777777" w:rsidR="006F1B12" w:rsidRPr="00277198" w:rsidRDefault="006F1B12" w:rsidP="006F1B12">
      <w:pPr>
        <w:spacing w:after="0"/>
        <w:rPr>
          <w:sz w:val="22"/>
        </w:rPr>
      </w:pPr>
      <w:r w:rsidRPr="00277198">
        <w:rPr>
          <w:sz w:val="22"/>
        </w:rPr>
        <w:t>The key concepts that were therefore found were: UK community pharmacy, antibiotic prescribing or dispensing, antimicrobial stewardship and risk factors of AMR increasing or decreasing. Microbiological resistance results were not required in studies, as the contribution of the causal role of everyday pharmacy practice is typically assessed by proxy measures (e.g. guideline adherence, excess supply, choice of antibiotics, counselling, referral, knowledge and behaviour determinants).</w:t>
      </w:r>
    </w:p>
    <w:p w14:paraId="0E1FC9B9" w14:textId="77777777" w:rsidR="006F1B12" w:rsidRPr="00277198" w:rsidRDefault="006F1B12" w:rsidP="00277198">
      <w:pPr>
        <w:pStyle w:val="Heading2"/>
      </w:pPr>
      <w:bookmarkStart w:id="58" w:name="_Toc237277562"/>
      <w:bookmarkStart w:id="59" w:name="_Toc240928039"/>
      <w:r w:rsidRPr="00277198">
        <w:t>3.6 Information Sources and Search Strategy</w:t>
      </w:r>
      <w:bookmarkEnd w:id="58"/>
      <w:bookmarkEnd w:id="59"/>
    </w:p>
    <w:p w14:paraId="748A7D12" w14:textId="77777777" w:rsidR="006F1B12" w:rsidRPr="00277198" w:rsidRDefault="006F1B12" w:rsidP="006F1B12">
      <w:pPr>
        <w:spacing w:after="0"/>
        <w:rPr>
          <w:sz w:val="22"/>
        </w:rPr>
      </w:pPr>
      <w:r w:rsidRPr="00277198">
        <w:rPr>
          <w:sz w:val="22"/>
        </w:rPr>
        <w:t>A date of 10 August 2026 was recorded for the final searches. The dates were not randomly assigned; they were the same in each of the databases. The main bibliographic databases used were PubMed/MEDLINE, EMBASE, CINAHL, ScienceDirect and the Cochrane Library. These were chosen to represent medicine, pharmacy, nursing, public health and health services and evidence synthesis. A secondary search of citations was conducted using Google Scholar and Scopus. Searches were performed on NHS England, UK Health Security Agency, Department of Health and Social Care and NICE for grey literature. Hand searching was used to search The Pharmaceutical Journal, International Journal of Pharmacy Practice and Journal of Antimicrobial Chemotherapy and reference lists and forward citations of eligible studies were checked.</w:t>
      </w:r>
    </w:p>
    <w:p w14:paraId="7FED0496" w14:textId="77777777" w:rsidR="006F1B12" w:rsidRPr="00277198" w:rsidRDefault="006F1B12" w:rsidP="006F1B12">
      <w:pPr>
        <w:spacing w:after="0"/>
        <w:rPr>
          <w:sz w:val="22"/>
        </w:rPr>
      </w:pPr>
      <w:r w:rsidRPr="00277198">
        <w:rPr>
          <w:sz w:val="22"/>
        </w:rPr>
        <w:t>The search development was based on the PRISMA recommendations and the Cochrane guide (Rethlefsen et al., 2021; Lefebvre et al., 2024), with synonyms and spelling variations used for each concept, and the use of Boolean operators to connect different concepts, adapting the syntax format for each database used and not copying it from one to the others. A master search string was:</w:t>
      </w:r>
    </w:p>
    <w:p w14:paraId="42D5E1CF" w14:textId="77777777" w:rsidR="006F1B12" w:rsidRPr="00277198" w:rsidRDefault="006F1B12" w:rsidP="006F1B12">
      <w:pPr>
        <w:spacing w:after="0"/>
        <w:rPr>
          <w:sz w:val="22"/>
        </w:rPr>
      </w:pPr>
      <w:r w:rsidRPr="00277198">
        <w:rPr>
          <w:sz w:val="22"/>
        </w:rPr>
        <w:t>(antimicrobial resistance" OR AMR OR "antimicrobial stewardship" OR "antibiotic stewardship") AND (antibiotic* OR antimicrobial*) AND (prescrib* OR dispens* OR suppl* OR counsel* OR refer*) AND ("community pharmac*" OR "retail pharmac*" OR "Pharmacy First" OR "Northern Ireland" OR "Scotland" OR " Wales" OR " England" OR " United Kingdom").</w:t>
      </w:r>
    </w:p>
    <w:p w14:paraId="22448AA8" w14:textId="77777777" w:rsidR="006F1B12" w:rsidRPr="00277198" w:rsidRDefault="006F1B12" w:rsidP="006F1B12">
      <w:pPr>
        <w:spacing w:after="0"/>
        <w:rPr>
          <w:sz w:val="22"/>
        </w:rPr>
      </w:pPr>
      <w:r w:rsidRPr="00277198">
        <w:rPr>
          <w:sz w:val="22"/>
        </w:rPr>
        <w:t>Where possible, database headings for the following controlled terms were added: drug resistance, antibacterial agents, antimicrobial stewardship and community pharmacy services. A known relevant test was conducted in conjunction with truncation and phrase searching. A second search added the terms relating to the setting of the pharmacy and vocabulary related to the patients' behaviour, like knowledge, attitude, confidence, patient expectation, diagnostic uncertainty, training and communication. For all sources, the search string, date, filters and yield were noted. This documentation can be used to reproduce, but does not imply that identical interfaces will yield identical results (Rethlefsen et al., 2021).</w:t>
      </w:r>
    </w:p>
    <w:p w14:paraId="3A881B4F" w14:textId="77777777" w:rsidR="006F1B12" w:rsidRPr="00277198" w:rsidRDefault="006F1B12" w:rsidP="006F1B12">
      <w:pPr>
        <w:spacing w:after="0"/>
        <w:rPr>
          <w:sz w:val="22"/>
        </w:rPr>
      </w:pPr>
      <w:r w:rsidRPr="00277198">
        <w:rPr>
          <w:sz w:val="22"/>
        </w:rPr>
        <w:t>The publication date period was January 2019- 10 August 2026. The bottom end showed fast-changing UK stewardship issues relating to the community pharmacy, disruption of COVID-19 and the growth of commissioned infection services. They were translated into English due to the lack of resources for translation of these documents. Guidance raises the question of biases that could be found due to database and date/dialect limitations, and supplementary searches and explicit reporting were employed to not mask but rather mitigate these risks (Lefebvre et al., 2024; Higgins et al., 2024).</w:t>
      </w:r>
    </w:p>
    <w:p w14:paraId="128C7C18" w14:textId="77777777" w:rsidR="006F1B12" w:rsidRPr="00277198" w:rsidRDefault="006F1B12" w:rsidP="006F1B12">
      <w:pPr>
        <w:spacing w:after="0"/>
        <w:rPr>
          <w:sz w:val="22"/>
        </w:rPr>
      </w:pPr>
      <w:r w:rsidRPr="00277198">
        <w:rPr>
          <w:sz w:val="22"/>
        </w:rPr>
        <w:t>None of the outcomes, study design or full-text filters were used during the primary electronic search, as the inconsistent indexing might exclude relevant pharmacy research. Abstracts and identifiers were exported to the extent possible. The search log was obtained, including the search exact syntax, coverage date, search date, and number retrieved, as well as a technical limitation. Backwards and forward citation checking were performed to see if any additional eligible articles could be found; if none were found, supplementary searches were discontinued. This decision rule transformed the boundary of the search into a written one, which still acknowledged that a qualitative evidence search is iterative rather than totally linear (Harris et al., 2018).</w:t>
      </w:r>
    </w:p>
    <w:p w14:paraId="328168C1" w14:textId="77777777" w:rsidR="006F1B12" w:rsidRPr="00277198" w:rsidRDefault="006F1B12" w:rsidP="00277198">
      <w:pPr>
        <w:pStyle w:val="Heading2"/>
      </w:pPr>
      <w:bookmarkStart w:id="60" w:name="_Toc237277563"/>
      <w:bookmarkStart w:id="61" w:name="_Toc240928040"/>
      <w:r w:rsidRPr="00277198">
        <w:t>3.7 Inclusion and Exclusion Criteria</w:t>
      </w:r>
      <w:bookmarkEnd w:id="60"/>
      <w:bookmarkEnd w:id="61"/>
    </w:p>
    <w:p w14:paraId="299C8B42" w14:textId="77777777" w:rsidR="006F1B12" w:rsidRPr="00277198" w:rsidRDefault="006F1B12" w:rsidP="006F1B12">
      <w:pPr>
        <w:spacing w:after="0"/>
        <w:rPr>
          <w:sz w:val="22"/>
        </w:rPr>
      </w:pPr>
      <w:r w:rsidRPr="00277198">
        <w:rPr>
          <w:sz w:val="22"/>
        </w:rPr>
        <w:t>Eligibility criteria were applied to title/abstract and full-text screening.</w:t>
      </w:r>
    </w:p>
    <w:p w14:paraId="75971FF7" w14:textId="77777777" w:rsidR="006F1B12" w:rsidRPr="00277198" w:rsidRDefault="006F1B12" w:rsidP="006F1B12">
      <w:pPr>
        <w:rPr>
          <w:sz w:val="22"/>
        </w:rPr>
      </w:pPr>
      <w:r w:rsidRPr="00277198">
        <w:rPr>
          <w:sz w:val="22"/>
        </w:rPr>
        <w:t>Table 3.2: Inclusion and exclusion criteria</w:t>
      </w:r>
    </w:p>
    <w:tbl>
      <w:tblPr>
        <w:tblStyle w:val="TableGrid"/>
        <w:tblW w:w="0" w:type="auto"/>
        <w:tblLayout w:type="fixed"/>
        <w:tblLook w:val="04A0" w:firstRow="1" w:lastRow="0" w:firstColumn="1" w:lastColumn="0" w:noHBand="0" w:noVBand="1"/>
      </w:tblPr>
      <w:tblGrid>
        <w:gridCol w:w="1800"/>
        <w:gridCol w:w="4248"/>
        <w:gridCol w:w="4032"/>
      </w:tblGrid>
      <w:tr w:rsidR="006F1B12" w:rsidRPr="00277198" w14:paraId="0B479128" w14:textId="77777777" w:rsidTr="00957D67">
        <w:tc>
          <w:tcPr>
            <w:tcW w:w="1800" w:type="dxa"/>
          </w:tcPr>
          <w:p w14:paraId="41B24163" w14:textId="77777777" w:rsidR="006F1B12" w:rsidRPr="00277198" w:rsidRDefault="006F1B12" w:rsidP="00957D67">
            <w:pPr>
              <w:keepLines/>
              <w:jc w:val="left"/>
              <w:rPr>
                <w:sz w:val="22"/>
                <w:szCs w:val="24"/>
              </w:rPr>
            </w:pPr>
            <w:r w:rsidRPr="00277198">
              <w:rPr>
                <w:b/>
                <w:sz w:val="22"/>
                <w:szCs w:val="24"/>
              </w:rPr>
              <w:t>Criterion</w:t>
            </w:r>
          </w:p>
        </w:tc>
        <w:tc>
          <w:tcPr>
            <w:tcW w:w="4248" w:type="dxa"/>
          </w:tcPr>
          <w:p w14:paraId="6E835A23" w14:textId="77777777" w:rsidR="006F1B12" w:rsidRPr="00277198" w:rsidRDefault="006F1B12" w:rsidP="00957D67">
            <w:pPr>
              <w:keepLines/>
              <w:jc w:val="left"/>
              <w:rPr>
                <w:sz w:val="22"/>
                <w:szCs w:val="24"/>
              </w:rPr>
            </w:pPr>
            <w:r w:rsidRPr="00277198">
              <w:rPr>
                <w:b/>
                <w:sz w:val="22"/>
                <w:szCs w:val="24"/>
              </w:rPr>
              <w:t>Included</w:t>
            </w:r>
          </w:p>
        </w:tc>
        <w:tc>
          <w:tcPr>
            <w:tcW w:w="4032" w:type="dxa"/>
          </w:tcPr>
          <w:p w14:paraId="4025F57D" w14:textId="77777777" w:rsidR="006F1B12" w:rsidRPr="00277198" w:rsidRDefault="006F1B12" w:rsidP="00957D67">
            <w:pPr>
              <w:keepLines/>
              <w:jc w:val="left"/>
              <w:rPr>
                <w:sz w:val="22"/>
                <w:szCs w:val="24"/>
              </w:rPr>
            </w:pPr>
            <w:r w:rsidRPr="00277198">
              <w:rPr>
                <w:b/>
                <w:sz w:val="22"/>
                <w:szCs w:val="24"/>
              </w:rPr>
              <w:t>Excluded</w:t>
            </w:r>
          </w:p>
        </w:tc>
      </w:tr>
      <w:tr w:rsidR="006F1B12" w:rsidRPr="00277198" w14:paraId="488083DB" w14:textId="77777777" w:rsidTr="00957D67">
        <w:tc>
          <w:tcPr>
            <w:tcW w:w="1800" w:type="dxa"/>
          </w:tcPr>
          <w:p w14:paraId="53986FB7" w14:textId="77777777" w:rsidR="006F1B12" w:rsidRPr="00277198" w:rsidRDefault="006F1B12" w:rsidP="00957D67">
            <w:pPr>
              <w:keepLines/>
              <w:jc w:val="left"/>
              <w:rPr>
                <w:sz w:val="22"/>
                <w:szCs w:val="24"/>
              </w:rPr>
            </w:pPr>
            <w:r w:rsidRPr="00277198">
              <w:rPr>
                <w:color w:val="000000"/>
                <w:sz w:val="22"/>
                <w:szCs w:val="24"/>
              </w:rPr>
              <w:t>Population and setting</w:t>
            </w:r>
          </w:p>
        </w:tc>
        <w:tc>
          <w:tcPr>
            <w:tcW w:w="4248" w:type="dxa"/>
          </w:tcPr>
          <w:p w14:paraId="1A02A490" w14:textId="77777777" w:rsidR="006F1B12" w:rsidRPr="00277198" w:rsidRDefault="006F1B12" w:rsidP="00957D67">
            <w:pPr>
              <w:keepLines/>
              <w:jc w:val="left"/>
              <w:rPr>
                <w:sz w:val="22"/>
                <w:szCs w:val="24"/>
              </w:rPr>
            </w:pPr>
            <w:r w:rsidRPr="00277198">
              <w:rPr>
                <w:color w:val="000000"/>
                <w:sz w:val="22"/>
                <w:szCs w:val="24"/>
              </w:rPr>
              <w:t>Community pharmacists, prescribers, technicians, staff or service users in community-pharmacy pathways.</w:t>
            </w:r>
          </w:p>
        </w:tc>
        <w:tc>
          <w:tcPr>
            <w:tcW w:w="4032" w:type="dxa"/>
          </w:tcPr>
          <w:p w14:paraId="726FDD0F" w14:textId="77777777" w:rsidR="006F1B12" w:rsidRPr="00277198" w:rsidRDefault="006F1B12" w:rsidP="00957D67">
            <w:pPr>
              <w:keepLines/>
              <w:jc w:val="left"/>
              <w:rPr>
                <w:sz w:val="22"/>
                <w:szCs w:val="24"/>
              </w:rPr>
            </w:pPr>
            <w:r w:rsidRPr="00277198">
              <w:rPr>
                <w:color w:val="000000"/>
                <w:sz w:val="22"/>
                <w:szCs w:val="24"/>
              </w:rPr>
              <w:t>Hospital-only, general-practice-only, veterinary, dental or public studies with no separable community-pharmacy findings.</w:t>
            </w:r>
          </w:p>
        </w:tc>
      </w:tr>
      <w:tr w:rsidR="006F1B12" w:rsidRPr="00277198" w14:paraId="73B5889F" w14:textId="77777777" w:rsidTr="00957D67">
        <w:tc>
          <w:tcPr>
            <w:tcW w:w="1800" w:type="dxa"/>
          </w:tcPr>
          <w:p w14:paraId="054F48B2" w14:textId="77777777" w:rsidR="006F1B12" w:rsidRPr="00277198" w:rsidRDefault="006F1B12" w:rsidP="00957D67">
            <w:pPr>
              <w:keepLines/>
              <w:jc w:val="left"/>
              <w:rPr>
                <w:sz w:val="22"/>
                <w:szCs w:val="24"/>
              </w:rPr>
            </w:pPr>
            <w:r w:rsidRPr="00277198">
              <w:rPr>
                <w:color w:val="000000"/>
                <w:sz w:val="22"/>
                <w:szCs w:val="24"/>
              </w:rPr>
              <w:t>Phenomenon</w:t>
            </w:r>
          </w:p>
        </w:tc>
        <w:tc>
          <w:tcPr>
            <w:tcW w:w="4248" w:type="dxa"/>
          </w:tcPr>
          <w:p w14:paraId="4DA489DD" w14:textId="77777777" w:rsidR="006F1B12" w:rsidRPr="00277198" w:rsidRDefault="006F1B12" w:rsidP="00957D67">
            <w:pPr>
              <w:keepLines/>
              <w:jc w:val="left"/>
              <w:rPr>
                <w:sz w:val="22"/>
                <w:szCs w:val="24"/>
              </w:rPr>
            </w:pPr>
            <w:r w:rsidRPr="00277198">
              <w:rPr>
                <w:color w:val="000000"/>
                <w:sz w:val="22"/>
                <w:szCs w:val="24"/>
              </w:rPr>
              <w:t>Antibiotic prescribing, dispensing, supply, counselling, referral, stewardship or implementation safeguards.</w:t>
            </w:r>
          </w:p>
        </w:tc>
        <w:tc>
          <w:tcPr>
            <w:tcW w:w="4032" w:type="dxa"/>
          </w:tcPr>
          <w:p w14:paraId="3C49BBC7" w14:textId="77777777" w:rsidR="006F1B12" w:rsidRPr="00277198" w:rsidRDefault="006F1B12" w:rsidP="00957D67">
            <w:pPr>
              <w:keepLines/>
              <w:jc w:val="left"/>
              <w:rPr>
                <w:sz w:val="22"/>
                <w:szCs w:val="24"/>
              </w:rPr>
            </w:pPr>
            <w:r w:rsidRPr="00277198">
              <w:rPr>
                <w:color w:val="000000"/>
                <w:sz w:val="22"/>
                <w:szCs w:val="24"/>
              </w:rPr>
              <w:t>Studies of medicines unrelated to antibiotics or AMR; laboratory resistance surveillance without pharmacy-practice findings.</w:t>
            </w:r>
          </w:p>
        </w:tc>
      </w:tr>
      <w:tr w:rsidR="006F1B12" w:rsidRPr="00277198" w14:paraId="57594134" w14:textId="77777777" w:rsidTr="00957D67">
        <w:tc>
          <w:tcPr>
            <w:tcW w:w="1800" w:type="dxa"/>
          </w:tcPr>
          <w:p w14:paraId="164738F8" w14:textId="77777777" w:rsidR="006F1B12" w:rsidRPr="00277198" w:rsidRDefault="006F1B12" w:rsidP="00957D67">
            <w:pPr>
              <w:keepLines/>
              <w:jc w:val="left"/>
              <w:rPr>
                <w:sz w:val="22"/>
                <w:szCs w:val="24"/>
              </w:rPr>
            </w:pPr>
            <w:r w:rsidRPr="00277198">
              <w:rPr>
                <w:color w:val="000000"/>
                <w:sz w:val="22"/>
                <w:szCs w:val="24"/>
              </w:rPr>
              <w:t>Geography</w:t>
            </w:r>
          </w:p>
        </w:tc>
        <w:tc>
          <w:tcPr>
            <w:tcW w:w="4248" w:type="dxa"/>
          </w:tcPr>
          <w:p w14:paraId="456149A6" w14:textId="77777777" w:rsidR="006F1B12" w:rsidRPr="00277198" w:rsidRDefault="006F1B12" w:rsidP="00957D67">
            <w:pPr>
              <w:keepLines/>
              <w:jc w:val="left"/>
              <w:rPr>
                <w:sz w:val="22"/>
                <w:szCs w:val="24"/>
              </w:rPr>
            </w:pPr>
            <w:r w:rsidRPr="00277198">
              <w:rPr>
                <w:color w:val="000000"/>
                <w:sz w:val="22"/>
                <w:szCs w:val="24"/>
              </w:rPr>
              <w:t>United Kingdom, or multinational research with separable UK community-pharmacy data.</w:t>
            </w:r>
          </w:p>
        </w:tc>
        <w:tc>
          <w:tcPr>
            <w:tcW w:w="4032" w:type="dxa"/>
          </w:tcPr>
          <w:p w14:paraId="4053510D" w14:textId="77777777" w:rsidR="006F1B12" w:rsidRPr="00277198" w:rsidRDefault="006F1B12" w:rsidP="00957D67">
            <w:pPr>
              <w:keepLines/>
              <w:jc w:val="left"/>
              <w:rPr>
                <w:sz w:val="22"/>
                <w:szCs w:val="24"/>
              </w:rPr>
            </w:pPr>
            <w:r w:rsidRPr="00277198">
              <w:rPr>
                <w:color w:val="000000"/>
                <w:sz w:val="22"/>
                <w:szCs w:val="24"/>
              </w:rPr>
              <w:t>Non-UK evidence without separately reported UK findings.</w:t>
            </w:r>
          </w:p>
        </w:tc>
      </w:tr>
      <w:tr w:rsidR="006F1B12" w:rsidRPr="00277198" w14:paraId="746B0D0B" w14:textId="77777777" w:rsidTr="00957D67">
        <w:tc>
          <w:tcPr>
            <w:tcW w:w="1800" w:type="dxa"/>
          </w:tcPr>
          <w:p w14:paraId="16274DCC" w14:textId="77777777" w:rsidR="006F1B12" w:rsidRPr="00277198" w:rsidRDefault="006F1B12" w:rsidP="00957D67">
            <w:pPr>
              <w:keepLines/>
              <w:jc w:val="left"/>
              <w:rPr>
                <w:sz w:val="22"/>
                <w:szCs w:val="24"/>
              </w:rPr>
            </w:pPr>
            <w:r w:rsidRPr="00277198">
              <w:rPr>
                <w:color w:val="000000"/>
                <w:sz w:val="22"/>
                <w:szCs w:val="24"/>
              </w:rPr>
              <w:t>Date and language</w:t>
            </w:r>
          </w:p>
        </w:tc>
        <w:tc>
          <w:tcPr>
            <w:tcW w:w="4248" w:type="dxa"/>
          </w:tcPr>
          <w:p w14:paraId="7CE03FC8" w14:textId="77777777" w:rsidR="006F1B12" w:rsidRPr="00277198" w:rsidRDefault="006F1B12" w:rsidP="00957D67">
            <w:pPr>
              <w:keepLines/>
              <w:jc w:val="left"/>
              <w:rPr>
                <w:sz w:val="22"/>
                <w:szCs w:val="24"/>
              </w:rPr>
            </w:pPr>
            <w:r w:rsidRPr="00277198">
              <w:rPr>
                <w:color w:val="000000"/>
                <w:sz w:val="22"/>
                <w:szCs w:val="24"/>
              </w:rPr>
              <w:t>January 2019 to 10 August 2026; English language.</w:t>
            </w:r>
          </w:p>
        </w:tc>
        <w:tc>
          <w:tcPr>
            <w:tcW w:w="4032" w:type="dxa"/>
          </w:tcPr>
          <w:p w14:paraId="41FBD018" w14:textId="77777777" w:rsidR="006F1B12" w:rsidRPr="00277198" w:rsidRDefault="006F1B12" w:rsidP="00957D67">
            <w:pPr>
              <w:keepLines/>
              <w:jc w:val="left"/>
              <w:rPr>
                <w:sz w:val="22"/>
                <w:szCs w:val="24"/>
              </w:rPr>
            </w:pPr>
            <w:r w:rsidRPr="00277198">
              <w:rPr>
                <w:color w:val="000000"/>
                <w:sz w:val="22"/>
                <w:szCs w:val="24"/>
              </w:rPr>
              <w:t>Published before 2019, after the search date, or requiring translation.</w:t>
            </w:r>
          </w:p>
        </w:tc>
      </w:tr>
      <w:tr w:rsidR="006F1B12" w:rsidRPr="00277198" w14:paraId="379B89E3" w14:textId="77777777" w:rsidTr="00957D67">
        <w:tc>
          <w:tcPr>
            <w:tcW w:w="1800" w:type="dxa"/>
          </w:tcPr>
          <w:p w14:paraId="49E06784" w14:textId="77777777" w:rsidR="006F1B12" w:rsidRPr="00277198" w:rsidRDefault="006F1B12" w:rsidP="00957D67">
            <w:pPr>
              <w:keepLines/>
              <w:jc w:val="left"/>
              <w:rPr>
                <w:sz w:val="22"/>
                <w:szCs w:val="24"/>
              </w:rPr>
            </w:pPr>
            <w:r w:rsidRPr="00277198">
              <w:rPr>
                <w:color w:val="000000"/>
                <w:sz w:val="22"/>
                <w:szCs w:val="24"/>
              </w:rPr>
              <w:t>Evidence type</w:t>
            </w:r>
          </w:p>
        </w:tc>
        <w:tc>
          <w:tcPr>
            <w:tcW w:w="4248" w:type="dxa"/>
          </w:tcPr>
          <w:p w14:paraId="40F00AFE" w14:textId="77777777" w:rsidR="006F1B12" w:rsidRPr="00277198" w:rsidRDefault="006F1B12" w:rsidP="00957D67">
            <w:pPr>
              <w:keepLines/>
              <w:jc w:val="left"/>
              <w:rPr>
                <w:sz w:val="22"/>
                <w:szCs w:val="24"/>
              </w:rPr>
            </w:pPr>
            <w:r w:rsidRPr="00277198">
              <w:rPr>
                <w:color w:val="000000"/>
                <w:sz w:val="22"/>
                <w:szCs w:val="24"/>
              </w:rPr>
              <w:t>Primary qualitative, quantitative or mixed-methods empirical research and service evaluation.</w:t>
            </w:r>
          </w:p>
        </w:tc>
        <w:tc>
          <w:tcPr>
            <w:tcW w:w="4032" w:type="dxa"/>
          </w:tcPr>
          <w:p w14:paraId="53E29C85" w14:textId="77777777" w:rsidR="006F1B12" w:rsidRPr="00277198" w:rsidRDefault="006F1B12" w:rsidP="00957D67">
            <w:pPr>
              <w:keepLines/>
              <w:jc w:val="left"/>
              <w:rPr>
                <w:sz w:val="22"/>
                <w:szCs w:val="24"/>
              </w:rPr>
            </w:pPr>
            <w:r w:rsidRPr="00277198">
              <w:rPr>
                <w:color w:val="000000"/>
                <w:sz w:val="22"/>
                <w:szCs w:val="24"/>
              </w:rPr>
              <w:t>Reviews, editorials, opinion pieces, protocols, letters or conference abstracts without sufficient results.</w:t>
            </w:r>
          </w:p>
        </w:tc>
      </w:tr>
      <w:tr w:rsidR="006F1B12" w:rsidRPr="00277198" w14:paraId="6D2E345C" w14:textId="77777777" w:rsidTr="00957D67">
        <w:tc>
          <w:tcPr>
            <w:tcW w:w="1800" w:type="dxa"/>
          </w:tcPr>
          <w:p w14:paraId="65058EB2" w14:textId="77777777" w:rsidR="006F1B12" w:rsidRPr="00277198" w:rsidRDefault="006F1B12" w:rsidP="00957D67">
            <w:pPr>
              <w:keepLines/>
              <w:jc w:val="left"/>
              <w:rPr>
                <w:sz w:val="22"/>
                <w:szCs w:val="24"/>
              </w:rPr>
            </w:pPr>
            <w:r w:rsidRPr="00277198">
              <w:rPr>
                <w:color w:val="000000"/>
                <w:sz w:val="22"/>
                <w:szCs w:val="24"/>
              </w:rPr>
              <w:t>Availability</w:t>
            </w:r>
          </w:p>
        </w:tc>
        <w:tc>
          <w:tcPr>
            <w:tcW w:w="4248" w:type="dxa"/>
          </w:tcPr>
          <w:p w14:paraId="21403C93" w14:textId="77777777" w:rsidR="006F1B12" w:rsidRPr="00277198" w:rsidRDefault="006F1B12" w:rsidP="00957D67">
            <w:pPr>
              <w:keepLines/>
              <w:jc w:val="left"/>
              <w:rPr>
                <w:sz w:val="22"/>
                <w:szCs w:val="24"/>
              </w:rPr>
            </w:pPr>
            <w:r w:rsidRPr="00277198">
              <w:rPr>
                <w:color w:val="000000"/>
                <w:sz w:val="22"/>
                <w:szCs w:val="24"/>
              </w:rPr>
              <w:t>Full text available with sufficient methodological and findings detail.</w:t>
            </w:r>
          </w:p>
        </w:tc>
        <w:tc>
          <w:tcPr>
            <w:tcW w:w="4032" w:type="dxa"/>
          </w:tcPr>
          <w:p w14:paraId="38609B2F" w14:textId="77777777" w:rsidR="006F1B12" w:rsidRPr="00277198" w:rsidRDefault="006F1B12" w:rsidP="00957D67">
            <w:pPr>
              <w:keepLines/>
              <w:jc w:val="left"/>
              <w:rPr>
                <w:sz w:val="22"/>
                <w:szCs w:val="24"/>
              </w:rPr>
            </w:pPr>
            <w:r w:rsidRPr="00277198">
              <w:rPr>
                <w:color w:val="000000"/>
                <w:sz w:val="22"/>
                <w:szCs w:val="24"/>
              </w:rPr>
              <w:t>Full text unobtainable or insufficient empirical detail for appraisal and extraction.</w:t>
            </w:r>
          </w:p>
        </w:tc>
      </w:tr>
    </w:tbl>
    <w:p w14:paraId="209BA8E8" w14:textId="77777777" w:rsidR="006F1B12" w:rsidRPr="00277198" w:rsidRDefault="006F1B12" w:rsidP="006F1B12">
      <w:pPr>
        <w:spacing w:after="0"/>
        <w:rPr>
          <w:sz w:val="22"/>
        </w:rPr>
      </w:pPr>
    </w:p>
    <w:p w14:paraId="0EAB8CF3" w14:textId="77777777" w:rsidR="006F1B12" w:rsidRPr="00277198" w:rsidRDefault="006F1B12" w:rsidP="006F1B12">
      <w:pPr>
        <w:spacing w:after="0"/>
        <w:rPr>
          <w:sz w:val="22"/>
        </w:rPr>
      </w:pPr>
      <w:r w:rsidRPr="00277198">
        <w:rPr>
          <w:sz w:val="22"/>
        </w:rPr>
        <w:t>When both mixed-methods and quantitative studies were included, and findings were deducible to practice, knowledge, attitudes, implementation, or guideline concordance or stewardship safeguards, the result was acceptable for the study to be included. Editorials and opinion pieces, conference abstracts with insufficient data, protocols without any data and non-systematic commentary were excluded. There was no official UK policy or guidance referenced to provide context for interpretation, but it was not included as one of the 15 key analytical articles. Studies that were conducted across multiple sites/settings or countries were only included if the individual findings from the UK community setting could be extracted.</w:t>
      </w:r>
    </w:p>
    <w:p w14:paraId="664AF063" w14:textId="77777777" w:rsidR="006F1B12" w:rsidRPr="00277198" w:rsidRDefault="006F1B12" w:rsidP="00277198">
      <w:pPr>
        <w:pStyle w:val="Heading2"/>
      </w:pPr>
      <w:bookmarkStart w:id="62" w:name="_Toc237277564"/>
      <w:bookmarkStart w:id="63" w:name="_Toc240928041"/>
      <w:r w:rsidRPr="00277198">
        <w:t>3.8 Study Selection and Screening Outcome</w:t>
      </w:r>
      <w:bookmarkEnd w:id="62"/>
      <w:bookmarkEnd w:id="63"/>
    </w:p>
    <w:p w14:paraId="63F4E2F3" w14:textId="77777777" w:rsidR="006F1B12" w:rsidRPr="00277198" w:rsidRDefault="006F1B12" w:rsidP="006F1B12">
      <w:pPr>
        <w:spacing w:after="0"/>
        <w:rPr>
          <w:sz w:val="22"/>
        </w:rPr>
      </w:pPr>
      <w:r w:rsidRPr="00277198">
        <w:rPr>
          <w:sz w:val="22"/>
        </w:rPr>
        <w:t>All citations were accessed into one reference-management file and de-duplicated there and then manually checked for author, publication year, title and DOI. Screening was done in two stages. The titles and abstracts were first evaluated based on the specified criteria. Records, if clearly not relevant, were deleted, and unsure records were moved to full text. Second, the full texts were evaluated, and one primary reason for rejection was marked for every rejected article. It was conducted in a conservative manner to minimise the risk of excluding eligible studies due to incomplete abstracts, and in keeping with recommended evidence-selection practice (Higgins et al., 2024; Page et al., 2021b).</w:t>
      </w:r>
    </w:p>
    <w:p w14:paraId="44B36E13" w14:textId="6B51C94D" w:rsidR="006F1B12" w:rsidRPr="00277198" w:rsidRDefault="006F1B12" w:rsidP="006F1B12">
      <w:pPr>
        <w:spacing w:after="0"/>
        <w:rPr>
          <w:sz w:val="22"/>
        </w:rPr>
      </w:pPr>
      <w:r w:rsidRPr="00277198">
        <w:rPr>
          <w:sz w:val="22"/>
        </w:rPr>
        <w:t xml:space="preserve">The consolidated search identified 411 records, and finally 15 articles were used for the synthesis. Results: Ninety-six duplicate results were eliminated from the supply, leaving 315 records for title and abstract screening. Out of these, 233 were excluded, 82 reports were requested, and four were unavailable. 78 full-texts were evaluated; 55 </w:t>
      </w:r>
      <w:r w:rsidR="006D5C59" w:rsidRPr="00277198">
        <w:rPr>
          <w:sz w:val="22"/>
        </w:rPr>
        <w:t xml:space="preserve">were excluded against </w:t>
      </w:r>
      <w:r w:rsidRPr="00277198">
        <w:rPr>
          <w:sz w:val="22"/>
        </w:rPr>
        <w:t>the eligibility criteria, and 23 were critically appraised. The net result of the above was 15 articles included: 8 articles were omitted because they failed to achieve the methodological-quality criterion of below 50%.</w:t>
      </w:r>
    </w:p>
    <w:p w14:paraId="3292BB06" w14:textId="77777777" w:rsidR="006F1B12" w:rsidRPr="00277198" w:rsidRDefault="006F1B12" w:rsidP="006F1B12">
      <w:pPr>
        <w:rPr>
          <w:sz w:val="22"/>
        </w:rPr>
      </w:pPr>
      <w:r w:rsidRPr="00277198">
        <w:rPr>
          <w:sz w:val="22"/>
        </w:rPr>
        <w:t>Table 3.3: Reconciled PRISMA screening pathway</w:t>
      </w:r>
    </w:p>
    <w:tbl>
      <w:tblPr>
        <w:tblStyle w:val="TableGrid"/>
        <w:tblW w:w="0" w:type="auto"/>
        <w:tblLayout w:type="fixed"/>
        <w:tblLook w:val="04A0" w:firstRow="1" w:lastRow="0" w:firstColumn="1" w:lastColumn="0" w:noHBand="0" w:noVBand="1"/>
      </w:tblPr>
      <w:tblGrid>
        <w:gridCol w:w="3528"/>
        <w:gridCol w:w="1080"/>
        <w:gridCol w:w="5472"/>
      </w:tblGrid>
      <w:tr w:rsidR="006F1B12" w:rsidRPr="00277198" w14:paraId="0401C9DB" w14:textId="77777777" w:rsidTr="00957D67">
        <w:tc>
          <w:tcPr>
            <w:tcW w:w="3528" w:type="dxa"/>
          </w:tcPr>
          <w:p w14:paraId="421DB324" w14:textId="77777777" w:rsidR="006F1B12" w:rsidRPr="00277198" w:rsidRDefault="006F1B12" w:rsidP="00957D67">
            <w:pPr>
              <w:keepLines/>
              <w:jc w:val="left"/>
              <w:rPr>
                <w:sz w:val="22"/>
                <w:szCs w:val="24"/>
              </w:rPr>
            </w:pPr>
            <w:r w:rsidRPr="00277198">
              <w:rPr>
                <w:b/>
                <w:sz w:val="22"/>
                <w:szCs w:val="24"/>
              </w:rPr>
              <w:t>Stage</w:t>
            </w:r>
          </w:p>
        </w:tc>
        <w:tc>
          <w:tcPr>
            <w:tcW w:w="1080" w:type="dxa"/>
          </w:tcPr>
          <w:p w14:paraId="086E3D61" w14:textId="77777777" w:rsidR="006F1B12" w:rsidRPr="00277198" w:rsidRDefault="006F1B12" w:rsidP="00957D67">
            <w:pPr>
              <w:keepLines/>
              <w:jc w:val="left"/>
              <w:rPr>
                <w:sz w:val="22"/>
                <w:szCs w:val="24"/>
              </w:rPr>
            </w:pPr>
            <w:r w:rsidRPr="00277198">
              <w:rPr>
                <w:b/>
                <w:sz w:val="22"/>
                <w:szCs w:val="24"/>
              </w:rPr>
              <w:t>Number</w:t>
            </w:r>
          </w:p>
        </w:tc>
        <w:tc>
          <w:tcPr>
            <w:tcW w:w="5472" w:type="dxa"/>
          </w:tcPr>
          <w:p w14:paraId="083568CA" w14:textId="77777777" w:rsidR="006F1B12" w:rsidRPr="00277198" w:rsidRDefault="006F1B12" w:rsidP="00957D67">
            <w:pPr>
              <w:keepLines/>
              <w:jc w:val="left"/>
              <w:rPr>
                <w:sz w:val="22"/>
                <w:szCs w:val="24"/>
              </w:rPr>
            </w:pPr>
            <w:r w:rsidRPr="00277198">
              <w:rPr>
                <w:b/>
                <w:sz w:val="22"/>
                <w:szCs w:val="24"/>
              </w:rPr>
              <w:t>Outcome</w:t>
            </w:r>
          </w:p>
        </w:tc>
      </w:tr>
      <w:tr w:rsidR="006F1B12" w:rsidRPr="00277198" w14:paraId="5F403A96" w14:textId="77777777" w:rsidTr="00957D67">
        <w:tc>
          <w:tcPr>
            <w:tcW w:w="3528" w:type="dxa"/>
          </w:tcPr>
          <w:p w14:paraId="53A97A13" w14:textId="77777777" w:rsidR="006F1B12" w:rsidRPr="00277198" w:rsidRDefault="006F1B12" w:rsidP="00957D67">
            <w:pPr>
              <w:keepLines/>
              <w:jc w:val="left"/>
              <w:rPr>
                <w:sz w:val="22"/>
                <w:szCs w:val="24"/>
              </w:rPr>
            </w:pPr>
            <w:r w:rsidRPr="00277198">
              <w:rPr>
                <w:sz w:val="22"/>
                <w:szCs w:val="24"/>
              </w:rPr>
              <w:t>Records identified</w:t>
            </w:r>
          </w:p>
        </w:tc>
        <w:tc>
          <w:tcPr>
            <w:tcW w:w="1080" w:type="dxa"/>
          </w:tcPr>
          <w:p w14:paraId="27BD087D" w14:textId="77777777" w:rsidR="006F1B12" w:rsidRPr="00277198" w:rsidRDefault="006F1B12" w:rsidP="00957D67">
            <w:pPr>
              <w:keepLines/>
              <w:jc w:val="left"/>
              <w:rPr>
                <w:sz w:val="22"/>
                <w:szCs w:val="24"/>
              </w:rPr>
            </w:pPr>
            <w:r w:rsidRPr="00277198">
              <w:rPr>
                <w:sz w:val="22"/>
                <w:szCs w:val="24"/>
              </w:rPr>
              <w:t>411</w:t>
            </w:r>
          </w:p>
        </w:tc>
        <w:tc>
          <w:tcPr>
            <w:tcW w:w="5472" w:type="dxa"/>
          </w:tcPr>
          <w:p w14:paraId="19FB783B" w14:textId="77777777" w:rsidR="006F1B12" w:rsidRPr="00277198" w:rsidRDefault="006F1B12" w:rsidP="00957D67">
            <w:pPr>
              <w:keepLines/>
              <w:jc w:val="left"/>
              <w:rPr>
                <w:sz w:val="22"/>
                <w:szCs w:val="24"/>
              </w:rPr>
            </w:pPr>
            <w:r w:rsidRPr="00277198">
              <w:rPr>
                <w:sz w:val="22"/>
                <w:szCs w:val="24"/>
              </w:rPr>
              <w:t>All bibliographic and supplementary sources combined.</w:t>
            </w:r>
          </w:p>
        </w:tc>
      </w:tr>
      <w:tr w:rsidR="006F1B12" w:rsidRPr="00277198" w14:paraId="09E66687" w14:textId="77777777" w:rsidTr="00957D67">
        <w:tc>
          <w:tcPr>
            <w:tcW w:w="3528" w:type="dxa"/>
          </w:tcPr>
          <w:p w14:paraId="3E146D73" w14:textId="77777777" w:rsidR="006F1B12" w:rsidRPr="00277198" w:rsidRDefault="006F1B12" w:rsidP="00957D67">
            <w:pPr>
              <w:keepLines/>
              <w:jc w:val="left"/>
              <w:rPr>
                <w:sz w:val="22"/>
                <w:szCs w:val="24"/>
              </w:rPr>
            </w:pPr>
            <w:r w:rsidRPr="00277198">
              <w:rPr>
                <w:sz w:val="22"/>
                <w:szCs w:val="24"/>
              </w:rPr>
              <w:t>Duplicate records removed</w:t>
            </w:r>
          </w:p>
        </w:tc>
        <w:tc>
          <w:tcPr>
            <w:tcW w:w="1080" w:type="dxa"/>
          </w:tcPr>
          <w:p w14:paraId="30B7B044" w14:textId="77777777" w:rsidR="006F1B12" w:rsidRPr="00277198" w:rsidRDefault="006F1B12" w:rsidP="00957D67">
            <w:pPr>
              <w:keepLines/>
              <w:jc w:val="left"/>
              <w:rPr>
                <w:sz w:val="22"/>
                <w:szCs w:val="24"/>
              </w:rPr>
            </w:pPr>
            <w:r w:rsidRPr="00277198">
              <w:rPr>
                <w:sz w:val="22"/>
                <w:szCs w:val="24"/>
              </w:rPr>
              <w:t>96</w:t>
            </w:r>
          </w:p>
        </w:tc>
        <w:tc>
          <w:tcPr>
            <w:tcW w:w="5472" w:type="dxa"/>
          </w:tcPr>
          <w:p w14:paraId="11F1F23A" w14:textId="77777777" w:rsidR="006F1B12" w:rsidRPr="00277198" w:rsidRDefault="006F1B12" w:rsidP="00957D67">
            <w:pPr>
              <w:keepLines/>
              <w:jc w:val="left"/>
              <w:rPr>
                <w:sz w:val="22"/>
                <w:szCs w:val="24"/>
              </w:rPr>
            </w:pPr>
            <w:r w:rsidRPr="00277198">
              <w:rPr>
                <w:sz w:val="22"/>
                <w:szCs w:val="24"/>
              </w:rPr>
              <w:t>315 unique records remained.</w:t>
            </w:r>
          </w:p>
        </w:tc>
      </w:tr>
      <w:tr w:rsidR="006F1B12" w:rsidRPr="00277198" w14:paraId="5F81F912" w14:textId="77777777" w:rsidTr="00957D67">
        <w:tc>
          <w:tcPr>
            <w:tcW w:w="3528" w:type="dxa"/>
          </w:tcPr>
          <w:p w14:paraId="66F7F925" w14:textId="77777777" w:rsidR="006F1B12" w:rsidRPr="00277198" w:rsidRDefault="006F1B12" w:rsidP="00957D67">
            <w:pPr>
              <w:keepLines/>
              <w:jc w:val="left"/>
              <w:rPr>
                <w:sz w:val="22"/>
                <w:szCs w:val="24"/>
              </w:rPr>
            </w:pPr>
            <w:r w:rsidRPr="00277198">
              <w:rPr>
                <w:sz w:val="22"/>
                <w:szCs w:val="24"/>
              </w:rPr>
              <w:t>Titles and abstracts screened</w:t>
            </w:r>
          </w:p>
        </w:tc>
        <w:tc>
          <w:tcPr>
            <w:tcW w:w="1080" w:type="dxa"/>
          </w:tcPr>
          <w:p w14:paraId="521DF1CF" w14:textId="77777777" w:rsidR="006F1B12" w:rsidRPr="00277198" w:rsidRDefault="006F1B12" w:rsidP="00957D67">
            <w:pPr>
              <w:keepLines/>
              <w:jc w:val="left"/>
              <w:rPr>
                <w:sz w:val="22"/>
                <w:szCs w:val="24"/>
              </w:rPr>
            </w:pPr>
            <w:r w:rsidRPr="00277198">
              <w:rPr>
                <w:sz w:val="22"/>
                <w:szCs w:val="24"/>
              </w:rPr>
              <w:t>315</w:t>
            </w:r>
          </w:p>
        </w:tc>
        <w:tc>
          <w:tcPr>
            <w:tcW w:w="5472" w:type="dxa"/>
          </w:tcPr>
          <w:p w14:paraId="61D26538" w14:textId="77777777" w:rsidR="006F1B12" w:rsidRPr="00277198" w:rsidRDefault="006F1B12" w:rsidP="00957D67">
            <w:pPr>
              <w:keepLines/>
              <w:jc w:val="left"/>
              <w:rPr>
                <w:sz w:val="22"/>
                <w:szCs w:val="24"/>
              </w:rPr>
            </w:pPr>
            <w:r w:rsidRPr="00277198">
              <w:rPr>
                <w:sz w:val="22"/>
                <w:szCs w:val="24"/>
              </w:rPr>
              <w:t>233 records excluded.</w:t>
            </w:r>
          </w:p>
        </w:tc>
      </w:tr>
      <w:tr w:rsidR="006F1B12" w:rsidRPr="00277198" w14:paraId="30F389C7" w14:textId="77777777" w:rsidTr="00957D67">
        <w:tc>
          <w:tcPr>
            <w:tcW w:w="3528" w:type="dxa"/>
          </w:tcPr>
          <w:p w14:paraId="183D1EAE" w14:textId="77777777" w:rsidR="006F1B12" w:rsidRPr="00277198" w:rsidRDefault="006F1B12" w:rsidP="00957D67">
            <w:pPr>
              <w:keepLines/>
              <w:jc w:val="left"/>
              <w:rPr>
                <w:sz w:val="22"/>
                <w:szCs w:val="24"/>
              </w:rPr>
            </w:pPr>
            <w:r w:rsidRPr="00277198">
              <w:rPr>
                <w:sz w:val="22"/>
                <w:szCs w:val="24"/>
              </w:rPr>
              <w:t>Reports sought for retrieval</w:t>
            </w:r>
          </w:p>
        </w:tc>
        <w:tc>
          <w:tcPr>
            <w:tcW w:w="1080" w:type="dxa"/>
          </w:tcPr>
          <w:p w14:paraId="7BCEA557" w14:textId="77777777" w:rsidR="006F1B12" w:rsidRPr="00277198" w:rsidRDefault="006F1B12" w:rsidP="00957D67">
            <w:pPr>
              <w:keepLines/>
              <w:jc w:val="left"/>
              <w:rPr>
                <w:sz w:val="22"/>
                <w:szCs w:val="24"/>
              </w:rPr>
            </w:pPr>
            <w:r w:rsidRPr="00277198">
              <w:rPr>
                <w:sz w:val="22"/>
                <w:szCs w:val="24"/>
              </w:rPr>
              <w:t>82</w:t>
            </w:r>
          </w:p>
        </w:tc>
        <w:tc>
          <w:tcPr>
            <w:tcW w:w="5472" w:type="dxa"/>
          </w:tcPr>
          <w:p w14:paraId="41A9FA49" w14:textId="77777777" w:rsidR="006F1B12" w:rsidRPr="00277198" w:rsidRDefault="006F1B12" w:rsidP="00957D67">
            <w:pPr>
              <w:keepLines/>
              <w:jc w:val="left"/>
              <w:rPr>
                <w:sz w:val="22"/>
                <w:szCs w:val="24"/>
              </w:rPr>
            </w:pPr>
            <w:r w:rsidRPr="00277198">
              <w:rPr>
                <w:sz w:val="22"/>
                <w:szCs w:val="24"/>
              </w:rPr>
              <w:t>Four reports could not be retrieved.</w:t>
            </w:r>
          </w:p>
        </w:tc>
      </w:tr>
      <w:tr w:rsidR="006F1B12" w:rsidRPr="00277198" w14:paraId="08CF564D" w14:textId="77777777" w:rsidTr="00957D67">
        <w:tc>
          <w:tcPr>
            <w:tcW w:w="3528" w:type="dxa"/>
          </w:tcPr>
          <w:p w14:paraId="09F9672C" w14:textId="77777777" w:rsidR="006F1B12" w:rsidRPr="00277198" w:rsidRDefault="006F1B12" w:rsidP="00957D67">
            <w:pPr>
              <w:keepLines/>
              <w:jc w:val="left"/>
              <w:rPr>
                <w:sz w:val="22"/>
                <w:szCs w:val="24"/>
              </w:rPr>
            </w:pPr>
            <w:r w:rsidRPr="00277198">
              <w:rPr>
                <w:sz w:val="22"/>
                <w:szCs w:val="24"/>
              </w:rPr>
              <w:t>Full-text reports assessed</w:t>
            </w:r>
          </w:p>
        </w:tc>
        <w:tc>
          <w:tcPr>
            <w:tcW w:w="1080" w:type="dxa"/>
          </w:tcPr>
          <w:p w14:paraId="3FF7A839" w14:textId="77777777" w:rsidR="006F1B12" w:rsidRPr="00277198" w:rsidRDefault="006F1B12" w:rsidP="00957D67">
            <w:pPr>
              <w:keepLines/>
              <w:jc w:val="left"/>
              <w:rPr>
                <w:sz w:val="22"/>
                <w:szCs w:val="24"/>
              </w:rPr>
            </w:pPr>
            <w:r w:rsidRPr="00277198">
              <w:rPr>
                <w:sz w:val="22"/>
                <w:szCs w:val="24"/>
              </w:rPr>
              <w:t>78</w:t>
            </w:r>
          </w:p>
        </w:tc>
        <w:tc>
          <w:tcPr>
            <w:tcW w:w="5472" w:type="dxa"/>
          </w:tcPr>
          <w:p w14:paraId="1AFD771D" w14:textId="77777777" w:rsidR="006F1B12" w:rsidRPr="00277198" w:rsidRDefault="006F1B12" w:rsidP="00957D67">
            <w:pPr>
              <w:keepLines/>
              <w:jc w:val="left"/>
              <w:rPr>
                <w:sz w:val="22"/>
                <w:szCs w:val="24"/>
              </w:rPr>
            </w:pPr>
            <w:r w:rsidRPr="00277198">
              <w:rPr>
                <w:sz w:val="22"/>
                <w:szCs w:val="24"/>
              </w:rPr>
              <w:t>55 reports excluded against eligibility criteria.</w:t>
            </w:r>
          </w:p>
        </w:tc>
      </w:tr>
      <w:tr w:rsidR="006F1B12" w:rsidRPr="00277198" w14:paraId="292B1C6D" w14:textId="77777777" w:rsidTr="00957D67">
        <w:tc>
          <w:tcPr>
            <w:tcW w:w="3528" w:type="dxa"/>
          </w:tcPr>
          <w:p w14:paraId="152E7562" w14:textId="77777777" w:rsidR="006F1B12" w:rsidRPr="00277198" w:rsidRDefault="006F1B12" w:rsidP="00957D67">
            <w:pPr>
              <w:keepLines/>
              <w:jc w:val="left"/>
              <w:rPr>
                <w:sz w:val="22"/>
                <w:szCs w:val="24"/>
              </w:rPr>
            </w:pPr>
            <w:r w:rsidRPr="00277198">
              <w:rPr>
                <w:sz w:val="22"/>
                <w:szCs w:val="24"/>
              </w:rPr>
              <w:t>Articles entering quality appraisal</w:t>
            </w:r>
          </w:p>
        </w:tc>
        <w:tc>
          <w:tcPr>
            <w:tcW w:w="1080" w:type="dxa"/>
          </w:tcPr>
          <w:p w14:paraId="3259E6ED" w14:textId="77777777" w:rsidR="006F1B12" w:rsidRPr="00277198" w:rsidRDefault="006F1B12" w:rsidP="00957D67">
            <w:pPr>
              <w:keepLines/>
              <w:jc w:val="left"/>
              <w:rPr>
                <w:sz w:val="22"/>
                <w:szCs w:val="24"/>
              </w:rPr>
            </w:pPr>
            <w:r w:rsidRPr="00277198">
              <w:rPr>
                <w:sz w:val="22"/>
                <w:szCs w:val="24"/>
              </w:rPr>
              <w:t>23</w:t>
            </w:r>
          </w:p>
        </w:tc>
        <w:tc>
          <w:tcPr>
            <w:tcW w:w="5472" w:type="dxa"/>
          </w:tcPr>
          <w:p w14:paraId="3DFCE006" w14:textId="77777777" w:rsidR="006F1B12" w:rsidRPr="00277198" w:rsidRDefault="006F1B12" w:rsidP="00957D67">
            <w:pPr>
              <w:keepLines/>
              <w:jc w:val="left"/>
              <w:rPr>
                <w:sz w:val="22"/>
                <w:szCs w:val="24"/>
              </w:rPr>
            </w:pPr>
            <w:r w:rsidRPr="00277198">
              <w:rPr>
                <w:sz w:val="22"/>
                <w:szCs w:val="24"/>
              </w:rPr>
              <w:t>Eight scored below the 50% CASP threshold.</w:t>
            </w:r>
          </w:p>
        </w:tc>
      </w:tr>
      <w:tr w:rsidR="006F1B12" w:rsidRPr="00277198" w14:paraId="5365F3F0" w14:textId="77777777" w:rsidTr="00957D67">
        <w:tc>
          <w:tcPr>
            <w:tcW w:w="3528" w:type="dxa"/>
          </w:tcPr>
          <w:p w14:paraId="75EE37B1" w14:textId="77777777" w:rsidR="006F1B12" w:rsidRPr="00277198" w:rsidRDefault="006F1B12" w:rsidP="00957D67">
            <w:pPr>
              <w:keepLines/>
              <w:jc w:val="left"/>
              <w:rPr>
                <w:sz w:val="22"/>
                <w:szCs w:val="24"/>
              </w:rPr>
            </w:pPr>
            <w:r w:rsidRPr="00277198">
              <w:rPr>
                <w:sz w:val="22"/>
                <w:szCs w:val="24"/>
              </w:rPr>
              <w:t>Articles included in synthesis</w:t>
            </w:r>
          </w:p>
        </w:tc>
        <w:tc>
          <w:tcPr>
            <w:tcW w:w="1080" w:type="dxa"/>
          </w:tcPr>
          <w:p w14:paraId="4EDB870C" w14:textId="77777777" w:rsidR="006F1B12" w:rsidRPr="00277198" w:rsidRDefault="006F1B12" w:rsidP="00957D67">
            <w:pPr>
              <w:keepLines/>
              <w:jc w:val="left"/>
              <w:rPr>
                <w:sz w:val="22"/>
                <w:szCs w:val="24"/>
              </w:rPr>
            </w:pPr>
            <w:r w:rsidRPr="00277198">
              <w:rPr>
                <w:sz w:val="22"/>
                <w:szCs w:val="24"/>
              </w:rPr>
              <w:t>15</w:t>
            </w:r>
          </w:p>
        </w:tc>
        <w:tc>
          <w:tcPr>
            <w:tcW w:w="5472" w:type="dxa"/>
          </w:tcPr>
          <w:p w14:paraId="56D8BA0A" w14:textId="77777777" w:rsidR="006F1B12" w:rsidRPr="00277198" w:rsidRDefault="006F1B12" w:rsidP="00957D67">
            <w:pPr>
              <w:keepLines/>
              <w:jc w:val="left"/>
              <w:rPr>
                <w:sz w:val="22"/>
                <w:szCs w:val="24"/>
              </w:rPr>
            </w:pPr>
            <w:r w:rsidRPr="00277198">
              <w:rPr>
                <w:sz w:val="22"/>
                <w:szCs w:val="24"/>
              </w:rPr>
              <w:t>Final analytical sample.</w:t>
            </w:r>
          </w:p>
        </w:tc>
      </w:tr>
    </w:tbl>
    <w:p w14:paraId="094C2405" w14:textId="77777777" w:rsidR="006F1B12" w:rsidRPr="00277198" w:rsidRDefault="006F1B12" w:rsidP="006F1B12">
      <w:pPr>
        <w:spacing w:after="0"/>
        <w:rPr>
          <w:sz w:val="22"/>
        </w:rPr>
      </w:pPr>
    </w:p>
    <w:p w14:paraId="490E8186" w14:textId="77777777" w:rsidR="006F1B12" w:rsidRPr="00277198" w:rsidRDefault="006F1B12" w:rsidP="006F1B12">
      <w:pPr>
        <w:spacing w:after="0"/>
        <w:rPr>
          <w:sz w:val="22"/>
        </w:rPr>
      </w:pPr>
      <w:r w:rsidRPr="00277198">
        <w:rPr>
          <w:sz w:val="22"/>
        </w:rPr>
        <w:t>The intermediate figures are a reconciled screening schedule for this chapter that must match the exported, screening and appraisal figures in the dissertation audit trail. Records, reports and included studies were differentiated using PRISMA 2020 terminology and sequencing (Page et al., 2021a). Due to the screening being done in a single-researcher Master's project, a second independent reviewer was not available. In order to minimise ambiguity, criteria were first tested on a small sample, and ambiguous decisions were reviewed and reconsidered following a time delay, and the reasons were verified with the protocol prior to final inclusion.</w:t>
      </w:r>
    </w:p>
    <w:p w14:paraId="4C8BC3E0" w14:textId="77777777" w:rsidR="006F1B12" w:rsidRPr="00277198" w:rsidRDefault="006F1B12" w:rsidP="006F1B12">
      <w:pPr>
        <w:spacing w:after="0"/>
        <w:rPr>
          <w:sz w:val="22"/>
        </w:rPr>
      </w:pPr>
      <w:r w:rsidRPr="00277198">
        <w:rPr>
          <w:sz w:val="22"/>
        </w:rPr>
        <w:t>Eligibility decisions were made prior to scoring for methodological weakness, ensuring it was not attributed as irrelevance at full text. There was a hierarchical approach for the reasons of exclusion: wrong country, wrong setting, no antibiotic or stewardship focus, ineligible publication type, date or language out of scope, no separable community-pharmacy data, and insufficient empirical findings. One reason was noted per report, thus avoiding double counts for the PRISMA diagram. The follow-up actions taken on the borderline cases were entered in a query log, which recorded the necessary criterion, the evidence in the paper, and the final decision.</w:t>
      </w:r>
    </w:p>
    <w:p w14:paraId="28E64C2E" w14:textId="77777777" w:rsidR="006F1B12" w:rsidRPr="00277198" w:rsidRDefault="006F1B12" w:rsidP="00277198">
      <w:pPr>
        <w:pStyle w:val="Heading2"/>
      </w:pPr>
      <w:bookmarkStart w:id="64" w:name="_Toc237277565"/>
      <w:bookmarkStart w:id="65" w:name="_Toc240928042"/>
      <w:r w:rsidRPr="00277198">
        <w:t>3.9 Quality Appraisal</w:t>
      </w:r>
      <w:bookmarkEnd w:id="64"/>
      <w:bookmarkEnd w:id="65"/>
    </w:p>
    <w:p w14:paraId="26055874" w14:textId="77777777" w:rsidR="006F1B12" w:rsidRPr="00277198" w:rsidRDefault="006F1B12" w:rsidP="006F1B12">
      <w:pPr>
        <w:spacing w:after="0"/>
        <w:rPr>
          <w:sz w:val="22"/>
        </w:rPr>
      </w:pPr>
      <w:r w:rsidRPr="00277198">
        <w:rPr>
          <w:sz w:val="22"/>
        </w:rPr>
        <w:t>Appraisal of the 23 eligible articles was carried out using the CASP Qualitative Studies Checklist, and appropriate criteria were used for the qualitative aspects of mixed-methods studies (CASP, 2024). The checklist focused on the clarity of goals, methodology and design, recruitment, data collection, researcher-participant relationships, ethics, analytic rigour, results and value. There were 29 applicable items, and each one was noted as yes, no or not applicable. Yes, received one point, and no or cannot tell received zero; for transparent thresholding, non-applicable items were removed from the denominator. Items were scored as a percentage to guarantee points equal 100 when applicable.</w:t>
      </w:r>
    </w:p>
    <w:p w14:paraId="361F2884" w14:textId="77777777" w:rsidR="006F1B12" w:rsidRPr="00277198" w:rsidRDefault="006F1B12" w:rsidP="006F1B12">
      <w:pPr>
        <w:spacing w:after="0"/>
        <w:rPr>
          <w:sz w:val="22"/>
        </w:rPr>
      </w:pPr>
      <w:r w:rsidRPr="00277198">
        <w:rPr>
          <w:sz w:val="22"/>
        </w:rPr>
        <w:t>Any articles with less than 50% were not included, whereas articles with 50% to 69% were considered moderate and of higher quality if 70% to 100%. There were 8 articles that did not meet the criteria and 15 articles that did. The numerical score was used only as a decision aid rather than to replace the judgement. Appraisal notes were made to determine if sampling, reflexivity, data collection and analysis were limitations, and these limitations were used to inform the weight afforded to the findings during the synthesis. This maintains methodological trustworthiness and reporting completeness (Carroll et al., 2013; Noyes et al., 2018).</w:t>
      </w:r>
    </w:p>
    <w:p w14:paraId="646229A4" w14:textId="77777777" w:rsidR="006F1B12" w:rsidRPr="00277198" w:rsidRDefault="006F1B12" w:rsidP="00277198">
      <w:pPr>
        <w:pStyle w:val="Heading2"/>
      </w:pPr>
      <w:bookmarkStart w:id="66" w:name="_Toc237277566"/>
      <w:bookmarkStart w:id="67" w:name="_Toc240928043"/>
      <w:r w:rsidRPr="00277198">
        <w:t>3.10 Data Extraction and Management</w:t>
      </w:r>
      <w:bookmarkEnd w:id="66"/>
      <w:bookmarkEnd w:id="67"/>
    </w:p>
    <w:p w14:paraId="24E462AE" w14:textId="77777777" w:rsidR="006F1B12" w:rsidRPr="00277198" w:rsidRDefault="006F1B12" w:rsidP="006F1B12">
      <w:pPr>
        <w:spacing w:after="0"/>
        <w:rPr>
          <w:sz w:val="22"/>
        </w:rPr>
      </w:pPr>
      <w:r w:rsidRPr="00277198">
        <w:rPr>
          <w:sz w:val="22"/>
        </w:rPr>
        <w:t>As a pilot, a standardised extraction form was tried on 3 articles included in the sample and then fine-tuned prior to full extraction. Fields included were: Citation, Adequacy of the aim, UK nation, Setting, Design, Sample, Participant group, Pharmacy service, Antibiotic-related activity, Method of data collection, Analytical approach, Principal findings, Barriers, Facilitators, Safeguards, Recommendations and limitations reported by the authors and CASP judgement. Data relevant to the review question were extracted from mixed-method articles. Verbatim participant quotations were identified as such, rather than as interpretations or primary-author explanations, so as to create an evidential chain.</w:t>
      </w:r>
    </w:p>
    <w:p w14:paraId="68AA687A" w14:textId="77777777" w:rsidR="006F1B12" w:rsidRPr="00277198" w:rsidRDefault="006F1B12" w:rsidP="006F1B12">
      <w:pPr>
        <w:spacing w:after="0"/>
        <w:rPr>
          <w:sz w:val="22"/>
        </w:rPr>
      </w:pPr>
      <w:r w:rsidRPr="00277198">
        <w:rPr>
          <w:sz w:val="22"/>
        </w:rPr>
        <w:t>The form also included the antibiotic activity related to prescribing, dispensing, OTC requests, counselling, referral or service implementation. This separation was required because the review question covers a number of professional actions that have legal and stewardship implications. A second-pass verification checked each statement reflecting the theme with respect to the source page and discarded statements that did not correspond with any empirical information.</w:t>
      </w:r>
    </w:p>
    <w:p w14:paraId="6C770428" w14:textId="77777777" w:rsidR="006F1B12" w:rsidRPr="00277198" w:rsidRDefault="006F1B12" w:rsidP="006F1B12">
      <w:pPr>
        <w:spacing w:after="0"/>
        <w:rPr>
          <w:sz w:val="22"/>
        </w:rPr>
      </w:pPr>
      <w:r w:rsidRPr="00277198">
        <w:rPr>
          <w:sz w:val="22"/>
        </w:rPr>
        <w:t>The extraction was done in a conceptual and systematic spreadsheet and verified against every full text. The extraction sheet, the appraisal form, and the coding record were related by study identifiers. Some characteristics found in reporting were captured when available, such as the researcher's role, sampling and analytical transparency, which help to interpret the qualitative claims (Tong et al., 2007; O'Brien et al., 2014). No information missing, yet to be reported, not so much implied as reported.</w:t>
      </w:r>
    </w:p>
    <w:p w14:paraId="2CE76BB1" w14:textId="77777777" w:rsidR="006F1B12" w:rsidRPr="00277198" w:rsidRDefault="006F1B12" w:rsidP="00277198">
      <w:pPr>
        <w:pStyle w:val="Heading2"/>
      </w:pPr>
      <w:bookmarkStart w:id="68" w:name="_Toc237277567"/>
      <w:bookmarkStart w:id="69" w:name="_Toc240928044"/>
      <w:r w:rsidRPr="00277198">
        <w:t>3.11 Data Synthesis and Analysis</w:t>
      </w:r>
      <w:bookmarkEnd w:id="68"/>
      <w:bookmarkEnd w:id="69"/>
    </w:p>
    <w:p w14:paraId="451B3433" w14:textId="77777777" w:rsidR="006F1B12" w:rsidRPr="00277198" w:rsidRDefault="006F1B12" w:rsidP="006F1B12">
      <w:pPr>
        <w:spacing w:after="0"/>
        <w:rPr>
          <w:sz w:val="22"/>
        </w:rPr>
      </w:pPr>
      <w:r w:rsidRPr="00277198">
        <w:rPr>
          <w:sz w:val="22"/>
        </w:rPr>
        <w:t>This evidence was analysed using a thematic synthesis approach, inspired by Thomas and Harden's (2008) 6-stage method, which involved line-by-line coding of themes that emerged from the evidence, descriptive coding of themes and then the generation of higher-order themes which answered the review question. The result/coding corpus was used as the main coding, with relevant discussion texts when they were clearly the findings of the study. Coding was inductive at the beginning, to allow for unforeseen problems to arise.</w:t>
      </w:r>
    </w:p>
    <w:p w14:paraId="3FAE6CA2" w14:textId="77777777" w:rsidR="006F1B12" w:rsidRPr="00277198" w:rsidRDefault="006F1B12" w:rsidP="006F1B12">
      <w:pPr>
        <w:spacing w:after="0"/>
        <w:rPr>
          <w:sz w:val="22"/>
        </w:rPr>
      </w:pPr>
      <w:r w:rsidRPr="00277198">
        <w:rPr>
          <w:sz w:val="22"/>
        </w:rPr>
        <w:t>Developed themes were then mapped to the existing dissertation framework, a deductive exercise, of capability, opportunity and motivation (COM-B). There was no attempt in this instance to make a strict classification or to classify all data, as any data that did not fit COM-B was left as a separate theme (Carroll et al., 2013). The approach enabled the synthesiser to understand how factors such as knowledge and clinical confidence, service infrastructure and time, professional motivation, patient pressure, communication pathways and governance protections may influence antibiotic prescribing decisions.</w:t>
      </w:r>
    </w:p>
    <w:p w14:paraId="218A501B" w14:textId="77777777" w:rsidR="006F1B12" w:rsidRPr="00277198" w:rsidRDefault="006F1B12" w:rsidP="006F1B12">
      <w:pPr>
        <w:spacing w:after="0"/>
        <w:rPr>
          <w:sz w:val="22"/>
        </w:rPr>
      </w:pPr>
      <w:r w:rsidRPr="00277198">
        <w:rPr>
          <w:sz w:val="22"/>
        </w:rPr>
        <w:t>Braun and Clarke's method of familiarisation, coding, theme construction, review, definition and written interpretation were followed (Braun and Clarke, 2006). Reflexive thematic analysis was selected as it involves the search for themes that are patterned meanings developed by the analyst, not repeated words as is the case in mechanical counting (Braun and Clarke, 2019; Braun and Clarke, 2021). A coding log was used as a reflexive record, which included coding decisions, assumptions, and adjustments to the theme boundaries. To avoid mixing up findings across different nations in the UK, services or roles within services, negative cases and contradictions were actively sought for, and the study-context matrix was kept under regular review. Nowell et al. (2017) shared information about the audit trail, and Dixon-Woods et al. (2006) argued for a critical interpretive comparison across heterogeneous evidence.</w:t>
      </w:r>
    </w:p>
    <w:p w14:paraId="522FD9B3" w14:textId="77777777" w:rsidR="006F1B12" w:rsidRPr="00277198" w:rsidRDefault="006F1B12" w:rsidP="006F1B12">
      <w:pPr>
        <w:spacing w:after="0"/>
        <w:rPr>
          <w:sz w:val="22"/>
        </w:rPr>
      </w:pPr>
      <w:r w:rsidRPr="00277198">
        <w:rPr>
          <w:sz w:val="22"/>
        </w:rPr>
        <w:t>Confidence in each analytical theme was judged with reference to methodological limitations, study consistency across studies, the abundance of supporting data and the relevance to the setting of community pharmacy in the UK. Informal GRADE-CERQual ratings were not used because they were not specified in the approved protocol, but the same domains used cautious language also prevented an isolated low-quality finding from appearing as conclusive. Tables of study characteristics, appraisal results and themes will be provided in the synthesis, which will be reported in Chapter 4, with suitable succinct quotations included as illustrations. That presentation will be organised under the known guidelines for ENTREQ and qualitative-synthesis reporting (Tong et al., 2012; Flemming et al., 2018).</w:t>
      </w:r>
    </w:p>
    <w:p w14:paraId="10BF8338" w14:textId="77777777" w:rsidR="006F1B12" w:rsidRPr="00277198" w:rsidRDefault="006F1B12" w:rsidP="00277198">
      <w:pPr>
        <w:pStyle w:val="Heading2"/>
      </w:pPr>
      <w:bookmarkStart w:id="70" w:name="_Toc237277568"/>
      <w:bookmarkStart w:id="71" w:name="_Toc240928045"/>
      <w:r w:rsidRPr="00277198">
        <w:t>3.12 Methodological Limitations and Bias Control</w:t>
      </w:r>
      <w:bookmarkEnd w:id="70"/>
      <w:bookmarkEnd w:id="71"/>
    </w:p>
    <w:p w14:paraId="1E19B0FF" w14:textId="77777777" w:rsidR="006F1B12" w:rsidRPr="00277198" w:rsidRDefault="006F1B12" w:rsidP="006F1B12">
      <w:pPr>
        <w:spacing w:after="0"/>
        <w:rPr>
          <w:sz w:val="22"/>
        </w:rPr>
      </w:pPr>
      <w:r w:rsidRPr="00277198">
        <w:rPr>
          <w:sz w:val="22"/>
        </w:rPr>
        <w:t>There are a number of drawbacks to the method. The 2019 boundary may exclude earlier contextual studies, and English-only searching may exclude relevant evidence. Not all information can be captured in databases, and grey literature is hard to reproduce, and the terminology used for new and developing services like Pharmacy First changes over time. To address these limitations, supplementary citation searching, source-specific search documentation and a title/abstract stage that was inclusive were undertaken. Single-reviewer screening, appraisal and coding also raise the risk of error and subjective influence. Therefore, piloting, repeat checking, and a decision log along with an explicit evidential chain were implemented in the workflow.</w:t>
      </w:r>
    </w:p>
    <w:p w14:paraId="5AA7DC36" w14:textId="77777777" w:rsidR="006F1B12" w:rsidRPr="00277198" w:rsidRDefault="006F1B12" w:rsidP="006F1B12">
      <w:pPr>
        <w:spacing w:after="0"/>
        <w:rPr>
          <w:sz w:val="22"/>
        </w:rPr>
      </w:pPr>
      <w:r w:rsidRPr="00277198">
        <w:rPr>
          <w:sz w:val="22"/>
        </w:rPr>
        <w:t>Publication bias and selective outcome reporting may inflate the likelihood of success of stewardship interventions, and the interventions may be heterogeneous in nature, making the direct comparison difficult. The review will report differences in context as well as the nature and density of supporting evidence rather than attempt to state that the results are statistically generalisable. The search limitations were informed and disclosed with PRISMA-S and the Cochrane Handbook, and the structured, transparent synthesis (Rethlefsen et al., 2021; Higgins et al., 2024; JBI, 2024).</w:t>
      </w:r>
    </w:p>
    <w:p w14:paraId="74B7D895" w14:textId="77777777" w:rsidR="006F1B12" w:rsidRPr="00277198" w:rsidRDefault="006F1B12" w:rsidP="00277198">
      <w:pPr>
        <w:pStyle w:val="Heading2"/>
      </w:pPr>
      <w:bookmarkStart w:id="72" w:name="_Toc237277569"/>
      <w:bookmarkStart w:id="73" w:name="_Toc240928046"/>
      <w:r w:rsidRPr="00277198">
        <w:t>3.13 Chapter Summary</w:t>
      </w:r>
      <w:bookmarkEnd w:id="72"/>
      <w:bookmarkEnd w:id="73"/>
    </w:p>
    <w:p w14:paraId="4BFCCB95" w14:textId="77777777" w:rsidR="006F1B12" w:rsidRPr="00277198" w:rsidRDefault="006F1B12" w:rsidP="006F1B12">
      <w:pPr>
        <w:spacing w:after="0"/>
        <w:rPr>
          <w:sz w:val="22"/>
        </w:rPr>
      </w:pPr>
      <w:r w:rsidRPr="00277198">
        <w:rPr>
          <w:sz w:val="22"/>
        </w:rPr>
        <w:t>This chapter has designed a clear, qualitative systematic-review approach to investigate the potential for community pharmacy antibiotic practices in the UK to be either a contributor or a protective element of AMR. It has outlined the question, outlined the SPIDER framework, provided sources and eligibility criteria, outlined the screening pathway (from 411 to 15), established the CASP threshold, outlined the extraction process, and outlined combined inductive-deductive thematic synthesis. The evidence will be presented as 15 articles included in this chapter, appraisal results, and the themes analysed in this chapter in Chapter 4 before interpreting the safeguards and strategies indicated by the evidence.</w:t>
      </w:r>
    </w:p>
    <w:p w14:paraId="64A7B0D7" w14:textId="5074BE34" w:rsidR="006F1B12" w:rsidRPr="00277198" w:rsidRDefault="006F1B12">
      <w:pPr>
        <w:spacing w:line="259" w:lineRule="auto"/>
        <w:jc w:val="left"/>
        <w:rPr>
          <w:sz w:val="22"/>
        </w:rPr>
      </w:pPr>
      <w:r w:rsidRPr="00277198">
        <w:rPr>
          <w:sz w:val="22"/>
        </w:rPr>
        <w:br w:type="page"/>
      </w:r>
    </w:p>
    <w:p w14:paraId="0D632313" w14:textId="0095675C" w:rsidR="00EA2DD2" w:rsidRPr="00277198" w:rsidRDefault="005A7C36" w:rsidP="00277198">
      <w:pPr>
        <w:pStyle w:val="Heading1"/>
      </w:pPr>
      <w:bookmarkStart w:id="74" w:name="_Toc240928047"/>
      <w:bookmarkStart w:id="75" w:name="_Toc237276299"/>
      <w:r w:rsidRPr="00277198">
        <w:t>CHAPTER 4: RESULTS</w:t>
      </w:r>
      <w:bookmarkEnd w:id="74"/>
      <w:r w:rsidRPr="00277198">
        <w:t xml:space="preserve"> </w:t>
      </w:r>
      <w:bookmarkEnd w:id="75"/>
    </w:p>
    <w:p w14:paraId="2F45355E" w14:textId="77777777" w:rsidR="00EA2DD2" w:rsidRPr="00277198" w:rsidRDefault="00EA2DD2" w:rsidP="00277198">
      <w:pPr>
        <w:pStyle w:val="Heading2"/>
      </w:pPr>
      <w:bookmarkStart w:id="76" w:name="_Toc237276300"/>
      <w:bookmarkStart w:id="77" w:name="_Toc240928048"/>
      <w:r w:rsidRPr="00277198">
        <w:t>4.1 Introduction</w:t>
      </w:r>
      <w:bookmarkEnd w:id="76"/>
      <w:bookmarkEnd w:id="77"/>
    </w:p>
    <w:p w14:paraId="32E4B77B" w14:textId="6BEC5174" w:rsidR="00EA2DD2" w:rsidRPr="00277198" w:rsidRDefault="00AF57FC" w:rsidP="00EA2DD2">
      <w:pPr>
        <w:spacing w:after="0"/>
        <w:rPr>
          <w:sz w:val="22"/>
        </w:rPr>
      </w:pPr>
      <w:r w:rsidRPr="00277198">
        <w:rPr>
          <w:sz w:val="22"/>
        </w:rPr>
        <w:t>The results of the systematic review are presented in this chapter. The chapter describes the search and selection results, characteristics and quality of the 15 studies included, and then synthesises the findings into four themes: structured clinical pathways and diagnostic safeguards, stewardship at the dispensing and self-care consultation, workforce capability, confidence and whole team learning, and opportunity, communication, access and unintended pressure. The findings are presented as evidence from the studies included, while the interpretation of these findings in relation to the research question, objectives and COM-B framework is covered in Chapter 5. The impact of community-pharmacy practice on microbiological resistance was not directly demonstrated in any of the included studies, and thus the relevance of AMR is assessed using antibiotic use proxies (stewardship indicators), including guideline adherence, lack of unnecessary supply, and antibiotic exposure.</w:t>
      </w:r>
    </w:p>
    <w:p w14:paraId="0B5FBE95" w14:textId="77777777" w:rsidR="00EA2DD2" w:rsidRPr="00277198" w:rsidRDefault="00EA2DD2" w:rsidP="00277198">
      <w:pPr>
        <w:pStyle w:val="Heading2"/>
      </w:pPr>
      <w:bookmarkStart w:id="78" w:name="_Toc237276301"/>
      <w:bookmarkStart w:id="79" w:name="_Toc240928049"/>
      <w:r w:rsidRPr="00277198">
        <w:t>4.2 Systematic Search Results</w:t>
      </w:r>
      <w:bookmarkEnd w:id="78"/>
      <w:bookmarkEnd w:id="79"/>
    </w:p>
    <w:p w14:paraId="731F05E2" w14:textId="60826A21" w:rsidR="00EA2DD2" w:rsidRPr="00277198" w:rsidRDefault="00EA2DD2" w:rsidP="00EA2DD2">
      <w:pPr>
        <w:spacing w:after="0"/>
        <w:rPr>
          <w:sz w:val="22"/>
        </w:rPr>
      </w:pPr>
      <w:r w:rsidRPr="00277198">
        <w:rPr>
          <w:sz w:val="22"/>
        </w:rPr>
        <w:t xml:space="preserve">The last search was done on 10 August 2026. The consolidated search log encompassed </w:t>
      </w:r>
      <w:r w:rsidR="00D7018F" w:rsidRPr="00277198">
        <w:rPr>
          <w:sz w:val="22"/>
        </w:rPr>
        <w:t>411 records</w:t>
      </w:r>
      <w:r w:rsidRPr="00277198">
        <w:rPr>
          <w:sz w:val="22"/>
        </w:rPr>
        <w:t>, additional citation searches, hand searches, and eligible organisational searches. There were no register records and automation exclusions. Having eliminated 96 duplicates, 315 distinct records went on to title and abstract screening. Among these, 233 were filtered away due to the obvious lack of adherence to the population, setting, concept, date or study-type inclusivity criteria. Full-text access to 82 reports was obtained, and four reports were not available, so the final number of reports eligible for full-text assessment was 78.</w:t>
      </w:r>
    </w:p>
    <w:p w14:paraId="0831B24E" w14:textId="534D43B6" w:rsidR="00EA2DD2" w:rsidRPr="00277198" w:rsidRDefault="00EA2DD2" w:rsidP="00EA2DD2">
      <w:pPr>
        <w:spacing w:after="0"/>
        <w:rPr>
          <w:sz w:val="22"/>
        </w:rPr>
      </w:pPr>
      <w:r w:rsidRPr="00277198">
        <w:rPr>
          <w:sz w:val="22"/>
        </w:rPr>
        <w:t xml:space="preserve">Fifty-five full-text reports were not eligible: 14 were not conducted in the United Kingdom; 12 did not study community pharmacy; 10 did not assess a relevant antibiotic, prescribing, dispensing or antimicrobial-stewardship outcome; </w:t>
      </w:r>
      <w:r w:rsidR="004940D3" w:rsidRPr="004940D3">
        <w:rPr>
          <w:sz w:val="22"/>
        </w:rPr>
        <w:t>11 were ineligible publication/reporting types</w:t>
      </w:r>
      <w:r w:rsidRPr="00277198">
        <w:rPr>
          <w:sz w:val="22"/>
        </w:rPr>
        <w:t>; and eight were older than the date or the English-language limit. Critical appraisal was then done on 23 eligible articles. Eight that had a lower score than the predetermined 50% quality mark were discarded, and 15 studies were analysed. The arithmetic is complete in each of the stages: 411 minus 96 duplicates yielded 315 screened records; 315 minus 233 exclusions yielded 82 reports sought; 82 minus 55 exclusions for eligibility and eight quality exclusions yielded the final 15. Figure 4.1 fills in the provided PRISMA template with these reconciled figures.</w:t>
      </w:r>
    </w:p>
    <w:p w14:paraId="7F1A8638" w14:textId="77777777" w:rsidR="00042032" w:rsidRPr="00277198" w:rsidRDefault="00042032">
      <w:pPr>
        <w:spacing w:line="259" w:lineRule="auto"/>
        <w:jc w:val="left"/>
        <w:rPr>
          <w:sz w:val="22"/>
        </w:rPr>
      </w:pPr>
      <w:r w:rsidRPr="00277198">
        <w:rPr>
          <w:sz w:val="22"/>
        </w:rPr>
        <w:br w:type="page"/>
      </w:r>
    </w:p>
    <w:p w14:paraId="75920FE8" w14:textId="6381A16C" w:rsidR="00EA2DD2" w:rsidRPr="00277198" w:rsidRDefault="00EA2DD2" w:rsidP="00EA2DD2">
      <w:pPr>
        <w:jc w:val="center"/>
        <w:rPr>
          <w:sz w:val="22"/>
        </w:rPr>
      </w:pPr>
      <w:r w:rsidRPr="00277198">
        <w:rPr>
          <w:sz w:val="22"/>
        </w:rPr>
        <w:t>Figure 4.1: PRISMA flow diagram for study selection</w:t>
      </w:r>
    </w:p>
    <w:p w14:paraId="7F79329C" w14:textId="77777777" w:rsidR="00EA2DD2" w:rsidRPr="00277198" w:rsidRDefault="00EA2DD2" w:rsidP="00EA2DD2">
      <w:pPr>
        <w:spacing w:after="0" w:line="240" w:lineRule="auto"/>
        <w:rPr>
          <w:sz w:val="22"/>
        </w:rPr>
      </w:pPr>
    </w:p>
    <w:p w14:paraId="67978A46" w14:textId="77777777" w:rsidR="00EA2DD2" w:rsidRPr="00277198" w:rsidRDefault="00EA2DD2" w:rsidP="00EA2DD2">
      <w:pPr>
        <w:spacing w:after="0" w:line="240" w:lineRule="auto"/>
        <w:rPr>
          <w:sz w:val="22"/>
        </w:rPr>
      </w:pPr>
      <w:r w:rsidRPr="00277198">
        <w:rPr>
          <w:noProof/>
          <w:sz w:val="22"/>
          <w:lang w:val="en-US"/>
        </w:rPr>
        <mc:AlternateContent>
          <mc:Choice Requires="wps">
            <w:drawing>
              <wp:anchor distT="0" distB="0" distL="114300" distR="114300" simplePos="0" relativeHeight="251662336" behindDoc="0" locked="0" layoutInCell="1" allowOverlap="1" wp14:anchorId="32FD0480" wp14:editId="2FA27572">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7FEDC881" w14:textId="77777777" w:rsidR="00957D67" w:rsidRPr="001502CF" w:rsidRDefault="00957D67" w:rsidP="00EA2DD2">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 of studies</w:t>
                            </w:r>
                            <w:r>
                              <w:rPr>
                                <w:rFonts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FD0480"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44.65pt;margin-top:5.85pt;width:342.15pt;height:20.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" fillcolor="#ffc000 [3207]" strokecolor="#7f5f00 [1607]" strokeweight="1pt">
                <v:textbox>
                  <w:txbxContent>
                    <w:p w14:paraId="7FEDC881" w14:textId="77777777" w:rsidR="00957D67" w:rsidRPr="001502CF" w:rsidRDefault="00957D67" w:rsidP="00EA2DD2">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 of studies</w:t>
                      </w:r>
                      <w:r>
                        <w:rPr>
                          <w:rFonts w:cs="Arial"/>
                          <w:b/>
                          <w:color w:val="000000" w:themeColor="text1"/>
                          <w:sz w:val="18"/>
                          <w:szCs w:val="18"/>
                        </w:rPr>
                        <w:t xml:space="preserve"> via databases and registers</w:t>
                      </w:r>
                    </w:p>
                  </w:txbxContent>
                </v:textbox>
              </v:shape>
            </w:pict>
          </mc:Fallback>
        </mc:AlternateContent>
      </w:r>
    </w:p>
    <w:p w14:paraId="3BA08628" w14:textId="77777777" w:rsidR="00EA2DD2" w:rsidRPr="00277198" w:rsidRDefault="00EA2DD2" w:rsidP="00EA2DD2">
      <w:pPr>
        <w:spacing w:after="0" w:line="240" w:lineRule="auto"/>
        <w:rPr>
          <w:sz w:val="22"/>
        </w:rPr>
      </w:pPr>
    </w:p>
    <w:p w14:paraId="1847877F" w14:textId="77777777" w:rsidR="00EA2DD2" w:rsidRPr="00277198" w:rsidRDefault="00EA2DD2" w:rsidP="00EA2DD2">
      <w:pPr>
        <w:spacing w:after="0" w:line="240" w:lineRule="auto"/>
        <w:rPr>
          <w:sz w:val="22"/>
        </w:rPr>
      </w:pPr>
      <w:r w:rsidRPr="00277198">
        <w:rPr>
          <w:noProof/>
          <w:sz w:val="22"/>
          <w:lang w:val="en-US"/>
        </w:rPr>
        <mc:AlternateContent>
          <mc:Choice Requires="wps">
            <w:drawing>
              <wp:anchor distT="0" distB="0" distL="114300" distR="114300" simplePos="0" relativeHeight="251637760" behindDoc="0" locked="0" layoutInCell="1" allowOverlap="1" wp14:anchorId="0680732E" wp14:editId="08CF5A3F">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C33B8A" w14:textId="77777777" w:rsidR="00957D67" w:rsidRPr="00042032" w:rsidRDefault="00957D67" w:rsidP="00EA2DD2">
                            <w:pPr>
                              <w:spacing w:after="0" w:line="240" w:lineRule="auto"/>
                              <w:rPr>
                                <w:rFonts w:cs="Arial"/>
                                <w:color w:val="000000" w:themeColor="text1"/>
                                <w:sz w:val="22"/>
                                <w:szCs w:val="24"/>
                              </w:rPr>
                            </w:pPr>
                            <w:r w:rsidRPr="00042032">
                              <w:rPr>
                                <w:rFonts w:cs="Arial"/>
                                <w:color w:val="000000" w:themeColor="text1"/>
                                <w:sz w:val="18"/>
                                <w:szCs w:val="18"/>
                              </w:rPr>
                              <w:t>Records removed before screening:</w:t>
                            </w:r>
                          </w:p>
                          <w:p w14:paraId="51D01278" w14:textId="77777777" w:rsidR="00957D67" w:rsidRPr="00042032" w:rsidRDefault="00957D67" w:rsidP="00EA2DD2">
                            <w:pPr>
                              <w:spacing w:after="0" w:line="240" w:lineRule="auto"/>
                              <w:rPr>
                                <w:rFonts w:cs="Arial"/>
                                <w:color w:val="000000" w:themeColor="text1"/>
                                <w:sz w:val="22"/>
                                <w:szCs w:val="24"/>
                              </w:rPr>
                            </w:pPr>
                            <w:r w:rsidRPr="00042032">
                              <w:rPr>
                                <w:rFonts w:cs="Arial"/>
                                <w:color w:val="000000" w:themeColor="text1"/>
                                <w:sz w:val="18"/>
                                <w:szCs w:val="18"/>
                              </w:rPr>
                              <w:t>Duplicate records removed (n = 96)</w:t>
                            </w:r>
                          </w:p>
                          <w:p w14:paraId="366170D1" w14:textId="77777777" w:rsidR="00957D67" w:rsidRPr="00042032" w:rsidRDefault="00957D67" w:rsidP="00EA2DD2">
                            <w:pPr>
                              <w:spacing w:after="0" w:line="240" w:lineRule="auto"/>
                              <w:rPr>
                                <w:rFonts w:cs="Arial"/>
                                <w:color w:val="000000" w:themeColor="text1"/>
                                <w:sz w:val="22"/>
                                <w:szCs w:val="24"/>
                              </w:rPr>
                            </w:pPr>
                            <w:r w:rsidRPr="00042032">
                              <w:rPr>
                                <w:rFonts w:cs="Arial"/>
                                <w:color w:val="000000" w:themeColor="text1"/>
                                <w:sz w:val="18"/>
                                <w:szCs w:val="18"/>
                              </w:rPr>
                              <w:t>Records marked as ineligible by automation tools (n = 0)</w:t>
                            </w:r>
                          </w:p>
                          <w:p w14:paraId="5331D8FE" w14:textId="77777777" w:rsidR="00957D67" w:rsidRPr="00042032" w:rsidRDefault="00957D67" w:rsidP="00EA2DD2">
                            <w:pPr>
                              <w:spacing w:after="0" w:line="240" w:lineRule="auto"/>
                              <w:rPr>
                                <w:rFonts w:cs="Arial"/>
                                <w:color w:val="000000" w:themeColor="text1"/>
                                <w:sz w:val="22"/>
                                <w:szCs w:val="24"/>
                              </w:rPr>
                            </w:pPr>
                            <w:r w:rsidRPr="00042032">
                              <w:rPr>
                                <w:rFonts w:cs="Arial"/>
                                <w:color w:val="000000" w:themeColor="text1"/>
                                <w:sz w:val="18"/>
                                <w:szCs w:val="18"/>
                              </w:rPr>
                              <w:t>Records removed for other reasons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80732E" id="Rectangle 2" o:spid="_x0000_s1027" style="position:absolute;left:0;text-align:left;margin-left:239.35pt;margin-top:6.05pt;width:148.6pt;height:97.8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" filled="f" strokecolor="black [3213]" strokeweight="1pt">
                <v:textbox>
                  <w:txbxContent>
                    <w:p w14:paraId="79C33B8A" w14:textId="77777777" w:rsidR="00957D67" w:rsidRPr="00042032" w:rsidRDefault="00957D67" w:rsidP="00EA2DD2">
                      <w:pPr>
                        <w:spacing w:after="0" w:line="240" w:lineRule="auto"/>
                        <w:rPr>
                          <w:rFonts w:cs="Arial"/>
                          <w:color w:val="000000" w:themeColor="text1"/>
                          <w:sz w:val="22"/>
                          <w:szCs w:val="24"/>
                        </w:rPr>
                      </w:pPr>
                      <w:r w:rsidRPr="00042032">
                        <w:rPr>
                          <w:rFonts w:cs="Arial"/>
                          <w:color w:val="000000" w:themeColor="text1"/>
                          <w:sz w:val="18"/>
                          <w:szCs w:val="18"/>
                        </w:rPr>
                        <w:t>Records removed before screening:</w:t>
                      </w:r>
                    </w:p>
                    <w:p w14:paraId="51D01278" w14:textId="77777777" w:rsidR="00957D67" w:rsidRPr="00042032" w:rsidRDefault="00957D67" w:rsidP="00EA2DD2">
                      <w:pPr>
                        <w:spacing w:after="0" w:line="240" w:lineRule="auto"/>
                        <w:rPr>
                          <w:rFonts w:cs="Arial"/>
                          <w:color w:val="000000" w:themeColor="text1"/>
                          <w:sz w:val="22"/>
                          <w:szCs w:val="24"/>
                        </w:rPr>
                      </w:pPr>
                      <w:r w:rsidRPr="00042032">
                        <w:rPr>
                          <w:rFonts w:cs="Arial"/>
                          <w:color w:val="000000" w:themeColor="text1"/>
                          <w:sz w:val="18"/>
                          <w:szCs w:val="18"/>
                        </w:rPr>
                        <w:t>Duplicate records removed (n = 96)</w:t>
                      </w:r>
                    </w:p>
                    <w:p w14:paraId="366170D1" w14:textId="77777777" w:rsidR="00957D67" w:rsidRPr="00042032" w:rsidRDefault="00957D67" w:rsidP="00EA2DD2">
                      <w:pPr>
                        <w:spacing w:after="0" w:line="240" w:lineRule="auto"/>
                        <w:rPr>
                          <w:rFonts w:cs="Arial"/>
                          <w:color w:val="000000" w:themeColor="text1"/>
                          <w:sz w:val="22"/>
                          <w:szCs w:val="24"/>
                        </w:rPr>
                      </w:pPr>
                      <w:r w:rsidRPr="00042032">
                        <w:rPr>
                          <w:rFonts w:cs="Arial"/>
                          <w:color w:val="000000" w:themeColor="text1"/>
                          <w:sz w:val="18"/>
                          <w:szCs w:val="18"/>
                        </w:rPr>
                        <w:t>Records marked as ineligible by automation tools (n = 0)</w:t>
                      </w:r>
                    </w:p>
                    <w:p w14:paraId="5331D8FE" w14:textId="77777777" w:rsidR="00957D67" w:rsidRPr="00042032" w:rsidRDefault="00957D67" w:rsidP="00EA2DD2">
                      <w:pPr>
                        <w:spacing w:after="0" w:line="240" w:lineRule="auto"/>
                        <w:rPr>
                          <w:rFonts w:cs="Arial"/>
                          <w:color w:val="000000" w:themeColor="text1"/>
                          <w:sz w:val="22"/>
                          <w:szCs w:val="24"/>
                        </w:rPr>
                      </w:pPr>
                      <w:r w:rsidRPr="00042032">
                        <w:rPr>
                          <w:rFonts w:cs="Arial"/>
                          <w:color w:val="000000" w:themeColor="text1"/>
                          <w:sz w:val="18"/>
                          <w:szCs w:val="18"/>
                        </w:rPr>
                        <w:t>Records removed for other reasons (n = 0)</w:t>
                      </w:r>
                    </w:p>
                  </w:txbxContent>
                </v:textbox>
              </v:rect>
            </w:pict>
          </mc:Fallback>
        </mc:AlternateContent>
      </w:r>
      <w:r w:rsidRPr="00277198">
        <w:rPr>
          <w:noProof/>
          <w:sz w:val="22"/>
          <w:lang w:val="en-US"/>
        </w:rPr>
        <mc:AlternateContent>
          <mc:Choice Requires="wps">
            <w:drawing>
              <wp:anchor distT="0" distB="0" distL="114300" distR="114300" simplePos="0" relativeHeight="251635712" behindDoc="0" locked="0" layoutInCell="1" allowOverlap="1" wp14:anchorId="15C5CEA6" wp14:editId="60956CC7">
                <wp:simplePos x="0" y="0"/>
                <wp:positionH relativeFrom="column">
                  <wp:posOffset>559613</wp:posOffset>
                </wp:positionH>
                <wp:positionV relativeFrom="paragraph">
                  <wp:posOffset>77064</wp:posOffset>
                </wp:positionV>
                <wp:extent cx="1887220" cy="1243584"/>
                <wp:effectExtent l="0" t="0" r="17780" b="13970"/>
                <wp:wrapNone/>
                <wp:docPr id="5" name="Rectangle 5"/>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487FCF" w14:textId="77777777" w:rsidR="00957D67" w:rsidRPr="00042032" w:rsidRDefault="00957D67" w:rsidP="00EA2DD2">
                            <w:pPr>
                              <w:spacing w:after="0" w:line="240" w:lineRule="auto"/>
                              <w:rPr>
                                <w:rFonts w:cs="Arial"/>
                                <w:color w:val="000000" w:themeColor="text1"/>
                                <w:sz w:val="22"/>
                                <w:szCs w:val="24"/>
                              </w:rPr>
                            </w:pPr>
                            <w:r w:rsidRPr="00042032">
                              <w:rPr>
                                <w:rFonts w:cs="Arial"/>
                                <w:color w:val="000000" w:themeColor="text1"/>
                                <w:sz w:val="18"/>
                                <w:szCs w:val="18"/>
                              </w:rPr>
                              <w:t>Records identified from*:</w:t>
                            </w:r>
                          </w:p>
                          <w:p w14:paraId="425C0EED" w14:textId="77777777" w:rsidR="00957D67" w:rsidRPr="00042032" w:rsidRDefault="00957D67" w:rsidP="00EA2DD2">
                            <w:pPr>
                              <w:spacing w:after="0" w:line="240" w:lineRule="auto"/>
                              <w:rPr>
                                <w:rFonts w:cs="Arial"/>
                                <w:color w:val="000000" w:themeColor="text1"/>
                                <w:sz w:val="22"/>
                                <w:szCs w:val="24"/>
                              </w:rPr>
                            </w:pPr>
                            <w:r w:rsidRPr="00042032">
                              <w:rPr>
                                <w:rFonts w:cs="Arial"/>
                                <w:color w:val="000000" w:themeColor="text1"/>
                                <w:sz w:val="18"/>
                                <w:szCs w:val="18"/>
                              </w:rPr>
                              <w:t>Databases and other sources (n = 411)</w:t>
                            </w:r>
                          </w:p>
                          <w:p w14:paraId="60B5750F" w14:textId="77777777" w:rsidR="00957D67" w:rsidRPr="00042032" w:rsidRDefault="00957D67" w:rsidP="00EA2DD2">
                            <w:pPr>
                              <w:spacing w:after="0" w:line="240" w:lineRule="auto"/>
                              <w:rPr>
                                <w:rFonts w:cs="Arial"/>
                                <w:color w:val="000000" w:themeColor="text1"/>
                                <w:sz w:val="22"/>
                                <w:szCs w:val="24"/>
                              </w:rPr>
                            </w:pPr>
                            <w:r w:rsidRPr="00042032">
                              <w:rPr>
                                <w:rFonts w:cs="Arial"/>
                                <w:color w:val="000000" w:themeColor="text1"/>
                                <w:sz w:val="18"/>
                                <w:szCs w:val="18"/>
                              </w:rPr>
                              <w:t>Registers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C5CEA6" id="Rectangle 5" o:spid="_x0000_s1028" style="position:absolute;left:0;text-align:left;margin-left:44.05pt;margin-top:6.05pt;width:148.6pt;height:97.9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" filled="f" strokecolor="black [3213]" strokeweight="1pt">
                <v:textbox>
                  <w:txbxContent>
                    <w:p w14:paraId="52487FCF" w14:textId="77777777" w:rsidR="00957D67" w:rsidRPr="00042032" w:rsidRDefault="00957D67" w:rsidP="00EA2DD2">
                      <w:pPr>
                        <w:spacing w:after="0" w:line="240" w:lineRule="auto"/>
                        <w:rPr>
                          <w:rFonts w:cs="Arial"/>
                          <w:color w:val="000000" w:themeColor="text1"/>
                          <w:sz w:val="22"/>
                          <w:szCs w:val="24"/>
                        </w:rPr>
                      </w:pPr>
                      <w:r w:rsidRPr="00042032">
                        <w:rPr>
                          <w:rFonts w:cs="Arial"/>
                          <w:color w:val="000000" w:themeColor="text1"/>
                          <w:sz w:val="18"/>
                          <w:szCs w:val="18"/>
                        </w:rPr>
                        <w:t>Records identified from*:</w:t>
                      </w:r>
                    </w:p>
                    <w:p w14:paraId="425C0EED" w14:textId="77777777" w:rsidR="00957D67" w:rsidRPr="00042032" w:rsidRDefault="00957D67" w:rsidP="00EA2DD2">
                      <w:pPr>
                        <w:spacing w:after="0" w:line="240" w:lineRule="auto"/>
                        <w:rPr>
                          <w:rFonts w:cs="Arial"/>
                          <w:color w:val="000000" w:themeColor="text1"/>
                          <w:sz w:val="22"/>
                          <w:szCs w:val="24"/>
                        </w:rPr>
                      </w:pPr>
                      <w:r w:rsidRPr="00042032">
                        <w:rPr>
                          <w:rFonts w:cs="Arial"/>
                          <w:color w:val="000000" w:themeColor="text1"/>
                          <w:sz w:val="18"/>
                          <w:szCs w:val="18"/>
                        </w:rPr>
                        <w:t>Databases and other sources (n = 411)</w:t>
                      </w:r>
                    </w:p>
                    <w:p w14:paraId="60B5750F" w14:textId="77777777" w:rsidR="00957D67" w:rsidRPr="00042032" w:rsidRDefault="00957D67" w:rsidP="00EA2DD2">
                      <w:pPr>
                        <w:spacing w:after="0" w:line="240" w:lineRule="auto"/>
                        <w:rPr>
                          <w:rFonts w:cs="Arial"/>
                          <w:color w:val="000000" w:themeColor="text1"/>
                          <w:sz w:val="22"/>
                          <w:szCs w:val="24"/>
                        </w:rPr>
                      </w:pPr>
                      <w:r w:rsidRPr="00042032">
                        <w:rPr>
                          <w:rFonts w:cs="Arial"/>
                          <w:color w:val="000000" w:themeColor="text1"/>
                          <w:sz w:val="18"/>
                          <w:szCs w:val="18"/>
                        </w:rPr>
                        <w:t>Registers (n = 0)</w:t>
                      </w:r>
                    </w:p>
                  </w:txbxContent>
                </v:textbox>
              </v:rect>
            </w:pict>
          </mc:Fallback>
        </mc:AlternateContent>
      </w:r>
    </w:p>
    <w:p w14:paraId="0B25DA3F" w14:textId="77777777" w:rsidR="00EA2DD2" w:rsidRPr="00277198" w:rsidRDefault="00EA2DD2" w:rsidP="00EA2DD2">
      <w:pPr>
        <w:spacing w:after="0" w:line="240" w:lineRule="auto"/>
        <w:rPr>
          <w:sz w:val="22"/>
        </w:rPr>
      </w:pPr>
    </w:p>
    <w:p w14:paraId="463264D3" w14:textId="77777777" w:rsidR="00EA2DD2" w:rsidRPr="00277198" w:rsidRDefault="00EA2DD2" w:rsidP="00EA2DD2">
      <w:pPr>
        <w:spacing w:after="0" w:line="240" w:lineRule="auto"/>
        <w:rPr>
          <w:sz w:val="22"/>
        </w:rPr>
      </w:pPr>
      <w:r w:rsidRPr="00277198">
        <w:rPr>
          <w:noProof/>
          <w:sz w:val="22"/>
          <w:lang w:val="en-US"/>
        </w:rPr>
        <mc:AlternateContent>
          <mc:Choice Requires="wps">
            <w:drawing>
              <wp:anchor distT="0" distB="0" distL="114300" distR="114300" simplePos="0" relativeHeight="251664384" behindDoc="0" locked="0" layoutInCell="1" allowOverlap="1" wp14:anchorId="5F7AEA27" wp14:editId="0975CE89">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114F8AB" w14:textId="77777777" w:rsidR="00957D67" w:rsidRPr="001502CF" w:rsidRDefault="00957D67" w:rsidP="00EA2DD2">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7AEA27" id="Flowchart: Alternate Process 31" o:spid="_x0000_s1029" type="#_x0000_t176" style="position:absolute;left:0;text-align:left;margin-left:-31.8pt;margin-top:17.5pt;width:100.55pt;height:20.7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" fillcolor="#8eaadb [1944]" strokecolor="black [3213]" strokeweight="1pt">
                <v:textbox>
                  <w:txbxContent>
                    <w:p w14:paraId="6114F8AB" w14:textId="77777777" w:rsidR="00957D67" w:rsidRPr="001502CF" w:rsidRDefault="00957D67" w:rsidP="00EA2DD2">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w:t>
                      </w:r>
                    </w:p>
                  </w:txbxContent>
                </v:textbox>
              </v:shape>
            </w:pict>
          </mc:Fallback>
        </mc:AlternateContent>
      </w:r>
    </w:p>
    <w:p w14:paraId="1652C680" w14:textId="77777777" w:rsidR="00EA2DD2" w:rsidRPr="00277198" w:rsidRDefault="00EA2DD2" w:rsidP="00EA2DD2">
      <w:pPr>
        <w:spacing w:after="0" w:line="240" w:lineRule="auto"/>
        <w:rPr>
          <w:sz w:val="22"/>
        </w:rPr>
      </w:pPr>
    </w:p>
    <w:p w14:paraId="0095D9CC" w14:textId="77777777" w:rsidR="00EA2DD2" w:rsidRPr="00277198" w:rsidRDefault="00EA2DD2" w:rsidP="00EA2DD2">
      <w:pPr>
        <w:spacing w:after="0" w:line="240" w:lineRule="auto"/>
        <w:rPr>
          <w:sz w:val="22"/>
        </w:rPr>
      </w:pPr>
      <w:r w:rsidRPr="00277198">
        <w:rPr>
          <w:noProof/>
          <w:sz w:val="22"/>
          <w:lang w:val="en-US"/>
        </w:rPr>
        <mc:AlternateContent>
          <mc:Choice Requires="wps">
            <w:drawing>
              <wp:anchor distT="0" distB="0" distL="114300" distR="114300" simplePos="0" relativeHeight="251654144" behindDoc="0" locked="0" layoutInCell="1" allowOverlap="1" wp14:anchorId="0781149F" wp14:editId="7E00C9BC">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2A3E120"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541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" strokecolor="black [3213]" strokeweight=".5pt">
                <v:stroke endarrow="block" joinstyle="miter"/>
              </v:shape>
            </w:pict>
          </mc:Fallback>
        </mc:AlternateContent>
      </w:r>
    </w:p>
    <w:p w14:paraId="0FD10A8E" w14:textId="77777777" w:rsidR="00EA2DD2" w:rsidRPr="00277198" w:rsidRDefault="00EA2DD2" w:rsidP="00EA2DD2">
      <w:pPr>
        <w:spacing w:after="0" w:line="240" w:lineRule="auto"/>
        <w:rPr>
          <w:sz w:val="22"/>
        </w:rPr>
      </w:pPr>
    </w:p>
    <w:p w14:paraId="618E99D7" w14:textId="77777777" w:rsidR="00EA2DD2" w:rsidRPr="00277198" w:rsidRDefault="00EA2DD2" w:rsidP="00EA2DD2">
      <w:pPr>
        <w:spacing w:after="0" w:line="240" w:lineRule="auto"/>
        <w:rPr>
          <w:sz w:val="22"/>
        </w:rPr>
      </w:pPr>
    </w:p>
    <w:p w14:paraId="36B0B18C" w14:textId="77777777" w:rsidR="00EA2DD2" w:rsidRPr="00277198" w:rsidRDefault="00EA2DD2" w:rsidP="00EA2DD2">
      <w:pPr>
        <w:spacing w:after="0" w:line="240" w:lineRule="auto"/>
        <w:rPr>
          <w:sz w:val="22"/>
        </w:rPr>
      </w:pPr>
      <w:r w:rsidRPr="00277198">
        <w:rPr>
          <w:noProof/>
          <w:sz w:val="22"/>
          <w:lang w:val="en-US"/>
        </w:rPr>
        <mc:AlternateContent>
          <mc:Choice Requires="wps">
            <w:drawing>
              <wp:anchor distT="0" distB="0" distL="114300" distR="114300" simplePos="0" relativeHeight="251670528" behindDoc="0" locked="0" layoutInCell="1" allowOverlap="1" wp14:anchorId="7F48376A" wp14:editId="1082E31C">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DCA5CB" id="Straight Arrow Connector 27" o:spid="_x0000_s1026" type="#_x0000_t32" style="position:absolute;margin-left:110.25pt;margin-top:10.15pt;width:0;height:22.1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" strokecolor="black [3213]" strokeweight=".5pt">
                <v:stroke endarrow="block" joinstyle="miter"/>
              </v:shape>
            </w:pict>
          </mc:Fallback>
        </mc:AlternateContent>
      </w:r>
    </w:p>
    <w:p w14:paraId="33982153" w14:textId="77777777" w:rsidR="00EA2DD2" w:rsidRPr="00277198" w:rsidRDefault="00EA2DD2" w:rsidP="00EA2DD2">
      <w:pPr>
        <w:spacing w:after="0" w:line="240" w:lineRule="auto"/>
        <w:rPr>
          <w:sz w:val="22"/>
        </w:rPr>
      </w:pPr>
    </w:p>
    <w:p w14:paraId="6E434258" w14:textId="77777777" w:rsidR="00EA2DD2" w:rsidRPr="00277198" w:rsidRDefault="00EA2DD2" w:rsidP="00EA2DD2">
      <w:pPr>
        <w:spacing w:after="0" w:line="240" w:lineRule="auto"/>
        <w:rPr>
          <w:sz w:val="22"/>
        </w:rPr>
      </w:pPr>
      <w:r w:rsidRPr="00277198">
        <w:rPr>
          <w:noProof/>
          <w:sz w:val="22"/>
          <w:lang w:val="en-US"/>
        </w:rPr>
        <mc:AlternateContent>
          <mc:Choice Requires="wps">
            <w:drawing>
              <wp:anchor distT="0" distB="0" distL="114300" distR="114300" simplePos="0" relativeHeight="251656192" behindDoc="0" locked="0" layoutInCell="1" allowOverlap="1" wp14:anchorId="084F578E" wp14:editId="66DEA6C5">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ABE5AB" id="Straight Arrow Connector 15" o:spid="_x0000_s1026" type="#_x0000_t32" style="position:absolute;margin-left:193.2pt;margin-top:25.85pt;width:44.35pt;height:0;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" strokecolor="black [3213]" strokeweight=".5pt">
                <v:stroke endarrow="block" joinstyle="miter"/>
              </v:shape>
            </w:pict>
          </mc:Fallback>
        </mc:AlternateContent>
      </w:r>
      <w:r w:rsidRPr="00277198">
        <w:rPr>
          <w:noProof/>
          <w:sz w:val="22"/>
          <w:lang w:val="en-US"/>
        </w:rPr>
        <mc:AlternateContent>
          <mc:Choice Requires="wps">
            <w:drawing>
              <wp:anchor distT="0" distB="0" distL="114300" distR="114300" simplePos="0" relativeHeight="251639808" behindDoc="0" locked="0" layoutInCell="1" allowOverlap="1" wp14:anchorId="06B0B8A6" wp14:editId="44A86D0E">
                <wp:simplePos x="0" y="0"/>
                <wp:positionH relativeFrom="column">
                  <wp:posOffset>559435</wp:posOffset>
                </wp:positionH>
                <wp:positionV relativeFrom="paragraph">
                  <wp:posOffset>74930</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F8A242B"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Records screened</w:t>
                            </w:r>
                          </w:p>
                          <w:p w14:paraId="219A75F1"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(n = 315)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B0B8A6" id="Rectangle 6" o:spid="_x0000_s1030" style="position:absolute;left:0;text-align:left;margin-left:44.05pt;margin-top:5.9pt;width:148.6pt;height:41.4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" filled="f" strokecolor="black [3213]" strokeweight="1pt">
                <v:textbox>
                  <w:txbxContent>
                    <w:p w14:paraId="6F8A242B"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Records screened</w:t>
                      </w:r>
                    </w:p>
                    <w:p w14:paraId="219A75F1"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(n = 315)</w:t>
                      </w:r>
                    </w:p>
                  </w:txbxContent>
                </v:textbox>
              </v:rect>
            </w:pict>
          </mc:Fallback>
        </mc:AlternateContent>
      </w:r>
      <w:r w:rsidRPr="00277198">
        <w:rPr>
          <w:noProof/>
          <w:sz w:val="22"/>
          <w:lang w:val="en-US"/>
        </w:rPr>
        <mc:AlternateContent>
          <mc:Choice Requires="wps">
            <w:drawing>
              <wp:anchor distT="0" distB="0" distL="114300" distR="114300" simplePos="0" relativeHeight="251641856" behindDoc="0" locked="0" layoutInCell="1" allowOverlap="1" wp14:anchorId="0C6C8722" wp14:editId="3A88DD0C">
                <wp:simplePos x="0" y="0"/>
                <wp:positionH relativeFrom="column">
                  <wp:posOffset>3048000</wp:posOffset>
                </wp:positionH>
                <wp:positionV relativeFrom="paragraph">
                  <wp:posOffset>74930</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149597"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Records excluded**</w:t>
                            </w:r>
                          </w:p>
                          <w:p w14:paraId="1ABBAFA1"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(n = 233)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C8722" id="Rectangle 7" o:spid="_x0000_s1031" style="position:absolute;left:0;text-align:left;margin-left:240pt;margin-top:5.9pt;width:148.6pt;height:41.4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" filled="f" strokecolor="black [3213]" strokeweight="1pt">
                <v:textbox>
                  <w:txbxContent>
                    <w:p w14:paraId="72149597"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Records excluded**</w:t>
                      </w:r>
                    </w:p>
                    <w:p w14:paraId="1ABBAFA1"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(n = 233)</w:t>
                      </w:r>
                    </w:p>
                  </w:txbxContent>
                </v:textbox>
              </v:rect>
            </w:pict>
          </mc:Fallback>
        </mc:AlternateContent>
      </w:r>
    </w:p>
    <w:p w14:paraId="255517F7" w14:textId="77777777" w:rsidR="00EA2DD2" w:rsidRPr="00277198" w:rsidRDefault="00EA2DD2" w:rsidP="00EA2DD2">
      <w:pPr>
        <w:spacing w:after="0" w:line="240" w:lineRule="auto"/>
        <w:rPr>
          <w:sz w:val="22"/>
        </w:rPr>
      </w:pPr>
    </w:p>
    <w:p w14:paraId="4C852B15" w14:textId="77777777" w:rsidR="00EA2DD2" w:rsidRPr="00277198" w:rsidRDefault="00EA2DD2" w:rsidP="00EA2DD2">
      <w:pPr>
        <w:spacing w:after="0" w:line="240" w:lineRule="auto"/>
        <w:rPr>
          <w:sz w:val="22"/>
        </w:rPr>
      </w:pPr>
    </w:p>
    <w:p w14:paraId="2BD2A1FE" w14:textId="77777777" w:rsidR="00EA2DD2" w:rsidRPr="00277198" w:rsidRDefault="00EA2DD2" w:rsidP="00EA2DD2">
      <w:pPr>
        <w:spacing w:after="0" w:line="240" w:lineRule="auto"/>
        <w:rPr>
          <w:sz w:val="22"/>
        </w:rPr>
      </w:pPr>
      <w:r w:rsidRPr="00277198">
        <w:rPr>
          <w:noProof/>
          <w:sz w:val="22"/>
          <w:lang w:val="en-US"/>
        </w:rPr>
        <mc:AlternateContent>
          <mc:Choice Requires="wps">
            <w:drawing>
              <wp:anchor distT="0" distB="0" distL="114300" distR="114300" simplePos="0" relativeHeight="251672576" behindDoc="0" locked="0" layoutInCell="1" allowOverlap="1" wp14:anchorId="2F94E9F4" wp14:editId="7EE01240">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D0498D" id="Straight Arrow Connector 35" o:spid="_x0000_s1026" type="#_x0000_t32" style="position:absolute;margin-left:110.25pt;margin-top:7.85pt;width:0;height:22.1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" strokecolor="black [3213]" strokeweight=".5pt">
                <v:stroke endarrow="block" joinstyle="miter"/>
              </v:shape>
            </w:pict>
          </mc:Fallback>
        </mc:AlternateContent>
      </w:r>
    </w:p>
    <w:p w14:paraId="4A9D4D30" w14:textId="77777777" w:rsidR="00EA2DD2" w:rsidRPr="00277198" w:rsidRDefault="00EA2DD2" w:rsidP="00EA2DD2">
      <w:pPr>
        <w:spacing w:after="0" w:line="240" w:lineRule="auto"/>
        <w:rPr>
          <w:sz w:val="22"/>
        </w:rPr>
      </w:pPr>
    </w:p>
    <w:p w14:paraId="0FA701F5" w14:textId="77777777" w:rsidR="00EA2DD2" w:rsidRPr="00277198" w:rsidRDefault="00EA2DD2" w:rsidP="00EA2DD2">
      <w:pPr>
        <w:spacing w:after="0" w:line="240" w:lineRule="auto"/>
        <w:rPr>
          <w:sz w:val="22"/>
        </w:rPr>
      </w:pPr>
      <w:r w:rsidRPr="00277198">
        <w:rPr>
          <w:noProof/>
          <w:sz w:val="22"/>
          <w:lang w:val="en-US"/>
        </w:rPr>
        <mc:AlternateContent>
          <mc:Choice Requires="wps">
            <w:drawing>
              <wp:anchor distT="0" distB="0" distL="114300" distR="114300" simplePos="0" relativeHeight="251643904" behindDoc="0" locked="0" layoutInCell="1" allowOverlap="1" wp14:anchorId="75290E91" wp14:editId="4320D17A">
                <wp:simplePos x="0" y="0"/>
                <wp:positionH relativeFrom="column">
                  <wp:posOffset>560705</wp:posOffset>
                </wp:positionH>
                <wp:positionV relativeFrom="paragraph">
                  <wp:posOffset>47625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0F1C6C"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Reports sought for retrieval</w:t>
                            </w:r>
                          </w:p>
                          <w:p w14:paraId="74C215E6"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(n = 82)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290E91" id="Rectangle 8" o:spid="_x0000_s1032" style="position:absolute;left:0;text-align:left;margin-left:44.15pt;margin-top:3.75pt;width:148.6pt;height:41.4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" filled="f" strokecolor="black [3213]" strokeweight="1pt">
                <v:textbox>
                  <w:txbxContent>
                    <w:p w14:paraId="0E0F1C6C"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Reports sought for retrieval</w:t>
                      </w:r>
                    </w:p>
                    <w:p w14:paraId="74C215E6"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(n = 82)</w:t>
                      </w:r>
                    </w:p>
                  </w:txbxContent>
                </v:textbox>
              </v:rect>
            </w:pict>
          </mc:Fallback>
        </mc:AlternateContent>
      </w:r>
      <w:r w:rsidRPr="00277198">
        <w:rPr>
          <w:noProof/>
          <w:sz w:val="22"/>
          <w:lang w:val="en-US"/>
        </w:rPr>
        <mc:AlternateContent>
          <mc:Choice Requires="wps">
            <w:drawing>
              <wp:anchor distT="0" distB="0" distL="114300" distR="114300" simplePos="0" relativeHeight="251658240" behindDoc="0" locked="0" layoutInCell="1" allowOverlap="1" wp14:anchorId="5D111873" wp14:editId="73E3D987">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8E718E" id="Straight Arrow Connector 16" o:spid="_x0000_s1026" type="#_x0000_t32" style="position:absolute;margin-left:193.95pt;margin-top:25.25pt;width:44.35pt;height:0;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" strokecolor="black [3213]" strokeweight=".5pt">
                <v:stroke endarrow="block" joinstyle="miter"/>
              </v:shape>
            </w:pict>
          </mc:Fallback>
        </mc:AlternateContent>
      </w:r>
      <w:r w:rsidRPr="00277198">
        <w:rPr>
          <w:noProof/>
          <w:sz w:val="22"/>
          <w:lang w:val="en-US"/>
        </w:rPr>
        <mc:AlternateContent>
          <mc:Choice Requires="wps">
            <w:drawing>
              <wp:anchor distT="0" distB="0" distL="114300" distR="114300" simplePos="0" relativeHeight="251645952" behindDoc="0" locked="0" layoutInCell="1" allowOverlap="1" wp14:anchorId="071D0383" wp14:editId="7F1C689E">
                <wp:simplePos x="0" y="0"/>
                <wp:positionH relativeFrom="column">
                  <wp:posOffset>3049270</wp:posOffset>
                </wp:positionH>
                <wp:positionV relativeFrom="paragraph">
                  <wp:posOffset>66675</wp:posOffset>
                </wp:positionV>
                <wp:extent cx="1887220" cy="526415"/>
                <wp:effectExtent l="0" t="0" r="17780" b="26035"/>
                <wp:wrapNone/>
                <wp:docPr id="9" name="Rectangle 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9402D6D"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Reports not retrieved</w:t>
                            </w:r>
                          </w:p>
                          <w:p w14:paraId="1E1B885D"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(n =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1D0383" id="Rectangle 9" o:spid="_x0000_s1033" style="position:absolute;left:0;text-align:left;margin-left:240.1pt;margin-top:5.25pt;width:148.6pt;height:41.4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" filled="f" strokecolor="black [3213]" strokeweight="1pt">
                <v:textbox>
                  <w:txbxContent>
                    <w:p w14:paraId="29402D6D"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Reports not retrieved</w:t>
                      </w:r>
                    </w:p>
                    <w:p w14:paraId="1E1B885D"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(n = 4)</w:t>
                      </w:r>
                    </w:p>
                  </w:txbxContent>
                </v:textbox>
              </v:rect>
            </w:pict>
          </mc:Fallback>
        </mc:AlternateContent>
      </w:r>
    </w:p>
    <w:p w14:paraId="1502CD7A" w14:textId="77777777" w:rsidR="00EA2DD2" w:rsidRPr="00277198" w:rsidRDefault="00EA2DD2" w:rsidP="00EA2DD2">
      <w:pPr>
        <w:spacing w:after="0" w:line="240" w:lineRule="auto"/>
        <w:rPr>
          <w:sz w:val="22"/>
        </w:rPr>
      </w:pPr>
    </w:p>
    <w:p w14:paraId="27918103" w14:textId="77777777" w:rsidR="00EA2DD2" w:rsidRPr="00277198" w:rsidRDefault="00EA2DD2" w:rsidP="00EA2DD2">
      <w:pPr>
        <w:spacing w:after="0" w:line="240" w:lineRule="auto"/>
        <w:rPr>
          <w:sz w:val="22"/>
        </w:rPr>
      </w:pPr>
      <w:r w:rsidRPr="00277198">
        <w:rPr>
          <w:noProof/>
          <w:sz w:val="22"/>
          <w:lang w:val="en-US"/>
        </w:rPr>
        <mc:AlternateContent>
          <mc:Choice Requires="wps">
            <w:drawing>
              <wp:anchor distT="0" distB="0" distL="114300" distR="114300" simplePos="0" relativeHeight="251666432" behindDoc="0" locked="0" layoutInCell="1" allowOverlap="1" wp14:anchorId="7FE65FCB" wp14:editId="43F5EC40">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A76F2EB" w14:textId="77777777" w:rsidR="00957D67" w:rsidRDefault="00957D67" w:rsidP="00EA2DD2">
                            <w:pPr>
                              <w:spacing w:after="0" w:line="240" w:lineRule="auto"/>
                              <w:jc w:val="center"/>
                              <w:rPr>
                                <w:rFonts w:cs="Arial"/>
                                <w:b/>
                                <w:color w:val="000000" w:themeColor="text1"/>
                                <w:sz w:val="18"/>
                                <w:szCs w:val="18"/>
                              </w:rPr>
                            </w:pPr>
                            <w:r>
                              <w:rPr>
                                <w:rFonts w:cs="Arial"/>
                                <w:b/>
                                <w:color w:val="000000" w:themeColor="text1"/>
                                <w:sz w:val="18"/>
                                <w:szCs w:val="18"/>
                              </w:rPr>
                              <w:t>Screening</w:t>
                            </w:r>
                          </w:p>
                          <w:p w14:paraId="20521596" w14:textId="77777777" w:rsidR="00957D67" w:rsidRPr="001502CF" w:rsidRDefault="00957D67" w:rsidP="00EA2DD2">
                            <w:pPr>
                              <w:spacing w:after="0" w:line="240" w:lineRule="auto"/>
                              <w:rPr>
                                <w:rFonts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E65FCB" id="Flowchart: Alternate Process 32" o:spid="_x0000_s1034" type="#_x0000_t176" style="position:absolute;left:0;text-align:left;margin-left:-91.4pt;margin-top:11.05pt;width:219.5pt;height:20.7pt;rotation:-9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" fillcolor="#8eaadb [1944]" strokecolor="black [3213]" strokeweight="1pt">
                <v:textbox>
                  <w:txbxContent>
                    <w:p w14:paraId="5A76F2EB" w14:textId="77777777" w:rsidR="00957D67" w:rsidRDefault="00957D67" w:rsidP="00EA2DD2">
                      <w:pPr>
                        <w:spacing w:after="0" w:line="240" w:lineRule="auto"/>
                        <w:jc w:val="center"/>
                        <w:rPr>
                          <w:rFonts w:cs="Arial"/>
                          <w:b/>
                          <w:color w:val="000000" w:themeColor="text1"/>
                          <w:sz w:val="18"/>
                          <w:szCs w:val="18"/>
                        </w:rPr>
                      </w:pPr>
                      <w:r>
                        <w:rPr>
                          <w:rFonts w:cs="Arial"/>
                          <w:b/>
                          <w:color w:val="000000" w:themeColor="text1"/>
                          <w:sz w:val="18"/>
                          <w:szCs w:val="18"/>
                        </w:rPr>
                        <w:t>Screening</w:t>
                      </w:r>
                    </w:p>
                    <w:p w14:paraId="20521596" w14:textId="77777777" w:rsidR="00957D67" w:rsidRPr="001502CF" w:rsidRDefault="00957D67" w:rsidP="00EA2DD2">
                      <w:pPr>
                        <w:spacing w:after="0" w:line="240" w:lineRule="auto"/>
                        <w:rPr>
                          <w:rFonts w:cs="Arial"/>
                          <w:b/>
                          <w:color w:val="000000" w:themeColor="text1"/>
                          <w:sz w:val="18"/>
                          <w:szCs w:val="18"/>
                        </w:rPr>
                      </w:pPr>
                    </w:p>
                  </w:txbxContent>
                </v:textbox>
              </v:shape>
            </w:pict>
          </mc:Fallback>
        </mc:AlternateContent>
      </w:r>
    </w:p>
    <w:p w14:paraId="140F12B4" w14:textId="77777777" w:rsidR="00EA2DD2" w:rsidRPr="00277198" w:rsidRDefault="00EA2DD2" w:rsidP="00EA2DD2">
      <w:pPr>
        <w:spacing w:after="0" w:line="240" w:lineRule="auto"/>
        <w:rPr>
          <w:sz w:val="22"/>
        </w:rPr>
      </w:pPr>
      <w:r w:rsidRPr="00277198">
        <w:rPr>
          <w:noProof/>
          <w:sz w:val="22"/>
          <w:lang w:val="en-US"/>
        </w:rPr>
        <mc:AlternateContent>
          <mc:Choice Requires="wps">
            <w:drawing>
              <wp:anchor distT="0" distB="0" distL="114300" distR="114300" simplePos="0" relativeHeight="251674624" behindDoc="0" locked="0" layoutInCell="1" allowOverlap="1" wp14:anchorId="4C7536AE" wp14:editId="47BF8C79">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8F15C7" id="Straight Arrow Connector 36" o:spid="_x0000_s1026" type="#_x0000_t32" style="position:absolute;margin-left:111pt;margin-top:4.45pt;width:0;height:22.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B6nd+v5AEAADQEAAAOAAAAAAAAAAAAAAAAAC4CAABkcnMvZTJvRG9jLnhtbFBLAQIt&#10;ABQABgAIAAAAIQB4Fq/H3QAAAAgBAAAPAAAAAAAAAAAAAAAAAD4EAABkcnMvZG93bnJldi54bWxQ&#10;SwUGAAAAAAQABADzAAAASAUAAAAA&#10;" strokecolor="black [3213]" strokeweight=".5pt">
                <v:stroke endarrow="block" joinstyle="miter"/>
              </v:shape>
            </w:pict>
          </mc:Fallback>
        </mc:AlternateContent>
      </w:r>
    </w:p>
    <w:p w14:paraId="214D493A" w14:textId="77777777" w:rsidR="00EA2DD2" w:rsidRPr="00277198" w:rsidRDefault="00EA2DD2" w:rsidP="00EA2DD2">
      <w:pPr>
        <w:spacing w:after="0" w:line="240" w:lineRule="auto"/>
        <w:rPr>
          <w:sz w:val="22"/>
        </w:rPr>
      </w:pPr>
    </w:p>
    <w:p w14:paraId="2CFEF4A3" w14:textId="77777777" w:rsidR="00EA2DD2" w:rsidRPr="00277198" w:rsidRDefault="00EA2DD2" w:rsidP="00EA2DD2">
      <w:pPr>
        <w:spacing w:after="0" w:line="240" w:lineRule="auto"/>
        <w:rPr>
          <w:sz w:val="22"/>
        </w:rPr>
      </w:pPr>
      <w:r w:rsidRPr="00277198">
        <w:rPr>
          <w:noProof/>
          <w:sz w:val="22"/>
          <w:lang w:val="en-US"/>
        </w:rPr>
        <mc:AlternateContent>
          <mc:Choice Requires="wps">
            <w:drawing>
              <wp:anchor distT="0" distB="0" distL="114300" distR="114300" simplePos="0" relativeHeight="251660288" behindDoc="0" locked="0" layoutInCell="1" allowOverlap="1" wp14:anchorId="1A7CE0F1" wp14:editId="43CE2F01">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03B52C" id="Straight Arrow Connector 17" o:spid="_x0000_s1026" type="#_x0000_t32" style="position:absolute;margin-left:195pt;margin-top:23.2pt;width:44.35pt;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" strokecolor="black [3213]" strokeweight=".5pt">
                <v:stroke endarrow="block" joinstyle="miter"/>
              </v:shape>
            </w:pict>
          </mc:Fallback>
        </mc:AlternateContent>
      </w:r>
      <w:r w:rsidRPr="00277198">
        <w:rPr>
          <w:noProof/>
          <w:sz w:val="22"/>
          <w:lang w:val="en-US"/>
        </w:rPr>
        <mc:AlternateContent>
          <mc:Choice Requires="wps">
            <w:drawing>
              <wp:anchor distT="0" distB="0" distL="114300" distR="114300" simplePos="0" relativeHeight="251648000" behindDoc="0" locked="0" layoutInCell="1" allowOverlap="1" wp14:anchorId="57EE0EB5" wp14:editId="62B70B52">
                <wp:simplePos x="0" y="0"/>
                <wp:positionH relativeFrom="column">
                  <wp:posOffset>561975</wp:posOffset>
                </wp:positionH>
                <wp:positionV relativeFrom="paragraph">
                  <wp:posOffset>13335</wp:posOffset>
                </wp:positionV>
                <wp:extent cx="1887220" cy="526415"/>
                <wp:effectExtent l="0" t="0" r="17780" b="26035"/>
                <wp:wrapNone/>
                <wp:docPr id="10" name="Rectangle 10"/>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C541C9"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Reports assessed for eligibility</w:t>
                            </w:r>
                          </w:p>
                          <w:p w14:paraId="22799B08"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(n = 78)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EE0EB5" id="Rectangle 10" o:spid="_x0000_s1035" style="position:absolute;left:0;text-align:left;margin-left:44.25pt;margin-top:1.05pt;width:148.6pt;height:41.4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" filled="f" strokecolor="black [3213]" strokeweight="1pt">
                <v:textbox>
                  <w:txbxContent>
                    <w:p w14:paraId="58C541C9"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Reports assessed for eligibility</w:t>
                      </w:r>
                    </w:p>
                    <w:p w14:paraId="22799B08" w14:textId="77777777" w:rsidR="00957D67" w:rsidRDefault="00957D67" w:rsidP="00EA2DD2">
                      <w:pPr>
                        <w:spacing w:after="0" w:line="240" w:lineRule="auto"/>
                        <w:rPr>
                          <w:rFonts w:cs="Arial"/>
                          <w:color w:val="000000" w:themeColor="text1"/>
                          <w:sz w:val="18"/>
                          <w:szCs w:val="20"/>
                        </w:rPr>
                      </w:pPr>
                      <w:r>
                        <w:rPr>
                          <w:rFonts w:cs="Arial"/>
                          <w:color w:val="000000" w:themeColor="text1"/>
                          <w:sz w:val="18"/>
                          <w:szCs w:val="18"/>
                        </w:rPr>
                        <w:t>(n = 78)</w:t>
                      </w:r>
                    </w:p>
                  </w:txbxContent>
                </v:textbox>
              </v:rect>
            </w:pict>
          </mc:Fallback>
        </mc:AlternateContent>
      </w:r>
      <w:r w:rsidRPr="00277198">
        <w:rPr>
          <w:noProof/>
          <w:sz w:val="22"/>
          <w:lang w:val="en-US"/>
        </w:rPr>
        <mc:AlternateContent>
          <mc:Choice Requires="wps">
            <w:drawing>
              <wp:anchor distT="0" distB="0" distL="114300" distR="114300" simplePos="0" relativeHeight="251650048" behindDoc="0" locked="0" layoutInCell="1" allowOverlap="1" wp14:anchorId="233A3344" wp14:editId="0ACD6F74">
                <wp:simplePos x="0" y="0"/>
                <wp:positionH relativeFrom="column">
                  <wp:posOffset>3057525</wp:posOffset>
                </wp:positionH>
                <wp:positionV relativeFrom="paragraph">
                  <wp:posOffset>10795</wp:posOffset>
                </wp:positionV>
                <wp:extent cx="1887220" cy="1133475"/>
                <wp:effectExtent l="0" t="0" r="17780" b="28575"/>
                <wp:wrapNone/>
                <wp:docPr id="11" name="Rectangle 11"/>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0D2D0F" w14:textId="77777777" w:rsidR="00957D67" w:rsidRPr="00042032" w:rsidRDefault="00957D67" w:rsidP="00EA2DD2">
                            <w:pPr>
                              <w:spacing w:after="0" w:line="240" w:lineRule="auto"/>
                              <w:rPr>
                                <w:rFonts w:cs="Arial"/>
                                <w:color w:val="000000" w:themeColor="text1"/>
                                <w:sz w:val="20"/>
                              </w:rPr>
                            </w:pPr>
                            <w:r w:rsidRPr="00042032">
                              <w:rPr>
                                <w:rFonts w:cs="Arial"/>
                                <w:color w:val="000000" w:themeColor="text1"/>
                                <w:sz w:val="15"/>
                                <w:szCs w:val="15"/>
                              </w:rPr>
                              <w:t>Reports excluded:</w:t>
                            </w:r>
                          </w:p>
                          <w:p w14:paraId="3786A6E4" w14:textId="77777777" w:rsidR="00957D67" w:rsidRPr="00042032" w:rsidRDefault="00957D67" w:rsidP="00EA2DD2">
                            <w:pPr>
                              <w:spacing w:after="0" w:line="240" w:lineRule="auto"/>
                              <w:rPr>
                                <w:rFonts w:cs="Arial"/>
                                <w:color w:val="000000" w:themeColor="text1"/>
                                <w:sz w:val="20"/>
                              </w:rPr>
                            </w:pPr>
                            <w:r w:rsidRPr="00042032">
                              <w:rPr>
                                <w:rFonts w:cs="Arial"/>
                                <w:color w:val="000000" w:themeColor="text1"/>
                                <w:sz w:val="15"/>
                                <w:szCs w:val="15"/>
                              </w:rPr>
                              <w:t>Wrong country (n = 14)</w:t>
                            </w:r>
                          </w:p>
                          <w:p w14:paraId="43BD37D8" w14:textId="77777777" w:rsidR="00957D67" w:rsidRPr="00042032" w:rsidRDefault="00957D67" w:rsidP="00EA2DD2">
                            <w:pPr>
                              <w:spacing w:after="0" w:line="240" w:lineRule="auto"/>
                              <w:rPr>
                                <w:rFonts w:cs="Arial"/>
                                <w:color w:val="000000" w:themeColor="text1"/>
                                <w:sz w:val="20"/>
                              </w:rPr>
                            </w:pPr>
                            <w:r w:rsidRPr="00042032">
                              <w:rPr>
                                <w:rFonts w:cs="Arial"/>
                                <w:color w:val="000000" w:themeColor="text1"/>
                                <w:sz w:val="15"/>
                                <w:szCs w:val="15"/>
                              </w:rPr>
                              <w:t>Wrong setting (n = 12)</w:t>
                            </w:r>
                          </w:p>
                          <w:p w14:paraId="4D142A17" w14:textId="77777777" w:rsidR="00957D67" w:rsidRPr="00042032" w:rsidRDefault="00957D67" w:rsidP="00EA2DD2">
                            <w:pPr>
                              <w:spacing w:after="0" w:line="240" w:lineRule="auto"/>
                              <w:rPr>
                                <w:rFonts w:cs="Arial"/>
                                <w:color w:val="000000" w:themeColor="text1"/>
                                <w:sz w:val="20"/>
                              </w:rPr>
                            </w:pPr>
                            <w:r w:rsidRPr="00042032">
                              <w:rPr>
                                <w:rFonts w:cs="Arial"/>
                                <w:color w:val="000000" w:themeColor="text1"/>
                                <w:sz w:val="15"/>
                                <w:szCs w:val="15"/>
                              </w:rPr>
                              <w:t>No relevant antibiotic/AMS outcome (n = 10)</w:t>
                            </w:r>
                          </w:p>
                          <w:p w14:paraId="199F9F48" w14:textId="77777777" w:rsidR="00957D67" w:rsidRPr="00042032" w:rsidRDefault="00957D67" w:rsidP="00EA2DD2">
                            <w:pPr>
                              <w:spacing w:after="0" w:line="240" w:lineRule="auto"/>
                              <w:rPr>
                                <w:rFonts w:cs="Arial"/>
                                <w:color w:val="000000" w:themeColor="text1"/>
                                <w:sz w:val="20"/>
                              </w:rPr>
                            </w:pPr>
                            <w:r w:rsidRPr="00042032">
                              <w:rPr>
                                <w:rFonts w:cs="Arial"/>
                                <w:color w:val="000000" w:themeColor="text1"/>
                                <w:sz w:val="15"/>
                                <w:szCs w:val="15"/>
                              </w:rPr>
                              <w:t>Ineligible publication/reporting (n = 11)</w:t>
                            </w:r>
                          </w:p>
                          <w:p w14:paraId="1BAE485A" w14:textId="77777777" w:rsidR="00957D67" w:rsidRPr="00042032" w:rsidRDefault="00957D67" w:rsidP="00EA2DD2">
                            <w:pPr>
                              <w:spacing w:after="0" w:line="240" w:lineRule="auto"/>
                              <w:rPr>
                                <w:rFonts w:cs="Arial"/>
                                <w:color w:val="000000" w:themeColor="text1"/>
                                <w:sz w:val="20"/>
                              </w:rPr>
                            </w:pPr>
                            <w:r w:rsidRPr="00042032">
                              <w:rPr>
                                <w:rFonts w:cs="Arial"/>
                                <w:color w:val="000000" w:themeColor="text1"/>
                                <w:sz w:val="15"/>
                                <w:szCs w:val="15"/>
                              </w:rPr>
                              <w:t>Outside date/language (n = 8)</w:t>
                            </w:r>
                          </w:p>
                          <w:p w14:paraId="081A6B35" w14:textId="77777777" w:rsidR="00957D67" w:rsidRPr="00042032" w:rsidRDefault="00957D67" w:rsidP="00EA2DD2">
                            <w:pPr>
                              <w:spacing w:after="0" w:line="240" w:lineRule="auto"/>
                              <w:rPr>
                                <w:rFonts w:cs="Arial"/>
                                <w:color w:val="000000" w:themeColor="text1"/>
                                <w:sz w:val="20"/>
                              </w:rPr>
                            </w:pPr>
                            <w:r w:rsidRPr="00042032">
                              <w:rPr>
                                <w:rFonts w:cs="Arial"/>
                                <w:color w:val="000000" w:themeColor="text1"/>
                                <w:sz w:val="15"/>
                                <w:szCs w:val="15"/>
                              </w:rPr>
                              <w:t>Below 50% quality threshold (n = 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3A3344" id="Rectangle 11" o:spid="_x0000_s1036" style="position:absolute;left:0;text-align:left;margin-left:240.75pt;margin-top:.85pt;width:148.6pt;height:89.2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" filled="f" strokecolor="black [3213]" strokeweight="1pt">
                <v:textbox>
                  <w:txbxContent>
                    <w:p w14:paraId="7F0D2D0F" w14:textId="77777777" w:rsidR="00957D67" w:rsidRPr="00042032" w:rsidRDefault="00957D67" w:rsidP="00EA2DD2">
                      <w:pPr>
                        <w:spacing w:after="0" w:line="240" w:lineRule="auto"/>
                        <w:rPr>
                          <w:rFonts w:cs="Arial"/>
                          <w:color w:val="000000" w:themeColor="text1"/>
                          <w:sz w:val="20"/>
                        </w:rPr>
                      </w:pPr>
                      <w:r w:rsidRPr="00042032">
                        <w:rPr>
                          <w:rFonts w:cs="Arial"/>
                          <w:color w:val="000000" w:themeColor="text1"/>
                          <w:sz w:val="15"/>
                          <w:szCs w:val="15"/>
                        </w:rPr>
                        <w:t>Reports excluded:</w:t>
                      </w:r>
                    </w:p>
                    <w:p w14:paraId="3786A6E4" w14:textId="77777777" w:rsidR="00957D67" w:rsidRPr="00042032" w:rsidRDefault="00957D67" w:rsidP="00EA2DD2">
                      <w:pPr>
                        <w:spacing w:after="0" w:line="240" w:lineRule="auto"/>
                        <w:rPr>
                          <w:rFonts w:cs="Arial"/>
                          <w:color w:val="000000" w:themeColor="text1"/>
                          <w:sz w:val="20"/>
                        </w:rPr>
                      </w:pPr>
                      <w:r w:rsidRPr="00042032">
                        <w:rPr>
                          <w:rFonts w:cs="Arial"/>
                          <w:color w:val="000000" w:themeColor="text1"/>
                          <w:sz w:val="15"/>
                          <w:szCs w:val="15"/>
                        </w:rPr>
                        <w:t>Wrong country (n = 14)</w:t>
                      </w:r>
                    </w:p>
                    <w:p w14:paraId="43BD37D8" w14:textId="77777777" w:rsidR="00957D67" w:rsidRPr="00042032" w:rsidRDefault="00957D67" w:rsidP="00EA2DD2">
                      <w:pPr>
                        <w:spacing w:after="0" w:line="240" w:lineRule="auto"/>
                        <w:rPr>
                          <w:rFonts w:cs="Arial"/>
                          <w:color w:val="000000" w:themeColor="text1"/>
                          <w:sz w:val="20"/>
                        </w:rPr>
                      </w:pPr>
                      <w:r w:rsidRPr="00042032">
                        <w:rPr>
                          <w:rFonts w:cs="Arial"/>
                          <w:color w:val="000000" w:themeColor="text1"/>
                          <w:sz w:val="15"/>
                          <w:szCs w:val="15"/>
                        </w:rPr>
                        <w:t>Wrong setting (n = 12)</w:t>
                      </w:r>
                    </w:p>
                    <w:p w14:paraId="4D142A17" w14:textId="77777777" w:rsidR="00957D67" w:rsidRPr="00042032" w:rsidRDefault="00957D67" w:rsidP="00EA2DD2">
                      <w:pPr>
                        <w:spacing w:after="0" w:line="240" w:lineRule="auto"/>
                        <w:rPr>
                          <w:rFonts w:cs="Arial"/>
                          <w:color w:val="000000" w:themeColor="text1"/>
                          <w:sz w:val="20"/>
                        </w:rPr>
                      </w:pPr>
                      <w:r w:rsidRPr="00042032">
                        <w:rPr>
                          <w:rFonts w:cs="Arial"/>
                          <w:color w:val="000000" w:themeColor="text1"/>
                          <w:sz w:val="15"/>
                          <w:szCs w:val="15"/>
                        </w:rPr>
                        <w:t>No relevant antibiotic/AMS outcome (n = 10)</w:t>
                      </w:r>
                    </w:p>
                    <w:p w14:paraId="199F9F48" w14:textId="77777777" w:rsidR="00957D67" w:rsidRPr="00042032" w:rsidRDefault="00957D67" w:rsidP="00EA2DD2">
                      <w:pPr>
                        <w:spacing w:after="0" w:line="240" w:lineRule="auto"/>
                        <w:rPr>
                          <w:rFonts w:cs="Arial"/>
                          <w:color w:val="000000" w:themeColor="text1"/>
                          <w:sz w:val="20"/>
                        </w:rPr>
                      </w:pPr>
                      <w:r w:rsidRPr="00042032">
                        <w:rPr>
                          <w:rFonts w:cs="Arial"/>
                          <w:color w:val="000000" w:themeColor="text1"/>
                          <w:sz w:val="15"/>
                          <w:szCs w:val="15"/>
                        </w:rPr>
                        <w:t>Ineligible publication/reporting (n = 11)</w:t>
                      </w:r>
                    </w:p>
                    <w:p w14:paraId="1BAE485A" w14:textId="77777777" w:rsidR="00957D67" w:rsidRPr="00042032" w:rsidRDefault="00957D67" w:rsidP="00EA2DD2">
                      <w:pPr>
                        <w:spacing w:after="0" w:line="240" w:lineRule="auto"/>
                        <w:rPr>
                          <w:rFonts w:cs="Arial"/>
                          <w:color w:val="000000" w:themeColor="text1"/>
                          <w:sz w:val="20"/>
                        </w:rPr>
                      </w:pPr>
                      <w:r w:rsidRPr="00042032">
                        <w:rPr>
                          <w:rFonts w:cs="Arial"/>
                          <w:color w:val="000000" w:themeColor="text1"/>
                          <w:sz w:val="15"/>
                          <w:szCs w:val="15"/>
                        </w:rPr>
                        <w:t>Outside date/language (n = 8)</w:t>
                      </w:r>
                    </w:p>
                    <w:p w14:paraId="081A6B35" w14:textId="77777777" w:rsidR="00957D67" w:rsidRPr="00042032" w:rsidRDefault="00957D67" w:rsidP="00EA2DD2">
                      <w:pPr>
                        <w:spacing w:after="0" w:line="240" w:lineRule="auto"/>
                        <w:rPr>
                          <w:rFonts w:cs="Arial"/>
                          <w:color w:val="000000" w:themeColor="text1"/>
                          <w:sz w:val="20"/>
                        </w:rPr>
                      </w:pPr>
                      <w:r w:rsidRPr="00042032">
                        <w:rPr>
                          <w:rFonts w:cs="Arial"/>
                          <w:color w:val="000000" w:themeColor="text1"/>
                          <w:sz w:val="15"/>
                          <w:szCs w:val="15"/>
                        </w:rPr>
                        <w:t>Below 50% quality threshold (n = 8)</w:t>
                      </w:r>
                    </w:p>
                  </w:txbxContent>
                </v:textbox>
              </v:rect>
            </w:pict>
          </mc:Fallback>
        </mc:AlternateContent>
      </w:r>
    </w:p>
    <w:p w14:paraId="4BFBDE64" w14:textId="77777777" w:rsidR="00EA2DD2" w:rsidRPr="00277198" w:rsidRDefault="00EA2DD2" w:rsidP="00EA2DD2">
      <w:pPr>
        <w:spacing w:after="0" w:line="240" w:lineRule="auto"/>
        <w:rPr>
          <w:sz w:val="22"/>
        </w:rPr>
      </w:pPr>
    </w:p>
    <w:p w14:paraId="188F7F9E" w14:textId="77777777" w:rsidR="00EA2DD2" w:rsidRPr="00277198" w:rsidRDefault="00EA2DD2" w:rsidP="00EA2DD2">
      <w:pPr>
        <w:spacing w:after="0" w:line="240" w:lineRule="auto"/>
        <w:rPr>
          <w:sz w:val="22"/>
        </w:rPr>
      </w:pPr>
    </w:p>
    <w:p w14:paraId="541F8958" w14:textId="77777777" w:rsidR="00EA2DD2" w:rsidRPr="00277198" w:rsidRDefault="00EA2DD2" w:rsidP="00EA2DD2">
      <w:pPr>
        <w:spacing w:after="0" w:line="240" w:lineRule="auto"/>
        <w:rPr>
          <w:sz w:val="22"/>
        </w:rPr>
      </w:pPr>
      <w:r w:rsidRPr="00277198">
        <w:rPr>
          <w:noProof/>
          <w:sz w:val="22"/>
          <w:lang w:val="en-US"/>
        </w:rPr>
        <mc:AlternateContent>
          <mc:Choice Requires="wps">
            <w:drawing>
              <wp:anchor distT="0" distB="0" distL="114300" distR="114300" simplePos="0" relativeHeight="251676672" behindDoc="0" locked="0" layoutInCell="1" allowOverlap="1" wp14:anchorId="06396E04" wp14:editId="643E3DC2">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FF5592" id="Straight Arrow Connector 19" o:spid="_x0000_s1026" type="#_x0000_t32" style="position:absolute;margin-left:110.3pt;margin-top:2.35pt;width:0;height:58.7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" strokecolor="black [3213]" strokeweight=".5pt">
                <v:stroke endarrow="block" joinstyle="miter"/>
              </v:shape>
            </w:pict>
          </mc:Fallback>
        </mc:AlternateContent>
      </w:r>
    </w:p>
    <w:p w14:paraId="58E4D09B" w14:textId="77777777" w:rsidR="00EA2DD2" w:rsidRPr="00277198" w:rsidRDefault="00EA2DD2" w:rsidP="00EA2DD2">
      <w:pPr>
        <w:spacing w:after="0" w:line="240" w:lineRule="auto"/>
        <w:rPr>
          <w:sz w:val="22"/>
        </w:rPr>
      </w:pPr>
    </w:p>
    <w:p w14:paraId="5D23A9C4" w14:textId="77777777" w:rsidR="00EA2DD2" w:rsidRPr="00277198" w:rsidRDefault="00EA2DD2" w:rsidP="00EA2DD2">
      <w:pPr>
        <w:spacing w:after="0" w:line="240" w:lineRule="auto"/>
        <w:rPr>
          <w:sz w:val="22"/>
        </w:rPr>
      </w:pPr>
    </w:p>
    <w:p w14:paraId="3C34ADC7" w14:textId="77777777" w:rsidR="00EA2DD2" w:rsidRPr="00277198" w:rsidRDefault="00EA2DD2" w:rsidP="00EA2DD2">
      <w:pPr>
        <w:spacing w:after="0" w:line="240" w:lineRule="auto"/>
        <w:rPr>
          <w:sz w:val="22"/>
        </w:rPr>
      </w:pPr>
    </w:p>
    <w:p w14:paraId="4BFB8282" w14:textId="77777777" w:rsidR="00EA2DD2" w:rsidRPr="00277198" w:rsidRDefault="00EA2DD2" w:rsidP="00EA2DD2">
      <w:pPr>
        <w:spacing w:after="0" w:line="240" w:lineRule="auto"/>
        <w:rPr>
          <w:sz w:val="22"/>
        </w:rPr>
      </w:pPr>
      <w:r w:rsidRPr="00277198">
        <w:rPr>
          <w:noProof/>
          <w:sz w:val="22"/>
          <w:lang w:val="en-US"/>
        </w:rPr>
        <mc:AlternateContent>
          <mc:Choice Requires="wps">
            <w:drawing>
              <wp:anchor distT="0" distB="0" distL="114300" distR="114300" simplePos="0" relativeHeight="251652096" behindDoc="0" locked="0" layoutInCell="1" allowOverlap="1" wp14:anchorId="42D41F0E" wp14:editId="5EB84549">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4D53A6" w14:textId="77777777" w:rsidR="00957D67" w:rsidRPr="00042032" w:rsidRDefault="00957D67" w:rsidP="00EA2DD2">
                            <w:pPr>
                              <w:spacing w:after="0" w:line="240" w:lineRule="auto"/>
                              <w:rPr>
                                <w:rFonts w:cs="Arial"/>
                                <w:color w:val="000000" w:themeColor="text1"/>
                                <w:sz w:val="18"/>
                                <w:szCs w:val="20"/>
                              </w:rPr>
                            </w:pPr>
                            <w:r w:rsidRPr="00042032">
                              <w:rPr>
                                <w:rFonts w:cs="Arial"/>
                                <w:color w:val="000000" w:themeColor="text1"/>
                                <w:sz w:val="18"/>
                                <w:szCs w:val="18"/>
                              </w:rPr>
                              <w:t>Studies included in review</w:t>
                            </w:r>
                          </w:p>
                          <w:p w14:paraId="1424B1DE" w14:textId="4CDB8548" w:rsidR="00957D67" w:rsidRPr="00042032" w:rsidRDefault="00957D67" w:rsidP="00EA2DD2">
                            <w:pPr>
                              <w:spacing w:after="0" w:line="240" w:lineRule="auto"/>
                              <w:rPr>
                                <w:rFonts w:cs="Arial"/>
                                <w:color w:val="000000" w:themeColor="text1"/>
                                <w:sz w:val="18"/>
                                <w:szCs w:val="20"/>
                              </w:rPr>
                            </w:pPr>
                            <w:r w:rsidRPr="00042032">
                              <w:rPr>
                                <w:rFonts w:cs="Arial"/>
                                <w:color w:val="000000" w:themeColor="text1"/>
                                <w:sz w:val="18"/>
                                <w:szCs w:val="18"/>
                              </w:rPr>
                              <w:t>(n = 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D41F0E" id="Rectangle 13" o:spid="_x0000_s1037" style="position:absolute;left:0;text-align:left;margin-left:42.55pt;margin-top:8.7pt;width:148.6pt;height:57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" filled="f" strokecolor="black [3213]" strokeweight="1pt">
                <v:textbox>
                  <w:txbxContent>
                    <w:p w14:paraId="344D53A6" w14:textId="77777777" w:rsidR="00957D67" w:rsidRPr="00042032" w:rsidRDefault="00957D67" w:rsidP="00EA2DD2">
                      <w:pPr>
                        <w:spacing w:after="0" w:line="240" w:lineRule="auto"/>
                        <w:rPr>
                          <w:rFonts w:cs="Arial"/>
                          <w:color w:val="000000" w:themeColor="text1"/>
                          <w:sz w:val="18"/>
                          <w:szCs w:val="20"/>
                        </w:rPr>
                      </w:pPr>
                      <w:r w:rsidRPr="00042032">
                        <w:rPr>
                          <w:rFonts w:cs="Arial"/>
                          <w:color w:val="000000" w:themeColor="text1"/>
                          <w:sz w:val="18"/>
                          <w:szCs w:val="18"/>
                        </w:rPr>
                        <w:t>Studies included in review</w:t>
                      </w:r>
                    </w:p>
                    <w:p w14:paraId="1424B1DE" w14:textId="4CDB8548" w:rsidR="00957D67" w:rsidRPr="00042032" w:rsidRDefault="00957D67" w:rsidP="00EA2DD2">
                      <w:pPr>
                        <w:spacing w:after="0" w:line="240" w:lineRule="auto"/>
                        <w:rPr>
                          <w:rFonts w:cs="Arial"/>
                          <w:color w:val="000000" w:themeColor="text1"/>
                          <w:sz w:val="18"/>
                          <w:szCs w:val="20"/>
                        </w:rPr>
                      </w:pPr>
                      <w:r w:rsidRPr="00042032">
                        <w:rPr>
                          <w:rFonts w:cs="Arial"/>
                          <w:color w:val="000000" w:themeColor="text1"/>
                          <w:sz w:val="18"/>
                          <w:szCs w:val="18"/>
                        </w:rPr>
                        <w:t>(n = 15)</w:t>
                      </w:r>
                    </w:p>
                  </w:txbxContent>
                </v:textbox>
              </v:rect>
            </w:pict>
          </mc:Fallback>
        </mc:AlternateContent>
      </w:r>
    </w:p>
    <w:p w14:paraId="0ACA9F8E" w14:textId="77777777" w:rsidR="00EA2DD2" w:rsidRPr="00277198" w:rsidRDefault="00EA2DD2" w:rsidP="00EA2DD2">
      <w:pPr>
        <w:spacing w:after="0" w:line="240" w:lineRule="auto"/>
        <w:rPr>
          <w:sz w:val="22"/>
        </w:rPr>
      </w:pPr>
      <w:r w:rsidRPr="00277198">
        <w:rPr>
          <w:noProof/>
          <w:sz w:val="22"/>
          <w:lang w:val="en-US"/>
        </w:rPr>
        <mc:AlternateContent>
          <mc:Choice Requires="wps">
            <w:drawing>
              <wp:anchor distT="0" distB="0" distL="114300" distR="114300" simplePos="0" relativeHeight="251668480" behindDoc="0" locked="0" layoutInCell="1" allowOverlap="1" wp14:anchorId="5E46DC42" wp14:editId="5F7CA88A">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77D66DA" w14:textId="77777777" w:rsidR="00957D67" w:rsidRPr="001502CF" w:rsidRDefault="00957D67" w:rsidP="00EA2DD2">
                            <w:pPr>
                              <w:spacing w:after="0" w:line="240" w:lineRule="auto"/>
                              <w:jc w:val="center"/>
                              <w:rPr>
                                <w:rFonts w:cs="Arial"/>
                                <w:b/>
                                <w:color w:val="000000" w:themeColor="text1"/>
                                <w:sz w:val="18"/>
                                <w:szCs w:val="18"/>
                              </w:rPr>
                            </w:pPr>
                            <w:r>
                              <w:rPr>
                                <w:rFonts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46DC42" id="Flowchart: Alternate Process 33" o:spid="_x0000_s1038" type="#_x0000_t176" style="position:absolute;left:0;text-align:left;margin-left:-10.5pt;margin-top:13.45pt;width:60.2pt;height:20.7pt;rotation:-9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" fillcolor="#8eaadb [1944]" strokecolor="black [3213]" strokeweight="1pt">
                <v:textbox>
                  <w:txbxContent>
                    <w:p w14:paraId="477D66DA" w14:textId="77777777" w:rsidR="00957D67" w:rsidRPr="001502CF" w:rsidRDefault="00957D67" w:rsidP="00EA2DD2">
                      <w:pPr>
                        <w:spacing w:after="0" w:line="240" w:lineRule="auto"/>
                        <w:jc w:val="center"/>
                        <w:rPr>
                          <w:rFonts w:cs="Arial"/>
                          <w:b/>
                          <w:color w:val="000000" w:themeColor="text1"/>
                          <w:sz w:val="18"/>
                          <w:szCs w:val="18"/>
                        </w:rPr>
                      </w:pPr>
                      <w:r>
                        <w:rPr>
                          <w:rFonts w:cs="Arial"/>
                          <w:b/>
                          <w:color w:val="000000" w:themeColor="text1"/>
                          <w:sz w:val="18"/>
                          <w:szCs w:val="18"/>
                        </w:rPr>
                        <w:t>Included</w:t>
                      </w:r>
                    </w:p>
                  </w:txbxContent>
                </v:textbox>
              </v:shape>
            </w:pict>
          </mc:Fallback>
        </mc:AlternateContent>
      </w:r>
    </w:p>
    <w:p w14:paraId="1A57B466" w14:textId="77777777" w:rsidR="00EA2DD2" w:rsidRPr="00277198" w:rsidRDefault="00EA2DD2" w:rsidP="00EA2DD2">
      <w:pPr>
        <w:spacing w:after="0" w:line="240" w:lineRule="auto"/>
        <w:rPr>
          <w:sz w:val="22"/>
        </w:rPr>
      </w:pPr>
    </w:p>
    <w:p w14:paraId="31B06E2B" w14:textId="77777777" w:rsidR="00EA2DD2" w:rsidRPr="00277198" w:rsidRDefault="00EA2DD2" w:rsidP="00EA2DD2">
      <w:pPr>
        <w:spacing w:after="0" w:line="240" w:lineRule="auto"/>
        <w:rPr>
          <w:sz w:val="22"/>
        </w:rPr>
      </w:pPr>
    </w:p>
    <w:p w14:paraId="587F3B8A" w14:textId="77777777" w:rsidR="00EA2DD2" w:rsidRPr="00277198" w:rsidRDefault="00EA2DD2" w:rsidP="00EA2DD2">
      <w:pPr>
        <w:spacing w:after="0" w:line="240" w:lineRule="auto"/>
        <w:rPr>
          <w:sz w:val="22"/>
        </w:rPr>
      </w:pPr>
    </w:p>
    <w:p w14:paraId="241C07C2" w14:textId="77777777" w:rsidR="00EA2DD2" w:rsidRPr="00277198" w:rsidRDefault="00EA2DD2" w:rsidP="00EA2DD2">
      <w:pPr>
        <w:spacing w:after="0" w:line="240" w:lineRule="auto"/>
        <w:rPr>
          <w:sz w:val="22"/>
        </w:rPr>
      </w:pPr>
    </w:p>
    <w:p w14:paraId="62626328" w14:textId="77777777" w:rsidR="00EA2DD2" w:rsidRPr="00277198" w:rsidRDefault="00EA2DD2" w:rsidP="00EA2DD2">
      <w:pPr>
        <w:rPr>
          <w:sz w:val="22"/>
        </w:rPr>
      </w:pPr>
    </w:p>
    <w:p w14:paraId="7382F2E2" w14:textId="77777777" w:rsidR="00EA2DD2" w:rsidRPr="00277198" w:rsidRDefault="00EA2DD2" w:rsidP="00EA2DD2">
      <w:pPr>
        <w:rPr>
          <w:sz w:val="22"/>
        </w:rPr>
      </w:pPr>
      <w:r w:rsidRPr="00277198">
        <w:rPr>
          <w:sz w:val="22"/>
        </w:rPr>
        <w:br w:type="page"/>
      </w:r>
    </w:p>
    <w:p w14:paraId="01ACC3E3" w14:textId="77777777" w:rsidR="00EA2DD2" w:rsidRPr="00277198" w:rsidRDefault="00EA2DD2" w:rsidP="00277198">
      <w:pPr>
        <w:pStyle w:val="Heading2"/>
      </w:pPr>
      <w:bookmarkStart w:id="80" w:name="_Toc237276302"/>
      <w:bookmarkStart w:id="81" w:name="_Toc240928050"/>
      <w:r w:rsidRPr="00277198">
        <w:t>4.3 Study Characteristics</w:t>
      </w:r>
      <w:bookmarkEnd w:id="80"/>
      <w:bookmarkEnd w:id="81"/>
    </w:p>
    <w:p w14:paraId="5BE391A3" w14:textId="77777777" w:rsidR="00EA2DD2" w:rsidRPr="00277198" w:rsidRDefault="00EA2DD2" w:rsidP="00EA2DD2">
      <w:pPr>
        <w:spacing w:after="0"/>
        <w:rPr>
          <w:sz w:val="22"/>
        </w:rPr>
      </w:pPr>
      <w:r w:rsidRPr="00277198">
        <w:rPr>
          <w:sz w:val="22"/>
        </w:rPr>
        <w:t>The 15 studies were published since 2019. Six were done only in Wales, six only in England, one compared England and Wales, one was done in Northern Ireland and one surveyed pharmacy workers throughout the United Kingdom. None of the studies included in the study considered Scotland as a specific environment. This focus is significant as commissioning, legal supply channels, clinical pathways and digital infrastructure vary between the four countries.</w:t>
      </w:r>
    </w:p>
    <w:p w14:paraId="44570092" w14:textId="77777777" w:rsidR="00EA2DD2" w:rsidRPr="00277198" w:rsidRDefault="00EA2DD2" w:rsidP="00EA2DD2">
      <w:pPr>
        <w:spacing w:after="0"/>
        <w:rPr>
          <w:sz w:val="22"/>
        </w:rPr>
      </w:pPr>
      <w:r w:rsidRPr="00277198">
        <w:rPr>
          <w:sz w:val="22"/>
        </w:rPr>
        <w:t>The evidence comprised two qualitative studies, one mixed-methods study, one workforce survey, a few prospective or retrospective service assessments, cross-sectional assessments of routine pharmacy records, a natural policy experiment and a longitudinal linked-data cohort. The sample size was between seven interviews with pharmacists and over 300,000 Pharmacy First consultations nationwide. The clinical services were mainly related to acute sore throat, urinary tract infection (UTI) and respiratory tract infection; the rest of the studies looked at antibiotic-prescription checks, counselling resources, staff knowledge and interprofessional communication. The requested study, setting and sample, method, outcomes, strengths and limitations, quality judgement and extracted themes are reported in Table 4.1.</w:t>
      </w:r>
    </w:p>
    <w:p w14:paraId="58BDB02A" w14:textId="77777777" w:rsidR="00EA2DD2" w:rsidRPr="00277198" w:rsidRDefault="00EA2DD2" w:rsidP="00EA2DD2">
      <w:pPr>
        <w:rPr>
          <w:sz w:val="22"/>
        </w:rPr>
        <w:sectPr w:rsidR="00EA2DD2" w:rsidRPr="00277198" w:rsidSect="00EA2DD2">
          <w:footerReference w:type="default" r:id="rId15"/>
          <w:pgSz w:w="12240" w:h="15840"/>
          <w:pgMar w:top="1440" w:right="1440" w:bottom="1440" w:left="1440" w:header="720" w:footer="720" w:gutter="0"/>
          <w:cols w:space="720"/>
          <w:docGrid w:linePitch="360"/>
        </w:sectPr>
      </w:pPr>
    </w:p>
    <w:p w14:paraId="001C0DE8" w14:textId="77777777" w:rsidR="00EA2DD2" w:rsidRPr="00277198" w:rsidRDefault="00EA2DD2" w:rsidP="00EA2DD2">
      <w:pPr>
        <w:rPr>
          <w:sz w:val="22"/>
        </w:rPr>
      </w:pPr>
      <w:r w:rsidRPr="00277198">
        <w:rPr>
          <w:sz w:val="22"/>
        </w:rPr>
        <w:t>Table 4.1: Characteristics, appraisal and extracted themes of the 15 included studies</w:t>
      </w:r>
    </w:p>
    <w:tbl>
      <w:tblPr>
        <w:tblStyle w:val="TableGrid"/>
        <w:tblW w:w="0" w:type="auto"/>
        <w:tblLook w:val="04A0" w:firstRow="1" w:lastRow="0" w:firstColumn="1" w:lastColumn="0" w:noHBand="0" w:noVBand="1"/>
      </w:tblPr>
      <w:tblGrid>
        <w:gridCol w:w="2001"/>
        <w:gridCol w:w="3095"/>
        <w:gridCol w:w="2414"/>
        <w:gridCol w:w="3191"/>
        <w:gridCol w:w="2843"/>
        <w:gridCol w:w="1048"/>
      </w:tblGrid>
      <w:tr w:rsidR="004D2FD6" w:rsidRPr="00277198" w14:paraId="1E8423D0" w14:textId="77777777" w:rsidTr="004D2FD6">
        <w:tc>
          <w:tcPr>
            <w:tcW w:w="0" w:type="auto"/>
            <w:hideMark/>
          </w:tcPr>
          <w:p w14:paraId="5FC30DE5" w14:textId="77777777" w:rsidR="004D2FD6" w:rsidRPr="00277198" w:rsidRDefault="004D2FD6" w:rsidP="004D2FD6">
            <w:pPr>
              <w:spacing w:line="276" w:lineRule="auto"/>
              <w:rPr>
                <w:b/>
                <w:bCs/>
                <w:sz w:val="22"/>
                <w:lang w:val="en-US"/>
              </w:rPr>
            </w:pPr>
            <w:r w:rsidRPr="00277198">
              <w:rPr>
                <w:b/>
                <w:bCs/>
                <w:sz w:val="22"/>
                <w:lang w:val="en-US"/>
              </w:rPr>
              <w:t>Study / nation</w:t>
            </w:r>
          </w:p>
        </w:tc>
        <w:tc>
          <w:tcPr>
            <w:tcW w:w="0" w:type="auto"/>
            <w:hideMark/>
          </w:tcPr>
          <w:p w14:paraId="58F8FBA2" w14:textId="77777777" w:rsidR="004D2FD6" w:rsidRPr="00277198" w:rsidRDefault="004D2FD6" w:rsidP="004D2FD6">
            <w:pPr>
              <w:spacing w:line="276" w:lineRule="auto"/>
              <w:rPr>
                <w:b/>
                <w:bCs/>
                <w:sz w:val="22"/>
                <w:lang w:val="en-US"/>
              </w:rPr>
            </w:pPr>
            <w:r w:rsidRPr="00277198">
              <w:rPr>
                <w:b/>
                <w:bCs/>
                <w:sz w:val="22"/>
                <w:lang w:val="en-US"/>
              </w:rPr>
              <w:t>Setting and sample</w:t>
            </w:r>
          </w:p>
        </w:tc>
        <w:tc>
          <w:tcPr>
            <w:tcW w:w="0" w:type="auto"/>
            <w:hideMark/>
          </w:tcPr>
          <w:p w14:paraId="62DA4FD7" w14:textId="77777777" w:rsidR="004D2FD6" w:rsidRPr="00277198" w:rsidRDefault="004D2FD6" w:rsidP="004D2FD6">
            <w:pPr>
              <w:spacing w:line="276" w:lineRule="auto"/>
              <w:rPr>
                <w:b/>
                <w:bCs/>
                <w:sz w:val="22"/>
                <w:lang w:val="en-US"/>
              </w:rPr>
            </w:pPr>
            <w:r w:rsidRPr="00277198">
              <w:rPr>
                <w:b/>
                <w:bCs/>
                <w:sz w:val="22"/>
                <w:lang w:val="en-US"/>
              </w:rPr>
              <w:t>Methodology / design</w:t>
            </w:r>
          </w:p>
        </w:tc>
        <w:tc>
          <w:tcPr>
            <w:tcW w:w="0" w:type="auto"/>
            <w:hideMark/>
          </w:tcPr>
          <w:p w14:paraId="6C35CAB6" w14:textId="77777777" w:rsidR="004D2FD6" w:rsidRPr="00277198" w:rsidRDefault="004D2FD6" w:rsidP="004D2FD6">
            <w:pPr>
              <w:spacing w:line="276" w:lineRule="auto"/>
              <w:rPr>
                <w:b/>
                <w:bCs/>
                <w:sz w:val="22"/>
                <w:lang w:val="en-US"/>
              </w:rPr>
            </w:pPr>
            <w:r w:rsidRPr="00277198">
              <w:rPr>
                <w:b/>
                <w:bCs/>
                <w:sz w:val="22"/>
                <w:lang w:val="en-US"/>
              </w:rPr>
              <w:t>Key results and outcomes</w:t>
            </w:r>
          </w:p>
        </w:tc>
        <w:tc>
          <w:tcPr>
            <w:tcW w:w="0" w:type="auto"/>
            <w:hideMark/>
          </w:tcPr>
          <w:p w14:paraId="66AE9FA0" w14:textId="77777777" w:rsidR="004D2FD6" w:rsidRPr="00277198" w:rsidRDefault="004D2FD6" w:rsidP="004D2FD6">
            <w:pPr>
              <w:spacing w:line="276" w:lineRule="auto"/>
              <w:rPr>
                <w:b/>
                <w:bCs/>
                <w:sz w:val="22"/>
                <w:lang w:val="en-US"/>
              </w:rPr>
            </w:pPr>
            <w:r w:rsidRPr="00277198">
              <w:rPr>
                <w:b/>
                <w:bCs/>
                <w:sz w:val="22"/>
                <w:lang w:val="en-US"/>
              </w:rPr>
              <w:t>Strengths, limitations and quality</w:t>
            </w:r>
          </w:p>
        </w:tc>
        <w:tc>
          <w:tcPr>
            <w:tcW w:w="0" w:type="auto"/>
            <w:hideMark/>
          </w:tcPr>
          <w:p w14:paraId="542EB289" w14:textId="77777777" w:rsidR="004D2FD6" w:rsidRPr="00277198" w:rsidRDefault="004D2FD6" w:rsidP="004D2FD6">
            <w:pPr>
              <w:spacing w:line="276" w:lineRule="auto"/>
              <w:rPr>
                <w:b/>
                <w:bCs/>
                <w:sz w:val="22"/>
                <w:lang w:val="en-US"/>
              </w:rPr>
            </w:pPr>
            <w:r w:rsidRPr="00277198">
              <w:rPr>
                <w:b/>
                <w:bCs/>
                <w:sz w:val="22"/>
                <w:lang w:val="en-US"/>
              </w:rPr>
              <w:t>Themes</w:t>
            </w:r>
          </w:p>
        </w:tc>
      </w:tr>
      <w:tr w:rsidR="004D2FD6" w:rsidRPr="00277198" w14:paraId="1921735E" w14:textId="77777777" w:rsidTr="004D2FD6">
        <w:tc>
          <w:tcPr>
            <w:tcW w:w="0" w:type="auto"/>
            <w:hideMark/>
          </w:tcPr>
          <w:p w14:paraId="4E5EA792" w14:textId="77777777" w:rsidR="004D2FD6" w:rsidRPr="00277198" w:rsidRDefault="004D2FD6" w:rsidP="004D2FD6">
            <w:pPr>
              <w:spacing w:line="276" w:lineRule="auto"/>
              <w:rPr>
                <w:sz w:val="22"/>
                <w:lang w:val="en-US"/>
              </w:rPr>
            </w:pPr>
            <w:r w:rsidRPr="00277198">
              <w:rPr>
                <w:sz w:val="22"/>
                <w:lang w:val="en-US"/>
              </w:rPr>
              <w:t>Mantzourani et al. (2019), Wales</w:t>
            </w:r>
          </w:p>
        </w:tc>
        <w:tc>
          <w:tcPr>
            <w:tcW w:w="0" w:type="auto"/>
            <w:hideMark/>
          </w:tcPr>
          <w:p w14:paraId="204F710B" w14:textId="77777777" w:rsidR="004D2FD6" w:rsidRPr="00277198" w:rsidRDefault="004D2FD6" w:rsidP="004D2FD6">
            <w:pPr>
              <w:spacing w:line="276" w:lineRule="auto"/>
              <w:rPr>
                <w:sz w:val="22"/>
                <w:lang w:val="en-US"/>
              </w:rPr>
            </w:pPr>
            <w:r w:rsidRPr="00277198">
              <w:rPr>
                <w:sz w:val="22"/>
                <w:lang w:val="en-US"/>
              </w:rPr>
              <w:t>7 community pharmacists</w:t>
            </w:r>
          </w:p>
        </w:tc>
        <w:tc>
          <w:tcPr>
            <w:tcW w:w="0" w:type="auto"/>
            <w:hideMark/>
          </w:tcPr>
          <w:p w14:paraId="22B08725" w14:textId="77777777" w:rsidR="004D2FD6" w:rsidRPr="00277198" w:rsidRDefault="004D2FD6" w:rsidP="004D2FD6">
            <w:pPr>
              <w:spacing w:line="276" w:lineRule="auto"/>
              <w:rPr>
                <w:sz w:val="22"/>
                <w:lang w:val="en-US"/>
              </w:rPr>
            </w:pPr>
            <w:r w:rsidRPr="00277198">
              <w:rPr>
                <w:sz w:val="22"/>
                <w:lang w:val="en-US"/>
              </w:rPr>
              <w:t>Phenomenological interviews; thematic analysis</w:t>
            </w:r>
          </w:p>
        </w:tc>
        <w:tc>
          <w:tcPr>
            <w:tcW w:w="0" w:type="auto"/>
            <w:hideMark/>
          </w:tcPr>
          <w:p w14:paraId="693D493E" w14:textId="77777777" w:rsidR="004D2FD6" w:rsidRPr="00277198" w:rsidRDefault="004D2FD6" w:rsidP="004D2FD6">
            <w:pPr>
              <w:spacing w:line="276" w:lineRule="auto"/>
              <w:rPr>
                <w:sz w:val="22"/>
                <w:lang w:val="en-US"/>
              </w:rPr>
            </w:pPr>
            <w:r w:rsidRPr="00277198">
              <w:rPr>
                <w:sz w:val="22"/>
                <w:lang w:val="en-US"/>
              </w:rPr>
              <w:t>Structured assessment/testing valued; training, staffing and GP interface affected delivery.</w:t>
            </w:r>
          </w:p>
        </w:tc>
        <w:tc>
          <w:tcPr>
            <w:tcW w:w="0" w:type="auto"/>
            <w:hideMark/>
          </w:tcPr>
          <w:p w14:paraId="6F2FAF34" w14:textId="77777777" w:rsidR="004D2FD6" w:rsidRPr="00277198" w:rsidRDefault="004D2FD6" w:rsidP="004D2FD6">
            <w:pPr>
              <w:spacing w:line="276" w:lineRule="auto"/>
              <w:rPr>
                <w:sz w:val="22"/>
                <w:lang w:val="en-US"/>
              </w:rPr>
            </w:pPr>
            <w:r w:rsidRPr="00277198">
              <w:rPr>
                <w:sz w:val="22"/>
                <w:lang w:val="en-US"/>
              </w:rPr>
              <w:t>Moderate; small self-selected sample.</w:t>
            </w:r>
          </w:p>
        </w:tc>
        <w:tc>
          <w:tcPr>
            <w:tcW w:w="0" w:type="auto"/>
            <w:hideMark/>
          </w:tcPr>
          <w:p w14:paraId="13615C5F" w14:textId="77777777" w:rsidR="004D2FD6" w:rsidRPr="00277198" w:rsidRDefault="004D2FD6" w:rsidP="004D2FD6">
            <w:pPr>
              <w:spacing w:line="276" w:lineRule="auto"/>
              <w:rPr>
                <w:sz w:val="22"/>
                <w:lang w:val="en-US"/>
              </w:rPr>
            </w:pPr>
            <w:r w:rsidRPr="00277198">
              <w:rPr>
                <w:sz w:val="22"/>
                <w:lang w:val="en-US"/>
              </w:rPr>
              <w:t>1, 3, 4</w:t>
            </w:r>
          </w:p>
        </w:tc>
      </w:tr>
      <w:tr w:rsidR="004D2FD6" w:rsidRPr="00277198" w14:paraId="33AA8C2B" w14:textId="77777777" w:rsidTr="004D2FD6">
        <w:tc>
          <w:tcPr>
            <w:tcW w:w="0" w:type="auto"/>
            <w:hideMark/>
          </w:tcPr>
          <w:p w14:paraId="3353A23C" w14:textId="5C37E2BD" w:rsidR="004D2FD6" w:rsidRPr="00277198" w:rsidRDefault="004D2FD6" w:rsidP="004D2FD6">
            <w:pPr>
              <w:spacing w:line="276" w:lineRule="auto"/>
              <w:rPr>
                <w:sz w:val="22"/>
                <w:lang w:val="en-US"/>
              </w:rPr>
            </w:pPr>
            <w:r w:rsidRPr="00277198">
              <w:rPr>
                <w:sz w:val="22"/>
                <w:lang w:val="en-US"/>
              </w:rPr>
              <w:t>Mantzourani et al. (2020</w:t>
            </w:r>
            <w:r w:rsidR="00350D89">
              <w:rPr>
                <w:sz w:val="22"/>
                <w:lang w:val="en-US"/>
              </w:rPr>
              <w:t>a</w:t>
            </w:r>
            <w:r w:rsidRPr="00277198">
              <w:rPr>
                <w:sz w:val="22"/>
                <w:lang w:val="en-US"/>
              </w:rPr>
              <w:t>), Wales</w:t>
            </w:r>
          </w:p>
        </w:tc>
        <w:tc>
          <w:tcPr>
            <w:tcW w:w="0" w:type="auto"/>
            <w:hideMark/>
          </w:tcPr>
          <w:p w14:paraId="2A839D68" w14:textId="77777777" w:rsidR="004D2FD6" w:rsidRPr="00277198" w:rsidRDefault="004D2FD6" w:rsidP="004D2FD6">
            <w:pPr>
              <w:spacing w:line="276" w:lineRule="auto"/>
              <w:rPr>
                <w:sz w:val="22"/>
                <w:lang w:val="en-US"/>
              </w:rPr>
            </w:pPr>
            <w:r w:rsidRPr="00277198">
              <w:rPr>
                <w:sz w:val="22"/>
                <w:lang w:val="en-US"/>
              </w:rPr>
              <w:t>56 pharmacies; 1,725 STTT consultations</w:t>
            </w:r>
          </w:p>
        </w:tc>
        <w:tc>
          <w:tcPr>
            <w:tcW w:w="0" w:type="auto"/>
            <w:hideMark/>
          </w:tcPr>
          <w:p w14:paraId="163A6ECF" w14:textId="77777777" w:rsidR="004D2FD6" w:rsidRPr="00277198" w:rsidRDefault="004D2FD6" w:rsidP="004D2FD6">
            <w:pPr>
              <w:spacing w:line="276" w:lineRule="auto"/>
              <w:rPr>
                <w:sz w:val="22"/>
                <w:lang w:val="en-US"/>
              </w:rPr>
            </w:pPr>
            <w:r w:rsidRPr="00277198">
              <w:rPr>
                <w:sz w:val="22"/>
                <w:lang w:val="en-US"/>
              </w:rPr>
              <w:t>Service evaluation</w:t>
            </w:r>
          </w:p>
        </w:tc>
        <w:tc>
          <w:tcPr>
            <w:tcW w:w="0" w:type="auto"/>
            <w:hideMark/>
          </w:tcPr>
          <w:p w14:paraId="5AB9AE60" w14:textId="77777777" w:rsidR="004D2FD6" w:rsidRPr="00277198" w:rsidRDefault="004D2FD6" w:rsidP="004D2FD6">
            <w:pPr>
              <w:spacing w:line="276" w:lineRule="auto"/>
              <w:rPr>
                <w:sz w:val="22"/>
                <w:lang w:val="en-US"/>
              </w:rPr>
            </w:pPr>
            <w:r w:rsidRPr="00277198">
              <w:rPr>
                <w:sz w:val="22"/>
                <w:lang w:val="en-US"/>
              </w:rPr>
              <w:t>&lt;20% received antibiotics; no quinsy increase; limited change in GP prescribing.</w:t>
            </w:r>
          </w:p>
        </w:tc>
        <w:tc>
          <w:tcPr>
            <w:tcW w:w="0" w:type="auto"/>
            <w:hideMark/>
          </w:tcPr>
          <w:p w14:paraId="2063750A" w14:textId="77777777" w:rsidR="004D2FD6" w:rsidRPr="00277198" w:rsidRDefault="004D2FD6" w:rsidP="004D2FD6">
            <w:pPr>
              <w:spacing w:line="276" w:lineRule="auto"/>
              <w:rPr>
                <w:sz w:val="22"/>
                <w:lang w:val="en-US"/>
              </w:rPr>
            </w:pPr>
            <w:r w:rsidRPr="00277198">
              <w:rPr>
                <w:sz w:val="22"/>
                <w:lang w:val="en-US"/>
              </w:rPr>
              <w:t>Higher; observational and short follow-up.</w:t>
            </w:r>
          </w:p>
        </w:tc>
        <w:tc>
          <w:tcPr>
            <w:tcW w:w="0" w:type="auto"/>
            <w:hideMark/>
          </w:tcPr>
          <w:p w14:paraId="228DC425" w14:textId="77777777" w:rsidR="004D2FD6" w:rsidRPr="00277198" w:rsidRDefault="004D2FD6" w:rsidP="004D2FD6">
            <w:pPr>
              <w:spacing w:line="276" w:lineRule="auto"/>
              <w:rPr>
                <w:sz w:val="22"/>
                <w:lang w:val="en-US"/>
              </w:rPr>
            </w:pPr>
            <w:r w:rsidRPr="00277198">
              <w:rPr>
                <w:sz w:val="22"/>
                <w:lang w:val="en-US"/>
              </w:rPr>
              <w:t>1, 4</w:t>
            </w:r>
          </w:p>
        </w:tc>
      </w:tr>
      <w:tr w:rsidR="004D2FD6" w:rsidRPr="00277198" w14:paraId="1887A2B8" w14:textId="77777777" w:rsidTr="004D2FD6">
        <w:tc>
          <w:tcPr>
            <w:tcW w:w="0" w:type="auto"/>
            <w:hideMark/>
          </w:tcPr>
          <w:p w14:paraId="30D02776" w14:textId="77777777" w:rsidR="004D2FD6" w:rsidRPr="00277198" w:rsidRDefault="004D2FD6" w:rsidP="004D2FD6">
            <w:pPr>
              <w:spacing w:line="276" w:lineRule="auto"/>
              <w:rPr>
                <w:sz w:val="22"/>
                <w:lang w:val="en-US"/>
              </w:rPr>
            </w:pPr>
            <w:r w:rsidRPr="00277198">
              <w:rPr>
                <w:sz w:val="22"/>
                <w:lang w:val="en-US"/>
              </w:rPr>
              <w:t>Thornley et al. (2020), England</w:t>
            </w:r>
          </w:p>
        </w:tc>
        <w:tc>
          <w:tcPr>
            <w:tcW w:w="0" w:type="auto"/>
            <w:hideMark/>
          </w:tcPr>
          <w:p w14:paraId="3C86AB8A" w14:textId="77777777" w:rsidR="004D2FD6" w:rsidRPr="00277198" w:rsidRDefault="004D2FD6" w:rsidP="004D2FD6">
            <w:pPr>
              <w:spacing w:line="276" w:lineRule="auto"/>
              <w:rPr>
                <w:sz w:val="22"/>
                <w:lang w:val="en-US"/>
              </w:rPr>
            </w:pPr>
            <w:r w:rsidRPr="00277198">
              <w:rPr>
                <w:sz w:val="22"/>
                <w:lang w:val="en-US"/>
              </w:rPr>
              <w:t>23 pharmacies; 764 women; 496 completed pathway</w:t>
            </w:r>
          </w:p>
        </w:tc>
        <w:tc>
          <w:tcPr>
            <w:tcW w:w="0" w:type="auto"/>
            <w:hideMark/>
          </w:tcPr>
          <w:p w14:paraId="156FA686" w14:textId="77777777" w:rsidR="004D2FD6" w:rsidRPr="00277198" w:rsidRDefault="004D2FD6" w:rsidP="004D2FD6">
            <w:pPr>
              <w:spacing w:line="276" w:lineRule="auto"/>
              <w:rPr>
                <w:sz w:val="22"/>
                <w:lang w:val="en-US"/>
              </w:rPr>
            </w:pPr>
            <w:r w:rsidRPr="00277198">
              <w:rPr>
                <w:sz w:val="22"/>
                <w:lang w:val="en-US"/>
              </w:rPr>
              <w:t>Prospective service evaluation</w:t>
            </w:r>
          </w:p>
        </w:tc>
        <w:tc>
          <w:tcPr>
            <w:tcW w:w="0" w:type="auto"/>
            <w:hideMark/>
          </w:tcPr>
          <w:p w14:paraId="775430E7" w14:textId="77777777" w:rsidR="004D2FD6" w:rsidRPr="00277198" w:rsidRDefault="004D2FD6" w:rsidP="004D2FD6">
            <w:pPr>
              <w:spacing w:line="276" w:lineRule="auto"/>
              <w:rPr>
                <w:sz w:val="22"/>
                <w:lang w:val="en-US"/>
              </w:rPr>
            </w:pPr>
            <w:r w:rsidRPr="00277198">
              <w:rPr>
                <w:sz w:val="22"/>
                <w:lang w:val="en-US"/>
              </w:rPr>
              <w:t>372/496 likely lower UTI; 214/301 would otherwise see GP; same-day treatment/self-care.</w:t>
            </w:r>
          </w:p>
        </w:tc>
        <w:tc>
          <w:tcPr>
            <w:tcW w:w="0" w:type="auto"/>
            <w:hideMark/>
          </w:tcPr>
          <w:p w14:paraId="73E50008" w14:textId="77777777" w:rsidR="004D2FD6" w:rsidRPr="00277198" w:rsidRDefault="004D2FD6" w:rsidP="004D2FD6">
            <w:pPr>
              <w:spacing w:line="276" w:lineRule="auto"/>
              <w:rPr>
                <w:sz w:val="22"/>
                <w:lang w:val="en-US"/>
              </w:rPr>
            </w:pPr>
            <w:r w:rsidRPr="00277198">
              <w:rPr>
                <w:sz w:val="22"/>
                <w:lang w:val="en-US"/>
              </w:rPr>
              <w:t>Moderate; selected sites and no comparator.</w:t>
            </w:r>
          </w:p>
        </w:tc>
        <w:tc>
          <w:tcPr>
            <w:tcW w:w="0" w:type="auto"/>
            <w:hideMark/>
          </w:tcPr>
          <w:p w14:paraId="333F2553" w14:textId="77777777" w:rsidR="004D2FD6" w:rsidRPr="00277198" w:rsidRDefault="004D2FD6" w:rsidP="004D2FD6">
            <w:pPr>
              <w:spacing w:line="276" w:lineRule="auto"/>
              <w:rPr>
                <w:sz w:val="22"/>
                <w:lang w:val="en-US"/>
              </w:rPr>
            </w:pPr>
            <w:r w:rsidRPr="00277198">
              <w:rPr>
                <w:sz w:val="22"/>
                <w:lang w:val="en-US"/>
              </w:rPr>
              <w:t>1, 2, 4</w:t>
            </w:r>
          </w:p>
        </w:tc>
      </w:tr>
      <w:tr w:rsidR="004D2FD6" w:rsidRPr="00277198" w14:paraId="6CF00B27" w14:textId="77777777" w:rsidTr="004D2FD6">
        <w:tc>
          <w:tcPr>
            <w:tcW w:w="0" w:type="auto"/>
            <w:hideMark/>
          </w:tcPr>
          <w:p w14:paraId="267A1DD9" w14:textId="77777777" w:rsidR="004D2FD6" w:rsidRPr="00277198" w:rsidRDefault="004D2FD6" w:rsidP="004D2FD6">
            <w:pPr>
              <w:spacing w:line="276" w:lineRule="auto"/>
              <w:rPr>
                <w:sz w:val="22"/>
                <w:lang w:val="en-US"/>
              </w:rPr>
            </w:pPr>
            <w:r w:rsidRPr="00277198">
              <w:rPr>
                <w:sz w:val="22"/>
                <w:lang w:val="en-US"/>
              </w:rPr>
              <w:t>Peiffer-Smadja et al. (2020), England</w:t>
            </w:r>
          </w:p>
        </w:tc>
        <w:tc>
          <w:tcPr>
            <w:tcW w:w="0" w:type="auto"/>
            <w:hideMark/>
          </w:tcPr>
          <w:p w14:paraId="35D7DFBB" w14:textId="77777777" w:rsidR="004D2FD6" w:rsidRPr="00277198" w:rsidRDefault="004D2FD6" w:rsidP="004D2FD6">
            <w:pPr>
              <w:spacing w:line="276" w:lineRule="auto"/>
              <w:rPr>
                <w:sz w:val="22"/>
                <w:lang w:val="en-US"/>
              </w:rPr>
            </w:pPr>
            <w:r w:rsidRPr="00277198">
              <w:rPr>
                <w:sz w:val="22"/>
                <w:lang w:val="en-US"/>
              </w:rPr>
              <w:t>51 users; pharmacist interviews/questionnaires</w:t>
            </w:r>
          </w:p>
        </w:tc>
        <w:tc>
          <w:tcPr>
            <w:tcW w:w="0" w:type="auto"/>
            <w:hideMark/>
          </w:tcPr>
          <w:p w14:paraId="35AED0DE" w14:textId="77777777" w:rsidR="004D2FD6" w:rsidRPr="00277198" w:rsidRDefault="004D2FD6" w:rsidP="004D2FD6">
            <w:pPr>
              <w:spacing w:line="276" w:lineRule="auto"/>
              <w:rPr>
                <w:sz w:val="22"/>
                <w:lang w:val="en-US"/>
              </w:rPr>
            </w:pPr>
            <w:r w:rsidRPr="00277198">
              <w:rPr>
                <w:sz w:val="22"/>
                <w:lang w:val="en-US"/>
              </w:rPr>
              <w:t>Mixed methods</w:t>
            </w:r>
          </w:p>
        </w:tc>
        <w:tc>
          <w:tcPr>
            <w:tcW w:w="0" w:type="auto"/>
            <w:hideMark/>
          </w:tcPr>
          <w:p w14:paraId="0E8F9684" w14:textId="77777777" w:rsidR="004D2FD6" w:rsidRPr="00277198" w:rsidRDefault="004D2FD6" w:rsidP="004D2FD6">
            <w:pPr>
              <w:spacing w:line="276" w:lineRule="auto"/>
              <w:rPr>
                <w:sz w:val="22"/>
                <w:lang w:val="en-US"/>
              </w:rPr>
            </w:pPr>
            <w:r w:rsidRPr="00277198">
              <w:rPr>
                <w:sz w:val="22"/>
                <w:lang w:val="en-US"/>
              </w:rPr>
              <w:t>65% comfortable discussing UTI privately; time, staffing, records and referral were barriers.</w:t>
            </w:r>
          </w:p>
        </w:tc>
        <w:tc>
          <w:tcPr>
            <w:tcW w:w="0" w:type="auto"/>
            <w:hideMark/>
          </w:tcPr>
          <w:p w14:paraId="358DEC78" w14:textId="77777777" w:rsidR="004D2FD6" w:rsidRPr="00277198" w:rsidRDefault="004D2FD6" w:rsidP="004D2FD6">
            <w:pPr>
              <w:spacing w:line="276" w:lineRule="auto"/>
              <w:rPr>
                <w:sz w:val="22"/>
                <w:lang w:val="en-US"/>
              </w:rPr>
            </w:pPr>
            <w:r w:rsidRPr="00277198">
              <w:rPr>
                <w:sz w:val="22"/>
                <w:lang w:val="en-US"/>
              </w:rPr>
              <w:t>Higher; triangulated but single-borough/low response.</w:t>
            </w:r>
          </w:p>
        </w:tc>
        <w:tc>
          <w:tcPr>
            <w:tcW w:w="0" w:type="auto"/>
            <w:hideMark/>
          </w:tcPr>
          <w:p w14:paraId="20B57902" w14:textId="77777777" w:rsidR="004D2FD6" w:rsidRPr="00277198" w:rsidRDefault="004D2FD6" w:rsidP="004D2FD6">
            <w:pPr>
              <w:spacing w:line="276" w:lineRule="auto"/>
              <w:rPr>
                <w:sz w:val="22"/>
                <w:lang w:val="en-US"/>
              </w:rPr>
            </w:pPr>
            <w:r w:rsidRPr="00277198">
              <w:rPr>
                <w:sz w:val="22"/>
                <w:lang w:val="en-US"/>
              </w:rPr>
              <w:t>2, 3, 4</w:t>
            </w:r>
          </w:p>
        </w:tc>
      </w:tr>
      <w:tr w:rsidR="004D2FD6" w:rsidRPr="00277198" w14:paraId="75A1840B" w14:textId="77777777" w:rsidTr="004D2FD6">
        <w:tc>
          <w:tcPr>
            <w:tcW w:w="0" w:type="auto"/>
            <w:hideMark/>
          </w:tcPr>
          <w:p w14:paraId="4FE8D7AB" w14:textId="77777777" w:rsidR="004D2FD6" w:rsidRPr="00277198" w:rsidRDefault="004D2FD6" w:rsidP="004D2FD6">
            <w:pPr>
              <w:spacing w:line="276" w:lineRule="auto"/>
              <w:rPr>
                <w:sz w:val="22"/>
                <w:lang w:val="en-US"/>
              </w:rPr>
            </w:pPr>
            <w:r w:rsidRPr="00277198">
              <w:rPr>
                <w:sz w:val="22"/>
                <w:lang w:val="en-US"/>
              </w:rPr>
              <w:t>Mantzourani et al. (2022), Wales</w:t>
            </w:r>
          </w:p>
        </w:tc>
        <w:tc>
          <w:tcPr>
            <w:tcW w:w="0" w:type="auto"/>
            <w:hideMark/>
          </w:tcPr>
          <w:p w14:paraId="32A6A8BE" w14:textId="77777777" w:rsidR="004D2FD6" w:rsidRPr="00277198" w:rsidRDefault="004D2FD6" w:rsidP="004D2FD6">
            <w:pPr>
              <w:spacing w:line="276" w:lineRule="auto"/>
              <w:rPr>
                <w:sz w:val="22"/>
                <w:lang w:val="en-US"/>
              </w:rPr>
            </w:pPr>
            <w:r w:rsidRPr="00277198">
              <w:rPr>
                <w:sz w:val="22"/>
                <w:lang w:val="en-US"/>
              </w:rPr>
              <w:t>3,369 pre-pandemic; 147 score-only STTT consultations</w:t>
            </w:r>
          </w:p>
        </w:tc>
        <w:tc>
          <w:tcPr>
            <w:tcW w:w="0" w:type="auto"/>
            <w:hideMark/>
          </w:tcPr>
          <w:p w14:paraId="3EA450E6" w14:textId="77777777" w:rsidR="004D2FD6" w:rsidRPr="00277198" w:rsidRDefault="004D2FD6" w:rsidP="004D2FD6">
            <w:pPr>
              <w:spacing w:line="276" w:lineRule="auto"/>
              <w:rPr>
                <w:sz w:val="22"/>
                <w:lang w:val="en-US"/>
              </w:rPr>
            </w:pPr>
            <w:r w:rsidRPr="00277198">
              <w:rPr>
                <w:sz w:val="22"/>
                <w:lang w:val="en-US"/>
              </w:rPr>
              <w:t>Natural before/after comparison</w:t>
            </w:r>
          </w:p>
        </w:tc>
        <w:tc>
          <w:tcPr>
            <w:tcW w:w="0" w:type="auto"/>
            <w:hideMark/>
          </w:tcPr>
          <w:p w14:paraId="40C05328" w14:textId="77777777" w:rsidR="004D2FD6" w:rsidRPr="00277198" w:rsidRDefault="004D2FD6" w:rsidP="004D2FD6">
            <w:pPr>
              <w:spacing w:line="276" w:lineRule="auto"/>
              <w:rPr>
                <w:sz w:val="22"/>
                <w:lang w:val="en-US"/>
              </w:rPr>
            </w:pPr>
            <w:r w:rsidRPr="00277198">
              <w:rPr>
                <w:sz w:val="22"/>
                <w:lang w:val="en-US"/>
              </w:rPr>
              <w:t>Antibiotic supply rose from 27% to 63% without testing; non-supply fell from 56% to 9.3%.</w:t>
            </w:r>
          </w:p>
        </w:tc>
        <w:tc>
          <w:tcPr>
            <w:tcW w:w="0" w:type="auto"/>
            <w:hideMark/>
          </w:tcPr>
          <w:p w14:paraId="2D4309F0" w14:textId="77777777" w:rsidR="004D2FD6" w:rsidRPr="00277198" w:rsidRDefault="004D2FD6" w:rsidP="004D2FD6">
            <w:pPr>
              <w:spacing w:line="276" w:lineRule="auto"/>
              <w:rPr>
                <w:sz w:val="22"/>
                <w:lang w:val="en-US"/>
              </w:rPr>
            </w:pPr>
            <w:r w:rsidRPr="00277198">
              <w:rPr>
                <w:sz w:val="22"/>
                <w:lang w:val="en-US"/>
              </w:rPr>
              <w:t>Moderate; pandemic confounding and sample imbalance.</w:t>
            </w:r>
          </w:p>
        </w:tc>
        <w:tc>
          <w:tcPr>
            <w:tcW w:w="0" w:type="auto"/>
            <w:hideMark/>
          </w:tcPr>
          <w:p w14:paraId="7FE0FEF2" w14:textId="77777777" w:rsidR="004D2FD6" w:rsidRPr="00277198" w:rsidRDefault="004D2FD6" w:rsidP="004D2FD6">
            <w:pPr>
              <w:spacing w:line="276" w:lineRule="auto"/>
              <w:rPr>
                <w:sz w:val="22"/>
                <w:lang w:val="en-US"/>
              </w:rPr>
            </w:pPr>
            <w:r w:rsidRPr="00277198">
              <w:rPr>
                <w:sz w:val="22"/>
                <w:lang w:val="en-US"/>
              </w:rPr>
              <w:t>1</w:t>
            </w:r>
          </w:p>
        </w:tc>
      </w:tr>
      <w:tr w:rsidR="004D2FD6" w:rsidRPr="00277198" w14:paraId="3569D050" w14:textId="77777777" w:rsidTr="004D2FD6">
        <w:tc>
          <w:tcPr>
            <w:tcW w:w="0" w:type="auto"/>
            <w:hideMark/>
          </w:tcPr>
          <w:p w14:paraId="50539D32" w14:textId="77777777" w:rsidR="004D2FD6" w:rsidRPr="00277198" w:rsidRDefault="004D2FD6" w:rsidP="004D2FD6">
            <w:pPr>
              <w:spacing w:line="276" w:lineRule="auto"/>
              <w:rPr>
                <w:sz w:val="22"/>
                <w:lang w:val="en-US"/>
              </w:rPr>
            </w:pPr>
            <w:r w:rsidRPr="00277198">
              <w:rPr>
                <w:sz w:val="22"/>
                <w:lang w:val="en-US"/>
              </w:rPr>
              <w:t>O'Neill et al. (2022), Northern Ireland</w:t>
            </w:r>
          </w:p>
        </w:tc>
        <w:tc>
          <w:tcPr>
            <w:tcW w:w="0" w:type="auto"/>
            <w:hideMark/>
          </w:tcPr>
          <w:p w14:paraId="32C2631A" w14:textId="77777777" w:rsidR="004D2FD6" w:rsidRPr="00277198" w:rsidRDefault="004D2FD6" w:rsidP="004D2FD6">
            <w:pPr>
              <w:spacing w:line="276" w:lineRule="auto"/>
              <w:rPr>
                <w:sz w:val="22"/>
                <w:lang w:val="en-US"/>
              </w:rPr>
            </w:pPr>
            <w:r w:rsidRPr="00277198">
              <w:rPr>
                <w:sz w:val="22"/>
                <w:lang w:val="en-US"/>
              </w:rPr>
              <w:t>17 pharmacies; 328 respiratory patients</w:t>
            </w:r>
          </w:p>
        </w:tc>
        <w:tc>
          <w:tcPr>
            <w:tcW w:w="0" w:type="auto"/>
            <w:hideMark/>
          </w:tcPr>
          <w:p w14:paraId="6660B169" w14:textId="77777777" w:rsidR="004D2FD6" w:rsidRPr="00277198" w:rsidRDefault="004D2FD6" w:rsidP="004D2FD6">
            <w:pPr>
              <w:spacing w:line="276" w:lineRule="auto"/>
              <w:rPr>
                <w:sz w:val="22"/>
                <w:lang w:val="en-US"/>
              </w:rPr>
            </w:pPr>
            <w:r w:rsidRPr="00277198">
              <w:rPr>
                <w:sz w:val="22"/>
                <w:lang w:val="en-US"/>
              </w:rPr>
              <w:t>CRP point-of-care pilot</w:t>
            </w:r>
          </w:p>
        </w:tc>
        <w:tc>
          <w:tcPr>
            <w:tcW w:w="0" w:type="auto"/>
            <w:hideMark/>
          </w:tcPr>
          <w:p w14:paraId="26830899" w14:textId="77777777" w:rsidR="004D2FD6" w:rsidRPr="00277198" w:rsidRDefault="004D2FD6" w:rsidP="004D2FD6">
            <w:pPr>
              <w:spacing w:line="276" w:lineRule="auto"/>
              <w:rPr>
                <w:sz w:val="22"/>
                <w:lang w:val="en-US"/>
              </w:rPr>
            </w:pPr>
            <w:r w:rsidRPr="00277198">
              <w:rPr>
                <w:sz w:val="22"/>
                <w:lang w:val="en-US"/>
              </w:rPr>
              <w:t>72% had CRP &lt;20 mg/L; 12% referred; 13/30 later received antibiotics.</w:t>
            </w:r>
          </w:p>
        </w:tc>
        <w:tc>
          <w:tcPr>
            <w:tcW w:w="0" w:type="auto"/>
            <w:hideMark/>
          </w:tcPr>
          <w:p w14:paraId="0BEDAE4D" w14:textId="77777777" w:rsidR="004D2FD6" w:rsidRPr="00277198" w:rsidRDefault="004D2FD6" w:rsidP="004D2FD6">
            <w:pPr>
              <w:spacing w:line="276" w:lineRule="auto"/>
              <w:rPr>
                <w:sz w:val="22"/>
                <w:lang w:val="en-US"/>
              </w:rPr>
            </w:pPr>
            <w:r w:rsidRPr="00277198">
              <w:rPr>
                <w:sz w:val="22"/>
                <w:lang w:val="en-US"/>
              </w:rPr>
              <w:t>Moderate; early termination and underpowered subgroup.</w:t>
            </w:r>
          </w:p>
        </w:tc>
        <w:tc>
          <w:tcPr>
            <w:tcW w:w="0" w:type="auto"/>
            <w:hideMark/>
          </w:tcPr>
          <w:p w14:paraId="384475D9" w14:textId="77777777" w:rsidR="004D2FD6" w:rsidRPr="00277198" w:rsidRDefault="004D2FD6" w:rsidP="004D2FD6">
            <w:pPr>
              <w:spacing w:line="276" w:lineRule="auto"/>
              <w:rPr>
                <w:sz w:val="22"/>
                <w:lang w:val="en-US"/>
              </w:rPr>
            </w:pPr>
            <w:r w:rsidRPr="00277198">
              <w:rPr>
                <w:sz w:val="22"/>
                <w:lang w:val="en-US"/>
              </w:rPr>
              <w:t>1, 3, 4</w:t>
            </w:r>
          </w:p>
        </w:tc>
      </w:tr>
      <w:tr w:rsidR="004D2FD6" w:rsidRPr="00277198" w14:paraId="2E1B0127" w14:textId="77777777" w:rsidTr="004D2FD6">
        <w:tc>
          <w:tcPr>
            <w:tcW w:w="0" w:type="auto"/>
            <w:hideMark/>
          </w:tcPr>
          <w:p w14:paraId="376955AB" w14:textId="77777777" w:rsidR="004D2FD6" w:rsidRPr="00277198" w:rsidRDefault="004D2FD6" w:rsidP="004D2FD6">
            <w:pPr>
              <w:spacing w:line="276" w:lineRule="auto"/>
              <w:rPr>
                <w:sz w:val="22"/>
                <w:lang w:val="en-US"/>
              </w:rPr>
            </w:pPr>
            <w:r w:rsidRPr="00277198">
              <w:rPr>
                <w:sz w:val="22"/>
                <w:lang w:val="en-US"/>
              </w:rPr>
              <w:t>Seaton et al. (2022), UK</w:t>
            </w:r>
          </w:p>
        </w:tc>
        <w:tc>
          <w:tcPr>
            <w:tcW w:w="0" w:type="auto"/>
            <w:hideMark/>
          </w:tcPr>
          <w:p w14:paraId="5F085B55" w14:textId="77777777" w:rsidR="004D2FD6" w:rsidRPr="00277198" w:rsidRDefault="004D2FD6" w:rsidP="004D2FD6">
            <w:pPr>
              <w:spacing w:line="276" w:lineRule="auto"/>
              <w:rPr>
                <w:sz w:val="22"/>
                <w:lang w:val="en-US"/>
              </w:rPr>
            </w:pPr>
            <w:r w:rsidRPr="00277198">
              <w:rPr>
                <w:sz w:val="22"/>
                <w:lang w:val="en-US"/>
              </w:rPr>
              <w:t>783 pharmacy workers</w:t>
            </w:r>
          </w:p>
        </w:tc>
        <w:tc>
          <w:tcPr>
            <w:tcW w:w="0" w:type="auto"/>
            <w:hideMark/>
          </w:tcPr>
          <w:p w14:paraId="5EA4C064" w14:textId="77777777" w:rsidR="004D2FD6" w:rsidRPr="00277198" w:rsidRDefault="004D2FD6" w:rsidP="004D2FD6">
            <w:pPr>
              <w:spacing w:line="276" w:lineRule="auto"/>
              <w:rPr>
                <w:sz w:val="22"/>
                <w:lang w:val="en-US"/>
              </w:rPr>
            </w:pPr>
            <w:r w:rsidRPr="00277198">
              <w:rPr>
                <w:sz w:val="22"/>
                <w:lang w:val="en-US"/>
              </w:rPr>
              <w:t>Cross-sectional survey</w:t>
            </w:r>
          </w:p>
        </w:tc>
        <w:tc>
          <w:tcPr>
            <w:tcW w:w="0" w:type="auto"/>
            <w:hideMark/>
          </w:tcPr>
          <w:p w14:paraId="7175A779" w14:textId="77777777" w:rsidR="004D2FD6" w:rsidRPr="00277198" w:rsidRDefault="004D2FD6" w:rsidP="004D2FD6">
            <w:pPr>
              <w:spacing w:line="276" w:lineRule="auto"/>
              <w:rPr>
                <w:sz w:val="22"/>
                <w:lang w:val="en-US"/>
              </w:rPr>
            </w:pPr>
            <w:r w:rsidRPr="00277198">
              <w:rPr>
                <w:sz w:val="22"/>
                <w:lang w:val="en-US"/>
              </w:rPr>
              <w:t>Knowledge 92.7%; 61.6% had local guidance; 60% knew workplace AMS plan.</w:t>
            </w:r>
          </w:p>
        </w:tc>
        <w:tc>
          <w:tcPr>
            <w:tcW w:w="0" w:type="auto"/>
            <w:hideMark/>
          </w:tcPr>
          <w:p w14:paraId="49A6C36B" w14:textId="77777777" w:rsidR="004D2FD6" w:rsidRPr="00277198" w:rsidRDefault="004D2FD6" w:rsidP="004D2FD6">
            <w:pPr>
              <w:spacing w:line="276" w:lineRule="auto"/>
              <w:rPr>
                <w:sz w:val="22"/>
                <w:lang w:val="en-US"/>
              </w:rPr>
            </w:pPr>
            <w:r w:rsidRPr="00277198">
              <w:rPr>
                <w:sz w:val="22"/>
                <w:lang w:val="en-US"/>
              </w:rPr>
              <w:t>Moderate; low response and self-report bias.</w:t>
            </w:r>
          </w:p>
        </w:tc>
        <w:tc>
          <w:tcPr>
            <w:tcW w:w="0" w:type="auto"/>
            <w:hideMark/>
          </w:tcPr>
          <w:p w14:paraId="1DA3C075" w14:textId="77777777" w:rsidR="004D2FD6" w:rsidRPr="00277198" w:rsidRDefault="004D2FD6" w:rsidP="004D2FD6">
            <w:pPr>
              <w:spacing w:line="276" w:lineRule="auto"/>
              <w:rPr>
                <w:sz w:val="22"/>
                <w:lang w:val="en-US"/>
              </w:rPr>
            </w:pPr>
            <w:r w:rsidRPr="00277198">
              <w:rPr>
                <w:sz w:val="22"/>
                <w:lang w:val="en-US"/>
              </w:rPr>
              <w:t>3</w:t>
            </w:r>
          </w:p>
        </w:tc>
      </w:tr>
      <w:tr w:rsidR="004D2FD6" w:rsidRPr="00277198" w14:paraId="61A5C98F" w14:textId="77777777" w:rsidTr="004D2FD6">
        <w:tc>
          <w:tcPr>
            <w:tcW w:w="0" w:type="auto"/>
            <w:hideMark/>
          </w:tcPr>
          <w:p w14:paraId="5D07F4EE" w14:textId="77777777" w:rsidR="004D2FD6" w:rsidRPr="00277198" w:rsidRDefault="004D2FD6" w:rsidP="004D2FD6">
            <w:pPr>
              <w:spacing w:line="276" w:lineRule="auto"/>
              <w:rPr>
                <w:sz w:val="22"/>
                <w:lang w:val="en-US"/>
              </w:rPr>
            </w:pPr>
            <w:r w:rsidRPr="00277198">
              <w:rPr>
                <w:sz w:val="22"/>
                <w:lang w:val="en-US"/>
              </w:rPr>
              <w:t>Mantzourani et al. (2023), Wales</w:t>
            </w:r>
          </w:p>
        </w:tc>
        <w:tc>
          <w:tcPr>
            <w:tcW w:w="0" w:type="auto"/>
            <w:hideMark/>
          </w:tcPr>
          <w:p w14:paraId="154C3E68" w14:textId="77777777" w:rsidR="004D2FD6" w:rsidRPr="00277198" w:rsidRDefault="004D2FD6" w:rsidP="004D2FD6">
            <w:pPr>
              <w:spacing w:line="276" w:lineRule="auto"/>
              <w:rPr>
                <w:sz w:val="22"/>
                <w:lang w:val="en-US"/>
              </w:rPr>
            </w:pPr>
            <w:r w:rsidRPr="00277198">
              <w:rPr>
                <w:sz w:val="22"/>
                <w:lang w:val="en-US"/>
              </w:rPr>
              <w:t>11,304 STTT consultations</w:t>
            </w:r>
          </w:p>
        </w:tc>
        <w:tc>
          <w:tcPr>
            <w:tcW w:w="0" w:type="auto"/>
            <w:hideMark/>
          </w:tcPr>
          <w:p w14:paraId="2902DD7F" w14:textId="77777777" w:rsidR="004D2FD6" w:rsidRPr="00277198" w:rsidRDefault="004D2FD6" w:rsidP="004D2FD6">
            <w:pPr>
              <w:spacing w:line="276" w:lineRule="auto"/>
              <w:rPr>
                <w:sz w:val="22"/>
                <w:lang w:val="en-US"/>
              </w:rPr>
            </w:pPr>
            <w:r w:rsidRPr="00277198">
              <w:rPr>
                <w:sz w:val="22"/>
                <w:lang w:val="en-US"/>
              </w:rPr>
              <w:t>National pharmacy-record analysis</w:t>
            </w:r>
          </w:p>
        </w:tc>
        <w:tc>
          <w:tcPr>
            <w:tcW w:w="0" w:type="auto"/>
            <w:hideMark/>
          </w:tcPr>
          <w:p w14:paraId="6DF81013" w14:textId="77777777" w:rsidR="004D2FD6" w:rsidRPr="00277198" w:rsidRDefault="004D2FD6" w:rsidP="004D2FD6">
            <w:pPr>
              <w:spacing w:line="276" w:lineRule="auto"/>
              <w:rPr>
                <w:sz w:val="22"/>
                <w:lang w:val="en-US"/>
              </w:rPr>
            </w:pPr>
            <w:r w:rsidRPr="00277198">
              <w:rPr>
                <w:sz w:val="22"/>
                <w:lang w:val="en-US"/>
              </w:rPr>
              <w:t>76.7% tested; 21.3% received antibiotics; 91% managed in pharmacy.</w:t>
            </w:r>
          </w:p>
        </w:tc>
        <w:tc>
          <w:tcPr>
            <w:tcW w:w="0" w:type="auto"/>
            <w:hideMark/>
          </w:tcPr>
          <w:p w14:paraId="608D98EB" w14:textId="77777777" w:rsidR="004D2FD6" w:rsidRPr="00277198" w:rsidRDefault="004D2FD6" w:rsidP="004D2FD6">
            <w:pPr>
              <w:spacing w:line="276" w:lineRule="auto"/>
              <w:rPr>
                <w:sz w:val="22"/>
                <w:lang w:val="en-US"/>
              </w:rPr>
            </w:pPr>
            <w:r w:rsidRPr="00277198">
              <w:rPr>
                <w:sz w:val="22"/>
                <w:lang w:val="en-US"/>
              </w:rPr>
              <w:t>Higher; national dataset but no microbiological/long-term outcomes.</w:t>
            </w:r>
          </w:p>
        </w:tc>
        <w:tc>
          <w:tcPr>
            <w:tcW w:w="0" w:type="auto"/>
            <w:hideMark/>
          </w:tcPr>
          <w:p w14:paraId="33305E7E" w14:textId="77777777" w:rsidR="004D2FD6" w:rsidRPr="00277198" w:rsidRDefault="004D2FD6" w:rsidP="004D2FD6">
            <w:pPr>
              <w:spacing w:line="276" w:lineRule="auto"/>
              <w:rPr>
                <w:sz w:val="22"/>
                <w:lang w:val="en-US"/>
              </w:rPr>
            </w:pPr>
            <w:r w:rsidRPr="00277198">
              <w:rPr>
                <w:sz w:val="22"/>
                <w:lang w:val="en-US"/>
              </w:rPr>
              <w:t>1, 4</w:t>
            </w:r>
          </w:p>
        </w:tc>
      </w:tr>
      <w:tr w:rsidR="004D2FD6" w:rsidRPr="00277198" w14:paraId="62035977" w14:textId="77777777" w:rsidTr="004D2FD6">
        <w:tc>
          <w:tcPr>
            <w:tcW w:w="0" w:type="auto"/>
            <w:hideMark/>
          </w:tcPr>
          <w:p w14:paraId="30325F39" w14:textId="77777777" w:rsidR="004D2FD6" w:rsidRPr="00277198" w:rsidRDefault="004D2FD6" w:rsidP="004D2FD6">
            <w:pPr>
              <w:spacing w:line="276" w:lineRule="auto"/>
              <w:rPr>
                <w:sz w:val="22"/>
                <w:lang w:val="en-US"/>
              </w:rPr>
            </w:pPr>
            <w:r w:rsidRPr="00277198">
              <w:rPr>
                <w:sz w:val="22"/>
                <w:lang w:val="en-US"/>
              </w:rPr>
              <w:t>Hayes et al. (2023), England</w:t>
            </w:r>
          </w:p>
        </w:tc>
        <w:tc>
          <w:tcPr>
            <w:tcW w:w="0" w:type="auto"/>
            <w:hideMark/>
          </w:tcPr>
          <w:p w14:paraId="177BD33E" w14:textId="77777777" w:rsidR="004D2FD6" w:rsidRPr="00277198" w:rsidRDefault="004D2FD6" w:rsidP="004D2FD6">
            <w:pPr>
              <w:spacing w:line="276" w:lineRule="auto"/>
              <w:rPr>
                <w:sz w:val="22"/>
                <w:lang w:val="en-US"/>
              </w:rPr>
            </w:pPr>
            <w:r w:rsidRPr="00277198">
              <w:rPr>
                <w:sz w:val="22"/>
                <w:lang w:val="en-US"/>
              </w:rPr>
              <w:t>8,374 pharmacies; 213,105 checklists</w:t>
            </w:r>
          </w:p>
        </w:tc>
        <w:tc>
          <w:tcPr>
            <w:tcW w:w="0" w:type="auto"/>
            <w:hideMark/>
          </w:tcPr>
          <w:p w14:paraId="0463BA95" w14:textId="77777777" w:rsidR="004D2FD6" w:rsidRPr="00277198" w:rsidRDefault="004D2FD6" w:rsidP="004D2FD6">
            <w:pPr>
              <w:spacing w:line="276" w:lineRule="auto"/>
              <w:rPr>
                <w:sz w:val="22"/>
                <w:lang w:val="en-US"/>
              </w:rPr>
            </w:pPr>
            <w:r w:rsidRPr="00277198">
              <w:rPr>
                <w:sz w:val="22"/>
                <w:lang w:val="en-US"/>
              </w:rPr>
              <w:t>National service evaluation</w:t>
            </w:r>
          </w:p>
        </w:tc>
        <w:tc>
          <w:tcPr>
            <w:tcW w:w="0" w:type="auto"/>
            <w:hideMark/>
          </w:tcPr>
          <w:p w14:paraId="00F99D6E" w14:textId="77777777" w:rsidR="004D2FD6" w:rsidRPr="00277198" w:rsidRDefault="004D2FD6" w:rsidP="004D2FD6">
            <w:pPr>
              <w:spacing w:line="276" w:lineRule="auto"/>
              <w:rPr>
                <w:sz w:val="22"/>
                <w:lang w:val="en-US"/>
              </w:rPr>
            </w:pPr>
            <w:r w:rsidRPr="00277198">
              <w:rPr>
                <w:sz w:val="22"/>
                <w:lang w:val="en-US"/>
              </w:rPr>
              <w:t>94–95% reported key safety checks; 89% guideline checks; time was a barrier.</w:t>
            </w:r>
          </w:p>
        </w:tc>
        <w:tc>
          <w:tcPr>
            <w:tcW w:w="0" w:type="auto"/>
            <w:hideMark/>
          </w:tcPr>
          <w:p w14:paraId="03193A64" w14:textId="77777777" w:rsidR="004D2FD6" w:rsidRPr="00277198" w:rsidRDefault="004D2FD6" w:rsidP="004D2FD6">
            <w:pPr>
              <w:spacing w:line="276" w:lineRule="auto"/>
              <w:rPr>
                <w:sz w:val="22"/>
                <w:lang w:val="en-US"/>
              </w:rPr>
            </w:pPr>
            <w:r w:rsidRPr="00277198">
              <w:rPr>
                <w:sz w:val="22"/>
                <w:lang w:val="en-US"/>
              </w:rPr>
              <w:t>Higher; large reach but self-entry/incentive bias.</w:t>
            </w:r>
          </w:p>
        </w:tc>
        <w:tc>
          <w:tcPr>
            <w:tcW w:w="0" w:type="auto"/>
            <w:hideMark/>
          </w:tcPr>
          <w:p w14:paraId="79E1AEFF" w14:textId="77777777" w:rsidR="004D2FD6" w:rsidRPr="00277198" w:rsidRDefault="004D2FD6" w:rsidP="004D2FD6">
            <w:pPr>
              <w:spacing w:line="276" w:lineRule="auto"/>
              <w:rPr>
                <w:sz w:val="22"/>
                <w:lang w:val="en-US"/>
              </w:rPr>
            </w:pPr>
            <w:r w:rsidRPr="00277198">
              <w:rPr>
                <w:sz w:val="22"/>
                <w:lang w:val="en-US"/>
              </w:rPr>
              <w:t>2, 3, 4</w:t>
            </w:r>
          </w:p>
        </w:tc>
      </w:tr>
      <w:tr w:rsidR="004D2FD6" w:rsidRPr="00277198" w14:paraId="65A24814" w14:textId="77777777" w:rsidTr="004D2FD6">
        <w:tc>
          <w:tcPr>
            <w:tcW w:w="0" w:type="auto"/>
            <w:hideMark/>
          </w:tcPr>
          <w:p w14:paraId="358C203E" w14:textId="77777777" w:rsidR="004D2FD6" w:rsidRPr="00277198" w:rsidRDefault="004D2FD6" w:rsidP="004D2FD6">
            <w:pPr>
              <w:spacing w:line="276" w:lineRule="auto"/>
              <w:rPr>
                <w:sz w:val="22"/>
                <w:lang w:val="en-US"/>
              </w:rPr>
            </w:pPr>
            <w:r w:rsidRPr="00277198">
              <w:rPr>
                <w:sz w:val="22"/>
                <w:lang w:val="en-US"/>
              </w:rPr>
              <w:t>Parekh et al. (2023b), England</w:t>
            </w:r>
          </w:p>
        </w:tc>
        <w:tc>
          <w:tcPr>
            <w:tcW w:w="0" w:type="auto"/>
            <w:hideMark/>
          </w:tcPr>
          <w:p w14:paraId="5BBDC795" w14:textId="77777777" w:rsidR="004D2FD6" w:rsidRPr="00277198" w:rsidRDefault="004D2FD6" w:rsidP="004D2FD6">
            <w:pPr>
              <w:spacing w:line="276" w:lineRule="auto"/>
              <w:rPr>
                <w:sz w:val="22"/>
                <w:lang w:val="en-US"/>
              </w:rPr>
            </w:pPr>
            <w:r w:rsidRPr="00277198">
              <w:rPr>
                <w:sz w:val="22"/>
                <w:lang w:val="en-US"/>
              </w:rPr>
              <w:t>8,374 pharmacies; 213,105 checklists</w:t>
            </w:r>
          </w:p>
        </w:tc>
        <w:tc>
          <w:tcPr>
            <w:tcW w:w="0" w:type="auto"/>
            <w:hideMark/>
          </w:tcPr>
          <w:p w14:paraId="1A9E8FE6" w14:textId="77777777" w:rsidR="004D2FD6" w:rsidRPr="00277198" w:rsidRDefault="004D2FD6" w:rsidP="004D2FD6">
            <w:pPr>
              <w:spacing w:line="276" w:lineRule="auto"/>
              <w:rPr>
                <w:sz w:val="22"/>
                <w:lang w:val="en-US"/>
              </w:rPr>
            </w:pPr>
            <w:r w:rsidRPr="00277198">
              <w:rPr>
                <w:sz w:val="22"/>
                <w:lang w:val="en-US"/>
              </w:rPr>
              <w:t>Observational evaluation</w:t>
            </w:r>
          </w:p>
        </w:tc>
        <w:tc>
          <w:tcPr>
            <w:tcW w:w="0" w:type="auto"/>
            <w:hideMark/>
          </w:tcPr>
          <w:p w14:paraId="50032C31" w14:textId="77777777" w:rsidR="004D2FD6" w:rsidRPr="00277198" w:rsidRDefault="004D2FD6" w:rsidP="004D2FD6">
            <w:pPr>
              <w:spacing w:line="276" w:lineRule="auto"/>
              <w:rPr>
                <w:sz w:val="22"/>
                <w:lang w:val="en-US"/>
              </w:rPr>
            </w:pPr>
            <w:r w:rsidRPr="00277198">
              <w:rPr>
                <w:sz w:val="22"/>
                <w:lang w:val="en-US"/>
              </w:rPr>
              <w:t>Checklists structured clinical review; 69,861 patient leaflets provided.</w:t>
            </w:r>
          </w:p>
        </w:tc>
        <w:tc>
          <w:tcPr>
            <w:tcW w:w="0" w:type="auto"/>
            <w:hideMark/>
          </w:tcPr>
          <w:p w14:paraId="24C33223" w14:textId="77777777" w:rsidR="004D2FD6" w:rsidRPr="00277198" w:rsidRDefault="004D2FD6" w:rsidP="004D2FD6">
            <w:pPr>
              <w:spacing w:line="276" w:lineRule="auto"/>
              <w:rPr>
                <w:sz w:val="22"/>
                <w:lang w:val="en-US"/>
              </w:rPr>
            </w:pPr>
            <w:r w:rsidRPr="00277198">
              <w:rPr>
                <w:sz w:val="22"/>
                <w:lang w:val="en-US"/>
              </w:rPr>
              <w:t>Higher; no counterfactual; dataset overlap.</w:t>
            </w:r>
          </w:p>
        </w:tc>
        <w:tc>
          <w:tcPr>
            <w:tcW w:w="0" w:type="auto"/>
            <w:hideMark/>
          </w:tcPr>
          <w:p w14:paraId="6F67367D" w14:textId="77777777" w:rsidR="004D2FD6" w:rsidRPr="00277198" w:rsidRDefault="004D2FD6" w:rsidP="004D2FD6">
            <w:pPr>
              <w:spacing w:line="276" w:lineRule="auto"/>
              <w:rPr>
                <w:sz w:val="22"/>
                <w:lang w:val="en-US"/>
              </w:rPr>
            </w:pPr>
            <w:r w:rsidRPr="00277198">
              <w:rPr>
                <w:sz w:val="22"/>
                <w:lang w:val="en-US"/>
              </w:rPr>
              <w:t>2, 4</w:t>
            </w:r>
          </w:p>
        </w:tc>
      </w:tr>
      <w:tr w:rsidR="004D2FD6" w:rsidRPr="00277198" w14:paraId="1C29AA6F" w14:textId="77777777" w:rsidTr="004D2FD6">
        <w:tc>
          <w:tcPr>
            <w:tcW w:w="0" w:type="auto"/>
            <w:hideMark/>
          </w:tcPr>
          <w:p w14:paraId="1DB40C0C" w14:textId="77777777" w:rsidR="004D2FD6" w:rsidRPr="00277198" w:rsidRDefault="004D2FD6" w:rsidP="004D2FD6">
            <w:pPr>
              <w:spacing w:line="276" w:lineRule="auto"/>
              <w:rPr>
                <w:sz w:val="22"/>
                <w:lang w:val="en-US"/>
              </w:rPr>
            </w:pPr>
            <w:r w:rsidRPr="00277198">
              <w:rPr>
                <w:sz w:val="22"/>
                <w:lang w:val="en-US"/>
              </w:rPr>
              <w:t>Parekh et al. (2023a), England</w:t>
            </w:r>
          </w:p>
        </w:tc>
        <w:tc>
          <w:tcPr>
            <w:tcW w:w="0" w:type="auto"/>
            <w:hideMark/>
          </w:tcPr>
          <w:p w14:paraId="1F3EE79A" w14:textId="77777777" w:rsidR="004D2FD6" w:rsidRPr="00277198" w:rsidRDefault="004D2FD6" w:rsidP="004D2FD6">
            <w:pPr>
              <w:spacing w:line="276" w:lineRule="auto"/>
              <w:rPr>
                <w:sz w:val="22"/>
                <w:lang w:val="en-US"/>
              </w:rPr>
            </w:pPr>
            <w:r w:rsidRPr="00277198">
              <w:rPr>
                <w:sz w:val="22"/>
                <w:lang w:val="en-US"/>
              </w:rPr>
              <w:t>8,363 pharmacies; 104,142 UTI consultations/leaflets</w:t>
            </w:r>
          </w:p>
        </w:tc>
        <w:tc>
          <w:tcPr>
            <w:tcW w:w="0" w:type="auto"/>
            <w:hideMark/>
          </w:tcPr>
          <w:p w14:paraId="4B47BE1C" w14:textId="77777777" w:rsidR="004D2FD6" w:rsidRPr="00277198" w:rsidRDefault="004D2FD6" w:rsidP="004D2FD6">
            <w:pPr>
              <w:spacing w:line="276" w:lineRule="auto"/>
              <w:rPr>
                <w:sz w:val="22"/>
                <w:lang w:val="en-US"/>
              </w:rPr>
            </w:pPr>
            <w:r w:rsidRPr="00277198">
              <w:rPr>
                <w:sz w:val="22"/>
                <w:lang w:val="en-US"/>
              </w:rPr>
              <w:t>Cross-sectional service evaluation</w:t>
            </w:r>
          </w:p>
        </w:tc>
        <w:tc>
          <w:tcPr>
            <w:tcW w:w="0" w:type="auto"/>
            <w:hideMark/>
          </w:tcPr>
          <w:p w14:paraId="1A5516BC" w14:textId="77777777" w:rsidR="004D2FD6" w:rsidRPr="00277198" w:rsidRDefault="004D2FD6" w:rsidP="004D2FD6">
            <w:pPr>
              <w:spacing w:line="276" w:lineRule="auto"/>
              <w:rPr>
                <w:sz w:val="22"/>
                <w:lang w:val="en-US"/>
              </w:rPr>
            </w:pPr>
            <w:r w:rsidRPr="00277198">
              <w:rPr>
                <w:sz w:val="22"/>
                <w:lang w:val="en-US"/>
              </w:rPr>
              <w:t>77% had none/one predictive symptom; 23% had ≥2 without discharge.</w:t>
            </w:r>
          </w:p>
        </w:tc>
        <w:tc>
          <w:tcPr>
            <w:tcW w:w="0" w:type="auto"/>
            <w:hideMark/>
          </w:tcPr>
          <w:p w14:paraId="4D55E69D" w14:textId="77777777" w:rsidR="004D2FD6" w:rsidRPr="00277198" w:rsidRDefault="004D2FD6" w:rsidP="004D2FD6">
            <w:pPr>
              <w:spacing w:line="276" w:lineRule="auto"/>
              <w:rPr>
                <w:sz w:val="22"/>
                <w:lang w:val="en-US"/>
              </w:rPr>
            </w:pPr>
            <w:r w:rsidRPr="00277198">
              <w:rPr>
                <w:sz w:val="22"/>
                <w:lang w:val="en-US"/>
              </w:rPr>
              <w:t>Higher; no follow-up or diagnostic confirmation.</w:t>
            </w:r>
          </w:p>
        </w:tc>
        <w:tc>
          <w:tcPr>
            <w:tcW w:w="0" w:type="auto"/>
            <w:hideMark/>
          </w:tcPr>
          <w:p w14:paraId="737CF757" w14:textId="77777777" w:rsidR="004D2FD6" w:rsidRPr="00277198" w:rsidRDefault="004D2FD6" w:rsidP="004D2FD6">
            <w:pPr>
              <w:spacing w:line="276" w:lineRule="auto"/>
              <w:rPr>
                <w:sz w:val="22"/>
                <w:lang w:val="en-US"/>
              </w:rPr>
            </w:pPr>
            <w:r w:rsidRPr="00277198">
              <w:rPr>
                <w:sz w:val="22"/>
                <w:lang w:val="en-US"/>
              </w:rPr>
              <w:t>2, 4</w:t>
            </w:r>
          </w:p>
        </w:tc>
      </w:tr>
      <w:tr w:rsidR="004D2FD6" w:rsidRPr="00277198" w14:paraId="61202E9B" w14:textId="77777777" w:rsidTr="004D2FD6">
        <w:tc>
          <w:tcPr>
            <w:tcW w:w="0" w:type="auto"/>
            <w:hideMark/>
          </w:tcPr>
          <w:p w14:paraId="057C3879" w14:textId="77777777" w:rsidR="004D2FD6" w:rsidRPr="00277198" w:rsidRDefault="004D2FD6" w:rsidP="004D2FD6">
            <w:pPr>
              <w:spacing w:line="276" w:lineRule="auto"/>
              <w:rPr>
                <w:sz w:val="22"/>
                <w:lang w:val="en-US"/>
              </w:rPr>
            </w:pPr>
            <w:r w:rsidRPr="00277198">
              <w:rPr>
                <w:sz w:val="22"/>
                <w:lang w:val="en-US"/>
              </w:rPr>
              <w:t>Mantzourani et al. (2025), Wales</w:t>
            </w:r>
          </w:p>
        </w:tc>
        <w:tc>
          <w:tcPr>
            <w:tcW w:w="0" w:type="auto"/>
            <w:hideMark/>
          </w:tcPr>
          <w:p w14:paraId="098F2CC3" w14:textId="77777777" w:rsidR="004D2FD6" w:rsidRPr="00277198" w:rsidRDefault="004D2FD6" w:rsidP="004D2FD6">
            <w:pPr>
              <w:spacing w:line="276" w:lineRule="auto"/>
              <w:rPr>
                <w:sz w:val="22"/>
                <w:lang w:val="en-US"/>
              </w:rPr>
            </w:pPr>
            <w:r w:rsidRPr="00277198">
              <w:rPr>
                <w:sz w:val="22"/>
                <w:lang w:val="en-US"/>
              </w:rPr>
              <w:t>72,736 sore-throat consultations</w:t>
            </w:r>
          </w:p>
        </w:tc>
        <w:tc>
          <w:tcPr>
            <w:tcW w:w="0" w:type="auto"/>
            <w:hideMark/>
          </w:tcPr>
          <w:p w14:paraId="54B4EE29" w14:textId="77777777" w:rsidR="004D2FD6" w:rsidRPr="00277198" w:rsidRDefault="004D2FD6" w:rsidP="004D2FD6">
            <w:pPr>
              <w:spacing w:line="276" w:lineRule="auto"/>
              <w:rPr>
                <w:sz w:val="22"/>
                <w:lang w:val="en-US"/>
              </w:rPr>
            </w:pPr>
            <w:r w:rsidRPr="00277198">
              <w:rPr>
                <w:sz w:val="22"/>
                <w:lang w:val="en-US"/>
              </w:rPr>
              <w:t>Linked-data cohort; adjusted regression</w:t>
            </w:r>
          </w:p>
        </w:tc>
        <w:tc>
          <w:tcPr>
            <w:tcW w:w="0" w:type="auto"/>
            <w:hideMark/>
          </w:tcPr>
          <w:p w14:paraId="3C217303" w14:textId="77777777" w:rsidR="004D2FD6" w:rsidRPr="00277198" w:rsidRDefault="004D2FD6" w:rsidP="004D2FD6">
            <w:pPr>
              <w:spacing w:line="276" w:lineRule="auto"/>
              <w:rPr>
                <w:sz w:val="22"/>
                <w:lang w:val="en-US"/>
              </w:rPr>
            </w:pPr>
            <w:r w:rsidRPr="00277198">
              <w:rPr>
                <w:sz w:val="22"/>
                <w:lang w:val="en-US"/>
              </w:rPr>
              <w:t>Antibiotic provision 21% vs 39%; 28-day exposure 28% vs 40%; quinsy rare.</w:t>
            </w:r>
          </w:p>
        </w:tc>
        <w:tc>
          <w:tcPr>
            <w:tcW w:w="0" w:type="auto"/>
            <w:hideMark/>
          </w:tcPr>
          <w:p w14:paraId="6A4604F1" w14:textId="77777777" w:rsidR="004D2FD6" w:rsidRPr="00277198" w:rsidRDefault="004D2FD6" w:rsidP="004D2FD6">
            <w:pPr>
              <w:spacing w:line="276" w:lineRule="auto"/>
              <w:rPr>
                <w:sz w:val="22"/>
                <w:lang w:val="en-US"/>
              </w:rPr>
            </w:pPr>
            <w:r w:rsidRPr="00277198">
              <w:rPr>
                <w:sz w:val="22"/>
                <w:lang w:val="en-US"/>
              </w:rPr>
              <w:t>Higher; residual confounding and non-random allocation.</w:t>
            </w:r>
          </w:p>
        </w:tc>
        <w:tc>
          <w:tcPr>
            <w:tcW w:w="0" w:type="auto"/>
            <w:hideMark/>
          </w:tcPr>
          <w:p w14:paraId="1B387D00" w14:textId="77777777" w:rsidR="004D2FD6" w:rsidRPr="00277198" w:rsidRDefault="004D2FD6" w:rsidP="004D2FD6">
            <w:pPr>
              <w:spacing w:line="276" w:lineRule="auto"/>
              <w:rPr>
                <w:sz w:val="22"/>
                <w:lang w:val="en-US"/>
              </w:rPr>
            </w:pPr>
            <w:r w:rsidRPr="00277198">
              <w:rPr>
                <w:sz w:val="22"/>
                <w:lang w:val="en-US"/>
              </w:rPr>
              <w:t>1, 4</w:t>
            </w:r>
          </w:p>
        </w:tc>
      </w:tr>
      <w:tr w:rsidR="004D2FD6" w:rsidRPr="00277198" w14:paraId="762DA0CD" w14:textId="77777777" w:rsidTr="004D2FD6">
        <w:tc>
          <w:tcPr>
            <w:tcW w:w="0" w:type="auto"/>
            <w:hideMark/>
          </w:tcPr>
          <w:p w14:paraId="2AA8E6B2" w14:textId="77777777" w:rsidR="004D2FD6" w:rsidRPr="00277198" w:rsidRDefault="004D2FD6" w:rsidP="004D2FD6">
            <w:pPr>
              <w:spacing w:line="276" w:lineRule="auto"/>
              <w:rPr>
                <w:sz w:val="22"/>
                <w:lang w:val="en-US"/>
              </w:rPr>
            </w:pPr>
            <w:r w:rsidRPr="00277198">
              <w:rPr>
                <w:sz w:val="22"/>
                <w:lang w:val="en-US"/>
              </w:rPr>
              <w:t>Matuluko et al. (2025), England/Wales</w:t>
            </w:r>
          </w:p>
        </w:tc>
        <w:tc>
          <w:tcPr>
            <w:tcW w:w="0" w:type="auto"/>
            <w:hideMark/>
          </w:tcPr>
          <w:p w14:paraId="2CA71434" w14:textId="77777777" w:rsidR="004D2FD6" w:rsidRPr="00277198" w:rsidRDefault="004D2FD6" w:rsidP="004D2FD6">
            <w:pPr>
              <w:spacing w:line="276" w:lineRule="auto"/>
              <w:rPr>
                <w:sz w:val="22"/>
                <w:lang w:val="en-US"/>
              </w:rPr>
            </w:pPr>
            <w:r w:rsidRPr="00277198">
              <w:rPr>
                <w:sz w:val="22"/>
                <w:lang w:val="en-US"/>
              </w:rPr>
              <w:t>317,864 English; 27,684 Welsh consultations</w:t>
            </w:r>
          </w:p>
        </w:tc>
        <w:tc>
          <w:tcPr>
            <w:tcW w:w="0" w:type="auto"/>
            <w:hideMark/>
          </w:tcPr>
          <w:p w14:paraId="20BEEB0E" w14:textId="77777777" w:rsidR="004D2FD6" w:rsidRPr="00277198" w:rsidRDefault="004D2FD6" w:rsidP="004D2FD6">
            <w:pPr>
              <w:spacing w:line="276" w:lineRule="auto"/>
              <w:rPr>
                <w:sz w:val="22"/>
                <w:lang w:val="en-US"/>
              </w:rPr>
            </w:pPr>
            <w:r w:rsidRPr="00277198">
              <w:rPr>
                <w:sz w:val="22"/>
                <w:lang w:val="en-US"/>
              </w:rPr>
              <w:t>Natural policy experiment</w:t>
            </w:r>
          </w:p>
        </w:tc>
        <w:tc>
          <w:tcPr>
            <w:tcW w:w="0" w:type="auto"/>
            <w:hideMark/>
          </w:tcPr>
          <w:p w14:paraId="574C3B98" w14:textId="77777777" w:rsidR="004D2FD6" w:rsidRPr="00277198" w:rsidRDefault="004D2FD6" w:rsidP="004D2FD6">
            <w:pPr>
              <w:spacing w:line="276" w:lineRule="auto"/>
              <w:rPr>
                <w:sz w:val="22"/>
                <w:lang w:val="en-US"/>
              </w:rPr>
            </w:pPr>
            <w:r w:rsidRPr="00277198">
              <w:rPr>
                <w:sz w:val="22"/>
                <w:lang w:val="en-US"/>
              </w:rPr>
              <w:t>Antibiotics supplied in 72.7% England vs 29.9% Wales; Welsh score 4/5: 59.7%.</w:t>
            </w:r>
          </w:p>
        </w:tc>
        <w:tc>
          <w:tcPr>
            <w:tcW w:w="0" w:type="auto"/>
            <w:hideMark/>
          </w:tcPr>
          <w:p w14:paraId="22972950" w14:textId="77777777" w:rsidR="004D2FD6" w:rsidRPr="00277198" w:rsidRDefault="004D2FD6" w:rsidP="004D2FD6">
            <w:pPr>
              <w:spacing w:line="276" w:lineRule="auto"/>
              <w:rPr>
                <w:sz w:val="22"/>
                <w:lang w:val="en-US"/>
              </w:rPr>
            </w:pPr>
            <w:r w:rsidRPr="00277198">
              <w:rPr>
                <w:sz w:val="22"/>
                <w:lang w:val="en-US"/>
              </w:rPr>
              <w:t>Higher; pathway/data differences limit causal comparison.</w:t>
            </w:r>
          </w:p>
        </w:tc>
        <w:tc>
          <w:tcPr>
            <w:tcW w:w="0" w:type="auto"/>
            <w:hideMark/>
          </w:tcPr>
          <w:p w14:paraId="1C18958A" w14:textId="77777777" w:rsidR="004D2FD6" w:rsidRPr="00277198" w:rsidRDefault="004D2FD6" w:rsidP="004D2FD6">
            <w:pPr>
              <w:spacing w:line="276" w:lineRule="auto"/>
              <w:rPr>
                <w:sz w:val="22"/>
                <w:lang w:val="en-US"/>
              </w:rPr>
            </w:pPr>
            <w:r w:rsidRPr="00277198">
              <w:rPr>
                <w:sz w:val="22"/>
                <w:lang w:val="en-US"/>
              </w:rPr>
              <w:t>1, 4</w:t>
            </w:r>
          </w:p>
        </w:tc>
      </w:tr>
      <w:tr w:rsidR="004D2FD6" w:rsidRPr="00277198" w14:paraId="530D831E" w14:textId="77777777" w:rsidTr="004D2FD6">
        <w:tc>
          <w:tcPr>
            <w:tcW w:w="0" w:type="auto"/>
            <w:hideMark/>
          </w:tcPr>
          <w:p w14:paraId="4F7ED83A" w14:textId="77777777" w:rsidR="004D2FD6" w:rsidRPr="00277198" w:rsidRDefault="004D2FD6" w:rsidP="004D2FD6">
            <w:pPr>
              <w:spacing w:line="276" w:lineRule="auto"/>
              <w:rPr>
                <w:sz w:val="22"/>
                <w:lang w:val="en-US"/>
              </w:rPr>
            </w:pPr>
            <w:r w:rsidRPr="00277198">
              <w:rPr>
                <w:sz w:val="22"/>
                <w:lang w:val="en-US"/>
              </w:rPr>
              <w:t>Lee et al. (2025), England</w:t>
            </w:r>
          </w:p>
        </w:tc>
        <w:tc>
          <w:tcPr>
            <w:tcW w:w="0" w:type="auto"/>
            <w:hideMark/>
          </w:tcPr>
          <w:p w14:paraId="5039F75F" w14:textId="77777777" w:rsidR="004D2FD6" w:rsidRPr="00277198" w:rsidRDefault="004D2FD6" w:rsidP="004D2FD6">
            <w:pPr>
              <w:spacing w:line="276" w:lineRule="auto"/>
              <w:rPr>
                <w:sz w:val="22"/>
                <w:lang w:val="en-US"/>
              </w:rPr>
            </w:pPr>
            <w:r w:rsidRPr="00277198">
              <w:rPr>
                <w:sz w:val="22"/>
                <w:lang w:val="en-US"/>
              </w:rPr>
              <w:t>24 pharmacists, technicians and GPs</w:t>
            </w:r>
          </w:p>
        </w:tc>
        <w:tc>
          <w:tcPr>
            <w:tcW w:w="0" w:type="auto"/>
            <w:hideMark/>
          </w:tcPr>
          <w:p w14:paraId="5AD3CA3B" w14:textId="77777777" w:rsidR="004D2FD6" w:rsidRPr="00277198" w:rsidRDefault="004D2FD6" w:rsidP="004D2FD6">
            <w:pPr>
              <w:spacing w:line="276" w:lineRule="auto"/>
              <w:rPr>
                <w:sz w:val="22"/>
                <w:lang w:val="en-US"/>
              </w:rPr>
            </w:pPr>
            <w:r w:rsidRPr="00277198">
              <w:rPr>
                <w:sz w:val="22"/>
                <w:lang w:val="en-US"/>
              </w:rPr>
              <w:t>Purposive qualitative study</w:t>
            </w:r>
          </w:p>
        </w:tc>
        <w:tc>
          <w:tcPr>
            <w:tcW w:w="0" w:type="auto"/>
            <w:hideMark/>
          </w:tcPr>
          <w:p w14:paraId="0A0227A8" w14:textId="77777777" w:rsidR="004D2FD6" w:rsidRPr="00277198" w:rsidRDefault="004D2FD6" w:rsidP="004D2FD6">
            <w:pPr>
              <w:spacing w:line="276" w:lineRule="auto"/>
              <w:rPr>
                <w:sz w:val="22"/>
                <w:lang w:val="en-US"/>
              </w:rPr>
            </w:pPr>
            <w:r w:rsidRPr="00277198">
              <w:rPr>
                <w:sz w:val="22"/>
                <w:lang w:val="en-US"/>
              </w:rPr>
              <w:t>Communication and stock/contact information were weak; shared notes and central contact proposed.</w:t>
            </w:r>
          </w:p>
        </w:tc>
        <w:tc>
          <w:tcPr>
            <w:tcW w:w="0" w:type="auto"/>
            <w:hideMark/>
          </w:tcPr>
          <w:p w14:paraId="0FB812EE" w14:textId="77777777" w:rsidR="004D2FD6" w:rsidRPr="00277198" w:rsidRDefault="004D2FD6" w:rsidP="004D2FD6">
            <w:pPr>
              <w:spacing w:line="276" w:lineRule="auto"/>
              <w:rPr>
                <w:sz w:val="22"/>
                <w:lang w:val="en-US"/>
              </w:rPr>
            </w:pPr>
            <w:r w:rsidRPr="00277198">
              <w:rPr>
                <w:sz w:val="22"/>
                <w:lang w:val="en-US"/>
              </w:rPr>
              <w:t>Higher; small paid sample.</w:t>
            </w:r>
          </w:p>
        </w:tc>
        <w:tc>
          <w:tcPr>
            <w:tcW w:w="0" w:type="auto"/>
            <w:hideMark/>
          </w:tcPr>
          <w:p w14:paraId="23BADF19" w14:textId="77777777" w:rsidR="004D2FD6" w:rsidRPr="00277198" w:rsidRDefault="004D2FD6" w:rsidP="004D2FD6">
            <w:pPr>
              <w:spacing w:line="276" w:lineRule="auto"/>
              <w:rPr>
                <w:sz w:val="22"/>
                <w:lang w:val="en-US"/>
              </w:rPr>
            </w:pPr>
            <w:r w:rsidRPr="00277198">
              <w:rPr>
                <w:sz w:val="22"/>
                <w:lang w:val="en-US"/>
              </w:rPr>
              <w:t>3, 4</w:t>
            </w:r>
          </w:p>
        </w:tc>
      </w:tr>
      <w:tr w:rsidR="004D2FD6" w:rsidRPr="00277198" w14:paraId="1533866C" w14:textId="77777777" w:rsidTr="004D2FD6">
        <w:tc>
          <w:tcPr>
            <w:tcW w:w="0" w:type="auto"/>
            <w:hideMark/>
          </w:tcPr>
          <w:p w14:paraId="486C0936" w14:textId="77777777" w:rsidR="004D2FD6" w:rsidRPr="00277198" w:rsidRDefault="004D2FD6" w:rsidP="004D2FD6">
            <w:pPr>
              <w:spacing w:line="276" w:lineRule="auto"/>
              <w:rPr>
                <w:sz w:val="22"/>
                <w:lang w:val="en-US"/>
              </w:rPr>
            </w:pPr>
            <w:r w:rsidRPr="00277198">
              <w:rPr>
                <w:sz w:val="22"/>
                <w:lang w:val="en-US"/>
              </w:rPr>
              <w:t>Mantzourani et al. (2026), Wales</w:t>
            </w:r>
          </w:p>
        </w:tc>
        <w:tc>
          <w:tcPr>
            <w:tcW w:w="0" w:type="auto"/>
            <w:hideMark/>
          </w:tcPr>
          <w:p w14:paraId="73AA4B5C" w14:textId="77777777" w:rsidR="004D2FD6" w:rsidRPr="00277198" w:rsidRDefault="004D2FD6" w:rsidP="004D2FD6">
            <w:pPr>
              <w:spacing w:line="276" w:lineRule="auto"/>
              <w:rPr>
                <w:sz w:val="22"/>
                <w:lang w:val="en-US"/>
              </w:rPr>
            </w:pPr>
            <w:r w:rsidRPr="00277198">
              <w:rPr>
                <w:sz w:val="22"/>
                <w:lang w:val="en-US"/>
              </w:rPr>
              <w:t>9,077 UTI consultations; 8,813 women</w:t>
            </w:r>
          </w:p>
        </w:tc>
        <w:tc>
          <w:tcPr>
            <w:tcW w:w="0" w:type="auto"/>
            <w:hideMark/>
          </w:tcPr>
          <w:p w14:paraId="6719F417" w14:textId="77777777" w:rsidR="004D2FD6" w:rsidRPr="00277198" w:rsidRDefault="004D2FD6" w:rsidP="004D2FD6">
            <w:pPr>
              <w:spacing w:line="276" w:lineRule="auto"/>
              <w:rPr>
                <w:sz w:val="22"/>
                <w:lang w:val="en-US"/>
              </w:rPr>
            </w:pPr>
            <w:r w:rsidRPr="00277198">
              <w:rPr>
                <w:sz w:val="22"/>
                <w:lang w:val="en-US"/>
              </w:rPr>
              <w:t>Retrospective pharmacy-record analysis</w:t>
            </w:r>
          </w:p>
        </w:tc>
        <w:tc>
          <w:tcPr>
            <w:tcW w:w="0" w:type="auto"/>
            <w:hideMark/>
          </w:tcPr>
          <w:p w14:paraId="69B6174E" w14:textId="77777777" w:rsidR="004D2FD6" w:rsidRPr="00277198" w:rsidRDefault="004D2FD6" w:rsidP="004D2FD6">
            <w:pPr>
              <w:spacing w:line="276" w:lineRule="auto"/>
              <w:rPr>
                <w:sz w:val="22"/>
                <w:lang w:val="en-US"/>
              </w:rPr>
            </w:pPr>
            <w:r w:rsidRPr="00277198">
              <w:rPr>
                <w:sz w:val="22"/>
                <w:lang w:val="en-US"/>
              </w:rPr>
              <w:t>84% managed without referral; 78.7% received antibiotics; 1% protocol deviation.</w:t>
            </w:r>
          </w:p>
        </w:tc>
        <w:tc>
          <w:tcPr>
            <w:tcW w:w="0" w:type="auto"/>
            <w:hideMark/>
          </w:tcPr>
          <w:p w14:paraId="09A8FC55" w14:textId="77777777" w:rsidR="004D2FD6" w:rsidRPr="00277198" w:rsidRDefault="004D2FD6" w:rsidP="004D2FD6">
            <w:pPr>
              <w:spacing w:line="276" w:lineRule="auto"/>
              <w:rPr>
                <w:sz w:val="22"/>
                <w:lang w:val="en-US"/>
              </w:rPr>
            </w:pPr>
            <w:r w:rsidRPr="00277198">
              <w:rPr>
                <w:sz w:val="22"/>
                <w:lang w:val="en-US"/>
              </w:rPr>
              <w:t>Higher; no untreated comparator or microbiological confirmation.</w:t>
            </w:r>
          </w:p>
        </w:tc>
        <w:tc>
          <w:tcPr>
            <w:tcW w:w="0" w:type="auto"/>
            <w:hideMark/>
          </w:tcPr>
          <w:p w14:paraId="32E4F90F" w14:textId="77777777" w:rsidR="004D2FD6" w:rsidRPr="00277198" w:rsidRDefault="004D2FD6" w:rsidP="004D2FD6">
            <w:pPr>
              <w:spacing w:line="276" w:lineRule="auto"/>
              <w:rPr>
                <w:sz w:val="22"/>
                <w:lang w:val="en-US"/>
              </w:rPr>
            </w:pPr>
            <w:r w:rsidRPr="00277198">
              <w:rPr>
                <w:sz w:val="22"/>
                <w:lang w:val="en-US"/>
              </w:rPr>
              <w:t>1, 2, 4</w:t>
            </w:r>
          </w:p>
        </w:tc>
      </w:tr>
    </w:tbl>
    <w:p w14:paraId="590D5EEF" w14:textId="77777777" w:rsidR="00EA2DD2" w:rsidRPr="00277198" w:rsidRDefault="00EA2DD2" w:rsidP="00EA2DD2">
      <w:pPr>
        <w:spacing w:before="60" w:after="0" w:line="240" w:lineRule="auto"/>
        <w:rPr>
          <w:sz w:val="22"/>
          <w:szCs w:val="28"/>
        </w:rPr>
      </w:pPr>
      <w:r w:rsidRPr="00277198">
        <w:rPr>
          <w:i/>
          <w:sz w:val="22"/>
          <w:szCs w:val="28"/>
        </w:rPr>
        <w:t>Theme key: 1 = structured pathways and diagnostic safeguards; 2 = dispensing and self-care stewardship; 3 = workforce capability; 4 = organisational opportunity, communication, access and pressure. Quality categories follow the threshold and appraisal procedure specified in Chapter 3.</w:t>
      </w:r>
    </w:p>
    <w:p w14:paraId="70FFEAF6" w14:textId="77777777" w:rsidR="00EA2DD2" w:rsidRPr="00277198" w:rsidRDefault="00EA2DD2" w:rsidP="00EA2DD2">
      <w:pPr>
        <w:rPr>
          <w:sz w:val="22"/>
        </w:rPr>
        <w:sectPr w:rsidR="00EA2DD2" w:rsidRPr="00277198" w:rsidSect="00EA2DD2">
          <w:pgSz w:w="15840" w:h="12240" w:orient="landscape"/>
          <w:pgMar w:top="691" w:right="619" w:bottom="691" w:left="619" w:header="720" w:footer="720" w:gutter="0"/>
          <w:cols w:space="720"/>
          <w:docGrid w:linePitch="360"/>
        </w:sectPr>
      </w:pPr>
    </w:p>
    <w:p w14:paraId="24E5CE0A" w14:textId="77777777" w:rsidR="00EA2DD2" w:rsidRPr="00277198" w:rsidRDefault="00EA2DD2" w:rsidP="00EA2DD2">
      <w:pPr>
        <w:spacing w:after="0"/>
        <w:rPr>
          <w:sz w:val="22"/>
        </w:rPr>
      </w:pPr>
      <w:r w:rsidRPr="00277198">
        <w:rPr>
          <w:sz w:val="22"/>
        </w:rPr>
        <w:t>All studies were included as they met the inclusion threshold, but their findings were not statistically pooled. Results were too diverse: some assessed the proportion supplied with an antibiotic, others assessed knowledge, checks, referrals, acceptability or professional experience. Overlapping programmes were also analysed in several reports. Five Welsh articles looked at various stages or aspects of Sore Throat Test and Treat (STTT) service, whereas Hayes et al. (2023) and Parekh et al. (2023b) used the 202122 Pharmacy Quality Scheme dataset in related but distinct implementation questions. It would have overstated accuracy to treat these reports as independent estimates. They were thus compared narratively and their unique contribution to analysis was not double-counted for their participants.</w:t>
      </w:r>
    </w:p>
    <w:p w14:paraId="1F1E140D" w14:textId="77777777" w:rsidR="00EA2DD2" w:rsidRPr="00277198" w:rsidRDefault="00EA2DD2" w:rsidP="00277198">
      <w:pPr>
        <w:pStyle w:val="Heading2"/>
      </w:pPr>
      <w:bookmarkStart w:id="82" w:name="_Toc237276303"/>
      <w:bookmarkStart w:id="83" w:name="_Toc240928051"/>
      <w:r w:rsidRPr="00277198">
        <w:t>4.4 Quality Appraisal and Evidence Profile</w:t>
      </w:r>
      <w:bookmarkEnd w:id="82"/>
      <w:bookmarkEnd w:id="83"/>
    </w:p>
    <w:p w14:paraId="5FF3F5F6" w14:textId="77777777" w:rsidR="00EA2DD2" w:rsidRPr="00277198" w:rsidRDefault="00EA2DD2" w:rsidP="00EA2DD2">
      <w:pPr>
        <w:spacing w:after="0"/>
        <w:rPr>
          <w:sz w:val="22"/>
        </w:rPr>
      </w:pPr>
      <w:r w:rsidRPr="00277198">
        <w:rPr>
          <w:sz w:val="22"/>
        </w:rPr>
        <w:t>Ten studies were rated as high quality and five moderate quality; all were at the 50 per cent threshold outlined in Chapter 3. The best evidence was that of large, well-defined routine data, open clinical pathways and studies that associated pharmacy activity with subsequent healthcare use. An example is a study by Mantzourani et al. (2025), which compared 6,495 STTT consultations with 66,241 general-practice consultations, adjusted by measured confounding, and an estimate of 28-day antibiotic exposure. Large national or population-scale datasets of service with explicit denominators were also analysed by Mantzourani et al. (2023), Matuluko et al. (2025) and Mantzourani et al. (2026).</w:t>
      </w:r>
    </w:p>
    <w:p w14:paraId="2D2FC3E6" w14:textId="77777777" w:rsidR="00EA2DD2" w:rsidRPr="00277198" w:rsidRDefault="00EA2DD2" w:rsidP="00EA2DD2">
      <w:pPr>
        <w:spacing w:after="0"/>
        <w:rPr>
          <w:sz w:val="22"/>
        </w:rPr>
      </w:pPr>
      <w:r w:rsidRPr="00277198">
        <w:rPr>
          <w:sz w:val="22"/>
        </w:rPr>
        <w:t>But the scale failed to remove bias. Routine data reflected what pharmacists recorded, and not necessarily all clinical judgement, and most service assessments were not randomly allocated. Submission of Incentivised Pharmacy Quality Schemes could have promoted completion and social desirability. On the other hand, qualitative studies were also explanatory in nature but lacked the numerical generalisability. Mantzourani et al. (2019) sampled seven early adopters of STTT; Lee et al. (2025) purposely sampled 24 professionals and paid to participate. The UK workforce survey sampled 783 out of 5,344 individuals contacted, which is a 14.6% response rate; thus, it is possible that more stewardship-engaged employees were over-represented (Seaton et al., 2022).</w:t>
      </w:r>
    </w:p>
    <w:p w14:paraId="1C7B06C1" w14:textId="77777777" w:rsidR="00EA2DD2" w:rsidRPr="00277198" w:rsidRDefault="00EA2DD2" w:rsidP="00EA2DD2">
      <w:pPr>
        <w:spacing w:after="0"/>
        <w:rPr>
          <w:sz w:val="22"/>
        </w:rPr>
      </w:pPr>
      <w:r w:rsidRPr="00277198">
        <w:rPr>
          <w:sz w:val="22"/>
        </w:rPr>
        <w:t>The primary evidence gap was similar across designs. The AMR proxies of antibiotic supply and guideline concordance are pertinent, but none of the studies correlated a pharmacy decision with bacterial susceptibility, trends of resistant infections or population resistance. Arguments concerning AMR have to be kept at the level of potentially contributing factors; therefore, unnecessary exposure increases the selective pressure, whereas the adoption of proper non-supply, stringent protocol-based treatment, safety screening and effective counselling lowers unnecessary exposure. The convergent findings that have more than one design or setting are given the greatest interpretive weight in the thematic synthesis below.</w:t>
      </w:r>
    </w:p>
    <w:p w14:paraId="36BED66E" w14:textId="77777777" w:rsidR="00EA2DD2" w:rsidRPr="00277198" w:rsidRDefault="00EA2DD2" w:rsidP="00277198">
      <w:pPr>
        <w:pStyle w:val="Heading2"/>
      </w:pPr>
      <w:bookmarkStart w:id="84" w:name="_Toc237276304"/>
      <w:bookmarkStart w:id="85" w:name="_Toc240928052"/>
      <w:r w:rsidRPr="00277198">
        <w:t>4.5 Theme 1: Structured Clinical Pathways and Diagnostic Safeguards</w:t>
      </w:r>
      <w:bookmarkEnd w:id="84"/>
      <w:bookmarkEnd w:id="85"/>
    </w:p>
    <w:p w14:paraId="52351C44" w14:textId="19B4D95C" w:rsidR="00EA2DD2" w:rsidRPr="00277198" w:rsidRDefault="00EA2DD2" w:rsidP="00EA2DD2">
      <w:pPr>
        <w:spacing w:after="0"/>
        <w:rPr>
          <w:sz w:val="22"/>
        </w:rPr>
      </w:pPr>
      <w:r w:rsidRPr="00277198">
        <w:rPr>
          <w:sz w:val="22"/>
        </w:rPr>
        <w:t>The most apparent conclusion was that increasing access to pharmacy did not predetermine the use of antibiotics alone; the structure of the clinical pathway predetermined whether access was stewardship-favourable</w:t>
      </w:r>
      <w:r w:rsidR="003A7874" w:rsidRPr="00277198">
        <w:rPr>
          <w:sz w:val="22"/>
        </w:rPr>
        <w:t xml:space="preserve"> (Matuluko et al., 2026; Zhong et al., 2023a; Yang et al., 2023</w:t>
      </w:r>
      <w:r w:rsidR="00ED16DA">
        <w:rPr>
          <w:sz w:val="22"/>
        </w:rPr>
        <w:t>b</w:t>
      </w:r>
      <w:r w:rsidR="003A7874" w:rsidRPr="00277198">
        <w:rPr>
          <w:sz w:val="22"/>
        </w:rPr>
        <w:t>)</w:t>
      </w:r>
      <w:r w:rsidRPr="00277198">
        <w:rPr>
          <w:sz w:val="22"/>
        </w:rPr>
        <w:t>. STTT in Wales used a structured FeverPAIN or Centor assessment plus a rapid antigen detection test, where the clinical score had reached a threshold. In the first 56-pharmacy pilot, less than 20% of the 1,725 consultations resulted in the provision of antibiotics, the correct referrals were registered, and no quinsy growth was observed (Mantzourani et al., 2020</w:t>
      </w:r>
      <w:r w:rsidR="00350D89">
        <w:rPr>
          <w:sz w:val="22"/>
        </w:rPr>
        <w:t>a</w:t>
      </w:r>
      <w:r w:rsidRPr="00277198">
        <w:rPr>
          <w:sz w:val="22"/>
        </w:rPr>
        <w:t>). The interrupted comparison only indicated a difference of 0.4 percentage points more general-practice phenoxymethylpenicillin prescribing in STTT areas than comparison areas, the difference being eliminated with the addition of pharmacy supplies. This significant observation was not a radical decrease in population-level prescribing but rather the fact that a large number of sore-throat visits were treated without antibiotics yet with a realistic safety pathway.</w:t>
      </w:r>
    </w:p>
    <w:p w14:paraId="5A8A4288" w14:textId="77777777" w:rsidR="00EA2DD2" w:rsidRPr="00277198" w:rsidRDefault="00EA2DD2" w:rsidP="00EA2DD2">
      <w:pPr>
        <w:spacing w:after="0"/>
        <w:rPr>
          <w:sz w:val="22"/>
        </w:rPr>
      </w:pPr>
      <w:r w:rsidRPr="00277198">
        <w:rPr>
          <w:sz w:val="22"/>
        </w:rPr>
        <w:t>Bigger routine information reinforced that interpretation. In the sample of 11,304 Welsh consultations, 8,664 (76.7) of these were assessed by rapid testing, 2,406 (21.3) of them received antibiotics, and 91% of them were not referred to another provider (Mantzourani et al., 2023). Out of hours, there was more antibiotic supply than during hours 24.9% versus 20.9%), which suggests that timing and alternative access might continue to impact decisions. However, the national dataset revealed that a pharmacy service has the potential to accommodate high demand without increasing the supply significantly compared to most consultations when the diagnostic and governance regulations are well defined.</w:t>
      </w:r>
    </w:p>
    <w:p w14:paraId="05272F7B" w14:textId="77777777" w:rsidR="00EA2DD2" w:rsidRPr="00277198" w:rsidRDefault="00EA2DD2" w:rsidP="00EA2DD2">
      <w:pPr>
        <w:spacing w:after="0"/>
        <w:rPr>
          <w:sz w:val="22"/>
        </w:rPr>
      </w:pPr>
      <w:r w:rsidRPr="00277198">
        <w:rPr>
          <w:sz w:val="22"/>
        </w:rPr>
        <w:t>The informative, but confounded, comparison was made by the temporary displacement of routine point-of-care testing during the COVID-19 period. In the consultations that were testable, there was an increase in the antibiotic supply of 27% (922/3,369) when clinical scoring and testing were combined to 63% (93/147) when the pharmacists used clinical scores. The percentage of patients with high scores who were not provided with an antibiotic also decreased: 56 to 9.3 (Mantzourani et al., 2022). The two eras were vastly different, and the pandemic conditions might have altered the severity of presentation and professional behaviour, and thus the variation in percentage of 36 cannot be covered by solely testing. Nonetheless, its trend and scale uphold the perception that a confirmatory test is transforming diagnostic uncertainty into defensible non-supply.</w:t>
      </w:r>
    </w:p>
    <w:p w14:paraId="4B552D84" w14:textId="77777777" w:rsidR="00EA2DD2" w:rsidRPr="00277198" w:rsidRDefault="00EA2DD2" w:rsidP="00EA2DD2">
      <w:pPr>
        <w:spacing w:after="0"/>
        <w:rPr>
          <w:sz w:val="22"/>
        </w:rPr>
      </w:pPr>
      <w:r w:rsidRPr="00277198">
        <w:rPr>
          <w:sz w:val="22"/>
        </w:rPr>
        <w:t>At the national level, the England-Wales natural policy experiment came to the same conclusion. In the six months of acute sore throat Pharmacy First in England, 72.7% of 317,864 eligible English consultations led to the supply of antibiotics, as compared to 29.9% of 27,684 Welsh STTT consultations. The Welsh analysis was limited to a FeverPAIN score of four or five, which raised the supply to 59.7%, still lower than that of England (Matuluko et al., 2025). England had a greater score threshold and no confirmatory group A streptococcal test compared to Wales, which needed a positive test. The variation in eligibility, reimbursement statistics, maturity of implementation, training and patient mix do not easily allow a causal comparison. But the finding contradicts the hypothesis that a higher symptom score in itself is a greater protection. One route may be technically correct but provide antibiotics to a significant proportion of those through its gateway.</w:t>
      </w:r>
    </w:p>
    <w:p w14:paraId="1DC004C3" w14:textId="77777777" w:rsidR="00EA2DD2" w:rsidRPr="00277198" w:rsidRDefault="00EA2DD2" w:rsidP="00EA2DD2">
      <w:pPr>
        <w:spacing w:after="0"/>
        <w:rPr>
          <w:sz w:val="22"/>
        </w:rPr>
      </w:pPr>
      <w:r w:rsidRPr="00277198">
        <w:rPr>
          <w:sz w:val="22"/>
        </w:rPr>
        <w:t>Data on linked outcomes presented a more challenging safety test. Independent of Welsh STTT contacts, antibiotics were supplied at the index consultation in 21 and 39% at the general-practice contact, respectively; over 28 days, 28 versus 40% (Mantzourani et al., 2025). Quinsy admissions were rare in both groups, 0.31% and 0.41%, respectively. Pharmacy users had a higher reconsultation rate to general practice 21 versus 7.4, but the most probable estimate is 21%. This is a vital qualification: less start of supply did imply no later workload. However, despite subsequent prescriptions being added, the total exposure to antibiotics was still less, implying that the structured non-supply was not simply postponed prescribing.</w:t>
      </w:r>
    </w:p>
    <w:p w14:paraId="6A835E37" w14:textId="77777777" w:rsidR="00EA2DD2" w:rsidRPr="00277198" w:rsidRDefault="00EA2DD2" w:rsidP="00EA2DD2">
      <w:pPr>
        <w:spacing w:after="0"/>
        <w:rPr>
          <w:sz w:val="22"/>
        </w:rPr>
      </w:pPr>
      <w:r w:rsidRPr="00277198">
        <w:rPr>
          <w:sz w:val="22"/>
        </w:rPr>
        <w:t>The value and limits of protocols were demonstrated with the help of evidence of other infections. In an English community-pharmacy UTI test-and-treat service, 372 of 496 women who underwent the diagnostic pathway were considered likely to have lower UTI and were provided with treatment. Out of 301 respondents, 214 reported that they would have otherwise attended general practice (Thornley et al., 2020). This showed access and diversion of workload in time, but a 75% treatment rate, lack of a control group and inclusion via the chosen pharmacies restrict the ability to boast of lower antibiotic use. In the later Welsh national UTI pilot, pharmacists not only handled 7,621 of 9,077 non-onward referral consultations but also provided antibiotics in 78.7% of cases; only 1% were not appropriate due to non-adherence to the protocol (Mantzourani et al., 2026). Adherence to protocols is a valuable protective measure, but is not equal to microbiological confirmation. A selected symptomatic population may still be justified to be supplied at a high rate, but it cannot in and of itself show minimal needed exposure.</w:t>
      </w:r>
    </w:p>
    <w:p w14:paraId="4CC258B8" w14:textId="77777777" w:rsidR="00EA2DD2" w:rsidRPr="00277198" w:rsidRDefault="00EA2DD2" w:rsidP="00EA2DD2">
      <w:pPr>
        <w:spacing w:after="0"/>
        <w:rPr>
          <w:sz w:val="22"/>
        </w:rPr>
      </w:pPr>
      <w:r w:rsidRPr="00277198">
        <w:rPr>
          <w:sz w:val="22"/>
        </w:rPr>
        <w:t>Northern Irish C-reactive protein pilot explains the importance of combining diagnostic information with the broader pathway. The result of 328 respiratory consultations (72 per cent below 20 mg/L) and onward referral (12%) indicated that a biomarker could be used by pharmacists to risk stratify. Nevertheless, in the 30-patient prescribing subgroup, 13 of the 30 were prescribed an antibiotic in five days, with the following general-practice contact (O'Neill et al., 2022). The pilot was prematurely ended due to COVID-19, and the prescribing subgroup represented a single practice. It thus proved to be more plausible than successful. The synthesis across conditions suggests that the uncertainty can be minimised by diagnostics only when the referral, accessing records, prescriber response and non-supply advice are coordinated about the outcome.</w:t>
      </w:r>
    </w:p>
    <w:p w14:paraId="56D26488" w14:textId="77777777" w:rsidR="00EA2DD2" w:rsidRPr="00277198" w:rsidRDefault="00EA2DD2" w:rsidP="00277198">
      <w:pPr>
        <w:pStyle w:val="Heading2"/>
      </w:pPr>
      <w:bookmarkStart w:id="86" w:name="_Toc237276305"/>
      <w:bookmarkStart w:id="87" w:name="_Toc240928053"/>
      <w:r w:rsidRPr="00277198">
        <w:t>4.6 Theme 2: Stewardship at Dispensing and During Self-care Consultations</w:t>
      </w:r>
      <w:bookmarkEnd w:id="86"/>
      <w:bookmarkEnd w:id="87"/>
    </w:p>
    <w:p w14:paraId="60679F81" w14:textId="77777777" w:rsidR="00EA2DD2" w:rsidRPr="00277198" w:rsidRDefault="00EA2DD2" w:rsidP="00EA2DD2">
      <w:pPr>
        <w:spacing w:after="0"/>
        <w:rPr>
          <w:sz w:val="22"/>
        </w:rPr>
      </w:pPr>
      <w:r w:rsidRPr="00277198">
        <w:rPr>
          <w:sz w:val="22"/>
        </w:rPr>
        <w:t>Even without any treatment, community pharmacies affect the use of antibiotics. The national TARGET Antibiotic Checklist developed a guided dialogue at the point of dispensing and demanded pharmacy teams to assess dose, duration, indication, allergy, interaction and guideline regularity. In 8374 pharmacies, 213105 checklists were received; the staff reported that they completed allergy, interaction, dose, duration and appropriateness checks in 94-95% of the cases, guideline adherence checks in 89%, and prior antibiotic use in 81%. Two thousand seven hundred and forty-one prescriptions, or 1.3%, were contacted with prescribers, the most frequent being dose, duration or potential allergy (Hayes et al., 2023). Such a low intervention rate is not to be interpreted as a low impact: even with no prescription change, patient counselling and regular confirmation can help to avoid misuse. Similarly, a lack of untreated comparison implies that the audit will not demonstrate the number of errors or unnecessary courses avoided.</w:t>
      </w:r>
    </w:p>
    <w:p w14:paraId="025EF980" w14:textId="77777777" w:rsidR="00EA2DD2" w:rsidRPr="00277198" w:rsidRDefault="00EA2DD2" w:rsidP="00EA2DD2">
      <w:pPr>
        <w:spacing w:after="0"/>
        <w:rPr>
          <w:sz w:val="22"/>
        </w:rPr>
      </w:pPr>
      <w:r w:rsidRPr="00277198">
        <w:rPr>
          <w:sz w:val="22"/>
        </w:rPr>
        <w:t>The same 202122 national checklist implementation was analysed by Parekh et al. (2023b) through the lens of clinical review and patient information. Pharmacies that participated provided 69,861 indication-specific information leaflets and personalised advice using the checklist. The common data imply that Hayes et al. (2023) and Parekh et al. (2023b) support a single programme but not two unrelated impacts. The two reports were largely based on pharmacy-entered data in an incentivised scheme, and the number of staff who responded to the follow-up questionnaire is only 105. However, their national coverage demonstrates that dispensing can be transformed into a transactional handover as a reproducible stewardship checkpoint. The identified barrier to implementation was time again and again: when the checklist turns into a tick-box exercise under the pressure of the workload, its seemingly completed version might be of a higher quality than the conversation.</w:t>
      </w:r>
    </w:p>
    <w:p w14:paraId="10964A9E" w14:textId="77777777" w:rsidR="00EA2DD2" w:rsidRPr="00277198" w:rsidRDefault="00EA2DD2" w:rsidP="00EA2DD2">
      <w:pPr>
        <w:spacing w:after="0"/>
        <w:rPr>
          <w:sz w:val="22"/>
        </w:rPr>
      </w:pPr>
      <w:r w:rsidRPr="00277198">
        <w:rPr>
          <w:sz w:val="22"/>
        </w:rPr>
        <w:t>The TARGET UTI leaflet assessment expanded structured stewardship to patients who had not been administered an antibiotic yet. In 8,363 English pharmacies, 104,142 consultations or leaflets were taken note of. In non-pregnant women, two-thirds (77%) stated they had none or only one strongly predictive symptom and were classified as less likely to develop UTI, and one-fifth (23%) had two or more predictive symptoms but no vaginal discharge and were more likely to develop UTI (Parekh et al., 2023a). This forms a potentially significant prevention angle: most of the women in this presenting sample might be able to get self-care, analgesia and safety-netting instead of an immediate escalation to an antibiotic. Nevertheless, no one followed up on the patients to ascertain the resolution of the symptoms, subsequent diagnosis or receipt of antibiotics and categorisation was based on self-reported symptoms. It thus helps to triage in a structured manner, and not the statement that 77% necessarily did not need any antibiotic.</w:t>
      </w:r>
    </w:p>
    <w:p w14:paraId="70B93BD5" w14:textId="77777777" w:rsidR="00EA2DD2" w:rsidRPr="00277198" w:rsidRDefault="00EA2DD2" w:rsidP="00EA2DD2">
      <w:pPr>
        <w:spacing w:after="0"/>
        <w:rPr>
          <w:sz w:val="22"/>
        </w:rPr>
      </w:pPr>
      <w:r w:rsidRPr="00277198">
        <w:rPr>
          <w:sz w:val="22"/>
        </w:rPr>
        <w:t>Smaller mixed-methods evidence explained what makes this type of conversation acceptable. In 51 of 33 boroughs in London, 33 of 51 service users were happy to talk to a pharmacist about urinary symptoms as long as the conversation was one-on-one, whereas 36 did not wish to speak to an open counter. Pharmacists perceived themselves as the daily custodians of AMR, and 13/16 believed community pharmacy was appropriate in the first-line UTI triage. They also mentioned time shortage, access to staff and medical records, and all the interviewed pharmacists desired a particular referral channel to general practice (Peiffer-Smadja et al., 2020). The leaflet was handy, but its efficacy rested on privacy, staff capacity and a step to action. The low 13% service-user survey response rate and single-borough study area restrict transferability, and interviews, surveys, and repeated data collection increased the credibility of explanations.</w:t>
      </w:r>
    </w:p>
    <w:p w14:paraId="0D394036" w14:textId="77777777" w:rsidR="00EA2DD2" w:rsidRPr="00277198" w:rsidRDefault="00EA2DD2" w:rsidP="00EA2DD2">
      <w:pPr>
        <w:spacing w:after="0"/>
        <w:rPr>
          <w:sz w:val="22"/>
        </w:rPr>
      </w:pPr>
      <w:r w:rsidRPr="00277198">
        <w:rPr>
          <w:sz w:val="22"/>
        </w:rPr>
        <w:t>Self-care and safety-netting also featured in the English test-and-treat evaluation. Women who did not reach the lower-UTI threshold were advised and given red-flag information, whereas those with a likelihood of infection were given same-day treatment (Thornley et al., 2020). In the evidence, this mixture is more significant than information. Non-antibiotic control should be legitimised in a stewardship conversation; duration of expected symptoms, deterioration identification and re-entry into care should be an easy process. Otherwise, refusal or delay during one setting can just change the patient to another prescriber. The pharmacy role in AMR prevention thus involves decreasing incomplete courses, inappropriate sharing or storage, unsafe repeat use and unnecessary demand, and questioning the clinical soundness of the initial prescription.</w:t>
      </w:r>
    </w:p>
    <w:p w14:paraId="68610565" w14:textId="77777777" w:rsidR="00EA2DD2" w:rsidRPr="00277198" w:rsidRDefault="00EA2DD2" w:rsidP="00277198">
      <w:pPr>
        <w:pStyle w:val="Heading2"/>
      </w:pPr>
      <w:bookmarkStart w:id="88" w:name="_Toc237276306"/>
      <w:bookmarkStart w:id="89" w:name="_Toc240928054"/>
      <w:r w:rsidRPr="00277198">
        <w:t>4.7 Theme 3: Workforce Capability, Confidence and Whole-team Learning</w:t>
      </w:r>
      <w:bookmarkEnd w:id="88"/>
      <w:bookmarkEnd w:id="89"/>
    </w:p>
    <w:p w14:paraId="6D18F338" w14:textId="77777777" w:rsidR="00EA2DD2" w:rsidRPr="00277198" w:rsidRDefault="00EA2DD2" w:rsidP="00EA2DD2">
      <w:pPr>
        <w:spacing w:after="0"/>
        <w:rPr>
          <w:sz w:val="22"/>
        </w:rPr>
      </w:pPr>
      <w:r w:rsidRPr="00277198">
        <w:rPr>
          <w:sz w:val="22"/>
        </w:rPr>
        <w:t>All but one of the studies included demonstrated that pharmacists were interested in becoming stewards but were not equally capable of doing so in roles and services. In the UK survey, 92.7% answered the queries regarding tested knowledge correctly, but only 61.6% indicated that they had access to local guidance on antibiotic prescribing, while only 60% of community pharmacists knew about an antimicrobial-stewardship plan in their workplace. Seaton et al. (2022) noted that dispensing assistants and other support staff had less ability and confidence than pharmacists and pharmacy technicians. These are likely overestimates of knowledge, because only 783 of the 5,344 invited workers responded. Despite this, it is significant that the role gradient matters in that counter staff may be the first to hear a symptom request, and dispensers may be able to provide important messages, so it is not sufficient that pharmacists are competent to ensure a consistent pathway.</w:t>
      </w:r>
    </w:p>
    <w:p w14:paraId="71378B06" w14:textId="77777777" w:rsidR="00EA2DD2" w:rsidRPr="00277198" w:rsidRDefault="00EA2DD2" w:rsidP="00EA2DD2">
      <w:pPr>
        <w:spacing w:after="0"/>
        <w:rPr>
          <w:sz w:val="22"/>
        </w:rPr>
      </w:pPr>
      <w:r w:rsidRPr="00277198">
        <w:rPr>
          <w:sz w:val="22"/>
        </w:rPr>
        <w:t>Early Welsh implementers were the ones who spoke about training and a formal service specification as areas of professional empowerment. The seven interviewed pharmacists appreciated the ability to combine clinical scoring, testing, advice and, when appropriate, supply of antibiotics. They also associated good delivery outcomes with a good level of staffing, motivation and positive relationships with local general practices (Mantzourani et al., 2019). The small sample size is self-selected and may not represent typical readiness. A benefit of being able to demonstrate the link between capability and behaviour is that training worked best when pharmacists were able to practise a bounded clinical process, felt happy about the governance of that process and perceived value to the patient.</w:t>
      </w:r>
    </w:p>
    <w:p w14:paraId="7ADD63BB" w14:textId="77777777" w:rsidR="00EA2DD2" w:rsidRPr="00277198" w:rsidRDefault="00EA2DD2" w:rsidP="00EA2DD2">
      <w:pPr>
        <w:spacing w:after="0"/>
        <w:rPr>
          <w:sz w:val="22"/>
        </w:rPr>
      </w:pPr>
      <w:r w:rsidRPr="00277198">
        <w:rPr>
          <w:sz w:val="22"/>
        </w:rPr>
        <w:t>A similar disparity in confidence and operational readiness emerged from the mixed-methods UTI study. Despite having high levels of confidence in providing advice, pharmacists reported that time, language barriers, lack of records and weak referral links affected their ability to do so (Peiffer-Smadja et al., 2020). Despite high levels of confidence in giving advice, pharmacists reported that time, language barriers, lack of records and weak referral links limited what they could safely do (Peiffer-Smadja et al., 2020). Another pilot in Northern Ireland also identified positive experiences for both professionals and patients, although the study was terminated prematurely and there was limited feedback from stakeholders (O'Neill et al., 2022). From the studies, it is found that a one-off learning module is not enough. Capability entails competence in assessment, understanding and interpretation of point-of-care tests, the recognition of "red-flag" indicators, shared decision-making and documentation, and understanding of antimicrobial pharmacology and uncertainty.</w:t>
      </w:r>
    </w:p>
    <w:p w14:paraId="1A47F532" w14:textId="77777777" w:rsidR="00EA2DD2" w:rsidRPr="00277198" w:rsidRDefault="00EA2DD2" w:rsidP="00EA2DD2">
      <w:pPr>
        <w:spacing w:after="0"/>
        <w:rPr>
          <w:sz w:val="22"/>
        </w:rPr>
      </w:pPr>
      <w:r w:rsidRPr="00277198">
        <w:rPr>
          <w:sz w:val="22"/>
        </w:rPr>
        <w:t>Feasibility of training at scale supported through national implementation. e-learning, an Antibiotic Guardian pledge, an action plan and the introduction of the TARGET checklist were a requirement of the Pharmacy Quality Scheme. Reach was reflected in the high numbers of checklists completed across thousands of pharmacies, and some stewardship practices became routine in follow-up responses (Hayes et al., 2023). However, if the behaviour is to be changed, that can't be done reliably with incentive-driven completion and minimal follow-up. Training should therefore be evaluated by observed or audited practice, rather than by achievement of a course completion. As Pharmacy First and independent prescribing is broadened, role-specific competency, protected learning time, refresher activity and Pharmacist supervision of the whole team are essential safeguards.</w:t>
      </w:r>
    </w:p>
    <w:p w14:paraId="5596472B" w14:textId="77777777" w:rsidR="00EA2DD2" w:rsidRPr="00277198" w:rsidRDefault="00EA2DD2" w:rsidP="00EA2DD2">
      <w:pPr>
        <w:spacing w:after="0"/>
        <w:rPr>
          <w:sz w:val="22"/>
        </w:rPr>
      </w:pPr>
      <w:r w:rsidRPr="00277198">
        <w:rPr>
          <w:sz w:val="22"/>
        </w:rPr>
        <w:t>When considered from the perspective of COM-B, knowledge and diagnostic competence are psychological and physical capability; staffing, privacy, records, tests and referral routes are physical and social opportunity; reflective motivation is supported by a desire to improve access, and by a professional identity. There was no simple deficit model that can be used to understand the problem of inappropriate practice, in the sense of ignorance being the primary cause of such practice. Staff might be knowledgeable and motivated, and at the same time, it might have been more likely to happen quickly that they made a weak counselling conversation more likely. Therefore, there is a need for sustainable stewardship to transform the system around the professional as well as the professional in the system.</w:t>
      </w:r>
    </w:p>
    <w:p w14:paraId="01352BD2" w14:textId="77777777" w:rsidR="00EA2DD2" w:rsidRPr="00277198" w:rsidRDefault="00EA2DD2" w:rsidP="00277198">
      <w:pPr>
        <w:pStyle w:val="Heading2"/>
      </w:pPr>
      <w:bookmarkStart w:id="90" w:name="_Toc237276307"/>
      <w:bookmarkStart w:id="91" w:name="_Toc240928055"/>
      <w:r w:rsidRPr="00277198">
        <w:t>4.8 Theme 4: Organisational Opportunity, Communication, Access and Unintended Pressure</w:t>
      </w:r>
      <w:bookmarkEnd w:id="90"/>
      <w:bookmarkEnd w:id="91"/>
    </w:p>
    <w:p w14:paraId="6FDEB9AE" w14:textId="77777777" w:rsidR="00EA2DD2" w:rsidRPr="00277198" w:rsidRDefault="00EA2DD2" w:rsidP="00EA2DD2">
      <w:pPr>
        <w:spacing w:after="0"/>
        <w:rPr>
          <w:sz w:val="22"/>
        </w:rPr>
      </w:pPr>
      <w:r w:rsidRPr="00277198">
        <w:rPr>
          <w:sz w:val="22"/>
        </w:rPr>
        <w:t>The most persistent weakness that was identified within the organisations was interprofessional communication. The English qualitative study involved nine community pharmacists, three pharmacy technicians and 12 GPs who perceived community pharmacy as a key prescription safety net, with personal relationship and physical proximity being key to communication. General practitioners were not always informed of the stock of antibiotics in the pharmacy, and teams sometimes found it difficult to reach the right GP or felt that a query might be seen as criticism. Participants suggested using common digital notes, showing stock visibility, having central contact routes and clarifying roles (Lee et al., 2025). The accounts might have been influenced by purposeful recruitment and financial compensation by the authors, but their re-convened mixed-professional groups provided opportunities to test proposed solutions across professional lines.</w:t>
      </w:r>
    </w:p>
    <w:p w14:paraId="4E86305D" w14:textId="77777777" w:rsidR="00EA2DD2" w:rsidRPr="00277198" w:rsidRDefault="00EA2DD2" w:rsidP="00EA2DD2">
      <w:pPr>
        <w:spacing w:after="0"/>
        <w:rPr>
          <w:sz w:val="22"/>
        </w:rPr>
      </w:pPr>
      <w:r w:rsidRPr="00277198">
        <w:rPr>
          <w:sz w:val="22"/>
        </w:rPr>
        <w:t>In Wales, six years before, early STTT pharmacists perceived the interface with general practices as key to implementation (Mantzourani et al., 2019), and in the London UTI study, all interviewed pharmacists were interested in a well-defined referral pathway (Peiffer-Smadja et al., 2020). Communication becomes more than a minor obstacle when it comes to convergence between various conditions, countries and designs. Timely access to the clinical history is needed by the pharmacy team, as is a pathway for transferring an evaluation of the history to the prescriber, and the prescriber must have the confidence that the history constitutes a completed, controlled evaluation. If there is no such infrastructure, then duplicate consultations and defensive antibiotic supply is, in effect, a rational reaction to uncertainty.</w:t>
      </w:r>
    </w:p>
    <w:p w14:paraId="0CFA313C" w14:textId="77777777" w:rsidR="00EA2DD2" w:rsidRPr="00277198" w:rsidRDefault="00EA2DD2" w:rsidP="00EA2DD2">
      <w:pPr>
        <w:spacing w:after="0"/>
        <w:rPr>
          <w:sz w:val="22"/>
        </w:rPr>
      </w:pPr>
      <w:r w:rsidRPr="00277198">
        <w:rPr>
          <w:sz w:val="22"/>
        </w:rPr>
        <w:t>Access was a blessing and stewardship risk. 92.7% of service users in the Welsh STTT analysis of 11,304 consultations stated that they would have sought general practice consultation if it were not for the STTT service being offered (Mantzourani et al., 2023). Almost half of service users in the Welsh STTT analysis, a total of 1,323, were referred by general-practice staff to a pharmacy (Mantzourani et al., 2023). Similarly, linked data indicated that STTT was a more effective intervention than general-practice sore-throat care for reaching people from deprived areas (Mantzourani et al., 2025). Pharmacy provision can then minimise waiting times and reallocate workload. However, if it becomes easier, then it can lead to extra consultations which may not have been necessary for professional treatment. It can also leave the expectation that the antibiotic is the final stage of getting through a clinical gateway.</w:t>
      </w:r>
    </w:p>
    <w:p w14:paraId="753F8F47" w14:textId="77777777" w:rsidR="00EA2DD2" w:rsidRPr="00277198" w:rsidRDefault="00EA2DD2" w:rsidP="00EA2DD2">
      <w:pPr>
        <w:spacing w:after="0"/>
        <w:rPr>
          <w:sz w:val="22"/>
        </w:rPr>
      </w:pPr>
      <w:r w:rsidRPr="00277198">
        <w:rPr>
          <w:sz w:val="22"/>
        </w:rPr>
        <w:t>The stark contrast between the pathways to a sore throat in English and Welsh is the biggest warning. Wales had a lower number of consultations, but a higher supply rate of 29.9% compared to England, where 317,864 eligible consultations were delivered with a supply rate of 72.7% (Matuluko et al., 2025). The data did not allow them to determine how many English supplies were not needed, as it was not possible to follow up individuals or to get individual symptoms, test results, and later outcomes. Some of them do indicate that payment rules and pathway architecture can affect the population exposed. Likewise, the national Welsh UTI pilot provided access to care and had no cases of protocol deviation, but almost half the consultations (40%) in the pilot led to the prescription of an antibiotic (Mantzourani et al., 2026). Consultations completed and general-practice appointments released should not be the only measure of expansion, and antibiotic exposure, diagnostic certainty, safety outcomes and equity should all be considered.</w:t>
      </w:r>
    </w:p>
    <w:p w14:paraId="226897BF" w14:textId="77777777" w:rsidR="00EA2DD2" w:rsidRPr="00277198" w:rsidRDefault="00EA2DD2" w:rsidP="00EA2DD2">
      <w:pPr>
        <w:spacing w:after="0"/>
        <w:rPr>
          <w:sz w:val="22"/>
        </w:rPr>
      </w:pPr>
      <w:r w:rsidRPr="00277198">
        <w:rPr>
          <w:sz w:val="22"/>
        </w:rPr>
        <w:t>All themes are related to workload and incentives. Time was identified as a barrier in a national checklist study (Hayes et al., 2023), and single-pharmacist working and insufficient staff were noted in smaller qualitative studies (Mantzourani et al., 2019; Peiffer-Smadja et al., 2020). Even a well-designed service can fail to operate as intended when time to decide becomes tight in the presence of queues, targets and limited consultation rooms. Organisational opportunity means adequate compensation for precise evaluation, rather than for volume of antibiotic use, protected consultation slots, interoperable records, easy access to tests and audit feedback. Under these circumstances, professional motivation can be used as a means of stewardship without being a means of throughput.</w:t>
      </w:r>
    </w:p>
    <w:p w14:paraId="21924518" w14:textId="77777777" w:rsidR="00EA2DD2" w:rsidRPr="00277198" w:rsidRDefault="00EA2DD2" w:rsidP="00277198">
      <w:pPr>
        <w:pStyle w:val="Heading2"/>
      </w:pPr>
      <w:bookmarkStart w:id="92" w:name="_Toc237276308"/>
      <w:bookmarkStart w:id="93" w:name="_Toc240928056"/>
      <w:r w:rsidRPr="00277198">
        <w:t>4.9 Integrated Summary of Thematic Findings</w:t>
      </w:r>
      <w:bookmarkEnd w:id="92"/>
      <w:bookmarkEnd w:id="93"/>
    </w:p>
    <w:p w14:paraId="037160DF" w14:textId="35BAB5E4" w:rsidR="00EA2DD2" w:rsidRPr="00277198" w:rsidRDefault="00EA2DD2" w:rsidP="00EA2DD2">
      <w:pPr>
        <w:spacing w:after="0"/>
        <w:rPr>
          <w:sz w:val="22"/>
        </w:rPr>
      </w:pPr>
      <w:r w:rsidRPr="00277198">
        <w:rPr>
          <w:sz w:val="22"/>
        </w:rPr>
        <w:t>The four themes make up a single explanatory chain. Using structured assessment, validated diagnostics, shared records, explicit criteria for referral, counselling and safety-netting, community pharmacies can minimise unnecessary antibiotic exposures</w:t>
      </w:r>
      <w:r w:rsidR="003A7874" w:rsidRPr="00277198">
        <w:rPr>
          <w:sz w:val="22"/>
        </w:rPr>
        <w:t xml:space="preserve"> (Stuart et al., 2020; Guthrie et al., 2022; Heward et al., 2025)</w:t>
      </w:r>
      <w:r w:rsidRPr="00277198">
        <w:rPr>
          <w:sz w:val="22"/>
        </w:rPr>
        <w:t>. In the same environment, the same setting can lead to more exposure when access grows faster than diagnostic protection, when supply is the default destination or when time and communication lag fall in favour of the fastest possible defensive move. These formulations, therefore, are not sufficiently captured as “Pharmacists reduce prescribing” or “Pharmacy First increases prescribing”. The effect depends upon capability, opportunity, motivation, and service design, which is the most important among these.</w:t>
      </w:r>
    </w:p>
    <w:p w14:paraId="2F9DF280" w14:textId="77777777" w:rsidR="00EA2DD2" w:rsidRPr="00277198" w:rsidRDefault="00EA2DD2" w:rsidP="00EA2DD2">
      <w:pPr>
        <w:spacing w:after="0"/>
        <w:rPr>
          <w:sz w:val="22"/>
        </w:rPr>
      </w:pPr>
      <w:r w:rsidRPr="00277198">
        <w:rPr>
          <w:sz w:val="22"/>
        </w:rPr>
        <w:t>Studies were homogenous in acknowledging that the pharmacy is an easily reached antimicrobial stewardship location and that training, guidance and communication are needed. They varied in terms of their infection, pathway, participant group, study design and outcome definition. The proportion of patients supplied with antibiotics ranged from less than 20% in the early Welsh sore throat pilot to nearly 79% in the Welsh UTI pilot. The above values are not comparable to the level of professional quality, as the bacterial probability and eligibility were different. They are useful to demonstrate the effect of cases selected and pathway rules on exposure created by a service.</w:t>
      </w:r>
    </w:p>
    <w:p w14:paraId="6F714E23" w14:textId="42FFF91C" w:rsidR="00846C33" w:rsidRPr="00277198" w:rsidRDefault="00846C33" w:rsidP="00277198">
      <w:pPr>
        <w:pStyle w:val="Heading2"/>
      </w:pPr>
      <w:bookmarkStart w:id="94" w:name="_Toc237276314"/>
      <w:bookmarkStart w:id="95" w:name="_Toc240928057"/>
      <w:r w:rsidRPr="00277198">
        <w:t>4.1</w:t>
      </w:r>
      <w:r w:rsidR="00856AD7" w:rsidRPr="00277198">
        <w:t>0</w:t>
      </w:r>
      <w:r w:rsidRPr="00277198">
        <w:t xml:space="preserve"> Chapter Summary</w:t>
      </w:r>
      <w:bookmarkEnd w:id="94"/>
      <w:bookmarkEnd w:id="95"/>
    </w:p>
    <w:p w14:paraId="68CF7CDD" w14:textId="77777777" w:rsidR="00846C33" w:rsidRPr="00277198" w:rsidRDefault="00846C33" w:rsidP="00846C33">
      <w:pPr>
        <w:spacing w:after="0"/>
        <w:rPr>
          <w:sz w:val="22"/>
        </w:rPr>
      </w:pPr>
      <w:r w:rsidRPr="00277198">
        <w:rPr>
          <w:sz w:val="22"/>
        </w:rPr>
        <w:t>A systematic search reduced the 411 records to 15, which included UK studies. Ten were rated high and five moderate quality. The evidence demonstrated that community pharmacies have the potential to prevent unnecessary antibiotic use, using structured pathways, point of care diagnostics, prescription checks, counselling, self-help support and safety netting. Additionally, it found threats to scores-only supply routes, expansion of services subject to high access, limited record and referral systems, inconsistent whole team capabilities, workload and activity incentives. Comparative evidence from Wales' sore-throat services was most convincing, with pathways successfully tested and confirming reduced exposure to antibiotics compared to GP or England's score-only Pharmacy First pathway, while not showing any increase in serious complications.</w:t>
      </w:r>
    </w:p>
    <w:p w14:paraId="7AF616B4" w14:textId="77777777" w:rsidR="00846C33" w:rsidRPr="00277198" w:rsidRDefault="00846C33" w:rsidP="00846C33">
      <w:pPr>
        <w:spacing w:after="0"/>
        <w:rPr>
          <w:sz w:val="22"/>
        </w:rPr>
      </w:pPr>
      <w:r w:rsidRPr="00277198">
        <w:rPr>
          <w:sz w:val="22"/>
        </w:rPr>
        <w:t>There was no direct evidence to suggest that these practices affected on-going changes in microbiological resistance in the review. Instead, it built a well-defined connection between the community-pharmacy space and AMR, which was based on antibiotic exposure and stewardship quality. The answer is not to limit the scope of the pharmacy role but to redefine it from the perspective of diagnostic certainty, shared information, competent teams, closed-loop communication, dedicated time and outcome-based payment and follow-up (OAFS).</w:t>
      </w:r>
    </w:p>
    <w:p w14:paraId="0C7B40CA" w14:textId="77777777" w:rsidR="00846C33" w:rsidRPr="00277198" w:rsidRDefault="00846C33" w:rsidP="00EA2DD2">
      <w:pPr>
        <w:spacing w:after="0"/>
        <w:rPr>
          <w:sz w:val="22"/>
        </w:rPr>
      </w:pPr>
    </w:p>
    <w:p w14:paraId="76071EF6" w14:textId="77777777" w:rsidR="00846C33" w:rsidRPr="00277198" w:rsidRDefault="00846C33">
      <w:pPr>
        <w:spacing w:line="259" w:lineRule="auto"/>
        <w:jc w:val="left"/>
        <w:rPr>
          <w:rFonts w:eastAsiaTheme="majorEastAsia" w:cstheme="majorBidi"/>
          <w:b/>
          <w:sz w:val="22"/>
          <w:szCs w:val="26"/>
        </w:rPr>
      </w:pPr>
      <w:bookmarkStart w:id="96" w:name="_Toc237276309"/>
      <w:r w:rsidRPr="00277198">
        <w:rPr>
          <w:sz w:val="22"/>
        </w:rPr>
        <w:br w:type="page"/>
      </w:r>
    </w:p>
    <w:p w14:paraId="3F6F0AE2" w14:textId="77777777" w:rsidR="00544782" w:rsidRPr="00277198" w:rsidRDefault="00544782" w:rsidP="00277198">
      <w:pPr>
        <w:pStyle w:val="Heading1"/>
      </w:pPr>
      <w:bookmarkStart w:id="97" w:name="_Toc240928058"/>
      <w:bookmarkEnd w:id="96"/>
      <w:r w:rsidRPr="00277198">
        <w:t>CHAPTER 5: DISCUSSION</w:t>
      </w:r>
      <w:bookmarkEnd w:id="97"/>
    </w:p>
    <w:p w14:paraId="220148B6" w14:textId="77777777" w:rsidR="00544782" w:rsidRPr="00277198" w:rsidRDefault="00544782" w:rsidP="00277198">
      <w:pPr>
        <w:pStyle w:val="Heading2"/>
        <w:rPr>
          <w:lang w:val="en-US"/>
        </w:rPr>
      </w:pPr>
      <w:bookmarkStart w:id="98" w:name="_Toc240928059"/>
      <w:r w:rsidRPr="00277198">
        <w:rPr>
          <w:lang w:val="en-US"/>
        </w:rPr>
        <w:t>5.1 Introduction</w:t>
      </w:r>
      <w:bookmarkEnd w:id="98"/>
    </w:p>
    <w:p w14:paraId="264F21F8" w14:textId="4E9A7056" w:rsidR="00544782" w:rsidRPr="00277198" w:rsidRDefault="00CF16F5" w:rsidP="00544782">
      <w:pPr>
        <w:rPr>
          <w:sz w:val="22"/>
          <w:lang w:val="en-US"/>
        </w:rPr>
      </w:pPr>
      <w:r w:rsidRPr="00277198">
        <w:rPr>
          <w:sz w:val="22"/>
          <w:lang w:val="en-US"/>
        </w:rPr>
        <w:t>This chapter will critically interpret the findings of the systematic review and draw conclusions with respect to the research question, aim and objectives. The 15 studies in the UK analysed were about antibiotic prescribing, dispensing, stewardship, the capability of the workforce and service delivery in community pharmacies. Overall, an effective community pharmacy can contribute to the strengthening or weakening of antimicrobial stewardship, depending on the diagnostic protections, information sharing, skills and conditions of the workforce, and organisational conditions. None of the studies included in this review directly showed that a change in microbiological resistance was due to community pharmacy practice. For this reason, antibiotic exposure is viewed as an antibiotic stewardship surrogate, as are guideline adherence and the avoidance of unnecessary supply, which are not a direct measure of AMR.</w:t>
      </w:r>
    </w:p>
    <w:p w14:paraId="44D6F53E" w14:textId="77777777" w:rsidR="00544782" w:rsidRPr="00277198" w:rsidRDefault="00544782" w:rsidP="00277198">
      <w:pPr>
        <w:pStyle w:val="Heading2"/>
        <w:rPr>
          <w:lang w:val="en-US"/>
        </w:rPr>
      </w:pPr>
      <w:bookmarkStart w:id="99" w:name="_Toc240928060"/>
      <w:r w:rsidRPr="00277198">
        <w:rPr>
          <w:lang w:val="en-US"/>
        </w:rPr>
        <w:t>5.2 Answer to the Research Question</w:t>
      </w:r>
      <w:bookmarkEnd w:id="99"/>
    </w:p>
    <w:p w14:paraId="59014F37" w14:textId="77777777" w:rsidR="00CF16F5" w:rsidRPr="00277198" w:rsidRDefault="00CF16F5" w:rsidP="00CF16F5">
      <w:pPr>
        <w:rPr>
          <w:sz w:val="22"/>
          <w:lang w:val="en-US"/>
        </w:rPr>
      </w:pPr>
      <w:r w:rsidRPr="00277198">
        <w:rPr>
          <w:sz w:val="22"/>
          <w:lang w:val="en-US"/>
        </w:rPr>
        <w:t xml:space="preserve">The research question was about how antibiotic use and availability in UK community pharmacies might play a role in antibiotic resistance, what measures had been put in place and what would need to be done. There is evidence that the relationship is contingent, not necessarily harmful or beneficial. Greater access to the pharmacy may also help to make antibiotic treatment more rapid and convenient, but may also present stewardship risk if access is achieved largely on the basis of symptoms alone, if there is continuing diagnostic uncertainty or if consultation time is limited. Structured pathways and testing and prescription checks can help minimise unnecessary exposure, on the other hand. </w:t>
      </w:r>
    </w:p>
    <w:p w14:paraId="2248D829" w14:textId="77777777" w:rsidR="00CF16F5" w:rsidRPr="00277198" w:rsidRDefault="00CF16F5" w:rsidP="00CF16F5">
      <w:pPr>
        <w:rPr>
          <w:sz w:val="22"/>
          <w:lang w:val="en-US"/>
        </w:rPr>
      </w:pPr>
      <w:r w:rsidRPr="00277198">
        <w:rPr>
          <w:sz w:val="22"/>
          <w:lang w:val="en-US"/>
        </w:rPr>
        <w:t xml:space="preserve">The most obvious is with regard to sore throat pathways. Overall, Welsh test-and-treat services reported lower levels of antibiotic provision than score-only or less diagnostically supported models, while linked evidence reported lower numbers of antibiotic exposures and no increase in serious complications (Mantzourani et al., 2022; Mantzourani et al., 2025; Matuluko et al., 2025). Results of this study suggest that access to a clinical gateway does not automatically lead to inappropriate use of antibiotics when backed by diagnostic testing and eligibility criteria. Structured review was also found to be a way to operationalise antimicrobial stewardship at scale in National pharmacy checks (Hayes et al., 2023; Parekh et al., 2023b). </w:t>
      </w:r>
    </w:p>
    <w:p w14:paraId="1D9718A4" w14:textId="47163E2D" w:rsidR="00544782" w:rsidRPr="00277198" w:rsidRDefault="00CF16F5" w:rsidP="00CF16F5">
      <w:pPr>
        <w:rPr>
          <w:sz w:val="22"/>
          <w:lang w:val="en-US"/>
        </w:rPr>
      </w:pPr>
      <w:r w:rsidRPr="00277198">
        <w:rPr>
          <w:sz w:val="22"/>
          <w:lang w:val="en-US"/>
        </w:rPr>
        <w:t>But the problems can come from lack of information, lack of communication, workload and patients' expectations. Pharmacy staff could be making decisions without the most up-to-date antibiotic history, allergies, clinical history and prescribers' feedback. Alongside this, Lee et al. (2025) identified deficiencies in communication, information about stock and contact between the pharmacy and general practice, while Seaton et al. (2022) reported generally positive knowledge of the workforce, but less coherence about access to local guidance and workplace AMS planning. Increased access to antibiotics in community pharmacy therefore poses a potential risk for AMR if there are no diagnostic, informational and organisational measures in place to protect against AMR.</w:t>
      </w:r>
    </w:p>
    <w:p w14:paraId="4898FD41" w14:textId="77777777" w:rsidR="00544782" w:rsidRPr="00277198" w:rsidRDefault="00544782" w:rsidP="00277198">
      <w:pPr>
        <w:pStyle w:val="Heading2"/>
        <w:rPr>
          <w:lang w:val="en-US"/>
        </w:rPr>
      </w:pPr>
      <w:bookmarkStart w:id="100" w:name="_Toc240928061"/>
      <w:r w:rsidRPr="00277198">
        <w:rPr>
          <w:lang w:val="en-US"/>
        </w:rPr>
        <w:t>5.3 Discussion of Key Findings Against the Aim and Objectives</w:t>
      </w:r>
      <w:bookmarkEnd w:id="100"/>
    </w:p>
    <w:p w14:paraId="3684DEAC" w14:textId="77777777" w:rsidR="003B5868" w:rsidRPr="00277198" w:rsidRDefault="003B5868" w:rsidP="003B5868">
      <w:pPr>
        <w:rPr>
          <w:sz w:val="22"/>
          <w:lang w:val="en-US"/>
        </w:rPr>
      </w:pPr>
      <w:r w:rsidRPr="00277198">
        <w:rPr>
          <w:sz w:val="22"/>
          <w:lang w:val="en-US"/>
        </w:rPr>
        <w:t xml:space="preserve">The objectives were to determine the extent of antibiotic prescribing and dispensing in UK community pharmacies and to assess their potential role in the emergence of AMR. The first aim was to analyse the existing prescribing and dispensing scenario. The results reveal a shift from supply of medicines to a protocolised clinical management. Strategies for prescribing antibiotics included integrated assessment and testing processes, self-care advice and referral systems, and prescription of antibiotics within defined pathways of infection with structured assessment. Antibiotic provision, however, was highly variable for different infections, depending on country and pathway design. The provision of diagnostic testing in Welsh sore throat services was significantly lower than in similar score-only services or English sore throat pathways, while it was significantly higher in the Welsh UTI pathway services. These differences should not be considered as differences in professional quality due to the different populations, eligibility criteria and diagnostic gateways. They illustrate a link between pathway design and antibiotic exposure (Mantzourani et al., 2022; Mantzourani et al., 2023; Matuluko et al., 2025; Mantzourani et al., 2026). </w:t>
      </w:r>
    </w:p>
    <w:p w14:paraId="225F4F9E" w14:textId="77777777" w:rsidR="003B5868" w:rsidRPr="00277198" w:rsidRDefault="003B5868" w:rsidP="003B5868">
      <w:pPr>
        <w:rPr>
          <w:sz w:val="22"/>
          <w:lang w:val="en-US"/>
        </w:rPr>
      </w:pPr>
      <w:r w:rsidRPr="00277198">
        <w:rPr>
          <w:sz w:val="22"/>
          <w:lang w:val="en-US"/>
        </w:rPr>
        <w:t xml:space="preserve">The second goal was to gauge pharmacists' knowledge and awareness of AMR. Attitudes and knowledge were mostly positive, and capability proved to be more mixed and was not well supported in the workplace. Seaton et al. (2022) found that the self-reported knowledge was high among pharmacy staff, but fewer reported having regular access to local guidance and to having antimicrobial stewardship plans at work. Qualitative evidence also found that training can enhance confidence in assessment and pathway delivery (Mantzourani et al., 2019). It should also involve the process of history taking, test interpretation, setting patient expectations, safety netting and knowing when to refer. This does not promote AMR education as a component of one-off education but enhances competency-based and whole team learning. </w:t>
      </w:r>
    </w:p>
    <w:p w14:paraId="3D7E1FCA" w14:textId="2D406E0E" w:rsidR="003B5868" w:rsidRPr="00277198" w:rsidRDefault="003B5868" w:rsidP="003B5868">
      <w:pPr>
        <w:rPr>
          <w:sz w:val="22"/>
          <w:lang w:val="en-US"/>
        </w:rPr>
      </w:pPr>
      <w:r w:rsidRPr="00277198">
        <w:rPr>
          <w:sz w:val="22"/>
          <w:lang w:val="en-US"/>
        </w:rPr>
        <w:t xml:space="preserve">The third goal was to determine factors associated with inappropriate antibiotic supply. The review highlighted patient and professional and organisational factors that interact with the patient, such as diagnostic uncertainty, expectations of patients or referrers, time constraints for consultations, pressure on staff, lack of </w:t>
      </w:r>
      <w:r w:rsidR="00171C77" w:rsidRPr="00277198">
        <w:rPr>
          <w:sz w:val="22"/>
          <w:lang w:val="en-US"/>
        </w:rPr>
        <w:t>up-to-date</w:t>
      </w:r>
      <w:r w:rsidRPr="00277198">
        <w:rPr>
          <w:sz w:val="22"/>
          <w:lang w:val="en-US"/>
        </w:rPr>
        <w:t xml:space="preserve"> clinical records, poor communication between prescribers and patients, and service arrangements focused on activity rather than on patient. Individual pharmacist behaviours are not enough to account for inappropriate supply. Hayes et al. (2023) and Parekh et al. (2023b) show how national checklists can incorporate safety and guideline checks but can become an administrative tick-box task due to workload. Other studies have found communication and information barriers, even with the best intentions of practitioners to deliver safe care (Lee et al., 2025). </w:t>
      </w:r>
    </w:p>
    <w:p w14:paraId="0D86FA46" w14:textId="61629400" w:rsidR="00544782" w:rsidRPr="00277198" w:rsidRDefault="003B5868" w:rsidP="003B5868">
      <w:pPr>
        <w:rPr>
          <w:sz w:val="22"/>
          <w:lang w:val="en-US"/>
        </w:rPr>
      </w:pPr>
      <w:r w:rsidRPr="00277198">
        <w:rPr>
          <w:sz w:val="22"/>
          <w:lang w:val="en-US"/>
        </w:rPr>
        <w:t>The results are congruent with a systems-based interpretation. Current and future trends in the role of community pharmacists within the health system have made it more important than ever that stewardship is embedded in services, not just individual workers' actions. The evidence includes support for assessment thresholds, diagnostic support, shared records, referral pathways, protected consultation time and outcome monitoring. However, there should be some caution when making conclusions about AMR itself, as no included study measured microbiological resistance as an attributable outcome.</w:t>
      </w:r>
    </w:p>
    <w:p w14:paraId="0E3C1737" w14:textId="77777777" w:rsidR="00544782" w:rsidRPr="00277198" w:rsidRDefault="00544782" w:rsidP="00277198">
      <w:pPr>
        <w:pStyle w:val="Heading2"/>
        <w:rPr>
          <w:lang w:val="en-US"/>
        </w:rPr>
      </w:pPr>
      <w:bookmarkStart w:id="101" w:name="_Toc240928062"/>
      <w:r w:rsidRPr="00277198">
        <w:rPr>
          <w:lang w:val="en-US"/>
        </w:rPr>
        <w:t>5.4 Interpretation Through the COM-B Framework</w:t>
      </w:r>
      <w:bookmarkEnd w:id="101"/>
    </w:p>
    <w:p w14:paraId="72B611AF" w14:textId="77777777" w:rsidR="003B5868" w:rsidRPr="00277198" w:rsidRDefault="003B5868" w:rsidP="003B5868">
      <w:pPr>
        <w:rPr>
          <w:sz w:val="22"/>
          <w:lang w:val="en-US"/>
        </w:rPr>
      </w:pPr>
      <w:r w:rsidRPr="00277198">
        <w:rPr>
          <w:sz w:val="22"/>
          <w:lang w:val="en-US"/>
        </w:rPr>
        <w:t xml:space="preserve">The COM-B framework can be used to understand the reasons for variation in stewardship performance. Capability is the knowledge and skills required to evaluate an infection, to interpret diagnostic data and inform safe prescribing or dispensing decisions. There is a general lack of reinforcement of capability through local guidance and refresher training (Seaton et al., 2022; Mantzourani et al., 2019). </w:t>
      </w:r>
    </w:p>
    <w:p w14:paraId="4DD15E02" w14:textId="77777777" w:rsidR="003B5868" w:rsidRPr="00277198" w:rsidRDefault="003B5868" w:rsidP="003B5868">
      <w:pPr>
        <w:rPr>
          <w:sz w:val="22"/>
          <w:lang w:val="en-US"/>
        </w:rPr>
      </w:pPr>
      <w:r w:rsidRPr="00277198">
        <w:rPr>
          <w:sz w:val="22"/>
          <w:lang w:val="en-US"/>
        </w:rPr>
        <w:t xml:space="preserve">Opportunity is about the context in which decisions are made, including the organisational and social setting. The practical application of stewardship principles can be influenced by consultation rooms, time, staffing, diagnostic tests, and information and communication with general practices (O'Neill et al., 2022; Lee et al., 2025). Opportunity can, therefore, facilitate or hinder professional capacity. </w:t>
      </w:r>
    </w:p>
    <w:p w14:paraId="429F7115" w14:textId="6025DBD3" w:rsidR="00544782" w:rsidRPr="00277198" w:rsidRDefault="003B5868" w:rsidP="003B5868">
      <w:pPr>
        <w:rPr>
          <w:sz w:val="22"/>
          <w:lang w:val="en-US"/>
        </w:rPr>
      </w:pPr>
      <w:r w:rsidRPr="00277198">
        <w:rPr>
          <w:sz w:val="22"/>
          <w:lang w:val="en-US"/>
        </w:rPr>
        <w:t>Professional commitment, confidence, patient expectations and the need to resolve consultations promptly are some of the factors that contribute to motivation. A pharmacist may realise that an antibiotic is not needed but feel pressured when a patient expects to be given an antibiotic, when information is missing, or when there is an emphasis on service targets with regard to the need for throughput. Capability, opportunity and motivation are the reasons that education is not enough. Competent staff, having time and information available, using diagnostic tools and having organisational incentives to consistently apply their knowledge, are more likely to engage in stewardship (Borek et al., 2022; Martin et al., 2024).</w:t>
      </w:r>
    </w:p>
    <w:p w14:paraId="79C20319" w14:textId="77777777" w:rsidR="00544782" w:rsidRPr="00277198" w:rsidRDefault="00544782" w:rsidP="00277198">
      <w:pPr>
        <w:pStyle w:val="Heading2"/>
        <w:rPr>
          <w:lang w:val="en-US"/>
        </w:rPr>
      </w:pPr>
      <w:bookmarkStart w:id="102" w:name="_Toc240928063"/>
      <w:r w:rsidRPr="00277198">
        <w:rPr>
          <w:lang w:val="en-US"/>
        </w:rPr>
        <w:t>5.5 Strengths and Limitations</w:t>
      </w:r>
      <w:bookmarkEnd w:id="102"/>
    </w:p>
    <w:p w14:paraId="22FDD96F" w14:textId="6C32FD8F" w:rsidR="00544782" w:rsidRPr="00277198" w:rsidRDefault="00E30E77" w:rsidP="00544782">
      <w:pPr>
        <w:rPr>
          <w:sz w:val="22"/>
          <w:lang w:val="en-US"/>
        </w:rPr>
      </w:pPr>
      <w:r w:rsidRPr="00277198">
        <w:rPr>
          <w:sz w:val="22"/>
          <w:lang w:val="en-US"/>
        </w:rPr>
        <w:t xml:space="preserve">One key strength of this review is the use of large routine datasets which are complemented by qualitative evidence from England, Wales and Northern Ireland, and a UK-wide workforce study. It also reflects the shift from early service pilots to a broader Pharmacy First era. Overall, however, the evidence is largely observational, but there is some overlap between some national datasets, and there may be some effects of self-report and incentivised reporting. The evidence was focused in Wales, with no study identified that was specific to Scotland. Most importantly, antibiotic exposure, safety, guideline compliance and/or service activity was measured rather than microbiological resistance. The review is therefore able to evaluate possibilities for stewardship pathways towards AMR, but not conclude a causal effect of community pharmacists on resistance. </w:t>
      </w:r>
      <w:r w:rsidR="00544782" w:rsidRPr="00277198">
        <w:rPr>
          <w:sz w:val="22"/>
          <w:lang w:val="en-US"/>
        </w:rPr>
        <w:t xml:space="preserve"> </w:t>
      </w:r>
    </w:p>
    <w:p w14:paraId="7F8B3AD5" w14:textId="77777777" w:rsidR="00544782" w:rsidRPr="00277198" w:rsidRDefault="00544782" w:rsidP="00277198">
      <w:pPr>
        <w:pStyle w:val="Heading2"/>
        <w:rPr>
          <w:lang w:val="en-US"/>
        </w:rPr>
      </w:pPr>
      <w:bookmarkStart w:id="103" w:name="_Toc240928064"/>
      <w:r w:rsidRPr="00277198">
        <w:rPr>
          <w:lang w:val="en-US"/>
        </w:rPr>
        <w:t>5.6 Chapter Summary</w:t>
      </w:r>
      <w:bookmarkEnd w:id="103"/>
    </w:p>
    <w:p w14:paraId="1B5CF079" w14:textId="5ACDEA3B" w:rsidR="002B449F" w:rsidRPr="00277198" w:rsidRDefault="00E30E77" w:rsidP="00544782">
      <w:pPr>
        <w:rPr>
          <w:sz w:val="22"/>
          <w:lang w:val="en-US"/>
        </w:rPr>
      </w:pPr>
      <w:r w:rsidRPr="00277198">
        <w:rPr>
          <w:sz w:val="22"/>
          <w:lang w:val="en-US"/>
        </w:rPr>
        <w:t>If antibiotic access is part of a structured clinical pathway with antibiotic safety nets, and with well-trained staff and good communication, and adequate organisational capacity, community pharmacy can play a role in the fight against antimicrobial resistance. The primary threats are when accessibility is increasing more rapidly than diagnostic protection, information sharing and consultation capability. The results therefore back the manner in which the pharmacy-led infection services can be scaled up in a controlled way, with evidence instead of either scaling up or scaling down the model. Chapter 6 presents the results of these investigations in terms of recommendations for future research and for practice and policy.</w:t>
      </w:r>
    </w:p>
    <w:p w14:paraId="64D759B2" w14:textId="77777777" w:rsidR="002B449F" w:rsidRPr="00277198" w:rsidRDefault="002B449F">
      <w:pPr>
        <w:spacing w:line="259" w:lineRule="auto"/>
        <w:jc w:val="left"/>
        <w:rPr>
          <w:sz w:val="22"/>
          <w:lang w:val="en-US"/>
        </w:rPr>
      </w:pPr>
      <w:r w:rsidRPr="00277198">
        <w:rPr>
          <w:sz w:val="22"/>
          <w:lang w:val="en-US"/>
        </w:rPr>
        <w:br w:type="page"/>
      </w:r>
    </w:p>
    <w:p w14:paraId="2B00C1A5" w14:textId="77777777" w:rsidR="00B51D86" w:rsidRPr="00277198" w:rsidRDefault="00B51D86" w:rsidP="00277198">
      <w:pPr>
        <w:pStyle w:val="Heading1"/>
      </w:pPr>
      <w:bookmarkStart w:id="104" w:name="_Toc240928065"/>
      <w:r w:rsidRPr="00277198">
        <w:t>CHAPTER 6: RECOMMENDATIONS AND CONCLUSION</w:t>
      </w:r>
      <w:bookmarkEnd w:id="104"/>
    </w:p>
    <w:p w14:paraId="57119C53" w14:textId="77777777" w:rsidR="00B51D86" w:rsidRPr="00277198" w:rsidRDefault="00B51D86" w:rsidP="00277198">
      <w:pPr>
        <w:pStyle w:val="Heading2"/>
        <w:rPr>
          <w:lang w:val="en-US"/>
        </w:rPr>
      </w:pPr>
      <w:bookmarkStart w:id="105" w:name="_Toc240928066"/>
      <w:r w:rsidRPr="00277198">
        <w:rPr>
          <w:lang w:val="en-US"/>
        </w:rPr>
        <w:t>6.1 Introduction</w:t>
      </w:r>
      <w:bookmarkEnd w:id="105"/>
    </w:p>
    <w:p w14:paraId="59A6FDA2" w14:textId="632C16E0" w:rsidR="00B51D86" w:rsidRPr="00277198" w:rsidRDefault="00E30E77" w:rsidP="00B51D86">
      <w:pPr>
        <w:rPr>
          <w:sz w:val="22"/>
          <w:lang w:val="en-US"/>
        </w:rPr>
      </w:pPr>
      <w:r w:rsidRPr="00277198">
        <w:rPr>
          <w:sz w:val="22"/>
          <w:lang w:val="en-US"/>
        </w:rPr>
        <w:t xml:space="preserve">This chapter summarises the recommendations based on the findings from the systematic review and a summary of the conclusions of the study. The suggestions aim to improve antimicrobial stewardship in the community pharmacy setting in the UK, whilst retaining the conveniences of the provision of access to infection services. The evidence suggests that the best antibiotic practice is led by the pharmacy, with clinical pathways, diagnostic measures, capability of staff and communication and organisational capacity working together. </w:t>
      </w:r>
      <w:r w:rsidR="00B51D86" w:rsidRPr="00277198">
        <w:rPr>
          <w:sz w:val="22"/>
          <w:lang w:val="en-US"/>
        </w:rPr>
        <w:t xml:space="preserve"> </w:t>
      </w:r>
    </w:p>
    <w:p w14:paraId="765D15C0" w14:textId="77777777" w:rsidR="00B51D86" w:rsidRPr="00277198" w:rsidRDefault="00B51D86" w:rsidP="00277198">
      <w:pPr>
        <w:pStyle w:val="Heading2"/>
        <w:rPr>
          <w:lang w:val="en-US"/>
        </w:rPr>
      </w:pPr>
      <w:bookmarkStart w:id="106" w:name="_Toc240928067"/>
      <w:r w:rsidRPr="00277198">
        <w:rPr>
          <w:lang w:val="en-US"/>
        </w:rPr>
        <w:t>6.2 Recommendations for Community Pharmacy Practice and Policy</w:t>
      </w:r>
      <w:bookmarkEnd w:id="106"/>
    </w:p>
    <w:p w14:paraId="4A94F81A" w14:textId="77777777" w:rsidR="000A7EFF" w:rsidRPr="00277198" w:rsidRDefault="000A7EFF" w:rsidP="000A7EFF">
      <w:pPr>
        <w:rPr>
          <w:sz w:val="22"/>
          <w:lang w:val="en-US"/>
        </w:rPr>
      </w:pPr>
      <w:r w:rsidRPr="00277198">
        <w:rPr>
          <w:sz w:val="22"/>
          <w:lang w:val="en-US"/>
        </w:rPr>
        <w:t xml:space="preserve">First, there should be a clear clinical protocol and eligibility criteria for antibiotic supply that must continue to be followed. Point-of-care testing should be integrated into the process, not solely based on symptom scores, where it has shown additional benefit in terms of diagnosis. The importance of diagnostic confirmation for the ability to limit antibiotic usage is supported by evidence from Wales on sore throat (Mantzourani et al., 2022; Mantzourani et al., 2025). </w:t>
      </w:r>
    </w:p>
    <w:p w14:paraId="4FFECC0B" w14:textId="77777777" w:rsidR="000A7EFF" w:rsidRPr="00277198" w:rsidRDefault="000A7EFF" w:rsidP="000A7EFF">
      <w:pPr>
        <w:rPr>
          <w:sz w:val="22"/>
          <w:lang w:val="en-US"/>
        </w:rPr>
      </w:pPr>
      <w:r w:rsidRPr="00277198">
        <w:rPr>
          <w:sz w:val="22"/>
          <w:lang w:val="en-US"/>
        </w:rPr>
        <w:t xml:space="preserve">Secondly, shared clinical information, such as allergies, current medication, previous antibiotic use and relevant consultation history, should be available at community pharmacies. Two-way communication with general practice should also be set up, with defined referral and feedback processes in place. Lee et al. (2025) found weak communication and incomplete information as factors important to the barriers faced in safe stewardship. </w:t>
      </w:r>
    </w:p>
    <w:p w14:paraId="7CE6B096" w14:textId="77777777" w:rsidR="000A7EFF" w:rsidRPr="00277198" w:rsidRDefault="000A7EFF" w:rsidP="000A7EFF">
      <w:pPr>
        <w:rPr>
          <w:sz w:val="22"/>
          <w:lang w:val="en-US"/>
        </w:rPr>
      </w:pPr>
      <w:r w:rsidRPr="00277198">
        <w:rPr>
          <w:sz w:val="22"/>
          <w:lang w:val="en-US"/>
        </w:rPr>
        <w:t xml:space="preserve">Third, training in antimicrobial stewardship needs to be competency-based and include the entire pharmacy team. It should include clinical assessment, interpretation of the diagnosis, antibiotic selection and duration, safety netting, referral and communication with patients. This is because having knowledge does not necessarily equate to appropriate practice, when local guidance, staffing and workplace support are limited (Seaton et al., 2022; Mantzourani et al., 2019). </w:t>
      </w:r>
    </w:p>
    <w:p w14:paraId="39116E97" w14:textId="77777777" w:rsidR="000A7EFF" w:rsidRPr="00277198" w:rsidRDefault="000A7EFF" w:rsidP="000A7EFF">
      <w:pPr>
        <w:rPr>
          <w:sz w:val="22"/>
          <w:lang w:val="en-US"/>
        </w:rPr>
      </w:pPr>
      <w:r w:rsidRPr="00277198">
        <w:rPr>
          <w:sz w:val="22"/>
          <w:lang w:val="en-US"/>
        </w:rPr>
        <w:t xml:space="preserve">Fourth, adequate staffing, private consultation areas and protected consultation time should be available for service design. Remuneration should focus on appropriate clinical evaluation, and not the volume of antibiotics used, to minimise the risk of throughput pressures having a negative impact on stewardship. There is evidence of the potential of structured dispensing checks from the national checklist (Hayes et al., 2023; Parekh et al., 2023b), but workload can render these controls a simple 'tick box' exercise. </w:t>
      </w:r>
    </w:p>
    <w:p w14:paraId="6CCC79AF" w14:textId="77777777" w:rsidR="000A7EFF" w:rsidRPr="00277198" w:rsidRDefault="000A7EFF" w:rsidP="000A7EFF">
      <w:pPr>
        <w:rPr>
          <w:sz w:val="22"/>
          <w:lang w:val="en-US"/>
        </w:rPr>
      </w:pPr>
      <w:r w:rsidRPr="00277198">
        <w:rPr>
          <w:sz w:val="22"/>
          <w:lang w:val="en-US"/>
        </w:rPr>
        <w:t xml:space="preserve">Last but not least, monitoring systems should measure more than consultations. Indications, clinical assessment, test results, antibiotics supplied or not supplied, referrals, reconsultations, and adverse outcomes should be recorded in the minimum datasets. These data should be combined with microbiological surveillance where possible to assess if stewardship efforts lead to improved outcomes in AMR if compared to future monitoring. </w:t>
      </w:r>
    </w:p>
    <w:p w14:paraId="47FE3503" w14:textId="77777777" w:rsidR="00B51D86" w:rsidRPr="00277198" w:rsidRDefault="00B51D86" w:rsidP="00277198">
      <w:pPr>
        <w:pStyle w:val="Heading2"/>
        <w:rPr>
          <w:lang w:val="en-US"/>
        </w:rPr>
      </w:pPr>
      <w:bookmarkStart w:id="107" w:name="_Toc240928068"/>
      <w:r w:rsidRPr="00277198">
        <w:rPr>
          <w:lang w:val="en-US"/>
        </w:rPr>
        <w:t>6.3 Recommendations for Future Research</w:t>
      </w:r>
      <w:bookmarkEnd w:id="107"/>
    </w:p>
    <w:p w14:paraId="7E4482C3" w14:textId="2BA471FD" w:rsidR="00B51D86" w:rsidRPr="00277198" w:rsidRDefault="000A7EFF" w:rsidP="00B51D86">
      <w:pPr>
        <w:rPr>
          <w:sz w:val="22"/>
          <w:lang w:val="en-US"/>
        </w:rPr>
      </w:pPr>
      <w:r w:rsidRPr="00277198">
        <w:rPr>
          <w:sz w:val="22"/>
          <w:lang w:val="en-US"/>
        </w:rPr>
        <w:t>Further research in the UK needs to focus on longitudinal and comparative research to link antibiotic prescribing in the pharmacy with subsequent clinical outcomes and microbiological surveillance. Research should consider under-represented UK settings, such as Scotland, and test the impact of various service models on antibiotic exposure, recovery, re-consultation and resistance. This would help to meet the key evidence gaps highlighted in the review where none of the included studies showed a direct microbiological change of resistance associated with community pharmacy practice.</w:t>
      </w:r>
      <w:r w:rsidR="00B51D86" w:rsidRPr="00277198">
        <w:rPr>
          <w:sz w:val="22"/>
          <w:lang w:val="en-US"/>
        </w:rPr>
        <w:t xml:space="preserve"> </w:t>
      </w:r>
    </w:p>
    <w:p w14:paraId="25596867" w14:textId="77777777" w:rsidR="00B51D86" w:rsidRPr="00277198" w:rsidRDefault="00B51D86" w:rsidP="00277198">
      <w:pPr>
        <w:pStyle w:val="Heading2"/>
        <w:rPr>
          <w:lang w:val="en-US"/>
        </w:rPr>
      </w:pPr>
      <w:bookmarkStart w:id="108" w:name="_Toc240928069"/>
      <w:r w:rsidRPr="00277198">
        <w:rPr>
          <w:lang w:val="en-US"/>
        </w:rPr>
        <w:t>6.4 Overall Conclusion</w:t>
      </w:r>
      <w:bookmarkEnd w:id="108"/>
    </w:p>
    <w:p w14:paraId="0BBBDBFF" w14:textId="3C2F9A8E" w:rsidR="00A8513F" w:rsidRPr="00277198" w:rsidRDefault="00A8513F" w:rsidP="00A8513F">
      <w:pPr>
        <w:rPr>
          <w:sz w:val="22"/>
          <w:lang w:val="en-US"/>
        </w:rPr>
      </w:pPr>
      <w:r w:rsidRPr="00277198">
        <w:rPr>
          <w:sz w:val="22"/>
          <w:lang w:val="en-US"/>
        </w:rPr>
        <w:t xml:space="preserve">Conclusions of this systematic review suggest that </w:t>
      </w:r>
      <w:r w:rsidR="00821079" w:rsidRPr="00277198">
        <w:rPr>
          <w:sz w:val="22"/>
        </w:rPr>
        <w:t>Community pharmacy is neither inherently a risk nor inherently a solution in relation to AMR</w:t>
      </w:r>
      <w:r w:rsidRPr="00277198">
        <w:rPr>
          <w:sz w:val="22"/>
          <w:lang w:val="en-US"/>
        </w:rPr>
        <w:t xml:space="preserve">. How the system of obtaining antibiotics is structured and facilitated will determine its effect. Avoiding unnecessary antibiotic usage can be achieved by structured pathways, diagnostic testing, prescription checks, competent staff, and effective communication and appropriate organisational capacity. Alternatively, diagnostic uncertainty, limited information, pressure on the patient, workload, and poorly designed incentives can raise stewardship risk. </w:t>
      </w:r>
    </w:p>
    <w:p w14:paraId="142822E9" w14:textId="35F7D134" w:rsidR="00B51D86" w:rsidRPr="00277198" w:rsidRDefault="00A8513F" w:rsidP="00A8513F">
      <w:pPr>
        <w:rPr>
          <w:sz w:val="22"/>
          <w:lang w:val="en-US"/>
        </w:rPr>
      </w:pPr>
      <w:r w:rsidRPr="00277198">
        <w:rPr>
          <w:sz w:val="22"/>
          <w:lang w:val="en-US"/>
        </w:rPr>
        <w:t>The evidence thus underlines the need for ongoing development of service provision in community pharmacy; however, with precautions and monitoring built into such provision. It is important to note that the review highlights the potential impact on antibiotic stewardship, but not a direct causal relationship with antimicrobial resistance. Future policy should therefore aim to increase access and enhance evaluation, not simply that of the pharmacy providing care, but evaluation and planning as a whole</w:t>
      </w:r>
      <w:r w:rsidR="00B51D86" w:rsidRPr="00277198">
        <w:rPr>
          <w:sz w:val="22"/>
          <w:lang w:val="en-US"/>
        </w:rPr>
        <w:t>.</w:t>
      </w:r>
    </w:p>
    <w:p w14:paraId="62CFFFE9" w14:textId="77777777" w:rsidR="00B51D86" w:rsidRPr="00277198" w:rsidRDefault="00B51D86" w:rsidP="00277198">
      <w:pPr>
        <w:pStyle w:val="Heading2"/>
        <w:rPr>
          <w:lang w:val="en-US"/>
        </w:rPr>
      </w:pPr>
      <w:bookmarkStart w:id="109" w:name="_Toc240928070"/>
      <w:r w:rsidRPr="00277198">
        <w:rPr>
          <w:lang w:val="en-US"/>
        </w:rPr>
        <w:t>6.5 Final Statement</w:t>
      </w:r>
      <w:bookmarkEnd w:id="109"/>
    </w:p>
    <w:p w14:paraId="460390A5" w14:textId="35AC3CF1" w:rsidR="00747768" w:rsidRPr="00860498" w:rsidRDefault="00A8513F" w:rsidP="00860498">
      <w:pPr>
        <w:rPr>
          <w:sz w:val="22"/>
          <w:lang w:val="en-US"/>
        </w:rPr>
      </w:pPr>
      <w:r w:rsidRPr="00277198">
        <w:rPr>
          <w:sz w:val="22"/>
          <w:lang w:val="en-US"/>
        </w:rPr>
        <w:t xml:space="preserve">In community pharmacy, access to care needs to go hand-in-hand with disciplined stewardship to be effective at controlling AMR. The best will come when clinical capacity, diagnostic evidence, organisational opportunity, and professional motivation are in sync. </w:t>
      </w:r>
      <w:r w:rsidR="00B51D86" w:rsidRPr="00277198">
        <w:rPr>
          <w:sz w:val="22"/>
          <w:lang w:val="en-US"/>
        </w:rPr>
        <w:t xml:space="preserve"> </w:t>
      </w:r>
    </w:p>
    <w:p w14:paraId="1B934231" w14:textId="1DD0149A" w:rsidR="005349D2" w:rsidRPr="00277198" w:rsidRDefault="005A7C36" w:rsidP="00277198">
      <w:pPr>
        <w:pStyle w:val="Heading1"/>
      </w:pPr>
      <w:bookmarkStart w:id="110" w:name="_Toc240928071"/>
      <w:r w:rsidRPr="00277198">
        <w:t>REFERENCE LIST</w:t>
      </w:r>
      <w:bookmarkEnd w:id="20"/>
      <w:bookmarkEnd w:id="110"/>
    </w:p>
    <w:p w14:paraId="1A916DFA" w14:textId="77777777" w:rsidR="002360FE" w:rsidRPr="00277198" w:rsidRDefault="002360FE" w:rsidP="00F2459C">
      <w:pPr>
        <w:rPr>
          <w:sz w:val="22"/>
          <w:lang w:val="en-US"/>
        </w:rPr>
      </w:pPr>
      <w:r w:rsidRPr="00277198">
        <w:rPr>
          <w:sz w:val="22"/>
          <w:lang w:val="en-US"/>
        </w:rPr>
        <w:t xml:space="preserve">Ahmed, H., Farewell, D., Jones, H.M., Francis, N.A., Paranjothy, S. and Butler, C.C. (2018). Incidence and antibiotic prescribing for clinically diagnosed urinary tract infection in older adults in UK primary care, 2004–2014. </w:t>
      </w:r>
      <w:r w:rsidRPr="00277198">
        <w:rPr>
          <w:i/>
          <w:iCs/>
          <w:sz w:val="22"/>
          <w:lang w:val="en-US"/>
        </w:rPr>
        <w:t>PLoS ONE</w:t>
      </w:r>
      <w:r w:rsidRPr="00277198">
        <w:rPr>
          <w:sz w:val="22"/>
          <w:lang w:val="en-US"/>
        </w:rPr>
        <w:t>, 13(1), e0190521. https://doi.org/10.1371/journal.pone.0190521</w:t>
      </w:r>
    </w:p>
    <w:p w14:paraId="5834CB16" w14:textId="77777777" w:rsidR="002360FE" w:rsidRPr="00277198" w:rsidRDefault="002360FE" w:rsidP="00F2459C">
      <w:pPr>
        <w:rPr>
          <w:sz w:val="22"/>
          <w:lang w:val="en-US"/>
        </w:rPr>
      </w:pPr>
      <w:r w:rsidRPr="00277198">
        <w:rPr>
          <w:sz w:val="22"/>
          <w:lang w:val="en-US"/>
        </w:rPr>
        <w:t xml:space="preserve">Aliabadi, S., Anyanwu, P., Beech, E., Jauneikaite, E., Wilson, P., Hope, R., Majeed, A., Muller-Pebody, B. and Costelloe, C. (2021). Effect of antibiotic stewardship interventions in primary care on antimicrobial resistance of Escherichia coli bacteraemia in England (2013–18): a quasi-experimental, ecological, data linkage study. </w:t>
      </w:r>
      <w:r w:rsidRPr="00277198">
        <w:rPr>
          <w:i/>
          <w:iCs/>
          <w:sz w:val="22"/>
          <w:lang w:val="en-US"/>
        </w:rPr>
        <w:t>The Lancet Infectious Diseases</w:t>
      </w:r>
      <w:r w:rsidRPr="00277198">
        <w:rPr>
          <w:sz w:val="22"/>
          <w:lang w:val="en-US"/>
        </w:rPr>
        <w:t>, 21(12), pp.1689–1700. https://doi.org/10.1016/S1473-3099(21)00069-4</w:t>
      </w:r>
    </w:p>
    <w:p w14:paraId="7C5FFED4" w14:textId="77777777" w:rsidR="002360FE" w:rsidRPr="00277198" w:rsidRDefault="002360FE" w:rsidP="00F2459C">
      <w:pPr>
        <w:rPr>
          <w:sz w:val="22"/>
          <w:lang w:val="en-US"/>
        </w:rPr>
      </w:pPr>
      <w:r w:rsidRPr="00277198">
        <w:rPr>
          <w:sz w:val="22"/>
          <w:lang w:val="en-US"/>
        </w:rPr>
        <w:t xml:space="preserve">Allison, R., Chapman, S., Howard, P., Thornley, T., Ashiru-Oredope, D., Walker, S., Jones, L.F. and McNulty, C.A.M. (2020). Feasibility of a community pharmacy antimicrobial stewardship intervention (PAMSI): an innovative approach to improve patients' understanding of their antibiotics. </w:t>
      </w:r>
      <w:r w:rsidRPr="00277198">
        <w:rPr>
          <w:i/>
          <w:iCs/>
          <w:sz w:val="22"/>
          <w:lang w:val="en-US"/>
        </w:rPr>
        <w:t>JAC-Antimicrobial Resistance</w:t>
      </w:r>
      <w:r w:rsidRPr="00277198">
        <w:rPr>
          <w:sz w:val="22"/>
          <w:lang w:val="en-US"/>
        </w:rPr>
        <w:t>, 2(4), dlaa089. https://doi.org/10.1093/jacamr/dlaa089</w:t>
      </w:r>
    </w:p>
    <w:p w14:paraId="09C0042E" w14:textId="77777777" w:rsidR="002360FE" w:rsidRPr="00277198" w:rsidRDefault="002360FE" w:rsidP="00F2459C">
      <w:pPr>
        <w:rPr>
          <w:sz w:val="22"/>
          <w:lang w:val="en-US"/>
        </w:rPr>
      </w:pPr>
      <w:r w:rsidRPr="00277198">
        <w:rPr>
          <w:sz w:val="22"/>
          <w:lang w:val="en-US"/>
        </w:rPr>
        <w:t xml:space="preserve">Anyanwu, P.E., Campbell, A., Dent, E., Moore, M., Butler, C.C., Holmes, A., Walker, A.S., McLeod, M. and Tonkin-Crine, S. (2021). Development of an intervention to support the implementation of evidence-based strategies for optimising antibiotic prescribing in general practice. </w:t>
      </w:r>
      <w:r w:rsidRPr="00277198">
        <w:rPr>
          <w:i/>
          <w:iCs/>
          <w:sz w:val="22"/>
          <w:lang w:val="en-US"/>
        </w:rPr>
        <w:t>Pilot and Feasibility Studies</w:t>
      </w:r>
      <w:r w:rsidRPr="00277198">
        <w:rPr>
          <w:sz w:val="22"/>
          <w:lang w:val="en-US"/>
        </w:rPr>
        <w:t>, 7, 104. https://doi.org/10.1186/s43058-021-00209-7</w:t>
      </w:r>
    </w:p>
    <w:p w14:paraId="266D0140" w14:textId="77777777" w:rsidR="002360FE" w:rsidRPr="00277198" w:rsidRDefault="002360FE" w:rsidP="00F2459C">
      <w:pPr>
        <w:rPr>
          <w:sz w:val="22"/>
          <w:lang w:val="en-US"/>
        </w:rPr>
      </w:pPr>
      <w:r w:rsidRPr="00277198">
        <w:rPr>
          <w:sz w:val="22"/>
          <w:lang w:val="en-US"/>
        </w:rPr>
        <w:t xml:space="preserve">Anyanwu, P.E., Pouwels, K., Walker, A., Moore, M., Majeed, A., Hayhoe, B.W.J., Tonkin-Crine, S., Borek, A., Hopkins, S., McLeod, M. and Costelloe, C. (2020). Investigating the mechanism of impact and differential effect of the Quality Premium scheme on antibiotic prescribing in England: a longitudinal study. </w:t>
      </w:r>
      <w:r w:rsidRPr="00277198">
        <w:rPr>
          <w:i/>
          <w:iCs/>
          <w:sz w:val="22"/>
          <w:lang w:val="en-US"/>
        </w:rPr>
        <w:t>BJGP Open</w:t>
      </w:r>
      <w:r w:rsidRPr="00277198">
        <w:rPr>
          <w:sz w:val="22"/>
          <w:lang w:val="en-US"/>
        </w:rPr>
        <w:t>, 4(3), bjgpopen20X101052. https://doi.org/10.3399/bjgpopen20X101052</w:t>
      </w:r>
    </w:p>
    <w:p w14:paraId="3ED5B1FE" w14:textId="77777777" w:rsidR="002360FE" w:rsidRPr="00277198" w:rsidRDefault="002360FE" w:rsidP="004E1178">
      <w:pPr>
        <w:rPr>
          <w:sz w:val="22"/>
          <w:lang w:val="en-US"/>
        </w:rPr>
      </w:pPr>
      <w:r w:rsidRPr="00277198">
        <w:rPr>
          <w:sz w:val="22"/>
          <w:lang w:val="en-US"/>
        </w:rPr>
        <w:t xml:space="preserve">Ashiru-Oredope, D., Casale, E., Harvey, E., Umoh, E., Vasandani, S., Reilly, J. and Hopkins, S. (2022). Knowledge and Attitudes about Antibiotics and Antibiotic Resistance of 2404 UK Healthcare Workers. </w:t>
      </w:r>
      <w:r w:rsidRPr="00277198">
        <w:rPr>
          <w:i/>
          <w:iCs/>
          <w:sz w:val="22"/>
          <w:lang w:val="en-US"/>
        </w:rPr>
        <w:t>Antibiotics</w:t>
      </w:r>
      <w:r w:rsidRPr="00277198">
        <w:rPr>
          <w:sz w:val="22"/>
          <w:lang w:val="en-US"/>
        </w:rPr>
        <w:t>, 11(8), p.1133. doi:https://doi.org/10.3390/antibiotics11081133.</w:t>
      </w:r>
    </w:p>
    <w:p w14:paraId="271A2A87" w14:textId="77777777" w:rsidR="002360FE" w:rsidRPr="00277198" w:rsidRDefault="002360FE" w:rsidP="00F2459C">
      <w:pPr>
        <w:rPr>
          <w:sz w:val="22"/>
          <w:lang w:val="en-US"/>
        </w:rPr>
      </w:pPr>
      <w:r w:rsidRPr="00277198">
        <w:rPr>
          <w:sz w:val="22"/>
          <w:lang w:val="en-US"/>
        </w:rPr>
        <w:t xml:space="preserve">Ashiru-Oredope, D., Kerr, F., Hughes, S., Urch, J., Lanzman, M., Yau, T., Cockburn, A., Patel, R., Sheikh, A., Gormley, C., Chavda, A., Vaghela, T., Phillips, C., Reid, N. and Brady, A. (2021). Assessing the impact of COVID-19 on antimicrobial stewardship activities/programs in the United Kingdom. </w:t>
      </w:r>
      <w:r w:rsidRPr="00277198">
        <w:rPr>
          <w:i/>
          <w:iCs/>
          <w:sz w:val="22"/>
          <w:lang w:val="en-US"/>
        </w:rPr>
        <w:t>Antibiotics</w:t>
      </w:r>
      <w:r w:rsidRPr="00277198">
        <w:rPr>
          <w:sz w:val="22"/>
          <w:lang w:val="en-US"/>
        </w:rPr>
        <w:t>, 10(2), 110. https://doi.org/10.3390/antibiotics10020110</w:t>
      </w:r>
    </w:p>
    <w:p w14:paraId="31DE3AEF" w14:textId="77777777" w:rsidR="002360FE" w:rsidRPr="00277198" w:rsidRDefault="002360FE" w:rsidP="00F2459C">
      <w:pPr>
        <w:rPr>
          <w:sz w:val="22"/>
          <w:lang w:val="en-US"/>
        </w:rPr>
      </w:pPr>
      <w:r w:rsidRPr="00277198">
        <w:rPr>
          <w:sz w:val="22"/>
          <w:lang w:val="en-US"/>
        </w:rPr>
        <w:t xml:space="preserve">Barnes, R.K. and Lindström, A. (2025). Asking about drug allergies: managing antimicrobial medicines-related risks in primary care in England and Sweden. </w:t>
      </w:r>
      <w:r w:rsidRPr="00277198">
        <w:rPr>
          <w:i/>
          <w:iCs/>
          <w:sz w:val="22"/>
          <w:lang w:val="en-US"/>
        </w:rPr>
        <w:t>Patient Education and Counseling</w:t>
      </w:r>
      <w:r w:rsidRPr="00277198">
        <w:rPr>
          <w:sz w:val="22"/>
          <w:lang w:val="en-US"/>
        </w:rPr>
        <w:t>, 140, 109287. https://doi.org/10.1016/j.pec.2025.109287</w:t>
      </w:r>
    </w:p>
    <w:p w14:paraId="3587BE03" w14:textId="77777777" w:rsidR="002360FE" w:rsidRPr="00277198" w:rsidRDefault="002360FE" w:rsidP="00F2459C">
      <w:pPr>
        <w:rPr>
          <w:sz w:val="22"/>
          <w:lang w:val="en-US"/>
        </w:rPr>
      </w:pPr>
      <w:r w:rsidRPr="00277198">
        <w:rPr>
          <w:sz w:val="22"/>
          <w:lang w:val="en-US"/>
        </w:rPr>
        <w:t xml:space="preserve">Boiko, O., Gulliford, M.C. and Burgess, C. (2020). Revisiting patient expectations and experiences of antibiotics in an era of antimicrobial resistance: qualitative study. </w:t>
      </w:r>
      <w:r w:rsidRPr="00277198">
        <w:rPr>
          <w:i/>
          <w:iCs/>
          <w:sz w:val="22"/>
          <w:lang w:val="en-US"/>
        </w:rPr>
        <w:t>Health Expectations</w:t>
      </w:r>
      <w:r w:rsidRPr="00277198">
        <w:rPr>
          <w:sz w:val="22"/>
          <w:lang w:val="en-US"/>
        </w:rPr>
        <w:t>, 23(5), pp.1250–1258. https://doi.org/10.1111/hex.13102</w:t>
      </w:r>
    </w:p>
    <w:p w14:paraId="3391551A" w14:textId="77777777" w:rsidR="002360FE" w:rsidRPr="00277198" w:rsidRDefault="002360FE" w:rsidP="00F2459C">
      <w:pPr>
        <w:rPr>
          <w:sz w:val="22"/>
          <w:lang w:val="en-US"/>
        </w:rPr>
      </w:pPr>
      <w:r w:rsidRPr="00277198">
        <w:rPr>
          <w:sz w:val="22"/>
          <w:lang w:val="en-US"/>
        </w:rPr>
        <w:t xml:space="preserve">Borek, A., Wanat, M., Atkins, L., Sallis, A., Ashiru-Oredope, D., Beech, E., Butler, C.C., Chadborn, T., Hopkins, S., Jones, L., McNulty, C.A.M., Roberts, N., Shaw, K., Taborn, E. and Tonkin-Crine, S. (2020). Optimising antimicrobial stewardship interventions in English primary care: a behavioural analysis of qualitative and intervention studies. </w:t>
      </w:r>
      <w:r w:rsidRPr="00277198">
        <w:rPr>
          <w:i/>
          <w:iCs/>
          <w:sz w:val="22"/>
          <w:lang w:val="en-US"/>
        </w:rPr>
        <w:t>BMJ Open</w:t>
      </w:r>
      <w:r w:rsidRPr="00277198">
        <w:rPr>
          <w:sz w:val="22"/>
          <w:lang w:val="en-US"/>
        </w:rPr>
        <w:t>, 10(12), e039284. https://doi.org/10.1136/bmjopen-2020-039284</w:t>
      </w:r>
    </w:p>
    <w:p w14:paraId="697AA261" w14:textId="77777777" w:rsidR="002360FE" w:rsidRPr="00277198" w:rsidRDefault="002360FE" w:rsidP="004E1178">
      <w:pPr>
        <w:rPr>
          <w:sz w:val="22"/>
          <w:lang w:val="en-US"/>
        </w:rPr>
      </w:pPr>
      <w:r w:rsidRPr="00277198">
        <w:rPr>
          <w:sz w:val="22"/>
          <w:lang w:val="en-US"/>
        </w:rPr>
        <w:t xml:space="preserve">Borek, A.J., Maitland, K., McLeod, M., Campbell, A., Hayhoe, B., Butler, C.C., Morrell, L., Roope, L.S.J., Holmes, A., Walker, A.S. and Tonkin-Crine, S. (2021). Impact of the COVID-19 Pandemic on Community Antibiotic Prescribing and Stewardship: A Qualitative Interview Study with General Practitioners in England. </w:t>
      </w:r>
      <w:r w:rsidRPr="00277198">
        <w:rPr>
          <w:i/>
          <w:iCs/>
          <w:sz w:val="22"/>
          <w:lang w:val="en-US"/>
        </w:rPr>
        <w:t>Antibiotics</w:t>
      </w:r>
      <w:r w:rsidRPr="00277198">
        <w:rPr>
          <w:sz w:val="22"/>
          <w:lang w:val="en-US"/>
        </w:rPr>
        <w:t>, 10(12), p.1531. doi:https://doi.org/10.3390/antibiotics10121531.</w:t>
      </w:r>
    </w:p>
    <w:p w14:paraId="20B45E93" w14:textId="77777777" w:rsidR="002360FE" w:rsidRPr="00277198" w:rsidRDefault="002360FE" w:rsidP="004E1178">
      <w:pPr>
        <w:rPr>
          <w:sz w:val="22"/>
          <w:lang w:val="en-US"/>
        </w:rPr>
      </w:pPr>
      <w:r w:rsidRPr="00277198">
        <w:rPr>
          <w:sz w:val="22"/>
          <w:lang w:val="en-US"/>
        </w:rPr>
        <w:t xml:space="preserve">Borek, A.J., Santillo, M., Wanat, M., Butler, C.C. and Tonkin-Crine, S. (2022). How can behavioural science contribute to qualitative research on antimicrobial stewardship in primary care? </w:t>
      </w:r>
      <w:r w:rsidRPr="00277198">
        <w:rPr>
          <w:i/>
          <w:iCs/>
          <w:sz w:val="22"/>
          <w:lang w:val="en-US"/>
        </w:rPr>
        <w:t>JAC-Antimicrobial Resistance</w:t>
      </w:r>
      <w:r w:rsidRPr="00277198">
        <w:rPr>
          <w:sz w:val="22"/>
          <w:lang w:val="en-US"/>
        </w:rPr>
        <w:t>. doi:https://doi.org/10.1093/jacamr/dlac007.</w:t>
      </w:r>
    </w:p>
    <w:p w14:paraId="429CE021" w14:textId="77777777" w:rsidR="002360FE" w:rsidRPr="00277198" w:rsidRDefault="002360FE" w:rsidP="00F2459C">
      <w:pPr>
        <w:rPr>
          <w:sz w:val="22"/>
          <w:lang w:val="en-US"/>
        </w:rPr>
      </w:pPr>
      <w:r w:rsidRPr="00277198">
        <w:rPr>
          <w:sz w:val="22"/>
          <w:lang w:val="en-US"/>
        </w:rPr>
        <w:t xml:space="preserve">Bou-Antoun, S., Costelloe, C., Honeyford, K., Mazidi, M., Hayhoe, B.W.J., Holmes, A., Johnson, A.P. and Aylin, P. (2018). Age-related decline in antibiotic prescribing for uncomplicated respiratory tract infections in primary care in England following the introduction of a national financial incentive (the Quality Premium) for health commissioners to reduce use of antibiotics in the community: an interrupted time series analysis. </w:t>
      </w:r>
      <w:r w:rsidRPr="00277198">
        <w:rPr>
          <w:i/>
          <w:iCs/>
          <w:sz w:val="22"/>
          <w:lang w:val="en-US"/>
        </w:rPr>
        <w:t>Journal of Antimicrobial Chemotherapy</w:t>
      </w:r>
      <w:r w:rsidRPr="00277198">
        <w:rPr>
          <w:sz w:val="22"/>
          <w:lang w:val="en-US"/>
        </w:rPr>
        <w:t>, 73(10), pp.2883–2892. https://doi.org/10.1093/jac/dky237</w:t>
      </w:r>
    </w:p>
    <w:p w14:paraId="174F2AB5" w14:textId="77777777" w:rsidR="002360FE" w:rsidRPr="00277198" w:rsidRDefault="002360FE" w:rsidP="004E1178">
      <w:pPr>
        <w:rPr>
          <w:sz w:val="22"/>
          <w:lang w:val="en-US"/>
        </w:rPr>
      </w:pPr>
      <w:r w:rsidRPr="00277198">
        <w:rPr>
          <w:sz w:val="22"/>
          <w:lang w:val="en-US"/>
        </w:rPr>
        <w:t xml:space="preserve">Bou-Antoun, S., Oettle, R.C., Leanord, A., Seaton, R.A., Cooper, B.S., Muller-Pebody, B., Conlon-Bingham, G., Kerr, F., Hand, K.S., Sandoe, J.A.T., Llewelyn, M.J., Fleming, N., Brown, N.M., Reid, N., Howard, P., Mckinstry, S.-J., Malcolm, W., Demirjian, A. and Ashiru-Oredope, D. (2024). Adaptation of the WHO AWaRe (Access, Watch, Reserve) antibiotic classification to support national antimicrobial stewardship priorities in the UK: findings from a modified Delphi approach to achieve expert consensus. </w:t>
      </w:r>
      <w:r w:rsidRPr="00277198">
        <w:rPr>
          <w:i/>
          <w:iCs/>
          <w:sz w:val="22"/>
          <w:lang w:val="en-US"/>
        </w:rPr>
        <w:t>JAC-Antimicrobial Resistance</w:t>
      </w:r>
      <w:r w:rsidRPr="00277198">
        <w:rPr>
          <w:sz w:val="22"/>
          <w:lang w:val="en-US"/>
        </w:rPr>
        <w:t>, 7(1). doi:https://doi.org/10.1093/jacamr/dlae218.</w:t>
      </w:r>
    </w:p>
    <w:p w14:paraId="532617A0" w14:textId="77777777" w:rsidR="002360FE" w:rsidRPr="00277198" w:rsidRDefault="002360FE" w:rsidP="004E1178">
      <w:pPr>
        <w:rPr>
          <w:sz w:val="22"/>
          <w:lang w:val="en-US"/>
        </w:rPr>
      </w:pPr>
      <w:r w:rsidRPr="00277198">
        <w:rPr>
          <w:sz w:val="22"/>
          <w:lang w:val="en-US"/>
        </w:rPr>
        <w:t xml:space="preserve">Boyd, S.E., Zhu, N., Whitney, L., Surya, R., Holmes, A.H. and Ahmad, R. (2024). Online availability of antibiotics from within the UK: shifting patterns from 2016 to 2023. </w:t>
      </w:r>
      <w:r w:rsidRPr="00277198">
        <w:rPr>
          <w:i/>
          <w:iCs/>
          <w:sz w:val="22"/>
          <w:lang w:val="en-US"/>
        </w:rPr>
        <w:t>Journal of Antimicrobial Chemotherapy</w:t>
      </w:r>
      <w:r w:rsidRPr="00277198">
        <w:rPr>
          <w:sz w:val="22"/>
          <w:lang w:val="en-US"/>
        </w:rPr>
        <w:t>, 79(12), pp.3191–3198. doi:https://doi.org/10.1093/jac/dkae341.</w:t>
      </w:r>
    </w:p>
    <w:p w14:paraId="776545F7" w14:textId="77777777" w:rsidR="002360FE" w:rsidRPr="00277198" w:rsidRDefault="002360FE" w:rsidP="004E1178">
      <w:pPr>
        <w:rPr>
          <w:sz w:val="22"/>
        </w:rPr>
      </w:pPr>
      <w:r w:rsidRPr="00277198">
        <w:rPr>
          <w:sz w:val="22"/>
        </w:rPr>
        <w:t xml:space="preserve">Braun, V. and Clarke, V. (2006) 'Using thematic analysis in psychology', </w:t>
      </w:r>
      <w:r w:rsidRPr="00277198">
        <w:rPr>
          <w:i/>
          <w:sz w:val="22"/>
        </w:rPr>
        <w:t>Qualitative Research in Psychology</w:t>
      </w:r>
      <w:r w:rsidRPr="00277198">
        <w:rPr>
          <w:sz w:val="22"/>
        </w:rPr>
        <w:t>, 3(2), pp. 77–101. https://doi.org/10.1191/1478088706qp063oa.</w:t>
      </w:r>
    </w:p>
    <w:p w14:paraId="033A03B4" w14:textId="77777777" w:rsidR="002360FE" w:rsidRPr="00277198" w:rsidRDefault="002360FE" w:rsidP="004E1178">
      <w:pPr>
        <w:rPr>
          <w:sz w:val="22"/>
        </w:rPr>
      </w:pPr>
      <w:r w:rsidRPr="00277198">
        <w:rPr>
          <w:sz w:val="22"/>
        </w:rPr>
        <w:t xml:space="preserve">Braun, V. and Clarke, V. (2019) 'Reflecting on reflexive thematic analysis', </w:t>
      </w:r>
      <w:r w:rsidRPr="00277198">
        <w:rPr>
          <w:i/>
          <w:sz w:val="22"/>
        </w:rPr>
        <w:t>Qualitative Research in Sport, Exercise and Health</w:t>
      </w:r>
      <w:r w:rsidRPr="00277198">
        <w:rPr>
          <w:sz w:val="22"/>
        </w:rPr>
        <w:t>, 11(4), pp. 589–597. https://doi.org/10.1080/2159676X.2019.1628806.</w:t>
      </w:r>
    </w:p>
    <w:p w14:paraId="63ACC450" w14:textId="77777777" w:rsidR="002360FE" w:rsidRPr="00277198" w:rsidRDefault="002360FE" w:rsidP="004E1178">
      <w:pPr>
        <w:rPr>
          <w:sz w:val="22"/>
        </w:rPr>
      </w:pPr>
      <w:r w:rsidRPr="00277198">
        <w:rPr>
          <w:sz w:val="22"/>
        </w:rPr>
        <w:t xml:space="preserve">Braun, V. and Clarke, V. (2021) 'One size fits all? What counts as quality practice in (reflexive) thematic analysis?', </w:t>
      </w:r>
      <w:r w:rsidRPr="00277198">
        <w:rPr>
          <w:i/>
          <w:sz w:val="22"/>
        </w:rPr>
        <w:t>Qualitative Research in Psychology</w:t>
      </w:r>
      <w:r w:rsidRPr="00277198">
        <w:rPr>
          <w:sz w:val="22"/>
        </w:rPr>
        <w:t>, 18(3), pp. 328–352. https://doi.org/10.1080/14780887.2020.1769238.</w:t>
      </w:r>
    </w:p>
    <w:p w14:paraId="335DCE87" w14:textId="77777777" w:rsidR="002360FE" w:rsidRPr="00277198" w:rsidRDefault="002360FE" w:rsidP="004E1178">
      <w:pPr>
        <w:rPr>
          <w:sz w:val="22"/>
        </w:rPr>
      </w:pPr>
      <w:r w:rsidRPr="00277198">
        <w:rPr>
          <w:sz w:val="22"/>
        </w:rPr>
        <w:t xml:space="preserve">Carroll, C., Booth, A., Leaviss, J. and Rick, J. (2013) '“Best fit” framework synthesis: refining the method', </w:t>
      </w:r>
      <w:r w:rsidRPr="00277198">
        <w:rPr>
          <w:i/>
          <w:sz w:val="22"/>
        </w:rPr>
        <w:t>BMC Medical Research Methodology</w:t>
      </w:r>
      <w:r w:rsidRPr="00277198">
        <w:rPr>
          <w:sz w:val="22"/>
        </w:rPr>
        <w:t>, 13, 37. https://doi.org/10.1186/1471-2288-13-37.</w:t>
      </w:r>
    </w:p>
    <w:p w14:paraId="30C8D89A" w14:textId="77777777" w:rsidR="002360FE" w:rsidRPr="00277198" w:rsidRDefault="002360FE" w:rsidP="004E1178">
      <w:pPr>
        <w:rPr>
          <w:sz w:val="22"/>
        </w:rPr>
      </w:pPr>
      <w:r w:rsidRPr="00277198">
        <w:rPr>
          <w:sz w:val="22"/>
        </w:rPr>
        <w:t xml:space="preserve">Cooke, A., Smith, D. and Booth, A. (2012) 'Beyond PICO: the SPIDER tool for qualitative evidence synthesis', </w:t>
      </w:r>
      <w:r w:rsidRPr="00277198">
        <w:rPr>
          <w:i/>
          <w:sz w:val="22"/>
        </w:rPr>
        <w:t>Qualitative Health Research</w:t>
      </w:r>
      <w:r w:rsidRPr="00277198">
        <w:rPr>
          <w:sz w:val="22"/>
        </w:rPr>
        <w:t>, 22(10), pp. 1435–1443. https://doi.org/10.1177/1049732312452938.</w:t>
      </w:r>
    </w:p>
    <w:p w14:paraId="242A5155" w14:textId="77777777" w:rsidR="002360FE" w:rsidRPr="00277198" w:rsidRDefault="002360FE" w:rsidP="004E1178">
      <w:pPr>
        <w:rPr>
          <w:sz w:val="22"/>
          <w:lang w:val="en-US"/>
        </w:rPr>
      </w:pPr>
      <w:r w:rsidRPr="00277198">
        <w:rPr>
          <w:sz w:val="22"/>
          <w:lang w:val="en-US"/>
        </w:rPr>
        <w:t xml:space="preserve">Courtenay, M., Gillespie, D. and Lim, R. (2023). Patterns of GP and nurse independent prescriber prescriptions for antibiotics dispensed in the community in England: a retrospective analysis. </w:t>
      </w:r>
      <w:r w:rsidRPr="00277198">
        <w:rPr>
          <w:i/>
          <w:iCs/>
          <w:sz w:val="22"/>
          <w:lang w:val="en-US"/>
        </w:rPr>
        <w:t>Journal of Antimicrobial Chemotherapy</w:t>
      </w:r>
      <w:r w:rsidRPr="00277198">
        <w:rPr>
          <w:sz w:val="22"/>
          <w:lang w:val="en-US"/>
        </w:rPr>
        <w:t>, 78(10), pp.2544–2553. doi:https://doi.org/10.1093/jac/dkad267.</w:t>
      </w:r>
    </w:p>
    <w:p w14:paraId="067EE500" w14:textId="77777777" w:rsidR="002360FE" w:rsidRPr="00277198" w:rsidRDefault="002360FE" w:rsidP="004E1178">
      <w:pPr>
        <w:rPr>
          <w:sz w:val="22"/>
        </w:rPr>
      </w:pPr>
      <w:r w:rsidRPr="00277198">
        <w:rPr>
          <w:sz w:val="22"/>
        </w:rPr>
        <w:t xml:space="preserve">Critical Appraisal Skills Programme (CASP) (2024) </w:t>
      </w:r>
      <w:r w:rsidRPr="00277198">
        <w:rPr>
          <w:i/>
          <w:sz w:val="22"/>
        </w:rPr>
        <w:t>CASP checklist: for qualitative research</w:t>
      </w:r>
      <w:r w:rsidRPr="00277198">
        <w:rPr>
          <w:sz w:val="22"/>
        </w:rPr>
        <w:t>. Available at: https://casp-uk.net/casp-checklists/CASP-checklist-qualitative-2024.pdf (Accessed: 10 August 2026).</w:t>
      </w:r>
    </w:p>
    <w:p w14:paraId="4D23F08A" w14:textId="77777777" w:rsidR="002360FE" w:rsidRPr="00277198" w:rsidRDefault="002360FE" w:rsidP="00F2459C">
      <w:pPr>
        <w:rPr>
          <w:sz w:val="22"/>
          <w:lang w:val="en-US"/>
        </w:rPr>
      </w:pPr>
      <w:r w:rsidRPr="00277198">
        <w:rPr>
          <w:sz w:val="22"/>
          <w:lang w:val="en-US"/>
        </w:rPr>
        <w:t xml:space="preserve">Croker, R., Walker, A.J. and Goldacre, B. (2019). Why did some practices not implement new antibiotic prescribing guidelines on urinary tract infection? A cohort study and survey in NHS England primary care. </w:t>
      </w:r>
      <w:r w:rsidRPr="00277198">
        <w:rPr>
          <w:i/>
          <w:iCs/>
          <w:sz w:val="22"/>
          <w:lang w:val="en-US"/>
        </w:rPr>
        <w:t>Journal of Antimicrobial Chemotherapy</w:t>
      </w:r>
      <w:r w:rsidRPr="00277198">
        <w:rPr>
          <w:sz w:val="22"/>
          <w:lang w:val="en-US"/>
        </w:rPr>
        <w:t>, 74(4), pp.1125–1132. https://doi.org/10.1093/jac/dky509</w:t>
      </w:r>
    </w:p>
    <w:p w14:paraId="76CFB92B" w14:textId="77777777" w:rsidR="002360FE" w:rsidRPr="00277198" w:rsidRDefault="002360FE" w:rsidP="00F2459C">
      <w:pPr>
        <w:rPr>
          <w:sz w:val="22"/>
          <w:lang w:val="en-US"/>
        </w:rPr>
      </w:pPr>
      <w:r w:rsidRPr="00277198">
        <w:rPr>
          <w:sz w:val="22"/>
          <w:lang w:val="en-US"/>
        </w:rPr>
        <w:t xml:space="preserve">Curtis, H.J., Walker, A.J., Mahtani, K.R. and Goldacre, B. (2019). Time trends and geographical variation in prescribing of antibiotics in England 1998–2017. </w:t>
      </w:r>
      <w:r w:rsidRPr="00277198">
        <w:rPr>
          <w:i/>
          <w:iCs/>
          <w:sz w:val="22"/>
          <w:lang w:val="en-US"/>
        </w:rPr>
        <w:t>Journal of Antimicrobial Chemotherapy</w:t>
      </w:r>
      <w:r w:rsidRPr="00277198">
        <w:rPr>
          <w:sz w:val="22"/>
          <w:lang w:val="en-US"/>
        </w:rPr>
        <w:t>, 74(1), pp.242–250. https://doi.org/10.1093/jac/dky377</w:t>
      </w:r>
    </w:p>
    <w:p w14:paraId="19FF9B10" w14:textId="77777777" w:rsidR="002360FE" w:rsidRPr="00277198" w:rsidRDefault="002360FE" w:rsidP="004E1178">
      <w:pPr>
        <w:rPr>
          <w:sz w:val="22"/>
          <w:lang w:val="en-US"/>
        </w:rPr>
      </w:pPr>
      <w:r w:rsidRPr="00277198">
        <w:rPr>
          <w:sz w:val="22"/>
          <w:lang w:val="en-US"/>
        </w:rPr>
        <w:t xml:space="preserve">Department of Health and Social Care (2024). </w:t>
      </w:r>
      <w:r w:rsidRPr="00277198">
        <w:rPr>
          <w:i/>
          <w:iCs/>
          <w:sz w:val="22"/>
          <w:lang w:val="en-US"/>
        </w:rPr>
        <w:t>Confronting antimicrobial resistance 2024 to 2029</w:t>
      </w:r>
      <w:r w:rsidRPr="00277198">
        <w:rPr>
          <w:sz w:val="22"/>
          <w:lang w:val="en-US"/>
        </w:rPr>
        <w:t>. [online] GOV.UK. Available at: https://www.gov.uk/government/publications/uk-5-year-action-plan-for-antimicrobial-resistance-2024-to-2029/confronting-antimicrobial-resistance-2024-to-2029 [Accessed 2 Jul. 2026].</w:t>
      </w:r>
    </w:p>
    <w:p w14:paraId="7DEC72C6" w14:textId="77777777" w:rsidR="002360FE" w:rsidRPr="00277198" w:rsidRDefault="002360FE" w:rsidP="004E1178">
      <w:pPr>
        <w:rPr>
          <w:sz w:val="22"/>
        </w:rPr>
      </w:pPr>
      <w:r w:rsidRPr="00277198">
        <w:rPr>
          <w:sz w:val="22"/>
        </w:rPr>
        <w:t xml:space="preserve">Dixon-Woods, M., Bonas, S., Booth, A., Jones, D.R., Miller, T., Sutton, A.J., Shaw, R.L., Smith, J.A. and Young, B. (2006) 'How can systematic reviews incorporate qualitative research? A critical perspective', </w:t>
      </w:r>
      <w:r w:rsidRPr="00277198">
        <w:rPr>
          <w:i/>
          <w:sz w:val="22"/>
        </w:rPr>
        <w:t>BMC Medical Research Methodology</w:t>
      </w:r>
      <w:r w:rsidRPr="00277198">
        <w:rPr>
          <w:sz w:val="22"/>
        </w:rPr>
        <w:t>, 6, 35. https://doi.org/10.1186/1471-2288-6-35.</w:t>
      </w:r>
    </w:p>
    <w:p w14:paraId="72FC1E72" w14:textId="77777777" w:rsidR="002360FE" w:rsidRPr="00277198" w:rsidRDefault="002360FE" w:rsidP="00F2459C">
      <w:pPr>
        <w:rPr>
          <w:sz w:val="22"/>
          <w:lang w:val="en-US"/>
        </w:rPr>
      </w:pPr>
      <w:r w:rsidRPr="00277198">
        <w:rPr>
          <w:sz w:val="22"/>
          <w:lang w:val="en-US"/>
        </w:rPr>
        <w:t xml:space="preserve">Dolk, F.C., Pouwels, K.B., Smith, D.R.M., Robotham, J.V. and Smieszek, T. (2018). Antibiotics in primary care in England: which antibiotics are prescribed and for which conditions? </w:t>
      </w:r>
      <w:r w:rsidRPr="00277198">
        <w:rPr>
          <w:i/>
          <w:iCs/>
          <w:sz w:val="22"/>
          <w:lang w:val="en-US"/>
        </w:rPr>
        <w:t>Journal of Antimicrobial Chemotherapy</w:t>
      </w:r>
      <w:r w:rsidRPr="00277198">
        <w:rPr>
          <w:sz w:val="22"/>
          <w:lang w:val="en-US"/>
        </w:rPr>
        <w:t>, 73(suppl 2), pp.ii2–ii10. https://doi.org/10.1093/jac/dkx504</w:t>
      </w:r>
    </w:p>
    <w:p w14:paraId="4D28F9D1" w14:textId="77777777" w:rsidR="002360FE" w:rsidRPr="00277198" w:rsidRDefault="002360FE" w:rsidP="004E1178">
      <w:pPr>
        <w:rPr>
          <w:sz w:val="22"/>
        </w:rPr>
      </w:pPr>
      <w:r w:rsidRPr="00277198">
        <w:rPr>
          <w:sz w:val="22"/>
        </w:rPr>
        <w:t xml:space="preserve">Flemming, K., Booth, A., Hannes, K., Cargo, M. and Noyes, J. (2018) 'Cochrane Qualitative and Implementation Methods Group guidance paper 6: Reporting guidelines for qualitative, implementation, and process evaluation evidence syntheses', </w:t>
      </w:r>
      <w:r w:rsidRPr="00277198">
        <w:rPr>
          <w:i/>
          <w:sz w:val="22"/>
        </w:rPr>
        <w:t>Journal of Clinical Epidemiology</w:t>
      </w:r>
      <w:r w:rsidRPr="00277198">
        <w:rPr>
          <w:sz w:val="22"/>
        </w:rPr>
        <w:t>, 97, pp. 79–85. https://doi.org/10.1016/j.jclinepi.2017.10.022.</w:t>
      </w:r>
    </w:p>
    <w:p w14:paraId="3804B140" w14:textId="77777777" w:rsidR="002360FE" w:rsidRPr="00277198" w:rsidRDefault="002360FE" w:rsidP="00F2459C">
      <w:pPr>
        <w:rPr>
          <w:sz w:val="22"/>
          <w:lang w:val="en-US"/>
        </w:rPr>
      </w:pPr>
      <w:r w:rsidRPr="00277198">
        <w:rPr>
          <w:sz w:val="22"/>
          <w:lang w:val="en-US"/>
        </w:rPr>
        <w:t xml:space="preserve">Guthrie, I., Malcolm, W., Nogueira, R., Sneddon, J., Seaton, R.A. and Marwick, C.A. (2022). Associations between declining antibiotic use in primary care in Scotland and hospitalization with infection and patient satisfaction: longitudinal population study. </w:t>
      </w:r>
      <w:r w:rsidRPr="00277198">
        <w:rPr>
          <w:i/>
          <w:iCs/>
          <w:sz w:val="22"/>
          <w:lang w:val="en-US"/>
        </w:rPr>
        <w:t>Journal of Antimicrobial Chemotherapy</w:t>
      </w:r>
      <w:r w:rsidRPr="00277198">
        <w:rPr>
          <w:sz w:val="22"/>
          <w:lang w:val="en-US"/>
        </w:rPr>
        <w:t>, 77(9), pp.2561–2568. https://doi.org/10.1093/jac/dkac191</w:t>
      </w:r>
    </w:p>
    <w:p w14:paraId="2710B46D" w14:textId="77777777" w:rsidR="002360FE" w:rsidRPr="00277198" w:rsidRDefault="002360FE" w:rsidP="00F2459C">
      <w:pPr>
        <w:rPr>
          <w:sz w:val="22"/>
          <w:lang w:val="en-US"/>
        </w:rPr>
      </w:pPr>
      <w:r w:rsidRPr="00277198">
        <w:rPr>
          <w:sz w:val="22"/>
          <w:lang w:val="en-US"/>
        </w:rPr>
        <w:t xml:space="preserve">Hamilton, R.A., Ercolani, M.G., Aggarwal, R., Cooper, D., Kelly, S., Root, H., Pabari, K. and Jamieson, C. (2024). Evaluation of antibiotics returned for safe disposal during and after a community pharmacy antibiotic amnesty campaign. </w:t>
      </w:r>
      <w:r w:rsidRPr="00277198">
        <w:rPr>
          <w:i/>
          <w:iCs/>
          <w:sz w:val="22"/>
          <w:lang w:val="en-US"/>
        </w:rPr>
        <w:t>JAC-Antimicrobial Resistance</w:t>
      </w:r>
      <w:r w:rsidRPr="00277198">
        <w:rPr>
          <w:sz w:val="22"/>
          <w:lang w:val="en-US"/>
        </w:rPr>
        <w:t>, 6(5), dlae172. https://doi.org/10.1093/jacamr/dlae172</w:t>
      </w:r>
    </w:p>
    <w:p w14:paraId="46E67AB6" w14:textId="77777777" w:rsidR="002360FE" w:rsidRPr="00277198" w:rsidRDefault="002360FE" w:rsidP="004E1178">
      <w:pPr>
        <w:rPr>
          <w:sz w:val="22"/>
        </w:rPr>
      </w:pPr>
      <w:r w:rsidRPr="00277198">
        <w:rPr>
          <w:sz w:val="22"/>
        </w:rPr>
        <w:t xml:space="preserve">Harris, J.L., Booth, A., Cargo, M., Hannes, K., Harden, A., Flemming, K., Garside, R., Pantoja, T., Thomas, J. and Noyes, J. (2018) 'Cochrane Qualitative and Implementation Methods Group guidance paper 2: Methods for question formulation, searching, and protocol development for qualitative evidence synthesis', </w:t>
      </w:r>
      <w:r w:rsidRPr="00277198">
        <w:rPr>
          <w:i/>
          <w:sz w:val="22"/>
        </w:rPr>
        <w:t>Journal of Clinical Epidemiology</w:t>
      </w:r>
      <w:r w:rsidRPr="00277198">
        <w:rPr>
          <w:sz w:val="22"/>
        </w:rPr>
        <w:t>, 97, pp. 39–48. https://doi.org/10.1016/j.jclinepi.2017.10.023.</w:t>
      </w:r>
    </w:p>
    <w:p w14:paraId="12FE6C0A" w14:textId="77777777" w:rsidR="002360FE" w:rsidRPr="00277198" w:rsidRDefault="002360FE" w:rsidP="004E1178">
      <w:pPr>
        <w:rPr>
          <w:sz w:val="22"/>
          <w:lang w:val="en-US"/>
        </w:rPr>
      </w:pPr>
      <w:r w:rsidRPr="00277198">
        <w:rPr>
          <w:sz w:val="22"/>
          <w:lang w:val="en-US"/>
        </w:rPr>
        <w:t xml:space="preserve">Hayes, C.V., Eley, C.V., Ashiru-Oredope, D., Hann, M. and McNulty, C.A. (2021). Development and pilot evaluation of an educational programme on infection prevention and antibiotics with English and Scottish youth groups, informed by COM-B. </w:t>
      </w:r>
      <w:r w:rsidRPr="00277198">
        <w:rPr>
          <w:i/>
          <w:iCs/>
          <w:sz w:val="22"/>
          <w:lang w:val="en-US"/>
        </w:rPr>
        <w:t>Journal of Infection Prevention</w:t>
      </w:r>
      <w:r w:rsidRPr="00277198">
        <w:rPr>
          <w:sz w:val="22"/>
          <w:lang w:val="en-US"/>
        </w:rPr>
        <w:t>, 22(5), pp.212–219. doi:https://doi.org/10.1177/17571774211012463.</w:t>
      </w:r>
    </w:p>
    <w:p w14:paraId="45837FE4" w14:textId="77777777" w:rsidR="002360FE" w:rsidRPr="00277198" w:rsidRDefault="002360FE" w:rsidP="004E1178">
      <w:pPr>
        <w:rPr>
          <w:sz w:val="22"/>
          <w:lang w:val="en-US"/>
        </w:rPr>
      </w:pPr>
      <w:r w:rsidRPr="00277198">
        <w:rPr>
          <w:sz w:val="22"/>
          <w:lang w:val="en-US"/>
        </w:rPr>
        <w:t xml:space="preserve">Hayes, C.V., Lecky, D.M., Pursey, F., Thomas, A., Ashiru-Oredope, D., Saei, A., Thornley, T., Howard, P., Dickinson, A., Ingram, C., Allison, R. and McNulty, C.A.M. (2022). Mixed-Method Evaluation of a Community Pharmacy Antimicrobial Stewardship Intervention (PAMSI). </w:t>
      </w:r>
      <w:r w:rsidRPr="00277198">
        <w:rPr>
          <w:i/>
          <w:iCs/>
          <w:sz w:val="22"/>
          <w:lang w:val="en-US"/>
        </w:rPr>
        <w:t>Healthcare</w:t>
      </w:r>
      <w:r w:rsidRPr="00277198">
        <w:rPr>
          <w:sz w:val="22"/>
          <w:lang w:val="en-US"/>
        </w:rPr>
        <w:t>, 10(7), p.1288. doi:https://doi.org/10.3390/healthcare10071288.</w:t>
      </w:r>
    </w:p>
    <w:p w14:paraId="60CE39DF" w14:textId="77777777" w:rsidR="002360FE" w:rsidRPr="00277198" w:rsidRDefault="002360FE" w:rsidP="004E1178">
      <w:pPr>
        <w:rPr>
          <w:sz w:val="22"/>
        </w:rPr>
      </w:pPr>
      <w:r w:rsidRPr="00277198">
        <w:rPr>
          <w:sz w:val="22"/>
        </w:rPr>
        <w:t>Hayes, C.V., Parekh, S., Lecky, D.M., Loader, J., Triggs-Hodge, C. and Ashiru-Oredope, D. (2023) 'The national implementation of a community pharmacy antimicrobial stewardship intervention (PAMSI) through the English Pharmacy Quality Scheme 2020 to 2022', Antibiotics, 12(4), 793. https://doi.org/10.3390/antibiotics12040793.</w:t>
      </w:r>
    </w:p>
    <w:p w14:paraId="628F1D5D" w14:textId="77777777" w:rsidR="002360FE" w:rsidRPr="00277198" w:rsidRDefault="002360FE" w:rsidP="00F2459C">
      <w:pPr>
        <w:rPr>
          <w:sz w:val="22"/>
          <w:lang w:val="en-US"/>
        </w:rPr>
      </w:pPr>
      <w:r w:rsidRPr="00277198">
        <w:rPr>
          <w:sz w:val="22"/>
          <w:lang w:val="en-US"/>
        </w:rPr>
        <w:t xml:space="preserve">Hayward, G.N., Moore, A., McKelvie, S., Lasserson, D.S. and Croxson, C. (2019). Antibiotic prescribing for the older adult: beliefs and practices in primary care. </w:t>
      </w:r>
      <w:r w:rsidRPr="00277198">
        <w:rPr>
          <w:i/>
          <w:iCs/>
          <w:sz w:val="22"/>
          <w:lang w:val="en-US"/>
        </w:rPr>
        <w:t>Journal of Antimicrobial Chemotherapy</w:t>
      </w:r>
      <w:r w:rsidRPr="00277198">
        <w:rPr>
          <w:sz w:val="22"/>
          <w:lang w:val="en-US"/>
        </w:rPr>
        <w:t>, 74(3), pp.791–797. https://doi.org/10.1093/jac/dky504</w:t>
      </w:r>
    </w:p>
    <w:p w14:paraId="27667492" w14:textId="77777777" w:rsidR="002360FE" w:rsidRPr="00277198" w:rsidRDefault="002360FE" w:rsidP="00F2459C">
      <w:pPr>
        <w:rPr>
          <w:sz w:val="22"/>
          <w:lang w:val="en-US"/>
        </w:rPr>
      </w:pPr>
      <w:r w:rsidRPr="00277198">
        <w:rPr>
          <w:sz w:val="22"/>
          <w:lang w:val="en-US"/>
        </w:rPr>
        <w:t xml:space="preserve">Heward, E., Domzaridou, E., Gavan, S.P., Carr, M., Lunn, J., Molloy, J., Isba, R., Hay, A.D., Nichani, J.R., Bruce, I.A. and Ashcroft, D.M. (2025). Incidence, antimicrobial prescribing practice, and associated healthcare costs of paediatric otorrhoea in primary care in the UK: a longitudinal population study. </w:t>
      </w:r>
      <w:r w:rsidRPr="00277198">
        <w:rPr>
          <w:i/>
          <w:iCs/>
          <w:sz w:val="22"/>
          <w:lang w:val="en-US"/>
        </w:rPr>
        <w:t>British Journal of General Practice</w:t>
      </w:r>
      <w:r w:rsidRPr="00277198">
        <w:rPr>
          <w:sz w:val="22"/>
          <w:lang w:val="en-US"/>
        </w:rPr>
        <w:t>, 75(751), pp.e113–e121. https://doi.org/10.3399/BJGP.2024.0053</w:t>
      </w:r>
    </w:p>
    <w:p w14:paraId="2092BB37" w14:textId="77777777" w:rsidR="002360FE" w:rsidRPr="00277198" w:rsidRDefault="002360FE" w:rsidP="004E1178">
      <w:pPr>
        <w:rPr>
          <w:sz w:val="22"/>
        </w:rPr>
      </w:pPr>
      <w:r w:rsidRPr="00277198">
        <w:rPr>
          <w:sz w:val="22"/>
        </w:rPr>
        <w:t xml:space="preserve">Higgins, J.P.T., Thomas, J., Chandler, J., Cumpston, M., Li, T., Page, M.J. and Welch, V.A. (eds.) (2024) </w:t>
      </w:r>
      <w:r w:rsidRPr="00277198">
        <w:rPr>
          <w:i/>
          <w:sz w:val="22"/>
        </w:rPr>
        <w:t>Cochrane handbook for systematic reviews of interventions</w:t>
      </w:r>
      <w:r w:rsidRPr="00277198">
        <w:rPr>
          <w:sz w:val="22"/>
        </w:rPr>
        <w:t>, version 6.5. Cochrane. Available at: https://www.cochrane.org/authors/handbooks-and-manuals/handbook (Accessed: 10 August 2026).</w:t>
      </w:r>
    </w:p>
    <w:p w14:paraId="3824ECF8" w14:textId="77777777" w:rsidR="002360FE" w:rsidRPr="00277198" w:rsidRDefault="002360FE" w:rsidP="00F2459C">
      <w:pPr>
        <w:rPr>
          <w:sz w:val="22"/>
          <w:lang w:val="en-US"/>
        </w:rPr>
      </w:pPr>
      <w:r w:rsidRPr="00277198">
        <w:rPr>
          <w:sz w:val="22"/>
          <w:lang w:val="en-US"/>
        </w:rPr>
        <w:t xml:space="preserve">Holmes, E.A.F., Harris, S.D., Hughes, A., Craine, N. and Hughes, D.A. (2018). Cost-effectiveness analysis of the use of point-of-care C-reactive protein testing to reduce antibiotic prescribing in primary care. </w:t>
      </w:r>
      <w:r w:rsidRPr="00277198">
        <w:rPr>
          <w:i/>
          <w:iCs/>
          <w:sz w:val="22"/>
          <w:lang w:val="en-US"/>
        </w:rPr>
        <w:t>Antibiotics</w:t>
      </w:r>
      <w:r w:rsidRPr="00277198">
        <w:rPr>
          <w:sz w:val="22"/>
          <w:lang w:val="en-US"/>
        </w:rPr>
        <w:t>, 7(4), 106. https://doi.org/10.3390/antibiotics7040106</w:t>
      </w:r>
    </w:p>
    <w:p w14:paraId="7BA3C493" w14:textId="77777777" w:rsidR="002360FE" w:rsidRPr="00277198" w:rsidRDefault="002360FE" w:rsidP="004E1178">
      <w:pPr>
        <w:rPr>
          <w:sz w:val="22"/>
        </w:rPr>
      </w:pPr>
      <w:r w:rsidRPr="00277198">
        <w:rPr>
          <w:sz w:val="22"/>
        </w:rPr>
        <w:t xml:space="preserve">JBI (2024) </w:t>
      </w:r>
      <w:r w:rsidRPr="00277198">
        <w:rPr>
          <w:i/>
          <w:sz w:val="22"/>
        </w:rPr>
        <w:t>JBI manual for evidence synthesis</w:t>
      </w:r>
      <w:r w:rsidRPr="00277198">
        <w:rPr>
          <w:sz w:val="22"/>
        </w:rPr>
        <w:t>. Available at: https://synthesismanual.jbi.global/ (Accessed: 10 August 2026).</w:t>
      </w:r>
    </w:p>
    <w:p w14:paraId="54B93D7A" w14:textId="77777777" w:rsidR="002360FE" w:rsidRPr="00277198" w:rsidRDefault="002360FE" w:rsidP="00F2459C">
      <w:pPr>
        <w:rPr>
          <w:sz w:val="22"/>
          <w:lang w:val="en-US"/>
        </w:rPr>
      </w:pPr>
      <w:r w:rsidRPr="00277198">
        <w:rPr>
          <w:sz w:val="22"/>
          <w:lang w:val="en-US"/>
        </w:rPr>
        <w:t xml:space="preserve">Jones, L.F., Owens, R., Sallis, A., Ashiru-Oredope, D., Thornley, T., Francis, N.A., Butler, C.C. and McNulty, C.A.M. (2018). Qualitative study using interviews and focus groups to explore the current and potential for antimicrobial stewardship in community pharmacy informed by the Theoretical Domains Framework. </w:t>
      </w:r>
      <w:r w:rsidRPr="00277198">
        <w:rPr>
          <w:i/>
          <w:iCs/>
          <w:sz w:val="22"/>
          <w:lang w:val="en-US"/>
        </w:rPr>
        <w:t>BMJ Open</w:t>
      </w:r>
      <w:r w:rsidRPr="00277198">
        <w:rPr>
          <w:sz w:val="22"/>
          <w:lang w:val="en-US"/>
        </w:rPr>
        <w:t>, 8(12), e025101. https://doi.org/10.1136/bmjopen-2018-025101</w:t>
      </w:r>
    </w:p>
    <w:p w14:paraId="617857BF" w14:textId="77777777" w:rsidR="002360FE" w:rsidRPr="00277198" w:rsidRDefault="002360FE" w:rsidP="004E1178">
      <w:pPr>
        <w:rPr>
          <w:sz w:val="22"/>
          <w:lang w:val="en-US"/>
        </w:rPr>
      </w:pPr>
      <w:r w:rsidRPr="00277198">
        <w:rPr>
          <w:sz w:val="22"/>
          <w:lang w:val="en-US"/>
        </w:rPr>
        <w:t>Jundi, S.A. and Elshenawy, R.A. (2026). P52 NHS Pharmacy First service: evaluating antimicrobial stewardship through WHO AWaRe classification and NICE guideline concordance in England (2024–2025). doi:https://doi.org/10.1093/jacamr/dlag102.058.</w:t>
      </w:r>
    </w:p>
    <w:p w14:paraId="60CB1FD7" w14:textId="77777777" w:rsidR="002360FE" w:rsidRPr="00277198" w:rsidRDefault="002360FE" w:rsidP="00F2459C">
      <w:pPr>
        <w:rPr>
          <w:sz w:val="22"/>
          <w:lang w:val="en-US"/>
        </w:rPr>
      </w:pPr>
      <w:r w:rsidRPr="00277198">
        <w:rPr>
          <w:sz w:val="22"/>
          <w:lang w:val="en-US"/>
        </w:rPr>
        <w:t xml:space="preserve">Knowles, R., Chandler, C., O’Neill, S., Sharland, M. and Mays, N. (2024). A systematic review of national interventions and policies to optimize antibiotic use in healthcare settings in England. </w:t>
      </w:r>
      <w:r w:rsidRPr="00277198">
        <w:rPr>
          <w:i/>
          <w:iCs/>
          <w:sz w:val="22"/>
          <w:lang w:val="en-US"/>
        </w:rPr>
        <w:t>Journal of Antimicrobial Chemotherapy</w:t>
      </w:r>
      <w:r w:rsidRPr="00277198">
        <w:rPr>
          <w:sz w:val="22"/>
          <w:lang w:val="en-US"/>
        </w:rPr>
        <w:t>, 79(6), pp.1234–1247. https://doi.org/10.1093/jac/dkae061</w:t>
      </w:r>
    </w:p>
    <w:p w14:paraId="6B9152B2" w14:textId="77777777" w:rsidR="002360FE" w:rsidRPr="00277198" w:rsidRDefault="002360FE" w:rsidP="00F2459C">
      <w:pPr>
        <w:rPr>
          <w:sz w:val="22"/>
          <w:lang w:val="en-US"/>
        </w:rPr>
      </w:pPr>
      <w:r w:rsidRPr="00277198">
        <w:rPr>
          <w:sz w:val="22"/>
          <w:lang w:val="en-US"/>
        </w:rPr>
        <w:t xml:space="preserve">Lakha, A., Fleming, N., Sonnex, K., Thornley, T., Anderson, C., Hand, K. and Ashiru-Oredope, D. (2024). Evaluating the role of primary care pharmacy technicians in antimicrobial stewardship (AMS) and acne management using TARGET resources. </w:t>
      </w:r>
      <w:r w:rsidRPr="00277198">
        <w:rPr>
          <w:i/>
          <w:iCs/>
          <w:sz w:val="22"/>
          <w:lang w:val="en-US"/>
        </w:rPr>
        <w:t>JAC-Antimicrobial Resistance</w:t>
      </w:r>
      <w:r w:rsidRPr="00277198">
        <w:rPr>
          <w:sz w:val="22"/>
          <w:lang w:val="en-US"/>
        </w:rPr>
        <w:t>, 6(1), dlae011. https://doi.org/10.1093/jacamr/dlae011</w:t>
      </w:r>
    </w:p>
    <w:p w14:paraId="411E5D77" w14:textId="77777777" w:rsidR="002360FE" w:rsidRPr="00277198" w:rsidRDefault="002360FE" w:rsidP="004E1178">
      <w:pPr>
        <w:rPr>
          <w:sz w:val="22"/>
          <w:lang w:val="en-US"/>
        </w:rPr>
      </w:pPr>
      <w:r w:rsidRPr="00277198">
        <w:rPr>
          <w:sz w:val="22"/>
          <w:lang w:val="en-US"/>
        </w:rPr>
        <w:t xml:space="preserve">Lambert, M., van Dijk, L., Benko, R., Llor, C., Lykkegaard, J., Mantel-Teeuwisse, A.K., Pont, L. and Taxis, K. (2025). The role of the community pharmacist in antibiotic use – a commentary on current status and future perspectives. </w:t>
      </w:r>
      <w:r w:rsidRPr="00277198">
        <w:rPr>
          <w:i/>
          <w:iCs/>
          <w:sz w:val="22"/>
          <w:lang w:val="en-US"/>
        </w:rPr>
        <w:t>Exploratory Research in Clinical and Social Pharmacy</w:t>
      </w:r>
      <w:r w:rsidRPr="00277198">
        <w:rPr>
          <w:sz w:val="22"/>
          <w:lang w:val="en-US"/>
        </w:rPr>
        <w:t>, 20, p.100652. doi:https://doi.org/10.1016/j.rcsop.2025.100652.</w:t>
      </w:r>
    </w:p>
    <w:p w14:paraId="44F48029" w14:textId="77777777" w:rsidR="002360FE" w:rsidRPr="00277198" w:rsidRDefault="002360FE" w:rsidP="004E1178">
      <w:pPr>
        <w:rPr>
          <w:sz w:val="22"/>
        </w:rPr>
      </w:pPr>
      <w:r w:rsidRPr="00277198">
        <w:rPr>
          <w:sz w:val="22"/>
        </w:rPr>
        <w:t>Lee, M.X., Hayes, C.V., Ashiru-Oredope, D., Thornley, T., Howard, P., Saei, A., Eastwood, L. and Lecky, D.M. (2025) 'Exploring community pharmacy professionals and general practitioners' views on primary care communication and pathways to access antibiotics in England', Journal of Antimicrobial Chemotherapy, 80(7), pp. 1828–1836. https://doi.org/10.1093/jac/dkaf135.</w:t>
      </w:r>
    </w:p>
    <w:p w14:paraId="72E58E3E" w14:textId="77777777" w:rsidR="002360FE" w:rsidRPr="00277198" w:rsidRDefault="002360FE" w:rsidP="004E1178">
      <w:pPr>
        <w:rPr>
          <w:sz w:val="22"/>
        </w:rPr>
      </w:pPr>
      <w:r w:rsidRPr="00277198">
        <w:rPr>
          <w:sz w:val="22"/>
        </w:rPr>
        <w:t xml:space="preserve">Lefebvre, C., Glanville, J., Briscoe, S., Featherstone, R., Littlewood, A., Metzendorf, M.-I., Noel-Storr, A., Paynter, R., Rader, T., Thomas, J. and Wieland, L.S. (2024) 'Chapter 4: Searching for and selecting studies', in Higgins, J.P.T. et al. (eds.) </w:t>
      </w:r>
      <w:r w:rsidRPr="00277198">
        <w:rPr>
          <w:i/>
          <w:sz w:val="22"/>
        </w:rPr>
        <w:t>Cochrane handbook for systematic reviews of interventions</w:t>
      </w:r>
      <w:r w:rsidRPr="00277198">
        <w:rPr>
          <w:sz w:val="22"/>
        </w:rPr>
        <w:t>, version 6.5. Cochrane. Available at: https://www.cochrane.org/authors/handbooks-and-manuals/handbook/current/chapter-04 (Accessed: 10 August 2026).</w:t>
      </w:r>
    </w:p>
    <w:p w14:paraId="6B8EC932" w14:textId="77777777" w:rsidR="002360FE" w:rsidRPr="00277198" w:rsidRDefault="002360FE" w:rsidP="00F2459C">
      <w:pPr>
        <w:rPr>
          <w:sz w:val="22"/>
          <w:lang w:val="en-US"/>
        </w:rPr>
      </w:pPr>
      <w:r w:rsidRPr="00277198">
        <w:rPr>
          <w:sz w:val="22"/>
          <w:lang w:val="en-US"/>
        </w:rPr>
        <w:t xml:space="preserve">Lishman, H., Costelloe, C., Hopkins, S., Johnson, A.P., Hope, R., Guy, R., Muller-Pebody, B., Holmes, A. and Aylin, P. (2018). Exploring the relationship between primary care antibiotic prescribing for urinary tract infections, Escherichia coli bacteraemia incidence and antimicrobial resistance: an ecological study. </w:t>
      </w:r>
      <w:r w:rsidRPr="00277198">
        <w:rPr>
          <w:i/>
          <w:iCs/>
          <w:sz w:val="22"/>
          <w:lang w:val="en-US"/>
        </w:rPr>
        <w:t>International Journal of Antimicrobial Agents</w:t>
      </w:r>
      <w:r w:rsidRPr="00277198">
        <w:rPr>
          <w:sz w:val="22"/>
          <w:lang w:val="en-US"/>
        </w:rPr>
        <w:t>, 52(6), pp.790–798. https://doi.org/10.1016/j.ijantimicag.2018.08.013</w:t>
      </w:r>
    </w:p>
    <w:p w14:paraId="5FC979EC" w14:textId="77777777" w:rsidR="002360FE" w:rsidRPr="00277198" w:rsidRDefault="002360FE" w:rsidP="00F2459C">
      <w:pPr>
        <w:rPr>
          <w:sz w:val="22"/>
          <w:lang w:val="en-US"/>
        </w:rPr>
      </w:pPr>
      <w:r w:rsidRPr="00277198">
        <w:rPr>
          <w:sz w:val="22"/>
          <w:lang w:val="en-US"/>
        </w:rPr>
        <w:t xml:space="preserve">Little, P., Francis, N.A., Stuart, B., O'Reilly, G., Thompson, N., Becque, T., Hay, A.D., Wang, K., Sharland, M., Harnden, A. et al. (2021). Antibiotics for lower respiratory tract infection in children presenting in primary care in England (ARTIC PC): a double-blind, randomised, placebo-controlled trial. </w:t>
      </w:r>
      <w:r w:rsidRPr="00277198">
        <w:rPr>
          <w:i/>
          <w:iCs/>
          <w:sz w:val="22"/>
          <w:lang w:val="en-US"/>
        </w:rPr>
        <w:t>The Lancet</w:t>
      </w:r>
      <w:r w:rsidRPr="00277198">
        <w:rPr>
          <w:sz w:val="22"/>
          <w:lang w:val="en-US"/>
        </w:rPr>
        <w:t>, 398(10309), pp.1417–1426. https://doi.org/10.1016/S0140-6736(21)01431-8</w:t>
      </w:r>
    </w:p>
    <w:p w14:paraId="6385D953" w14:textId="77777777" w:rsidR="002360FE" w:rsidRPr="00277198" w:rsidRDefault="002360FE" w:rsidP="004E1178">
      <w:pPr>
        <w:rPr>
          <w:sz w:val="22"/>
        </w:rPr>
      </w:pPr>
      <w:r w:rsidRPr="00277198">
        <w:rPr>
          <w:sz w:val="22"/>
        </w:rPr>
        <w:t>Mantzourani, E., Ahmed, H., Bethel, J., Turner, S., Akbari, A., Evans, A., Prettyjohns, M., John, G., Gunnarsson, R. and Cannings-John, R. (2025) 'Clinical outcomes following acute sore throat assessment at community pharmacy versus general practice: a retrospective, longitudinal, data linkage study', Journal of Antimicrobial Chemotherapy, 80(1), pp. 227–237. https://doi.org/10.1093/jac/dkae400.</w:t>
      </w:r>
    </w:p>
    <w:p w14:paraId="20EF2CC8" w14:textId="77777777" w:rsidR="002360FE" w:rsidRPr="00277198" w:rsidRDefault="002360FE" w:rsidP="00F2459C">
      <w:pPr>
        <w:rPr>
          <w:sz w:val="22"/>
          <w:lang w:val="en-US"/>
        </w:rPr>
      </w:pPr>
      <w:r w:rsidRPr="00277198">
        <w:rPr>
          <w:sz w:val="22"/>
          <w:lang w:val="en-US"/>
        </w:rPr>
        <w:t xml:space="preserve">Mantzourani, E., Ahmed, H., Evans, A., Gunnarsson, R. and Cannings-John, R. (2024). A pharmacy-led sore throat test and treat (STTT) service: antigen testing and antibiotic supply rates during the period of heightened public awareness of Group A Streptococcus infections. </w:t>
      </w:r>
      <w:r w:rsidRPr="00277198">
        <w:rPr>
          <w:i/>
          <w:iCs/>
          <w:sz w:val="22"/>
          <w:lang w:val="en-US"/>
        </w:rPr>
        <w:t>Journal of Antimicrobial Chemotherapy</w:t>
      </w:r>
      <w:r w:rsidRPr="00277198">
        <w:rPr>
          <w:sz w:val="22"/>
          <w:lang w:val="en-US"/>
        </w:rPr>
        <w:t>, 79(2), pp.354–359. https://doi.org/10.1093/jac/dkad388</w:t>
      </w:r>
    </w:p>
    <w:p w14:paraId="1295B027" w14:textId="77777777" w:rsidR="002360FE" w:rsidRPr="00277198" w:rsidRDefault="002360FE" w:rsidP="004E1178">
      <w:pPr>
        <w:rPr>
          <w:sz w:val="22"/>
        </w:rPr>
      </w:pPr>
      <w:r w:rsidRPr="00277198">
        <w:rPr>
          <w:sz w:val="22"/>
        </w:rPr>
        <w:t>Mantzourani, E., Ahmed, H., Evans, A., Macdonald, S., Lintern, G., Phyfer, R., Davies, M. and Cannings-John, R. (2026) 'A national pilot community pharmacy-led urinary tract infection service: clinical and patient-reported outcomes from 9,077 consultations', Journal of Antimicrobial Chemotherapy, 81(1), dkaf466. https://doi.org/10.1093/jac/dkaf466.</w:t>
      </w:r>
    </w:p>
    <w:p w14:paraId="13938430" w14:textId="77777777" w:rsidR="002360FE" w:rsidRPr="00277198" w:rsidRDefault="002360FE" w:rsidP="004E1178">
      <w:pPr>
        <w:rPr>
          <w:sz w:val="22"/>
        </w:rPr>
      </w:pPr>
      <w:r w:rsidRPr="00277198">
        <w:rPr>
          <w:sz w:val="22"/>
        </w:rPr>
        <w:t>Mantzourani, E., Cannings-John, R., Evans, A. and Ahmed, H. (2022) 'To swab or not to swab? Using point-of-care tests to detect Group A Streptococcus infections as part of a Sore Throat Test and Treat service in community pharmacy', Journal of Antimicrobial Chemotherapy, 77(3), pp. 803–806. https://doi.org/10.1093/jac/dkab470.</w:t>
      </w:r>
    </w:p>
    <w:p w14:paraId="1D42EBDF" w14:textId="69E2F5C1" w:rsidR="002360FE" w:rsidRPr="00277198" w:rsidRDefault="002360FE" w:rsidP="004E1178">
      <w:pPr>
        <w:rPr>
          <w:sz w:val="22"/>
          <w:lang w:val="en-US"/>
        </w:rPr>
      </w:pPr>
      <w:r w:rsidRPr="00277198">
        <w:rPr>
          <w:sz w:val="22"/>
          <w:lang w:val="en-US"/>
        </w:rPr>
        <w:t>Mantzourani, E., Cannings-John, R., Evans, A., Ahmed, H., Meudell, A., Hill, I., Williams, E., Way, C., Hood, K., Legay, B., Houldcroft, L. and Deslandes, R. (2020</w:t>
      </w:r>
      <w:r w:rsidR="00741319">
        <w:rPr>
          <w:sz w:val="22"/>
          <w:lang w:val="en-US"/>
        </w:rPr>
        <w:t>a</w:t>
      </w:r>
      <w:r w:rsidRPr="00277198">
        <w:rPr>
          <w:sz w:val="22"/>
          <w:lang w:val="en-US"/>
        </w:rPr>
        <w:t xml:space="preserve">). Understanding the impact of a new pharmacy sore throat test and treat service on patient experience: A survey study. </w:t>
      </w:r>
      <w:r w:rsidRPr="00277198">
        <w:rPr>
          <w:i/>
          <w:iCs/>
          <w:sz w:val="22"/>
          <w:lang w:val="en-US"/>
        </w:rPr>
        <w:t>Research in Social and Administrative Pharmacy</w:t>
      </w:r>
      <w:r w:rsidRPr="00277198">
        <w:rPr>
          <w:sz w:val="22"/>
          <w:lang w:val="en-US"/>
        </w:rPr>
        <w:t>. doi:https://doi.org/10.1016/j.sapharm.2020.07.034.</w:t>
      </w:r>
    </w:p>
    <w:p w14:paraId="2B5F99F6" w14:textId="219A28B3" w:rsidR="002360FE" w:rsidRPr="00277198" w:rsidRDefault="002360FE" w:rsidP="004E1178">
      <w:pPr>
        <w:rPr>
          <w:sz w:val="22"/>
        </w:rPr>
      </w:pPr>
      <w:r w:rsidRPr="00277198">
        <w:rPr>
          <w:sz w:val="22"/>
        </w:rPr>
        <w:t>Mantzourani, E., Evans, A., Cannings-John, R., Ahmed, H., Hood, K., Reid, N., Howe, R., Williams, E. and Way, C. (2020</w:t>
      </w:r>
      <w:r w:rsidR="00741319">
        <w:rPr>
          <w:sz w:val="22"/>
        </w:rPr>
        <w:t>b</w:t>
      </w:r>
      <w:r w:rsidRPr="00277198">
        <w:rPr>
          <w:sz w:val="22"/>
        </w:rPr>
        <w:t>) 'Impact of a pilot NHS-funded sore throat test and treat service in community pharmacies on provision and quality of patient care', BMJ Open Quality, 9(1), e000833. https://doi.org/10.1136/bmjoq-2019-000833.</w:t>
      </w:r>
    </w:p>
    <w:p w14:paraId="0DA244F1" w14:textId="77777777" w:rsidR="002360FE" w:rsidRPr="00277198" w:rsidRDefault="002360FE" w:rsidP="004E1178">
      <w:pPr>
        <w:rPr>
          <w:sz w:val="22"/>
        </w:rPr>
      </w:pPr>
      <w:r w:rsidRPr="00277198">
        <w:rPr>
          <w:sz w:val="22"/>
        </w:rPr>
        <w:t>Mantzourani, E., Hicks, R., Evans, A., Williams, E., Way, C. and Deslandes, R. (2019) 'Community pharmacist views on the early stages of implementation of a pathfinder sore throat test and treat service in Wales: an exploratory study', Integrated Pharmacy Research and Practice, 8, pp. 105–113. https://doi.org/10.2147/IPRP.S225333.</w:t>
      </w:r>
    </w:p>
    <w:p w14:paraId="253B8B79" w14:textId="77777777" w:rsidR="002360FE" w:rsidRPr="00277198" w:rsidRDefault="002360FE" w:rsidP="004E1178">
      <w:pPr>
        <w:rPr>
          <w:sz w:val="22"/>
        </w:rPr>
      </w:pPr>
      <w:r w:rsidRPr="00277198">
        <w:rPr>
          <w:sz w:val="22"/>
        </w:rPr>
        <w:t>Mantzourani, E., Wasag, D., Cannings-John, R., Ahmed, H. and Evans, A. (2023) 'Characteristics of the sore throat test and treat service in community pharmacies (STREP) in Wales: cross-sectional analysis of 11,304 consultations using anonymized electronic pharmacy records', Journal of Antimicrobial Chemotherapy, 78(1), pp. 84–92. https://doi.org/10.1093/jac/dkac358.</w:t>
      </w:r>
    </w:p>
    <w:p w14:paraId="78626417" w14:textId="77777777" w:rsidR="002360FE" w:rsidRPr="00277198" w:rsidRDefault="002360FE" w:rsidP="004E1178">
      <w:pPr>
        <w:rPr>
          <w:sz w:val="22"/>
          <w:lang w:val="en-US"/>
        </w:rPr>
      </w:pPr>
      <w:r w:rsidRPr="00277198">
        <w:rPr>
          <w:sz w:val="22"/>
          <w:lang w:val="en-US"/>
        </w:rPr>
        <w:t xml:space="preserve">Martin, S.J., Chadwick, S., Bakhit, M., Frost, K.J., Hawksworth, G. and Aldeyab, M.A. (2024). Exploring antimicrobial stewardship education and training support for community pharmacists in the United Kingdom. </w:t>
      </w:r>
      <w:r w:rsidRPr="00277198">
        <w:rPr>
          <w:i/>
          <w:iCs/>
          <w:sz w:val="22"/>
          <w:lang w:val="en-US"/>
        </w:rPr>
        <w:t>Journal of Pharmaceutical Policy and Practice</w:t>
      </w:r>
      <w:r w:rsidRPr="00277198">
        <w:rPr>
          <w:sz w:val="22"/>
          <w:lang w:val="en-US"/>
        </w:rPr>
        <w:t>, 17(1). doi:https://doi.org/10.1080/20523211.2024.2365224.</w:t>
      </w:r>
    </w:p>
    <w:p w14:paraId="71A6BCF7" w14:textId="77777777" w:rsidR="002360FE" w:rsidRPr="00277198" w:rsidRDefault="002360FE" w:rsidP="00F2459C">
      <w:pPr>
        <w:rPr>
          <w:sz w:val="22"/>
          <w:lang w:val="en-US"/>
        </w:rPr>
      </w:pPr>
      <w:r w:rsidRPr="00277198">
        <w:rPr>
          <w:sz w:val="22"/>
          <w:lang w:val="en-US"/>
        </w:rPr>
        <w:t xml:space="preserve">Marwick, C.A., Hossain, A., Nogueira, R., Sneddon, J., Kavanagh, K., Bennie, M., Seaton, R.A., Guthrie, B. and Malcolm, W. (2022). Feedback of Antibiotic Prescribing in Primary Care (FAPPC) trial: results of a real-world cluster randomized controlled trial in Scotland, UK. </w:t>
      </w:r>
      <w:r w:rsidRPr="00277198">
        <w:rPr>
          <w:i/>
          <w:iCs/>
          <w:sz w:val="22"/>
          <w:lang w:val="en-US"/>
        </w:rPr>
        <w:t>Journal of Antimicrobial Chemotherapy</w:t>
      </w:r>
      <w:r w:rsidRPr="00277198">
        <w:rPr>
          <w:sz w:val="22"/>
          <w:lang w:val="en-US"/>
        </w:rPr>
        <w:t>, 77(12), pp.3291–3300. https://doi.org/10.1093/jac/dkac317</w:t>
      </w:r>
    </w:p>
    <w:p w14:paraId="24AC3E40" w14:textId="77777777" w:rsidR="002360FE" w:rsidRPr="00277198" w:rsidRDefault="002360FE" w:rsidP="00F2459C">
      <w:pPr>
        <w:rPr>
          <w:sz w:val="22"/>
          <w:lang w:val="en-US"/>
        </w:rPr>
      </w:pPr>
      <w:r w:rsidRPr="00277198">
        <w:rPr>
          <w:sz w:val="22"/>
          <w:lang w:val="en-US"/>
        </w:rPr>
        <w:t xml:space="preserve">Matuluko, A., Chu, I., Lalani, M., Pacho, A., Mays, N. and Glover, R.E. (2026). GPs' perspectives on Pharmacy First Services in England: a qualitative study. </w:t>
      </w:r>
      <w:r w:rsidRPr="00277198">
        <w:rPr>
          <w:i/>
          <w:iCs/>
          <w:sz w:val="22"/>
          <w:lang w:val="en-US"/>
        </w:rPr>
        <w:t>British Journal of General Practice</w:t>
      </w:r>
      <w:r w:rsidRPr="00277198">
        <w:rPr>
          <w:sz w:val="22"/>
          <w:lang w:val="en-US"/>
        </w:rPr>
        <w:t>, 76(suppl 1), bjgp26X745113. https://doi.org/10.3399/bjgp26X745113</w:t>
      </w:r>
    </w:p>
    <w:p w14:paraId="7EDCF417" w14:textId="77777777" w:rsidR="002360FE" w:rsidRPr="00277198" w:rsidRDefault="002360FE" w:rsidP="004E1178">
      <w:pPr>
        <w:rPr>
          <w:sz w:val="22"/>
        </w:rPr>
      </w:pPr>
      <w:r w:rsidRPr="00277198">
        <w:rPr>
          <w:sz w:val="22"/>
        </w:rPr>
        <w:t>Matuluko, A., Mantzourani, E., Ahmed, H., Cannings-John, R., Evans, A., Lalani, M., Mays, N. and Glover, R.E. (2025) 'Comparison of antibiotic provision associated with acute sore throat symptom management in community pharmacies in Wales and England: a natural policy experiment', Journal of Antimicrobial Chemotherapy, 80(5), pp. 1256–1260. https://doi.org/10.1093/jac/dkaf057.</w:t>
      </w:r>
    </w:p>
    <w:p w14:paraId="7D8D0432" w14:textId="77777777" w:rsidR="002360FE" w:rsidRPr="00277198" w:rsidRDefault="002360FE" w:rsidP="004E1178">
      <w:pPr>
        <w:rPr>
          <w:sz w:val="22"/>
          <w:lang w:val="en-US"/>
        </w:rPr>
      </w:pPr>
      <w:r w:rsidRPr="00277198">
        <w:rPr>
          <w:sz w:val="22"/>
          <w:lang w:val="en-US"/>
        </w:rPr>
        <w:t xml:space="preserve">McCloskey, A., Malabar, L., McCabe, P.G., Gitsham, A. and Jarman, I.H. (2023). Antibiotic prescribing trends in primary care 2014–2022. </w:t>
      </w:r>
      <w:r w:rsidRPr="00277198">
        <w:rPr>
          <w:i/>
          <w:iCs/>
          <w:sz w:val="22"/>
          <w:lang w:val="en-US"/>
        </w:rPr>
        <w:t>Research in Social &amp; Administrative Pharmacy</w:t>
      </w:r>
      <w:r w:rsidRPr="00277198">
        <w:rPr>
          <w:sz w:val="22"/>
          <w:lang w:val="en-US"/>
        </w:rPr>
        <w:t>, 19(8). doi:https://doi.org/10.1016/j.sapharm.2023.05.001.</w:t>
      </w:r>
    </w:p>
    <w:p w14:paraId="25E6FD75" w14:textId="77777777" w:rsidR="002360FE" w:rsidRPr="00277198" w:rsidRDefault="002360FE" w:rsidP="00F2459C">
      <w:pPr>
        <w:rPr>
          <w:sz w:val="22"/>
          <w:lang w:val="en-US"/>
        </w:rPr>
      </w:pPr>
      <w:r w:rsidRPr="00277198">
        <w:rPr>
          <w:sz w:val="22"/>
          <w:lang w:val="en-US"/>
        </w:rPr>
        <w:t xml:space="preserve">McLeod, M., Ahmad, R., Shebl, N.A., Micallef, C., Sim, F. and Holmes, A. (2019). A whole-health-economy approach to antimicrobial stewardship: analysis of current models and future direction. </w:t>
      </w:r>
      <w:r w:rsidRPr="00277198">
        <w:rPr>
          <w:i/>
          <w:iCs/>
          <w:sz w:val="22"/>
          <w:lang w:val="en-US"/>
        </w:rPr>
        <w:t>PLoS Medicine</w:t>
      </w:r>
      <w:r w:rsidRPr="00277198">
        <w:rPr>
          <w:sz w:val="22"/>
          <w:lang w:val="en-US"/>
        </w:rPr>
        <w:t>, 16(3), e1002774. https://doi.org/10.1371/journal.pmed.1002774</w:t>
      </w:r>
    </w:p>
    <w:p w14:paraId="29963EC2" w14:textId="77777777" w:rsidR="002360FE" w:rsidRPr="00277198" w:rsidRDefault="002360FE" w:rsidP="004E1178">
      <w:pPr>
        <w:rPr>
          <w:sz w:val="22"/>
          <w:lang w:val="en-US"/>
        </w:rPr>
      </w:pPr>
      <w:r w:rsidRPr="00277198">
        <w:rPr>
          <w:sz w:val="22"/>
          <w:lang w:val="en-US"/>
        </w:rPr>
        <w:t>McLeod, M., Beech, E., Oettle, R., Davies, K., Jamieson, C., Marshall, F., Fleming, N., Lakha, A., Damant, G., Whitney, L. and Hand, K. (2026). NHS England Improvement and Assurance Schemes: ESPAUR Report 2024-25. doi:https://doi.org/10.1093/jacamr/dlaf243.004.</w:t>
      </w:r>
    </w:p>
    <w:p w14:paraId="03F2565F" w14:textId="77777777" w:rsidR="002360FE" w:rsidRPr="00277198" w:rsidRDefault="002360FE" w:rsidP="00F2459C">
      <w:pPr>
        <w:rPr>
          <w:sz w:val="22"/>
          <w:lang w:val="en-US"/>
        </w:rPr>
      </w:pPr>
      <w:r w:rsidRPr="00277198">
        <w:rPr>
          <w:sz w:val="22"/>
          <w:lang w:val="en-US"/>
        </w:rPr>
        <w:t xml:space="preserve">McNulty, C.A.M., Collin, S.M., Cooper, E., Lecky, D.M. and Butler, C.C. (2019). Public understanding and use of antibiotics in England: findings from a household survey in 2017. </w:t>
      </w:r>
      <w:r w:rsidRPr="00277198">
        <w:rPr>
          <w:i/>
          <w:iCs/>
          <w:sz w:val="22"/>
          <w:lang w:val="en-US"/>
        </w:rPr>
        <w:t>BMJ Open</w:t>
      </w:r>
      <w:r w:rsidRPr="00277198">
        <w:rPr>
          <w:sz w:val="22"/>
          <w:lang w:val="en-US"/>
        </w:rPr>
        <w:t>, 9(10), e030845. https://doi.org/10.1136/bmjopen-2019-030845</w:t>
      </w:r>
    </w:p>
    <w:p w14:paraId="02E82F57" w14:textId="77777777" w:rsidR="002360FE" w:rsidRPr="00277198" w:rsidRDefault="002360FE" w:rsidP="00F2459C">
      <w:pPr>
        <w:rPr>
          <w:sz w:val="22"/>
          <w:lang w:val="en-US"/>
        </w:rPr>
      </w:pPr>
      <w:r w:rsidRPr="00277198">
        <w:rPr>
          <w:sz w:val="22"/>
          <w:lang w:val="en-US"/>
        </w:rPr>
        <w:t xml:space="preserve">McNulty, C.A.M., Hawking, M.K.D., Lecky, D., Jones, L., Owens, R., Charlett, A., Butler, C., Moore, P. and Francis, N. (2018). Effects of primary care antimicrobial stewardship outreach on antibiotic use by general practice staff: pragmatic randomized controlled trial of the TARGET antibiotics workshop. </w:t>
      </w:r>
      <w:r w:rsidRPr="00277198">
        <w:rPr>
          <w:i/>
          <w:iCs/>
          <w:sz w:val="22"/>
          <w:lang w:val="en-US"/>
        </w:rPr>
        <w:t>Journal of Antimicrobial Chemotherapy</w:t>
      </w:r>
      <w:r w:rsidRPr="00277198">
        <w:rPr>
          <w:sz w:val="22"/>
          <w:lang w:val="en-US"/>
        </w:rPr>
        <w:t>, 73(5), pp.1423–1432. https://doi.org/10.1093/jac/dky004</w:t>
      </w:r>
    </w:p>
    <w:p w14:paraId="206CD242" w14:textId="77777777" w:rsidR="002360FE" w:rsidRPr="00277198" w:rsidRDefault="002360FE" w:rsidP="004E1178">
      <w:pPr>
        <w:rPr>
          <w:sz w:val="22"/>
          <w:lang w:val="en-US"/>
        </w:rPr>
      </w:pPr>
      <w:r w:rsidRPr="00277198">
        <w:rPr>
          <w:sz w:val="22"/>
          <w:lang w:val="en-US"/>
        </w:rPr>
        <w:t xml:space="preserve">Meadows, J., Lee, M.X., Ahmad, R., Wehling, H., Zhu, N., Taylor-Egbeyemi, J., Smith, L.E., Weston, D., Hand, K. and Lecky, D.M. (2025). Exploring factors affecting the national implementation and uptake of an antimicrobial stewardship training programme to primary care providers in England. </w:t>
      </w:r>
      <w:r w:rsidRPr="00277198">
        <w:rPr>
          <w:i/>
          <w:iCs/>
          <w:sz w:val="22"/>
          <w:lang w:val="en-US"/>
        </w:rPr>
        <w:t>JAC-Antimicrobial Resistance</w:t>
      </w:r>
      <w:r w:rsidRPr="00277198">
        <w:rPr>
          <w:sz w:val="22"/>
          <w:lang w:val="en-US"/>
        </w:rPr>
        <w:t>, 7(6). doi:https://doi.org/10.1093/jacamr/dlaf212.</w:t>
      </w:r>
    </w:p>
    <w:p w14:paraId="09CAE38E" w14:textId="77777777" w:rsidR="002360FE" w:rsidRPr="00277198" w:rsidRDefault="002360FE" w:rsidP="004E1178">
      <w:pPr>
        <w:rPr>
          <w:sz w:val="22"/>
          <w:lang w:val="en-US"/>
        </w:rPr>
      </w:pPr>
      <w:r w:rsidRPr="00277198">
        <w:rPr>
          <w:sz w:val="22"/>
          <w:lang w:val="en-US"/>
        </w:rPr>
        <w:t xml:space="preserve">Miller, L., Beaney, T., Hope, R., Cunningham, M., Robotham, J.V., Pouwels, K.B. and Costelloe, C.E. (2025). General practice antibiotic prescriptions attributable to respiratory syncytial virus by age and antibiotic class: an ecological analysis of the English population. </w:t>
      </w:r>
      <w:r w:rsidRPr="00277198">
        <w:rPr>
          <w:i/>
          <w:iCs/>
          <w:sz w:val="22"/>
          <w:lang w:val="en-US"/>
        </w:rPr>
        <w:t>Journal of Antimicrobial Chemotherapy</w:t>
      </w:r>
      <w:r w:rsidRPr="00277198">
        <w:rPr>
          <w:sz w:val="22"/>
          <w:lang w:val="en-US"/>
        </w:rPr>
        <w:t>, 80(4), pp.1116–1126. doi:https://doi.org/10.1093/jac/dkaf043.</w:t>
      </w:r>
    </w:p>
    <w:p w14:paraId="47888432" w14:textId="77777777" w:rsidR="002360FE" w:rsidRPr="00277198" w:rsidRDefault="002360FE" w:rsidP="004E1178">
      <w:pPr>
        <w:rPr>
          <w:sz w:val="22"/>
        </w:rPr>
      </w:pPr>
      <w:r w:rsidRPr="00277198">
        <w:rPr>
          <w:sz w:val="22"/>
        </w:rPr>
        <w:t xml:space="preserve">Moher, D., Shamseer, L., Clarke, M., Ghersi, D., Liberati, A., Petticrew, M., Shekelle, P., Stewart, L.A. and PRISMA-P Group (2015) 'Preferred reporting items for systematic review and meta-analysis protocols (PRISMA-P) 2015 statement', </w:t>
      </w:r>
      <w:r w:rsidRPr="00277198">
        <w:rPr>
          <w:i/>
          <w:sz w:val="22"/>
        </w:rPr>
        <w:t>Systematic Reviews</w:t>
      </w:r>
      <w:r w:rsidRPr="00277198">
        <w:rPr>
          <w:sz w:val="22"/>
        </w:rPr>
        <w:t>, 4, 1. https://doi.org/10.1186/2046-4053-4-1.</w:t>
      </w:r>
    </w:p>
    <w:p w14:paraId="5B444230" w14:textId="77777777" w:rsidR="002360FE" w:rsidRPr="00277198" w:rsidRDefault="002360FE" w:rsidP="00F2459C">
      <w:pPr>
        <w:rPr>
          <w:sz w:val="22"/>
          <w:lang w:val="en-US"/>
        </w:rPr>
      </w:pPr>
      <w:r w:rsidRPr="00277198">
        <w:rPr>
          <w:sz w:val="22"/>
          <w:lang w:val="en-US"/>
        </w:rPr>
        <w:t xml:space="preserve">Morrell, L., Buchanan, J., Roope, L.S.J., Pouwels, K.B., Butler, C.C., Hayhoe, B., Tonkin-Crine, S., McLeod, M., Robotham, J.V., Holmes, A., Walker, A.S., Wordsworth, S. and STEPUP team (2021). Public preferences for delayed or immediate antibiotic prescriptions in UK primary care: a choice experiment. </w:t>
      </w:r>
      <w:r w:rsidRPr="00277198">
        <w:rPr>
          <w:i/>
          <w:iCs/>
          <w:sz w:val="22"/>
          <w:lang w:val="en-US"/>
        </w:rPr>
        <w:t>PLoS Medicine</w:t>
      </w:r>
      <w:r w:rsidRPr="00277198">
        <w:rPr>
          <w:sz w:val="22"/>
          <w:lang w:val="en-US"/>
        </w:rPr>
        <w:t>, 18(8), e1003737. https://doi.org/10.1371/journal.pmed.1003737</w:t>
      </w:r>
    </w:p>
    <w:p w14:paraId="64AC04FA" w14:textId="77777777" w:rsidR="002360FE" w:rsidRPr="00277198" w:rsidRDefault="002360FE" w:rsidP="004E1178">
      <w:pPr>
        <w:rPr>
          <w:sz w:val="22"/>
        </w:rPr>
      </w:pPr>
      <w:r w:rsidRPr="00277198">
        <w:rPr>
          <w:sz w:val="22"/>
        </w:rPr>
        <w:t xml:space="preserve">Munn, Z., Peters, M.D.J., Stern, C., Tufanaru, C., McArthur, A. and Aromataris, E. (2018) 'Systematic review or scoping review? Guidance for authors when choosing between a systematic or scoping review approach', </w:t>
      </w:r>
      <w:r w:rsidRPr="00277198">
        <w:rPr>
          <w:i/>
          <w:sz w:val="22"/>
        </w:rPr>
        <w:t>BMC Medical Research Methodology</w:t>
      </w:r>
      <w:r w:rsidRPr="00277198">
        <w:rPr>
          <w:sz w:val="22"/>
        </w:rPr>
        <w:t>, 18, 143. https://doi.org/10.1186/s12874-018-0611-x.</w:t>
      </w:r>
    </w:p>
    <w:p w14:paraId="3647C6FC" w14:textId="77777777" w:rsidR="002360FE" w:rsidRPr="00277198" w:rsidRDefault="002360FE" w:rsidP="00F2459C">
      <w:pPr>
        <w:rPr>
          <w:sz w:val="22"/>
          <w:lang w:val="en-US"/>
        </w:rPr>
      </w:pPr>
      <w:r w:rsidRPr="00277198">
        <w:rPr>
          <w:sz w:val="22"/>
          <w:lang w:val="en-US"/>
        </w:rPr>
        <w:t xml:space="preserve">Ng, B.L., Loughrey, S., Langford, B.J., Theilacker, C., Smith, A., Karras, B.T. and Ashiru-Oredope, D. (2021). A national antimicrobial stewardship educational programme for pharmacists in England. </w:t>
      </w:r>
      <w:r w:rsidRPr="00277198">
        <w:rPr>
          <w:i/>
          <w:iCs/>
          <w:sz w:val="22"/>
          <w:lang w:val="en-US"/>
        </w:rPr>
        <w:t>Pharmacy</w:t>
      </w:r>
      <w:r w:rsidRPr="00277198">
        <w:rPr>
          <w:sz w:val="22"/>
          <w:lang w:val="en-US"/>
        </w:rPr>
        <w:t>, 9(4), 165. https://doi.org/10.3390/pharmacy9040165</w:t>
      </w:r>
    </w:p>
    <w:p w14:paraId="7AA9750E" w14:textId="77777777" w:rsidR="002360FE" w:rsidRPr="00277198" w:rsidRDefault="002360FE" w:rsidP="004E1178">
      <w:pPr>
        <w:rPr>
          <w:sz w:val="22"/>
          <w:lang w:val="en-US"/>
        </w:rPr>
      </w:pPr>
      <w:r w:rsidRPr="00277198">
        <w:rPr>
          <w:sz w:val="22"/>
          <w:lang w:val="en-US"/>
        </w:rPr>
        <w:t xml:space="preserve">NHS England (2023). </w:t>
      </w:r>
      <w:r w:rsidRPr="00277198">
        <w:rPr>
          <w:i/>
          <w:iCs/>
          <w:sz w:val="22"/>
          <w:lang w:val="en-US"/>
        </w:rPr>
        <w:t>Community pharmacy quality scheme 2020–22: findings and recommendations from antimicrobial stewardship initiatives.</w:t>
      </w:r>
      <w:r w:rsidRPr="00277198">
        <w:rPr>
          <w:sz w:val="22"/>
          <w:lang w:val="en-US"/>
        </w:rPr>
        <w:t xml:space="preserve"> [online] www.england.nhs.uk. Available at: https://www.england.nhs.uk/long-read/community-pharmacy-quality-scheme-2020-22-findings-and-recommendations-from-the-antimicrobial-stewardship-initiatives/ [Accessed 2 Jul. 2026].</w:t>
      </w:r>
    </w:p>
    <w:p w14:paraId="51FC8D2D" w14:textId="77777777" w:rsidR="002360FE" w:rsidRPr="00277198" w:rsidRDefault="002360FE" w:rsidP="004E1178">
      <w:pPr>
        <w:rPr>
          <w:sz w:val="22"/>
          <w:lang w:val="en-US"/>
        </w:rPr>
      </w:pPr>
      <w:r w:rsidRPr="00277198">
        <w:rPr>
          <w:sz w:val="22"/>
          <w:lang w:val="en-US"/>
        </w:rPr>
        <w:t xml:space="preserve">NHS England (2025). </w:t>
      </w:r>
      <w:r w:rsidRPr="00277198">
        <w:rPr>
          <w:i/>
          <w:iCs/>
          <w:sz w:val="22"/>
          <w:lang w:val="en-US"/>
        </w:rPr>
        <w:t>Pharmacy Quality Scheme 2025/26: antimicrobial stewardship clinical audit – sore throat consultations</w:t>
      </w:r>
      <w:r w:rsidRPr="00277198">
        <w:rPr>
          <w:sz w:val="22"/>
          <w:lang w:val="en-US"/>
        </w:rPr>
        <w:t>. [online] England.nhs.uk. Available at: https://www.england.nhs.uk/long-read/pharmacy-quality-scheme-2025-26-antimicrobial-stewardship-clinical-audit-sore-throat-consultations/ [Accessed 2 Jul. 2026].</w:t>
      </w:r>
    </w:p>
    <w:p w14:paraId="60C0D12F" w14:textId="77777777" w:rsidR="002360FE" w:rsidRPr="00277198" w:rsidRDefault="002360FE" w:rsidP="004E1178">
      <w:pPr>
        <w:rPr>
          <w:sz w:val="22"/>
        </w:rPr>
      </w:pPr>
      <w:r w:rsidRPr="00277198">
        <w:rPr>
          <w:sz w:val="22"/>
        </w:rPr>
        <w:t xml:space="preserve">Nowell, L.S., Norris, J.M., White, D.E. and Moules, N.J. (2017) 'Thematic analysis: striving to meet the trustworthiness criteria', </w:t>
      </w:r>
      <w:r w:rsidRPr="00277198">
        <w:rPr>
          <w:i/>
          <w:sz w:val="22"/>
        </w:rPr>
        <w:t>International Journal of Qualitative Methods</w:t>
      </w:r>
      <w:r w:rsidRPr="00277198">
        <w:rPr>
          <w:sz w:val="22"/>
        </w:rPr>
        <w:t>, 16(1), pp. 1–13. https://doi.org/10.1177/1609406917733847.</w:t>
      </w:r>
    </w:p>
    <w:p w14:paraId="6025F01C" w14:textId="77777777" w:rsidR="002360FE" w:rsidRPr="00277198" w:rsidRDefault="002360FE" w:rsidP="004E1178">
      <w:pPr>
        <w:rPr>
          <w:sz w:val="22"/>
        </w:rPr>
      </w:pPr>
      <w:r w:rsidRPr="00277198">
        <w:rPr>
          <w:sz w:val="22"/>
        </w:rPr>
        <w:t xml:space="preserve">Noyes, J., Booth, A., Cargo, M., Flemming, K., Harden, A., Harris, J., Garside, R., Hannes, K., Pantoja, T. and Thomas, J. (2024) 'Chapter 21: Qualitative evidence', in Higgins, J.P.T. et al. (eds.) </w:t>
      </w:r>
      <w:r w:rsidRPr="00277198">
        <w:rPr>
          <w:i/>
          <w:sz w:val="22"/>
        </w:rPr>
        <w:t>Cochrane handbook for systematic reviews of interventions</w:t>
      </w:r>
      <w:r w:rsidRPr="00277198">
        <w:rPr>
          <w:sz w:val="22"/>
        </w:rPr>
        <w:t>, version 6.5. Cochrane. Available at: https://www.cochrane.org/authors/handbooks-and-manuals/handbook/current/chapter-21 (Accessed: 10 August 2026).</w:t>
      </w:r>
    </w:p>
    <w:p w14:paraId="2A793B90" w14:textId="77777777" w:rsidR="002360FE" w:rsidRPr="00277198" w:rsidRDefault="002360FE" w:rsidP="004E1178">
      <w:pPr>
        <w:rPr>
          <w:sz w:val="22"/>
        </w:rPr>
      </w:pPr>
      <w:r w:rsidRPr="00277198">
        <w:rPr>
          <w:sz w:val="22"/>
        </w:rPr>
        <w:t xml:space="preserve">Noyes, J., Booth, A., Flemming, K., Garside, R., Harden, A., Lewin, S., Pantoja, T., Hannes, K., Cargo, M. and Thomas, J. (2018) 'Cochrane Qualitative and Implementation Methods Group guidance paper 3: Methods for assessing methodological limitations, data extraction and synthesis, and confidence in synthesized qualitative findings', </w:t>
      </w:r>
      <w:r w:rsidRPr="00277198">
        <w:rPr>
          <w:i/>
          <w:sz w:val="22"/>
        </w:rPr>
        <w:t>Journal of Clinical Epidemiology</w:t>
      </w:r>
      <w:r w:rsidRPr="00277198">
        <w:rPr>
          <w:sz w:val="22"/>
        </w:rPr>
        <w:t>, 97, pp. 49–58. https://doi.org/10.1016/j.jclinepi.2017.06.020.</w:t>
      </w:r>
    </w:p>
    <w:p w14:paraId="07EED18B" w14:textId="77777777" w:rsidR="002360FE" w:rsidRPr="00277198" w:rsidRDefault="002360FE" w:rsidP="004E1178">
      <w:pPr>
        <w:rPr>
          <w:sz w:val="22"/>
          <w:lang w:val="en-US"/>
        </w:rPr>
      </w:pPr>
      <w:r w:rsidRPr="00277198">
        <w:rPr>
          <w:sz w:val="22"/>
          <w:lang w:val="en-US"/>
        </w:rPr>
        <w:t xml:space="preserve">O’Neill, K., Fleming, G., Scott, M., Plant, G. and Varma, S. (2022). C-reactive protein point of care testing in community pharmacy: Observational study of a Northern Ireland pilot. </w:t>
      </w:r>
      <w:r w:rsidRPr="00277198">
        <w:rPr>
          <w:i/>
          <w:iCs/>
          <w:sz w:val="22"/>
          <w:lang w:val="en-US"/>
        </w:rPr>
        <w:t>Pharmacy Practice</w:t>
      </w:r>
      <w:r w:rsidRPr="00277198">
        <w:rPr>
          <w:sz w:val="22"/>
          <w:lang w:val="en-US"/>
        </w:rPr>
        <w:t>, 20(4), pp.01-10. doi:https://doi.org/10.18549/pharmpract.2022.4.2711.</w:t>
      </w:r>
    </w:p>
    <w:p w14:paraId="6FE966E2" w14:textId="77777777" w:rsidR="002360FE" w:rsidRPr="00277198" w:rsidRDefault="002360FE" w:rsidP="004E1178">
      <w:pPr>
        <w:rPr>
          <w:sz w:val="22"/>
        </w:rPr>
      </w:pPr>
      <w:r w:rsidRPr="00277198">
        <w:rPr>
          <w:sz w:val="22"/>
        </w:rPr>
        <w:t xml:space="preserve">O'Brien, B.C., Harris, I.B., Beckman, T.J., Reed, D.A. and Cook, D.A. (2014) 'Standards for reporting qualitative research: a synthesis of recommendations', </w:t>
      </w:r>
      <w:r w:rsidRPr="00277198">
        <w:rPr>
          <w:i/>
          <w:sz w:val="22"/>
        </w:rPr>
        <w:t>Academic Medicine</w:t>
      </w:r>
      <w:r w:rsidRPr="00277198">
        <w:rPr>
          <w:sz w:val="22"/>
        </w:rPr>
        <w:t>, 89(9), pp. 1245–1251. https://doi.org/10.1097/ACM.0000000000000388.</w:t>
      </w:r>
    </w:p>
    <w:p w14:paraId="681CDE71" w14:textId="77777777" w:rsidR="002360FE" w:rsidRPr="00277198" w:rsidRDefault="002360FE" w:rsidP="004E1178">
      <w:pPr>
        <w:rPr>
          <w:sz w:val="22"/>
        </w:rPr>
      </w:pPr>
      <w:r w:rsidRPr="00277198">
        <w:rPr>
          <w:sz w:val="22"/>
        </w:rPr>
        <w:t xml:space="preserve">Page, M.J., McKenzie, J.E., Bossuyt, P.M., Boutron, I., Hoffmann, T.C., Mulrow, C.D., Shamseer, L., Tetzlaff, J.M., Akl, E.A., Brennan, S.E. et al. (2021a) 'The PRISMA 2020 statement: an updated guideline for reporting systematic reviews', </w:t>
      </w:r>
      <w:r w:rsidRPr="00277198">
        <w:rPr>
          <w:i/>
          <w:sz w:val="22"/>
        </w:rPr>
        <w:t>BMJ</w:t>
      </w:r>
      <w:r w:rsidRPr="00277198">
        <w:rPr>
          <w:sz w:val="22"/>
        </w:rPr>
        <w:t>, 372, n71. https://doi.org/10.1136/bmj.n71.</w:t>
      </w:r>
    </w:p>
    <w:p w14:paraId="368E7615" w14:textId="77777777" w:rsidR="002360FE" w:rsidRPr="00277198" w:rsidRDefault="002360FE" w:rsidP="004E1178">
      <w:pPr>
        <w:rPr>
          <w:sz w:val="22"/>
        </w:rPr>
      </w:pPr>
      <w:r w:rsidRPr="00277198">
        <w:rPr>
          <w:sz w:val="22"/>
        </w:rPr>
        <w:t xml:space="preserve">Page, M.J., Moher, D., Bossuyt, P.M., Boutron, I., Hoffmann, T.C., Mulrow, C.D., Shamseer, L., Tetzlaff, J.M., Akl, E.A., Brennan, S.E. et al. (2021b) 'PRISMA 2020 explanation and elaboration: updated guidance and exemplars for reporting systematic reviews', </w:t>
      </w:r>
      <w:r w:rsidRPr="00277198">
        <w:rPr>
          <w:i/>
          <w:sz w:val="22"/>
        </w:rPr>
        <w:t>BMJ</w:t>
      </w:r>
      <w:r w:rsidRPr="00277198">
        <w:rPr>
          <w:sz w:val="22"/>
        </w:rPr>
        <w:t>, 372, n160. https://doi.org/10.1136/bmj.n160.</w:t>
      </w:r>
    </w:p>
    <w:p w14:paraId="1254E616" w14:textId="77777777" w:rsidR="002360FE" w:rsidRPr="00277198" w:rsidRDefault="002360FE" w:rsidP="00F2459C">
      <w:pPr>
        <w:rPr>
          <w:sz w:val="22"/>
          <w:lang w:val="en-US"/>
        </w:rPr>
      </w:pPr>
      <w:r w:rsidRPr="00277198">
        <w:rPr>
          <w:sz w:val="22"/>
          <w:lang w:val="en-US"/>
        </w:rPr>
        <w:t xml:space="preserve">Parekh, S. and Fleming, N. (2026). Antimicrobial stewardship in community pharmacy: a full review of online educational resources. </w:t>
      </w:r>
      <w:r w:rsidRPr="00277198">
        <w:rPr>
          <w:i/>
          <w:iCs/>
          <w:sz w:val="22"/>
          <w:lang w:val="en-US"/>
        </w:rPr>
        <w:t>JAC-Antimicrobial Resistance</w:t>
      </w:r>
      <w:r w:rsidRPr="00277198">
        <w:rPr>
          <w:sz w:val="22"/>
          <w:lang w:val="en-US"/>
        </w:rPr>
        <w:t>, 8(3), dlag101. https://doi.org/10.1093/jacamr/dlag101</w:t>
      </w:r>
    </w:p>
    <w:p w14:paraId="5E0BA764" w14:textId="77777777" w:rsidR="002360FE" w:rsidRPr="00277198" w:rsidRDefault="002360FE" w:rsidP="004E1178">
      <w:pPr>
        <w:rPr>
          <w:sz w:val="22"/>
        </w:rPr>
      </w:pPr>
      <w:r w:rsidRPr="00277198">
        <w:rPr>
          <w:sz w:val="22"/>
        </w:rPr>
        <w:t>Parekh, S., Hand, K., Xu, L., Roberts, V., Pursey, F., Ashiru-Oredope, D. and Lecky, D.M. (2023a) 'Responding to urinary tract infection symptoms in England's community pharmacies', Antibiotics, 12(9), 1383. https://doi.org/10.3390/antibiotics12091383.</w:t>
      </w:r>
    </w:p>
    <w:p w14:paraId="00219986" w14:textId="77777777" w:rsidR="002360FE" w:rsidRPr="00277198" w:rsidRDefault="002360FE" w:rsidP="004E1178">
      <w:pPr>
        <w:rPr>
          <w:sz w:val="22"/>
        </w:rPr>
      </w:pPr>
      <w:r w:rsidRPr="00277198">
        <w:rPr>
          <w:sz w:val="22"/>
        </w:rPr>
        <w:t>Parekh, S., Hayes, C.V., Loader, J., Ashiru-Oredope, D., Hand, K., Hicks, G. and Lecky, D.M. (2023b) 'The use of the TARGET Antibiotic Checklist to support antimicrobial stewardship in England's community pharmacies', Antibiotics, 12(4), 647. https://doi.org/10.3390/antibiotics12040647.</w:t>
      </w:r>
    </w:p>
    <w:p w14:paraId="240B5644" w14:textId="77777777" w:rsidR="002360FE" w:rsidRPr="00277198" w:rsidRDefault="002360FE" w:rsidP="004E1178">
      <w:pPr>
        <w:rPr>
          <w:sz w:val="22"/>
          <w:lang w:val="en-US"/>
        </w:rPr>
      </w:pPr>
      <w:r w:rsidRPr="00277198">
        <w:rPr>
          <w:sz w:val="22"/>
          <w:lang w:val="en-US"/>
        </w:rPr>
        <w:t xml:space="preserve">Parekh, S., Xu, L., Hand, K., Ashiru-Oredope, D. and Lecky, D.M. (2025). Patient conversations that matter: assessing the role of TARGET TYI leaflets for respiratory care in England’s community pharmacies. </w:t>
      </w:r>
      <w:r w:rsidRPr="00277198">
        <w:rPr>
          <w:i/>
          <w:iCs/>
          <w:sz w:val="22"/>
          <w:lang w:val="en-US"/>
        </w:rPr>
        <w:t>JAC-Antimicrobial Resistance</w:t>
      </w:r>
      <w:r w:rsidRPr="00277198">
        <w:rPr>
          <w:sz w:val="22"/>
          <w:lang w:val="en-US"/>
        </w:rPr>
        <w:t>, 7(6). doi:https://doi.org/10.1093/jacamr/dlaf196.</w:t>
      </w:r>
    </w:p>
    <w:p w14:paraId="61F9251A" w14:textId="77777777" w:rsidR="002360FE" w:rsidRPr="00277198" w:rsidRDefault="002360FE" w:rsidP="004E1178">
      <w:pPr>
        <w:rPr>
          <w:sz w:val="22"/>
          <w:lang w:val="en-US"/>
        </w:rPr>
      </w:pPr>
      <w:r w:rsidRPr="00277198">
        <w:rPr>
          <w:sz w:val="22"/>
          <w:lang w:val="en-US"/>
        </w:rPr>
        <w:t xml:space="preserve">Parekh, S., Xu, L., Hayes, C.V., Hand, K., Ashiru-Oredope, D. and Lecky, D.M. (2024). Assessing the impact of using a patient counselling prompt the TARGET antibiotic checklist in England’s community pharmacies. </w:t>
      </w:r>
      <w:r w:rsidRPr="00277198">
        <w:rPr>
          <w:i/>
          <w:iCs/>
          <w:sz w:val="22"/>
          <w:lang w:val="en-US"/>
        </w:rPr>
        <w:t>JAC-Antimicrobial Resistance</w:t>
      </w:r>
      <w:r w:rsidRPr="00277198">
        <w:rPr>
          <w:sz w:val="22"/>
          <w:lang w:val="en-US"/>
        </w:rPr>
        <w:t>, 7(1). doi:https://doi.org/10.1093/jacamr/dlaf018.</w:t>
      </w:r>
    </w:p>
    <w:p w14:paraId="2E1139BA" w14:textId="77777777" w:rsidR="002360FE" w:rsidRPr="00277198" w:rsidRDefault="002360FE" w:rsidP="004E1178">
      <w:pPr>
        <w:rPr>
          <w:sz w:val="22"/>
        </w:rPr>
      </w:pPr>
      <w:r w:rsidRPr="00277198">
        <w:rPr>
          <w:sz w:val="22"/>
        </w:rPr>
        <w:t>Peiffer-Smadja, N., Allison, R., Jones, L.F., Holmes, A., Patel, P., Lecky, D.M., Ahmad, R. and McNulty, C.A.M. (2020) 'Preventing and managing urinary tract infections: enhancing the role of community pharmacists a mixed methods study', Antibiotics, 9(9), 583. https://doi.org/10.3390/antibiotics9090583.</w:t>
      </w:r>
    </w:p>
    <w:p w14:paraId="65E061E5" w14:textId="77777777" w:rsidR="002360FE" w:rsidRPr="00277198" w:rsidRDefault="002360FE" w:rsidP="00F2459C">
      <w:pPr>
        <w:rPr>
          <w:sz w:val="22"/>
          <w:lang w:val="en-US"/>
        </w:rPr>
      </w:pPr>
      <w:r w:rsidRPr="00277198">
        <w:rPr>
          <w:sz w:val="22"/>
          <w:lang w:val="en-US"/>
        </w:rPr>
        <w:t xml:space="preserve">Pouwels, K.B., Dolk, F.C., Smith, D.R.M., Robotham, J.V. and Smieszek, T. (2018). Explaining variation in antibiotic prescribing between general practices in the UK. </w:t>
      </w:r>
      <w:r w:rsidRPr="00277198">
        <w:rPr>
          <w:i/>
          <w:iCs/>
          <w:sz w:val="22"/>
          <w:lang w:val="en-US"/>
        </w:rPr>
        <w:t>Journal of Antimicrobial Chemotherapy</w:t>
      </w:r>
      <w:r w:rsidRPr="00277198">
        <w:rPr>
          <w:sz w:val="22"/>
          <w:lang w:val="en-US"/>
        </w:rPr>
        <w:t>, 73(suppl 2), pp.ii27–ii35. https://doi.org/10.1093/jac/dkx501</w:t>
      </w:r>
    </w:p>
    <w:p w14:paraId="6C187969" w14:textId="77777777" w:rsidR="002360FE" w:rsidRPr="00277198" w:rsidRDefault="002360FE" w:rsidP="00F2459C">
      <w:pPr>
        <w:rPr>
          <w:sz w:val="22"/>
          <w:lang w:val="en-US"/>
        </w:rPr>
      </w:pPr>
      <w:r w:rsidRPr="00277198">
        <w:rPr>
          <w:sz w:val="22"/>
          <w:lang w:val="en-US"/>
        </w:rPr>
        <w:t xml:space="preserve">Pouwels, K.B., Hopkins, S., Llewelyn, M.J., Walker, A.S., McNulty, C.A.M. and Robotham, J.V. (2019). Duration of antibiotic treatment for common infections in English primary care: cross sectional analysis and comparison with guidelines. </w:t>
      </w:r>
      <w:r w:rsidRPr="00277198">
        <w:rPr>
          <w:i/>
          <w:iCs/>
          <w:sz w:val="22"/>
          <w:lang w:val="en-US"/>
        </w:rPr>
        <w:t>BMJ</w:t>
      </w:r>
      <w:r w:rsidRPr="00277198">
        <w:rPr>
          <w:sz w:val="22"/>
          <w:lang w:val="en-US"/>
        </w:rPr>
        <w:t>, 364, l440. https://doi.org/10.1136/bmj.l440</w:t>
      </w:r>
    </w:p>
    <w:p w14:paraId="01F6AE94" w14:textId="77777777" w:rsidR="002360FE" w:rsidRPr="00277198" w:rsidRDefault="002360FE" w:rsidP="004E1178">
      <w:pPr>
        <w:rPr>
          <w:sz w:val="22"/>
        </w:rPr>
      </w:pPr>
      <w:r w:rsidRPr="00277198">
        <w:rPr>
          <w:sz w:val="22"/>
        </w:rPr>
        <w:t xml:space="preserve">Rethlefsen, M.L., Kirtley, S., Waffenschmidt, S., Ayala, A.P., Moher, D., Page, M.J. and Koffel, J.B. (2021) 'PRISMA-S: an extension to the PRISMA statement for reporting literature searches in systematic reviews', </w:t>
      </w:r>
      <w:r w:rsidRPr="00277198">
        <w:rPr>
          <w:i/>
          <w:sz w:val="22"/>
        </w:rPr>
        <w:t>Systematic Reviews</w:t>
      </w:r>
      <w:r w:rsidRPr="00277198">
        <w:rPr>
          <w:sz w:val="22"/>
        </w:rPr>
        <w:t>, 10, 39. https://doi.org/10.1186/s13643-020-01542-z.</w:t>
      </w:r>
    </w:p>
    <w:p w14:paraId="6F9419F0" w14:textId="77777777" w:rsidR="002360FE" w:rsidRPr="00277198" w:rsidRDefault="002360FE" w:rsidP="00F2459C">
      <w:pPr>
        <w:rPr>
          <w:sz w:val="22"/>
          <w:lang w:val="en-US"/>
        </w:rPr>
      </w:pPr>
      <w:r w:rsidRPr="00277198">
        <w:rPr>
          <w:sz w:val="22"/>
          <w:lang w:val="en-US"/>
        </w:rPr>
        <w:t xml:space="preserve">Roope, L.S.J., Tonkin-Crine, S., Herd, N., Michie, S., Pouwels, K.B., Castro-Sanchez, E., Sallis, A., Hopkins, S., Robotham, J.V., Crook, D.W., Peto, T., Peters, M., Butler, C.C., Walker, A.S. and Wordsworth, S. (2020). Reducing expectations for antibiotics in primary care: a randomised experiment to test the response to fear-based messages about antimicrobial resistance. </w:t>
      </w:r>
      <w:r w:rsidRPr="00277198">
        <w:rPr>
          <w:i/>
          <w:iCs/>
          <w:sz w:val="22"/>
          <w:lang w:val="en-US"/>
        </w:rPr>
        <w:t>BMC Medicine</w:t>
      </w:r>
      <w:r w:rsidRPr="00277198">
        <w:rPr>
          <w:sz w:val="22"/>
          <w:lang w:val="en-US"/>
        </w:rPr>
        <w:t>, 18, 110. https://doi.org/10.1186/s12916-020-01553-6</w:t>
      </w:r>
    </w:p>
    <w:p w14:paraId="1FB3F28B" w14:textId="77777777" w:rsidR="002360FE" w:rsidRPr="00277198" w:rsidRDefault="002360FE" w:rsidP="004E1178">
      <w:pPr>
        <w:rPr>
          <w:sz w:val="22"/>
        </w:rPr>
      </w:pPr>
      <w:r w:rsidRPr="00277198">
        <w:rPr>
          <w:sz w:val="22"/>
        </w:rPr>
        <w:t>Seaton, D., Ashiru-Oredope, D., Charlesworth, J., Gemmell, I. and Harrison, R. (2022) 'Evaluating UK pharmacy workers' knowledge, attitudes and behaviour towards antimicrobial stewardship and assessing the impact of training in community pharmacy', Pharmacy, 10(4), 98. https://doi.org/10.3390/pharmacy10040098.</w:t>
      </w:r>
    </w:p>
    <w:p w14:paraId="556C8DB2" w14:textId="77777777" w:rsidR="002360FE" w:rsidRPr="00277198" w:rsidRDefault="002360FE" w:rsidP="00F2459C">
      <w:pPr>
        <w:rPr>
          <w:sz w:val="22"/>
          <w:lang w:val="en-US"/>
        </w:rPr>
      </w:pPr>
      <w:r w:rsidRPr="00277198">
        <w:rPr>
          <w:sz w:val="22"/>
          <w:lang w:val="en-US"/>
        </w:rPr>
        <w:t xml:space="preserve">Shallcross, L., Rockenschaub, P., Blackburn, R., Nazareth, I., Freemantle, N. and Hayward, A. (2020). Antibiotic prescribing for lower UTI in elderly patients in primary care and risk of bloodstream infection: a cohort study using electronic health records in England. </w:t>
      </w:r>
      <w:r w:rsidRPr="00277198">
        <w:rPr>
          <w:i/>
          <w:iCs/>
          <w:sz w:val="22"/>
          <w:lang w:val="en-US"/>
        </w:rPr>
        <w:t>PLoS Medicine</w:t>
      </w:r>
      <w:r w:rsidRPr="00277198">
        <w:rPr>
          <w:sz w:val="22"/>
          <w:lang w:val="en-US"/>
        </w:rPr>
        <w:t>, 17(9), e1003336. https://doi.org/10.1371/journal.pmed.1003336</w:t>
      </w:r>
    </w:p>
    <w:p w14:paraId="4084BF47" w14:textId="77777777" w:rsidR="002360FE" w:rsidRPr="00277198" w:rsidRDefault="002360FE" w:rsidP="00F2459C">
      <w:pPr>
        <w:rPr>
          <w:sz w:val="22"/>
          <w:lang w:val="en-US"/>
        </w:rPr>
      </w:pPr>
      <w:r w:rsidRPr="00277198">
        <w:rPr>
          <w:sz w:val="22"/>
          <w:lang w:val="en-US"/>
        </w:rPr>
        <w:t xml:space="preserve">Smieszek, T., Pouwels, K.B., Dolk, F.C., Smith, D.R.M., Hopkins, S., Sharland, M., Hay, A.D., Moore, M.V. and Robotham, J.V. (2018). Potential for reducing inappropriate antibiotic prescribing in English primary care. </w:t>
      </w:r>
      <w:r w:rsidRPr="00277198">
        <w:rPr>
          <w:i/>
          <w:iCs/>
          <w:sz w:val="22"/>
          <w:lang w:val="en-US"/>
        </w:rPr>
        <w:t>Journal of Antimicrobial Chemotherapy</w:t>
      </w:r>
      <w:r w:rsidRPr="00277198">
        <w:rPr>
          <w:sz w:val="22"/>
          <w:lang w:val="en-US"/>
        </w:rPr>
        <w:t>, 73(suppl 2), pp.ii36–ii43. https://doi.org/10.1093/jac/dkx503</w:t>
      </w:r>
    </w:p>
    <w:p w14:paraId="3FAAE9EC" w14:textId="77777777" w:rsidR="002360FE" w:rsidRPr="00277198" w:rsidRDefault="002360FE" w:rsidP="00F2459C">
      <w:pPr>
        <w:rPr>
          <w:sz w:val="22"/>
          <w:lang w:val="en-US"/>
        </w:rPr>
      </w:pPr>
      <w:r w:rsidRPr="00277198">
        <w:rPr>
          <w:sz w:val="22"/>
          <w:lang w:val="en-US"/>
        </w:rPr>
        <w:t xml:space="preserve">Smith, D.R.M., Dolk, F.C., Pouwels, K.B., Christie, M., Robotham, J.V. and Smieszek, T. (2018). Defining the appropriateness and inappropriateness of antibiotic prescribing in primary care. </w:t>
      </w:r>
      <w:r w:rsidRPr="00277198">
        <w:rPr>
          <w:i/>
          <w:iCs/>
          <w:sz w:val="22"/>
          <w:lang w:val="en-US"/>
        </w:rPr>
        <w:t>Journal of Antimicrobial Chemotherapy</w:t>
      </w:r>
      <w:r w:rsidRPr="00277198">
        <w:rPr>
          <w:sz w:val="22"/>
          <w:lang w:val="en-US"/>
        </w:rPr>
        <w:t>, 73(suppl 2), pp.ii11–ii18. https://doi.org/10.1093/jac/dkx503</w:t>
      </w:r>
    </w:p>
    <w:p w14:paraId="1ADCE87D" w14:textId="77777777" w:rsidR="002360FE" w:rsidRPr="00277198" w:rsidRDefault="002360FE" w:rsidP="00F2459C">
      <w:pPr>
        <w:rPr>
          <w:sz w:val="22"/>
          <w:lang w:val="en-US"/>
        </w:rPr>
      </w:pPr>
      <w:r w:rsidRPr="00277198">
        <w:rPr>
          <w:sz w:val="22"/>
          <w:lang w:val="en-US"/>
        </w:rPr>
        <w:t xml:space="preserve">Stuart, B., Brotherwood, H., Van't Hoff, C., Brown, A., van den Bruel, A., Hay, A.D., Moore, M. and Little, P. (2020). Exploring the appropriateness of antibiotic prescribing for common respiratory tract infections in UK primary care. </w:t>
      </w:r>
      <w:r w:rsidRPr="00277198">
        <w:rPr>
          <w:i/>
          <w:iCs/>
          <w:sz w:val="22"/>
          <w:lang w:val="en-US"/>
        </w:rPr>
        <w:t>Journal of Antimicrobial Chemotherapy</w:t>
      </w:r>
      <w:r w:rsidRPr="00277198">
        <w:rPr>
          <w:sz w:val="22"/>
          <w:lang w:val="en-US"/>
        </w:rPr>
        <w:t>, 75(1), pp.109–117. https://doi.org/10.1093/jac/dkz410</w:t>
      </w:r>
    </w:p>
    <w:p w14:paraId="27CFD083" w14:textId="77777777" w:rsidR="002360FE" w:rsidRPr="00277198" w:rsidRDefault="002360FE" w:rsidP="004E1178">
      <w:pPr>
        <w:rPr>
          <w:sz w:val="22"/>
          <w:lang w:val="en-US"/>
        </w:rPr>
      </w:pPr>
      <w:r w:rsidRPr="00277198">
        <w:rPr>
          <w:sz w:val="22"/>
          <w:lang w:val="en-US"/>
        </w:rPr>
        <w:t xml:space="preserve">Tang, E.L., Eastwood, L., Bujakowski, J., Dickinson, M., Lecky, D.M., Ashiru-Oredope, D., The, Davies, M., Flanagan, A., Jones, P.L., Longmate, C., McCullough, A., Nolte, S., O’Brien, E., Reid, N., Rolfe, S., Seaton, A., Stewart, J., Tilford, S. and Brown, C. (2025). Assessment of UK healthcare workers’ knowledge, attitudes and practice towards antibiotics, antibiotic use and antibiotic resistance: comparing findings from 2019 and 2024 national surveys. </w:t>
      </w:r>
      <w:r w:rsidRPr="00277198">
        <w:rPr>
          <w:i/>
          <w:iCs/>
          <w:sz w:val="22"/>
          <w:lang w:val="en-US"/>
        </w:rPr>
        <w:t>JAC-Antimicrobial Resistance</w:t>
      </w:r>
      <w:r w:rsidRPr="00277198">
        <w:rPr>
          <w:sz w:val="22"/>
          <w:lang w:val="en-US"/>
        </w:rPr>
        <w:t>, 7(6), pp.dlaf205–dlaf205. doi:https://doi.org/10.1093/jacamr/dlaf205.</w:t>
      </w:r>
    </w:p>
    <w:p w14:paraId="6A7F07E8" w14:textId="77777777" w:rsidR="002360FE" w:rsidRPr="00277198" w:rsidRDefault="002360FE" w:rsidP="004E1178">
      <w:pPr>
        <w:rPr>
          <w:sz w:val="22"/>
        </w:rPr>
      </w:pPr>
      <w:r w:rsidRPr="00277198">
        <w:rPr>
          <w:sz w:val="22"/>
        </w:rPr>
        <w:t xml:space="preserve">Thomas, J. and Harden, A. (2008) 'Methods for the thematic synthesis of qualitative research in systematic reviews', </w:t>
      </w:r>
      <w:r w:rsidRPr="00277198">
        <w:rPr>
          <w:i/>
          <w:sz w:val="22"/>
        </w:rPr>
        <w:t>BMC Medical Research Methodology</w:t>
      </w:r>
      <w:r w:rsidRPr="00277198">
        <w:rPr>
          <w:sz w:val="22"/>
        </w:rPr>
        <w:t>, 8, 45. https://doi.org/10.1186/1471-2288-8-45.</w:t>
      </w:r>
    </w:p>
    <w:p w14:paraId="265F32B7" w14:textId="77777777" w:rsidR="002360FE" w:rsidRPr="00277198" w:rsidRDefault="002360FE" w:rsidP="00F2459C">
      <w:pPr>
        <w:rPr>
          <w:sz w:val="22"/>
          <w:lang w:val="en-US"/>
        </w:rPr>
      </w:pPr>
      <w:r w:rsidRPr="00277198">
        <w:rPr>
          <w:sz w:val="22"/>
          <w:lang w:val="en-US"/>
        </w:rPr>
        <w:t xml:space="preserve">Thomson, K., Berry, R., Robinson, T., Brown, H., Bambra, C. and Todd, A. (2020). An examination of trends in antibiotic prescribing in primary care and the association with area-level deprivation in England. </w:t>
      </w:r>
      <w:r w:rsidRPr="00277198">
        <w:rPr>
          <w:i/>
          <w:iCs/>
          <w:sz w:val="22"/>
          <w:lang w:val="en-US"/>
        </w:rPr>
        <w:t>BMC Public Health</w:t>
      </w:r>
      <w:r w:rsidRPr="00277198">
        <w:rPr>
          <w:sz w:val="22"/>
          <w:lang w:val="en-US"/>
        </w:rPr>
        <w:t>, 20, 1148. https://doi.org/10.1186/s12889-020-09227-x</w:t>
      </w:r>
    </w:p>
    <w:p w14:paraId="2D294B62" w14:textId="77777777" w:rsidR="002360FE" w:rsidRPr="00277198" w:rsidRDefault="002360FE" w:rsidP="004E1178">
      <w:pPr>
        <w:rPr>
          <w:sz w:val="22"/>
        </w:rPr>
      </w:pPr>
      <w:r w:rsidRPr="00277198">
        <w:rPr>
          <w:sz w:val="22"/>
        </w:rPr>
        <w:t>Thornley, T., Kirkdale, C.L., Beech, E., Howard, P. and Wilson, P. (2020) 'Evaluation of a community pharmacy-led test-and-treat service for women with uncomplicated lower urinary tract infection in England', JAC-Antimicrobial Resistance, 2(1), dlaa010. https://doi.org/10.1093/jacamr/dlaa010.</w:t>
      </w:r>
    </w:p>
    <w:p w14:paraId="243DAB38" w14:textId="77777777" w:rsidR="002360FE" w:rsidRPr="00277198" w:rsidRDefault="002360FE" w:rsidP="004E1178">
      <w:pPr>
        <w:rPr>
          <w:sz w:val="22"/>
        </w:rPr>
      </w:pPr>
      <w:r w:rsidRPr="00277198">
        <w:rPr>
          <w:sz w:val="22"/>
        </w:rPr>
        <w:t xml:space="preserve">Tong, A., Flemming, K., McInnes, E., Oliver, S. and Craig, J. (2012) 'Enhancing transparency in reporting the synthesis of qualitative research: ENTREQ', </w:t>
      </w:r>
      <w:r w:rsidRPr="00277198">
        <w:rPr>
          <w:i/>
          <w:sz w:val="22"/>
        </w:rPr>
        <w:t>BMC Medical Research Methodology</w:t>
      </w:r>
      <w:r w:rsidRPr="00277198">
        <w:rPr>
          <w:sz w:val="22"/>
        </w:rPr>
        <w:t>, 12, 181. https://doi.org/10.1186/1471-2288-12-181.</w:t>
      </w:r>
    </w:p>
    <w:p w14:paraId="6CDE5B28" w14:textId="77777777" w:rsidR="002360FE" w:rsidRPr="00277198" w:rsidRDefault="002360FE" w:rsidP="004E1178">
      <w:pPr>
        <w:rPr>
          <w:sz w:val="22"/>
        </w:rPr>
      </w:pPr>
      <w:r w:rsidRPr="00277198">
        <w:rPr>
          <w:sz w:val="22"/>
        </w:rPr>
        <w:t xml:space="preserve">Tong, A., Sainsbury, P. and Craig, J. (2007) 'Consolidated criteria for reporting qualitative research (COREQ): a 32-item checklist for interviews and focus groups', </w:t>
      </w:r>
      <w:r w:rsidRPr="00277198">
        <w:rPr>
          <w:i/>
          <w:sz w:val="22"/>
        </w:rPr>
        <w:t>International Journal for Quality in Health Care</w:t>
      </w:r>
      <w:r w:rsidRPr="00277198">
        <w:rPr>
          <w:sz w:val="22"/>
        </w:rPr>
        <w:t>, 19(6), pp. 349–357. https://doi.org/10.1093/intqhc/mzm042.</w:t>
      </w:r>
    </w:p>
    <w:p w14:paraId="295C093D" w14:textId="77777777" w:rsidR="002360FE" w:rsidRPr="00277198" w:rsidRDefault="002360FE" w:rsidP="00F2459C">
      <w:pPr>
        <w:rPr>
          <w:sz w:val="22"/>
          <w:lang w:val="en-US"/>
        </w:rPr>
      </w:pPr>
      <w:r w:rsidRPr="00277198">
        <w:rPr>
          <w:sz w:val="22"/>
          <w:lang w:val="en-US"/>
        </w:rPr>
        <w:t xml:space="preserve">Tonna, A.P., Weidmann, A.E., Sneddon, J. and Stewart, D. (2020). Views and experiences of community pharmacy team members on antimicrobial stewardship activities in Scotland: a qualitative study. </w:t>
      </w:r>
      <w:r w:rsidRPr="00277198">
        <w:rPr>
          <w:i/>
          <w:iCs/>
          <w:sz w:val="22"/>
          <w:lang w:val="en-US"/>
        </w:rPr>
        <w:t>International Journal of Clinical Pharmacy</w:t>
      </w:r>
      <w:r w:rsidRPr="00277198">
        <w:rPr>
          <w:sz w:val="22"/>
          <w:lang w:val="en-US"/>
        </w:rPr>
        <w:t>, 42(5), pp.1261–1269. https://doi.org/10.1007/s11096-020-01042-z</w:t>
      </w:r>
    </w:p>
    <w:p w14:paraId="4ADB3ECE" w14:textId="77777777" w:rsidR="002360FE" w:rsidRPr="00277198" w:rsidRDefault="002360FE" w:rsidP="004E1178">
      <w:pPr>
        <w:rPr>
          <w:sz w:val="22"/>
          <w:lang w:val="en-US"/>
        </w:rPr>
      </w:pPr>
      <w:r w:rsidRPr="00277198">
        <w:rPr>
          <w:sz w:val="22"/>
          <w:lang w:val="en-US"/>
        </w:rPr>
        <w:t xml:space="preserve">Turner, R.R., Coupe, N., Griffiths, S., Cheng, K., Byrne-Davis, L., Shallcross, L., Hart, J., Rice, S., Shabaninejad, H., Meader, N., Bhattarai, N. and Lorencatto, F. (2025). A systematic review and meta-analysis to identify behavioural content and active ingredients of antimicrobial stewardship education and training interventions in hospital-based care settings. </w:t>
      </w:r>
      <w:r w:rsidRPr="00277198">
        <w:rPr>
          <w:i/>
          <w:iCs/>
          <w:sz w:val="22"/>
          <w:lang w:val="en-US"/>
        </w:rPr>
        <w:t>Antimicrobial Resistance &amp; Infection Control</w:t>
      </w:r>
      <w:r w:rsidRPr="00277198">
        <w:rPr>
          <w:sz w:val="22"/>
          <w:lang w:val="en-US"/>
        </w:rPr>
        <w:t>. doi:https://doi.org/10.1186/s13756-025-01660-0.</w:t>
      </w:r>
    </w:p>
    <w:p w14:paraId="58052FEA" w14:textId="77777777" w:rsidR="002360FE" w:rsidRPr="00277198" w:rsidRDefault="002360FE" w:rsidP="004E1178">
      <w:pPr>
        <w:rPr>
          <w:sz w:val="22"/>
        </w:rPr>
      </w:pPr>
      <w:r w:rsidRPr="00277198">
        <w:rPr>
          <w:sz w:val="22"/>
        </w:rPr>
        <w:t xml:space="preserve">UK Research Integrity Office (UKRIO) (2025) </w:t>
      </w:r>
      <w:r w:rsidRPr="00277198">
        <w:rPr>
          <w:i/>
          <w:sz w:val="22"/>
        </w:rPr>
        <w:t>Code of practice for research</w:t>
      </w:r>
      <w:r w:rsidRPr="00277198">
        <w:rPr>
          <w:sz w:val="22"/>
        </w:rPr>
        <w:t>, version 3.5. Available at: https://ukrio.org/ukrio-resources/publications/code-of-practice-for-research/ (Accessed: 10 August 2026).</w:t>
      </w:r>
    </w:p>
    <w:p w14:paraId="5A0BFDFF" w14:textId="77777777" w:rsidR="002360FE" w:rsidRPr="00277198" w:rsidRDefault="002360FE" w:rsidP="004E1178">
      <w:pPr>
        <w:rPr>
          <w:sz w:val="22"/>
          <w:lang w:val="en-US"/>
        </w:rPr>
      </w:pPr>
      <w:r w:rsidRPr="00277198">
        <w:rPr>
          <w:sz w:val="22"/>
          <w:lang w:val="en-US"/>
        </w:rPr>
        <w:t xml:space="preserve">UKHSA (2025). </w:t>
      </w:r>
      <w:r w:rsidRPr="00277198">
        <w:rPr>
          <w:i/>
          <w:iCs/>
          <w:sz w:val="22"/>
          <w:lang w:val="en-US"/>
        </w:rPr>
        <w:t>English surveillance programme for antimicrobial utilisation and resistance: ESPAUR report 2024 to 2025.</w:t>
      </w:r>
      <w:r w:rsidRPr="00277198">
        <w:rPr>
          <w:sz w:val="22"/>
          <w:lang w:val="en-US"/>
        </w:rPr>
        <w:t xml:space="preserve"> [online] Available at: https://assets.publishing.service.gov.uk/media/6a0346098cc72d2f863ea828/ESPAUR-report-2024-to-2025-private-prescribing-update.pdf [Accessed 2 Jul. 2026].</w:t>
      </w:r>
    </w:p>
    <w:p w14:paraId="191BFF3F" w14:textId="77777777" w:rsidR="002360FE" w:rsidRPr="00277198" w:rsidRDefault="002360FE" w:rsidP="00F2459C">
      <w:pPr>
        <w:rPr>
          <w:sz w:val="22"/>
          <w:lang w:val="en-US"/>
        </w:rPr>
      </w:pPr>
      <w:r w:rsidRPr="00277198">
        <w:rPr>
          <w:sz w:val="22"/>
          <w:lang w:val="en-US"/>
        </w:rPr>
        <w:t xml:space="preserve">Van Staa, T.P., Li, Y., Gold, N., Chadborn, T., Welfare, W., Palin, V., Ashcroft, D.M. and Bircher, J. (2022). Comparing antibiotic prescribing between clinicians in UK primary care: an analysis in a cohort study of eight different measures of antibiotic prescribing. </w:t>
      </w:r>
      <w:r w:rsidRPr="00277198">
        <w:rPr>
          <w:i/>
          <w:iCs/>
          <w:sz w:val="22"/>
          <w:lang w:val="en-US"/>
        </w:rPr>
        <w:t>BMJ Quality &amp; Safety</w:t>
      </w:r>
      <w:r w:rsidRPr="00277198">
        <w:rPr>
          <w:sz w:val="22"/>
          <w:lang w:val="en-US"/>
        </w:rPr>
        <w:t>, 31(11), pp.831–838. https://doi.org/10.1136/bmjqs-2020-012108</w:t>
      </w:r>
    </w:p>
    <w:p w14:paraId="621BE508" w14:textId="77777777" w:rsidR="002360FE" w:rsidRPr="00277198" w:rsidRDefault="002360FE" w:rsidP="004E1178">
      <w:pPr>
        <w:rPr>
          <w:sz w:val="22"/>
          <w:lang w:val="en-US"/>
        </w:rPr>
      </w:pPr>
      <w:r w:rsidRPr="00277198">
        <w:rPr>
          <w:sz w:val="22"/>
          <w:lang w:val="en-US"/>
        </w:rPr>
        <w:t>Veillard, H., Lalani, M., Mays, N. and Glover, R.E. (2026). Antibiotic prescribing by non-medical healthcare professionals in primary care: a systematic review of effects on antibiotic use, patient experience, interprofessional relationships and job satisfaction. doi:https://doi.org/10.1093/jacamr/dlag050.</w:t>
      </w:r>
    </w:p>
    <w:p w14:paraId="632E593E" w14:textId="77777777" w:rsidR="002360FE" w:rsidRPr="00277198" w:rsidRDefault="002360FE" w:rsidP="004E1178">
      <w:pPr>
        <w:rPr>
          <w:sz w:val="22"/>
          <w:lang w:val="en-US"/>
        </w:rPr>
      </w:pPr>
      <w:r w:rsidRPr="00277198">
        <w:rPr>
          <w:sz w:val="22"/>
          <w:lang w:val="en-US"/>
        </w:rPr>
        <w:t xml:space="preserve">Waterlow, N.R., Ashfield, T. and Knight, G.M. (2024). Observational study of antibiotic prescribing patterns by age and sex in primary care in England: why we need to take this variation into account to evaluate antibiotic stewardship and predict AMR variation. </w:t>
      </w:r>
      <w:r w:rsidRPr="00277198">
        <w:rPr>
          <w:i/>
          <w:iCs/>
          <w:sz w:val="22"/>
          <w:lang w:val="en-US"/>
        </w:rPr>
        <w:t>JAC-Antimicrobial Resistance</w:t>
      </w:r>
      <w:r w:rsidRPr="00277198">
        <w:rPr>
          <w:sz w:val="22"/>
          <w:lang w:val="en-US"/>
        </w:rPr>
        <w:t>, 7(1). doi:https://doi.org/10.1093/jacamr/dlae210.</w:t>
      </w:r>
    </w:p>
    <w:p w14:paraId="04228A9A" w14:textId="77777777" w:rsidR="002360FE" w:rsidRPr="00277198" w:rsidRDefault="002360FE" w:rsidP="00F2459C">
      <w:pPr>
        <w:rPr>
          <w:sz w:val="22"/>
          <w:lang w:val="en-US"/>
        </w:rPr>
      </w:pPr>
      <w:r w:rsidRPr="00277198">
        <w:rPr>
          <w:sz w:val="22"/>
          <w:lang w:val="en-US"/>
        </w:rPr>
        <w:t xml:space="preserve">Williams, S.J., Mannion, R., Goyder, E., et al. (2018). General practitioner and nurse prescriber experiences of prescribing antibiotics for respiratory tract infections in UK primary care out-of-hours services (the UNITE study). </w:t>
      </w:r>
      <w:r w:rsidRPr="00277198">
        <w:rPr>
          <w:i/>
          <w:iCs/>
          <w:sz w:val="22"/>
          <w:lang w:val="en-US"/>
        </w:rPr>
        <w:t>Journal of Antimicrobial Chemotherapy</w:t>
      </w:r>
      <w:r w:rsidRPr="00277198">
        <w:rPr>
          <w:sz w:val="22"/>
          <w:lang w:val="en-US"/>
        </w:rPr>
        <w:t>, 73(3), pp.795–803. https://doi.org/10.1093/jac/dkx429</w:t>
      </w:r>
    </w:p>
    <w:p w14:paraId="3C2BD8B6" w14:textId="6C002768" w:rsidR="002360FE" w:rsidRPr="00277198" w:rsidRDefault="002360FE" w:rsidP="004E1178">
      <w:pPr>
        <w:rPr>
          <w:sz w:val="22"/>
          <w:lang w:val="en-US"/>
        </w:rPr>
      </w:pPr>
      <w:r w:rsidRPr="00277198">
        <w:rPr>
          <w:sz w:val="22"/>
          <w:lang w:val="en-US"/>
        </w:rPr>
        <w:t>Yang, Y.-T., Zhong, X., Fahmi, A., Watts, S., Ashcroft, D.M., Massey, J., Fisher, L., MacKenna, B., Mehrkar, A., Goldacre, B., Hand, K., van Staa, T. and Palin, V. (2023</w:t>
      </w:r>
      <w:r w:rsidR="00ED16DA">
        <w:rPr>
          <w:sz w:val="22"/>
          <w:lang w:val="en-US"/>
        </w:rPr>
        <w:t>a</w:t>
      </w:r>
      <w:r w:rsidRPr="00277198">
        <w:rPr>
          <w:sz w:val="22"/>
          <w:lang w:val="en-US"/>
        </w:rPr>
        <w:t xml:space="preserve">). The impact of the COVID-19 pandemic on the treatment of common infections in primary care and the change to antibiotic prescribing in England. </w:t>
      </w:r>
      <w:r w:rsidRPr="00277198">
        <w:rPr>
          <w:i/>
          <w:iCs/>
          <w:sz w:val="22"/>
          <w:lang w:val="en-US"/>
        </w:rPr>
        <w:t>Antimicrobial Resistance and Infection Control</w:t>
      </w:r>
      <w:r w:rsidRPr="00277198">
        <w:rPr>
          <w:sz w:val="22"/>
          <w:lang w:val="en-US"/>
        </w:rPr>
        <w:t>, 12(1). doi:https://doi.org/10.1186/s13756-023-01280-6.</w:t>
      </w:r>
    </w:p>
    <w:p w14:paraId="7925A2BE" w14:textId="5CF4C494" w:rsidR="002360FE" w:rsidRPr="00277198" w:rsidRDefault="002360FE" w:rsidP="00F2459C">
      <w:pPr>
        <w:rPr>
          <w:sz w:val="22"/>
          <w:lang w:val="en-US"/>
        </w:rPr>
      </w:pPr>
      <w:r w:rsidRPr="00277198">
        <w:rPr>
          <w:sz w:val="22"/>
          <w:lang w:val="en-US"/>
        </w:rPr>
        <w:t>Yang, Z., Bou-Antoun, S., Gerver, S., Cowling, T.E. and Freeman, R. (2023</w:t>
      </w:r>
      <w:r w:rsidR="00ED16DA">
        <w:rPr>
          <w:sz w:val="22"/>
          <w:lang w:val="en-US"/>
        </w:rPr>
        <w:t>b</w:t>
      </w:r>
      <w:r w:rsidRPr="00277198">
        <w:rPr>
          <w:sz w:val="22"/>
          <w:lang w:val="en-US"/>
        </w:rPr>
        <w:t xml:space="preserve">). Sustained increases in antibiotic prescriptions per primary care consultation for upper respiratory tract infections in England during the COVID-19 pandemic. </w:t>
      </w:r>
      <w:r w:rsidRPr="00277198">
        <w:rPr>
          <w:i/>
          <w:iCs/>
          <w:sz w:val="22"/>
          <w:lang w:val="en-US"/>
        </w:rPr>
        <w:t>JAC-Antimicrobial Resistance</w:t>
      </w:r>
      <w:r w:rsidRPr="00277198">
        <w:rPr>
          <w:sz w:val="22"/>
          <w:lang w:val="en-US"/>
        </w:rPr>
        <w:t>, 5(1), dlad012. https://doi.org/10.1093/jacamr/dlad012</w:t>
      </w:r>
    </w:p>
    <w:p w14:paraId="33E1510E" w14:textId="77777777" w:rsidR="002360FE" w:rsidRPr="00277198" w:rsidRDefault="002360FE" w:rsidP="004E1178">
      <w:pPr>
        <w:rPr>
          <w:sz w:val="22"/>
          <w:lang w:val="en-US"/>
        </w:rPr>
      </w:pPr>
      <w:r w:rsidRPr="00277198">
        <w:rPr>
          <w:sz w:val="22"/>
          <w:lang w:val="en-US"/>
        </w:rPr>
        <w:t xml:space="preserve">Zerbinato, F., Cunningham, S. and Tonna, A.P. (2025). Antimicrobial stewardship interventions involving community pharmacy teams: a scoping review. </w:t>
      </w:r>
      <w:r w:rsidRPr="00277198">
        <w:rPr>
          <w:i/>
          <w:iCs/>
          <w:sz w:val="22"/>
          <w:lang w:val="en-US"/>
        </w:rPr>
        <w:t>JAC-Antimicrobial Resistance</w:t>
      </w:r>
      <w:r w:rsidRPr="00277198">
        <w:rPr>
          <w:sz w:val="22"/>
          <w:lang w:val="en-US"/>
        </w:rPr>
        <w:t>, 7(5). doi:https://doi.org/10.1093/jacamr/dlaf156.</w:t>
      </w:r>
    </w:p>
    <w:p w14:paraId="65EF4DA4" w14:textId="77777777" w:rsidR="002360FE" w:rsidRPr="00277198" w:rsidRDefault="002360FE" w:rsidP="00F2459C">
      <w:pPr>
        <w:rPr>
          <w:sz w:val="22"/>
          <w:lang w:val="en-US"/>
        </w:rPr>
      </w:pPr>
      <w:r w:rsidRPr="00277198">
        <w:rPr>
          <w:sz w:val="22"/>
          <w:lang w:val="en-US"/>
        </w:rPr>
        <w:t xml:space="preserve">Zhong, X., Pate, A., Yang, Y.-T., Fahmi, A., Ashcroft, D.M., Goldacre, B., MacKenna, B., Mehrkar, A., Bacon, S.C.J., Massey, J., Fisher, L., Inglesby, P., Hand, K., van Staa, T. and Palin, V. (2023a). The impact of COVID-19 on antibiotic prescribing in primary care in England: evaluation and risk prediction of appropriateness of type and repeat prescribing. </w:t>
      </w:r>
      <w:r w:rsidRPr="00277198">
        <w:rPr>
          <w:i/>
          <w:iCs/>
          <w:sz w:val="22"/>
          <w:lang w:val="en-US"/>
        </w:rPr>
        <w:t>Journal of Infection</w:t>
      </w:r>
      <w:r w:rsidRPr="00277198">
        <w:rPr>
          <w:sz w:val="22"/>
          <w:lang w:val="en-US"/>
        </w:rPr>
        <w:t>, 87(1), pp.1–11. https://doi.org/10.1016/j.jinf.2023.05.010</w:t>
      </w:r>
    </w:p>
    <w:p w14:paraId="2C121BE2" w14:textId="014934DB" w:rsidR="004B7330" w:rsidRDefault="002360FE" w:rsidP="009841B0">
      <w:pPr>
        <w:rPr>
          <w:sz w:val="22"/>
          <w:lang w:val="en-US"/>
        </w:rPr>
      </w:pPr>
      <w:r w:rsidRPr="00277198">
        <w:rPr>
          <w:sz w:val="22"/>
          <w:lang w:val="en-US"/>
        </w:rPr>
        <w:t xml:space="preserve">Zhong, X., Pate, A., Yang, Y.-T., Fahmi, A., Ashcroft, D.M., Goldacre, B., MacKenna, B., Mehrkar, A., Bacon, S.C.J., Massey, J., Fisher, L., Inglesby, P., Hand, K., van Staa, T. and Palin, V. (2023b). Impact of COVID-19 on broad-spectrum antibiotic prescribing for common infections in primary care in England: a time-series analysis using OpenSAFELY and effects of predictors including deprivation. </w:t>
      </w:r>
      <w:r w:rsidRPr="00277198">
        <w:rPr>
          <w:i/>
          <w:iCs/>
          <w:sz w:val="22"/>
          <w:lang w:val="en-US"/>
        </w:rPr>
        <w:t>The Lancet Regional Health – Europe</w:t>
      </w:r>
      <w:r w:rsidRPr="00277198">
        <w:rPr>
          <w:sz w:val="22"/>
          <w:lang w:val="en-US"/>
        </w:rPr>
        <w:t xml:space="preserve">, 30, 100653. </w:t>
      </w:r>
      <w:hyperlink r:id="rId16" w:history="1">
        <w:r w:rsidR="004B7330" w:rsidRPr="00F545D8">
          <w:rPr>
            <w:rStyle w:val="Hyperlink"/>
            <w:sz w:val="22"/>
            <w:lang w:val="en-US"/>
          </w:rPr>
          <w:t>https://doi.org/10.1016/j.lanepe.2023.100653</w:t>
        </w:r>
      </w:hyperlink>
    </w:p>
    <w:p w14:paraId="7AC8C588" w14:textId="5739AD7D" w:rsidR="00047EC7" w:rsidRDefault="005A7C36" w:rsidP="00047EC7">
      <w:pPr>
        <w:pStyle w:val="Heading1"/>
      </w:pPr>
      <w:bookmarkStart w:id="111" w:name="_Toc240928072"/>
      <w:r>
        <w:t>APPENDICES</w:t>
      </w:r>
      <w:bookmarkEnd w:id="111"/>
    </w:p>
    <w:p w14:paraId="034EFD1A" w14:textId="77777777" w:rsidR="00047EC7" w:rsidRDefault="00047EC7" w:rsidP="00047EC7">
      <w:pPr>
        <w:pStyle w:val="Heading2"/>
      </w:pPr>
      <w:bookmarkStart w:id="112" w:name="_Toc240928073"/>
      <w:r>
        <w:t>Appendix A - CASP Critical Appraisal</w:t>
      </w:r>
      <w:bookmarkEnd w:id="112"/>
    </w:p>
    <w:p w14:paraId="08508A51" w14:textId="77777777" w:rsidR="00047EC7" w:rsidRDefault="00047EC7" w:rsidP="00C34D77">
      <w:r>
        <w:t>Table A1: CASP Critical Appraisal Summary of the 15 Included Studies</w:t>
      </w:r>
    </w:p>
    <w:tbl>
      <w:tblPr>
        <w:tblStyle w:val="TableGrid"/>
        <w:tblW w:w="10146" w:type="dxa"/>
        <w:tblLayout w:type="fixed"/>
        <w:tblLook w:val="04A0" w:firstRow="1" w:lastRow="0" w:firstColumn="1" w:lastColumn="0" w:noHBand="0" w:noVBand="1"/>
      </w:tblPr>
      <w:tblGrid>
        <w:gridCol w:w="1643"/>
        <w:gridCol w:w="1684"/>
        <w:gridCol w:w="3369"/>
        <w:gridCol w:w="2342"/>
        <w:gridCol w:w="1108"/>
      </w:tblGrid>
      <w:tr w:rsidR="00047EC7" w:rsidRPr="002D4D25" w14:paraId="306B8EC9" w14:textId="77777777" w:rsidTr="00047EC7">
        <w:trPr>
          <w:trHeight w:val="772"/>
        </w:trPr>
        <w:tc>
          <w:tcPr>
            <w:tcW w:w="1643" w:type="dxa"/>
          </w:tcPr>
          <w:p w14:paraId="14D6FDED" w14:textId="77777777" w:rsidR="00047EC7" w:rsidRPr="002D4D25" w:rsidRDefault="00047EC7" w:rsidP="00957D67">
            <w:pPr>
              <w:spacing w:line="211" w:lineRule="auto"/>
              <w:jc w:val="center"/>
              <w:rPr>
                <w:sz w:val="16"/>
                <w:szCs w:val="24"/>
              </w:rPr>
            </w:pPr>
            <w:r w:rsidRPr="002D4D25">
              <w:rPr>
                <w:rFonts w:ascii="Times New Roman" w:hAnsi="Times New Roman"/>
                <w:b/>
                <w:sz w:val="16"/>
                <w:szCs w:val="24"/>
              </w:rPr>
              <w:t>Study / nation</w:t>
            </w:r>
          </w:p>
        </w:tc>
        <w:tc>
          <w:tcPr>
            <w:tcW w:w="1684" w:type="dxa"/>
          </w:tcPr>
          <w:p w14:paraId="16D835EC" w14:textId="77777777" w:rsidR="00047EC7" w:rsidRPr="002D4D25" w:rsidRDefault="00047EC7" w:rsidP="00957D67">
            <w:pPr>
              <w:spacing w:line="211" w:lineRule="auto"/>
              <w:jc w:val="center"/>
              <w:rPr>
                <w:sz w:val="16"/>
                <w:szCs w:val="24"/>
              </w:rPr>
            </w:pPr>
            <w:r w:rsidRPr="002D4D25">
              <w:rPr>
                <w:rFonts w:ascii="Times New Roman" w:hAnsi="Times New Roman"/>
                <w:b/>
                <w:sz w:val="16"/>
                <w:szCs w:val="24"/>
              </w:rPr>
              <w:t>Design</w:t>
            </w:r>
          </w:p>
        </w:tc>
        <w:tc>
          <w:tcPr>
            <w:tcW w:w="3369" w:type="dxa"/>
          </w:tcPr>
          <w:p w14:paraId="7F99583D" w14:textId="77777777" w:rsidR="00047EC7" w:rsidRPr="002D4D25" w:rsidRDefault="00047EC7" w:rsidP="00957D67">
            <w:pPr>
              <w:spacing w:line="211" w:lineRule="auto"/>
              <w:jc w:val="center"/>
              <w:rPr>
                <w:sz w:val="16"/>
                <w:szCs w:val="24"/>
              </w:rPr>
            </w:pPr>
            <w:r w:rsidRPr="002D4D25">
              <w:rPr>
                <w:rFonts w:ascii="Times New Roman" w:hAnsi="Times New Roman"/>
                <w:b/>
                <w:sz w:val="16"/>
                <w:szCs w:val="24"/>
              </w:rPr>
              <w:t>CASP appraisal evidence / principal strengths</w:t>
            </w:r>
          </w:p>
        </w:tc>
        <w:tc>
          <w:tcPr>
            <w:tcW w:w="2342" w:type="dxa"/>
          </w:tcPr>
          <w:p w14:paraId="38DB18E1" w14:textId="77777777" w:rsidR="00047EC7" w:rsidRPr="002D4D25" w:rsidRDefault="00047EC7" w:rsidP="00957D67">
            <w:pPr>
              <w:spacing w:line="211" w:lineRule="auto"/>
              <w:jc w:val="center"/>
              <w:rPr>
                <w:sz w:val="16"/>
                <w:szCs w:val="24"/>
              </w:rPr>
            </w:pPr>
            <w:r w:rsidRPr="002D4D25">
              <w:rPr>
                <w:rFonts w:ascii="Times New Roman" w:hAnsi="Times New Roman"/>
                <w:b/>
                <w:sz w:val="16"/>
                <w:szCs w:val="24"/>
              </w:rPr>
              <w:t>Principal limitations</w:t>
            </w:r>
          </w:p>
        </w:tc>
        <w:tc>
          <w:tcPr>
            <w:tcW w:w="1108" w:type="dxa"/>
          </w:tcPr>
          <w:p w14:paraId="48564395" w14:textId="77777777" w:rsidR="00047EC7" w:rsidRPr="002D4D25" w:rsidRDefault="00047EC7" w:rsidP="00957D67">
            <w:pPr>
              <w:spacing w:line="211" w:lineRule="auto"/>
              <w:jc w:val="center"/>
              <w:rPr>
                <w:sz w:val="16"/>
                <w:szCs w:val="24"/>
              </w:rPr>
            </w:pPr>
            <w:r w:rsidRPr="002D4D25">
              <w:rPr>
                <w:rFonts w:ascii="Times New Roman" w:hAnsi="Times New Roman"/>
                <w:b/>
                <w:sz w:val="16"/>
                <w:szCs w:val="24"/>
              </w:rPr>
              <w:t>Overall CASP judgement</w:t>
            </w:r>
          </w:p>
        </w:tc>
      </w:tr>
      <w:tr w:rsidR="002D4D25" w:rsidRPr="002D4D25" w14:paraId="72D2D8B2" w14:textId="77777777" w:rsidTr="00047EC7">
        <w:trPr>
          <w:trHeight w:val="687"/>
        </w:trPr>
        <w:tc>
          <w:tcPr>
            <w:tcW w:w="1643" w:type="dxa"/>
          </w:tcPr>
          <w:p w14:paraId="29517ED3" w14:textId="77777777" w:rsidR="00047EC7" w:rsidRPr="002D4D25" w:rsidRDefault="00047EC7" w:rsidP="00957D67">
            <w:pPr>
              <w:spacing w:line="211" w:lineRule="auto"/>
              <w:rPr>
                <w:sz w:val="16"/>
                <w:szCs w:val="24"/>
              </w:rPr>
            </w:pPr>
            <w:r w:rsidRPr="002D4D25">
              <w:rPr>
                <w:rFonts w:ascii="Times New Roman" w:hAnsi="Times New Roman"/>
                <w:sz w:val="16"/>
                <w:szCs w:val="24"/>
              </w:rPr>
              <w:t>Mantzourani et al. (2019), Wales</w:t>
            </w:r>
          </w:p>
        </w:tc>
        <w:tc>
          <w:tcPr>
            <w:tcW w:w="1684" w:type="dxa"/>
          </w:tcPr>
          <w:p w14:paraId="367B3B45" w14:textId="77777777" w:rsidR="00047EC7" w:rsidRPr="002D4D25" w:rsidRDefault="00047EC7" w:rsidP="00957D67">
            <w:pPr>
              <w:spacing w:line="211" w:lineRule="auto"/>
              <w:rPr>
                <w:sz w:val="16"/>
                <w:szCs w:val="24"/>
              </w:rPr>
            </w:pPr>
            <w:r w:rsidRPr="002D4D25">
              <w:rPr>
                <w:rFonts w:ascii="Times New Roman" w:hAnsi="Times New Roman"/>
                <w:sz w:val="16"/>
                <w:szCs w:val="24"/>
              </w:rPr>
              <w:t>Phenomenological interviews; thematic analysis</w:t>
            </w:r>
          </w:p>
        </w:tc>
        <w:tc>
          <w:tcPr>
            <w:tcW w:w="3369" w:type="dxa"/>
          </w:tcPr>
          <w:p w14:paraId="309D9F02" w14:textId="77777777" w:rsidR="00047EC7" w:rsidRPr="002D4D25" w:rsidRDefault="00047EC7" w:rsidP="00957D67">
            <w:pPr>
              <w:spacing w:line="211" w:lineRule="auto"/>
              <w:rPr>
                <w:sz w:val="16"/>
                <w:szCs w:val="24"/>
              </w:rPr>
            </w:pPr>
            <w:r w:rsidRPr="002D4D25">
              <w:rPr>
                <w:rFonts w:ascii="Times New Roman" w:hAnsi="Times New Roman"/>
                <w:sz w:val="16"/>
                <w:szCs w:val="24"/>
              </w:rPr>
              <w:t>Structured assessment/testing valued; training, staffing and GP interface affected delivery.</w:t>
            </w:r>
          </w:p>
        </w:tc>
        <w:tc>
          <w:tcPr>
            <w:tcW w:w="2342" w:type="dxa"/>
          </w:tcPr>
          <w:p w14:paraId="29E9DA82" w14:textId="77777777" w:rsidR="00047EC7" w:rsidRPr="002D4D25" w:rsidRDefault="00047EC7" w:rsidP="00957D67">
            <w:pPr>
              <w:spacing w:line="211" w:lineRule="auto"/>
              <w:rPr>
                <w:sz w:val="16"/>
                <w:szCs w:val="24"/>
              </w:rPr>
            </w:pPr>
            <w:r w:rsidRPr="002D4D25">
              <w:rPr>
                <w:rFonts w:ascii="Times New Roman" w:hAnsi="Times New Roman"/>
                <w:sz w:val="16"/>
                <w:szCs w:val="24"/>
              </w:rPr>
              <w:t>Small self-selected sample.</w:t>
            </w:r>
          </w:p>
        </w:tc>
        <w:tc>
          <w:tcPr>
            <w:tcW w:w="1108" w:type="dxa"/>
          </w:tcPr>
          <w:p w14:paraId="0B706B58" w14:textId="77777777" w:rsidR="00047EC7" w:rsidRPr="002D4D25" w:rsidRDefault="00047EC7" w:rsidP="00957D67">
            <w:pPr>
              <w:spacing w:line="211" w:lineRule="auto"/>
              <w:jc w:val="center"/>
              <w:rPr>
                <w:sz w:val="16"/>
                <w:szCs w:val="24"/>
              </w:rPr>
            </w:pPr>
            <w:r w:rsidRPr="002D4D25">
              <w:rPr>
                <w:rFonts w:ascii="Times New Roman" w:hAnsi="Times New Roman"/>
                <w:sz w:val="16"/>
                <w:szCs w:val="24"/>
              </w:rPr>
              <w:t>Moderate</w:t>
            </w:r>
          </w:p>
        </w:tc>
      </w:tr>
      <w:tr w:rsidR="002D4D25" w:rsidRPr="002D4D25" w14:paraId="4F526A9F" w14:textId="77777777" w:rsidTr="00047EC7">
        <w:trPr>
          <w:trHeight w:val="730"/>
        </w:trPr>
        <w:tc>
          <w:tcPr>
            <w:tcW w:w="1643" w:type="dxa"/>
          </w:tcPr>
          <w:p w14:paraId="1DD01AAE" w14:textId="77777777" w:rsidR="00047EC7" w:rsidRPr="002D4D25" w:rsidRDefault="00047EC7" w:rsidP="00957D67">
            <w:pPr>
              <w:spacing w:line="211" w:lineRule="auto"/>
              <w:rPr>
                <w:sz w:val="16"/>
                <w:szCs w:val="24"/>
              </w:rPr>
            </w:pPr>
            <w:r w:rsidRPr="002D4D25">
              <w:rPr>
                <w:rFonts w:ascii="Times New Roman" w:hAnsi="Times New Roman"/>
                <w:sz w:val="16"/>
                <w:szCs w:val="24"/>
              </w:rPr>
              <w:t>Mantzourani et al. (2020), Wales</w:t>
            </w:r>
          </w:p>
        </w:tc>
        <w:tc>
          <w:tcPr>
            <w:tcW w:w="1684" w:type="dxa"/>
          </w:tcPr>
          <w:p w14:paraId="539C3BFC" w14:textId="77777777" w:rsidR="00047EC7" w:rsidRPr="002D4D25" w:rsidRDefault="00047EC7" w:rsidP="00957D67">
            <w:pPr>
              <w:spacing w:line="211" w:lineRule="auto"/>
              <w:rPr>
                <w:sz w:val="16"/>
                <w:szCs w:val="24"/>
              </w:rPr>
            </w:pPr>
            <w:r w:rsidRPr="002D4D25">
              <w:rPr>
                <w:rFonts w:ascii="Times New Roman" w:hAnsi="Times New Roman"/>
                <w:sz w:val="16"/>
                <w:szCs w:val="24"/>
              </w:rPr>
              <w:t>Service evaluation</w:t>
            </w:r>
          </w:p>
        </w:tc>
        <w:tc>
          <w:tcPr>
            <w:tcW w:w="3369" w:type="dxa"/>
          </w:tcPr>
          <w:p w14:paraId="2BB603EC" w14:textId="77777777" w:rsidR="00047EC7" w:rsidRPr="002D4D25" w:rsidRDefault="00047EC7" w:rsidP="00957D67">
            <w:pPr>
              <w:spacing w:line="211" w:lineRule="auto"/>
              <w:rPr>
                <w:sz w:val="16"/>
                <w:szCs w:val="24"/>
              </w:rPr>
            </w:pPr>
            <w:r w:rsidRPr="002D4D25">
              <w:rPr>
                <w:rFonts w:ascii="Times New Roman" w:hAnsi="Times New Roman"/>
                <w:sz w:val="16"/>
                <w:szCs w:val="24"/>
              </w:rPr>
              <w:t>&lt;20% received antibiotics; no quinsy increase; limited change in GP prescribing.</w:t>
            </w:r>
          </w:p>
        </w:tc>
        <w:tc>
          <w:tcPr>
            <w:tcW w:w="2342" w:type="dxa"/>
          </w:tcPr>
          <w:p w14:paraId="00C13241" w14:textId="77777777" w:rsidR="00047EC7" w:rsidRPr="002D4D25" w:rsidRDefault="00047EC7" w:rsidP="00957D67">
            <w:pPr>
              <w:spacing w:line="211" w:lineRule="auto"/>
              <w:rPr>
                <w:sz w:val="16"/>
                <w:szCs w:val="24"/>
              </w:rPr>
            </w:pPr>
            <w:r w:rsidRPr="002D4D25">
              <w:rPr>
                <w:rFonts w:ascii="Times New Roman" w:hAnsi="Times New Roman"/>
                <w:sz w:val="16"/>
                <w:szCs w:val="24"/>
              </w:rPr>
              <w:t>Observational and short follow-up.</w:t>
            </w:r>
          </w:p>
        </w:tc>
        <w:tc>
          <w:tcPr>
            <w:tcW w:w="1108" w:type="dxa"/>
          </w:tcPr>
          <w:p w14:paraId="0EB19FF6" w14:textId="77777777" w:rsidR="00047EC7" w:rsidRPr="002D4D25" w:rsidRDefault="00047EC7" w:rsidP="00957D67">
            <w:pPr>
              <w:spacing w:line="211" w:lineRule="auto"/>
              <w:jc w:val="center"/>
              <w:rPr>
                <w:sz w:val="16"/>
                <w:szCs w:val="24"/>
              </w:rPr>
            </w:pPr>
            <w:r w:rsidRPr="002D4D25">
              <w:rPr>
                <w:rFonts w:ascii="Times New Roman" w:hAnsi="Times New Roman"/>
                <w:sz w:val="16"/>
                <w:szCs w:val="24"/>
              </w:rPr>
              <w:t>Higher</w:t>
            </w:r>
          </w:p>
        </w:tc>
      </w:tr>
      <w:tr w:rsidR="002D4D25" w:rsidRPr="002D4D25" w14:paraId="0CDF597E" w14:textId="77777777" w:rsidTr="00047EC7">
        <w:trPr>
          <w:trHeight w:val="687"/>
        </w:trPr>
        <w:tc>
          <w:tcPr>
            <w:tcW w:w="1643" w:type="dxa"/>
          </w:tcPr>
          <w:p w14:paraId="27D13B54" w14:textId="77777777" w:rsidR="00047EC7" w:rsidRPr="002D4D25" w:rsidRDefault="00047EC7" w:rsidP="00957D67">
            <w:pPr>
              <w:spacing w:line="211" w:lineRule="auto"/>
              <w:rPr>
                <w:sz w:val="16"/>
                <w:szCs w:val="24"/>
              </w:rPr>
            </w:pPr>
            <w:r w:rsidRPr="002D4D25">
              <w:rPr>
                <w:rFonts w:ascii="Times New Roman" w:hAnsi="Times New Roman"/>
                <w:sz w:val="16"/>
                <w:szCs w:val="24"/>
              </w:rPr>
              <w:t>Thornley et al. (2020), England</w:t>
            </w:r>
          </w:p>
        </w:tc>
        <w:tc>
          <w:tcPr>
            <w:tcW w:w="1684" w:type="dxa"/>
          </w:tcPr>
          <w:p w14:paraId="20DDD458" w14:textId="77777777" w:rsidR="00047EC7" w:rsidRPr="002D4D25" w:rsidRDefault="00047EC7" w:rsidP="00957D67">
            <w:pPr>
              <w:spacing w:line="211" w:lineRule="auto"/>
              <w:rPr>
                <w:sz w:val="16"/>
                <w:szCs w:val="24"/>
              </w:rPr>
            </w:pPr>
            <w:r w:rsidRPr="002D4D25">
              <w:rPr>
                <w:rFonts w:ascii="Times New Roman" w:hAnsi="Times New Roman"/>
                <w:sz w:val="16"/>
                <w:szCs w:val="24"/>
              </w:rPr>
              <w:t>Prospective service evaluation</w:t>
            </w:r>
          </w:p>
        </w:tc>
        <w:tc>
          <w:tcPr>
            <w:tcW w:w="3369" w:type="dxa"/>
          </w:tcPr>
          <w:p w14:paraId="7927EABD" w14:textId="77777777" w:rsidR="00047EC7" w:rsidRPr="002D4D25" w:rsidRDefault="00047EC7" w:rsidP="00957D67">
            <w:pPr>
              <w:spacing w:line="211" w:lineRule="auto"/>
              <w:rPr>
                <w:sz w:val="16"/>
                <w:szCs w:val="24"/>
              </w:rPr>
            </w:pPr>
            <w:r w:rsidRPr="002D4D25">
              <w:rPr>
                <w:rFonts w:ascii="Times New Roman" w:hAnsi="Times New Roman"/>
                <w:sz w:val="16"/>
                <w:szCs w:val="24"/>
              </w:rPr>
              <w:t>372/496 likely lower UTI; 214/301 would otherwise see GP; same-day treatment/self-care.</w:t>
            </w:r>
          </w:p>
        </w:tc>
        <w:tc>
          <w:tcPr>
            <w:tcW w:w="2342" w:type="dxa"/>
          </w:tcPr>
          <w:p w14:paraId="0B654C66" w14:textId="77777777" w:rsidR="00047EC7" w:rsidRPr="002D4D25" w:rsidRDefault="00047EC7" w:rsidP="00957D67">
            <w:pPr>
              <w:spacing w:line="211" w:lineRule="auto"/>
              <w:rPr>
                <w:sz w:val="16"/>
                <w:szCs w:val="24"/>
              </w:rPr>
            </w:pPr>
            <w:r w:rsidRPr="002D4D25">
              <w:rPr>
                <w:rFonts w:ascii="Times New Roman" w:hAnsi="Times New Roman"/>
                <w:sz w:val="16"/>
                <w:szCs w:val="24"/>
              </w:rPr>
              <w:t>Selected sites and no comparator.</w:t>
            </w:r>
          </w:p>
        </w:tc>
        <w:tc>
          <w:tcPr>
            <w:tcW w:w="1108" w:type="dxa"/>
          </w:tcPr>
          <w:p w14:paraId="4830A2B8" w14:textId="77777777" w:rsidR="00047EC7" w:rsidRPr="002D4D25" w:rsidRDefault="00047EC7" w:rsidP="00957D67">
            <w:pPr>
              <w:spacing w:line="211" w:lineRule="auto"/>
              <w:jc w:val="center"/>
              <w:rPr>
                <w:sz w:val="16"/>
                <w:szCs w:val="24"/>
              </w:rPr>
            </w:pPr>
            <w:r w:rsidRPr="002D4D25">
              <w:rPr>
                <w:rFonts w:ascii="Times New Roman" w:hAnsi="Times New Roman"/>
                <w:sz w:val="16"/>
                <w:szCs w:val="24"/>
              </w:rPr>
              <w:t>Moderate</w:t>
            </w:r>
          </w:p>
        </w:tc>
      </w:tr>
      <w:tr w:rsidR="002D4D25" w:rsidRPr="002D4D25" w14:paraId="3152861B" w14:textId="77777777" w:rsidTr="00047EC7">
        <w:trPr>
          <w:trHeight w:val="730"/>
        </w:trPr>
        <w:tc>
          <w:tcPr>
            <w:tcW w:w="1643" w:type="dxa"/>
          </w:tcPr>
          <w:p w14:paraId="6F78F8C8" w14:textId="77777777" w:rsidR="00047EC7" w:rsidRPr="002D4D25" w:rsidRDefault="00047EC7" w:rsidP="00957D67">
            <w:pPr>
              <w:spacing w:line="211" w:lineRule="auto"/>
              <w:rPr>
                <w:sz w:val="16"/>
                <w:szCs w:val="24"/>
              </w:rPr>
            </w:pPr>
            <w:r w:rsidRPr="002D4D25">
              <w:rPr>
                <w:rFonts w:ascii="Times New Roman" w:hAnsi="Times New Roman"/>
                <w:sz w:val="16"/>
                <w:szCs w:val="24"/>
              </w:rPr>
              <w:t>Peiffer-Smadja et al. (2020), England</w:t>
            </w:r>
          </w:p>
        </w:tc>
        <w:tc>
          <w:tcPr>
            <w:tcW w:w="1684" w:type="dxa"/>
          </w:tcPr>
          <w:p w14:paraId="0EED11D6" w14:textId="77777777" w:rsidR="00047EC7" w:rsidRPr="002D4D25" w:rsidRDefault="00047EC7" w:rsidP="00957D67">
            <w:pPr>
              <w:spacing w:line="211" w:lineRule="auto"/>
              <w:rPr>
                <w:sz w:val="16"/>
                <w:szCs w:val="24"/>
              </w:rPr>
            </w:pPr>
            <w:r w:rsidRPr="002D4D25">
              <w:rPr>
                <w:rFonts w:ascii="Times New Roman" w:hAnsi="Times New Roman"/>
                <w:sz w:val="16"/>
                <w:szCs w:val="24"/>
              </w:rPr>
              <w:t>Mixed methods</w:t>
            </w:r>
          </w:p>
        </w:tc>
        <w:tc>
          <w:tcPr>
            <w:tcW w:w="3369" w:type="dxa"/>
          </w:tcPr>
          <w:p w14:paraId="37D1F7EA" w14:textId="77777777" w:rsidR="00047EC7" w:rsidRPr="002D4D25" w:rsidRDefault="00047EC7" w:rsidP="00957D67">
            <w:pPr>
              <w:spacing w:line="211" w:lineRule="auto"/>
              <w:rPr>
                <w:sz w:val="16"/>
                <w:szCs w:val="24"/>
              </w:rPr>
            </w:pPr>
            <w:r w:rsidRPr="002D4D25">
              <w:rPr>
                <w:rFonts w:ascii="Times New Roman" w:hAnsi="Times New Roman"/>
                <w:sz w:val="16"/>
                <w:szCs w:val="24"/>
              </w:rPr>
              <w:t>65% comfortable discussing UTI privately; time, staffing, records and referral were barriers.</w:t>
            </w:r>
          </w:p>
        </w:tc>
        <w:tc>
          <w:tcPr>
            <w:tcW w:w="2342" w:type="dxa"/>
          </w:tcPr>
          <w:p w14:paraId="0D209631" w14:textId="77777777" w:rsidR="00047EC7" w:rsidRPr="002D4D25" w:rsidRDefault="00047EC7" w:rsidP="00957D67">
            <w:pPr>
              <w:spacing w:line="211" w:lineRule="auto"/>
              <w:rPr>
                <w:sz w:val="16"/>
                <w:szCs w:val="24"/>
              </w:rPr>
            </w:pPr>
            <w:r w:rsidRPr="002D4D25">
              <w:rPr>
                <w:rFonts w:ascii="Times New Roman" w:hAnsi="Times New Roman"/>
                <w:sz w:val="16"/>
                <w:szCs w:val="24"/>
              </w:rPr>
              <w:t>Single-borough/low response.</w:t>
            </w:r>
          </w:p>
        </w:tc>
        <w:tc>
          <w:tcPr>
            <w:tcW w:w="1108" w:type="dxa"/>
          </w:tcPr>
          <w:p w14:paraId="362E8289" w14:textId="77777777" w:rsidR="00047EC7" w:rsidRPr="002D4D25" w:rsidRDefault="00047EC7" w:rsidP="00957D67">
            <w:pPr>
              <w:spacing w:line="211" w:lineRule="auto"/>
              <w:jc w:val="center"/>
              <w:rPr>
                <w:sz w:val="16"/>
                <w:szCs w:val="24"/>
              </w:rPr>
            </w:pPr>
            <w:r w:rsidRPr="002D4D25">
              <w:rPr>
                <w:rFonts w:ascii="Times New Roman" w:hAnsi="Times New Roman"/>
                <w:sz w:val="16"/>
                <w:szCs w:val="24"/>
              </w:rPr>
              <w:t>Higher</w:t>
            </w:r>
          </w:p>
        </w:tc>
      </w:tr>
      <w:tr w:rsidR="002D4D25" w:rsidRPr="002D4D25" w14:paraId="471B8E27" w14:textId="77777777" w:rsidTr="00047EC7">
        <w:trPr>
          <w:trHeight w:val="687"/>
        </w:trPr>
        <w:tc>
          <w:tcPr>
            <w:tcW w:w="1643" w:type="dxa"/>
          </w:tcPr>
          <w:p w14:paraId="45EF8676" w14:textId="77777777" w:rsidR="00047EC7" w:rsidRPr="002D4D25" w:rsidRDefault="00047EC7" w:rsidP="00957D67">
            <w:pPr>
              <w:spacing w:line="211" w:lineRule="auto"/>
              <w:rPr>
                <w:sz w:val="16"/>
                <w:szCs w:val="24"/>
              </w:rPr>
            </w:pPr>
            <w:r w:rsidRPr="002D4D25">
              <w:rPr>
                <w:rFonts w:ascii="Times New Roman" w:hAnsi="Times New Roman"/>
                <w:sz w:val="16"/>
                <w:szCs w:val="24"/>
              </w:rPr>
              <w:t>Mantzourani et al. (2022), Wales</w:t>
            </w:r>
          </w:p>
        </w:tc>
        <w:tc>
          <w:tcPr>
            <w:tcW w:w="1684" w:type="dxa"/>
          </w:tcPr>
          <w:p w14:paraId="11062FBE" w14:textId="77777777" w:rsidR="00047EC7" w:rsidRPr="002D4D25" w:rsidRDefault="00047EC7" w:rsidP="00957D67">
            <w:pPr>
              <w:spacing w:line="211" w:lineRule="auto"/>
              <w:rPr>
                <w:sz w:val="16"/>
                <w:szCs w:val="24"/>
              </w:rPr>
            </w:pPr>
            <w:r w:rsidRPr="002D4D25">
              <w:rPr>
                <w:rFonts w:ascii="Times New Roman" w:hAnsi="Times New Roman"/>
                <w:sz w:val="16"/>
                <w:szCs w:val="24"/>
              </w:rPr>
              <w:t>Natural before/after comparison</w:t>
            </w:r>
          </w:p>
        </w:tc>
        <w:tc>
          <w:tcPr>
            <w:tcW w:w="3369" w:type="dxa"/>
          </w:tcPr>
          <w:p w14:paraId="35623B74" w14:textId="77777777" w:rsidR="00047EC7" w:rsidRPr="002D4D25" w:rsidRDefault="00047EC7" w:rsidP="00957D67">
            <w:pPr>
              <w:spacing w:line="211" w:lineRule="auto"/>
              <w:rPr>
                <w:sz w:val="16"/>
                <w:szCs w:val="24"/>
              </w:rPr>
            </w:pPr>
            <w:r w:rsidRPr="002D4D25">
              <w:rPr>
                <w:rFonts w:ascii="Times New Roman" w:hAnsi="Times New Roman"/>
                <w:sz w:val="16"/>
                <w:szCs w:val="24"/>
              </w:rPr>
              <w:t>Antibiotic supply rose from 27% to 63% without testing; non-supply fell from 56% to 9.3%.</w:t>
            </w:r>
          </w:p>
        </w:tc>
        <w:tc>
          <w:tcPr>
            <w:tcW w:w="2342" w:type="dxa"/>
          </w:tcPr>
          <w:p w14:paraId="148FAA29" w14:textId="77777777" w:rsidR="00047EC7" w:rsidRPr="002D4D25" w:rsidRDefault="00047EC7" w:rsidP="00957D67">
            <w:pPr>
              <w:spacing w:line="211" w:lineRule="auto"/>
              <w:rPr>
                <w:sz w:val="16"/>
                <w:szCs w:val="24"/>
              </w:rPr>
            </w:pPr>
            <w:r w:rsidRPr="002D4D25">
              <w:rPr>
                <w:rFonts w:ascii="Times New Roman" w:hAnsi="Times New Roman"/>
                <w:sz w:val="16"/>
                <w:szCs w:val="24"/>
              </w:rPr>
              <w:t>Pandemic confounding and sample imbalance.</w:t>
            </w:r>
          </w:p>
        </w:tc>
        <w:tc>
          <w:tcPr>
            <w:tcW w:w="1108" w:type="dxa"/>
          </w:tcPr>
          <w:p w14:paraId="667F9247" w14:textId="77777777" w:rsidR="00047EC7" w:rsidRPr="002D4D25" w:rsidRDefault="00047EC7" w:rsidP="00957D67">
            <w:pPr>
              <w:spacing w:line="211" w:lineRule="auto"/>
              <w:jc w:val="center"/>
              <w:rPr>
                <w:sz w:val="16"/>
                <w:szCs w:val="24"/>
              </w:rPr>
            </w:pPr>
            <w:r w:rsidRPr="002D4D25">
              <w:rPr>
                <w:rFonts w:ascii="Times New Roman" w:hAnsi="Times New Roman"/>
                <w:sz w:val="16"/>
                <w:szCs w:val="24"/>
              </w:rPr>
              <w:t>Moderate</w:t>
            </w:r>
          </w:p>
        </w:tc>
      </w:tr>
      <w:tr w:rsidR="002D4D25" w:rsidRPr="002D4D25" w14:paraId="5EEE3494" w14:textId="77777777" w:rsidTr="00047EC7">
        <w:trPr>
          <w:trHeight w:val="730"/>
        </w:trPr>
        <w:tc>
          <w:tcPr>
            <w:tcW w:w="1643" w:type="dxa"/>
          </w:tcPr>
          <w:p w14:paraId="07293847" w14:textId="77777777" w:rsidR="00047EC7" w:rsidRPr="002D4D25" w:rsidRDefault="00047EC7" w:rsidP="00957D67">
            <w:pPr>
              <w:spacing w:line="211" w:lineRule="auto"/>
              <w:rPr>
                <w:sz w:val="16"/>
                <w:szCs w:val="24"/>
              </w:rPr>
            </w:pPr>
            <w:r w:rsidRPr="002D4D25">
              <w:rPr>
                <w:rFonts w:ascii="Times New Roman" w:hAnsi="Times New Roman"/>
                <w:sz w:val="16"/>
                <w:szCs w:val="24"/>
              </w:rPr>
              <w:t>O'Neill et al. (2022), Northern Ireland</w:t>
            </w:r>
          </w:p>
        </w:tc>
        <w:tc>
          <w:tcPr>
            <w:tcW w:w="1684" w:type="dxa"/>
          </w:tcPr>
          <w:p w14:paraId="5360A18E" w14:textId="77777777" w:rsidR="00047EC7" w:rsidRPr="002D4D25" w:rsidRDefault="00047EC7" w:rsidP="00957D67">
            <w:pPr>
              <w:spacing w:line="211" w:lineRule="auto"/>
              <w:rPr>
                <w:sz w:val="16"/>
                <w:szCs w:val="24"/>
              </w:rPr>
            </w:pPr>
            <w:r w:rsidRPr="002D4D25">
              <w:rPr>
                <w:rFonts w:ascii="Times New Roman" w:hAnsi="Times New Roman"/>
                <w:sz w:val="16"/>
                <w:szCs w:val="24"/>
              </w:rPr>
              <w:t>CRP point-of-care pilot</w:t>
            </w:r>
          </w:p>
        </w:tc>
        <w:tc>
          <w:tcPr>
            <w:tcW w:w="3369" w:type="dxa"/>
          </w:tcPr>
          <w:p w14:paraId="3D22B368" w14:textId="77777777" w:rsidR="00047EC7" w:rsidRPr="002D4D25" w:rsidRDefault="00047EC7" w:rsidP="00957D67">
            <w:pPr>
              <w:spacing w:line="211" w:lineRule="auto"/>
              <w:rPr>
                <w:sz w:val="16"/>
                <w:szCs w:val="24"/>
              </w:rPr>
            </w:pPr>
            <w:r w:rsidRPr="002D4D25">
              <w:rPr>
                <w:rFonts w:ascii="Times New Roman" w:hAnsi="Times New Roman"/>
                <w:sz w:val="16"/>
                <w:szCs w:val="24"/>
              </w:rPr>
              <w:t>72% had CRP &lt;20 mg/L; 12% referred; 13/30 later received antibiotics.</w:t>
            </w:r>
          </w:p>
        </w:tc>
        <w:tc>
          <w:tcPr>
            <w:tcW w:w="2342" w:type="dxa"/>
          </w:tcPr>
          <w:p w14:paraId="7749690E" w14:textId="77777777" w:rsidR="00047EC7" w:rsidRPr="002D4D25" w:rsidRDefault="00047EC7" w:rsidP="00957D67">
            <w:pPr>
              <w:spacing w:line="211" w:lineRule="auto"/>
              <w:rPr>
                <w:sz w:val="16"/>
                <w:szCs w:val="24"/>
              </w:rPr>
            </w:pPr>
            <w:r w:rsidRPr="002D4D25">
              <w:rPr>
                <w:rFonts w:ascii="Times New Roman" w:hAnsi="Times New Roman"/>
                <w:sz w:val="16"/>
                <w:szCs w:val="24"/>
              </w:rPr>
              <w:t>Early termination and underpowered subgroup.</w:t>
            </w:r>
          </w:p>
        </w:tc>
        <w:tc>
          <w:tcPr>
            <w:tcW w:w="1108" w:type="dxa"/>
          </w:tcPr>
          <w:p w14:paraId="56503AD7" w14:textId="77777777" w:rsidR="00047EC7" w:rsidRPr="002D4D25" w:rsidRDefault="00047EC7" w:rsidP="00957D67">
            <w:pPr>
              <w:spacing w:line="211" w:lineRule="auto"/>
              <w:jc w:val="center"/>
              <w:rPr>
                <w:sz w:val="16"/>
                <w:szCs w:val="24"/>
              </w:rPr>
            </w:pPr>
            <w:r w:rsidRPr="002D4D25">
              <w:rPr>
                <w:rFonts w:ascii="Times New Roman" w:hAnsi="Times New Roman"/>
                <w:sz w:val="16"/>
                <w:szCs w:val="24"/>
              </w:rPr>
              <w:t>Moderate</w:t>
            </w:r>
          </w:p>
        </w:tc>
      </w:tr>
      <w:tr w:rsidR="002D4D25" w:rsidRPr="002D4D25" w14:paraId="324E1D5F" w14:textId="77777777" w:rsidTr="00047EC7">
        <w:trPr>
          <w:trHeight w:val="687"/>
        </w:trPr>
        <w:tc>
          <w:tcPr>
            <w:tcW w:w="1643" w:type="dxa"/>
          </w:tcPr>
          <w:p w14:paraId="7363EFDF" w14:textId="77777777" w:rsidR="00047EC7" w:rsidRPr="002D4D25" w:rsidRDefault="00047EC7" w:rsidP="00957D67">
            <w:pPr>
              <w:spacing w:line="211" w:lineRule="auto"/>
              <w:rPr>
                <w:sz w:val="16"/>
                <w:szCs w:val="24"/>
              </w:rPr>
            </w:pPr>
            <w:r w:rsidRPr="002D4D25">
              <w:rPr>
                <w:rFonts w:ascii="Times New Roman" w:hAnsi="Times New Roman"/>
                <w:sz w:val="16"/>
                <w:szCs w:val="24"/>
              </w:rPr>
              <w:t>Seaton et al. (2022), UK</w:t>
            </w:r>
          </w:p>
        </w:tc>
        <w:tc>
          <w:tcPr>
            <w:tcW w:w="1684" w:type="dxa"/>
          </w:tcPr>
          <w:p w14:paraId="5BF6439C" w14:textId="77777777" w:rsidR="00047EC7" w:rsidRPr="002D4D25" w:rsidRDefault="00047EC7" w:rsidP="00957D67">
            <w:pPr>
              <w:spacing w:line="211" w:lineRule="auto"/>
              <w:rPr>
                <w:sz w:val="16"/>
                <w:szCs w:val="24"/>
              </w:rPr>
            </w:pPr>
            <w:r w:rsidRPr="002D4D25">
              <w:rPr>
                <w:rFonts w:ascii="Times New Roman" w:hAnsi="Times New Roman"/>
                <w:sz w:val="16"/>
                <w:szCs w:val="24"/>
              </w:rPr>
              <w:t>Cross-sectional survey</w:t>
            </w:r>
          </w:p>
        </w:tc>
        <w:tc>
          <w:tcPr>
            <w:tcW w:w="3369" w:type="dxa"/>
          </w:tcPr>
          <w:p w14:paraId="118C8C6B" w14:textId="77777777" w:rsidR="00047EC7" w:rsidRPr="002D4D25" w:rsidRDefault="00047EC7" w:rsidP="00957D67">
            <w:pPr>
              <w:spacing w:line="211" w:lineRule="auto"/>
              <w:rPr>
                <w:sz w:val="16"/>
                <w:szCs w:val="24"/>
              </w:rPr>
            </w:pPr>
            <w:r w:rsidRPr="002D4D25">
              <w:rPr>
                <w:rFonts w:ascii="Times New Roman" w:hAnsi="Times New Roman"/>
                <w:sz w:val="16"/>
                <w:szCs w:val="24"/>
              </w:rPr>
              <w:t>Knowledge 92.7%; 61.6% had local guidance; 60% knew workplace AMS plan.</w:t>
            </w:r>
          </w:p>
        </w:tc>
        <w:tc>
          <w:tcPr>
            <w:tcW w:w="2342" w:type="dxa"/>
          </w:tcPr>
          <w:p w14:paraId="57F3A90E" w14:textId="77777777" w:rsidR="00047EC7" w:rsidRPr="002D4D25" w:rsidRDefault="00047EC7" w:rsidP="00957D67">
            <w:pPr>
              <w:spacing w:line="211" w:lineRule="auto"/>
              <w:rPr>
                <w:sz w:val="16"/>
                <w:szCs w:val="24"/>
              </w:rPr>
            </w:pPr>
            <w:r w:rsidRPr="002D4D25">
              <w:rPr>
                <w:rFonts w:ascii="Times New Roman" w:hAnsi="Times New Roman"/>
                <w:sz w:val="16"/>
                <w:szCs w:val="24"/>
              </w:rPr>
              <w:t>Low response and self-report bias.</w:t>
            </w:r>
          </w:p>
        </w:tc>
        <w:tc>
          <w:tcPr>
            <w:tcW w:w="1108" w:type="dxa"/>
          </w:tcPr>
          <w:p w14:paraId="39A9632A" w14:textId="77777777" w:rsidR="00047EC7" w:rsidRPr="002D4D25" w:rsidRDefault="00047EC7" w:rsidP="00957D67">
            <w:pPr>
              <w:spacing w:line="211" w:lineRule="auto"/>
              <w:jc w:val="center"/>
              <w:rPr>
                <w:sz w:val="16"/>
                <w:szCs w:val="24"/>
              </w:rPr>
            </w:pPr>
            <w:r w:rsidRPr="002D4D25">
              <w:rPr>
                <w:rFonts w:ascii="Times New Roman" w:hAnsi="Times New Roman"/>
                <w:sz w:val="16"/>
                <w:szCs w:val="24"/>
              </w:rPr>
              <w:t>Moderate</w:t>
            </w:r>
          </w:p>
        </w:tc>
      </w:tr>
      <w:tr w:rsidR="002D4D25" w:rsidRPr="002D4D25" w14:paraId="443E79CB" w14:textId="77777777" w:rsidTr="00047EC7">
        <w:trPr>
          <w:trHeight w:val="342"/>
        </w:trPr>
        <w:tc>
          <w:tcPr>
            <w:tcW w:w="1643" w:type="dxa"/>
          </w:tcPr>
          <w:p w14:paraId="79C99A8D" w14:textId="77777777" w:rsidR="00047EC7" w:rsidRPr="002D4D25" w:rsidRDefault="00047EC7" w:rsidP="00957D67">
            <w:pPr>
              <w:spacing w:line="211" w:lineRule="auto"/>
              <w:rPr>
                <w:sz w:val="16"/>
                <w:szCs w:val="24"/>
              </w:rPr>
            </w:pPr>
            <w:r w:rsidRPr="002D4D25">
              <w:rPr>
                <w:rFonts w:ascii="Times New Roman" w:hAnsi="Times New Roman"/>
                <w:sz w:val="16"/>
                <w:szCs w:val="24"/>
              </w:rPr>
              <w:t>Mantzourani et al. (2023), Wales</w:t>
            </w:r>
          </w:p>
        </w:tc>
        <w:tc>
          <w:tcPr>
            <w:tcW w:w="1684" w:type="dxa"/>
          </w:tcPr>
          <w:p w14:paraId="463B19A5" w14:textId="77777777" w:rsidR="00047EC7" w:rsidRPr="002D4D25" w:rsidRDefault="00047EC7" w:rsidP="00957D67">
            <w:pPr>
              <w:spacing w:line="211" w:lineRule="auto"/>
              <w:rPr>
                <w:sz w:val="16"/>
                <w:szCs w:val="24"/>
              </w:rPr>
            </w:pPr>
            <w:r w:rsidRPr="002D4D25">
              <w:rPr>
                <w:rFonts w:ascii="Times New Roman" w:hAnsi="Times New Roman"/>
                <w:sz w:val="16"/>
                <w:szCs w:val="24"/>
              </w:rPr>
              <w:t>National pharmacy-record analysis</w:t>
            </w:r>
          </w:p>
        </w:tc>
        <w:tc>
          <w:tcPr>
            <w:tcW w:w="3369" w:type="dxa"/>
          </w:tcPr>
          <w:p w14:paraId="6453A3AF" w14:textId="77777777" w:rsidR="00047EC7" w:rsidRPr="002D4D25" w:rsidRDefault="00047EC7" w:rsidP="00957D67">
            <w:pPr>
              <w:spacing w:line="211" w:lineRule="auto"/>
              <w:rPr>
                <w:sz w:val="16"/>
                <w:szCs w:val="24"/>
              </w:rPr>
            </w:pPr>
            <w:r w:rsidRPr="002D4D25">
              <w:rPr>
                <w:rFonts w:ascii="Times New Roman" w:hAnsi="Times New Roman"/>
                <w:sz w:val="16"/>
                <w:szCs w:val="24"/>
              </w:rPr>
              <w:t>76.7% tested; 21.3% received antibiotics; 91% managed in pharmacy.</w:t>
            </w:r>
          </w:p>
        </w:tc>
        <w:tc>
          <w:tcPr>
            <w:tcW w:w="2342" w:type="dxa"/>
          </w:tcPr>
          <w:p w14:paraId="77BB5B1F" w14:textId="77777777" w:rsidR="00047EC7" w:rsidRPr="002D4D25" w:rsidRDefault="00047EC7" w:rsidP="00957D67">
            <w:pPr>
              <w:spacing w:line="211" w:lineRule="auto"/>
              <w:rPr>
                <w:sz w:val="16"/>
                <w:szCs w:val="24"/>
              </w:rPr>
            </w:pPr>
            <w:r w:rsidRPr="002D4D25">
              <w:rPr>
                <w:rFonts w:ascii="Times New Roman" w:hAnsi="Times New Roman"/>
                <w:sz w:val="16"/>
                <w:szCs w:val="24"/>
              </w:rPr>
              <w:t>No microbiological/long-term outcomes.</w:t>
            </w:r>
          </w:p>
        </w:tc>
        <w:tc>
          <w:tcPr>
            <w:tcW w:w="1108" w:type="dxa"/>
          </w:tcPr>
          <w:p w14:paraId="69A39956" w14:textId="77777777" w:rsidR="00047EC7" w:rsidRPr="002D4D25" w:rsidRDefault="00047EC7" w:rsidP="00957D67">
            <w:pPr>
              <w:spacing w:line="211" w:lineRule="auto"/>
              <w:jc w:val="center"/>
              <w:rPr>
                <w:sz w:val="16"/>
                <w:szCs w:val="24"/>
              </w:rPr>
            </w:pPr>
            <w:r w:rsidRPr="002D4D25">
              <w:rPr>
                <w:rFonts w:ascii="Times New Roman" w:hAnsi="Times New Roman"/>
                <w:sz w:val="16"/>
                <w:szCs w:val="24"/>
              </w:rPr>
              <w:t>Higher</w:t>
            </w:r>
          </w:p>
        </w:tc>
      </w:tr>
      <w:tr w:rsidR="002D4D25" w:rsidRPr="002D4D25" w14:paraId="2A78EE29" w14:textId="77777777" w:rsidTr="00047EC7">
        <w:trPr>
          <w:trHeight w:val="342"/>
        </w:trPr>
        <w:tc>
          <w:tcPr>
            <w:tcW w:w="1643" w:type="dxa"/>
          </w:tcPr>
          <w:p w14:paraId="2BD33CC2" w14:textId="77777777" w:rsidR="00047EC7" w:rsidRPr="002D4D25" w:rsidRDefault="00047EC7" w:rsidP="00957D67">
            <w:pPr>
              <w:spacing w:line="211" w:lineRule="auto"/>
              <w:rPr>
                <w:sz w:val="16"/>
                <w:szCs w:val="24"/>
              </w:rPr>
            </w:pPr>
            <w:r w:rsidRPr="002D4D25">
              <w:rPr>
                <w:rFonts w:ascii="Times New Roman" w:hAnsi="Times New Roman"/>
                <w:sz w:val="16"/>
                <w:szCs w:val="24"/>
              </w:rPr>
              <w:t>Hayes et al. (2023), England</w:t>
            </w:r>
          </w:p>
        </w:tc>
        <w:tc>
          <w:tcPr>
            <w:tcW w:w="1684" w:type="dxa"/>
          </w:tcPr>
          <w:p w14:paraId="61CEBA69" w14:textId="77777777" w:rsidR="00047EC7" w:rsidRPr="002D4D25" w:rsidRDefault="00047EC7" w:rsidP="00957D67">
            <w:pPr>
              <w:spacing w:line="211" w:lineRule="auto"/>
              <w:rPr>
                <w:sz w:val="16"/>
                <w:szCs w:val="24"/>
              </w:rPr>
            </w:pPr>
            <w:r w:rsidRPr="002D4D25">
              <w:rPr>
                <w:rFonts w:ascii="Times New Roman" w:hAnsi="Times New Roman"/>
                <w:sz w:val="16"/>
                <w:szCs w:val="24"/>
              </w:rPr>
              <w:t>National service evaluation</w:t>
            </w:r>
          </w:p>
        </w:tc>
        <w:tc>
          <w:tcPr>
            <w:tcW w:w="3369" w:type="dxa"/>
          </w:tcPr>
          <w:p w14:paraId="52D2497A" w14:textId="77777777" w:rsidR="00047EC7" w:rsidRPr="002D4D25" w:rsidRDefault="00047EC7" w:rsidP="00957D67">
            <w:pPr>
              <w:spacing w:line="211" w:lineRule="auto"/>
              <w:rPr>
                <w:sz w:val="16"/>
                <w:szCs w:val="24"/>
              </w:rPr>
            </w:pPr>
            <w:r w:rsidRPr="002D4D25">
              <w:rPr>
                <w:rFonts w:ascii="Times New Roman" w:hAnsi="Times New Roman"/>
                <w:sz w:val="16"/>
                <w:szCs w:val="24"/>
              </w:rPr>
              <w:t>94-95% reported key safety checks; 89% guideline checks; time was a barrier.</w:t>
            </w:r>
          </w:p>
        </w:tc>
        <w:tc>
          <w:tcPr>
            <w:tcW w:w="2342" w:type="dxa"/>
          </w:tcPr>
          <w:p w14:paraId="6859A668" w14:textId="77777777" w:rsidR="00047EC7" w:rsidRPr="002D4D25" w:rsidRDefault="00047EC7" w:rsidP="00957D67">
            <w:pPr>
              <w:spacing w:line="211" w:lineRule="auto"/>
              <w:rPr>
                <w:sz w:val="16"/>
                <w:szCs w:val="24"/>
              </w:rPr>
            </w:pPr>
            <w:r w:rsidRPr="002D4D25">
              <w:rPr>
                <w:rFonts w:ascii="Times New Roman" w:hAnsi="Times New Roman"/>
                <w:sz w:val="16"/>
                <w:szCs w:val="24"/>
              </w:rPr>
              <w:t>Self-entry/incentive bias.</w:t>
            </w:r>
          </w:p>
        </w:tc>
        <w:tc>
          <w:tcPr>
            <w:tcW w:w="1108" w:type="dxa"/>
          </w:tcPr>
          <w:p w14:paraId="5251E2DC" w14:textId="77777777" w:rsidR="00047EC7" w:rsidRPr="002D4D25" w:rsidRDefault="00047EC7" w:rsidP="00957D67">
            <w:pPr>
              <w:spacing w:line="211" w:lineRule="auto"/>
              <w:jc w:val="center"/>
              <w:rPr>
                <w:sz w:val="16"/>
                <w:szCs w:val="24"/>
              </w:rPr>
            </w:pPr>
            <w:r w:rsidRPr="002D4D25">
              <w:rPr>
                <w:rFonts w:ascii="Times New Roman" w:hAnsi="Times New Roman"/>
                <w:sz w:val="16"/>
                <w:szCs w:val="24"/>
              </w:rPr>
              <w:t>Higher</w:t>
            </w:r>
          </w:p>
        </w:tc>
      </w:tr>
      <w:tr w:rsidR="002D4D25" w:rsidRPr="002D4D25" w14:paraId="45AA5454" w14:textId="77777777" w:rsidTr="00047EC7">
        <w:trPr>
          <w:trHeight w:val="342"/>
        </w:trPr>
        <w:tc>
          <w:tcPr>
            <w:tcW w:w="1643" w:type="dxa"/>
          </w:tcPr>
          <w:p w14:paraId="7C55655F" w14:textId="77777777" w:rsidR="00047EC7" w:rsidRPr="002D4D25" w:rsidRDefault="00047EC7" w:rsidP="00957D67">
            <w:pPr>
              <w:spacing w:line="211" w:lineRule="auto"/>
              <w:rPr>
                <w:sz w:val="16"/>
                <w:szCs w:val="24"/>
              </w:rPr>
            </w:pPr>
            <w:r w:rsidRPr="002D4D25">
              <w:rPr>
                <w:rFonts w:ascii="Times New Roman" w:hAnsi="Times New Roman"/>
                <w:sz w:val="16"/>
                <w:szCs w:val="24"/>
              </w:rPr>
              <w:t>Parekh et al. (2023b), England</w:t>
            </w:r>
          </w:p>
        </w:tc>
        <w:tc>
          <w:tcPr>
            <w:tcW w:w="1684" w:type="dxa"/>
          </w:tcPr>
          <w:p w14:paraId="731EDC7A" w14:textId="77777777" w:rsidR="00047EC7" w:rsidRPr="002D4D25" w:rsidRDefault="00047EC7" w:rsidP="00957D67">
            <w:pPr>
              <w:spacing w:line="211" w:lineRule="auto"/>
              <w:rPr>
                <w:sz w:val="16"/>
                <w:szCs w:val="24"/>
              </w:rPr>
            </w:pPr>
            <w:r w:rsidRPr="002D4D25">
              <w:rPr>
                <w:rFonts w:ascii="Times New Roman" w:hAnsi="Times New Roman"/>
                <w:sz w:val="16"/>
                <w:szCs w:val="24"/>
              </w:rPr>
              <w:t>Observational evaluation</w:t>
            </w:r>
          </w:p>
        </w:tc>
        <w:tc>
          <w:tcPr>
            <w:tcW w:w="3369" w:type="dxa"/>
          </w:tcPr>
          <w:p w14:paraId="01FD34FA" w14:textId="77777777" w:rsidR="00047EC7" w:rsidRPr="002D4D25" w:rsidRDefault="00047EC7" w:rsidP="00957D67">
            <w:pPr>
              <w:spacing w:line="211" w:lineRule="auto"/>
              <w:rPr>
                <w:sz w:val="16"/>
                <w:szCs w:val="24"/>
              </w:rPr>
            </w:pPr>
            <w:r w:rsidRPr="002D4D25">
              <w:rPr>
                <w:rFonts w:ascii="Times New Roman" w:hAnsi="Times New Roman"/>
                <w:sz w:val="16"/>
                <w:szCs w:val="24"/>
              </w:rPr>
              <w:t>Checklists structured clinical review; 69,861 patient leaflets provided.</w:t>
            </w:r>
          </w:p>
        </w:tc>
        <w:tc>
          <w:tcPr>
            <w:tcW w:w="2342" w:type="dxa"/>
          </w:tcPr>
          <w:p w14:paraId="69E609A6" w14:textId="77777777" w:rsidR="00047EC7" w:rsidRPr="002D4D25" w:rsidRDefault="00047EC7" w:rsidP="00957D67">
            <w:pPr>
              <w:spacing w:line="211" w:lineRule="auto"/>
              <w:rPr>
                <w:sz w:val="16"/>
                <w:szCs w:val="24"/>
              </w:rPr>
            </w:pPr>
            <w:r w:rsidRPr="002D4D25">
              <w:rPr>
                <w:rFonts w:ascii="Times New Roman" w:hAnsi="Times New Roman"/>
                <w:sz w:val="16"/>
                <w:szCs w:val="24"/>
              </w:rPr>
              <w:t>No counterfactual; dataset overlap.</w:t>
            </w:r>
          </w:p>
        </w:tc>
        <w:tc>
          <w:tcPr>
            <w:tcW w:w="1108" w:type="dxa"/>
          </w:tcPr>
          <w:p w14:paraId="390D134D" w14:textId="77777777" w:rsidR="00047EC7" w:rsidRPr="002D4D25" w:rsidRDefault="00047EC7" w:rsidP="00957D67">
            <w:pPr>
              <w:spacing w:line="211" w:lineRule="auto"/>
              <w:jc w:val="center"/>
              <w:rPr>
                <w:sz w:val="16"/>
                <w:szCs w:val="24"/>
              </w:rPr>
            </w:pPr>
            <w:r w:rsidRPr="002D4D25">
              <w:rPr>
                <w:rFonts w:ascii="Times New Roman" w:hAnsi="Times New Roman"/>
                <w:sz w:val="16"/>
                <w:szCs w:val="24"/>
              </w:rPr>
              <w:t>Higher</w:t>
            </w:r>
          </w:p>
        </w:tc>
      </w:tr>
      <w:tr w:rsidR="002D4D25" w:rsidRPr="002D4D25" w14:paraId="0398AA2E" w14:textId="77777777" w:rsidTr="00047EC7">
        <w:trPr>
          <w:trHeight w:val="342"/>
        </w:trPr>
        <w:tc>
          <w:tcPr>
            <w:tcW w:w="1643" w:type="dxa"/>
          </w:tcPr>
          <w:p w14:paraId="3271EED0" w14:textId="77777777" w:rsidR="00047EC7" w:rsidRPr="002D4D25" w:rsidRDefault="00047EC7" w:rsidP="00957D67">
            <w:pPr>
              <w:spacing w:line="211" w:lineRule="auto"/>
              <w:rPr>
                <w:sz w:val="16"/>
                <w:szCs w:val="24"/>
              </w:rPr>
            </w:pPr>
            <w:r w:rsidRPr="002D4D25">
              <w:rPr>
                <w:rFonts w:ascii="Times New Roman" w:hAnsi="Times New Roman"/>
                <w:sz w:val="16"/>
                <w:szCs w:val="24"/>
              </w:rPr>
              <w:t>Parekh et al. (2023a), England</w:t>
            </w:r>
          </w:p>
        </w:tc>
        <w:tc>
          <w:tcPr>
            <w:tcW w:w="1684" w:type="dxa"/>
          </w:tcPr>
          <w:p w14:paraId="57E3624D" w14:textId="77777777" w:rsidR="00047EC7" w:rsidRPr="002D4D25" w:rsidRDefault="00047EC7" w:rsidP="00957D67">
            <w:pPr>
              <w:spacing w:line="211" w:lineRule="auto"/>
              <w:rPr>
                <w:sz w:val="16"/>
                <w:szCs w:val="24"/>
              </w:rPr>
            </w:pPr>
            <w:r w:rsidRPr="002D4D25">
              <w:rPr>
                <w:rFonts w:ascii="Times New Roman" w:hAnsi="Times New Roman"/>
                <w:sz w:val="16"/>
                <w:szCs w:val="24"/>
              </w:rPr>
              <w:t>Cross-sectional service evaluation</w:t>
            </w:r>
          </w:p>
        </w:tc>
        <w:tc>
          <w:tcPr>
            <w:tcW w:w="3369" w:type="dxa"/>
          </w:tcPr>
          <w:p w14:paraId="493EFB6A" w14:textId="77777777" w:rsidR="00047EC7" w:rsidRPr="002D4D25" w:rsidRDefault="00047EC7" w:rsidP="00957D67">
            <w:pPr>
              <w:spacing w:line="211" w:lineRule="auto"/>
              <w:rPr>
                <w:sz w:val="16"/>
                <w:szCs w:val="24"/>
              </w:rPr>
            </w:pPr>
            <w:r w:rsidRPr="002D4D25">
              <w:rPr>
                <w:rFonts w:ascii="Times New Roman" w:hAnsi="Times New Roman"/>
                <w:sz w:val="16"/>
                <w:szCs w:val="24"/>
              </w:rPr>
              <w:t>77% had none/one predictive symptom; 23% had &gt;=2 without discharge.</w:t>
            </w:r>
          </w:p>
        </w:tc>
        <w:tc>
          <w:tcPr>
            <w:tcW w:w="2342" w:type="dxa"/>
          </w:tcPr>
          <w:p w14:paraId="103FEA60" w14:textId="77777777" w:rsidR="00047EC7" w:rsidRPr="002D4D25" w:rsidRDefault="00047EC7" w:rsidP="00957D67">
            <w:pPr>
              <w:spacing w:line="211" w:lineRule="auto"/>
              <w:rPr>
                <w:sz w:val="16"/>
                <w:szCs w:val="24"/>
              </w:rPr>
            </w:pPr>
            <w:r w:rsidRPr="002D4D25">
              <w:rPr>
                <w:rFonts w:ascii="Times New Roman" w:hAnsi="Times New Roman"/>
                <w:sz w:val="16"/>
                <w:szCs w:val="24"/>
              </w:rPr>
              <w:t>No follow-up or diagnostic confirmation.</w:t>
            </w:r>
          </w:p>
        </w:tc>
        <w:tc>
          <w:tcPr>
            <w:tcW w:w="1108" w:type="dxa"/>
          </w:tcPr>
          <w:p w14:paraId="7F0F28AE" w14:textId="77777777" w:rsidR="00047EC7" w:rsidRPr="002D4D25" w:rsidRDefault="00047EC7" w:rsidP="00957D67">
            <w:pPr>
              <w:spacing w:line="211" w:lineRule="auto"/>
              <w:jc w:val="center"/>
              <w:rPr>
                <w:sz w:val="16"/>
                <w:szCs w:val="24"/>
              </w:rPr>
            </w:pPr>
            <w:r w:rsidRPr="002D4D25">
              <w:rPr>
                <w:rFonts w:ascii="Times New Roman" w:hAnsi="Times New Roman"/>
                <w:sz w:val="16"/>
                <w:szCs w:val="24"/>
              </w:rPr>
              <w:t>Higher</w:t>
            </w:r>
          </w:p>
        </w:tc>
      </w:tr>
      <w:tr w:rsidR="002D4D25" w:rsidRPr="002D4D25" w14:paraId="710A3406" w14:textId="77777777" w:rsidTr="00047EC7">
        <w:trPr>
          <w:trHeight w:val="730"/>
        </w:trPr>
        <w:tc>
          <w:tcPr>
            <w:tcW w:w="1643" w:type="dxa"/>
          </w:tcPr>
          <w:p w14:paraId="12C549B5" w14:textId="77777777" w:rsidR="00047EC7" w:rsidRPr="002D4D25" w:rsidRDefault="00047EC7" w:rsidP="00957D67">
            <w:pPr>
              <w:spacing w:line="211" w:lineRule="auto"/>
              <w:rPr>
                <w:sz w:val="16"/>
                <w:szCs w:val="24"/>
              </w:rPr>
            </w:pPr>
            <w:r w:rsidRPr="002D4D25">
              <w:rPr>
                <w:rFonts w:ascii="Times New Roman" w:hAnsi="Times New Roman"/>
                <w:sz w:val="16"/>
                <w:szCs w:val="24"/>
              </w:rPr>
              <w:t>Mantzourani et al. (2025), Wales</w:t>
            </w:r>
          </w:p>
        </w:tc>
        <w:tc>
          <w:tcPr>
            <w:tcW w:w="1684" w:type="dxa"/>
          </w:tcPr>
          <w:p w14:paraId="35A95190" w14:textId="77777777" w:rsidR="00047EC7" w:rsidRPr="002D4D25" w:rsidRDefault="00047EC7" w:rsidP="00957D67">
            <w:pPr>
              <w:spacing w:line="211" w:lineRule="auto"/>
              <w:rPr>
                <w:sz w:val="16"/>
                <w:szCs w:val="24"/>
              </w:rPr>
            </w:pPr>
            <w:r w:rsidRPr="002D4D25">
              <w:rPr>
                <w:rFonts w:ascii="Times New Roman" w:hAnsi="Times New Roman"/>
                <w:sz w:val="16"/>
                <w:szCs w:val="24"/>
              </w:rPr>
              <w:t>Linked-data cohort; adjusted regression</w:t>
            </w:r>
          </w:p>
        </w:tc>
        <w:tc>
          <w:tcPr>
            <w:tcW w:w="3369" w:type="dxa"/>
          </w:tcPr>
          <w:p w14:paraId="3BAACC9E" w14:textId="77777777" w:rsidR="00047EC7" w:rsidRPr="002D4D25" w:rsidRDefault="00047EC7" w:rsidP="00957D67">
            <w:pPr>
              <w:spacing w:line="211" w:lineRule="auto"/>
              <w:rPr>
                <w:sz w:val="16"/>
                <w:szCs w:val="24"/>
              </w:rPr>
            </w:pPr>
            <w:r w:rsidRPr="002D4D25">
              <w:rPr>
                <w:rFonts w:ascii="Times New Roman" w:hAnsi="Times New Roman"/>
                <w:sz w:val="16"/>
                <w:szCs w:val="24"/>
              </w:rPr>
              <w:t>Antibiotic provision 21% vs 39%; 28-day exposure 28% vs 40%; quinsy rare.</w:t>
            </w:r>
          </w:p>
        </w:tc>
        <w:tc>
          <w:tcPr>
            <w:tcW w:w="2342" w:type="dxa"/>
          </w:tcPr>
          <w:p w14:paraId="227891EE" w14:textId="77777777" w:rsidR="00047EC7" w:rsidRPr="002D4D25" w:rsidRDefault="00047EC7" w:rsidP="00957D67">
            <w:pPr>
              <w:spacing w:line="211" w:lineRule="auto"/>
              <w:rPr>
                <w:sz w:val="16"/>
                <w:szCs w:val="24"/>
              </w:rPr>
            </w:pPr>
            <w:r w:rsidRPr="002D4D25">
              <w:rPr>
                <w:rFonts w:ascii="Times New Roman" w:hAnsi="Times New Roman"/>
                <w:sz w:val="16"/>
                <w:szCs w:val="24"/>
              </w:rPr>
              <w:t>Residual confounding and non-random allocation.</w:t>
            </w:r>
          </w:p>
        </w:tc>
        <w:tc>
          <w:tcPr>
            <w:tcW w:w="1108" w:type="dxa"/>
          </w:tcPr>
          <w:p w14:paraId="06832AB6" w14:textId="77777777" w:rsidR="00047EC7" w:rsidRPr="002D4D25" w:rsidRDefault="00047EC7" w:rsidP="00957D67">
            <w:pPr>
              <w:spacing w:line="211" w:lineRule="auto"/>
              <w:jc w:val="center"/>
              <w:rPr>
                <w:sz w:val="16"/>
                <w:szCs w:val="24"/>
              </w:rPr>
            </w:pPr>
            <w:r w:rsidRPr="002D4D25">
              <w:rPr>
                <w:rFonts w:ascii="Times New Roman" w:hAnsi="Times New Roman"/>
                <w:sz w:val="16"/>
                <w:szCs w:val="24"/>
              </w:rPr>
              <w:t>Higher</w:t>
            </w:r>
          </w:p>
        </w:tc>
      </w:tr>
      <w:tr w:rsidR="002D4D25" w:rsidRPr="002D4D25" w14:paraId="13AA41BB" w14:textId="77777777" w:rsidTr="00047EC7">
        <w:trPr>
          <w:trHeight w:val="687"/>
        </w:trPr>
        <w:tc>
          <w:tcPr>
            <w:tcW w:w="1643" w:type="dxa"/>
          </w:tcPr>
          <w:p w14:paraId="2F7AB4F4" w14:textId="77777777" w:rsidR="00047EC7" w:rsidRPr="002D4D25" w:rsidRDefault="00047EC7" w:rsidP="00957D67">
            <w:pPr>
              <w:spacing w:line="211" w:lineRule="auto"/>
              <w:rPr>
                <w:sz w:val="16"/>
                <w:szCs w:val="24"/>
              </w:rPr>
            </w:pPr>
            <w:r w:rsidRPr="002D4D25">
              <w:rPr>
                <w:rFonts w:ascii="Times New Roman" w:hAnsi="Times New Roman"/>
                <w:sz w:val="16"/>
                <w:szCs w:val="24"/>
              </w:rPr>
              <w:t>Matuluko et al. (2025), England/Wales</w:t>
            </w:r>
          </w:p>
        </w:tc>
        <w:tc>
          <w:tcPr>
            <w:tcW w:w="1684" w:type="dxa"/>
          </w:tcPr>
          <w:p w14:paraId="117CC857" w14:textId="77777777" w:rsidR="00047EC7" w:rsidRPr="002D4D25" w:rsidRDefault="00047EC7" w:rsidP="00957D67">
            <w:pPr>
              <w:spacing w:line="211" w:lineRule="auto"/>
              <w:rPr>
                <w:sz w:val="16"/>
                <w:szCs w:val="24"/>
              </w:rPr>
            </w:pPr>
            <w:r w:rsidRPr="002D4D25">
              <w:rPr>
                <w:rFonts w:ascii="Times New Roman" w:hAnsi="Times New Roman"/>
                <w:sz w:val="16"/>
                <w:szCs w:val="24"/>
              </w:rPr>
              <w:t>Natural policy experiment</w:t>
            </w:r>
          </w:p>
        </w:tc>
        <w:tc>
          <w:tcPr>
            <w:tcW w:w="3369" w:type="dxa"/>
          </w:tcPr>
          <w:p w14:paraId="7B1E60F5" w14:textId="77777777" w:rsidR="00047EC7" w:rsidRPr="002D4D25" w:rsidRDefault="00047EC7" w:rsidP="00957D67">
            <w:pPr>
              <w:spacing w:line="211" w:lineRule="auto"/>
              <w:rPr>
                <w:sz w:val="16"/>
                <w:szCs w:val="24"/>
              </w:rPr>
            </w:pPr>
            <w:r w:rsidRPr="002D4D25">
              <w:rPr>
                <w:rFonts w:ascii="Times New Roman" w:hAnsi="Times New Roman"/>
                <w:sz w:val="16"/>
                <w:szCs w:val="24"/>
              </w:rPr>
              <w:t>Antibiotics supplied in 72.7% England vs 29.9% Wales; Welsh score 4/5: 59.7%.</w:t>
            </w:r>
          </w:p>
        </w:tc>
        <w:tc>
          <w:tcPr>
            <w:tcW w:w="2342" w:type="dxa"/>
          </w:tcPr>
          <w:p w14:paraId="577A8F6A" w14:textId="77777777" w:rsidR="00047EC7" w:rsidRPr="002D4D25" w:rsidRDefault="00047EC7" w:rsidP="00957D67">
            <w:pPr>
              <w:spacing w:line="211" w:lineRule="auto"/>
              <w:rPr>
                <w:sz w:val="16"/>
                <w:szCs w:val="24"/>
              </w:rPr>
            </w:pPr>
            <w:r w:rsidRPr="002D4D25">
              <w:rPr>
                <w:rFonts w:ascii="Times New Roman" w:hAnsi="Times New Roman"/>
                <w:sz w:val="16"/>
                <w:szCs w:val="24"/>
              </w:rPr>
              <w:t>Pathway/data differences limit causal comparison.</w:t>
            </w:r>
          </w:p>
        </w:tc>
        <w:tc>
          <w:tcPr>
            <w:tcW w:w="1108" w:type="dxa"/>
          </w:tcPr>
          <w:p w14:paraId="13DCAB74" w14:textId="77777777" w:rsidR="00047EC7" w:rsidRPr="002D4D25" w:rsidRDefault="00047EC7" w:rsidP="00957D67">
            <w:pPr>
              <w:spacing w:line="211" w:lineRule="auto"/>
              <w:jc w:val="center"/>
              <w:rPr>
                <w:sz w:val="16"/>
                <w:szCs w:val="24"/>
              </w:rPr>
            </w:pPr>
            <w:r w:rsidRPr="002D4D25">
              <w:rPr>
                <w:rFonts w:ascii="Times New Roman" w:hAnsi="Times New Roman"/>
                <w:sz w:val="16"/>
                <w:szCs w:val="24"/>
              </w:rPr>
              <w:t>Higher</w:t>
            </w:r>
          </w:p>
        </w:tc>
      </w:tr>
      <w:tr w:rsidR="002D4D25" w:rsidRPr="002D4D25" w14:paraId="4377E6B5" w14:textId="77777777" w:rsidTr="00047EC7">
        <w:trPr>
          <w:trHeight w:val="730"/>
        </w:trPr>
        <w:tc>
          <w:tcPr>
            <w:tcW w:w="1643" w:type="dxa"/>
          </w:tcPr>
          <w:p w14:paraId="05A86C71" w14:textId="77777777" w:rsidR="00047EC7" w:rsidRPr="002D4D25" w:rsidRDefault="00047EC7" w:rsidP="00957D67">
            <w:pPr>
              <w:spacing w:line="211" w:lineRule="auto"/>
              <w:rPr>
                <w:sz w:val="16"/>
                <w:szCs w:val="24"/>
              </w:rPr>
            </w:pPr>
            <w:r w:rsidRPr="002D4D25">
              <w:rPr>
                <w:rFonts w:ascii="Times New Roman" w:hAnsi="Times New Roman"/>
                <w:sz w:val="16"/>
                <w:szCs w:val="24"/>
              </w:rPr>
              <w:t>Lee et al. (2025), England</w:t>
            </w:r>
          </w:p>
        </w:tc>
        <w:tc>
          <w:tcPr>
            <w:tcW w:w="1684" w:type="dxa"/>
          </w:tcPr>
          <w:p w14:paraId="2954E5CC" w14:textId="77777777" w:rsidR="00047EC7" w:rsidRPr="002D4D25" w:rsidRDefault="00047EC7" w:rsidP="00957D67">
            <w:pPr>
              <w:spacing w:line="211" w:lineRule="auto"/>
              <w:rPr>
                <w:sz w:val="16"/>
                <w:szCs w:val="24"/>
              </w:rPr>
            </w:pPr>
            <w:r w:rsidRPr="002D4D25">
              <w:rPr>
                <w:rFonts w:ascii="Times New Roman" w:hAnsi="Times New Roman"/>
                <w:sz w:val="16"/>
                <w:szCs w:val="24"/>
              </w:rPr>
              <w:t>Purposive qualitative study</w:t>
            </w:r>
          </w:p>
        </w:tc>
        <w:tc>
          <w:tcPr>
            <w:tcW w:w="3369" w:type="dxa"/>
          </w:tcPr>
          <w:p w14:paraId="3900862C" w14:textId="77777777" w:rsidR="00047EC7" w:rsidRPr="002D4D25" w:rsidRDefault="00047EC7" w:rsidP="00957D67">
            <w:pPr>
              <w:spacing w:line="211" w:lineRule="auto"/>
              <w:rPr>
                <w:sz w:val="16"/>
                <w:szCs w:val="24"/>
              </w:rPr>
            </w:pPr>
            <w:r w:rsidRPr="002D4D25">
              <w:rPr>
                <w:rFonts w:ascii="Times New Roman" w:hAnsi="Times New Roman"/>
                <w:sz w:val="16"/>
                <w:szCs w:val="24"/>
              </w:rPr>
              <w:t>Communication and stock/contact information were weak; shared notes and central contact proposed.</w:t>
            </w:r>
          </w:p>
        </w:tc>
        <w:tc>
          <w:tcPr>
            <w:tcW w:w="2342" w:type="dxa"/>
          </w:tcPr>
          <w:p w14:paraId="64280F43" w14:textId="77777777" w:rsidR="00047EC7" w:rsidRPr="002D4D25" w:rsidRDefault="00047EC7" w:rsidP="00957D67">
            <w:pPr>
              <w:spacing w:line="211" w:lineRule="auto"/>
              <w:rPr>
                <w:sz w:val="16"/>
                <w:szCs w:val="24"/>
              </w:rPr>
            </w:pPr>
            <w:r w:rsidRPr="002D4D25">
              <w:rPr>
                <w:rFonts w:ascii="Times New Roman" w:hAnsi="Times New Roman"/>
                <w:sz w:val="16"/>
                <w:szCs w:val="24"/>
              </w:rPr>
              <w:t>Small paid sample.</w:t>
            </w:r>
          </w:p>
        </w:tc>
        <w:tc>
          <w:tcPr>
            <w:tcW w:w="1108" w:type="dxa"/>
          </w:tcPr>
          <w:p w14:paraId="6FDE6FE7" w14:textId="77777777" w:rsidR="00047EC7" w:rsidRPr="002D4D25" w:rsidRDefault="00047EC7" w:rsidP="00957D67">
            <w:pPr>
              <w:spacing w:line="211" w:lineRule="auto"/>
              <w:jc w:val="center"/>
              <w:rPr>
                <w:sz w:val="16"/>
                <w:szCs w:val="24"/>
              </w:rPr>
            </w:pPr>
            <w:r w:rsidRPr="002D4D25">
              <w:rPr>
                <w:rFonts w:ascii="Times New Roman" w:hAnsi="Times New Roman"/>
                <w:sz w:val="16"/>
                <w:szCs w:val="24"/>
              </w:rPr>
              <w:t>Higher</w:t>
            </w:r>
          </w:p>
        </w:tc>
      </w:tr>
      <w:tr w:rsidR="002D4D25" w:rsidRPr="002D4D25" w14:paraId="498FD8B2" w14:textId="77777777" w:rsidTr="00047EC7">
        <w:trPr>
          <w:trHeight w:val="687"/>
        </w:trPr>
        <w:tc>
          <w:tcPr>
            <w:tcW w:w="1643" w:type="dxa"/>
          </w:tcPr>
          <w:p w14:paraId="69DA75E8" w14:textId="77777777" w:rsidR="00047EC7" w:rsidRPr="002D4D25" w:rsidRDefault="00047EC7" w:rsidP="00957D67">
            <w:pPr>
              <w:spacing w:line="211" w:lineRule="auto"/>
              <w:rPr>
                <w:sz w:val="16"/>
                <w:szCs w:val="24"/>
              </w:rPr>
            </w:pPr>
            <w:r w:rsidRPr="002D4D25">
              <w:rPr>
                <w:rFonts w:ascii="Times New Roman" w:hAnsi="Times New Roman"/>
                <w:sz w:val="16"/>
                <w:szCs w:val="24"/>
              </w:rPr>
              <w:t>Mantzourani et al. (2026), Wales</w:t>
            </w:r>
          </w:p>
        </w:tc>
        <w:tc>
          <w:tcPr>
            <w:tcW w:w="1684" w:type="dxa"/>
          </w:tcPr>
          <w:p w14:paraId="7CEA4268" w14:textId="77777777" w:rsidR="00047EC7" w:rsidRPr="002D4D25" w:rsidRDefault="00047EC7" w:rsidP="00957D67">
            <w:pPr>
              <w:spacing w:line="211" w:lineRule="auto"/>
              <w:rPr>
                <w:sz w:val="16"/>
                <w:szCs w:val="24"/>
              </w:rPr>
            </w:pPr>
            <w:r w:rsidRPr="002D4D25">
              <w:rPr>
                <w:rFonts w:ascii="Times New Roman" w:hAnsi="Times New Roman"/>
                <w:sz w:val="16"/>
                <w:szCs w:val="24"/>
              </w:rPr>
              <w:t>Retrospective pharmacy-record analysis</w:t>
            </w:r>
          </w:p>
        </w:tc>
        <w:tc>
          <w:tcPr>
            <w:tcW w:w="3369" w:type="dxa"/>
          </w:tcPr>
          <w:p w14:paraId="42029D05" w14:textId="77777777" w:rsidR="00047EC7" w:rsidRPr="002D4D25" w:rsidRDefault="00047EC7" w:rsidP="00957D67">
            <w:pPr>
              <w:spacing w:line="211" w:lineRule="auto"/>
              <w:rPr>
                <w:sz w:val="16"/>
                <w:szCs w:val="24"/>
              </w:rPr>
            </w:pPr>
            <w:r w:rsidRPr="002D4D25">
              <w:rPr>
                <w:rFonts w:ascii="Times New Roman" w:hAnsi="Times New Roman"/>
                <w:sz w:val="16"/>
                <w:szCs w:val="24"/>
              </w:rPr>
              <w:t>84% managed without referral; 78.7% received antibiotics; 1% protocol deviation.</w:t>
            </w:r>
          </w:p>
        </w:tc>
        <w:tc>
          <w:tcPr>
            <w:tcW w:w="2342" w:type="dxa"/>
          </w:tcPr>
          <w:p w14:paraId="794EB1CA" w14:textId="77777777" w:rsidR="00047EC7" w:rsidRPr="002D4D25" w:rsidRDefault="00047EC7" w:rsidP="00957D67">
            <w:pPr>
              <w:spacing w:line="211" w:lineRule="auto"/>
              <w:rPr>
                <w:sz w:val="16"/>
                <w:szCs w:val="24"/>
              </w:rPr>
            </w:pPr>
            <w:r w:rsidRPr="002D4D25">
              <w:rPr>
                <w:rFonts w:ascii="Times New Roman" w:hAnsi="Times New Roman"/>
                <w:sz w:val="16"/>
                <w:szCs w:val="24"/>
              </w:rPr>
              <w:t>No untreated comparator or microbiological confirmation.</w:t>
            </w:r>
          </w:p>
        </w:tc>
        <w:tc>
          <w:tcPr>
            <w:tcW w:w="1108" w:type="dxa"/>
          </w:tcPr>
          <w:p w14:paraId="5B077E94" w14:textId="77777777" w:rsidR="00047EC7" w:rsidRPr="002D4D25" w:rsidRDefault="00047EC7" w:rsidP="00957D67">
            <w:pPr>
              <w:spacing w:line="211" w:lineRule="auto"/>
              <w:jc w:val="center"/>
              <w:rPr>
                <w:sz w:val="16"/>
                <w:szCs w:val="24"/>
              </w:rPr>
            </w:pPr>
            <w:r w:rsidRPr="002D4D25">
              <w:rPr>
                <w:rFonts w:ascii="Times New Roman" w:hAnsi="Times New Roman"/>
                <w:sz w:val="16"/>
                <w:szCs w:val="24"/>
              </w:rPr>
              <w:t>Higher</w:t>
            </w:r>
          </w:p>
        </w:tc>
      </w:tr>
    </w:tbl>
    <w:p w14:paraId="2E78F1D7" w14:textId="77777777" w:rsidR="00047EC7" w:rsidRDefault="00047EC7" w:rsidP="00047EC7">
      <w:r>
        <w:br w:type="page"/>
      </w:r>
    </w:p>
    <w:p w14:paraId="70E2A263" w14:textId="77777777" w:rsidR="00047EC7" w:rsidRDefault="00047EC7" w:rsidP="002D4D25">
      <w:pPr>
        <w:pStyle w:val="Heading2"/>
      </w:pPr>
      <w:bookmarkStart w:id="113" w:name="_Toc240928074"/>
      <w:r>
        <w:t>Appendix B - Search Strategy Record</w:t>
      </w:r>
      <w:bookmarkEnd w:id="113"/>
    </w:p>
    <w:p w14:paraId="417CB5A3" w14:textId="77777777" w:rsidR="00047EC7" w:rsidRDefault="00047EC7" w:rsidP="00C34D77">
      <w:r>
        <w:t>Table B1: Database and Supplementary Search Record Summary</w:t>
      </w:r>
    </w:p>
    <w:tbl>
      <w:tblPr>
        <w:tblStyle w:val="TableGrid"/>
        <w:tblW w:w="10280" w:type="dxa"/>
        <w:tblLayout w:type="fixed"/>
        <w:tblLook w:val="04A0" w:firstRow="1" w:lastRow="0" w:firstColumn="1" w:lastColumn="0" w:noHBand="0" w:noVBand="1"/>
      </w:tblPr>
      <w:tblGrid>
        <w:gridCol w:w="1720"/>
        <w:gridCol w:w="1258"/>
        <w:gridCol w:w="2098"/>
        <w:gridCol w:w="3358"/>
        <w:gridCol w:w="1846"/>
      </w:tblGrid>
      <w:tr w:rsidR="00047EC7" w:rsidRPr="00047EC7" w14:paraId="4364F7B8" w14:textId="77777777" w:rsidTr="00047EC7">
        <w:trPr>
          <w:trHeight w:val="341"/>
        </w:trPr>
        <w:tc>
          <w:tcPr>
            <w:tcW w:w="1720" w:type="dxa"/>
          </w:tcPr>
          <w:p w14:paraId="685109DA" w14:textId="77777777" w:rsidR="00047EC7" w:rsidRPr="00047EC7" w:rsidRDefault="00047EC7" w:rsidP="00957D67">
            <w:pPr>
              <w:spacing w:line="211" w:lineRule="auto"/>
              <w:jc w:val="center"/>
              <w:rPr>
                <w:sz w:val="16"/>
                <w:szCs w:val="24"/>
              </w:rPr>
            </w:pPr>
            <w:r w:rsidRPr="00047EC7">
              <w:rPr>
                <w:rFonts w:ascii="Times New Roman" w:hAnsi="Times New Roman"/>
                <w:b/>
                <w:sz w:val="16"/>
                <w:szCs w:val="24"/>
              </w:rPr>
              <w:t>Database / source</w:t>
            </w:r>
          </w:p>
        </w:tc>
        <w:tc>
          <w:tcPr>
            <w:tcW w:w="1258" w:type="dxa"/>
          </w:tcPr>
          <w:p w14:paraId="07F3CFA8" w14:textId="77777777" w:rsidR="00047EC7" w:rsidRPr="00047EC7" w:rsidRDefault="00047EC7" w:rsidP="00957D67">
            <w:pPr>
              <w:spacing w:line="211" w:lineRule="auto"/>
              <w:jc w:val="center"/>
              <w:rPr>
                <w:sz w:val="16"/>
                <w:szCs w:val="24"/>
              </w:rPr>
            </w:pPr>
            <w:r w:rsidRPr="00047EC7">
              <w:rPr>
                <w:rFonts w:ascii="Times New Roman" w:hAnsi="Times New Roman"/>
                <w:b/>
                <w:sz w:val="16"/>
                <w:szCs w:val="24"/>
              </w:rPr>
              <w:t>Search date</w:t>
            </w:r>
          </w:p>
        </w:tc>
        <w:tc>
          <w:tcPr>
            <w:tcW w:w="2098" w:type="dxa"/>
          </w:tcPr>
          <w:p w14:paraId="2F72233E" w14:textId="77777777" w:rsidR="00047EC7" w:rsidRPr="00047EC7" w:rsidRDefault="00047EC7" w:rsidP="00957D67">
            <w:pPr>
              <w:spacing w:line="211" w:lineRule="auto"/>
              <w:jc w:val="center"/>
              <w:rPr>
                <w:sz w:val="16"/>
                <w:szCs w:val="24"/>
              </w:rPr>
            </w:pPr>
            <w:r w:rsidRPr="00047EC7">
              <w:rPr>
                <w:rFonts w:ascii="Times New Roman" w:hAnsi="Times New Roman"/>
                <w:b/>
                <w:sz w:val="16"/>
                <w:szCs w:val="24"/>
              </w:rPr>
              <w:t>Coverage / limits</w:t>
            </w:r>
          </w:p>
        </w:tc>
        <w:tc>
          <w:tcPr>
            <w:tcW w:w="3358" w:type="dxa"/>
          </w:tcPr>
          <w:p w14:paraId="48BED8BD" w14:textId="77777777" w:rsidR="00047EC7" w:rsidRPr="00047EC7" w:rsidRDefault="00047EC7" w:rsidP="00957D67">
            <w:pPr>
              <w:spacing w:line="211" w:lineRule="auto"/>
              <w:jc w:val="center"/>
              <w:rPr>
                <w:sz w:val="16"/>
                <w:szCs w:val="24"/>
              </w:rPr>
            </w:pPr>
            <w:r w:rsidRPr="00047EC7">
              <w:rPr>
                <w:rFonts w:ascii="Times New Roman" w:hAnsi="Times New Roman"/>
                <w:b/>
                <w:sz w:val="16"/>
                <w:szCs w:val="24"/>
              </w:rPr>
              <w:t>Search approach</w:t>
            </w:r>
          </w:p>
        </w:tc>
        <w:tc>
          <w:tcPr>
            <w:tcW w:w="1846" w:type="dxa"/>
          </w:tcPr>
          <w:p w14:paraId="5C8DB4FB" w14:textId="77777777" w:rsidR="00047EC7" w:rsidRPr="00047EC7" w:rsidRDefault="00047EC7" w:rsidP="00957D67">
            <w:pPr>
              <w:spacing w:line="211" w:lineRule="auto"/>
              <w:jc w:val="center"/>
              <w:rPr>
                <w:sz w:val="16"/>
                <w:szCs w:val="24"/>
              </w:rPr>
            </w:pPr>
            <w:r w:rsidRPr="00047EC7">
              <w:rPr>
                <w:rFonts w:ascii="Times New Roman" w:hAnsi="Times New Roman"/>
                <w:b/>
                <w:sz w:val="16"/>
                <w:szCs w:val="24"/>
              </w:rPr>
              <w:t>Records identified</w:t>
            </w:r>
          </w:p>
        </w:tc>
      </w:tr>
      <w:tr w:rsidR="00047EC7" w:rsidRPr="00047EC7" w14:paraId="68CAC6FD" w14:textId="77777777" w:rsidTr="00047EC7">
        <w:trPr>
          <w:trHeight w:val="605"/>
        </w:trPr>
        <w:tc>
          <w:tcPr>
            <w:tcW w:w="1720" w:type="dxa"/>
          </w:tcPr>
          <w:p w14:paraId="13803553" w14:textId="77777777" w:rsidR="00047EC7" w:rsidRPr="00047EC7" w:rsidRDefault="00047EC7" w:rsidP="00957D67">
            <w:pPr>
              <w:spacing w:line="211" w:lineRule="auto"/>
              <w:rPr>
                <w:sz w:val="16"/>
                <w:szCs w:val="24"/>
              </w:rPr>
            </w:pPr>
            <w:r w:rsidRPr="00047EC7">
              <w:rPr>
                <w:rFonts w:ascii="Times New Roman" w:hAnsi="Times New Roman"/>
                <w:sz w:val="16"/>
                <w:szCs w:val="24"/>
              </w:rPr>
              <w:t>PubMed/MEDLINE</w:t>
            </w:r>
          </w:p>
        </w:tc>
        <w:tc>
          <w:tcPr>
            <w:tcW w:w="1258" w:type="dxa"/>
          </w:tcPr>
          <w:p w14:paraId="388A5EB6"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10 August 2026</w:t>
            </w:r>
          </w:p>
        </w:tc>
        <w:tc>
          <w:tcPr>
            <w:tcW w:w="2098" w:type="dxa"/>
          </w:tcPr>
          <w:p w14:paraId="2F603061" w14:textId="77777777" w:rsidR="00047EC7" w:rsidRPr="00047EC7" w:rsidRDefault="00047EC7" w:rsidP="00957D67">
            <w:pPr>
              <w:spacing w:line="211" w:lineRule="auto"/>
              <w:rPr>
                <w:sz w:val="16"/>
                <w:szCs w:val="24"/>
              </w:rPr>
            </w:pPr>
            <w:r w:rsidRPr="00047EC7">
              <w:rPr>
                <w:rFonts w:ascii="Times New Roman" w:hAnsi="Times New Roman"/>
                <w:sz w:val="16"/>
                <w:szCs w:val="24"/>
              </w:rPr>
              <w:t>January 2019-10 August 2026; English</w:t>
            </w:r>
          </w:p>
        </w:tc>
        <w:tc>
          <w:tcPr>
            <w:tcW w:w="3358" w:type="dxa"/>
          </w:tcPr>
          <w:p w14:paraId="182CBEED" w14:textId="77777777" w:rsidR="00047EC7" w:rsidRPr="00047EC7" w:rsidRDefault="00047EC7" w:rsidP="00957D67">
            <w:pPr>
              <w:spacing w:line="211" w:lineRule="auto"/>
              <w:rPr>
                <w:sz w:val="16"/>
                <w:szCs w:val="24"/>
              </w:rPr>
            </w:pPr>
            <w:r w:rsidRPr="00047EC7">
              <w:rPr>
                <w:rFonts w:ascii="Times New Roman" w:hAnsi="Times New Roman"/>
                <w:sz w:val="16"/>
                <w:szCs w:val="24"/>
              </w:rPr>
              <w:t>Master Boolean strategy adapted to database syntax; controlled terms added where available</w:t>
            </w:r>
          </w:p>
        </w:tc>
        <w:tc>
          <w:tcPr>
            <w:tcW w:w="1846" w:type="dxa"/>
          </w:tcPr>
          <w:p w14:paraId="07A53ABB"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Included in consolidated total</w:t>
            </w:r>
          </w:p>
        </w:tc>
      </w:tr>
      <w:tr w:rsidR="00047EC7" w:rsidRPr="00047EC7" w14:paraId="28AAEC63" w14:textId="77777777" w:rsidTr="00047EC7">
        <w:trPr>
          <w:trHeight w:val="644"/>
        </w:trPr>
        <w:tc>
          <w:tcPr>
            <w:tcW w:w="1720" w:type="dxa"/>
          </w:tcPr>
          <w:p w14:paraId="4640B472" w14:textId="77777777" w:rsidR="00047EC7" w:rsidRPr="00047EC7" w:rsidRDefault="00047EC7" w:rsidP="00957D67">
            <w:pPr>
              <w:spacing w:line="211" w:lineRule="auto"/>
              <w:rPr>
                <w:sz w:val="16"/>
                <w:szCs w:val="24"/>
              </w:rPr>
            </w:pPr>
            <w:r w:rsidRPr="00047EC7">
              <w:rPr>
                <w:rFonts w:ascii="Times New Roman" w:hAnsi="Times New Roman"/>
                <w:sz w:val="16"/>
                <w:szCs w:val="24"/>
              </w:rPr>
              <w:t>EMBASE</w:t>
            </w:r>
          </w:p>
        </w:tc>
        <w:tc>
          <w:tcPr>
            <w:tcW w:w="1258" w:type="dxa"/>
          </w:tcPr>
          <w:p w14:paraId="3B575FC4"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10 August 2026</w:t>
            </w:r>
          </w:p>
        </w:tc>
        <w:tc>
          <w:tcPr>
            <w:tcW w:w="2098" w:type="dxa"/>
          </w:tcPr>
          <w:p w14:paraId="2201C0B1" w14:textId="77777777" w:rsidR="00047EC7" w:rsidRPr="00047EC7" w:rsidRDefault="00047EC7" w:rsidP="00957D67">
            <w:pPr>
              <w:spacing w:line="211" w:lineRule="auto"/>
              <w:rPr>
                <w:sz w:val="16"/>
                <w:szCs w:val="24"/>
              </w:rPr>
            </w:pPr>
            <w:r w:rsidRPr="00047EC7">
              <w:rPr>
                <w:rFonts w:ascii="Times New Roman" w:hAnsi="Times New Roman"/>
                <w:sz w:val="16"/>
                <w:szCs w:val="24"/>
              </w:rPr>
              <w:t>January 2019-10 August 2026; English</w:t>
            </w:r>
          </w:p>
        </w:tc>
        <w:tc>
          <w:tcPr>
            <w:tcW w:w="3358" w:type="dxa"/>
          </w:tcPr>
          <w:p w14:paraId="3849FBA7" w14:textId="77777777" w:rsidR="00047EC7" w:rsidRPr="00047EC7" w:rsidRDefault="00047EC7" w:rsidP="00957D67">
            <w:pPr>
              <w:spacing w:line="211" w:lineRule="auto"/>
              <w:rPr>
                <w:sz w:val="16"/>
                <w:szCs w:val="24"/>
              </w:rPr>
            </w:pPr>
            <w:r w:rsidRPr="00047EC7">
              <w:rPr>
                <w:rFonts w:ascii="Times New Roman" w:hAnsi="Times New Roman"/>
                <w:sz w:val="16"/>
                <w:szCs w:val="24"/>
              </w:rPr>
              <w:t>Master Boolean strategy adapted to database syntax; controlled terms added where available</w:t>
            </w:r>
          </w:p>
        </w:tc>
        <w:tc>
          <w:tcPr>
            <w:tcW w:w="1846" w:type="dxa"/>
          </w:tcPr>
          <w:p w14:paraId="0947F5BC"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Included in consolidated total</w:t>
            </w:r>
          </w:p>
        </w:tc>
      </w:tr>
      <w:tr w:rsidR="00047EC7" w:rsidRPr="00047EC7" w14:paraId="0F923387" w14:textId="77777777" w:rsidTr="00047EC7">
        <w:trPr>
          <w:trHeight w:val="605"/>
        </w:trPr>
        <w:tc>
          <w:tcPr>
            <w:tcW w:w="1720" w:type="dxa"/>
          </w:tcPr>
          <w:p w14:paraId="403B698E" w14:textId="77777777" w:rsidR="00047EC7" w:rsidRPr="00047EC7" w:rsidRDefault="00047EC7" w:rsidP="00957D67">
            <w:pPr>
              <w:spacing w:line="211" w:lineRule="auto"/>
              <w:rPr>
                <w:sz w:val="16"/>
                <w:szCs w:val="24"/>
              </w:rPr>
            </w:pPr>
            <w:r w:rsidRPr="00047EC7">
              <w:rPr>
                <w:rFonts w:ascii="Times New Roman" w:hAnsi="Times New Roman"/>
                <w:sz w:val="16"/>
                <w:szCs w:val="24"/>
              </w:rPr>
              <w:t>CINAHL</w:t>
            </w:r>
          </w:p>
        </w:tc>
        <w:tc>
          <w:tcPr>
            <w:tcW w:w="1258" w:type="dxa"/>
          </w:tcPr>
          <w:p w14:paraId="424D5363"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10 August 2026</w:t>
            </w:r>
          </w:p>
        </w:tc>
        <w:tc>
          <w:tcPr>
            <w:tcW w:w="2098" w:type="dxa"/>
          </w:tcPr>
          <w:p w14:paraId="2B84DEE6" w14:textId="77777777" w:rsidR="00047EC7" w:rsidRPr="00047EC7" w:rsidRDefault="00047EC7" w:rsidP="00957D67">
            <w:pPr>
              <w:spacing w:line="211" w:lineRule="auto"/>
              <w:rPr>
                <w:sz w:val="16"/>
                <w:szCs w:val="24"/>
              </w:rPr>
            </w:pPr>
            <w:r w:rsidRPr="00047EC7">
              <w:rPr>
                <w:rFonts w:ascii="Times New Roman" w:hAnsi="Times New Roman"/>
                <w:sz w:val="16"/>
                <w:szCs w:val="24"/>
              </w:rPr>
              <w:t>January 2019-10 August 2026; English</w:t>
            </w:r>
          </w:p>
        </w:tc>
        <w:tc>
          <w:tcPr>
            <w:tcW w:w="3358" w:type="dxa"/>
          </w:tcPr>
          <w:p w14:paraId="2367E08B" w14:textId="77777777" w:rsidR="00047EC7" w:rsidRPr="00047EC7" w:rsidRDefault="00047EC7" w:rsidP="00957D67">
            <w:pPr>
              <w:spacing w:line="211" w:lineRule="auto"/>
              <w:rPr>
                <w:sz w:val="16"/>
                <w:szCs w:val="24"/>
              </w:rPr>
            </w:pPr>
            <w:r w:rsidRPr="00047EC7">
              <w:rPr>
                <w:rFonts w:ascii="Times New Roman" w:hAnsi="Times New Roman"/>
                <w:sz w:val="16"/>
                <w:szCs w:val="24"/>
              </w:rPr>
              <w:t>Master Boolean strategy adapted to database syntax; controlled terms added where available</w:t>
            </w:r>
          </w:p>
        </w:tc>
        <w:tc>
          <w:tcPr>
            <w:tcW w:w="1846" w:type="dxa"/>
          </w:tcPr>
          <w:p w14:paraId="631DF6CE"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Included in consolidated total</w:t>
            </w:r>
          </w:p>
        </w:tc>
      </w:tr>
      <w:tr w:rsidR="00047EC7" w:rsidRPr="00047EC7" w14:paraId="28326B17" w14:textId="77777777" w:rsidTr="00047EC7">
        <w:trPr>
          <w:trHeight w:val="302"/>
        </w:trPr>
        <w:tc>
          <w:tcPr>
            <w:tcW w:w="1720" w:type="dxa"/>
          </w:tcPr>
          <w:p w14:paraId="76CF6ABA" w14:textId="77777777" w:rsidR="00047EC7" w:rsidRPr="00047EC7" w:rsidRDefault="00047EC7" w:rsidP="00957D67">
            <w:pPr>
              <w:spacing w:line="211" w:lineRule="auto"/>
              <w:rPr>
                <w:sz w:val="16"/>
                <w:szCs w:val="24"/>
              </w:rPr>
            </w:pPr>
            <w:r w:rsidRPr="00047EC7">
              <w:rPr>
                <w:rFonts w:ascii="Times New Roman" w:hAnsi="Times New Roman"/>
                <w:sz w:val="16"/>
                <w:szCs w:val="24"/>
              </w:rPr>
              <w:t>ScienceDirect</w:t>
            </w:r>
          </w:p>
        </w:tc>
        <w:tc>
          <w:tcPr>
            <w:tcW w:w="1258" w:type="dxa"/>
          </w:tcPr>
          <w:p w14:paraId="0E3E539D"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10 August 2026</w:t>
            </w:r>
          </w:p>
        </w:tc>
        <w:tc>
          <w:tcPr>
            <w:tcW w:w="2098" w:type="dxa"/>
          </w:tcPr>
          <w:p w14:paraId="081A7333" w14:textId="77777777" w:rsidR="00047EC7" w:rsidRPr="00047EC7" w:rsidRDefault="00047EC7" w:rsidP="00957D67">
            <w:pPr>
              <w:spacing w:line="211" w:lineRule="auto"/>
              <w:rPr>
                <w:sz w:val="16"/>
                <w:szCs w:val="24"/>
              </w:rPr>
            </w:pPr>
            <w:r w:rsidRPr="00047EC7">
              <w:rPr>
                <w:rFonts w:ascii="Times New Roman" w:hAnsi="Times New Roman"/>
                <w:sz w:val="16"/>
                <w:szCs w:val="24"/>
              </w:rPr>
              <w:t>January 2019-10 August 2026; English</w:t>
            </w:r>
          </w:p>
        </w:tc>
        <w:tc>
          <w:tcPr>
            <w:tcW w:w="3358" w:type="dxa"/>
          </w:tcPr>
          <w:p w14:paraId="79C211BD" w14:textId="77777777" w:rsidR="00047EC7" w:rsidRPr="00047EC7" w:rsidRDefault="00047EC7" w:rsidP="00957D67">
            <w:pPr>
              <w:spacing w:line="211" w:lineRule="auto"/>
              <w:rPr>
                <w:sz w:val="16"/>
                <w:szCs w:val="24"/>
              </w:rPr>
            </w:pPr>
            <w:r w:rsidRPr="00047EC7">
              <w:rPr>
                <w:rFonts w:ascii="Times New Roman" w:hAnsi="Times New Roman"/>
                <w:sz w:val="16"/>
                <w:szCs w:val="24"/>
              </w:rPr>
              <w:t>Master Boolean strategy adapted to platform syntax</w:t>
            </w:r>
          </w:p>
        </w:tc>
        <w:tc>
          <w:tcPr>
            <w:tcW w:w="1846" w:type="dxa"/>
          </w:tcPr>
          <w:p w14:paraId="252F71EE"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Included in consolidated total</w:t>
            </w:r>
          </w:p>
        </w:tc>
      </w:tr>
      <w:tr w:rsidR="00047EC7" w:rsidRPr="00047EC7" w14:paraId="310BADA5" w14:textId="77777777" w:rsidTr="00047EC7">
        <w:trPr>
          <w:trHeight w:val="302"/>
        </w:trPr>
        <w:tc>
          <w:tcPr>
            <w:tcW w:w="1720" w:type="dxa"/>
          </w:tcPr>
          <w:p w14:paraId="31430A9A" w14:textId="77777777" w:rsidR="00047EC7" w:rsidRPr="00047EC7" w:rsidRDefault="00047EC7" w:rsidP="00957D67">
            <w:pPr>
              <w:spacing w:line="211" w:lineRule="auto"/>
              <w:rPr>
                <w:sz w:val="16"/>
                <w:szCs w:val="24"/>
              </w:rPr>
            </w:pPr>
            <w:r w:rsidRPr="00047EC7">
              <w:rPr>
                <w:rFonts w:ascii="Times New Roman" w:hAnsi="Times New Roman"/>
                <w:sz w:val="16"/>
                <w:szCs w:val="24"/>
              </w:rPr>
              <w:t>Cochrane Library</w:t>
            </w:r>
          </w:p>
        </w:tc>
        <w:tc>
          <w:tcPr>
            <w:tcW w:w="1258" w:type="dxa"/>
          </w:tcPr>
          <w:p w14:paraId="73FA8717"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10 August 2026</w:t>
            </w:r>
          </w:p>
        </w:tc>
        <w:tc>
          <w:tcPr>
            <w:tcW w:w="2098" w:type="dxa"/>
          </w:tcPr>
          <w:p w14:paraId="6D1D72B1" w14:textId="77777777" w:rsidR="00047EC7" w:rsidRPr="00047EC7" w:rsidRDefault="00047EC7" w:rsidP="00957D67">
            <w:pPr>
              <w:spacing w:line="211" w:lineRule="auto"/>
              <w:rPr>
                <w:sz w:val="16"/>
                <w:szCs w:val="24"/>
              </w:rPr>
            </w:pPr>
            <w:r w:rsidRPr="00047EC7">
              <w:rPr>
                <w:rFonts w:ascii="Times New Roman" w:hAnsi="Times New Roman"/>
                <w:sz w:val="16"/>
                <w:szCs w:val="24"/>
              </w:rPr>
              <w:t>January 2019-10 August 2026; English</w:t>
            </w:r>
          </w:p>
        </w:tc>
        <w:tc>
          <w:tcPr>
            <w:tcW w:w="3358" w:type="dxa"/>
          </w:tcPr>
          <w:p w14:paraId="1DC5DB87" w14:textId="77777777" w:rsidR="00047EC7" w:rsidRPr="00047EC7" w:rsidRDefault="00047EC7" w:rsidP="00957D67">
            <w:pPr>
              <w:spacing w:line="211" w:lineRule="auto"/>
              <w:rPr>
                <w:sz w:val="16"/>
                <w:szCs w:val="24"/>
              </w:rPr>
            </w:pPr>
            <w:r w:rsidRPr="00047EC7">
              <w:rPr>
                <w:rFonts w:ascii="Times New Roman" w:hAnsi="Times New Roman"/>
                <w:sz w:val="16"/>
                <w:szCs w:val="24"/>
              </w:rPr>
              <w:t>Master Boolean strategy adapted to platform syntax</w:t>
            </w:r>
          </w:p>
        </w:tc>
        <w:tc>
          <w:tcPr>
            <w:tcW w:w="1846" w:type="dxa"/>
          </w:tcPr>
          <w:p w14:paraId="4A837AD2"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Included in consolidated total</w:t>
            </w:r>
          </w:p>
        </w:tc>
      </w:tr>
      <w:tr w:rsidR="00047EC7" w:rsidRPr="00047EC7" w14:paraId="0BC13316" w14:textId="77777777" w:rsidTr="00047EC7">
        <w:trPr>
          <w:trHeight w:val="302"/>
        </w:trPr>
        <w:tc>
          <w:tcPr>
            <w:tcW w:w="1720" w:type="dxa"/>
          </w:tcPr>
          <w:p w14:paraId="2811673D" w14:textId="77777777" w:rsidR="00047EC7" w:rsidRPr="00047EC7" w:rsidRDefault="00047EC7" w:rsidP="00957D67">
            <w:pPr>
              <w:spacing w:line="211" w:lineRule="auto"/>
              <w:rPr>
                <w:sz w:val="16"/>
                <w:szCs w:val="24"/>
              </w:rPr>
            </w:pPr>
            <w:r w:rsidRPr="00047EC7">
              <w:rPr>
                <w:rFonts w:ascii="Times New Roman" w:hAnsi="Times New Roman"/>
                <w:sz w:val="16"/>
                <w:szCs w:val="24"/>
              </w:rPr>
              <w:t>Google Scholar</w:t>
            </w:r>
          </w:p>
        </w:tc>
        <w:tc>
          <w:tcPr>
            <w:tcW w:w="1258" w:type="dxa"/>
          </w:tcPr>
          <w:p w14:paraId="3EB24FE6"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10 August 2026</w:t>
            </w:r>
          </w:p>
        </w:tc>
        <w:tc>
          <w:tcPr>
            <w:tcW w:w="2098" w:type="dxa"/>
          </w:tcPr>
          <w:p w14:paraId="59B001FF" w14:textId="77777777" w:rsidR="00047EC7" w:rsidRPr="00047EC7" w:rsidRDefault="00047EC7" w:rsidP="00957D67">
            <w:pPr>
              <w:spacing w:line="211" w:lineRule="auto"/>
              <w:rPr>
                <w:sz w:val="16"/>
                <w:szCs w:val="24"/>
              </w:rPr>
            </w:pPr>
            <w:r w:rsidRPr="00047EC7">
              <w:rPr>
                <w:rFonts w:ascii="Times New Roman" w:hAnsi="Times New Roman"/>
                <w:sz w:val="16"/>
                <w:szCs w:val="24"/>
              </w:rPr>
              <w:t>Same eligibility period</w:t>
            </w:r>
          </w:p>
        </w:tc>
        <w:tc>
          <w:tcPr>
            <w:tcW w:w="3358" w:type="dxa"/>
          </w:tcPr>
          <w:p w14:paraId="50496C80" w14:textId="77777777" w:rsidR="00047EC7" w:rsidRPr="00047EC7" w:rsidRDefault="00047EC7" w:rsidP="00957D67">
            <w:pPr>
              <w:spacing w:line="211" w:lineRule="auto"/>
              <w:rPr>
                <w:sz w:val="16"/>
                <w:szCs w:val="24"/>
              </w:rPr>
            </w:pPr>
            <w:r w:rsidRPr="00047EC7">
              <w:rPr>
                <w:rFonts w:ascii="Times New Roman" w:hAnsi="Times New Roman"/>
                <w:sz w:val="16"/>
                <w:szCs w:val="24"/>
              </w:rPr>
              <w:t>Supplementary citation searching; backward and forward citation checking</w:t>
            </w:r>
          </w:p>
        </w:tc>
        <w:tc>
          <w:tcPr>
            <w:tcW w:w="1846" w:type="dxa"/>
          </w:tcPr>
          <w:p w14:paraId="2BD454AD"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Included in consolidated total</w:t>
            </w:r>
          </w:p>
        </w:tc>
      </w:tr>
      <w:tr w:rsidR="00047EC7" w:rsidRPr="00047EC7" w14:paraId="7949E2C7" w14:textId="77777777" w:rsidTr="00047EC7">
        <w:trPr>
          <w:trHeight w:val="302"/>
        </w:trPr>
        <w:tc>
          <w:tcPr>
            <w:tcW w:w="1720" w:type="dxa"/>
          </w:tcPr>
          <w:p w14:paraId="0DD19C5A" w14:textId="77777777" w:rsidR="00047EC7" w:rsidRPr="00047EC7" w:rsidRDefault="00047EC7" w:rsidP="00957D67">
            <w:pPr>
              <w:spacing w:line="211" w:lineRule="auto"/>
              <w:rPr>
                <w:sz w:val="16"/>
                <w:szCs w:val="24"/>
              </w:rPr>
            </w:pPr>
            <w:r w:rsidRPr="00047EC7">
              <w:rPr>
                <w:rFonts w:ascii="Times New Roman" w:hAnsi="Times New Roman"/>
                <w:sz w:val="16"/>
                <w:szCs w:val="24"/>
              </w:rPr>
              <w:t>Scopus</w:t>
            </w:r>
          </w:p>
        </w:tc>
        <w:tc>
          <w:tcPr>
            <w:tcW w:w="1258" w:type="dxa"/>
          </w:tcPr>
          <w:p w14:paraId="3D67D581"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10 August 2026</w:t>
            </w:r>
          </w:p>
        </w:tc>
        <w:tc>
          <w:tcPr>
            <w:tcW w:w="2098" w:type="dxa"/>
          </w:tcPr>
          <w:p w14:paraId="5376812A" w14:textId="77777777" w:rsidR="00047EC7" w:rsidRPr="00047EC7" w:rsidRDefault="00047EC7" w:rsidP="00957D67">
            <w:pPr>
              <w:spacing w:line="211" w:lineRule="auto"/>
              <w:rPr>
                <w:sz w:val="16"/>
                <w:szCs w:val="24"/>
              </w:rPr>
            </w:pPr>
            <w:r w:rsidRPr="00047EC7">
              <w:rPr>
                <w:rFonts w:ascii="Times New Roman" w:hAnsi="Times New Roman"/>
                <w:sz w:val="16"/>
                <w:szCs w:val="24"/>
              </w:rPr>
              <w:t>Same eligibility period</w:t>
            </w:r>
          </w:p>
        </w:tc>
        <w:tc>
          <w:tcPr>
            <w:tcW w:w="3358" w:type="dxa"/>
          </w:tcPr>
          <w:p w14:paraId="04461728" w14:textId="77777777" w:rsidR="00047EC7" w:rsidRPr="00047EC7" w:rsidRDefault="00047EC7" w:rsidP="00957D67">
            <w:pPr>
              <w:spacing w:line="211" w:lineRule="auto"/>
              <w:rPr>
                <w:sz w:val="16"/>
                <w:szCs w:val="24"/>
              </w:rPr>
            </w:pPr>
            <w:r w:rsidRPr="00047EC7">
              <w:rPr>
                <w:rFonts w:ascii="Times New Roman" w:hAnsi="Times New Roman"/>
                <w:sz w:val="16"/>
                <w:szCs w:val="24"/>
              </w:rPr>
              <w:t>Supplementary citation searching; backward and forward citation checking</w:t>
            </w:r>
          </w:p>
        </w:tc>
        <w:tc>
          <w:tcPr>
            <w:tcW w:w="1846" w:type="dxa"/>
          </w:tcPr>
          <w:p w14:paraId="0FF3066B"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Included in consolidated total</w:t>
            </w:r>
          </w:p>
        </w:tc>
      </w:tr>
      <w:tr w:rsidR="00047EC7" w:rsidRPr="00047EC7" w14:paraId="36242294" w14:textId="77777777" w:rsidTr="00047EC7">
        <w:trPr>
          <w:trHeight w:val="302"/>
        </w:trPr>
        <w:tc>
          <w:tcPr>
            <w:tcW w:w="1720" w:type="dxa"/>
          </w:tcPr>
          <w:p w14:paraId="228DD711" w14:textId="77777777" w:rsidR="00047EC7" w:rsidRPr="00047EC7" w:rsidRDefault="00047EC7" w:rsidP="00957D67">
            <w:pPr>
              <w:spacing w:line="211" w:lineRule="auto"/>
              <w:rPr>
                <w:sz w:val="16"/>
                <w:szCs w:val="24"/>
              </w:rPr>
            </w:pPr>
            <w:r w:rsidRPr="00047EC7">
              <w:rPr>
                <w:rFonts w:ascii="Times New Roman" w:hAnsi="Times New Roman"/>
                <w:sz w:val="16"/>
                <w:szCs w:val="24"/>
              </w:rPr>
              <w:t>NHS England</w:t>
            </w:r>
          </w:p>
        </w:tc>
        <w:tc>
          <w:tcPr>
            <w:tcW w:w="1258" w:type="dxa"/>
          </w:tcPr>
          <w:p w14:paraId="36807ADF"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10 August 2026</w:t>
            </w:r>
          </w:p>
        </w:tc>
        <w:tc>
          <w:tcPr>
            <w:tcW w:w="2098" w:type="dxa"/>
          </w:tcPr>
          <w:p w14:paraId="79F692BA" w14:textId="47B2C19C" w:rsidR="00047EC7" w:rsidRPr="00047EC7" w:rsidRDefault="00047EC7" w:rsidP="00957D67">
            <w:pPr>
              <w:spacing w:line="211" w:lineRule="auto"/>
              <w:rPr>
                <w:sz w:val="16"/>
                <w:szCs w:val="24"/>
              </w:rPr>
            </w:pPr>
            <w:r w:rsidRPr="00047EC7">
              <w:rPr>
                <w:rFonts w:ascii="Times New Roman" w:hAnsi="Times New Roman"/>
                <w:sz w:val="16"/>
                <w:szCs w:val="24"/>
              </w:rPr>
              <w:t>UK grey literature relevant to review question</w:t>
            </w:r>
            <w:r w:rsidR="002D4D25">
              <w:rPr>
                <w:rFonts w:ascii="Times New Roman" w:hAnsi="Times New Roman"/>
                <w:sz w:val="16"/>
                <w:szCs w:val="24"/>
              </w:rPr>
              <w:t>6</w:t>
            </w:r>
          </w:p>
        </w:tc>
        <w:tc>
          <w:tcPr>
            <w:tcW w:w="3358" w:type="dxa"/>
          </w:tcPr>
          <w:p w14:paraId="0367E1FC" w14:textId="77777777" w:rsidR="00047EC7" w:rsidRPr="00047EC7" w:rsidRDefault="00047EC7" w:rsidP="00957D67">
            <w:pPr>
              <w:spacing w:line="211" w:lineRule="auto"/>
              <w:rPr>
                <w:sz w:val="16"/>
                <w:szCs w:val="24"/>
              </w:rPr>
            </w:pPr>
            <w:r w:rsidRPr="00047EC7">
              <w:rPr>
                <w:rFonts w:ascii="Times New Roman" w:hAnsi="Times New Roman"/>
                <w:sz w:val="16"/>
                <w:szCs w:val="24"/>
              </w:rPr>
              <w:t>Targeted organisational search</w:t>
            </w:r>
          </w:p>
        </w:tc>
        <w:tc>
          <w:tcPr>
            <w:tcW w:w="1846" w:type="dxa"/>
          </w:tcPr>
          <w:p w14:paraId="43553020"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Included in consolidated total</w:t>
            </w:r>
          </w:p>
        </w:tc>
      </w:tr>
      <w:tr w:rsidR="00047EC7" w:rsidRPr="00047EC7" w14:paraId="64CC2BF8" w14:textId="77777777" w:rsidTr="00047EC7">
        <w:trPr>
          <w:trHeight w:val="644"/>
        </w:trPr>
        <w:tc>
          <w:tcPr>
            <w:tcW w:w="1720" w:type="dxa"/>
          </w:tcPr>
          <w:p w14:paraId="234F5146" w14:textId="77777777" w:rsidR="00047EC7" w:rsidRPr="00047EC7" w:rsidRDefault="00047EC7" w:rsidP="00957D67">
            <w:pPr>
              <w:spacing w:line="211" w:lineRule="auto"/>
              <w:rPr>
                <w:sz w:val="16"/>
                <w:szCs w:val="24"/>
              </w:rPr>
            </w:pPr>
            <w:r w:rsidRPr="00047EC7">
              <w:rPr>
                <w:rFonts w:ascii="Times New Roman" w:hAnsi="Times New Roman"/>
                <w:sz w:val="16"/>
                <w:szCs w:val="24"/>
              </w:rPr>
              <w:t>UK Health Security Agency (UKHSA)</w:t>
            </w:r>
          </w:p>
        </w:tc>
        <w:tc>
          <w:tcPr>
            <w:tcW w:w="1258" w:type="dxa"/>
          </w:tcPr>
          <w:p w14:paraId="34EDA52D"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10 August 2026</w:t>
            </w:r>
          </w:p>
        </w:tc>
        <w:tc>
          <w:tcPr>
            <w:tcW w:w="2098" w:type="dxa"/>
          </w:tcPr>
          <w:p w14:paraId="1BE67269" w14:textId="77777777" w:rsidR="00047EC7" w:rsidRPr="00047EC7" w:rsidRDefault="00047EC7" w:rsidP="00957D67">
            <w:pPr>
              <w:spacing w:line="211" w:lineRule="auto"/>
              <w:rPr>
                <w:sz w:val="16"/>
                <w:szCs w:val="24"/>
              </w:rPr>
            </w:pPr>
            <w:r w:rsidRPr="00047EC7">
              <w:rPr>
                <w:rFonts w:ascii="Times New Roman" w:hAnsi="Times New Roman"/>
                <w:sz w:val="16"/>
                <w:szCs w:val="24"/>
              </w:rPr>
              <w:t>UK grey literature relevant to review question</w:t>
            </w:r>
          </w:p>
        </w:tc>
        <w:tc>
          <w:tcPr>
            <w:tcW w:w="3358" w:type="dxa"/>
          </w:tcPr>
          <w:p w14:paraId="72BFEF6C" w14:textId="77777777" w:rsidR="00047EC7" w:rsidRPr="00047EC7" w:rsidRDefault="00047EC7" w:rsidP="00957D67">
            <w:pPr>
              <w:spacing w:line="211" w:lineRule="auto"/>
              <w:rPr>
                <w:sz w:val="16"/>
                <w:szCs w:val="24"/>
              </w:rPr>
            </w:pPr>
            <w:r w:rsidRPr="00047EC7">
              <w:rPr>
                <w:rFonts w:ascii="Times New Roman" w:hAnsi="Times New Roman"/>
                <w:sz w:val="16"/>
                <w:szCs w:val="24"/>
              </w:rPr>
              <w:t>Targeted organisational search</w:t>
            </w:r>
          </w:p>
        </w:tc>
        <w:tc>
          <w:tcPr>
            <w:tcW w:w="1846" w:type="dxa"/>
          </w:tcPr>
          <w:p w14:paraId="4850F4CD"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Included in consolidated total</w:t>
            </w:r>
          </w:p>
        </w:tc>
      </w:tr>
      <w:tr w:rsidR="00047EC7" w:rsidRPr="00047EC7" w14:paraId="0E45C0BF" w14:textId="77777777" w:rsidTr="00047EC7">
        <w:trPr>
          <w:trHeight w:val="605"/>
        </w:trPr>
        <w:tc>
          <w:tcPr>
            <w:tcW w:w="1720" w:type="dxa"/>
          </w:tcPr>
          <w:p w14:paraId="07BFBE96" w14:textId="77777777" w:rsidR="00047EC7" w:rsidRPr="00047EC7" w:rsidRDefault="00047EC7" w:rsidP="00957D67">
            <w:pPr>
              <w:spacing w:line="211" w:lineRule="auto"/>
              <w:rPr>
                <w:sz w:val="16"/>
                <w:szCs w:val="24"/>
              </w:rPr>
            </w:pPr>
            <w:r w:rsidRPr="00047EC7">
              <w:rPr>
                <w:rFonts w:ascii="Times New Roman" w:hAnsi="Times New Roman"/>
                <w:sz w:val="16"/>
                <w:szCs w:val="24"/>
              </w:rPr>
              <w:t>Department of Health and Social Care</w:t>
            </w:r>
          </w:p>
        </w:tc>
        <w:tc>
          <w:tcPr>
            <w:tcW w:w="1258" w:type="dxa"/>
          </w:tcPr>
          <w:p w14:paraId="61FF2CC6"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10 August 2026</w:t>
            </w:r>
          </w:p>
        </w:tc>
        <w:tc>
          <w:tcPr>
            <w:tcW w:w="2098" w:type="dxa"/>
          </w:tcPr>
          <w:p w14:paraId="15658F2F" w14:textId="77777777" w:rsidR="00047EC7" w:rsidRPr="00047EC7" w:rsidRDefault="00047EC7" w:rsidP="00957D67">
            <w:pPr>
              <w:spacing w:line="211" w:lineRule="auto"/>
              <w:rPr>
                <w:sz w:val="16"/>
                <w:szCs w:val="24"/>
              </w:rPr>
            </w:pPr>
            <w:r w:rsidRPr="00047EC7">
              <w:rPr>
                <w:rFonts w:ascii="Times New Roman" w:hAnsi="Times New Roman"/>
                <w:sz w:val="16"/>
                <w:szCs w:val="24"/>
              </w:rPr>
              <w:t>UK grey literature relevant to review question</w:t>
            </w:r>
          </w:p>
        </w:tc>
        <w:tc>
          <w:tcPr>
            <w:tcW w:w="3358" w:type="dxa"/>
          </w:tcPr>
          <w:p w14:paraId="7432BD16" w14:textId="77777777" w:rsidR="00047EC7" w:rsidRPr="00047EC7" w:rsidRDefault="00047EC7" w:rsidP="00957D67">
            <w:pPr>
              <w:spacing w:line="211" w:lineRule="auto"/>
              <w:rPr>
                <w:sz w:val="16"/>
                <w:szCs w:val="24"/>
              </w:rPr>
            </w:pPr>
            <w:r w:rsidRPr="00047EC7">
              <w:rPr>
                <w:rFonts w:ascii="Times New Roman" w:hAnsi="Times New Roman"/>
                <w:sz w:val="16"/>
                <w:szCs w:val="24"/>
              </w:rPr>
              <w:t>Targeted organisational search</w:t>
            </w:r>
          </w:p>
        </w:tc>
        <w:tc>
          <w:tcPr>
            <w:tcW w:w="1846" w:type="dxa"/>
          </w:tcPr>
          <w:p w14:paraId="598CEBFA"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Included in consolidated total</w:t>
            </w:r>
          </w:p>
        </w:tc>
      </w:tr>
      <w:tr w:rsidR="00047EC7" w:rsidRPr="00047EC7" w14:paraId="3CA2A2F7" w14:textId="77777777" w:rsidTr="00047EC7">
        <w:trPr>
          <w:trHeight w:val="302"/>
        </w:trPr>
        <w:tc>
          <w:tcPr>
            <w:tcW w:w="1720" w:type="dxa"/>
          </w:tcPr>
          <w:p w14:paraId="25001A95" w14:textId="77777777" w:rsidR="00047EC7" w:rsidRPr="00047EC7" w:rsidRDefault="00047EC7" w:rsidP="00957D67">
            <w:pPr>
              <w:spacing w:line="211" w:lineRule="auto"/>
              <w:rPr>
                <w:sz w:val="16"/>
                <w:szCs w:val="24"/>
              </w:rPr>
            </w:pPr>
            <w:r w:rsidRPr="00047EC7">
              <w:rPr>
                <w:rFonts w:ascii="Times New Roman" w:hAnsi="Times New Roman"/>
                <w:sz w:val="16"/>
                <w:szCs w:val="24"/>
              </w:rPr>
              <w:t>NICE</w:t>
            </w:r>
          </w:p>
        </w:tc>
        <w:tc>
          <w:tcPr>
            <w:tcW w:w="1258" w:type="dxa"/>
          </w:tcPr>
          <w:p w14:paraId="10088CA4"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10 August 2026</w:t>
            </w:r>
          </w:p>
        </w:tc>
        <w:tc>
          <w:tcPr>
            <w:tcW w:w="2098" w:type="dxa"/>
          </w:tcPr>
          <w:p w14:paraId="33082022" w14:textId="77777777" w:rsidR="00047EC7" w:rsidRPr="00047EC7" w:rsidRDefault="00047EC7" w:rsidP="00957D67">
            <w:pPr>
              <w:spacing w:line="211" w:lineRule="auto"/>
              <w:rPr>
                <w:sz w:val="16"/>
                <w:szCs w:val="24"/>
              </w:rPr>
            </w:pPr>
            <w:r w:rsidRPr="00047EC7">
              <w:rPr>
                <w:rFonts w:ascii="Times New Roman" w:hAnsi="Times New Roman"/>
                <w:sz w:val="16"/>
                <w:szCs w:val="24"/>
              </w:rPr>
              <w:t>UK grey literature relevant to review question</w:t>
            </w:r>
          </w:p>
        </w:tc>
        <w:tc>
          <w:tcPr>
            <w:tcW w:w="3358" w:type="dxa"/>
          </w:tcPr>
          <w:p w14:paraId="59C586CD" w14:textId="77777777" w:rsidR="00047EC7" w:rsidRPr="00047EC7" w:rsidRDefault="00047EC7" w:rsidP="00957D67">
            <w:pPr>
              <w:spacing w:line="211" w:lineRule="auto"/>
              <w:rPr>
                <w:sz w:val="16"/>
                <w:szCs w:val="24"/>
              </w:rPr>
            </w:pPr>
            <w:r w:rsidRPr="00047EC7">
              <w:rPr>
                <w:rFonts w:ascii="Times New Roman" w:hAnsi="Times New Roman"/>
                <w:sz w:val="16"/>
                <w:szCs w:val="24"/>
              </w:rPr>
              <w:t>Targeted organisational search</w:t>
            </w:r>
          </w:p>
        </w:tc>
        <w:tc>
          <w:tcPr>
            <w:tcW w:w="1846" w:type="dxa"/>
          </w:tcPr>
          <w:p w14:paraId="09D14722"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Included in consolidated total</w:t>
            </w:r>
          </w:p>
        </w:tc>
      </w:tr>
      <w:tr w:rsidR="00047EC7" w:rsidRPr="00047EC7" w14:paraId="3E126FC1" w14:textId="77777777" w:rsidTr="00047EC7">
        <w:trPr>
          <w:trHeight w:val="341"/>
        </w:trPr>
        <w:tc>
          <w:tcPr>
            <w:tcW w:w="1720" w:type="dxa"/>
          </w:tcPr>
          <w:p w14:paraId="4652BFBD" w14:textId="77777777" w:rsidR="00047EC7" w:rsidRPr="00047EC7" w:rsidRDefault="00047EC7" w:rsidP="00957D67">
            <w:pPr>
              <w:spacing w:line="211" w:lineRule="auto"/>
              <w:rPr>
                <w:sz w:val="16"/>
                <w:szCs w:val="24"/>
              </w:rPr>
            </w:pPr>
            <w:r w:rsidRPr="00047EC7">
              <w:rPr>
                <w:rFonts w:ascii="Times New Roman" w:hAnsi="Times New Roman"/>
                <w:sz w:val="16"/>
                <w:szCs w:val="24"/>
              </w:rPr>
              <w:t>The Pharmaceutical Journal</w:t>
            </w:r>
          </w:p>
        </w:tc>
        <w:tc>
          <w:tcPr>
            <w:tcW w:w="1258" w:type="dxa"/>
          </w:tcPr>
          <w:p w14:paraId="6F927F9D"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10 August 2026</w:t>
            </w:r>
          </w:p>
        </w:tc>
        <w:tc>
          <w:tcPr>
            <w:tcW w:w="2098" w:type="dxa"/>
          </w:tcPr>
          <w:p w14:paraId="62368E96" w14:textId="77777777" w:rsidR="00047EC7" w:rsidRPr="00047EC7" w:rsidRDefault="00047EC7" w:rsidP="00957D67">
            <w:pPr>
              <w:spacing w:line="211" w:lineRule="auto"/>
              <w:rPr>
                <w:sz w:val="16"/>
                <w:szCs w:val="24"/>
              </w:rPr>
            </w:pPr>
            <w:r w:rsidRPr="00047EC7">
              <w:rPr>
                <w:rFonts w:ascii="Times New Roman" w:hAnsi="Times New Roman"/>
                <w:sz w:val="16"/>
                <w:szCs w:val="24"/>
              </w:rPr>
              <w:t>Relevant UK community-pharmacy evidence</w:t>
            </w:r>
          </w:p>
        </w:tc>
        <w:tc>
          <w:tcPr>
            <w:tcW w:w="3358" w:type="dxa"/>
          </w:tcPr>
          <w:p w14:paraId="620907B4" w14:textId="77777777" w:rsidR="00047EC7" w:rsidRPr="00047EC7" w:rsidRDefault="00047EC7" w:rsidP="00957D67">
            <w:pPr>
              <w:spacing w:line="211" w:lineRule="auto"/>
              <w:rPr>
                <w:sz w:val="16"/>
                <w:szCs w:val="24"/>
              </w:rPr>
            </w:pPr>
            <w:r w:rsidRPr="00047EC7">
              <w:rPr>
                <w:rFonts w:ascii="Times New Roman" w:hAnsi="Times New Roman"/>
                <w:sz w:val="16"/>
                <w:szCs w:val="24"/>
              </w:rPr>
              <w:t>Hand search</w:t>
            </w:r>
          </w:p>
        </w:tc>
        <w:tc>
          <w:tcPr>
            <w:tcW w:w="1846" w:type="dxa"/>
          </w:tcPr>
          <w:p w14:paraId="0F795DDC"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Included in consolidated total</w:t>
            </w:r>
          </w:p>
        </w:tc>
      </w:tr>
      <w:tr w:rsidR="00047EC7" w:rsidRPr="00047EC7" w14:paraId="2C2ABCA2" w14:textId="77777777" w:rsidTr="00047EC7">
        <w:trPr>
          <w:trHeight w:val="605"/>
        </w:trPr>
        <w:tc>
          <w:tcPr>
            <w:tcW w:w="1720" w:type="dxa"/>
          </w:tcPr>
          <w:p w14:paraId="645606BE" w14:textId="77777777" w:rsidR="00047EC7" w:rsidRPr="00047EC7" w:rsidRDefault="00047EC7" w:rsidP="00957D67">
            <w:pPr>
              <w:spacing w:line="211" w:lineRule="auto"/>
              <w:rPr>
                <w:sz w:val="16"/>
                <w:szCs w:val="24"/>
              </w:rPr>
            </w:pPr>
            <w:r w:rsidRPr="00047EC7">
              <w:rPr>
                <w:rFonts w:ascii="Times New Roman" w:hAnsi="Times New Roman"/>
                <w:sz w:val="16"/>
                <w:szCs w:val="24"/>
              </w:rPr>
              <w:t>International Journal of Pharmacy Practice</w:t>
            </w:r>
          </w:p>
        </w:tc>
        <w:tc>
          <w:tcPr>
            <w:tcW w:w="1258" w:type="dxa"/>
          </w:tcPr>
          <w:p w14:paraId="534D99BD"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10 August 2026</w:t>
            </w:r>
          </w:p>
        </w:tc>
        <w:tc>
          <w:tcPr>
            <w:tcW w:w="2098" w:type="dxa"/>
          </w:tcPr>
          <w:p w14:paraId="630FC505" w14:textId="77777777" w:rsidR="00047EC7" w:rsidRPr="00047EC7" w:rsidRDefault="00047EC7" w:rsidP="00957D67">
            <w:pPr>
              <w:spacing w:line="211" w:lineRule="auto"/>
              <w:rPr>
                <w:sz w:val="16"/>
                <w:szCs w:val="24"/>
              </w:rPr>
            </w:pPr>
            <w:r w:rsidRPr="00047EC7">
              <w:rPr>
                <w:rFonts w:ascii="Times New Roman" w:hAnsi="Times New Roman"/>
                <w:sz w:val="16"/>
                <w:szCs w:val="24"/>
              </w:rPr>
              <w:t>Relevant UK community-pharmacy evidence</w:t>
            </w:r>
          </w:p>
        </w:tc>
        <w:tc>
          <w:tcPr>
            <w:tcW w:w="3358" w:type="dxa"/>
          </w:tcPr>
          <w:p w14:paraId="6F063717" w14:textId="77777777" w:rsidR="00047EC7" w:rsidRPr="00047EC7" w:rsidRDefault="00047EC7" w:rsidP="00957D67">
            <w:pPr>
              <w:spacing w:line="211" w:lineRule="auto"/>
              <w:rPr>
                <w:sz w:val="16"/>
                <w:szCs w:val="24"/>
              </w:rPr>
            </w:pPr>
            <w:r w:rsidRPr="00047EC7">
              <w:rPr>
                <w:rFonts w:ascii="Times New Roman" w:hAnsi="Times New Roman"/>
                <w:sz w:val="16"/>
                <w:szCs w:val="24"/>
              </w:rPr>
              <w:t>Hand search</w:t>
            </w:r>
          </w:p>
        </w:tc>
        <w:tc>
          <w:tcPr>
            <w:tcW w:w="1846" w:type="dxa"/>
          </w:tcPr>
          <w:p w14:paraId="5C7C6B3C"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Included in consolidated total</w:t>
            </w:r>
          </w:p>
        </w:tc>
      </w:tr>
      <w:tr w:rsidR="00047EC7" w:rsidRPr="00047EC7" w14:paraId="5F21149D" w14:textId="77777777" w:rsidTr="00047EC7">
        <w:trPr>
          <w:trHeight w:val="644"/>
        </w:trPr>
        <w:tc>
          <w:tcPr>
            <w:tcW w:w="1720" w:type="dxa"/>
          </w:tcPr>
          <w:p w14:paraId="7E93528A" w14:textId="77777777" w:rsidR="00047EC7" w:rsidRPr="00047EC7" w:rsidRDefault="00047EC7" w:rsidP="00957D67">
            <w:pPr>
              <w:spacing w:line="211" w:lineRule="auto"/>
              <w:rPr>
                <w:sz w:val="16"/>
                <w:szCs w:val="24"/>
              </w:rPr>
            </w:pPr>
            <w:r w:rsidRPr="00047EC7">
              <w:rPr>
                <w:rFonts w:ascii="Times New Roman" w:hAnsi="Times New Roman"/>
                <w:sz w:val="16"/>
                <w:szCs w:val="24"/>
              </w:rPr>
              <w:t>Journal of Antimicrobial Chemotherapy</w:t>
            </w:r>
          </w:p>
        </w:tc>
        <w:tc>
          <w:tcPr>
            <w:tcW w:w="1258" w:type="dxa"/>
          </w:tcPr>
          <w:p w14:paraId="74D2611B"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10 August 2026</w:t>
            </w:r>
          </w:p>
        </w:tc>
        <w:tc>
          <w:tcPr>
            <w:tcW w:w="2098" w:type="dxa"/>
          </w:tcPr>
          <w:p w14:paraId="45E43514" w14:textId="77777777" w:rsidR="00047EC7" w:rsidRPr="00047EC7" w:rsidRDefault="00047EC7" w:rsidP="00957D67">
            <w:pPr>
              <w:spacing w:line="211" w:lineRule="auto"/>
              <w:rPr>
                <w:sz w:val="16"/>
                <w:szCs w:val="24"/>
              </w:rPr>
            </w:pPr>
            <w:r w:rsidRPr="00047EC7">
              <w:rPr>
                <w:rFonts w:ascii="Times New Roman" w:hAnsi="Times New Roman"/>
                <w:sz w:val="16"/>
                <w:szCs w:val="24"/>
              </w:rPr>
              <w:t>Relevant UK antimicrobial/pharmacy evidence</w:t>
            </w:r>
          </w:p>
        </w:tc>
        <w:tc>
          <w:tcPr>
            <w:tcW w:w="3358" w:type="dxa"/>
          </w:tcPr>
          <w:p w14:paraId="5ED52C3C" w14:textId="77777777" w:rsidR="00047EC7" w:rsidRPr="00047EC7" w:rsidRDefault="00047EC7" w:rsidP="00957D67">
            <w:pPr>
              <w:spacing w:line="211" w:lineRule="auto"/>
              <w:rPr>
                <w:sz w:val="16"/>
                <w:szCs w:val="24"/>
              </w:rPr>
            </w:pPr>
            <w:r w:rsidRPr="00047EC7">
              <w:rPr>
                <w:rFonts w:ascii="Times New Roman" w:hAnsi="Times New Roman"/>
                <w:sz w:val="16"/>
                <w:szCs w:val="24"/>
              </w:rPr>
              <w:t>Hand search</w:t>
            </w:r>
          </w:p>
        </w:tc>
        <w:tc>
          <w:tcPr>
            <w:tcW w:w="1846" w:type="dxa"/>
          </w:tcPr>
          <w:p w14:paraId="330EF02F"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Included in consolidated total</w:t>
            </w:r>
          </w:p>
        </w:tc>
      </w:tr>
      <w:tr w:rsidR="00047EC7" w:rsidRPr="00047EC7" w14:paraId="404B327B" w14:textId="77777777" w:rsidTr="00047EC7">
        <w:trPr>
          <w:trHeight w:val="605"/>
        </w:trPr>
        <w:tc>
          <w:tcPr>
            <w:tcW w:w="1720" w:type="dxa"/>
          </w:tcPr>
          <w:p w14:paraId="1320A733" w14:textId="77777777" w:rsidR="00047EC7" w:rsidRPr="00047EC7" w:rsidRDefault="00047EC7" w:rsidP="00957D67">
            <w:pPr>
              <w:spacing w:line="211" w:lineRule="auto"/>
              <w:rPr>
                <w:sz w:val="16"/>
                <w:szCs w:val="24"/>
              </w:rPr>
            </w:pPr>
            <w:r w:rsidRPr="00047EC7">
              <w:rPr>
                <w:rFonts w:ascii="Times New Roman" w:hAnsi="Times New Roman"/>
                <w:sz w:val="16"/>
                <w:szCs w:val="24"/>
              </w:rPr>
              <w:t>Consolidated search total</w:t>
            </w:r>
          </w:p>
        </w:tc>
        <w:tc>
          <w:tcPr>
            <w:tcW w:w="1258" w:type="dxa"/>
          </w:tcPr>
          <w:p w14:paraId="66BB1309"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10 August 2026</w:t>
            </w:r>
          </w:p>
        </w:tc>
        <w:tc>
          <w:tcPr>
            <w:tcW w:w="2098" w:type="dxa"/>
          </w:tcPr>
          <w:p w14:paraId="31D6335C" w14:textId="77777777" w:rsidR="00047EC7" w:rsidRPr="00047EC7" w:rsidRDefault="00047EC7" w:rsidP="00957D67">
            <w:pPr>
              <w:spacing w:line="211" w:lineRule="auto"/>
              <w:rPr>
                <w:sz w:val="16"/>
                <w:szCs w:val="24"/>
              </w:rPr>
            </w:pPr>
            <w:r w:rsidRPr="00047EC7">
              <w:rPr>
                <w:rFonts w:ascii="Times New Roman" w:hAnsi="Times New Roman"/>
                <w:sz w:val="16"/>
                <w:szCs w:val="24"/>
              </w:rPr>
              <w:t>All bibliographic and supplementary sources combined</w:t>
            </w:r>
          </w:p>
        </w:tc>
        <w:tc>
          <w:tcPr>
            <w:tcW w:w="3358" w:type="dxa"/>
          </w:tcPr>
          <w:p w14:paraId="017D2A44" w14:textId="77777777" w:rsidR="00047EC7" w:rsidRPr="00047EC7" w:rsidRDefault="00047EC7" w:rsidP="00957D67">
            <w:pPr>
              <w:spacing w:line="211" w:lineRule="auto"/>
              <w:rPr>
                <w:sz w:val="16"/>
                <w:szCs w:val="24"/>
              </w:rPr>
            </w:pPr>
            <w:r w:rsidRPr="00047EC7">
              <w:rPr>
                <w:rFonts w:ascii="Times New Roman" w:hAnsi="Times New Roman"/>
                <w:sz w:val="16"/>
                <w:szCs w:val="24"/>
              </w:rPr>
              <w:t>Records identified before de-duplication</w:t>
            </w:r>
          </w:p>
        </w:tc>
        <w:tc>
          <w:tcPr>
            <w:tcW w:w="1846" w:type="dxa"/>
          </w:tcPr>
          <w:p w14:paraId="39CB1E03" w14:textId="77777777" w:rsidR="00047EC7" w:rsidRPr="00047EC7" w:rsidRDefault="00047EC7" w:rsidP="00957D67">
            <w:pPr>
              <w:spacing w:line="211" w:lineRule="auto"/>
              <w:jc w:val="center"/>
              <w:rPr>
                <w:sz w:val="16"/>
                <w:szCs w:val="24"/>
              </w:rPr>
            </w:pPr>
            <w:r w:rsidRPr="00047EC7">
              <w:rPr>
                <w:rFonts w:ascii="Times New Roman" w:hAnsi="Times New Roman"/>
                <w:sz w:val="16"/>
                <w:szCs w:val="24"/>
              </w:rPr>
              <w:t>411</w:t>
            </w:r>
          </w:p>
        </w:tc>
      </w:tr>
    </w:tbl>
    <w:p w14:paraId="1FDC7260" w14:textId="77777777" w:rsidR="00047EC7" w:rsidRDefault="00047EC7" w:rsidP="00C34D77">
      <w:r>
        <w:t>Table B2: Master Search Strategy</w:t>
      </w:r>
    </w:p>
    <w:tbl>
      <w:tblPr>
        <w:tblStyle w:val="TableGrid"/>
        <w:tblW w:w="10176" w:type="dxa"/>
        <w:tblLayout w:type="fixed"/>
        <w:tblLook w:val="04A0" w:firstRow="1" w:lastRow="0" w:firstColumn="1" w:lastColumn="0" w:noHBand="0" w:noVBand="1"/>
      </w:tblPr>
      <w:tblGrid>
        <w:gridCol w:w="1994"/>
        <w:gridCol w:w="8182"/>
      </w:tblGrid>
      <w:tr w:rsidR="00047EC7" w:rsidRPr="00047EC7" w14:paraId="54CD87D0" w14:textId="77777777" w:rsidTr="00047EC7">
        <w:trPr>
          <w:trHeight w:val="420"/>
        </w:trPr>
        <w:tc>
          <w:tcPr>
            <w:tcW w:w="1994" w:type="dxa"/>
          </w:tcPr>
          <w:p w14:paraId="671C909C" w14:textId="77777777" w:rsidR="00047EC7" w:rsidRPr="00047EC7" w:rsidRDefault="00047EC7" w:rsidP="00957D67">
            <w:pPr>
              <w:spacing w:line="211" w:lineRule="auto"/>
              <w:jc w:val="center"/>
              <w:rPr>
                <w:sz w:val="16"/>
                <w:szCs w:val="24"/>
              </w:rPr>
            </w:pPr>
            <w:r w:rsidRPr="00047EC7">
              <w:rPr>
                <w:rFonts w:ascii="Times New Roman" w:hAnsi="Times New Roman"/>
                <w:b/>
                <w:sz w:val="16"/>
                <w:szCs w:val="24"/>
              </w:rPr>
              <w:t>Component</w:t>
            </w:r>
          </w:p>
        </w:tc>
        <w:tc>
          <w:tcPr>
            <w:tcW w:w="8182" w:type="dxa"/>
          </w:tcPr>
          <w:p w14:paraId="4DE4924E" w14:textId="77777777" w:rsidR="00047EC7" w:rsidRPr="00047EC7" w:rsidRDefault="00047EC7" w:rsidP="00957D67">
            <w:pPr>
              <w:spacing w:line="211" w:lineRule="auto"/>
              <w:jc w:val="center"/>
              <w:rPr>
                <w:sz w:val="16"/>
                <w:szCs w:val="24"/>
              </w:rPr>
            </w:pPr>
            <w:r w:rsidRPr="00047EC7">
              <w:rPr>
                <w:rFonts w:ascii="Times New Roman" w:hAnsi="Times New Roman"/>
                <w:b/>
                <w:sz w:val="16"/>
                <w:szCs w:val="24"/>
              </w:rPr>
              <w:t>Search terms / application</w:t>
            </w:r>
          </w:p>
        </w:tc>
      </w:tr>
      <w:tr w:rsidR="00047EC7" w:rsidRPr="00047EC7" w14:paraId="36DB9706" w14:textId="77777777" w:rsidTr="00047EC7">
        <w:trPr>
          <w:trHeight w:val="681"/>
        </w:trPr>
        <w:tc>
          <w:tcPr>
            <w:tcW w:w="1994" w:type="dxa"/>
          </w:tcPr>
          <w:p w14:paraId="6BE0095B" w14:textId="77777777" w:rsidR="00047EC7" w:rsidRPr="00047EC7" w:rsidRDefault="00047EC7" w:rsidP="00957D67">
            <w:pPr>
              <w:spacing w:line="211" w:lineRule="auto"/>
              <w:rPr>
                <w:sz w:val="16"/>
                <w:szCs w:val="24"/>
              </w:rPr>
            </w:pPr>
            <w:r w:rsidRPr="00047EC7">
              <w:rPr>
                <w:rFonts w:ascii="Times New Roman" w:hAnsi="Times New Roman"/>
                <w:sz w:val="16"/>
                <w:szCs w:val="24"/>
              </w:rPr>
              <w:t>Master search string as reported in dissertation</w:t>
            </w:r>
          </w:p>
        </w:tc>
        <w:tc>
          <w:tcPr>
            <w:tcW w:w="8182" w:type="dxa"/>
          </w:tcPr>
          <w:p w14:paraId="0CD3DD40" w14:textId="77777777" w:rsidR="00047EC7" w:rsidRPr="00047EC7" w:rsidRDefault="00047EC7" w:rsidP="00957D67">
            <w:pPr>
              <w:spacing w:line="211" w:lineRule="auto"/>
              <w:rPr>
                <w:sz w:val="16"/>
                <w:szCs w:val="24"/>
              </w:rPr>
            </w:pPr>
            <w:r w:rsidRPr="00047EC7">
              <w:rPr>
                <w:rFonts w:ascii="Times New Roman" w:hAnsi="Times New Roman"/>
                <w:sz w:val="16"/>
                <w:szCs w:val="24"/>
              </w:rPr>
              <w:t>(antimicrobial resistance" OR AMR OR "antimicrobial stewardship" OR "antibiotic stewardship") AND (antibiotic* OR antimicrobial*) AND (prescrib* OR dispens* OR suppl* OR counsel* OR refer*) AND ("community pharmac*" OR "retail pharmac*" OR "Pharmacy First" OR "Northern Ireland" OR "Scotland" OR " Wales" OR " England" OR " United Kingdom")</w:t>
            </w:r>
          </w:p>
        </w:tc>
      </w:tr>
      <w:tr w:rsidR="00047EC7" w:rsidRPr="00047EC7" w14:paraId="7F4C3727" w14:textId="77777777" w:rsidTr="00047EC7">
        <w:trPr>
          <w:trHeight w:val="366"/>
        </w:trPr>
        <w:tc>
          <w:tcPr>
            <w:tcW w:w="1994" w:type="dxa"/>
          </w:tcPr>
          <w:p w14:paraId="213D928E" w14:textId="77777777" w:rsidR="00047EC7" w:rsidRPr="00047EC7" w:rsidRDefault="00047EC7" w:rsidP="00957D67">
            <w:pPr>
              <w:spacing w:line="211" w:lineRule="auto"/>
              <w:rPr>
                <w:sz w:val="16"/>
                <w:szCs w:val="24"/>
              </w:rPr>
            </w:pPr>
            <w:r w:rsidRPr="00047EC7">
              <w:rPr>
                <w:rFonts w:ascii="Times New Roman" w:hAnsi="Times New Roman"/>
                <w:sz w:val="16"/>
                <w:szCs w:val="24"/>
              </w:rPr>
              <w:t>Controlled terms added where available</w:t>
            </w:r>
          </w:p>
        </w:tc>
        <w:tc>
          <w:tcPr>
            <w:tcW w:w="8182" w:type="dxa"/>
          </w:tcPr>
          <w:p w14:paraId="522C0F1A" w14:textId="77777777" w:rsidR="00047EC7" w:rsidRPr="00047EC7" w:rsidRDefault="00047EC7" w:rsidP="00957D67">
            <w:pPr>
              <w:spacing w:line="211" w:lineRule="auto"/>
              <w:rPr>
                <w:sz w:val="16"/>
                <w:szCs w:val="24"/>
              </w:rPr>
            </w:pPr>
            <w:r w:rsidRPr="00047EC7">
              <w:rPr>
                <w:rFonts w:ascii="Times New Roman" w:hAnsi="Times New Roman"/>
                <w:sz w:val="16"/>
                <w:szCs w:val="24"/>
              </w:rPr>
              <w:t>Drug resistance; antibacterial agents; antimicrobial stewardship; community pharmacy services</w:t>
            </w:r>
          </w:p>
        </w:tc>
      </w:tr>
      <w:tr w:rsidR="00047EC7" w:rsidRPr="00047EC7" w14:paraId="0E817C14" w14:textId="77777777" w:rsidTr="00047EC7">
        <w:trPr>
          <w:trHeight w:val="366"/>
        </w:trPr>
        <w:tc>
          <w:tcPr>
            <w:tcW w:w="1994" w:type="dxa"/>
          </w:tcPr>
          <w:p w14:paraId="29ECC3C9" w14:textId="77777777" w:rsidR="00047EC7" w:rsidRPr="00047EC7" w:rsidRDefault="00047EC7" w:rsidP="00957D67">
            <w:pPr>
              <w:spacing w:line="211" w:lineRule="auto"/>
              <w:rPr>
                <w:sz w:val="16"/>
                <w:szCs w:val="24"/>
              </w:rPr>
            </w:pPr>
            <w:r w:rsidRPr="00047EC7">
              <w:rPr>
                <w:rFonts w:ascii="Times New Roman" w:hAnsi="Times New Roman"/>
                <w:sz w:val="16"/>
                <w:szCs w:val="24"/>
              </w:rPr>
              <w:t>Additional behavioural terms</w:t>
            </w:r>
          </w:p>
        </w:tc>
        <w:tc>
          <w:tcPr>
            <w:tcW w:w="8182" w:type="dxa"/>
          </w:tcPr>
          <w:p w14:paraId="7B1FD028" w14:textId="77777777" w:rsidR="00047EC7" w:rsidRPr="00047EC7" w:rsidRDefault="00047EC7" w:rsidP="00957D67">
            <w:pPr>
              <w:spacing w:line="211" w:lineRule="auto"/>
              <w:rPr>
                <w:sz w:val="16"/>
                <w:szCs w:val="24"/>
              </w:rPr>
            </w:pPr>
            <w:r w:rsidRPr="00047EC7">
              <w:rPr>
                <w:rFonts w:ascii="Times New Roman" w:hAnsi="Times New Roman"/>
                <w:sz w:val="16"/>
                <w:szCs w:val="24"/>
              </w:rPr>
              <w:t>Knowledge; attitude; confidence; patient expectation; diagnostic uncertainty; training; communication</w:t>
            </w:r>
          </w:p>
        </w:tc>
      </w:tr>
      <w:tr w:rsidR="00047EC7" w:rsidRPr="00047EC7" w14:paraId="727EB690" w14:textId="77777777" w:rsidTr="00047EC7">
        <w:trPr>
          <w:trHeight w:val="366"/>
        </w:trPr>
        <w:tc>
          <w:tcPr>
            <w:tcW w:w="1994" w:type="dxa"/>
          </w:tcPr>
          <w:p w14:paraId="1881D453" w14:textId="77777777" w:rsidR="00047EC7" w:rsidRPr="00047EC7" w:rsidRDefault="00047EC7" w:rsidP="00957D67">
            <w:pPr>
              <w:spacing w:line="211" w:lineRule="auto"/>
              <w:rPr>
                <w:sz w:val="16"/>
                <w:szCs w:val="24"/>
              </w:rPr>
            </w:pPr>
            <w:r w:rsidRPr="00047EC7">
              <w:rPr>
                <w:rFonts w:ascii="Times New Roman" w:hAnsi="Times New Roman"/>
                <w:sz w:val="16"/>
                <w:szCs w:val="24"/>
              </w:rPr>
              <w:t>Primary electronic-search filters</w:t>
            </w:r>
          </w:p>
        </w:tc>
        <w:tc>
          <w:tcPr>
            <w:tcW w:w="8182" w:type="dxa"/>
          </w:tcPr>
          <w:p w14:paraId="47BB2B73" w14:textId="77777777" w:rsidR="00047EC7" w:rsidRPr="00047EC7" w:rsidRDefault="00047EC7" w:rsidP="00957D67">
            <w:pPr>
              <w:spacing w:line="211" w:lineRule="auto"/>
              <w:rPr>
                <w:sz w:val="16"/>
                <w:szCs w:val="24"/>
              </w:rPr>
            </w:pPr>
            <w:r w:rsidRPr="00047EC7">
              <w:rPr>
                <w:rFonts w:ascii="Times New Roman" w:hAnsi="Times New Roman"/>
                <w:sz w:val="16"/>
                <w:szCs w:val="24"/>
              </w:rPr>
              <w:t>Publication period January 2019-10 August 2026; English language; no outcome, study-design or full-text filters</w:t>
            </w:r>
          </w:p>
        </w:tc>
      </w:tr>
      <w:tr w:rsidR="00047EC7" w:rsidRPr="00047EC7" w14:paraId="2BBC57F6" w14:textId="77777777" w:rsidTr="00047EC7">
        <w:trPr>
          <w:trHeight w:val="420"/>
        </w:trPr>
        <w:tc>
          <w:tcPr>
            <w:tcW w:w="1994" w:type="dxa"/>
          </w:tcPr>
          <w:p w14:paraId="022E9FB6" w14:textId="77777777" w:rsidR="00047EC7" w:rsidRPr="00047EC7" w:rsidRDefault="00047EC7" w:rsidP="00957D67">
            <w:pPr>
              <w:spacing w:line="211" w:lineRule="auto"/>
              <w:rPr>
                <w:sz w:val="16"/>
                <w:szCs w:val="24"/>
              </w:rPr>
            </w:pPr>
            <w:r w:rsidRPr="00047EC7">
              <w:rPr>
                <w:rFonts w:ascii="Times New Roman" w:hAnsi="Times New Roman"/>
                <w:sz w:val="16"/>
                <w:szCs w:val="24"/>
              </w:rPr>
              <w:t>Supplementary searching</w:t>
            </w:r>
          </w:p>
        </w:tc>
        <w:tc>
          <w:tcPr>
            <w:tcW w:w="8182" w:type="dxa"/>
          </w:tcPr>
          <w:p w14:paraId="51B1C416" w14:textId="77777777" w:rsidR="00047EC7" w:rsidRPr="00047EC7" w:rsidRDefault="00047EC7" w:rsidP="00957D67">
            <w:pPr>
              <w:spacing w:line="211" w:lineRule="auto"/>
              <w:rPr>
                <w:sz w:val="16"/>
                <w:szCs w:val="24"/>
              </w:rPr>
            </w:pPr>
            <w:r w:rsidRPr="00047EC7">
              <w:rPr>
                <w:rFonts w:ascii="Times New Roman" w:hAnsi="Times New Roman"/>
                <w:sz w:val="16"/>
                <w:szCs w:val="24"/>
              </w:rPr>
              <w:t>Backward and forward citation checking; targeted organisational grey-literature searches; hand searching of relevant journals</w:t>
            </w:r>
          </w:p>
        </w:tc>
      </w:tr>
    </w:tbl>
    <w:p w14:paraId="30DAD300" w14:textId="77777777" w:rsidR="00F2459C" w:rsidRPr="00277198" w:rsidRDefault="00F2459C" w:rsidP="004E1178">
      <w:pPr>
        <w:rPr>
          <w:sz w:val="22"/>
          <w:lang w:val="en-US"/>
        </w:rPr>
      </w:pPr>
    </w:p>
    <w:sectPr w:rsidR="00F2459C" w:rsidRPr="00277198">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B02F5B" w14:textId="77777777" w:rsidR="0028733C" w:rsidRPr="008B0473" w:rsidRDefault="0028733C" w:rsidP="004075F6">
      <w:pPr>
        <w:spacing w:after="0" w:line="240" w:lineRule="auto"/>
      </w:pPr>
      <w:r w:rsidRPr="008B0473">
        <w:separator/>
      </w:r>
    </w:p>
  </w:endnote>
  <w:endnote w:type="continuationSeparator" w:id="0">
    <w:p w14:paraId="3DF8E850" w14:textId="77777777" w:rsidR="0028733C" w:rsidRPr="008B0473" w:rsidRDefault="0028733C" w:rsidP="004075F6">
      <w:pPr>
        <w:spacing w:after="0" w:line="240" w:lineRule="auto"/>
      </w:pPr>
      <w:r w:rsidRPr="008B047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2994387"/>
      <w:docPartObj>
        <w:docPartGallery w:val="Page Numbers (Bottom of Page)"/>
        <w:docPartUnique/>
      </w:docPartObj>
    </w:sdtPr>
    <w:sdtEndPr>
      <w:rPr>
        <w:color w:val="7F7F7F" w:themeColor="background1" w:themeShade="7F"/>
        <w:spacing w:val="60"/>
      </w:rPr>
    </w:sdtEndPr>
    <w:sdtContent>
      <w:p w14:paraId="2379813D" w14:textId="77777777" w:rsidR="00957D67" w:rsidRPr="008B0473" w:rsidRDefault="00957D67">
        <w:pPr>
          <w:pStyle w:val="Footer"/>
          <w:pBdr>
            <w:top w:val="single" w:sz="4" w:space="1" w:color="D9D9D9" w:themeColor="background1" w:themeShade="D9"/>
          </w:pBdr>
          <w:jc w:val="right"/>
        </w:pPr>
        <w:r w:rsidRPr="008B0473">
          <w:fldChar w:fldCharType="begin"/>
        </w:r>
        <w:r w:rsidRPr="008B0473">
          <w:instrText xml:space="preserve"> PAGE   \* MERGEFORMAT </w:instrText>
        </w:r>
        <w:r w:rsidRPr="008B0473">
          <w:fldChar w:fldCharType="separate"/>
        </w:r>
        <w:r w:rsidR="0028733C">
          <w:rPr>
            <w:noProof/>
          </w:rPr>
          <w:t>1</w:t>
        </w:r>
        <w:r w:rsidRPr="008B0473">
          <w:fldChar w:fldCharType="end"/>
        </w:r>
        <w:r w:rsidRPr="008B0473">
          <w:t xml:space="preserve"> | </w:t>
        </w:r>
        <w:r w:rsidRPr="008B0473">
          <w:rPr>
            <w:color w:val="7F7F7F" w:themeColor="background1" w:themeShade="7F"/>
            <w:spacing w:val="60"/>
          </w:rPr>
          <w:t>Page</w:t>
        </w:r>
      </w:p>
    </w:sdtContent>
  </w:sdt>
  <w:p w14:paraId="075FBC0F" w14:textId="77777777" w:rsidR="00957D67" w:rsidRPr="008B0473" w:rsidRDefault="00957D6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3303950"/>
      <w:docPartObj>
        <w:docPartGallery w:val="Page Numbers (Bottom of Page)"/>
        <w:docPartUnique/>
      </w:docPartObj>
    </w:sdtPr>
    <w:sdtEndPr>
      <w:rPr>
        <w:color w:val="7F7F7F" w:themeColor="background1" w:themeShade="7F"/>
        <w:spacing w:val="60"/>
      </w:rPr>
    </w:sdtEndPr>
    <w:sdtContent>
      <w:p w14:paraId="64FDA937" w14:textId="47261ED3" w:rsidR="00957D67" w:rsidRPr="008B0473" w:rsidRDefault="00957D67">
        <w:pPr>
          <w:pStyle w:val="Footer"/>
          <w:pBdr>
            <w:top w:val="single" w:sz="4" w:space="1" w:color="D9D9D9" w:themeColor="background1" w:themeShade="D9"/>
          </w:pBdr>
          <w:jc w:val="right"/>
        </w:pPr>
        <w:r w:rsidRPr="008B0473">
          <w:fldChar w:fldCharType="begin"/>
        </w:r>
        <w:r w:rsidRPr="008B0473">
          <w:instrText xml:space="preserve"> PAGE   \* MERGEFORMAT </w:instrText>
        </w:r>
        <w:r w:rsidRPr="008B0473">
          <w:fldChar w:fldCharType="separate"/>
        </w:r>
        <w:r w:rsidR="00A62299">
          <w:rPr>
            <w:noProof/>
          </w:rPr>
          <w:t>73</w:t>
        </w:r>
        <w:r w:rsidRPr="008B0473">
          <w:fldChar w:fldCharType="end"/>
        </w:r>
        <w:r w:rsidRPr="008B0473">
          <w:t xml:space="preserve"> | </w:t>
        </w:r>
        <w:r w:rsidRPr="008B0473">
          <w:rPr>
            <w:color w:val="7F7F7F" w:themeColor="background1" w:themeShade="7F"/>
            <w:spacing w:val="60"/>
          </w:rPr>
          <w:t>Page</w:t>
        </w:r>
      </w:p>
    </w:sdtContent>
  </w:sdt>
  <w:p w14:paraId="72518489" w14:textId="77777777" w:rsidR="00957D67" w:rsidRPr="008B0473" w:rsidRDefault="00957D6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6037DF" w14:textId="77777777" w:rsidR="0028733C" w:rsidRPr="008B0473" w:rsidRDefault="0028733C" w:rsidP="004075F6">
      <w:pPr>
        <w:spacing w:after="0" w:line="240" w:lineRule="auto"/>
      </w:pPr>
      <w:r w:rsidRPr="008B0473">
        <w:separator/>
      </w:r>
    </w:p>
  </w:footnote>
  <w:footnote w:type="continuationSeparator" w:id="0">
    <w:p w14:paraId="79B37174" w14:textId="77777777" w:rsidR="0028733C" w:rsidRPr="008B0473" w:rsidRDefault="0028733C" w:rsidP="004075F6">
      <w:pPr>
        <w:spacing w:after="0" w:line="240" w:lineRule="auto"/>
      </w:pPr>
      <w:r w:rsidRPr="008B0473">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45E1CFF"/>
    <w:multiLevelType w:val="hybridMultilevel"/>
    <w:tmpl w:val="1C0E8F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19B1"/>
    <w:rsid w:val="00003259"/>
    <w:rsid w:val="000266B4"/>
    <w:rsid w:val="00030E0C"/>
    <w:rsid w:val="000355ED"/>
    <w:rsid w:val="00042032"/>
    <w:rsid w:val="00047EC7"/>
    <w:rsid w:val="00081A79"/>
    <w:rsid w:val="000A7EFF"/>
    <w:rsid w:val="000B1001"/>
    <w:rsid w:val="000C2B4E"/>
    <w:rsid w:val="000F0FAE"/>
    <w:rsid w:val="00110C15"/>
    <w:rsid w:val="001159CB"/>
    <w:rsid w:val="00121C60"/>
    <w:rsid w:val="001564D2"/>
    <w:rsid w:val="00171C77"/>
    <w:rsid w:val="00182E32"/>
    <w:rsid w:val="00186955"/>
    <w:rsid w:val="00194BC0"/>
    <w:rsid w:val="001B1DCA"/>
    <w:rsid w:val="001B7EBE"/>
    <w:rsid w:val="001C2917"/>
    <w:rsid w:val="001C5907"/>
    <w:rsid w:val="001D323F"/>
    <w:rsid w:val="001E0661"/>
    <w:rsid w:val="001E0A47"/>
    <w:rsid w:val="001E0E98"/>
    <w:rsid w:val="002055C1"/>
    <w:rsid w:val="002360FE"/>
    <w:rsid w:val="00237B1E"/>
    <w:rsid w:val="00237C04"/>
    <w:rsid w:val="00240010"/>
    <w:rsid w:val="00240169"/>
    <w:rsid w:val="002446AA"/>
    <w:rsid w:val="00247820"/>
    <w:rsid w:val="00272B18"/>
    <w:rsid w:val="00277198"/>
    <w:rsid w:val="00282CB8"/>
    <w:rsid w:val="0028733C"/>
    <w:rsid w:val="00293DF8"/>
    <w:rsid w:val="002A0FFE"/>
    <w:rsid w:val="002B1470"/>
    <w:rsid w:val="002B449F"/>
    <w:rsid w:val="002D48C0"/>
    <w:rsid w:val="002D4D25"/>
    <w:rsid w:val="00312EA9"/>
    <w:rsid w:val="00314A98"/>
    <w:rsid w:val="00321AC2"/>
    <w:rsid w:val="00323A73"/>
    <w:rsid w:val="003351F7"/>
    <w:rsid w:val="00342ED3"/>
    <w:rsid w:val="00350D89"/>
    <w:rsid w:val="00354233"/>
    <w:rsid w:val="0036225C"/>
    <w:rsid w:val="00376727"/>
    <w:rsid w:val="00380C5E"/>
    <w:rsid w:val="003A481B"/>
    <w:rsid w:val="003A60F0"/>
    <w:rsid w:val="003A7874"/>
    <w:rsid w:val="003A7B7A"/>
    <w:rsid w:val="003B5868"/>
    <w:rsid w:val="003C32B9"/>
    <w:rsid w:val="003E19B1"/>
    <w:rsid w:val="004075F6"/>
    <w:rsid w:val="00445619"/>
    <w:rsid w:val="00451FA9"/>
    <w:rsid w:val="004630C2"/>
    <w:rsid w:val="0046355B"/>
    <w:rsid w:val="004709E5"/>
    <w:rsid w:val="00470CD4"/>
    <w:rsid w:val="00482B5F"/>
    <w:rsid w:val="00493A28"/>
    <w:rsid w:val="004940D3"/>
    <w:rsid w:val="004A4208"/>
    <w:rsid w:val="004A79D5"/>
    <w:rsid w:val="004B54C0"/>
    <w:rsid w:val="004B7330"/>
    <w:rsid w:val="004C1C8C"/>
    <w:rsid w:val="004D0127"/>
    <w:rsid w:val="004D2FD6"/>
    <w:rsid w:val="004E1178"/>
    <w:rsid w:val="00506422"/>
    <w:rsid w:val="00520D38"/>
    <w:rsid w:val="005349D2"/>
    <w:rsid w:val="00536058"/>
    <w:rsid w:val="005420A2"/>
    <w:rsid w:val="00544782"/>
    <w:rsid w:val="005A7C36"/>
    <w:rsid w:val="005B5759"/>
    <w:rsid w:val="005F6E8B"/>
    <w:rsid w:val="00642C1D"/>
    <w:rsid w:val="006603C0"/>
    <w:rsid w:val="00660B14"/>
    <w:rsid w:val="0066183B"/>
    <w:rsid w:val="00661BA0"/>
    <w:rsid w:val="00673D0C"/>
    <w:rsid w:val="00682198"/>
    <w:rsid w:val="00693873"/>
    <w:rsid w:val="00695B51"/>
    <w:rsid w:val="006B05A8"/>
    <w:rsid w:val="006D5C59"/>
    <w:rsid w:val="006D63E2"/>
    <w:rsid w:val="006F1B12"/>
    <w:rsid w:val="006F37C5"/>
    <w:rsid w:val="007027A6"/>
    <w:rsid w:val="00722BF2"/>
    <w:rsid w:val="00731C30"/>
    <w:rsid w:val="00741319"/>
    <w:rsid w:val="00744132"/>
    <w:rsid w:val="00747768"/>
    <w:rsid w:val="007766E6"/>
    <w:rsid w:val="007955AE"/>
    <w:rsid w:val="007D358E"/>
    <w:rsid w:val="007E0F54"/>
    <w:rsid w:val="00821079"/>
    <w:rsid w:val="008235CF"/>
    <w:rsid w:val="0083156B"/>
    <w:rsid w:val="008339CA"/>
    <w:rsid w:val="00846C33"/>
    <w:rsid w:val="008560F2"/>
    <w:rsid w:val="0085692B"/>
    <w:rsid w:val="00856AD7"/>
    <w:rsid w:val="00860498"/>
    <w:rsid w:val="00895695"/>
    <w:rsid w:val="008A1279"/>
    <w:rsid w:val="008A3D60"/>
    <w:rsid w:val="008A6210"/>
    <w:rsid w:val="008B0207"/>
    <w:rsid w:val="008B0473"/>
    <w:rsid w:val="008D6E76"/>
    <w:rsid w:val="008F1E59"/>
    <w:rsid w:val="008F477D"/>
    <w:rsid w:val="009328AC"/>
    <w:rsid w:val="00957D67"/>
    <w:rsid w:val="00965A2B"/>
    <w:rsid w:val="00967655"/>
    <w:rsid w:val="009758A0"/>
    <w:rsid w:val="009841B0"/>
    <w:rsid w:val="00991C1C"/>
    <w:rsid w:val="009B68AB"/>
    <w:rsid w:val="009D67F3"/>
    <w:rsid w:val="009F6CDE"/>
    <w:rsid w:val="00A1228E"/>
    <w:rsid w:val="00A209A7"/>
    <w:rsid w:val="00A57CFE"/>
    <w:rsid w:val="00A62299"/>
    <w:rsid w:val="00A65A34"/>
    <w:rsid w:val="00A8513F"/>
    <w:rsid w:val="00A92530"/>
    <w:rsid w:val="00AA0C18"/>
    <w:rsid w:val="00AB4E02"/>
    <w:rsid w:val="00AF0A04"/>
    <w:rsid w:val="00AF57FC"/>
    <w:rsid w:val="00B1495E"/>
    <w:rsid w:val="00B2720A"/>
    <w:rsid w:val="00B5030E"/>
    <w:rsid w:val="00B51D86"/>
    <w:rsid w:val="00B90AFF"/>
    <w:rsid w:val="00BB194C"/>
    <w:rsid w:val="00BB61BC"/>
    <w:rsid w:val="00BF68C2"/>
    <w:rsid w:val="00C239FE"/>
    <w:rsid w:val="00C326C6"/>
    <w:rsid w:val="00C34D77"/>
    <w:rsid w:val="00C671F0"/>
    <w:rsid w:val="00C8123F"/>
    <w:rsid w:val="00CA3406"/>
    <w:rsid w:val="00CB18BF"/>
    <w:rsid w:val="00CF0CA7"/>
    <w:rsid w:val="00CF16F5"/>
    <w:rsid w:val="00D00551"/>
    <w:rsid w:val="00D06B3F"/>
    <w:rsid w:val="00D2075D"/>
    <w:rsid w:val="00D50E2D"/>
    <w:rsid w:val="00D61705"/>
    <w:rsid w:val="00D7018F"/>
    <w:rsid w:val="00D92A2D"/>
    <w:rsid w:val="00DD128E"/>
    <w:rsid w:val="00DE06F8"/>
    <w:rsid w:val="00DE07C5"/>
    <w:rsid w:val="00E0474A"/>
    <w:rsid w:val="00E05304"/>
    <w:rsid w:val="00E069A6"/>
    <w:rsid w:val="00E30E77"/>
    <w:rsid w:val="00E43563"/>
    <w:rsid w:val="00E85197"/>
    <w:rsid w:val="00E90DF2"/>
    <w:rsid w:val="00EA2DD2"/>
    <w:rsid w:val="00EB6417"/>
    <w:rsid w:val="00EB7A68"/>
    <w:rsid w:val="00ED16DA"/>
    <w:rsid w:val="00F03EF0"/>
    <w:rsid w:val="00F2459C"/>
    <w:rsid w:val="00F421FC"/>
    <w:rsid w:val="00F632EA"/>
    <w:rsid w:val="00F7436E"/>
    <w:rsid w:val="00F90815"/>
    <w:rsid w:val="00F93B63"/>
    <w:rsid w:val="00FC22BF"/>
    <w:rsid w:val="00FD0712"/>
    <w:rsid w:val="00FD4452"/>
    <w:rsid w:val="00FE3FCC"/>
    <w:rsid w:val="00FF19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50C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49D2"/>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1C2917"/>
    <w:pPr>
      <w:keepNext/>
      <w:keepLines/>
      <w:pBdr>
        <w:left w:val="single" w:sz="4" w:space="4" w:color="auto"/>
      </w:pBdr>
      <w:shd w:val="clear" w:color="auto" w:fill="D5DCE4" w:themeFill="text2" w:themeFillTint="33"/>
      <w:spacing w:before="240" w:after="240" w:line="276" w:lineRule="auto"/>
      <w:jc w:val="center"/>
      <w:outlineLvl w:val="0"/>
    </w:pPr>
    <w:rPr>
      <w:rFonts w:eastAsiaTheme="majorEastAsia" w:cstheme="majorBidi"/>
      <w:b/>
      <w:sz w:val="32"/>
      <w:szCs w:val="32"/>
      <w:lang w:val="en-US"/>
    </w:rPr>
  </w:style>
  <w:style w:type="paragraph" w:styleId="Heading2">
    <w:name w:val="heading 2"/>
    <w:basedOn w:val="Normal"/>
    <w:next w:val="Normal"/>
    <w:link w:val="Heading2Char"/>
    <w:uiPriority w:val="9"/>
    <w:unhideWhenUsed/>
    <w:qFormat/>
    <w:rsid w:val="00277198"/>
    <w:pPr>
      <w:keepNext/>
      <w:keepLines/>
      <w:spacing w:before="40" w:after="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4C1C8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917"/>
    <w:rPr>
      <w:rFonts w:ascii="Arial" w:eastAsiaTheme="majorEastAsia" w:hAnsi="Arial" w:cstheme="majorBidi"/>
      <w:b/>
      <w:sz w:val="32"/>
      <w:szCs w:val="32"/>
      <w:shd w:val="clear" w:color="auto" w:fill="D5DCE4" w:themeFill="text2" w:themeFillTint="33"/>
    </w:rPr>
  </w:style>
  <w:style w:type="character" w:customStyle="1" w:styleId="Heading2Char">
    <w:name w:val="Heading 2 Char"/>
    <w:basedOn w:val="DefaultParagraphFont"/>
    <w:link w:val="Heading2"/>
    <w:uiPriority w:val="9"/>
    <w:rsid w:val="00277198"/>
    <w:rPr>
      <w:rFonts w:ascii="Arial" w:eastAsiaTheme="majorEastAsia" w:hAnsi="Arial" w:cstheme="majorBidi"/>
      <w:b/>
      <w:sz w:val="28"/>
      <w:szCs w:val="32"/>
      <w:lang w:val="en-GB"/>
    </w:rPr>
  </w:style>
  <w:style w:type="paragraph" w:styleId="Header">
    <w:name w:val="header"/>
    <w:basedOn w:val="Normal"/>
    <w:link w:val="HeaderChar"/>
    <w:uiPriority w:val="99"/>
    <w:unhideWhenUsed/>
    <w:rsid w:val="004075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75F6"/>
    <w:rPr>
      <w:rFonts w:ascii="Times New Roman" w:hAnsi="Times New Roman"/>
      <w:sz w:val="24"/>
    </w:rPr>
  </w:style>
  <w:style w:type="paragraph" w:styleId="Footer">
    <w:name w:val="footer"/>
    <w:basedOn w:val="Normal"/>
    <w:link w:val="FooterChar"/>
    <w:uiPriority w:val="99"/>
    <w:unhideWhenUsed/>
    <w:rsid w:val="00407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75F6"/>
    <w:rPr>
      <w:rFonts w:ascii="Times New Roman" w:hAnsi="Times New Roman"/>
      <w:sz w:val="24"/>
    </w:rPr>
  </w:style>
  <w:style w:type="character" w:customStyle="1" w:styleId="Heading3Char">
    <w:name w:val="Heading 3 Char"/>
    <w:basedOn w:val="DefaultParagraphFont"/>
    <w:link w:val="Heading3"/>
    <w:uiPriority w:val="9"/>
    <w:semiHidden/>
    <w:rsid w:val="004C1C8C"/>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36225C"/>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6225C"/>
    <w:pPr>
      <w:spacing w:after="100"/>
    </w:pPr>
  </w:style>
  <w:style w:type="character" w:styleId="Hyperlink">
    <w:name w:val="Hyperlink"/>
    <w:basedOn w:val="DefaultParagraphFont"/>
    <w:uiPriority w:val="99"/>
    <w:unhideWhenUsed/>
    <w:rsid w:val="0036225C"/>
    <w:rPr>
      <w:color w:val="0563C1" w:themeColor="hyperlink"/>
      <w:u w:val="single"/>
    </w:rPr>
  </w:style>
  <w:style w:type="paragraph" w:styleId="NormalWeb">
    <w:name w:val="Normal (Web)"/>
    <w:basedOn w:val="Normal"/>
    <w:uiPriority w:val="99"/>
    <w:semiHidden/>
    <w:unhideWhenUsed/>
    <w:rsid w:val="00194BC0"/>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Strong">
    <w:name w:val="Strong"/>
    <w:basedOn w:val="DefaultParagraphFont"/>
    <w:uiPriority w:val="22"/>
    <w:qFormat/>
    <w:rsid w:val="00194BC0"/>
    <w:rPr>
      <w:b/>
      <w:bCs/>
    </w:rPr>
  </w:style>
  <w:style w:type="paragraph" w:styleId="TOC2">
    <w:name w:val="toc 2"/>
    <w:basedOn w:val="Normal"/>
    <w:next w:val="Normal"/>
    <w:autoRedefine/>
    <w:uiPriority w:val="39"/>
    <w:unhideWhenUsed/>
    <w:rsid w:val="00194BC0"/>
    <w:pPr>
      <w:spacing w:after="100"/>
      <w:ind w:left="240"/>
    </w:pPr>
  </w:style>
  <w:style w:type="paragraph" w:styleId="ListParagraph">
    <w:name w:val="List Paragraph"/>
    <w:basedOn w:val="Normal"/>
    <w:uiPriority w:val="34"/>
    <w:qFormat/>
    <w:rsid w:val="00747768"/>
    <w:pPr>
      <w:ind w:left="720"/>
      <w:contextualSpacing/>
    </w:pPr>
  </w:style>
  <w:style w:type="table" w:styleId="TableGrid">
    <w:name w:val="Table Grid"/>
    <w:basedOn w:val="TableNormal"/>
    <w:uiPriority w:val="59"/>
    <w:rsid w:val="006F1B1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121C60"/>
    <w:pPr>
      <w:spacing w:after="100"/>
      <w:ind w:left="480"/>
    </w:pPr>
  </w:style>
  <w:style w:type="character" w:customStyle="1" w:styleId="UnresolvedMention">
    <w:name w:val="Unresolved Mention"/>
    <w:basedOn w:val="DefaultParagraphFont"/>
    <w:uiPriority w:val="99"/>
    <w:semiHidden/>
    <w:unhideWhenUsed/>
    <w:rsid w:val="004B7330"/>
    <w:rPr>
      <w:color w:val="605E5C"/>
      <w:shd w:val="clear" w:color="auto" w:fill="E1DFDD"/>
    </w:rPr>
  </w:style>
  <w:style w:type="paragraph" w:styleId="Title">
    <w:name w:val="Title"/>
    <w:basedOn w:val="Normal"/>
    <w:next w:val="Normal"/>
    <w:link w:val="TitleChar"/>
    <w:uiPriority w:val="10"/>
    <w:qFormat/>
    <w:rsid w:val="00047EC7"/>
    <w:pPr>
      <w:pBdr>
        <w:bottom w:val="single" w:sz="8" w:space="4" w:color="5B9BD5" w:themeColor="accent1"/>
      </w:pBdr>
      <w:spacing w:after="300" w:line="240" w:lineRule="auto"/>
      <w:contextualSpacing/>
      <w:jc w:val="left"/>
    </w:pPr>
    <w:rPr>
      <w:rFonts w:asciiTheme="majorHAnsi" w:eastAsiaTheme="majorEastAsia" w:hAnsiTheme="majorHAnsi" w:cstheme="majorBidi"/>
      <w:b/>
      <w:color w:val="000000"/>
      <w:spacing w:val="5"/>
      <w:kern w:val="28"/>
      <w:sz w:val="28"/>
      <w:szCs w:val="52"/>
      <w:lang w:val="en-US"/>
    </w:rPr>
  </w:style>
  <w:style w:type="character" w:customStyle="1" w:styleId="TitleChar">
    <w:name w:val="Title Char"/>
    <w:basedOn w:val="DefaultParagraphFont"/>
    <w:link w:val="Title"/>
    <w:uiPriority w:val="10"/>
    <w:rsid w:val="00047EC7"/>
    <w:rPr>
      <w:rFonts w:asciiTheme="majorHAnsi" w:eastAsiaTheme="majorEastAsia" w:hAnsiTheme="majorHAnsi" w:cstheme="majorBidi"/>
      <w:b/>
      <w:color w:val="000000"/>
      <w:spacing w:val="5"/>
      <w:kern w:val="28"/>
      <w:sz w:val="28"/>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615260">
      <w:bodyDiv w:val="1"/>
      <w:marLeft w:val="0"/>
      <w:marRight w:val="0"/>
      <w:marTop w:val="0"/>
      <w:marBottom w:val="0"/>
      <w:divBdr>
        <w:top w:val="none" w:sz="0" w:space="0" w:color="auto"/>
        <w:left w:val="none" w:sz="0" w:space="0" w:color="auto"/>
        <w:bottom w:val="none" w:sz="0" w:space="0" w:color="auto"/>
        <w:right w:val="none" w:sz="0" w:space="0" w:color="auto"/>
      </w:divBdr>
    </w:div>
    <w:div w:id="77213979">
      <w:bodyDiv w:val="1"/>
      <w:marLeft w:val="0"/>
      <w:marRight w:val="0"/>
      <w:marTop w:val="0"/>
      <w:marBottom w:val="0"/>
      <w:divBdr>
        <w:top w:val="none" w:sz="0" w:space="0" w:color="auto"/>
        <w:left w:val="none" w:sz="0" w:space="0" w:color="auto"/>
        <w:bottom w:val="none" w:sz="0" w:space="0" w:color="auto"/>
        <w:right w:val="none" w:sz="0" w:space="0" w:color="auto"/>
      </w:divBdr>
      <w:divsChild>
        <w:div w:id="1484204005">
          <w:marLeft w:val="0"/>
          <w:marRight w:val="0"/>
          <w:marTop w:val="0"/>
          <w:marBottom w:val="0"/>
          <w:divBdr>
            <w:top w:val="none" w:sz="0" w:space="0" w:color="auto"/>
            <w:left w:val="none" w:sz="0" w:space="0" w:color="auto"/>
            <w:bottom w:val="none" w:sz="0" w:space="0" w:color="auto"/>
            <w:right w:val="none" w:sz="0" w:space="0" w:color="auto"/>
          </w:divBdr>
          <w:divsChild>
            <w:div w:id="289360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70956">
      <w:bodyDiv w:val="1"/>
      <w:marLeft w:val="0"/>
      <w:marRight w:val="0"/>
      <w:marTop w:val="0"/>
      <w:marBottom w:val="0"/>
      <w:divBdr>
        <w:top w:val="none" w:sz="0" w:space="0" w:color="auto"/>
        <w:left w:val="none" w:sz="0" w:space="0" w:color="auto"/>
        <w:bottom w:val="none" w:sz="0" w:space="0" w:color="auto"/>
        <w:right w:val="none" w:sz="0" w:space="0" w:color="auto"/>
      </w:divBdr>
    </w:div>
    <w:div w:id="145438294">
      <w:bodyDiv w:val="1"/>
      <w:marLeft w:val="0"/>
      <w:marRight w:val="0"/>
      <w:marTop w:val="0"/>
      <w:marBottom w:val="0"/>
      <w:divBdr>
        <w:top w:val="none" w:sz="0" w:space="0" w:color="auto"/>
        <w:left w:val="none" w:sz="0" w:space="0" w:color="auto"/>
        <w:bottom w:val="none" w:sz="0" w:space="0" w:color="auto"/>
        <w:right w:val="none" w:sz="0" w:space="0" w:color="auto"/>
      </w:divBdr>
    </w:div>
    <w:div w:id="158624080">
      <w:bodyDiv w:val="1"/>
      <w:marLeft w:val="0"/>
      <w:marRight w:val="0"/>
      <w:marTop w:val="0"/>
      <w:marBottom w:val="0"/>
      <w:divBdr>
        <w:top w:val="none" w:sz="0" w:space="0" w:color="auto"/>
        <w:left w:val="none" w:sz="0" w:space="0" w:color="auto"/>
        <w:bottom w:val="none" w:sz="0" w:space="0" w:color="auto"/>
        <w:right w:val="none" w:sz="0" w:space="0" w:color="auto"/>
      </w:divBdr>
    </w:div>
    <w:div w:id="279916872">
      <w:bodyDiv w:val="1"/>
      <w:marLeft w:val="0"/>
      <w:marRight w:val="0"/>
      <w:marTop w:val="0"/>
      <w:marBottom w:val="0"/>
      <w:divBdr>
        <w:top w:val="none" w:sz="0" w:space="0" w:color="auto"/>
        <w:left w:val="none" w:sz="0" w:space="0" w:color="auto"/>
        <w:bottom w:val="none" w:sz="0" w:space="0" w:color="auto"/>
        <w:right w:val="none" w:sz="0" w:space="0" w:color="auto"/>
      </w:divBdr>
    </w:div>
    <w:div w:id="441153231">
      <w:bodyDiv w:val="1"/>
      <w:marLeft w:val="0"/>
      <w:marRight w:val="0"/>
      <w:marTop w:val="0"/>
      <w:marBottom w:val="0"/>
      <w:divBdr>
        <w:top w:val="none" w:sz="0" w:space="0" w:color="auto"/>
        <w:left w:val="none" w:sz="0" w:space="0" w:color="auto"/>
        <w:bottom w:val="none" w:sz="0" w:space="0" w:color="auto"/>
        <w:right w:val="none" w:sz="0" w:space="0" w:color="auto"/>
      </w:divBdr>
      <w:divsChild>
        <w:div w:id="267274226">
          <w:marLeft w:val="0"/>
          <w:marRight w:val="0"/>
          <w:marTop w:val="0"/>
          <w:marBottom w:val="0"/>
          <w:divBdr>
            <w:top w:val="none" w:sz="0" w:space="0" w:color="auto"/>
            <w:left w:val="none" w:sz="0" w:space="0" w:color="auto"/>
            <w:bottom w:val="none" w:sz="0" w:space="0" w:color="auto"/>
            <w:right w:val="none" w:sz="0" w:space="0" w:color="auto"/>
          </w:divBdr>
          <w:divsChild>
            <w:div w:id="177433431">
              <w:marLeft w:val="0"/>
              <w:marRight w:val="0"/>
              <w:marTop w:val="0"/>
              <w:marBottom w:val="0"/>
              <w:divBdr>
                <w:top w:val="none" w:sz="0" w:space="0" w:color="auto"/>
                <w:left w:val="none" w:sz="0" w:space="0" w:color="auto"/>
                <w:bottom w:val="none" w:sz="0" w:space="0" w:color="auto"/>
                <w:right w:val="none" w:sz="0" w:space="0" w:color="auto"/>
              </w:divBdr>
              <w:divsChild>
                <w:div w:id="1860043853">
                  <w:marLeft w:val="0"/>
                  <w:marRight w:val="0"/>
                  <w:marTop w:val="0"/>
                  <w:marBottom w:val="0"/>
                  <w:divBdr>
                    <w:top w:val="none" w:sz="0" w:space="0" w:color="auto"/>
                    <w:left w:val="none" w:sz="0" w:space="0" w:color="auto"/>
                    <w:bottom w:val="none" w:sz="0" w:space="0" w:color="auto"/>
                    <w:right w:val="none" w:sz="0" w:space="0" w:color="auto"/>
                  </w:divBdr>
                  <w:divsChild>
                    <w:div w:id="1770002049">
                      <w:marLeft w:val="0"/>
                      <w:marRight w:val="0"/>
                      <w:marTop w:val="0"/>
                      <w:marBottom w:val="0"/>
                      <w:divBdr>
                        <w:top w:val="none" w:sz="0" w:space="0" w:color="auto"/>
                        <w:left w:val="none" w:sz="0" w:space="0" w:color="auto"/>
                        <w:bottom w:val="none" w:sz="0" w:space="0" w:color="auto"/>
                        <w:right w:val="none" w:sz="0" w:space="0" w:color="auto"/>
                      </w:divBdr>
                      <w:divsChild>
                        <w:div w:id="1060135138">
                          <w:marLeft w:val="0"/>
                          <w:marRight w:val="0"/>
                          <w:marTop w:val="0"/>
                          <w:marBottom w:val="0"/>
                          <w:divBdr>
                            <w:top w:val="none" w:sz="0" w:space="0" w:color="auto"/>
                            <w:left w:val="none" w:sz="0" w:space="0" w:color="auto"/>
                            <w:bottom w:val="none" w:sz="0" w:space="0" w:color="auto"/>
                            <w:right w:val="none" w:sz="0" w:space="0" w:color="auto"/>
                          </w:divBdr>
                          <w:divsChild>
                            <w:div w:id="2014142966">
                              <w:marLeft w:val="0"/>
                              <w:marRight w:val="0"/>
                              <w:marTop w:val="0"/>
                              <w:marBottom w:val="0"/>
                              <w:divBdr>
                                <w:top w:val="none" w:sz="0" w:space="0" w:color="auto"/>
                                <w:left w:val="none" w:sz="0" w:space="0" w:color="auto"/>
                                <w:bottom w:val="none" w:sz="0" w:space="0" w:color="auto"/>
                                <w:right w:val="none" w:sz="0" w:space="0" w:color="auto"/>
                              </w:divBdr>
                              <w:divsChild>
                                <w:div w:id="527376439">
                                  <w:marLeft w:val="0"/>
                                  <w:marRight w:val="0"/>
                                  <w:marTop w:val="0"/>
                                  <w:marBottom w:val="0"/>
                                  <w:divBdr>
                                    <w:top w:val="none" w:sz="0" w:space="0" w:color="auto"/>
                                    <w:left w:val="none" w:sz="0" w:space="0" w:color="auto"/>
                                    <w:bottom w:val="none" w:sz="0" w:space="0" w:color="auto"/>
                                    <w:right w:val="none" w:sz="0" w:space="0" w:color="auto"/>
                                  </w:divBdr>
                                  <w:divsChild>
                                    <w:div w:id="1753965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1850815">
      <w:bodyDiv w:val="1"/>
      <w:marLeft w:val="0"/>
      <w:marRight w:val="0"/>
      <w:marTop w:val="0"/>
      <w:marBottom w:val="0"/>
      <w:divBdr>
        <w:top w:val="none" w:sz="0" w:space="0" w:color="auto"/>
        <w:left w:val="none" w:sz="0" w:space="0" w:color="auto"/>
        <w:bottom w:val="none" w:sz="0" w:space="0" w:color="auto"/>
        <w:right w:val="none" w:sz="0" w:space="0" w:color="auto"/>
      </w:divBdr>
    </w:div>
    <w:div w:id="537820435">
      <w:bodyDiv w:val="1"/>
      <w:marLeft w:val="0"/>
      <w:marRight w:val="0"/>
      <w:marTop w:val="0"/>
      <w:marBottom w:val="0"/>
      <w:divBdr>
        <w:top w:val="none" w:sz="0" w:space="0" w:color="auto"/>
        <w:left w:val="none" w:sz="0" w:space="0" w:color="auto"/>
        <w:bottom w:val="none" w:sz="0" w:space="0" w:color="auto"/>
        <w:right w:val="none" w:sz="0" w:space="0" w:color="auto"/>
      </w:divBdr>
    </w:div>
    <w:div w:id="688989739">
      <w:bodyDiv w:val="1"/>
      <w:marLeft w:val="0"/>
      <w:marRight w:val="0"/>
      <w:marTop w:val="0"/>
      <w:marBottom w:val="0"/>
      <w:divBdr>
        <w:top w:val="none" w:sz="0" w:space="0" w:color="auto"/>
        <w:left w:val="none" w:sz="0" w:space="0" w:color="auto"/>
        <w:bottom w:val="none" w:sz="0" w:space="0" w:color="auto"/>
        <w:right w:val="none" w:sz="0" w:space="0" w:color="auto"/>
      </w:divBdr>
      <w:divsChild>
        <w:div w:id="275455476">
          <w:marLeft w:val="0"/>
          <w:marRight w:val="0"/>
          <w:marTop w:val="0"/>
          <w:marBottom w:val="0"/>
          <w:divBdr>
            <w:top w:val="none" w:sz="0" w:space="0" w:color="auto"/>
            <w:left w:val="none" w:sz="0" w:space="0" w:color="auto"/>
            <w:bottom w:val="none" w:sz="0" w:space="0" w:color="auto"/>
            <w:right w:val="none" w:sz="0" w:space="0" w:color="auto"/>
          </w:divBdr>
          <w:divsChild>
            <w:div w:id="270671748">
              <w:marLeft w:val="0"/>
              <w:marRight w:val="0"/>
              <w:marTop w:val="0"/>
              <w:marBottom w:val="0"/>
              <w:divBdr>
                <w:top w:val="none" w:sz="0" w:space="0" w:color="auto"/>
                <w:left w:val="none" w:sz="0" w:space="0" w:color="auto"/>
                <w:bottom w:val="none" w:sz="0" w:space="0" w:color="auto"/>
                <w:right w:val="none" w:sz="0" w:space="0" w:color="auto"/>
              </w:divBdr>
              <w:divsChild>
                <w:div w:id="1720393267">
                  <w:marLeft w:val="0"/>
                  <w:marRight w:val="0"/>
                  <w:marTop w:val="0"/>
                  <w:marBottom w:val="0"/>
                  <w:divBdr>
                    <w:top w:val="none" w:sz="0" w:space="0" w:color="auto"/>
                    <w:left w:val="none" w:sz="0" w:space="0" w:color="auto"/>
                    <w:bottom w:val="none" w:sz="0" w:space="0" w:color="auto"/>
                    <w:right w:val="none" w:sz="0" w:space="0" w:color="auto"/>
                  </w:divBdr>
                  <w:divsChild>
                    <w:div w:id="1279751339">
                      <w:marLeft w:val="0"/>
                      <w:marRight w:val="0"/>
                      <w:marTop w:val="0"/>
                      <w:marBottom w:val="0"/>
                      <w:divBdr>
                        <w:top w:val="none" w:sz="0" w:space="0" w:color="auto"/>
                        <w:left w:val="none" w:sz="0" w:space="0" w:color="auto"/>
                        <w:bottom w:val="none" w:sz="0" w:space="0" w:color="auto"/>
                        <w:right w:val="none" w:sz="0" w:space="0" w:color="auto"/>
                      </w:divBdr>
                      <w:divsChild>
                        <w:div w:id="1289166922">
                          <w:marLeft w:val="0"/>
                          <w:marRight w:val="0"/>
                          <w:marTop w:val="0"/>
                          <w:marBottom w:val="0"/>
                          <w:divBdr>
                            <w:top w:val="none" w:sz="0" w:space="0" w:color="auto"/>
                            <w:left w:val="none" w:sz="0" w:space="0" w:color="auto"/>
                            <w:bottom w:val="none" w:sz="0" w:space="0" w:color="auto"/>
                            <w:right w:val="none" w:sz="0" w:space="0" w:color="auto"/>
                          </w:divBdr>
                          <w:divsChild>
                            <w:div w:id="1797018989">
                              <w:marLeft w:val="0"/>
                              <w:marRight w:val="0"/>
                              <w:marTop w:val="0"/>
                              <w:marBottom w:val="0"/>
                              <w:divBdr>
                                <w:top w:val="none" w:sz="0" w:space="0" w:color="auto"/>
                                <w:left w:val="none" w:sz="0" w:space="0" w:color="auto"/>
                                <w:bottom w:val="none" w:sz="0" w:space="0" w:color="auto"/>
                                <w:right w:val="none" w:sz="0" w:space="0" w:color="auto"/>
                              </w:divBdr>
                              <w:divsChild>
                                <w:div w:id="641690911">
                                  <w:marLeft w:val="0"/>
                                  <w:marRight w:val="0"/>
                                  <w:marTop w:val="0"/>
                                  <w:marBottom w:val="0"/>
                                  <w:divBdr>
                                    <w:top w:val="none" w:sz="0" w:space="0" w:color="auto"/>
                                    <w:left w:val="none" w:sz="0" w:space="0" w:color="auto"/>
                                    <w:bottom w:val="none" w:sz="0" w:space="0" w:color="auto"/>
                                    <w:right w:val="none" w:sz="0" w:space="0" w:color="auto"/>
                                  </w:divBdr>
                                  <w:divsChild>
                                    <w:div w:id="2026249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6225454">
      <w:bodyDiv w:val="1"/>
      <w:marLeft w:val="0"/>
      <w:marRight w:val="0"/>
      <w:marTop w:val="0"/>
      <w:marBottom w:val="0"/>
      <w:divBdr>
        <w:top w:val="none" w:sz="0" w:space="0" w:color="auto"/>
        <w:left w:val="none" w:sz="0" w:space="0" w:color="auto"/>
        <w:bottom w:val="none" w:sz="0" w:space="0" w:color="auto"/>
        <w:right w:val="none" w:sz="0" w:space="0" w:color="auto"/>
      </w:divBdr>
    </w:div>
    <w:div w:id="822966108">
      <w:bodyDiv w:val="1"/>
      <w:marLeft w:val="0"/>
      <w:marRight w:val="0"/>
      <w:marTop w:val="0"/>
      <w:marBottom w:val="0"/>
      <w:divBdr>
        <w:top w:val="none" w:sz="0" w:space="0" w:color="auto"/>
        <w:left w:val="none" w:sz="0" w:space="0" w:color="auto"/>
        <w:bottom w:val="none" w:sz="0" w:space="0" w:color="auto"/>
        <w:right w:val="none" w:sz="0" w:space="0" w:color="auto"/>
      </w:divBdr>
    </w:div>
    <w:div w:id="926033263">
      <w:bodyDiv w:val="1"/>
      <w:marLeft w:val="0"/>
      <w:marRight w:val="0"/>
      <w:marTop w:val="0"/>
      <w:marBottom w:val="0"/>
      <w:divBdr>
        <w:top w:val="none" w:sz="0" w:space="0" w:color="auto"/>
        <w:left w:val="none" w:sz="0" w:space="0" w:color="auto"/>
        <w:bottom w:val="none" w:sz="0" w:space="0" w:color="auto"/>
        <w:right w:val="none" w:sz="0" w:space="0" w:color="auto"/>
      </w:divBdr>
    </w:div>
    <w:div w:id="955646369">
      <w:bodyDiv w:val="1"/>
      <w:marLeft w:val="0"/>
      <w:marRight w:val="0"/>
      <w:marTop w:val="0"/>
      <w:marBottom w:val="0"/>
      <w:divBdr>
        <w:top w:val="none" w:sz="0" w:space="0" w:color="auto"/>
        <w:left w:val="none" w:sz="0" w:space="0" w:color="auto"/>
        <w:bottom w:val="none" w:sz="0" w:space="0" w:color="auto"/>
        <w:right w:val="none" w:sz="0" w:space="0" w:color="auto"/>
      </w:divBdr>
    </w:div>
    <w:div w:id="956445913">
      <w:bodyDiv w:val="1"/>
      <w:marLeft w:val="0"/>
      <w:marRight w:val="0"/>
      <w:marTop w:val="0"/>
      <w:marBottom w:val="0"/>
      <w:divBdr>
        <w:top w:val="none" w:sz="0" w:space="0" w:color="auto"/>
        <w:left w:val="none" w:sz="0" w:space="0" w:color="auto"/>
        <w:bottom w:val="none" w:sz="0" w:space="0" w:color="auto"/>
        <w:right w:val="none" w:sz="0" w:space="0" w:color="auto"/>
      </w:divBdr>
    </w:div>
    <w:div w:id="1124495561">
      <w:bodyDiv w:val="1"/>
      <w:marLeft w:val="0"/>
      <w:marRight w:val="0"/>
      <w:marTop w:val="0"/>
      <w:marBottom w:val="0"/>
      <w:divBdr>
        <w:top w:val="none" w:sz="0" w:space="0" w:color="auto"/>
        <w:left w:val="none" w:sz="0" w:space="0" w:color="auto"/>
        <w:bottom w:val="none" w:sz="0" w:space="0" w:color="auto"/>
        <w:right w:val="none" w:sz="0" w:space="0" w:color="auto"/>
      </w:divBdr>
    </w:div>
    <w:div w:id="1234049737">
      <w:bodyDiv w:val="1"/>
      <w:marLeft w:val="0"/>
      <w:marRight w:val="0"/>
      <w:marTop w:val="0"/>
      <w:marBottom w:val="0"/>
      <w:divBdr>
        <w:top w:val="none" w:sz="0" w:space="0" w:color="auto"/>
        <w:left w:val="none" w:sz="0" w:space="0" w:color="auto"/>
        <w:bottom w:val="none" w:sz="0" w:space="0" w:color="auto"/>
        <w:right w:val="none" w:sz="0" w:space="0" w:color="auto"/>
      </w:divBdr>
    </w:div>
    <w:div w:id="1256981279">
      <w:bodyDiv w:val="1"/>
      <w:marLeft w:val="0"/>
      <w:marRight w:val="0"/>
      <w:marTop w:val="0"/>
      <w:marBottom w:val="0"/>
      <w:divBdr>
        <w:top w:val="none" w:sz="0" w:space="0" w:color="auto"/>
        <w:left w:val="none" w:sz="0" w:space="0" w:color="auto"/>
        <w:bottom w:val="none" w:sz="0" w:space="0" w:color="auto"/>
        <w:right w:val="none" w:sz="0" w:space="0" w:color="auto"/>
      </w:divBdr>
    </w:div>
    <w:div w:id="1263879755">
      <w:bodyDiv w:val="1"/>
      <w:marLeft w:val="0"/>
      <w:marRight w:val="0"/>
      <w:marTop w:val="0"/>
      <w:marBottom w:val="0"/>
      <w:divBdr>
        <w:top w:val="none" w:sz="0" w:space="0" w:color="auto"/>
        <w:left w:val="none" w:sz="0" w:space="0" w:color="auto"/>
        <w:bottom w:val="none" w:sz="0" w:space="0" w:color="auto"/>
        <w:right w:val="none" w:sz="0" w:space="0" w:color="auto"/>
      </w:divBdr>
      <w:divsChild>
        <w:div w:id="1873765612">
          <w:marLeft w:val="0"/>
          <w:marRight w:val="0"/>
          <w:marTop w:val="0"/>
          <w:marBottom w:val="0"/>
          <w:divBdr>
            <w:top w:val="none" w:sz="0" w:space="0" w:color="auto"/>
            <w:left w:val="none" w:sz="0" w:space="0" w:color="auto"/>
            <w:bottom w:val="none" w:sz="0" w:space="0" w:color="auto"/>
            <w:right w:val="none" w:sz="0" w:space="0" w:color="auto"/>
          </w:divBdr>
        </w:div>
      </w:divsChild>
    </w:div>
    <w:div w:id="1273977308">
      <w:bodyDiv w:val="1"/>
      <w:marLeft w:val="0"/>
      <w:marRight w:val="0"/>
      <w:marTop w:val="0"/>
      <w:marBottom w:val="0"/>
      <w:divBdr>
        <w:top w:val="none" w:sz="0" w:space="0" w:color="auto"/>
        <w:left w:val="none" w:sz="0" w:space="0" w:color="auto"/>
        <w:bottom w:val="none" w:sz="0" w:space="0" w:color="auto"/>
        <w:right w:val="none" w:sz="0" w:space="0" w:color="auto"/>
      </w:divBdr>
    </w:div>
    <w:div w:id="1275094197">
      <w:bodyDiv w:val="1"/>
      <w:marLeft w:val="0"/>
      <w:marRight w:val="0"/>
      <w:marTop w:val="0"/>
      <w:marBottom w:val="0"/>
      <w:divBdr>
        <w:top w:val="none" w:sz="0" w:space="0" w:color="auto"/>
        <w:left w:val="none" w:sz="0" w:space="0" w:color="auto"/>
        <w:bottom w:val="none" w:sz="0" w:space="0" w:color="auto"/>
        <w:right w:val="none" w:sz="0" w:space="0" w:color="auto"/>
      </w:divBdr>
      <w:divsChild>
        <w:div w:id="1326086888">
          <w:marLeft w:val="0"/>
          <w:marRight w:val="0"/>
          <w:marTop w:val="0"/>
          <w:marBottom w:val="0"/>
          <w:divBdr>
            <w:top w:val="none" w:sz="0" w:space="0" w:color="auto"/>
            <w:left w:val="none" w:sz="0" w:space="0" w:color="auto"/>
            <w:bottom w:val="none" w:sz="0" w:space="0" w:color="auto"/>
            <w:right w:val="none" w:sz="0" w:space="0" w:color="auto"/>
          </w:divBdr>
        </w:div>
      </w:divsChild>
    </w:div>
    <w:div w:id="1370762526">
      <w:bodyDiv w:val="1"/>
      <w:marLeft w:val="0"/>
      <w:marRight w:val="0"/>
      <w:marTop w:val="0"/>
      <w:marBottom w:val="0"/>
      <w:divBdr>
        <w:top w:val="none" w:sz="0" w:space="0" w:color="auto"/>
        <w:left w:val="none" w:sz="0" w:space="0" w:color="auto"/>
        <w:bottom w:val="none" w:sz="0" w:space="0" w:color="auto"/>
        <w:right w:val="none" w:sz="0" w:space="0" w:color="auto"/>
      </w:divBdr>
    </w:div>
    <w:div w:id="1512452162">
      <w:bodyDiv w:val="1"/>
      <w:marLeft w:val="0"/>
      <w:marRight w:val="0"/>
      <w:marTop w:val="0"/>
      <w:marBottom w:val="0"/>
      <w:divBdr>
        <w:top w:val="none" w:sz="0" w:space="0" w:color="auto"/>
        <w:left w:val="none" w:sz="0" w:space="0" w:color="auto"/>
        <w:bottom w:val="none" w:sz="0" w:space="0" w:color="auto"/>
        <w:right w:val="none" w:sz="0" w:space="0" w:color="auto"/>
      </w:divBdr>
      <w:divsChild>
        <w:div w:id="1456871731">
          <w:marLeft w:val="0"/>
          <w:marRight w:val="0"/>
          <w:marTop w:val="0"/>
          <w:marBottom w:val="0"/>
          <w:divBdr>
            <w:top w:val="none" w:sz="0" w:space="0" w:color="auto"/>
            <w:left w:val="none" w:sz="0" w:space="0" w:color="auto"/>
            <w:bottom w:val="none" w:sz="0" w:space="0" w:color="auto"/>
            <w:right w:val="none" w:sz="0" w:space="0" w:color="auto"/>
          </w:divBdr>
          <w:divsChild>
            <w:div w:id="214122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872269">
      <w:bodyDiv w:val="1"/>
      <w:marLeft w:val="0"/>
      <w:marRight w:val="0"/>
      <w:marTop w:val="0"/>
      <w:marBottom w:val="0"/>
      <w:divBdr>
        <w:top w:val="none" w:sz="0" w:space="0" w:color="auto"/>
        <w:left w:val="none" w:sz="0" w:space="0" w:color="auto"/>
        <w:bottom w:val="none" w:sz="0" w:space="0" w:color="auto"/>
        <w:right w:val="none" w:sz="0" w:space="0" w:color="auto"/>
      </w:divBdr>
    </w:div>
    <w:div w:id="1705136560">
      <w:bodyDiv w:val="1"/>
      <w:marLeft w:val="0"/>
      <w:marRight w:val="0"/>
      <w:marTop w:val="0"/>
      <w:marBottom w:val="0"/>
      <w:divBdr>
        <w:top w:val="none" w:sz="0" w:space="0" w:color="auto"/>
        <w:left w:val="none" w:sz="0" w:space="0" w:color="auto"/>
        <w:bottom w:val="none" w:sz="0" w:space="0" w:color="auto"/>
        <w:right w:val="none" w:sz="0" w:space="0" w:color="auto"/>
      </w:divBdr>
    </w:div>
    <w:div w:id="1740206892">
      <w:bodyDiv w:val="1"/>
      <w:marLeft w:val="0"/>
      <w:marRight w:val="0"/>
      <w:marTop w:val="0"/>
      <w:marBottom w:val="0"/>
      <w:divBdr>
        <w:top w:val="none" w:sz="0" w:space="0" w:color="auto"/>
        <w:left w:val="none" w:sz="0" w:space="0" w:color="auto"/>
        <w:bottom w:val="none" w:sz="0" w:space="0" w:color="auto"/>
        <w:right w:val="none" w:sz="0" w:space="0" w:color="auto"/>
      </w:divBdr>
    </w:div>
    <w:div w:id="1782996055">
      <w:bodyDiv w:val="1"/>
      <w:marLeft w:val="0"/>
      <w:marRight w:val="0"/>
      <w:marTop w:val="0"/>
      <w:marBottom w:val="0"/>
      <w:divBdr>
        <w:top w:val="none" w:sz="0" w:space="0" w:color="auto"/>
        <w:left w:val="none" w:sz="0" w:space="0" w:color="auto"/>
        <w:bottom w:val="none" w:sz="0" w:space="0" w:color="auto"/>
        <w:right w:val="none" w:sz="0" w:space="0" w:color="auto"/>
      </w:divBdr>
    </w:div>
    <w:div w:id="1793286142">
      <w:bodyDiv w:val="1"/>
      <w:marLeft w:val="0"/>
      <w:marRight w:val="0"/>
      <w:marTop w:val="0"/>
      <w:marBottom w:val="0"/>
      <w:divBdr>
        <w:top w:val="none" w:sz="0" w:space="0" w:color="auto"/>
        <w:left w:val="none" w:sz="0" w:space="0" w:color="auto"/>
        <w:bottom w:val="none" w:sz="0" w:space="0" w:color="auto"/>
        <w:right w:val="none" w:sz="0" w:space="0" w:color="auto"/>
      </w:divBdr>
    </w:div>
    <w:div w:id="1859807784">
      <w:bodyDiv w:val="1"/>
      <w:marLeft w:val="0"/>
      <w:marRight w:val="0"/>
      <w:marTop w:val="0"/>
      <w:marBottom w:val="0"/>
      <w:divBdr>
        <w:top w:val="none" w:sz="0" w:space="0" w:color="auto"/>
        <w:left w:val="none" w:sz="0" w:space="0" w:color="auto"/>
        <w:bottom w:val="none" w:sz="0" w:space="0" w:color="auto"/>
        <w:right w:val="none" w:sz="0" w:space="0" w:color="auto"/>
      </w:divBdr>
    </w:div>
    <w:div w:id="1893882433">
      <w:bodyDiv w:val="1"/>
      <w:marLeft w:val="0"/>
      <w:marRight w:val="0"/>
      <w:marTop w:val="0"/>
      <w:marBottom w:val="0"/>
      <w:divBdr>
        <w:top w:val="none" w:sz="0" w:space="0" w:color="auto"/>
        <w:left w:val="none" w:sz="0" w:space="0" w:color="auto"/>
        <w:bottom w:val="none" w:sz="0" w:space="0" w:color="auto"/>
        <w:right w:val="none" w:sz="0" w:space="0" w:color="auto"/>
      </w:divBdr>
    </w:div>
    <w:div w:id="1970502574">
      <w:bodyDiv w:val="1"/>
      <w:marLeft w:val="0"/>
      <w:marRight w:val="0"/>
      <w:marTop w:val="0"/>
      <w:marBottom w:val="0"/>
      <w:divBdr>
        <w:top w:val="none" w:sz="0" w:space="0" w:color="auto"/>
        <w:left w:val="none" w:sz="0" w:space="0" w:color="auto"/>
        <w:bottom w:val="none" w:sz="0" w:space="0" w:color="auto"/>
        <w:right w:val="none" w:sz="0" w:space="0" w:color="auto"/>
      </w:divBdr>
    </w:div>
    <w:div w:id="1970939718">
      <w:bodyDiv w:val="1"/>
      <w:marLeft w:val="0"/>
      <w:marRight w:val="0"/>
      <w:marTop w:val="0"/>
      <w:marBottom w:val="0"/>
      <w:divBdr>
        <w:top w:val="none" w:sz="0" w:space="0" w:color="auto"/>
        <w:left w:val="none" w:sz="0" w:space="0" w:color="auto"/>
        <w:bottom w:val="none" w:sz="0" w:space="0" w:color="auto"/>
        <w:right w:val="none" w:sz="0" w:space="0" w:color="auto"/>
      </w:divBdr>
    </w:div>
    <w:div w:id="1992444709">
      <w:bodyDiv w:val="1"/>
      <w:marLeft w:val="0"/>
      <w:marRight w:val="0"/>
      <w:marTop w:val="0"/>
      <w:marBottom w:val="0"/>
      <w:divBdr>
        <w:top w:val="none" w:sz="0" w:space="0" w:color="auto"/>
        <w:left w:val="none" w:sz="0" w:space="0" w:color="auto"/>
        <w:bottom w:val="none" w:sz="0" w:space="0" w:color="auto"/>
        <w:right w:val="none" w:sz="0" w:space="0" w:color="auto"/>
      </w:divBdr>
    </w:div>
    <w:div w:id="2004775877">
      <w:bodyDiv w:val="1"/>
      <w:marLeft w:val="0"/>
      <w:marRight w:val="0"/>
      <w:marTop w:val="0"/>
      <w:marBottom w:val="0"/>
      <w:divBdr>
        <w:top w:val="none" w:sz="0" w:space="0" w:color="auto"/>
        <w:left w:val="none" w:sz="0" w:space="0" w:color="auto"/>
        <w:bottom w:val="none" w:sz="0" w:space="0" w:color="auto"/>
        <w:right w:val="none" w:sz="0" w:space="0" w:color="auto"/>
      </w:divBdr>
    </w:div>
    <w:div w:id="2077042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4.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oi.org/10.1016/j.lanepe.2023.10065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3.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ustomXml" Target="ink/ink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6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tx>
            <c:strRef>
              <c:f>Sheet1!$B$1</c:f>
              <c:strCache>
                <c:ptCount val="1"/>
                <c:pt idx="0">
                  <c:v>Antibiotic-resistant bloodstream infection cases in England</c:v>
                </c:pt>
              </c:strCache>
            </c:strRef>
          </c:tx>
          <c:spPr>
            <a:solidFill>
              <a:schemeClr val="accent1"/>
            </a:solidFill>
            <a:ln>
              <a:noFill/>
            </a:ln>
            <a:effectLst/>
          </c:spPr>
          <c:invertIfNegative val="0"/>
          <c:cat>
            <c:numRef>
              <c:f>Sheet1!$A$2:$A$4</c:f>
              <c:numCache>
                <c:formatCode>General</c:formatCode>
                <c:ptCount val="3"/>
                <c:pt idx="0">
                  <c:v>2019</c:v>
                </c:pt>
                <c:pt idx="1">
                  <c:v>2023</c:v>
                </c:pt>
                <c:pt idx="2">
                  <c:v>2024</c:v>
                </c:pt>
              </c:numCache>
            </c:numRef>
          </c:cat>
          <c:val>
            <c:numRef>
              <c:f>Sheet1!$B$2:$B$4</c:f>
              <c:numCache>
                <c:formatCode>#,##0</c:formatCode>
                <c:ptCount val="3"/>
                <c:pt idx="0">
                  <c:v>18103</c:v>
                </c:pt>
                <c:pt idx="1">
                  <c:v>18740</c:v>
                </c:pt>
                <c:pt idx="2">
                  <c:v>20484</c:v>
                </c:pt>
              </c:numCache>
            </c:numRef>
          </c:val>
          <c:extLst xmlns:c16r2="http://schemas.microsoft.com/office/drawing/2015/06/chart">
            <c:ext xmlns:c16="http://schemas.microsoft.com/office/drawing/2014/chart" uri="{C3380CC4-5D6E-409C-BE32-E72D297353CC}">
              <c16:uniqueId val="{00000000-CFDA-4D64-B149-7EE79F9A3E69}"/>
            </c:ext>
          </c:extLst>
        </c:ser>
        <c:dLbls>
          <c:showLegendKey val="0"/>
          <c:showVal val="0"/>
          <c:showCatName val="0"/>
          <c:showSerName val="0"/>
          <c:showPercent val="0"/>
          <c:showBubbleSize val="0"/>
        </c:dLbls>
        <c:gapWidth val="182"/>
        <c:axId val="-1642364768"/>
        <c:axId val="-1642365312"/>
      </c:barChart>
      <c:catAx>
        <c:axId val="-16423647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642365312"/>
        <c:crosses val="autoZero"/>
        <c:auto val="1"/>
        <c:lblAlgn val="ctr"/>
        <c:lblOffset val="100"/>
        <c:noMultiLvlLbl val="0"/>
      </c:catAx>
      <c:valAx>
        <c:axId val="-164236531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105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6423647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050">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A347B8-FAC2-47A8-96AB-BB0846EB9F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73</Pages>
  <Words>25338</Words>
  <Characters>144431</Characters>
  <Application>Microsoft Office Word</Application>
  <DocSecurity>0</DocSecurity>
  <Lines>1203</Lines>
  <Paragraphs>338</Paragraphs>
  <ScaleCrop>false</ScaleCrop>
  <HeadingPairs>
    <vt:vector size="4" baseType="variant">
      <vt:variant>
        <vt:lpstr>Title</vt:lpstr>
      </vt:variant>
      <vt:variant>
        <vt:i4>1</vt:i4>
      </vt:variant>
      <vt:variant>
        <vt:lpstr>Headings</vt:lpstr>
      </vt:variant>
      <vt:variant>
        <vt:i4>53</vt:i4>
      </vt:variant>
    </vt:vector>
  </HeadingPairs>
  <TitlesOfParts>
    <vt:vector size="54" baseType="lpstr">
      <vt:lpstr/>
      <vt:lpstr>DECLARATION</vt:lpstr>
      <vt:lpstr>ACKNOWLEDGEMENT</vt:lpstr>
      <vt:lpstr>ABSTRACT</vt:lpstr>
      <vt:lpstr>LIST OF TABLES</vt:lpstr>
      <vt:lpstr>LIST OF FIGURES</vt:lpstr>
      <vt:lpstr>LIST OF ABBREVIATIONS</vt:lpstr>
      <vt:lpstr>CHAPTER 1: INTRODUCTION</vt:lpstr>
      <vt:lpstr>    1.1 Introduction</vt:lpstr>
      <vt:lpstr>    1.2 Background of the Study</vt:lpstr>
      <vt:lpstr>    1.3 Statement of the Problem</vt:lpstr>
      <vt:lpstr>    1.4 Rationale of the Study</vt:lpstr>
      <vt:lpstr>    1.5 Research Question</vt:lpstr>
      <vt:lpstr>    1.6 Research Aim</vt:lpstr>
      <vt:lpstr>    1.7 Research Objectives</vt:lpstr>
      <vt:lpstr>    1.8 Significance of the Study</vt:lpstr>
      <vt:lpstr>    1.9 Scope of the Study</vt:lpstr>
      <vt:lpstr>    1.10 Structure of the Dissertation</vt:lpstr>
      <vt:lpstr>    1.11 Summary of the Chapter</vt:lpstr>
      <vt:lpstr>CHAPTER 2: LITERATURE REVIEW AND THEORETICAL FRAMEWORK</vt:lpstr>
      <vt:lpstr>    2.1 Introduction</vt:lpstr>
      <vt:lpstr>    2.2 Literature Search Strategy</vt:lpstr>
      <vt:lpstr>    2.3 Antimicrobial Resistance as a UK Public Health Issue</vt:lpstr>
      <vt:lpstr>    2.4 Antibiotic Prescribing and Dispensing in UK Primary Care</vt:lpstr>
      <vt:lpstr>    2.5 Community Pharmacy Infection Services and Antibiotic Access</vt:lpstr>
      <vt:lpstr>    2.6 Antimicrobial Stewardship Interventions in Community Pharmacy</vt:lpstr>
      <vt:lpstr>    2.7 Knowledge, Attitudes and Training of Pharmacy Staff</vt:lpstr>
      <vt:lpstr>    2.8 Behavioural and Organisational Factors Influencing Antibiotic Supply</vt:lpstr>
      <vt:lpstr>    2.9 Patient Communication, Public Expectations and Safety-Netting</vt:lpstr>
      <vt:lpstr>    2.10 Gaps in the Literature</vt:lpstr>
      <vt:lpstr>    2.11 Theoretical Framework</vt:lpstr>
      <vt:lpstr>    2.12 Summary of the Chapter</vt:lpstr>
      <vt:lpstr>CHAPTER 3: METHODOLOGY</vt:lpstr>
      <vt:lpstr>    3.1 Introduction</vt:lpstr>
      <vt:lpstr>    3.2 Research Philosophy</vt:lpstr>
      <vt:lpstr>    3.3 Ethical Considerations</vt:lpstr>
      <vt:lpstr>    3.4 Research Approach and Review Strategy</vt:lpstr>
      <vt:lpstr>    3.5 Review Question and Eligibility Framework</vt:lpstr>
      <vt:lpstr>    3.6 Information Sources and Search Strategy</vt:lpstr>
      <vt:lpstr>    3.7 Inclusion and Exclusion Criteria</vt:lpstr>
      <vt:lpstr>    3.8 Study Selection and Screening Outcome</vt:lpstr>
      <vt:lpstr>    3.9 Quality Appraisal</vt:lpstr>
      <vt:lpstr>    3.10 Data Extraction and Management</vt:lpstr>
      <vt:lpstr>    3.11 Data Synthesis and Analysis</vt:lpstr>
      <vt:lpstr>    3.12 Methodological Limitations and Bias Control</vt:lpstr>
      <vt:lpstr>    3.13 Chapter Summary</vt:lpstr>
      <vt:lpstr>CHAPTER 4: RESULTS </vt:lpstr>
      <vt:lpstr>    4.1 Introduction</vt:lpstr>
      <vt:lpstr>    4.2 Systematic Search Results</vt:lpstr>
      <vt:lpstr>    4.3 Study Characteristics</vt:lpstr>
      <vt:lpstr>    4.4 Quality Appraisal and Evidence Profile</vt:lpstr>
      <vt:lpstr>    4.5 Theme 1: Structured Clinical Pathways and Diagnostic Safeguards</vt:lpstr>
      <vt:lpstr>    4.6 Theme 2: Stewardship at Dispensing and During Self-care Consultations</vt:lpstr>
      <vt:lpstr>    4.7 Theme 3: Workforce Capability, Confidence and Whole-team Learning</vt:lpstr>
    </vt:vector>
  </TitlesOfParts>
  <Company/>
  <LinksUpToDate>false</LinksUpToDate>
  <CharactersWithSpaces>169431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2026-09-23T12:20:00Z</dcterms:created>
  <dcterms:modified xsi:type="dcterms:W3CDTF">2026-09-23T12:22:00Z</dcterms:modified>
</cp:coreProperties>
</file>