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77D" w:rsidRDefault="00B25764">
      <w:r>
        <w:t xml:space="preserve">Siobhan Packer </w:t>
      </w:r>
    </w:p>
    <w:p w:rsidR="00B25764" w:rsidRDefault="00B25764">
      <w:r>
        <w:t>2031241</w:t>
      </w:r>
    </w:p>
    <w:p w:rsidR="009A1F11" w:rsidRDefault="009A1F11">
      <w:pPr>
        <w:rPr>
          <w:b/>
        </w:rPr>
      </w:pPr>
    </w:p>
    <w:p w:rsidR="00B25764" w:rsidRDefault="00B25764">
      <w:pPr>
        <w:rPr>
          <w:b/>
        </w:rPr>
      </w:pPr>
      <w:bookmarkStart w:id="0" w:name="_GoBack"/>
      <w:bookmarkEnd w:id="0"/>
      <w:r w:rsidRPr="00B25764">
        <w:rPr>
          <w:b/>
        </w:rPr>
        <w:t xml:space="preserve">Essay 1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sz w:val="24"/>
        </w:rPr>
        <w:t xml:space="preserve">Police misconduct or malpractice gain a lot of public interest via the media reporting incidents where police officers have fallen short of what is expected of them and failing in their duty. In South Wales Police, the values officers uphold and to be ‘proud, professional and positive in everything we do’ </w:t>
      </w:r>
      <w:r w:rsidRPr="00B25764">
        <w:rPr>
          <w:rFonts w:cstheme="minorHAnsi"/>
          <w:color w:val="000000"/>
          <w:sz w:val="24"/>
          <w:shd w:val="clear" w:color="auto" w:fill="FFFFFF"/>
        </w:rPr>
        <w:t xml:space="preserve">(Our vision, values and ethics, 2022). For officers to not adhere to these values could lead to misconduct of malpractice. </w:t>
      </w:r>
    </w:p>
    <w:p w:rsidR="00B25764" w:rsidRPr="00B25764" w:rsidRDefault="00B25764" w:rsidP="00B25764">
      <w:pPr>
        <w:spacing w:line="480" w:lineRule="auto"/>
        <w:jc w:val="both"/>
        <w:rPr>
          <w:rFonts w:cstheme="minorHAnsi"/>
          <w:color w:val="000000"/>
          <w:sz w:val="24"/>
          <w:shd w:val="clear" w:color="auto" w:fill="FFFFFF"/>
        </w:rPr>
      </w:pP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When there has been major case of police misconduct or malpractice, thorough investigations are carried out to ascertain why such a failing has happened and what amendments can be made. </w:t>
      </w:r>
    </w:p>
    <w:p w:rsidR="00B25764" w:rsidRPr="00B25764" w:rsidRDefault="00B25764" w:rsidP="00B25764">
      <w:pPr>
        <w:spacing w:line="480" w:lineRule="auto"/>
        <w:jc w:val="both"/>
        <w:rPr>
          <w:rFonts w:cstheme="minorHAnsi"/>
          <w:color w:val="000000"/>
          <w:sz w:val="24"/>
          <w:shd w:val="clear" w:color="auto" w:fill="FFFFFF"/>
        </w:rPr>
      </w:pP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The murder of Maxwell Confait 1972 (Hughes, 2019) sparked a turning point in policing powers after 3 youths were wrongly convicted of the murder of Confait. These youths were subjected to hours of interrogation without the presence of any legal advice or parent or guardian, despite them being 18, 15 and 14 years old. Eventually a statement of confession was signed by the youths, confessing the murder.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However, after an appeal for a re-examination of the case, it was found that these youths had strong alibis for when the murder was estimated to have happened.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An enquiry, led by Sir Henry Fisher, began and his findings in the police procedure deemed to have issues among the investigation and the rights of the suspect being protected (Coid, </w:t>
      </w:r>
      <w:r w:rsidRPr="00B25764">
        <w:rPr>
          <w:rFonts w:cstheme="minorHAnsi"/>
          <w:color w:val="000000"/>
          <w:sz w:val="24"/>
          <w:shd w:val="clear" w:color="auto" w:fill="FFFFFF"/>
        </w:rPr>
        <w:lastRenderedPageBreak/>
        <w:t xml:space="preserve">1981). These findings have contributed to the creation of the Royal Commission on Criminal Procedure 1979-1981. Set out in this were guidelines of changes in policy for the police in investigating criminal offences and prosecuting the offences as well as upholding the rights of the suspect (Coid, 1981)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The Brixton Riots 1981 (John, 2009) ignited a change in the stop and search procedure used by police. The Sus law 1824 allowed officers to act if they had suspicion of a person who had the intent to commit an arrest-able offence (Eddo-Lodge, 2020). This often led to stop searches of individuals from the black and ethnic minorities who felt targeted by police.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During April 1981, operation Swamp (F, 2021) commenced and saw 1000 stop searches in just 6 days, again many of these individuals were from ethnic minorities. This, accompanied with rumours of police brutality against young black men meant the start of the Brixton riots. Many officers and members of the public were injured as well as millions of pounds worth of damage was caused. These riots went on for three days (John, 2009).</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As part of the investigation in to how the riots started, Lord Scarman was appointed to conduct a report and was able to enforce any recommendations that he deemed suitable (Bbc.co.uk, 2009).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As part of Scarman’s findings, he concluded that the public’s trust and confidence in the policing methods had fallen through. A recommendation from this was that more effort needed to be made to recruit individuals form minority backgrounds as well a shift in training methods and enforcement of the law. Nevertheless Scarman considered there to be ‘racial disadvantage and discrimination’ rather than ‘institutional racism’ (Bbc.co.uk, 2009). </w:t>
      </w:r>
    </w:p>
    <w:p w:rsidR="00B25764" w:rsidRPr="00B25764" w:rsidRDefault="00B25764" w:rsidP="00B25764">
      <w:pPr>
        <w:spacing w:line="480" w:lineRule="auto"/>
        <w:jc w:val="both"/>
        <w:rPr>
          <w:rFonts w:cstheme="minorHAnsi"/>
          <w:color w:val="000000"/>
          <w:sz w:val="24"/>
          <w:shd w:val="clear" w:color="auto" w:fill="FFFFFF"/>
        </w:rPr>
      </w:pP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lastRenderedPageBreak/>
        <w:t xml:space="preserve">Following the Scarman report, the Police and Criminal Evidence act 1984 (PACE) was introduced (Home Office, 2013). PACE sets out the ‘codes of practice’ that police have to follow when using their policing powers for dealing with crime and keeping the public safe. There are different codes in PACE which specify policing powers and how those powers should be carried out. For example Code A sets out the foundations of police stop and search powers without making an arrest first (Home Office, 2015).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Where as the Sus law (Eddo-Lodge, 2020) allowed officers to stop and search a person based on suspicion alone, PACE puts more emphasis on the officer to justify their reasoning as to why they are searching that individual and whether they have the grounds to do so.  There also must be a legal power in place for the officer to search. Such as Section 1 PACE allows an officer to stop and search an individual when in a public place if they have suspicion that the individual is in possession of a ‘stolen or prohibited article, an offensive weapon, bladed or sharply pointed article, firework or any article used in the course of or in connection with some criminal offences’ (Legislation.gov.uk, 2019).  </w:t>
      </w:r>
    </w:p>
    <w:p w:rsidR="00B25764" w:rsidRPr="00B25764" w:rsidRDefault="00B25764" w:rsidP="00B25764">
      <w:pPr>
        <w:spacing w:line="480" w:lineRule="auto"/>
        <w:jc w:val="both"/>
        <w:rPr>
          <w:rFonts w:cstheme="minorHAnsi"/>
          <w:color w:val="000000"/>
          <w:sz w:val="24"/>
          <w:shd w:val="clear" w:color="auto" w:fill="FFFFFF"/>
        </w:rPr>
      </w:pP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However with PACE 1984 in place, there still continues to be cases of malpractice within police forces in the UK.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The Stephen Lawrence murder in 1993 (BBC, 2018) is an example of this. Stephen Lawrence was killed in an ‘unprovoked attack’ by a group of youths whilst Stephen was waiting for a bus. A police investigation was launched to identify the killers. Following a lengthy prosecution process, the suspects identified were acquitted. In July 1997 a ‘public inquiry’ was announced by ‘Sir William Macpherson’ (BBC,2018).</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lastRenderedPageBreak/>
        <w:t xml:space="preserve">The Macpherson report included 70 recommendations for the police forces to change in relation to enhancing victims rights and to ‘show zero tolerance for racism in society’ (Quinn, 2019). These recommendations remain in place today which include the police forces reflecting the ‘cultural and ethnic mix of the community they serve’ (Guardian Staff, 1999).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South Wales police have developed a recruitment strategy to provide attract a representative workforce (South Wales Police, n.d.).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In 2014 the college of policing have published the code of ethics (CofE) which outlines the behaviour police officers should follow. </w:t>
      </w:r>
    </w:p>
    <w:p w:rsidR="00B25764" w:rsidRPr="00B25764" w:rsidRDefault="00B25764" w:rsidP="00B25764">
      <w:pPr>
        <w:spacing w:line="480" w:lineRule="auto"/>
        <w:jc w:val="both"/>
        <w:rPr>
          <w:rFonts w:cstheme="minorHAnsi"/>
          <w:color w:val="000000"/>
          <w:sz w:val="24"/>
          <w:shd w:val="clear" w:color="auto" w:fill="FFFFFF"/>
        </w:rPr>
      </w:pP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CofE include the 9 policing principles and the 10 standards of professional behaviour. The principles include Accountability. This puts the onus on officers to justify their actions and fully update victims and witnesses the updates and outcomes of police investigations. Officers must be honest and have integrity during their investigation and remain impartial. </w:t>
      </w: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When officers do not reflect the CofE, it can lead to disciplinary action and potentially a dismissal. </w:t>
      </w:r>
    </w:p>
    <w:p w:rsidR="00B25764" w:rsidRPr="00B25764" w:rsidRDefault="00B25764" w:rsidP="00B25764">
      <w:pPr>
        <w:spacing w:line="480" w:lineRule="auto"/>
        <w:jc w:val="both"/>
        <w:rPr>
          <w:rFonts w:cstheme="minorHAnsi"/>
          <w:color w:val="000000"/>
          <w:sz w:val="24"/>
          <w:shd w:val="clear" w:color="auto" w:fill="FFFFFF"/>
        </w:rPr>
      </w:pPr>
    </w:p>
    <w:p w:rsidR="00B25764" w:rsidRPr="00B25764" w:rsidRDefault="00B25764" w:rsidP="00B25764">
      <w:pPr>
        <w:spacing w:line="480" w:lineRule="auto"/>
        <w:jc w:val="both"/>
        <w:rPr>
          <w:rFonts w:cstheme="minorHAnsi"/>
          <w:color w:val="000000"/>
          <w:sz w:val="24"/>
          <w:shd w:val="clear" w:color="auto" w:fill="FFFFFF"/>
        </w:rPr>
      </w:pPr>
      <w:r w:rsidRPr="00B25764">
        <w:rPr>
          <w:rFonts w:cstheme="minorHAnsi"/>
          <w:color w:val="000000"/>
          <w:sz w:val="24"/>
          <w:shd w:val="clear" w:color="auto" w:fill="FFFFFF"/>
        </w:rPr>
        <w:t xml:space="preserve">In conclusion, a lot of change has happened to police policies in order for the public to receive a better service from the police force. Police forces need to continue to review their policies in order to keep up with the change in societies. </w:t>
      </w:r>
    </w:p>
    <w:p w:rsidR="00B25764" w:rsidRDefault="00B25764">
      <w:pPr>
        <w:rPr>
          <w:b/>
        </w:rPr>
      </w:pPr>
      <w:r>
        <w:rPr>
          <w:b/>
        </w:rPr>
        <w:t>Total 1006</w:t>
      </w:r>
    </w:p>
    <w:p w:rsidR="00B25764" w:rsidRDefault="00B25764">
      <w:pPr>
        <w:rPr>
          <w:b/>
        </w:rPr>
      </w:pPr>
    </w:p>
    <w:p w:rsidR="00B25764" w:rsidRDefault="00B25764">
      <w:pPr>
        <w:rPr>
          <w:b/>
        </w:rPr>
      </w:pPr>
      <w:r>
        <w:rPr>
          <w:b/>
        </w:rPr>
        <w:t>Essay 2</w:t>
      </w:r>
    </w:p>
    <w:p w:rsidR="00B25764" w:rsidRDefault="00B25764" w:rsidP="00B25764"/>
    <w:p w:rsidR="00B25764" w:rsidRPr="00B25764" w:rsidRDefault="00B25764" w:rsidP="00B25764">
      <w:pPr>
        <w:spacing w:line="480" w:lineRule="auto"/>
        <w:jc w:val="both"/>
        <w:rPr>
          <w:sz w:val="24"/>
          <w:szCs w:val="24"/>
        </w:rPr>
      </w:pPr>
      <w:r w:rsidRPr="00B25764">
        <w:rPr>
          <w:sz w:val="24"/>
          <w:szCs w:val="24"/>
        </w:rPr>
        <w:t xml:space="preserve">Organised crime groups (OCG’s) are groups of criminals carrying out illegal activity. A common type of OCG activity is involving drug activity but can also include, smuggling firearms, human trafficking, fraud and cyber-crime (Burton Copeland, 2021). </w:t>
      </w:r>
    </w:p>
    <w:p w:rsidR="00B25764" w:rsidRPr="00B25764" w:rsidRDefault="00B25764" w:rsidP="00B25764">
      <w:pPr>
        <w:spacing w:line="480" w:lineRule="auto"/>
        <w:jc w:val="both"/>
        <w:rPr>
          <w:sz w:val="24"/>
          <w:szCs w:val="24"/>
        </w:rPr>
      </w:pPr>
      <w:r w:rsidRPr="00B25764">
        <w:rPr>
          <w:sz w:val="24"/>
          <w:szCs w:val="24"/>
        </w:rPr>
        <w:t xml:space="preserve">OCG’s use vulnerable people as a tactic to disguise their activity as most vulnerable people wouldn’t necessarily be suspects involved in organised crime to police (Local Government Association, n.d.). </w:t>
      </w:r>
    </w:p>
    <w:p w:rsidR="00B25764" w:rsidRPr="00B25764" w:rsidRDefault="00B25764" w:rsidP="00B25764">
      <w:pPr>
        <w:spacing w:line="480" w:lineRule="auto"/>
        <w:jc w:val="both"/>
        <w:rPr>
          <w:sz w:val="24"/>
          <w:szCs w:val="24"/>
        </w:rPr>
      </w:pPr>
    </w:p>
    <w:p w:rsidR="00B25764" w:rsidRPr="00B25764" w:rsidRDefault="00B25764" w:rsidP="00B25764">
      <w:pPr>
        <w:spacing w:line="480" w:lineRule="auto"/>
        <w:jc w:val="both"/>
        <w:rPr>
          <w:sz w:val="24"/>
          <w:szCs w:val="24"/>
        </w:rPr>
      </w:pPr>
      <w:r w:rsidRPr="00B25764">
        <w:rPr>
          <w:sz w:val="24"/>
          <w:szCs w:val="24"/>
        </w:rPr>
        <w:t xml:space="preserve">Firstly it’s important to define an OCG is. Section 45(6) of the serious crime act 2015, defines an OCG ‘ as a group which has at its purpose, or one of its purposes, the carrying on of criminal activities and consists of three or more people who agree to act together to further that purpose’ (cps, 2019). The criminal activity can coincides with exploitation of vulnerable individuals. Exploitation involves an individual being ‘forced or coerced’ to do something for someone else’s gain and often it’s something they don’t want to do (Preventing Exploitation Toolkit, n.d.). </w:t>
      </w:r>
    </w:p>
    <w:p w:rsidR="00B25764" w:rsidRPr="00B25764" w:rsidRDefault="00B25764" w:rsidP="00B25764">
      <w:pPr>
        <w:spacing w:line="480" w:lineRule="auto"/>
        <w:jc w:val="both"/>
        <w:rPr>
          <w:sz w:val="24"/>
          <w:szCs w:val="24"/>
        </w:rPr>
      </w:pPr>
      <w:r w:rsidRPr="00B25764">
        <w:rPr>
          <w:sz w:val="24"/>
          <w:szCs w:val="24"/>
        </w:rPr>
        <w:t xml:space="preserve">There is different types of exploitation. One type of exploitation is ‘drug running’ (Warwickshire police, n.d.). This involves moving drugs from one place to another, also called county lines. These drugs can be moved across the country. Children are often used to move these drugs.  Children are befriended by the OCG’s who use them to move their goods across the country. The OCG will offer the child expensive gifts and money in exchange for the child’s time in moving the drugs to different locations. They are given a mobile phone and gifts they often wouldn’t be able to afford in other circumstances which they use to control the child in do work for the OCG (The Children's Society, n.d.). Children are often drawn in to the hold of </w:t>
      </w:r>
      <w:r w:rsidRPr="00B25764">
        <w:rPr>
          <w:sz w:val="24"/>
          <w:szCs w:val="24"/>
        </w:rPr>
        <w:lastRenderedPageBreak/>
        <w:t xml:space="preserve">the OCG’s by these gifts which they will not be able to afford to pay back. This makes them children vulnerable to the requests of the OCG’s who will blackmail the children in to transporting the drugs for them even if they don’t want to. </w:t>
      </w:r>
    </w:p>
    <w:p w:rsidR="00B25764" w:rsidRPr="00B25764" w:rsidRDefault="00B25764" w:rsidP="00B25764">
      <w:pPr>
        <w:spacing w:line="480" w:lineRule="auto"/>
        <w:jc w:val="both"/>
        <w:rPr>
          <w:sz w:val="24"/>
          <w:szCs w:val="24"/>
        </w:rPr>
      </w:pPr>
      <w:r w:rsidRPr="00B25764">
        <w:rPr>
          <w:sz w:val="24"/>
          <w:szCs w:val="24"/>
        </w:rPr>
        <w:t xml:space="preserve">Often children are bought in to an OCG due to where they live or who their family is (NSPCC, 2019). If a child is having trouble at school or at home, experiencing neglect,  if they have any learning or special needs and if they live in a place where drug dealing/ taking is prevalent (NSPCC, 2019) it makes the child more vulnerable to the recruitment in to an OCG. Being part of an OCG might be the first sense of belonging the child has received. If they feel like they are not wanted at home or school, they will gravitate towards the OCG who are giving them nice things i.e. a mobile phone. </w:t>
      </w:r>
    </w:p>
    <w:p w:rsidR="00B25764" w:rsidRPr="00B25764" w:rsidRDefault="00B25764" w:rsidP="00B25764">
      <w:pPr>
        <w:spacing w:line="480" w:lineRule="auto"/>
        <w:jc w:val="both"/>
        <w:rPr>
          <w:sz w:val="24"/>
          <w:szCs w:val="24"/>
        </w:rPr>
      </w:pPr>
      <w:r w:rsidRPr="00B25764">
        <w:rPr>
          <w:sz w:val="24"/>
          <w:szCs w:val="24"/>
        </w:rPr>
        <w:t>Children are also drawn to the glamorized lifestyle of gangs and drugs that is portrayed in the media (AR-CLEAR-USER, 2022). The glamorized lifestyle shows the popularity and wealth of the celebrity but does not show the side effects of addiction, the dangers of drug dealing and the consequences of being involved with drugs, whether that be the dealing or taking.</w:t>
      </w:r>
    </w:p>
    <w:p w:rsidR="00B25764" w:rsidRPr="00B25764" w:rsidRDefault="00B25764" w:rsidP="00B25764">
      <w:pPr>
        <w:spacing w:line="480" w:lineRule="auto"/>
        <w:jc w:val="both"/>
        <w:rPr>
          <w:sz w:val="24"/>
          <w:szCs w:val="24"/>
        </w:rPr>
      </w:pPr>
      <w:r w:rsidRPr="00B25764">
        <w:rPr>
          <w:sz w:val="24"/>
          <w:szCs w:val="24"/>
        </w:rPr>
        <w:t>Another form of exploitation is cuckooing (Warwickshire Police, n.d). Cuckooing is the act where someone exploits another property or house for the purposes of crime (Lee, 2022).</w:t>
      </w:r>
    </w:p>
    <w:p w:rsidR="00B25764" w:rsidRPr="00B25764" w:rsidRDefault="00B25764" w:rsidP="00B25764">
      <w:pPr>
        <w:spacing w:line="480" w:lineRule="auto"/>
        <w:jc w:val="both"/>
        <w:rPr>
          <w:sz w:val="24"/>
          <w:szCs w:val="24"/>
        </w:rPr>
      </w:pPr>
      <w:r w:rsidRPr="00B25764">
        <w:rPr>
          <w:sz w:val="24"/>
          <w:szCs w:val="24"/>
        </w:rPr>
        <w:t xml:space="preserve">That person’s home is then used to clean, bag and distribute drugs from as part of the network of county lines (Lee, 2022). </w:t>
      </w:r>
    </w:p>
    <w:p w:rsidR="00B25764" w:rsidRPr="00B25764" w:rsidRDefault="00B25764" w:rsidP="00B25764">
      <w:pPr>
        <w:spacing w:line="480" w:lineRule="auto"/>
        <w:jc w:val="both"/>
        <w:rPr>
          <w:sz w:val="24"/>
          <w:szCs w:val="24"/>
        </w:rPr>
      </w:pPr>
      <w:r w:rsidRPr="00B25764">
        <w:rPr>
          <w:sz w:val="24"/>
          <w:szCs w:val="24"/>
        </w:rPr>
        <w:t xml:space="preserve">A vulnerable person to cuckooing could be due to their own addiction to drugs and alcohol and maybe they can’t keep up with their habit. The OCG will feed the addiction and as part of the repayment, it’s agreed that OCG members can stay in their home (Lee, 2022). </w:t>
      </w:r>
    </w:p>
    <w:p w:rsidR="00B25764" w:rsidRPr="00B25764" w:rsidRDefault="00B25764" w:rsidP="00B25764">
      <w:pPr>
        <w:spacing w:line="480" w:lineRule="auto"/>
        <w:jc w:val="both"/>
        <w:rPr>
          <w:sz w:val="24"/>
          <w:szCs w:val="24"/>
        </w:rPr>
      </w:pPr>
      <w:r w:rsidRPr="00B25764">
        <w:rPr>
          <w:sz w:val="24"/>
          <w:szCs w:val="24"/>
        </w:rPr>
        <w:lastRenderedPageBreak/>
        <w:t xml:space="preserve">There is also vulnerability factors of not having a stable lifestyle, being in care and feeling neglected. This links back to the child vulnerability. When that child becomes old enough to have their own place, OCGs will take advantage of this and use the place as their own base in exchange. The young adult at this stage may not realise that they are a victim of cuckooing (Lee, 2022). </w:t>
      </w:r>
    </w:p>
    <w:p w:rsidR="00B25764" w:rsidRPr="00B25764" w:rsidRDefault="00B25764" w:rsidP="00B25764">
      <w:pPr>
        <w:spacing w:line="480" w:lineRule="auto"/>
        <w:jc w:val="both"/>
        <w:rPr>
          <w:sz w:val="24"/>
          <w:szCs w:val="24"/>
        </w:rPr>
      </w:pPr>
      <w:r w:rsidRPr="00B25764">
        <w:rPr>
          <w:sz w:val="24"/>
          <w:szCs w:val="24"/>
        </w:rPr>
        <w:t xml:space="preserve">The exploitation of cuckooing can also be a result of that victims disability or special needs. If the victim has these needs they may not fully understand what is going on and the consequences. However these persons can then still be convicted due to the role they are playing in assisting the OCG. Or in extreme circumstances they can end up killed (Day, 2019). </w:t>
      </w:r>
    </w:p>
    <w:p w:rsidR="00B25764" w:rsidRPr="00B25764" w:rsidRDefault="00B25764" w:rsidP="00B25764">
      <w:pPr>
        <w:spacing w:line="480" w:lineRule="auto"/>
        <w:jc w:val="both"/>
        <w:rPr>
          <w:sz w:val="24"/>
          <w:szCs w:val="24"/>
        </w:rPr>
      </w:pPr>
      <w:r w:rsidRPr="00B25764">
        <w:rPr>
          <w:sz w:val="24"/>
          <w:szCs w:val="24"/>
        </w:rPr>
        <w:t xml:space="preserve">The police service as well as partner agencies like social services, health and education have a duty to preserve the welfare of children in their area (HMIC, 2015). </w:t>
      </w:r>
    </w:p>
    <w:p w:rsidR="00B25764" w:rsidRPr="00B25764" w:rsidRDefault="00B25764" w:rsidP="00B25764">
      <w:pPr>
        <w:spacing w:line="480" w:lineRule="auto"/>
        <w:jc w:val="both"/>
        <w:rPr>
          <w:sz w:val="24"/>
          <w:szCs w:val="24"/>
        </w:rPr>
      </w:pPr>
      <w:r w:rsidRPr="00B25764">
        <w:rPr>
          <w:sz w:val="24"/>
          <w:szCs w:val="24"/>
        </w:rPr>
        <w:t>In regards to children being involved to county lines, it is often the case that the child is reported missing. A missing child with links to county lines would be risk assessed at high risk due to the threat of significant harm they can be subject to whilst missing. An officer should always be attached to the report and all enquiries should be explored. Referrals are made to the public protection units via a public protection notification. Also when the child is found, positive engagement with the child is key in building the intelligence of where they are going, who they are with and what they are doing. This will help finding the child for any future reports of them missing (Hub, 2018b).</w:t>
      </w:r>
    </w:p>
    <w:p w:rsidR="00B25764" w:rsidRPr="00B25764" w:rsidRDefault="00B25764" w:rsidP="00B25764">
      <w:pPr>
        <w:spacing w:line="480" w:lineRule="auto"/>
        <w:jc w:val="both"/>
        <w:rPr>
          <w:sz w:val="24"/>
          <w:szCs w:val="24"/>
        </w:rPr>
      </w:pPr>
      <w:r w:rsidRPr="00B25764">
        <w:rPr>
          <w:sz w:val="24"/>
          <w:szCs w:val="24"/>
        </w:rPr>
        <w:t xml:space="preserve">A Child Abduction Warning notice (CAWN) can be served on OCG individuals to stop them taking a child away in order to exploit them (Hub, 2018a). The police serve a CAWN on the person and should that person breach the conditions of the CAWN, they can be arrested under section 2 children abduction act 1984 (Legislation.gov, 2019). </w:t>
      </w:r>
    </w:p>
    <w:p w:rsidR="00B25764" w:rsidRPr="00B25764" w:rsidRDefault="00B25764" w:rsidP="00B25764">
      <w:pPr>
        <w:spacing w:line="480" w:lineRule="auto"/>
        <w:jc w:val="both"/>
        <w:rPr>
          <w:sz w:val="24"/>
          <w:szCs w:val="24"/>
        </w:rPr>
      </w:pPr>
      <w:r w:rsidRPr="00B25764">
        <w:rPr>
          <w:sz w:val="24"/>
          <w:szCs w:val="24"/>
        </w:rPr>
        <w:lastRenderedPageBreak/>
        <w:t xml:space="preserve">High visibility patrols, positive engagement and action is key in cracking down on victims of cuckooing. This helps to identify those vulnerable. A police watch can be set up in order for the home or premises be watched by police. Police patrols will be conducted and engagement with the victim is key in making sure no criminal activity is taking place (College of Policing, n.d.). However this can potentially put the victim in danger should the OCG believe that the victim has reported them. </w:t>
      </w:r>
    </w:p>
    <w:p w:rsidR="00B25764" w:rsidRPr="00B25764" w:rsidRDefault="00B25764" w:rsidP="00B25764">
      <w:pPr>
        <w:spacing w:line="480" w:lineRule="auto"/>
        <w:jc w:val="both"/>
        <w:rPr>
          <w:sz w:val="24"/>
          <w:szCs w:val="24"/>
        </w:rPr>
      </w:pPr>
      <w:r w:rsidRPr="00B25764">
        <w:rPr>
          <w:sz w:val="24"/>
          <w:szCs w:val="24"/>
        </w:rPr>
        <w:t xml:space="preserve">In conclusion, OCG’s exploit vulnerable victims to carry out dangerous jobs for them in order for there criminal activity to expand. Police are effective in identifying who are vulnerable to being exploited however more work needs to be done to prevent these people from being exploited and come in to any harm. There should be an increased focus on working with partner agencies like education and social services for safeguarding. </w:t>
      </w:r>
    </w:p>
    <w:p w:rsidR="00B25764" w:rsidRPr="001D394C" w:rsidRDefault="00B25764" w:rsidP="00B25764">
      <w:r>
        <w:t xml:space="preserve">Total 1100 </w:t>
      </w:r>
    </w:p>
    <w:p w:rsidR="00B25764" w:rsidRDefault="00B25764">
      <w:pPr>
        <w:rPr>
          <w:b/>
        </w:rPr>
      </w:pPr>
    </w:p>
    <w:p w:rsidR="00B25764" w:rsidRDefault="00B25764">
      <w:pPr>
        <w:rPr>
          <w:b/>
        </w:rPr>
      </w:pPr>
    </w:p>
    <w:p w:rsidR="00B25764" w:rsidRDefault="00B25764">
      <w:pPr>
        <w:rPr>
          <w:b/>
        </w:rPr>
      </w:pPr>
    </w:p>
    <w:p w:rsidR="00B25764" w:rsidRDefault="00B25764">
      <w:pPr>
        <w:rPr>
          <w:b/>
        </w:rPr>
      </w:pPr>
      <w:r>
        <w:rPr>
          <w:b/>
        </w:rPr>
        <w:t>Essay 3</w:t>
      </w:r>
    </w:p>
    <w:p w:rsidR="00B25764" w:rsidRPr="00F024EC" w:rsidRDefault="00B25764" w:rsidP="00B25764">
      <w:pPr>
        <w:spacing w:line="480" w:lineRule="auto"/>
        <w:jc w:val="both"/>
        <w:rPr>
          <w:rFonts w:cstheme="minorHAnsi"/>
          <w:sz w:val="24"/>
        </w:rPr>
      </w:pPr>
      <w:r w:rsidRPr="00F024EC">
        <w:rPr>
          <w:rFonts w:cstheme="minorHAnsi"/>
          <w:sz w:val="24"/>
        </w:rPr>
        <w:t>Once those convicted for serious and violent crimes are released back in to the community, measures are put in place in order to protect members of the public (College of Policing, n.d.). These offenders need to be risk assessed and monitored in order to prevent any harm coming to the public as if there are any failings in this, it can lead to drastic consequences. An example of this is the London Bridge attack in November 2019 (Weaver, 2021).</w:t>
      </w:r>
      <w:r>
        <w:rPr>
          <w:rFonts w:cstheme="minorHAnsi"/>
          <w:sz w:val="24"/>
        </w:rPr>
        <w:t xml:space="preserve"> Here is was deemed that due to failings in the MAPPA process, 2 people were killed in an act of terrorism, the offender of which was being monitored by police and probation (Weaver, 2021).</w:t>
      </w:r>
    </w:p>
    <w:p w:rsidR="00B25764" w:rsidRDefault="00B25764" w:rsidP="00B25764">
      <w:pPr>
        <w:spacing w:line="480" w:lineRule="auto"/>
        <w:jc w:val="both"/>
      </w:pPr>
    </w:p>
    <w:p w:rsidR="00B25764" w:rsidRDefault="00B25764" w:rsidP="00B25764">
      <w:pPr>
        <w:spacing w:line="480" w:lineRule="auto"/>
        <w:jc w:val="both"/>
        <w:rPr>
          <w:rFonts w:cstheme="minorHAnsi"/>
          <w:color w:val="1A1C20"/>
          <w:sz w:val="24"/>
          <w:szCs w:val="24"/>
          <w:shd w:val="clear" w:color="auto" w:fill="FFFFFF"/>
        </w:rPr>
      </w:pPr>
      <w:r w:rsidRPr="00F024EC">
        <w:rPr>
          <w:rFonts w:cstheme="minorHAnsi"/>
          <w:sz w:val="24"/>
          <w:szCs w:val="24"/>
        </w:rPr>
        <w:lastRenderedPageBreak/>
        <w:t xml:space="preserve">The management of </w:t>
      </w:r>
      <w:r>
        <w:rPr>
          <w:rFonts w:cstheme="minorHAnsi"/>
          <w:sz w:val="24"/>
          <w:szCs w:val="24"/>
        </w:rPr>
        <w:t>serious and violent crime</w:t>
      </w:r>
      <w:r w:rsidRPr="00F024EC">
        <w:rPr>
          <w:rFonts w:cstheme="minorHAnsi"/>
          <w:sz w:val="24"/>
          <w:szCs w:val="24"/>
        </w:rPr>
        <w:t xml:space="preserve"> offenders is dealt with via multi-agency protection arrangements also known as MAPPA (NACRO, n.d.). MAPPA’s role is</w:t>
      </w:r>
      <w:r>
        <w:rPr>
          <w:rFonts w:cstheme="minorHAnsi"/>
          <w:sz w:val="24"/>
          <w:szCs w:val="24"/>
        </w:rPr>
        <w:t xml:space="preserve"> to</w:t>
      </w:r>
      <w:r w:rsidRPr="00F024EC">
        <w:rPr>
          <w:rFonts w:cstheme="minorHAnsi"/>
          <w:sz w:val="24"/>
          <w:szCs w:val="24"/>
        </w:rPr>
        <w:t xml:space="preserve"> ‘</w:t>
      </w:r>
      <w:r w:rsidRPr="00F024EC">
        <w:rPr>
          <w:rFonts w:cstheme="minorHAnsi"/>
          <w:color w:val="1A1C20"/>
          <w:sz w:val="24"/>
          <w:szCs w:val="24"/>
          <w:shd w:val="clear" w:color="auto" w:fill="FFFFFF"/>
        </w:rPr>
        <w:t>assess and manage offenders’ and from that share the information that is necessary in order to place realistic plans in place in</w:t>
      </w:r>
      <w:r>
        <w:rPr>
          <w:rFonts w:cstheme="minorHAnsi"/>
          <w:color w:val="1A1C20"/>
          <w:sz w:val="24"/>
          <w:szCs w:val="24"/>
          <w:shd w:val="clear" w:color="auto" w:fill="FFFFFF"/>
        </w:rPr>
        <w:t xml:space="preserve"> order to safeguard the public </w:t>
      </w:r>
      <w:r w:rsidRPr="00F024EC">
        <w:rPr>
          <w:rFonts w:cstheme="minorHAnsi"/>
          <w:color w:val="1A1C20"/>
          <w:sz w:val="24"/>
          <w:szCs w:val="24"/>
          <w:shd w:val="clear" w:color="auto" w:fill="FFFFFF"/>
        </w:rPr>
        <w:t>(NACRO, n.d.)</w:t>
      </w:r>
      <w:r>
        <w:rPr>
          <w:rFonts w:cstheme="minorHAnsi"/>
          <w:color w:val="1A1C20"/>
          <w:sz w:val="24"/>
          <w:szCs w:val="24"/>
          <w:shd w:val="clear" w:color="auto" w:fill="FFFFFF"/>
        </w:rPr>
        <w:t>. The agencies involved in MAPPA include the police, probation and the prison service, who work in partnership to manage these offenders (NACRO, n.d.).</w:t>
      </w:r>
    </w:p>
    <w:p w:rsidR="00B25764" w:rsidRDefault="00B25764" w:rsidP="00B25764">
      <w:pPr>
        <w:spacing w:line="480" w:lineRule="auto"/>
        <w:jc w:val="both"/>
        <w:rPr>
          <w:rFonts w:cstheme="minorHAnsi"/>
          <w:color w:val="1A1C20"/>
          <w:sz w:val="24"/>
          <w:szCs w:val="24"/>
          <w:shd w:val="clear" w:color="auto" w:fill="FFFFFF"/>
        </w:rPr>
      </w:pPr>
    </w:p>
    <w:p w:rsidR="00B25764" w:rsidRDefault="00B25764" w:rsidP="00B25764">
      <w:pPr>
        <w:spacing w:line="480" w:lineRule="auto"/>
        <w:jc w:val="both"/>
        <w:rPr>
          <w:rFonts w:cstheme="minorHAnsi"/>
          <w:color w:val="1A1C20"/>
          <w:sz w:val="24"/>
          <w:szCs w:val="24"/>
          <w:shd w:val="clear" w:color="auto" w:fill="FFFFFF"/>
        </w:rPr>
      </w:pPr>
      <w:r>
        <w:rPr>
          <w:rFonts w:cstheme="minorHAnsi"/>
          <w:color w:val="1A1C20"/>
          <w:sz w:val="24"/>
          <w:szCs w:val="24"/>
          <w:shd w:val="clear" w:color="auto" w:fill="FFFFFF"/>
        </w:rPr>
        <w:t xml:space="preserve">The work of MAPPA is also to uphold the safety of the public in accordance with the Human Rights act 1998 articles 2 and 3 under the European Convention on Human Rights </w:t>
      </w:r>
      <w:r w:rsidRPr="00777288">
        <w:rPr>
          <w:rFonts w:cstheme="minorHAnsi"/>
          <w:color w:val="1A1C20"/>
          <w:sz w:val="24"/>
          <w:szCs w:val="24"/>
          <w:shd w:val="clear" w:color="auto" w:fill="FFFFFF"/>
        </w:rPr>
        <w:t>(College of Policing, 2018)</w:t>
      </w:r>
      <w:r>
        <w:rPr>
          <w:rFonts w:cstheme="minorHAnsi"/>
          <w:color w:val="1A1C20"/>
          <w:sz w:val="24"/>
          <w:szCs w:val="24"/>
          <w:shd w:val="clear" w:color="auto" w:fill="FFFFFF"/>
        </w:rPr>
        <w:t>.</w:t>
      </w:r>
    </w:p>
    <w:p w:rsidR="00B25764" w:rsidRDefault="00B25764" w:rsidP="00B25764">
      <w:pPr>
        <w:spacing w:line="480" w:lineRule="auto"/>
        <w:jc w:val="both"/>
        <w:rPr>
          <w:rFonts w:cstheme="minorHAnsi"/>
          <w:color w:val="1A1C20"/>
          <w:sz w:val="24"/>
          <w:szCs w:val="24"/>
          <w:shd w:val="clear" w:color="auto" w:fill="FFFFFF"/>
        </w:rPr>
      </w:pPr>
      <w:r>
        <w:rPr>
          <w:rFonts w:cstheme="minorHAnsi"/>
          <w:color w:val="1A1C20"/>
          <w:sz w:val="24"/>
          <w:szCs w:val="24"/>
          <w:shd w:val="clear" w:color="auto" w:fill="FFFFFF"/>
        </w:rPr>
        <w:t xml:space="preserve">The offenders managed under MAPPA include registered sex offenders, violent offenders and dangerous offenders. To be registered as a sex offender, the offenders details are placed on a register  if they have either been convicted, cautioned or released from prison following a sexual offence against either and adult or child </w:t>
      </w:r>
      <w:r w:rsidRPr="004B3635">
        <w:rPr>
          <w:rFonts w:cstheme="minorHAnsi"/>
          <w:color w:val="1A1C20"/>
          <w:sz w:val="24"/>
          <w:szCs w:val="24"/>
          <w:shd w:val="clear" w:color="auto" w:fill="FFFFFF"/>
        </w:rPr>
        <w:t>(Laver, 2016)</w:t>
      </w:r>
      <w:r>
        <w:rPr>
          <w:rFonts w:cstheme="minorHAnsi"/>
          <w:color w:val="1A1C20"/>
          <w:sz w:val="24"/>
          <w:szCs w:val="24"/>
          <w:shd w:val="clear" w:color="auto" w:fill="FFFFFF"/>
        </w:rPr>
        <w:t xml:space="preserve">. This covers a range of offences under the sexual offences act 2003 </w:t>
      </w:r>
      <w:r w:rsidRPr="000C57C8">
        <w:rPr>
          <w:rFonts w:cstheme="minorHAnsi"/>
          <w:color w:val="1A1C20"/>
          <w:sz w:val="24"/>
          <w:szCs w:val="24"/>
          <w:shd w:val="clear" w:color="auto" w:fill="FFFFFF"/>
        </w:rPr>
        <w:t>(Gov.uk, 2012)</w:t>
      </w:r>
      <w:r>
        <w:rPr>
          <w:rFonts w:cstheme="minorHAnsi"/>
          <w:color w:val="1A1C20"/>
          <w:sz w:val="24"/>
          <w:szCs w:val="24"/>
          <w:shd w:val="clear" w:color="auto" w:fill="FFFFFF"/>
        </w:rPr>
        <w:t xml:space="preserve"> from exposure </w:t>
      </w:r>
      <w:r w:rsidRPr="004B3635">
        <w:rPr>
          <w:rFonts w:cstheme="minorHAnsi"/>
          <w:color w:val="1A1C20"/>
          <w:sz w:val="24"/>
          <w:szCs w:val="24"/>
          <w:shd w:val="clear" w:color="auto" w:fill="FFFFFF"/>
        </w:rPr>
        <w:t>(Legislation.gov, 2012)</w:t>
      </w:r>
      <w:r>
        <w:rPr>
          <w:rFonts w:cstheme="minorHAnsi"/>
          <w:color w:val="1A1C20"/>
          <w:sz w:val="24"/>
          <w:szCs w:val="24"/>
          <w:shd w:val="clear" w:color="auto" w:fill="FFFFFF"/>
        </w:rPr>
        <w:t xml:space="preserve"> to rape </w:t>
      </w:r>
      <w:r w:rsidRPr="004B3635">
        <w:rPr>
          <w:rFonts w:cstheme="minorHAnsi"/>
          <w:color w:val="1A1C20"/>
          <w:sz w:val="24"/>
          <w:szCs w:val="24"/>
          <w:shd w:val="clear" w:color="auto" w:fill="FFFFFF"/>
        </w:rPr>
        <w:t>(legislation.gov.uk, 2012)</w:t>
      </w:r>
      <w:r>
        <w:rPr>
          <w:rFonts w:cstheme="minorHAnsi"/>
          <w:color w:val="1A1C20"/>
          <w:sz w:val="24"/>
          <w:szCs w:val="24"/>
          <w:shd w:val="clear" w:color="auto" w:fill="FFFFFF"/>
        </w:rPr>
        <w:t xml:space="preserve">. If a sex offender does not register with the police this is a criminal offence, holding a five year prison term (Laver, 2016). </w:t>
      </w:r>
    </w:p>
    <w:p w:rsidR="00B25764" w:rsidRDefault="00B25764" w:rsidP="00B25764">
      <w:pPr>
        <w:spacing w:line="480" w:lineRule="auto"/>
        <w:jc w:val="both"/>
        <w:rPr>
          <w:rFonts w:cstheme="minorHAnsi"/>
          <w:color w:val="1A1C20"/>
          <w:sz w:val="24"/>
          <w:szCs w:val="24"/>
          <w:shd w:val="clear" w:color="auto" w:fill="FFFFFF"/>
        </w:rPr>
      </w:pPr>
      <w:r>
        <w:rPr>
          <w:rFonts w:cstheme="minorHAnsi"/>
          <w:color w:val="1A1C20"/>
          <w:sz w:val="24"/>
          <w:szCs w:val="24"/>
          <w:shd w:val="clear" w:color="auto" w:fill="FFFFFF"/>
        </w:rPr>
        <w:t xml:space="preserve">In order to manage these offenders, an assessment is carried out based on the risk the offenders are the public upon release. From this risk they are then placed in to 3 categories. Category one offenders are those that pose the biggest risk to the public. Sexual offenders who have been added to the sex offenders register have to notify police of their details and under the sexual offences act 2003 (NACRO, n.d.). Category two include sexual offenders who have not been added to the sex offenders register. As well as violent offenders who have </w:t>
      </w:r>
      <w:r>
        <w:rPr>
          <w:rFonts w:cstheme="minorHAnsi"/>
          <w:color w:val="1A1C20"/>
          <w:sz w:val="24"/>
          <w:szCs w:val="24"/>
          <w:shd w:val="clear" w:color="auto" w:fill="FFFFFF"/>
        </w:rPr>
        <w:lastRenderedPageBreak/>
        <w:t>served 12 plus months in prison or as part of a detention in a hospital who have been deemed fit to live in the community. However they are under the supervision of the probation service (NACRO, n.d.). Category three are all other dangerous offenders who have a history of committing offences and following the result of risk assessment, they are a risk of severe threat to the public (NACRO, n.d.).</w:t>
      </w:r>
    </w:p>
    <w:p w:rsidR="00B25764" w:rsidRDefault="00B25764" w:rsidP="00B25764">
      <w:pPr>
        <w:spacing w:line="480" w:lineRule="auto"/>
        <w:jc w:val="both"/>
        <w:rPr>
          <w:rFonts w:cstheme="minorHAnsi"/>
          <w:color w:val="1A1C20"/>
          <w:sz w:val="24"/>
          <w:szCs w:val="24"/>
          <w:shd w:val="clear" w:color="auto" w:fill="FFFFFF"/>
        </w:rPr>
      </w:pPr>
      <w:r>
        <w:rPr>
          <w:rFonts w:cstheme="minorHAnsi"/>
          <w:color w:val="1A1C20"/>
          <w:sz w:val="24"/>
          <w:szCs w:val="24"/>
          <w:shd w:val="clear" w:color="auto" w:fill="FFFFFF"/>
        </w:rPr>
        <w:t xml:space="preserve">Offenders under MAPPA can then be subject to conditions or programmes set out under their risk management plan. These conditions may be restricting by not permitting them to go to certain area i.e. schools, parks or making contact with certain people. If applicable and thought to be of benefit to offender, they may be placed on rehabilitation programmes. These facilitate the offender with the appropriate behavioural programme and development schemes i.e. drug treatment (Bryant S, 2015). </w:t>
      </w:r>
    </w:p>
    <w:p w:rsidR="00B25764" w:rsidRDefault="00B25764" w:rsidP="00B25764">
      <w:pPr>
        <w:spacing w:line="480" w:lineRule="auto"/>
        <w:jc w:val="both"/>
        <w:rPr>
          <w:rFonts w:cstheme="minorHAnsi"/>
          <w:color w:val="1A1C20"/>
          <w:sz w:val="24"/>
          <w:szCs w:val="24"/>
          <w:shd w:val="clear" w:color="auto" w:fill="FFFFFF"/>
        </w:rPr>
      </w:pPr>
      <w:r>
        <w:rPr>
          <w:rFonts w:cstheme="minorHAnsi"/>
          <w:color w:val="1A1C20"/>
          <w:sz w:val="24"/>
          <w:szCs w:val="24"/>
          <w:shd w:val="clear" w:color="auto" w:fill="FFFFFF"/>
        </w:rPr>
        <w:t xml:space="preserve">However, the effectiveness of these sort of conditions or programmes is shown in the rates of re-offending. A study conducted by Stephanie Bryant published in 2015 shows that between 2000 and 2010, ‘the percentage of new MAPPA eligible offenders who reoffended within 1 year of their disposal or release from prison’,  steadily declined from 2000 (pre-MAPPA) at 30% to 26% in 2010. </w:t>
      </w:r>
    </w:p>
    <w:p w:rsidR="00B25764" w:rsidRDefault="00B25764" w:rsidP="00B25764">
      <w:pPr>
        <w:spacing w:line="480" w:lineRule="auto"/>
        <w:jc w:val="both"/>
        <w:rPr>
          <w:rFonts w:cstheme="minorHAnsi"/>
          <w:color w:val="1A1C20"/>
          <w:sz w:val="24"/>
          <w:szCs w:val="24"/>
          <w:shd w:val="clear" w:color="auto" w:fill="FFFFFF"/>
        </w:rPr>
      </w:pPr>
      <w:r>
        <w:rPr>
          <w:rFonts w:cstheme="minorHAnsi"/>
          <w:color w:val="1A1C20"/>
          <w:sz w:val="24"/>
          <w:szCs w:val="24"/>
          <w:shd w:val="clear" w:color="auto" w:fill="FFFFFF"/>
        </w:rPr>
        <w:t xml:space="preserve">Although this is only a small decrease, it is showing that re-offending with MAPPA offenders is declining. There is the potential that with more partner agency work between all agencies involved in MAPPA, that the decrease in MAPPA offenders re-offending may become better. </w:t>
      </w:r>
    </w:p>
    <w:p w:rsidR="00B25764" w:rsidRPr="001D15CC" w:rsidRDefault="00B25764" w:rsidP="00B25764">
      <w:pPr>
        <w:spacing w:line="480" w:lineRule="auto"/>
        <w:jc w:val="both"/>
        <w:rPr>
          <w:rFonts w:cstheme="minorHAnsi"/>
          <w:color w:val="1A1C20"/>
          <w:sz w:val="24"/>
          <w:szCs w:val="24"/>
          <w:shd w:val="clear" w:color="auto" w:fill="FFFFFF"/>
        </w:rPr>
      </w:pPr>
      <w:r w:rsidRPr="001D15CC">
        <w:rPr>
          <w:rFonts w:cstheme="minorHAnsi"/>
          <w:color w:val="1A1C20"/>
          <w:sz w:val="24"/>
          <w:szCs w:val="24"/>
          <w:shd w:val="clear" w:color="auto" w:fill="FFFFFF"/>
        </w:rPr>
        <w:t xml:space="preserve">Once Category 1 sex offenders are no longer under the supervision of the probation service, the police forces take over the role of their management. Should the officer be witness to any breaches, this must be reported and dealt with appropriately by providing a statement. (College of Policing, 2017). </w:t>
      </w:r>
    </w:p>
    <w:p w:rsidR="00B25764" w:rsidRPr="00A154DD" w:rsidRDefault="00B25764" w:rsidP="00B25764">
      <w:pPr>
        <w:spacing w:line="480" w:lineRule="auto"/>
        <w:jc w:val="both"/>
        <w:rPr>
          <w:rFonts w:cstheme="minorHAnsi"/>
          <w:color w:val="1A1C20"/>
          <w:sz w:val="24"/>
          <w:szCs w:val="24"/>
          <w:highlight w:val="yellow"/>
          <w:shd w:val="clear" w:color="auto" w:fill="FFFFFF"/>
        </w:rPr>
      </w:pPr>
    </w:p>
    <w:p w:rsidR="00B25764" w:rsidRDefault="00B25764" w:rsidP="00B25764">
      <w:pPr>
        <w:spacing w:line="480" w:lineRule="auto"/>
        <w:jc w:val="both"/>
        <w:rPr>
          <w:rFonts w:cstheme="minorHAnsi"/>
          <w:color w:val="1A1C20"/>
          <w:sz w:val="24"/>
          <w:szCs w:val="24"/>
          <w:shd w:val="clear" w:color="auto" w:fill="FFFFFF"/>
        </w:rPr>
      </w:pPr>
      <w:r>
        <w:rPr>
          <w:rFonts w:cstheme="minorHAnsi"/>
          <w:color w:val="1A1C20"/>
          <w:sz w:val="24"/>
          <w:szCs w:val="24"/>
          <w:shd w:val="clear" w:color="auto" w:fill="FFFFFF"/>
        </w:rPr>
        <w:t xml:space="preserve">The policing role in investigating public protection incidents must originate from positive action from the first reported incident. </w:t>
      </w:r>
    </w:p>
    <w:p w:rsidR="00B25764" w:rsidRDefault="00B25764" w:rsidP="00B25764">
      <w:pPr>
        <w:spacing w:line="480" w:lineRule="auto"/>
        <w:jc w:val="both"/>
        <w:rPr>
          <w:rFonts w:cstheme="minorHAnsi"/>
          <w:color w:val="222222"/>
          <w:sz w:val="24"/>
          <w:shd w:val="clear" w:color="auto" w:fill="FFFFFF"/>
        </w:rPr>
      </w:pPr>
      <w:r>
        <w:rPr>
          <w:rFonts w:cstheme="minorHAnsi"/>
          <w:color w:val="1A1C20"/>
          <w:sz w:val="24"/>
          <w:szCs w:val="24"/>
          <w:shd w:val="clear" w:color="auto" w:fill="FFFFFF"/>
        </w:rPr>
        <w:t xml:space="preserve">Public protection incidents include serious violent offences, such as this resulting in injuries leading to GBH offences i.e. broken bone, disfigurement, acid attacks </w:t>
      </w:r>
      <w:r w:rsidRPr="00A820FA">
        <w:rPr>
          <w:rFonts w:cstheme="minorHAnsi"/>
          <w:color w:val="1A1C20"/>
          <w:sz w:val="24"/>
          <w:szCs w:val="24"/>
          <w:shd w:val="clear" w:color="auto" w:fill="FFFFFF"/>
        </w:rPr>
        <w:t>(Pellman, 2021)</w:t>
      </w:r>
      <w:r>
        <w:rPr>
          <w:rFonts w:cstheme="minorHAnsi"/>
          <w:color w:val="1A1C20"/>
          <w:sz w:val="24"/>
          <w:szCs w:val="24"/>
          <w:shd w:val="clear" w:color="auto" w:fill="FFFFFF"/>
        </w:rPr>
        <w:t xml:space="preserve">.  Officers first on scene of such incidents should abide by golden hour </w:t>
      </w:r>
      <w:r w:rsidRPr="00031DA3">
        <w:rPr>
          <w:rFonts w:cstheme="minorHAnsi"/>
          <w:color w:val="1A1C20"/>
          <w:sz w:val="24"/>
          <w:szCs w:val="24"/>
          <w:shd w:val="clear" w:color="auto" w:fill="FFFFFF"/>
        </w:rPr>
        <w:t>(Bryant and Bryant, 2021, pp.235–240)</w:t>
      </w:r>
      <w:r>
        <w:rPr>
          <w:rFonts w:cstheme="minorHAnsi"/>
          <w:color w:val="1A1C20"/>
          <w:sz w:val="24"/>
          <w:szCs w:val="24"/>
          <w:shd w:val="clear" w:color="auto" w:fill="FFFFFF"/>
        </w:rPr>
        <w:t xml:space="preserve"> principles in order to obtain the best evidence available. An early established crime scene will protect the evidence available. Trace evidence such as hair fibres, </w:t>
      </w:r>
      <w:r w:rsidRPr="00F14396">
        <w:rPr>
          <w:rFonts w:cstheme="minorHAnsi"/>
          <w:color w:val="1A1C20"/>
          <w:sz w:val="24"/>
          <w:shd w:val="clear" w:color="auto" w:fill="FFFFFF"/>
        </w:rPr>
        <w:t xml:space="preserve">skin cells and saliva will then be able to be picked up by Crime scene investigator officers upon arrival. This is important as DNA can place people at the location should they deny being there and potentially the offence alleged against them. DNA can either prove or disprove a persons attendance and involvement of a crime </w:t>
      </w:r>
      <w:r w:rsidRPr="00F14396">
        <w:rPr>
          <w:rFonts w:cstheme="minorHAnsi"/>
          <w:color w:val="222222"/>
          <w:sz w:val="24"/>
          <w:shd w:val="clear" w:color="auto" w:fill="FFFFFF"/>
        </w:rPr>
        <w:t>Bond, (J.W. and Hammond, C., 2008).</w:t>
      </w:r>
    </w:p>
    <w:p w:rsidR="00B25764" w:rsidRDefault="00B25764" w:rsidP="00B25764">
      <w:pPr>
        <w:spacing w:line="480" w:lineRule="auto"/>
        <w:jc w:val="both"/>
        <w:rPr>
          <w:rFonts w:cstheme="minorHAnsi"/>
          <w:color w:val="222222"/>
          <w:sz w:val="24"/>
          <w:shd w:val="clear" w:color="auto" w:fill="FFFFFF"/>
        </w:rPr>
      </w:pPr>
      <w:r>
        <w:rPr>
          <w:rFonts w:cstheme="minorHAnsi"/>
          <w:color w:val="222222"/>
          <w:sz w:val="24"/>
          <w:shd w:val="clear" w:color="auto" w:fill="FFFFFF"/>
        </w:rPr>
        <w:t xml:space="preserve">There are golden hour principles for every police investigation. When a sexual assault of all severities are reported, a specially trained sexual offences liaison officer (SOLO) attends </w:t>
      </w:r>
      <w:r w:rsidRPr="000F64CC">
        <w:rPr>
          <w:rFonts w:cstheme="minorHAnsi"/>
          <w:color w:val="222222"/>
          <w:sz w:val="24"/>
          <w:shd w:val="clear" w:color="auto" w:fill="FFFFFF"/>
        </w:rPr>
        <w:t>(College of Policing, n.d.)</w:t>
      </w:r>
      <w:r>
        <w:rPr>
          <w:rFonts w:cstheme="minorHAnsi"/>
          <w:color w:val="222222"/>
          <w:sz w:val="24"/>
          <w:shd w:val="clear" w:color="auto" w:fill="FFFFFF"/>
        </w:rPr>
        <w:t xml:space="preserve">. </w:t>
      </w:r>
    </w:p>
    <w:p w:rsidR="00B25764" w:rsidRDefault="00B25764" w:rsidP="00B25764">
      <w:pPr>
        <w:spacing w:line="480" w:lineRule="auto"/>
        <w:jc w:val="both"/>
        <w:rPr>
          <w:rFonts w:cstheme="minorHAnsi"/>
          <w:color w:val="222222"/>
          <w:sz w:val="24"/>
          <w:shd w:val="clear" w:color="auto" w:fill="FFFFFF"/>
        </w:rPr>
      </w:pPr>
      <w:r>
        <w:rPr>
          <w:rFonts w:cstheme="minorHAnsi"/>
          <w:color w:val="222222"/>
          <w:sz w:val="24"/>
          <w:shd w:val="clear" w:color="auto" w:fill="FFFFFF"/>
        </w:rPr>
        <w:t xml:space="preserve">A SOLO will gather the evidence, interview victims and witnesses and be the one officer who liaises with the victim. This can prevent the victim from being contacted by loads of police officers which can be stressful, especially after being the victim of a serious crime (College of Policing, n.d). </w:t>
      </w:r>
    </w:p>
    <w:p w:rsidR="00B25764" w:rsidRDefault="00B25764" w:rsidP="00B25764">
      <w:pPr>
        <w:spacing w:line="480" w:lineRule="auto"/>
        <w:jc w:val="both"/>
        <w:rPr>
          <w:rFonts w:cstheme="minorHAnsi"/>
          <w:color w:val="222222"/>
          <w:sz w:val="24"/>
          <w:shd w:val="clear" w:color="auto" w:fill="FFFFFF"/>
        </w:rPr>
      </w:pPr>
      <w:r>
        <w:rPr>
          <w:rFonts w:cstheme="minorHAnsi"/>
          <w:color w:val="222222"/>
          <w:sz w:val="24"/>
          <w:shd w:val="clear" w:color="auto" w:fill="FFFFFF"/>
        </w:rPr>
        <w:t xml:space="preserve">When those violent and sexual offences are committed and it is domestic related, police forces are trained to ask the relevant questions that facilitate the investigation and safeguard the victim </w:t>
      </w:r>
      <w:r w:rsidRPr="009026D5">
        <w:rPr>
          <w:rFonts w:cstheme="minorHAnsi"/>
          <w:color w:val="222222"/>
          <w:sz w:val="24"/>
          <w:shd w:val="clear" w:color="auto" w:fill="FFFFFF"/>
        </w:rPr>
        <w:t>(Turner, Medina and Brown, 2019)</w:t>
      </w:r>
      <w:r>
        <w:rPr>
          <w:rFonts w:cstheme="minorHAnsi"/>
          <w:color w:val="222222"/>
          <w:sz w:val="24"/>
          <w:shd w:val="clear" w:color="auto" w:fill="FFFFFF"/>
        </w:rPr>
        <w:t xml:space="preserve">. This is another way of identifying risk in order </w:t>
      </w:r>
      <w:r>
        <w:rPr>
          <w:rFonts w:cstheme="minorHAnsi"/>
          <w:color w:val="222222"/>
          <w:sz w:val="24"/>
          <w:shd w:val="clear" w:color="auto" w:fill="FFFFFF"/>
        </w:rPr>
        <w:lastRenderedPageBreak/>
        <w:t xml:space="preserve">to manage it. The questions can be found on a DASH (Domestic abuse, stalking and harassment) questionnaire (Richards, 2009). </w:t>
      </w:r>
    </w:p>
    <w:p w:rsidR="00B25764" w:rsidRPr="003E30B2" w:rsidRDefault="00B25764" w:rsidP="00B25764">
      <w:pPr>
        <w:spacing w:line="480" w:lineRule="auto"/>
        <w:jc w:val="both"/>
        <w:rPr>
          <w:rFonts w:cstheme="minorHAnsi"/>
          <w:color w:val="1A1C20"/>
          <w:sz w:val="24"/>
          <w:shd w:val="clear" w:color="auto" w:fill="FFFFFF"/>
        </w:rPr>
      </w:pPr>
      <w:r>
        <w:rPr>
          <w:rFonts w:cstheme="minorHAnsi"/>
          <w:color w:val="222222"/>
          <w:sz w:val="24"/>
          <w:shd w:val="clear" w:color="auto" w:fill="FFFFFF"/>
        </w:rPr>
        <w:t xml:space="preserve">It is important that once the victims of such offences are safeguarded, a continued support from police must be established whilst the investigation and court process goes on. The </w:t>
      </w:r>
      <w:r w:rsidRPr="003E30B2">
        <w:rPr>
          <w:rFonts w:cstheme="minorHAnsi"/>
          <w:color w:val="222222"/>
          <w:sz w:val="24"/>
          <w:shd w:val="clear" w:color="auto" w:fill="FFFFFF"/>
        </w:rPr>
        <w:t>Victims Code sets out the standards that victims should receive from the justice system (Basia Spalek, 2017).</w:t>
      </w:r>
    </w:p>
    <w:p w:rsidR="00B25764" w:rsidRPr="003E30B2" w:rsidRDefault="00B25764" w:rsidP="00B25764">
      <w:pPr>
        <w:spacing w:line="480" w:lineRule="auto"/>
        <w:jc w:val="both"/>
        <w:rPr>
          <w:rFonts w:cstheme="minorHAnsi"/>
          <w:color w:val="1A1C20"/>
          <w:sz w:val="24"/>
          <w:shd w:val="clear" w:color="auto" w:fill="FFFFFF"/>
        </w:rPr>
      </w:pPr>
    </w:p>
    <w:p w:rsidR="00B25764" w:rsidRPr="003E30B2" w:rsidRDefault="00B25764" w:rsidP="00B25764">
      <w:pPr>
        <w:spacing w:line="480" w:lineRule="auto"/>
        <w:jc w:val="both"/>
        <w:rPr>
          <w:sz w:val="24"/>
        </w:rPr>
      </w:pPr>
      <w:r w:rsidRPr="003E30B2">
        <w:rPr>
          <w:sz w:val="24"/>
        </w:rPr>
        <w:t xml:space="preserve">In conclusion, the police have strategies in place to investigate public protection incidents and safeguard the associated victims. </w:t>
      </w:r>
      <w:r>
        <w:rPr>
          <w:sz w:val="24"/>
        </w:rPr>
        <w:t xml:space="preserve">The role of the police doesn’t only now include, investigating crime but also ensuring sufficient safeguarding of the public is in order </w:t>
      </w:r>
      <w:r w:rsidRPr="001D15CC">
        <w:rPr>
          <w:sz w:val="24"/>
        </w:rPr>
        <w:t>(Charman, 2018)</w:t>
      </w:r>
      <w:r>
        <w:rPr>
          <w:sz w:val="24"/>
        </w:rPr>
        <w:t xml:space="preserve">. </w:t>
      </w:r>
    </w:p>
    <w:p w:rsidR="00B25764" w:rsidRDefault="00B25764">
      <w:pPr>
        <w:rPr>
          <w:b/>
        </w:rPr>
      </w:pPr>
      <w:r>
        <w:rPr>
          <w:b/>
        </w:rPr>
        <w:t>Total 1098</w:t>
      </w:r>
    </w:p>
    <w:p w:rsidR="00B25764" w:rsidRDefault="00B25764">
      <w:pPr>
        <w:rPr>
          <w:b/>
        </w:rPr>
      </w:pPr>
    </w:p>
    <w:p w:rsidR="00B25764" w:rsidRDefault="00B25764">
      <w:pPr>
        <w:rPr>
          <w:b/>
        </w:rPr>
      </w:pPr>
      <w:r>
        <w:rPr>
          <w:b/>
        </w:rPr>
        <w:t xml:space="preserve">Essay 4 </w:t>
      </w:r>
    </w:p>
    <w:p w:rsidR="00B25764" w:rsidRDefault="00B25764" w:rsidP="00B25764"/>
    <w:p w:rsidR="00B25764" w:rsidRPr="007F3750" w:rsidRDefault="00B25764" w:rsidP="00B25764">
      <w:pPr>
        <w:spacing w:line="480" w:lineRule="auto"/>
        <w:jc w:val="both"/>
        <w:rPr>
          <w:sz w:val="24"/>
          <w:szCs w:val="24"/>
        </w:rPr>
      </w:pPr>
      <w:r w:rsidRPr="007F3750">
        <w:rPr>
          <w:sz w:val="24"/>
          <w:szCs w:val="24"/>
        </w:rPr>
        <w:t xml:space="preserve">A positive early development stage of a child’s life is important with providing the child with a positive start in life. This can then lead to a healthy and fulfilled adult life. This positive start normally comes from supportive and constructive parenting. A lack of this type of parenting has been shown to lead to ‘adult criminality’ (Farrington,2011). </w:t>
      </w:r>
    </w:p>
    <w:p w:rsidR="00B25764" w:rsidRPr="007F3750" w:rsidRDefault="00B25764" w:rsidP="00B25764">
      <w:pPr>
        <w:spacing w:line="480" w:lineRule="auto"/>
        <w:jc w:val="both"/>
        <w:rPr>
          <w:sz w:val="24"/>
          <w:szCs w:val="24"/>
        </w:rPr>
      </w:pPr>
      <w:r w:rsidRPr="007F3750">
        <w:rPr>
          <w:sz w:val="24"/>
          <w:szCs w:val="24"/>
        </w:rPr>
        <w:t xml:space="preserve">Unfortunately this sort of parenting can be what young offenders have experienced in their early development stages. The term young offender accounts for any person ‘aged between ten and seventeen who has committed an offence’ (Trevelyan, n.d.). The age of ten is when </w:t>
      </w:r>
      <w:r w:rsidRPr="007F3750">
        <w:rPr>
          <w:sz w:val="24"/>
          <w:szCs w:val="24"/>
        </w:rPr>
        <w:lastRenderedPageBreak/>
        <w:t>an individual becomes old enough to take criminal responsibility (GOV.UK, 2011). At the age of eighteen, an individual is classed as an adult (Errington, 2018).</w:t>
      </w:r>
    </w:p>
    <w:p w:rsidR="00B25764" w:rsidRPr="007F3750" w:rsidRDefault="00B25764" w:rsidP="00B25764">
      <w:pPr>
        <w:spacing w:line="480" w:lineRule="auto"/>
        <w:jc w:val="both"/>
        <w:rPr>
          <w:rFonts w:cstheme="minorHAnsi"/>
          <w:bCs/>
          <w:sz w:val="24"/>
          <w:szCs w:val="24"/>
        </w:rPr>
      </w:pPr>
      <w:r w:rsidRPr="007F3750">
        <w:rPr>
          <w:rFonts w:cstheme="minorHAnsi"/>
          <w:sz w:val="24"/>
          <w:szCs w:val="24"/>
        </w:rPr>
        <w:t>There are studies that show that those young offenders entering gang-culture are more likely to if their peers and role models are also involved in gang- culture. Rebecca P. Ang’s article titled ‘</w:t>
      </w:r>
      <w:r w:rsidRPr="007F3750">
        <w:rPr>
          <w:rFonts w:cstheme="minorHAnsi"/>
          <w:bCs/>
          <w:sz w:val="24"/>
          <w:szCs w:val="24"/>
        </w:rPr>
        <w:t xml:space="preserve">Gang affiliation, aggression, and violent offending in a sample of youth offenders’ has highlighted these studies. </w:t>
      </w:r>
    </w:p>
    <w:p w:rsidR="00B25764" w:rsidRPr="007F3750" w:rsidRDefault="00B25764" w:rsidP="00B25764">
      <w:pPr>
        <w:spacing w:line="480" w:lineRule="auto"/>
        <w:jc w:val="both"/>
        <w:rPr>
          <w:rFonts w:cstheme="minorHAnsi"/>
          <w:bCs/>
          <w:sz w:val="24"/>
          <w:szCs w:val="24"/>
        </w:rPr>
      </w:pPr>
      <w:r w:rsidRPr="007F3750">
        <w:rPr>
          <w:rFonts w:cstheme="minorHAnsi"/>
          <w:bCs/>
          <w:sz w:val="24"/>
          <w:szCs w:val="24"/>
        </w:rPr>
        <w:t xml:space="preserve">It is important that those youths are intercepted before becoming too involved in the gang culture. This is where early intervention comes in. </w:t>
      </w: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bCs/>
          <w:sz w:val="24"/>
          <w:szCs w:val="24"/>
        </w:rPr>
        <w:t>The earlier in the youth’s life where the intervention occurs, the better. This way the youth’s attraction in to gang’s will be prevented. It also enables the youth to not associate with gang members at all or not as closely as if they would should they not have been intercepted by early intervention teams and organisations (Youth.gov, 2000). Early intervention in youths also decreases the ‘</w:t>
      </w:r>
      <w:r w:rsidRPr="007F3750">
        <w:rPr>
          <w:rFonts w:cstheme="minorHAnsi"/>
          <w:sz w:val="24"/>
          <w:szCs w:val="24"/>
          <w:shd w:val="clear" w:color="auto" w:fill="FFFFFF"/>
        </w:rPr>
        <w:t xml:space="preserve"> rates of recidivism by a significant 16 percent’ (Farrington, Loeber and Howell, 2012). </w:t>
      </w:r>
    </w:p>
    <w:p w:rsidR="00B25764" w:rsidRPr="007F3750" w:rsidRDefault="00B25764" w:rsidP="00B25764">
      <w:pPr>
        <w:spacing w:line="480" w:lineRule="auto"/>
        <w:jc w:val="both"/>
        <w:rPr>
          <w:rFonts w:cstheme="minorHAnsi"/>
          <w:sz w:val="24"/>
          <w:szCs w:val="24"/>
          <w:shd w:val="clear" w:color="auto" w:fill="FFFFFF"/>
        </w:rPr>
      </w:pP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t>In 2018, a scheme was launched by the home secretary which provided ‘£22 million to early intervention programmes’ (Home Office, 2018). This is part of the police and crime commissioners (PCC) strategy to tackle violent crimes and the involvement of young people in these crimes. The perspective of this scheme is ‘robust policing’ as well as multi-agency partnership with agencies like health care, education and social services  (Home Office, 2018).</w:t>
      </w: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t xml:space="preserve">This scheme has been described as ‘a success’ by The Shewsy in Liverpool who received funding through this scheme.  They have been able to continue their work with young children </w:t>
      </w:r>
      <w:r w:rsidRPr="007F3750">
        <w:rPr>
          <w:rFonts w:cstheme="minorHAnsi"/>
          <w:sz w:val="24"/>
          <w:szCs w:val="24"/>
          <w:shd w:val="clear" w:color="auto" w:fill="FFFFFF"/>
        </w:rPr>
        <w:lastRenderedPageBreak/>
        <w:t xml:space="preserve">in one of the most deprived areas of the UK. They have been able to work via an ‘informal education’ with children who would be attracted in to a life of crime and gang culture (The Shewsy, n.d.).  </w:t>
      </w:r>
    </w:p>
    <w:p w:rsidR="00B25764" w:rsidRPr="007F3750" w:rsidRDefault="00B25764" w:rsidP="00B25764">
      <w:pPr>
        <w:spacing w:line="480" w:lineRule="auto"/>
        <w:jc w:val="both"/>
        <w:rPr>
          <w:rFonts w:cstheme="minorHAnsi"/>
          <w:sz w:val="24"/>
          <w:szCs w:val="24"/>
          <w:shd w:val="clear" w:color="auto" w:fill="FFFFFF"/>
        </w:rPr>
      </w:pP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t xml:space="preserve">The involvement of the PCC in to the reduction of early intervention shows that gang culture is a problem nationwide. </w:t>
      </w:r>
    </w:p>
    <w:p w:rsidR="00B25764" w:rsidRPr="007F3750" w:rsidRDefault="00B25764" w:rsidP="00B25764">
      <w:pPr>
        <w:spacing w:line="480" w:lineRule="auto"/>
        <w:jc w:val="both"/>
        <w:rPr>
          <w:rFonts w:cstheme="minorHAnsi"/>
          <w:sz w:val="24"/>
          <w:szCs w:val="24"/>
          <w:shd w:val="clear" w:color="auto" w:fill="FFFFFF"/>
        </w:rPr>
      </w:pP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t xml:space="preserve">The PCC of Cambridgeshire and Peterborough has a view of dropping the rates of crime by introducing early intervention of online programmes (PCC of Cambridgeshire police, 2021). The programmes are going to be dictated by ‘alcohol and substance abuse, domestic abuse, anger management and help to access education and employment’ (PCC of Cambridgeshire police, 2021). </w:t>
      </w:r>
    </w:p>
    <w:p w:rsidR="00B25764" w:rsidRPr="007F3750" w:rsidRDefault="00B25764" w:rsidP="00B25764">
      <w:pPr>
        <w:spacing w:line="480" w:lineRule="auto"/>
        <w:jc w:val="both"/>
        <w:rPr>
          <w:rFonts w:cstheme="minorHAnsi"/>
          <w:sz w:val="24"/>
          <w:szCs w:val="24"/>
          <w:shd w:val="clear" w:color="auto" w:fill="FFFFFF"/>
        </w:rPr>
      </w:pP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t xml:space="preserve">This being a new scheme, the statistics of crime rates in 2021 has not been tallied yet. These statistics would show if crime rates either decrease or increase and how them rates are linked to youth early intervention. </w:t>
      </w:r>
    </w:p>
    <w:p w:rsidR="00B25764" w:rsidRPr="007F3750" w:rsidRDefault="00B25764" w:rsidP="00B25764">
      <w:pPr>
        <w:spacing w:line="480" w:lineRule="auto"/>
        <w:jc w:val="both"/>
        <w:rPr>
          <w:rFonts w:cstheme="minorHAnsi"/>
          <w:sz w:val="24"/>
          <w:szCs w:val="24"/>
          <w:shd w:val="clear" w:color="auto" w:fill="FFFFFF"/>
        </w:rPr>
      </w:pP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t xml:space="preserve">In order for early intervention to be effective, multi- agency work is essential. The police’s role is to deal with the crime that has been committed. However the idea of criminalising young children is not favourable. </w:t>
      </w: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lastRenderedPageBreak/>
        <w:t xml:space="preserve">This is where out of court disposals (OOCD) are utilised. OOCD are used in cases of low level crimes where the defendant has little to no offending footprint (Leic.PCC, n.d.). In youths i.e. those aged between 10-17 years old, there are three options of OOCD. These are community Resolutions, Youth conditional cautions and youth cautions (Tyrell et al., 2017). The conditional caution can bring about a prosecution on the defendant should they not follow the conditions set out to them. A community resolution can involve the youth apologising to the victim for what they have done, either in a letter or face to face. The youth could also offer to clean up the mess they have caused i.e. throwing eggs at someones house, the youth will be required to clean it all up. However this can only be applicable if the victim of the crime agrees to this sort of out come. </w:t>
      </w:r>
    </w:p>
    <w:p w:rsidR="00B25764" w:rsidRPr="007F3750" w:rsidRDefault="00B25764" w:rsidP="00B25764">
      <w:pPr>
        <w:spacing w:line="480" w:lineRule="auto"/>
        <w:jc w:val="both"/>
        <w:rPr>
          <w:rFonts w:cstheme="minorHAnsi"/>
          <w:sz w:val="24"/>
          <w:szCs w:val="24"/>
          <w:shd w:val="clear" w:color="auto" w:fill="FFFFFF"/>
        </w:rPr>
      </w:pP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t>Should the victim or police feel that the youth’s crime does not constitute a community resolution, they can receive a caution. To be eligible for this, the youth must admit to the allegation and the evidence must be enough to allow the caution to happen. This caution does appear on the youth’s criminal record but it is classed as ‘spent’ (Youth Justice Legal Centre, n.d.).</w:t>
      </w:r>
    </w:p>
    <w:p w:rsidR="00B25764" w:rsidRPr="007F3750" w:rsidRDefault="00B25764" w:rsidP="00B25764">
      <w:pPr>
        <w:spacing w:line="480" w:lineRule="auto"/>
        <w:jc w:val="both"/>
        <w:rPr>
          <w:rFonts w:cstheme="minorHAnsi"/>
          <w:sz w:val="24"/>
          <w:szCs w:val="24"/>
          <w:shd w:val="clear" w:color="auto" w:fill="FFFFFF"/>
        </w:rPr>
      </w:pP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t>In addition there could be conditions attached to the caution. This is called a youth conditional caution. The conditions must have an aim of either rehabilitating the youths behaviour, repairing any physical damage done or punishing the youth via unpaid work or a fine to be paid by the youth to the victim (Ministry of Justice, 2013).</w:t>
      </w:r>
    </w:p>
    <w:p w:rsidR="00B25764" w:rsidRPr="007F3750" w:rsidRDefault="00B25764" w:rsidP="00B25764">
      <w:pPr>
        <w:spacing w:line="480" w:lineRule="auto"/>
        <w:jc w:val="both"/>
        <w:rPr>
          <w:rFonts w:cstheme="minorHAnsi"/>
          <w:sz w:val="24"/>
          <w:szCs w:val="24"/>
          <w:shd w:val="clear" w:color="auto" w:fill="FFFFFF"/>
        </w:rPr>
      </w:pP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lastRenderedPageBreak/>
        <w:t>The youth offending teams (YOT) within police forces must be notified about OOCD used in regards to youths. YOT deals with any youth who grasp polices attention due to their behaviour and rule breaking (gov.uk, 2011).</w:t>
      </w:r>
    </w:p>
    <w:p w:rsidR="00B25764" w:rsidRPr="007F3750" w:rsidRDefault="00B25764" w:rsidP="00B25764">
      <w:pPr>
        <w:spacing w:line="480" w:lineRule="auto"/>
        <w:jc w:val="both"/>
        <w:rPr>
          <w:rFonts w:cstheme="minorHAnsi"/>
          <w:sz w:val="24"/>
          <w:szCs w:val="24"/>
          <w:shd w:val="clear" w:color="auto" w:fill="FFFFFF"/>
        </w:rPr>
      </w:pPr>
      <w:r w:rsidRPr="007F3750">
        <w:rPr>
          <w:rFonts w:cstheme="minorHAnsi"/>
          <w:sz w:val="24"/>
          <w:szCs w:val="24"/>
          <w:shd w:val="clear" w:color="auto" w:fill="FFFFFF"/>
        </w:rPr>
        <w:t>The aim of YOT are to look after youths who are in police custody and monitor them once released. YOT will work with the youth’s family in order to minimise the risk of re-offending and give guidance to that family in regards to behaviour management and rehabilitation of their child (gov.uk, 2011).</w:t>
      </w:r>
    </w:p>
    <w:p w:rsidR="00B25764" w:rsidRPr="007F3750" w:rsidRDefault="00B25764" w:rsidP="00B25764">
      <w:pPr>
        <w:spacing w:line="480" w:lineRule="auto"/>
        <w:jc w:val="both"/>
        <w:rPr>
          <w:sz w:val="24"/>
          <w:szCs w:val="24"/>
        </w:rPr>
      </w:pPr>
      <w:r w:rsidRPr="007F3750">
        <w:rPr>
          <w:sz w:val="24"/>
          <w:szCs w:val="24"/>
        </w:rPr>
        <w:t>YOT teams in England and Wales have been deemed to be making ‘good and effective work’ in order to guide youths in to a better way of life and not return to crime (Criminal Justice Joint Inspection, 2018).</w:t>
      </w:r>
    </w:p>
    <w:p w:rsidR="00B25764" w:rsidRPr="007F3750" w:rsidRDefault="00B25764" w:rsidP="00B25764">
      <w:pPr>
        <w:spacing w:line="480" w:lineRule="auto"/>
        <w:jc w:val="both"/>
        <w:rPr>
          <w:sz w:val="24"/>
          <w:szCs w:val="24"/>
        </w:rPr>
      </w:pPr>
      <w:r w:rsidRPr="007F3750">
        <w:rPr>
          <w:sz w:val="24"/>
          <w:szCs w:val="24"/>
        </w:rPr>
        <w:t xml:space="preserve">‘Her Majesty’s inspectorate of probation’ deemed the YOT in Neath Port Talbot to be making ‘considerable effort to make such significant progress’ in January 2022 (HM Inspectorate of Probation, 2022). This is positive feedback and takes pressure of South Wales Police due to young offenders being managed adequately. </w:t>
      </w:r>
    </w:p>
    <w:p w:rsidR="00B25764" w:rsidRPr="007F3750" w:rsidRDefault="00B25764" w:rsidP="00B25764">
      <w:pPr>
        <w:spacing w:line="480" w:lineRule="auto"/>
        <w:jc w:val="both"/>
        <w:rPr>
          <w:sz w:val="24"/>
          <w:szCs w:val="24"/>
        </w:rPr>
      </w:pPr>
      <w:r w:rsidRPr="007F3750">
        <w:rPr>
          <w:sz w:val="24"/>
          <w:szCs w:val="24"/>
        </w:rPr>
        <w:t xml:space="preserve">In conclusion, the work of YOT and police and other agencies including education and health is vital in recognising and prohibiting youths in to the life of crime and ultimately, gangs. A partnership approach is vital with the main outcome being the well-being of youth. Many agencies are going to have a different view on how to deal with such youths, however as long as the main goal regarding the well-being of the youth is achieved, then those involved will be successful. </w:t>
      </w:r>
    </w:p>
    <w:p w:rsidR="00B25764" w:rsidRDefault="00B25764" w:rsidP="00B25764"/>
    <w:p w:rsidR="00B25764" w:rsidRDefault="00B25764" w:rsidP="00B25764">
      <w:r>
        <w:t>Total 1093</w:t>
      </w:r>
    </w:p>
    <w:p w:rsidR="00B25764" w:rsidRDefault="00B25764" w:rsidP="00B25764"/>
    <w:p w:rsidR="009A1F11" w:rsidRDefault="00B25764" w:rsidP="009A1F11">
      <w:pPr>
        <w:keepNext/>
        <w:spacing w:before="240" w:after="60"/>
        <w:ind w:right="237"/>
        <w:jc w:val="both"/>
        <w:rPr>
          <w:b/>
          <w:bCs/>
          <w:sz w:val="24"/>
          <w:szCs w:val="24"/>
        </w:rPr>
      </w:pPr>
      <w:r w:rsidRPr="5848403C">
        <w:rPr>
          <w:b/>
          <w:bCs/>
          <w:sz w:val="24"/>
          <w:szCs w:val="24"/>
        </w:rPr>
        <w:lastRenderedPageBreak/>
        <w:t>Bibliography</w:t>
      </w:r>
    </w:p>
    <w:p w:rsidR="009A1F11" w:rsidRPr="009A1F11" w:rsidRDefault="009A1F11" w:rsidP="009A1F11">
      <w:pPr>
        <w:keepNext/>
        <w:spacing w:before="240" w:after="60"/>
        <w:ind w:right="237"/>
        <w:jc w:val="both"/>
        <w:rPr>
          <w:rFonts w:eastAsia="Times New Roman" w:cstheme="minorHAnsi"/>
          <w:sz w:val="24"/>
          <w:szCs w:val="24"/>
          <w:lang w:eastAsia="en-GB"/>
        </w:rPr>
      </w:pP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AR-CLEAR-USER (2022). </w:t>
      </w:r>
      <w:r w:rsidRPr="009A1F11">
        <w:rPr>
          <w:rFonts w:eastAsia="Times New Roman" w:cstheme="minorHAnsi"/>
          <w:i/>
          <w:iCs/>
          <w:sz w:val="24"/>
          <w:szCs w:val="24"/>
          <w:lang w:eastAsia="en-GB"/>
        </w:rPr>
        <w:t>The Glamorization of Teen Drug Use in the Media and Television</w:t>
      </w:r>
      <w:r w:rsidRPr="009A1F11">
        <w:rPr>
          <w:rFonts w:eastAsia="Times New Roman" w:cstheme="minorHAnsi"/>
          <w:sz w:val="24"/>
          <w:szCs w:val="24"/>
          <w:lang w:eastAsia="en-GB"/>
        </w:rPr>
        <w:t>. [online] Clearfork Academy. Available at: https://clearforkacademy.com/2022/04/25/the-glamorization-of-teen-drug-use-in-the-media-and-television/.</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Basia Spalek (2017). </w:t>
      </w:r>
      <w:r w:rsidRPr="009A1F11">
        <w:rPr>
          <w:rFonts w:eastAsia="Times New Roman" w:cstheme="minorHAnsi"/>
          <w:i/>
          <w:iCs/>
          <w:sz w:val="24"/>
          <w:szCs w:val="24"/>
          <w:lang w:eastAsia="en-GB"/>
        </w:rPr>
        <w:t>Crime victims : theory, policy and practice</w:t>
      </w:r>
      <w:r w:rsidRPr="009A1F11">
        <w:rPr>
          <w:rFonts w:eastAsia="Times New Roman" w:cstheme="minorHAnsi"/>
          <w:sz w:val="24"/>
          <w:szCs w:val="24"/>
          <w:lang w:eastAsia="en-GB"/>
        </w:rPr>
        <w:t>. Basingstoke, Hampshire: Palgrave Macmillan.</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BBC (2018). Stephen Lawrence murder: A timeline of how the story unfolded. BBC News. [online] 13 Apr. Available at: https://www.bbc.co.uk/news/uk-26465916.</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Bbc.co.uk. (2009). </w:t>
      </w:r>
      <w:r w:rsidRPr="009A1F11">
        <w:rPr>
          <w:rFonts w:eastAsia="Times New Roman" w:cstheme="minorHAnsi"/>
          <w:i/>
          <w:iCs/>
          <w:sz w:val="24"/>
          <w:szCs w:val="24"/>
          <w:lang w:eastAsia="en-GB"/>
        </w:rPr>
        <w:t>BBC NEWS | Programmes | BBC Parliament | Q&amp;A: The Scarman Report</w:t>
      </w:r>
      <w:r w:rsidRPr="009A1F11">
        <w:rPr>
          <w:rFonts w:eastAsia="Times New Roman" w:cstheme="minorHAnsi"/>
          <w:sz w:val="24"/>
          <w:szCs w:val="24"/>
          <w:lang w:eastAsia="en-GB"/>
        </w:rPr>
        <w:t>. [online] Available at: http://news.bbc.co.uk/1/hi/programmes/bbc_parliament/3631579.stm.</w:t>
      </w:r>
    </w:p>
    <w:p w:rsidR="009A1F11" w:rsidRPr="009A1F11" w:rsidRDefault="009A1F11" w:rsidP="009A1F11">
      <w:pPr>
        <w:ind w:firstLine="720"/>
        <w:rPr>
          <w:rFonts w:cstheme="minorHAnsi"/>
          <w:sz w:val="24"/>
          <w:szCs w:val="24"/>
          <w:shd w:val="clear" w:color="auto" w:fill="FFFFFF"/>
        </w:rPr>
      </w:pPr>
      <w:r w:rsidRPr="009A1F11">
        <w:rPr>
          <w:rFonts w:cstheme="minorHAnsi"/>
          <w:sz w:val="24"/>
          <w:szCs w:val="24"/>
          <w:shd w:val="clear" w:color="auto" w:fill="FFFFFF"/>
        </w:rPr>
        <w:t>Bond, J.W. and Hammond, C., 2008. The value of DNA material recovered from crime scenes. </w:t>
      </w:r>
      <w:r w:rsidRPr="009A1F11">
        <w:rPr>
          <w:rFonts w:cstheme="minorHAnsi"/>
          <w:i/>
          <w:iCs/>
          <w:sz w:val="24"/>
          <w:szCs w:val="24"/>
          <w:shd w:val="clear" w:color="auto" w:fill="FFFFFF"/>
        </w:rPr>
        <w:t>Journal of forensic sciences</w:t>
      </w:r>
      <w:r w:rsidRPr="009A1F11">
        <w:rPr>
          <w:rFonts w:cstheme="minorHAnsi"/>
          <w:sz w:val="24"/>
          <w:szCs w:val="24"/>
          <w:shd w:val="clear" w:color="auto" w:fill="FFFFFF"/>
        </w:rPr>
        <w:t>, </w:t>
      </w:r>
      <w:r w:rsidRPr="009A1F11">
        <w:rPr>
          <w:rFonts w:cstheme="minorHAnsi"/>
          <w:i/>
          <w:iCs/>
          <w:sz w:val="24"/>
          <w:szCs w:val="24"/>
          <w:shd w:val="clear" w:color="auto" w:fill="FFFFFF"/>
        </w:rPr>
        <w:t>53</w:t>
      </w:r>
      <w:r w:rsidRPr="009A1F11">
        <w:rPr>
          <w:rFonts w:cstheme="minorHAnsi"/>
          <w:sz w:val="24"/>
          <w:szCs w:val="24"/>
          <w:shd w:val="clear" w:color="auto" w:fill="FFFFFF"/>
        </w:rPr>
        <w:t>(4), pp.797-801</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Bryant, R. and Bryant, S. (2021). </w:t>
      </w:r>
      <w:r w:rsidRPr="009A1F11">
        <w:rPr>
          <w:rFonts w:eastAsia="Times New Roman" w:cstheme="minorHAnsi"/>
          <w:i/>
          <w:iCs/>
          <w:sz w:val="24"/>
          <w:szCs w:val="24"/>
          <w:lang w:eastAsia="en-GB"/>
        </w:rPr>
        <w:t>Blackstone’s Handbook For Policing Students 2021.</w:t>
      </w:r>
      <w:r w:rsidRPr="009A1F11">
        <w:rPr>
          <w:rFonts w:eastAsia="Times New Roman" w:cstheme="minorHAnsi"/>
          <w:sz w:val="24"/>
          <w:szCs w:val="24"/>
          <w:lang w:eastAsia="en-GB"/>
        </w:rPr>
        <w:t xml:space="preserve"> 15th ed. S.L.: Oxford Univ Press, pp.235–240.</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shd w:val="clear" w:color="auto" w:fill="FFFFFF"/>
        </w:rPr>
        <w:t>Bryant, S., Peck, M. and Lovbakke, J., 2015. Reoffending analysis of MAPPA eligible offenders. </w:t>
      </w:r>
      <w:r w:rsidRPr="009A1F11">
        <w:rPr>
          <w:rFonts w:asciiTheme="minorHAnsi" w:hAnsiTheme="minorHAnsi" w:cstheme="minorHAnsi"/>
          <w:i/>
          <w:iCs/>
          <w:shd w:val="clear" w:color="auto" w:fill="FFFFFF"/>
        </w:rPr>
        <w:t xml:space="preserve">Ministry of Justice </w:t>
      </w:r>
      <w:hyperlink r:id="rId6" w:history="1">
        <w:r w:rsidRPr="009A1F11">
          <w:rPr>
            <w:rStyle w:val="Hyperlink"/>
            <w:rFonts w:asciiTheme="minorHAnsi" w:hAnsiTheme="minorHAnsi" w:cstheme="minorHAnsi"/>
            <w:color w:val="auto"/>
            <w:u w:val="none"/>
          </w:rPr>
          <w:t>Reoffending-analysis-of-mappa-eligible-offenders.pdf (police.int)</w:t>
        </w:r>
      </w:hyperlink>
      <w:r w:rsidRPr="009A1F11">
        <w:rPr>
          <w:rFonts w:asciiTheme="minorHAnsi" w:hAnsiTheme="minorHAnsi" w:cstheme="minorHAnsi"/>
        </w:rPr>
        <w:t xml:space="preserve"> [Accessed 3 Nov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Burton Copeland. (2021). </w:t>
      </w:r>
      <w:r w:rsidRPr="009A1F11">
        <w:rPr>
          <w:rFonts w:asciiTheme="minorHAnsi" w:hAnsiTheme="minorHAnsi" w:cstheme="minorHAnsi"/>
          <w:i/>
          <w:iCs/>
        </w:rPr>
        <w:t>What is an OCG &amp; what is participating in organised crime</w:t>
      </w:r>
      <w:r w:rsidRPr="009A1F11">
        <w:rPr>
          <w:rFonts w:asciiTheme="minorHAnsi" w:hAnsiTheme="minorHAnsi" w:cstheme="minorHAnsi"/>
        </w:rPr>
        <w:t>. [online] Available at: https://www.burtoncopeland.com/news/participating-in-organised-crime/.</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Charman, S. (2018). </w:t>
      </w:r>
      <w:r w:rsidRPr="009A1F11">
        <w:rPr>
          <w:rFonts w:eastAsia="Times New Roman" w:cstheme="minorHAnsi"/>
          <w:i/>
          <w:iCs/>
          <w:sz w:val="24"/>
          <w:szCs w:val="24"/>
          <w:lang w:eastAsia="en-GB"/>
        </w:rPr>
        <w:t>FROM CRIME FIGHTING TO PUBLIC PROTECTION: THE SHAPING OF POLICE OFFICERS’ SENSE OF ROLE</w:t>
      </w:r>
      <w:r w:rsidRPr="009A1F11">
        <w:rPr>
          <w:rFonts w:eastAsia="Times New Roman" w:cstheme="minorHAnsi"/>
          <w:sz w:val="24"/>
          <w:szCs w:val="24"/>
          <w:lang w:eastAsia="en-GB"/>
        </w:rPr>
        <w:t>. [online] Available at: https://www.police-foundation.org.uk/2017/wp-content/uploads/2018/01/perspectives_on_policing_officers_sense_of_role-FINAL.pdf [Accessed 5 Nov.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lastRenderedPageBreak/>
        <w:t xml:space="preserve">  Coid. (1981). Suggestibility, Low Intelligence and a Confession to Crime. British Journal of Psychiatry, 139(5), 436–438. https://doi.org/10.1192/bjp.139.5.436</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College of policing (2017). </w:t>
      </w:r>
      <w:r w:rsidRPr="009A1F11">
        <w:rPr>
          <w:rFonts w:eastAsia="Times New Roman" w:cstheme="minorHAnsi"/>
          <w:i/>
          <w:iCs/>
          <w:sz w:val="24"/>
          <w:szCs w:val="24"/>
          <w:lang w:eastAsia="en-GB"/>
        </w:rPr>
        <w:t>Introduction to managing sexual offenders and violent offenders</w:t>
      </w:r>
      <w:r w:rsidRPr="009A1F11">
        <w:rPr>
          <w:rFonts w:eastAsia="Times New Roman" w:cstheme="minorHAnsi"/>
          <w:sz w:val="24"/>
          <w:szCs w:val="24"/>
          <w:lang w:eastAsia="en-GB"/>
        </w:rPr>
        <w:t>. [online] College of Policing. Available at: https://www.college.police.uk/app/major-investigation-and-public-protection/managing-sexual-offenders-and-violent-offenders/introduction-managing-sexual-offenders-and-violent-offenders [Accessed 3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College of Policing (2017). </w:t>
      </w:r>
      <w:r w:rsidRPr="009A1F11">
        <w:rPr>
          <w:rFonts w:eastAsia="Times New Roman" w:cstheme="minorHAnsi"/>
          <w:i/>
          <w:iCs/>
          <w:sz w:val="24"/>
          <w:szCs w:val="24"/>
          <w:lang w:eastAsia="en-GB"/>
        </w:rPr>
        <w:t>Multi-agency public protection arrangements (MAPPA)</w:t>
      </w:r>
      <w:r w:rsidRPr="009A1F11">
        <w:rPr>
          <w:rFonts w:eastAsia="Times New Roman" w:cstheme="minorHAnsi"/>
          <w:sz w:val="24"/>
          <w:szCs w:val="24"/>
          <w:lang w:eastAsia="en-GB"/>
        </w:rPr>
        <w:t>. [online] College of Policing. Available at: https://www.college.police.uk/app/major-investigation-and-public-protection/managing-sexual-offenders-and-violent-offenders/multi-agency-public-protection-arrangements-mappa?highlight=bronze%20log [Accessed 3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College of Policing (n.d.). </w:t>
      </w:r>
      <w:r w:rsidRPr="009A1F11">
        <w:rPr>
          <w:rFonts w:eastAsia="Times New Roman" w:cstheme="minorHAnsi"/>
          <w:i/>
          <w:iCs/>
          <w:sz w:val="24"/>
          <w:szCs w:val="24"/>
          <w:lang w:eastAsia="en-GB"/>
        </w:rPr>
        <w:t>Sexual Offences Liaison Officer (SOLO)</w:t>
      </w:r>
      <w:r w:rsidRPr="009A1F11">
        <w:rPr>
          <w:rFonts w:eastAsia="Times New Roman" w:cstheme="minorHAnsi"/>
          <w:sz w:val="24"/>
          <w:szCs w:val="24"/>
          <w:lang w:eastAsia="en-GB"/>
        </w:rPr>
        <w:t>. [online] College of Policing. Available at: https://profdev.college.police.uk/professional-profile/sexual-offences-liaison-officer/#:~:text=The%20Sexual%20Offences%20Liaison%20Officer%20%28SOLO%29%20is%20responsible [Accessed 3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College of Policing (n.d.). </w:t>
      </w:r>
      <w:r w:rsidRPr="009A1F11">
        <w:rPr>
          <w:rFonts w:eastAsia="Times New Roman" w:cstheme="minorHAnsi"/>
          <w:i/>
          <w:iCs/>
          <w:sz w:val="24"/>
          <w:szCs w:val="24"/>
          <w:lang w:eastAsia="en-GB"/>
        </w:rPr>
        <w:t>Victim safety and support</w:t>
      </w:r>
      <w:r w:rsidRPr="009A1F11">
        <w:rPr>
          <w:rFonts w:eastAsia="Times New Roman" w:cstheme="minorHAnsi"/>
          <w:sz w:val="24"/>
          <w:szCs w:val="24"/>
          <w:lang w:eastAsia="en-GB"/>
        </w:rPr>
        <w:t>. [online] College of Policing. Available at: https://www.college.police.uk/app/major-investigation-and-public-protection/domestic-abuse/victim-safety-and-support [Accessed 1 Oct.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College of Policing. (2018). </w:t>
      </w:r>
      <w:r w:rsidRPr="009A1F11">
        <w:rPr>
          <w:rFonts w:eastAsia="Times New Roman" w:cstheme="minorHAnsi"/>
          <w:i/>
          <w:iCs/>
          <w:sz w:val="24"/>
          <w:szCs w:val="24"/>
          <w:lang w:eastAsia="en-GB"/>
        </w:rPr>
        <w:t>Multi-agency public protection arrangements (MAPPA)</w:t>
      </w:r>
      <w:r w:rsidRPr="009A1F11">
        <w:rPr>
          <w:rFonts w:eastAsia="Times New Roman" w:cstheme="minorHAnsi"/>
          <w:sz w:val="24"/>
          <w:szCs w:val="24"/>
          <w:lang w:eastAsia="en-GB"/>
        </w:rPr>
        <w:t>. [online] Available at: https://www.college.police.uk/app/major-investigation-and-public-protection/managing-sexual-offenders-and-violent-offenders/multi-agency-public-protection-arrangements-mappa?highlight=bronze%20log [Accessed 29 Oct.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cps (2019). </w:t>
      </w:r>
      <w:r w:rsidRPr="009A1F11">
        <w:rPr>
          <w:rFonts w:asciiTheme="minorHAnsi" w:hAnsiTheme="minorHAnsi" w:cstheme="minorHAnsi"/>
          <w:i/>
          <w:iCs/>
        </w:rPr>
        <w:t>Organised Crime Group: Participating in Activities of an | The Crown Prosecution Service</w:t>
      </w:r>
      <w:r w:rsidRPr="009A1F11">
        <w:rPr>
          <w:rFonts w:asciiTheme="minorHAnsi" w:hAnsiTheme="minorHAnsi" w:cstheme="minorHAnsi"/>
        </w:rPr>
        <w:t>. [online] www.cps.gov.uk. Available at: https://www.cps.gov.uk/legal-guidance/organised-crime-group-participating-activities [Accessed 23 Sep. 2022].</w:t>
      </w:r>
    </w:p>
    <w:p w:rsidR="009A1F11" w:rsidRPr="009564B1" w:rsidRDefault="009A1F11" w:rsidP="00B25764">
      <w:pPr>
        <w:spacing w:after="240" w:line="360" w:lineRule="auto"/>
        <w:rPr>
          <w:rFonts w:eastAsia="Times New Roman" w:cstheme="minorHAnsi"/>
          <w:sz w:val="24"/>
          <w:szCs w:val="24"/>
          <w:lang w:eastAsia="en-GB"/>
        </w:rPr>
      </w:pPr>
      <w:r w:rsidRPr="009564B1">
        <w:rPr>
          <w:rFonts w:eastAsia="Times New Roman" w:cstheme="minorHAnsi"/>
          <w:sz w:val="24"/>
          <w:szCs w:val="24"/>
          <w:lang w:eastAsia="en-GB"/>
        </w:rPr>
        <w:t xml:space="preserve">Criminal Justice Joint Inspection (2018). </w:t>
      </w:r>
      <w:r w:rsidRPr="009564B1">
        <w:rPr>
          <w:rFonts w:eastAsia="Times New Roman" w:cstheme="minorHAnsi"/>
          <w:i/>
          <w:iCs/>
          <w:sz w:val="24"/>
          <w:szCs w:val="24"/>
          <w:lang w:eastAsia="en-GB"/>
        </w:rPr>
        <w:t>Youth offending teams and police effective in keeping low-level child offenders out of court, but work can be improved, says Chief Inspector</w:t>
      </w:r>
      <w:r w:rsidRPr="009564B1">
        <w:rPr>
          <w:rFonts w:eastAsia="Times New Roman" w:cstheme="minorHAnsi"/>
          <w:sz w:val="24"/>
          <w:szCs w:val="24"/>
          <w:lang w:eastAsia="en-GB"/>
        </w:rPr>
        <w:t xml:space="preserve">. [online] www.justiceinspectorates.gov.uk. Available at: </w:t>
      </w:r>
      <w:r w:rsidRPr="009564B1">
        <w:rPr>
          <w:rFonts w:eastAsia="Times New Roman" w:cstheme="minorHAnsi"/>
          <w:sz w:val="24"/>
          <w:szCs w:val="24"/>
          <w:lang w:eastAsia="en-GB"/>
        </w:rPr>
        <w:lastRenderedPageBreak/>
        <w:t>https://www.justiceinspectorates.gov.uk/cjji/media/press-releases/2018/03/oocdyouthoffendingteams032018/ [Accessed 7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Day, H. (2019). </w:t>
      </w:r>
      <w:r w:rsidRPr="009A1F11">
        <w:rPr>
          <w:rFonts w:eastAsia="Times New Roman" w:cstheme="minorHAnsi"/>
          <w:i/>
          <w:iCs/>
          <w:sz w:val="24"/>
          <w:szCs w:val="24"/>
          <w:lang w:eastAsia="en-GB"/>
        </w:rPr>
        <w:t>Gemma Hayter murder: ‘If she had survived, Gemma would’ve forgiven her killers’</w:t>
      </w:r>
      <w:r w:rsidRPr="009A1F11">
        <w:rPr>
          <w:rFonts w:eastAsia="Times New Roman" w:cstheme="minorHAnsi"/>
          <w:sz w:val="24"/>
          <w:szCs w:val="24"/>
          <w:lang w:eastAsia="en-GB"/>
        </w:rPr>
        <w:t xml:space="preserve">. [online] BBC Three. Available at: </w:t>
      </w:r>
      <w:hyperlink r:id="rId7" w:history="1">
        <w:r w:rsidRPr="009A1F11">
          <w:rPr>
            <w:rStyle w:val="Hyperlink"/>
            <w:rFonts w:eastAsia="Times New Roman" w:cstheme="minorHAnsi"/>
            <w:color w:val="auto"/>
            <w:sz w:val="24"/>
            <w:szCs w:val="24"/>
            <w:u w:val="none"/>
            <w:lang w:eastAsia="en-GB"/>
          </w:rPr>
          <w:t>https://www.bbc.co.uk/bbcthree/article/751ddfd4-2b7a-4f3f-9a07-2f2ec29c985a</w:t>
        </w:r>
      </w:hyperlink>
      <w:r w:rsidRPr="009A1F11">
        <w:rPr>
          <w:rFonts w:eastAsia="Times New Roman" w:cstheme="minorHAnsi"/>
          <w:sz w:val="24"/>
          <w:szCs w:val="24"/>
          <w:lang w:eastAsia="en-GB"/>
        </w:rPr>
        <w:t>.</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Eddo-Lodge, R. (2020). </w:t>
      </w:r>
      <w:r w:rsidRPr="009A1F11">
        <w:rPr>
          <w:rFonts w:eastAsia="Times New Roman" w:cstheme="minorHAnsi"/>
          <w:i/>
          <w:iCs/>
          <w:sz w:val="24"/>
          <w:szCs w:val="24"/>
          <w:lang w:eastAsia="en-GB"/>
        </w:rPr>
        <w:t>Why I’m No Longer Talking to White People About Race</w:t>
      </w:r>
      <w:r w:rsidRPr="009A1F11">
        <w:rPr>
          <w:rFonts w:eastAsia="Times New Roman" w:cstheme="minorHAnsi"/>
          <w:sz w:val="24"/>
          <w:szCs w:val="24"/>
          <w:lang w:eastAsia="en-GB"/>
        </w:rPr>
        <w:t xml:space="preserve">. [online] </w:t>
      </w:r>
      <w:r w:rsidRPr="009A1F11">
        <w:rPr>
          <w:rFonts w:eastAsia="Times New Roman" w:cstheme="minorHAnsi"/>
          <w:i/>
          <w:iCs/>
          <w:sz w:val="24"/>
          <w:szCs w:val="24"/>
          <w:lang w:eastAsia="en-GB"/>
        </w:rPr>
        <w:t>Google Books</w:t>
      </w:r>
      <w:r w:rsidRPr="009A1F11">
        <w:rPr>
          <w:rFonts w:eastAsia="Times New Roman" w:cstheme="minorHAnsi"/>
          <w:sz w:val="24"/>
          <w:szCs w:val="24"/>
          <w:lang w:eastAsia="en-GB"/>
        </w:rPr>
        <w:t>. Bloomsbury Publishing. Available at: https://books.google.co.uk/books?hl=en&amp;lr=&amp;id=D0MIEAAAQBAJ&amp;oi=fnd&amp;pg=PP1&amp;dq=sus+law+and+race+relations+&amp;ots=l-NX1myjGE&amp;sig=wTdhp28vLcy8G8Sl3D8kdnx0E5Y&amp;redir_esc=y#v=onepage&amp;q&amp;f=false [Accessed 6 Nov. 2022].</w:t>
      </w:r>
    </w:p>
    <w:p w:rsidR="009A1F11" w:rsidRPr="009A1F11" w:rsidRDefault="009A1F11" w:rsidP="00B25764">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Errington, A. (2018). </w:t>
      </w:r>
      <w:r w:rsidRPr="009A1F11">
        <w:rPr>
          <w:rFonts w:eastAsia="Times New Roman" w:cstheme="minorHAnsi"/>
          <w:i/>
          <w:iCs/>
          <w:sz w:val="24"/>
          <w:szCs w:val="24"/>
          <w:lang w:eastAsia="en-GB"/>
        </w:rPr>
        <w:t>When Can Someone Be Tried As An Adult In The UK?</w:t>
      </w:r>
      <w:r w:rsidRPr="009A1F11">
        <w:rPr>
          <w:rFonts w:eastAsia="Times New Roman" w:cstheme="minorHAnsi"/>
          <w:sz w:val="24"/>
          <w:szCs w:val="24"/>
          <w:lang w:eastAsia="en-GB"/>
        </w:rPr>
        <w:t xml:space="preserve"> [online] Larcomes. Available at: https://www.larcomes.co.uk/when-can-someone-be-tried-as-an-adult-in-the-uk/ [Accessed 5 Nov.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F, F. (2021). </w:t>
      </w:r>
      <w:r w:rsidRPr="009A1F11">
        <w:rPr>
          <w:rFonts w:asciiTheme="minorHAnsi" w:hAnsiTheme="minorHAnsi" w:cstheme="minorHAnsi"/>
          <w:i/>
          <w:iCs/>
        </w:rPr>
        <w:t>The Tragic True Story Of The 1981 Brixton Riots</w:t>
      </w:r>
      <w:r w:rsidRPr="009A1F11">
        <w:rPr>
          <w:rFonts w:asciiTheme="minorHAnsi" w:hAnsiTheme="minorHAnsi" w:cstheme="minorHAnsi"/>
        </w:rPr>
        <w:t>. [online] Grunge.com. Available at: https://www.grunge.com/431280/the-tragic-true-story-of-the-1981-brixton-riots/ [Accessed 9 Sep. 2022].</w:t>
      </w:r>
    </w:p>
    <w:p w:rsidR="009A1F11" w:rsidRPr="009A1F11" w:rsidRDefault="009A1F11" w:rsidP="00B25764">
      <w:pPr>
        <w:rPr>
          <w:rFonts w:cstheme="minorHAnsi"/>
          <w:sz w:val="24"/>
          <w:szCs w:val="24"/>
          <w:shd w:val="clear" w:color="auto" w:fill="FFFFFF"/>
        </w:rPr>
      </w:pPr>
      <w:r w:rsidRPr="009A1F11">
        <w:rPr>
          <w:rFonts w:cstheme="minorHAnsi"/>
          <w:sz w:val="24"/>
          <w:szCs w:val="24"/>
          <w:shd w:val="clear" w:color="auto" w:fill="FFFFFF"/>
        </w:rPr>
        <w:t>Farrington, D.P., 2011. Families and crime. </w:t>
      </w:r>
      <w:r w:rsidRPr="009A1F11">
        <w:rPr>
          <w:rFonts w:cstheme="minorHAnsi"/>
          <w:i/>
          <w:iCs/>
          <w:sz w:val="24"/>
          <w:szCs w:val="24"/>
          <w:shd w:val="clear" w:color="auto" w:fill="FFFFFF"/>
        </w:rPr>
        <w:t>Crime and public policy</w:t>
      </w:r>
      <w:r w:rsidRPr="009A1F11">
        <w:rPr>
          <w:rFonts w:cstheme="minorHAnsi"/>
          <w:sz w:val="24"/>
          <w:szCs w:val="24"/>
          <w:shd w:val="clear" w:color="auto" w:fill="FFFFFF"/>
        </w:rPr>
        <w:t>, pp.130-157.</w:t>
      </w:r>
    </w:p>
    <w:p w:rsidR="009A1F11" w:rsidRPr="009A1F11" w:rsidRDefault="009A1F11" w:rsidP="00B25764">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Farrington, D.P., Loeber, R. and Howell, J.C. (2012). Young Adult Offenders. </w:t>
      </w:r>
      <w:r w:rsidRPr="009A1F11">
        <w:rPr>
          <w:rFonts w:eastAsia="Times New Roman" w:cstheme="minorHAnsi"/>
          <w:i/>
          <w:iCs/>
          <w:sz w:val="24"/>
          <w:szCs w:val="24"/>
          <w:lang w:eastAsia="en-GB"/>
        </w:rPr>
        <w:t>Criminology &amp; Public Policy</w:t>
      </w:r>
      <w:r w:rsidRPr="009A1F11">
        <w:rPr>
          <w:rFonts w:eastAsia="Times New Roman" w:cstheme="minorHAnsi"/>
          <w:sz w:val="24"/>
          <w:szCs w:val="24"/>
          <w:lang w:eastAsia="en-GB"/>
        </w:rPr>
        <w:t>, 11(4), pp.729–750. doi:10.1111/j.1745-9133.2012.00842.x.</w:t>
      </w:r>
    </w:p>
    <w:p w:rsidR="009A1F11" w:rsidRPr="009A1F11" w:rsidRDefault="009A1F11" w:rsidP="00B25764">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GOV.UK (2011). </w:t>
      </w:r>
      <w:r w:rsidRPr="009A1F11">
        <w:rPr>
          <w:rFonts w:eastAsia="Times New Roman" w:cstheme="minorHAnsi"/>
          <w:i/>
          <w:iCs/>
          <w:sz w:val="24"/>
          <w:szCs w:val="24"/>
          <w:lang w:eastAsia="en-GB"/>
        </w:rPr>
        <w:t>Age of criminal responsibility</w:t>
      </w:r>
      <w:r w:rsidRPr="009A1F11">
        <w:rPr>
          <w:rFonts w:eastAsia="Times New Roman" w:cstheme="minorHAnsi"/>
          <w:sz w:val="24"/>
          <w:szCs w:val="24"/>
          <w:lang w:eastAsia="en-GB"/>
        </w:rPr>
        <w:t>. [online] GOV.UK. Available at: https://www.gov.uk/age-of-criminal-responsibility [Accessed 5 Nov. 2022].</w:t>
      </w:r>
    </w:p>
    <w:p w:rsidR="009A1F11" w:rsidRPr="0089754D" w:rsidRDefault="009A1F11" w:rsidP="00B25764">
      <w:pPr>
        <w:spacing w:after="240" w:line="360" w:lineRule="auto"/>
        <w:rPr>
          <w:rFonts w:eastAsia="Times New Roman" w:cstheme="minorHAnsi"/>
          <w:sz w:val="24"/>
          <w:szCs w:val="24"/>
          <w:lang w:eastAsia="en-GB"/>
        </w:rPr>
      </w:pPr>
      <w:r w:rsidRPr="0089754D">
        <w:rPr>
          <w:rFonts w:eastAsia="Times New Roman" w:cstheme="minorHAnsi"/>
          <w:sz w:val="24"/>
          <w:szCs w:val="24"/>
          <w:lang w:eastAsia="en-GB"/>
        </w:rPr>
        <w:t xml:space="preserve">gov.uk (2011). </w:t>
      </w:r>
      <w:r w:rsidRPr="0089754D">
        <w:rPr>
          <w:rFonts w:eastAsia="Times New Roman" w:cstheme="minorHAnsi"/>
          <w:i/>
          <w:iCs/>
          <w:sz w:val="24"/>
          <w:szCs w:val="24"/>
          <w:lang w:eastAsia="en-GB"/>
        </w:rPr>
        <w:t>Youth offending teams</w:t>
      </w:r>
      <w:r w:rsidRPr="0089754D">
        <w:rPr>
          <w:rFonts w:eastAsia="Times New Roman" w:cstheme="minorHAnsi"/>
          <w:sz w:val="24"/>
          <w:szCs w:val="24"/>
          <w:lang w:eastAsia="en-GB"/>
        </w:rPr>
        <w:t>. [online] GOV.UK. Available at: https://www.gov.uk/youth-offending-team [Accessed 7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Gov.uk (2012). </w:t>
      </w:r>
      <w:r w:rsidRPr="009A1F11">
        <w:rPr>
          <w:rFonts w:eastAsia="Times New Roman" w:cstheme="minorHAnsi"/>
          <w:i/>
          <w:iCs/>
          <w:sz w:val="24"/>
          <w:szCs w:val="24"/>
          <w:lang w:eastAsia="en-GB"/>
        </w:rPr>
        <w:t>Sexual Offences Act 2003</w:t>
      </w:r>
      <w:r w:rsidRPr="009A1F11">
        <w:rPr>
          <w:rFonts w:eastAsia="Times New Roman" w:cstheme="minorHAnsi"/>
          <w:sz w:val="24"/>
          <w:szCs w:val="24"/>
          <w:lang w:eastAsia="en-GB"/>
        </w:rPr>
        <w:t>. [online] Legislation.gov.uk. Available at: https://www.legislation.gov.uk/ukpga/2003/42/contents [Accessed 12 Oct.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lastRenderedPageBreak/>
        <w:t xml:space="preserve">Guardian Staff (1999). </w:t>
      </w:r>
      <w:r w:rsidRPr="009A1F11">
        <w:rPr>
          <w:rFonts w:asciiTheme="minorHAnsi" w:hAnsiTheme="minorHAnsi" w:cstheme="minorHAnsi"/>
          <w:i/>
          <w:iCs/>
        </w:rPr>
        <w:t>The Macpherson report: summary</w:t>
      </w:r>
      <w:r w:rsidRPr="009A1F11">
        <w:rPr>
          <w:rFonts w:asciiTheme="minorHAnsi" w:hAnsiTheme="minorHAnsi" w:cstheme="minorHAnsi"/>
        </w:rPr>
        <w:t>. [online] the Guardian. Available at: https://www.theguardian.com/uk/1999/feb/24/lawrence.ukcrime12 [Accessed 9 Sep. 2022].</w:t>
      </w:r>
    </w:p>
    <w:p w:rsidR="009A1F11" w:rsidRPr="009A1F11" w:rsidRDefault="009A1F11" w:rsidP="009A1F11">
      <w:pPr>
        <w:rPr>
          <w:rFonts w:cstheme="minorHAnsi"/>
          <w:sz w:val="24"/>
          <w:szCs w:val="24"/>
        </w:rPr>
      </w:pPr>
      <w:r w:rsidRPr="009A1F11">
        <w:rPr>
          <w:rFonts w:cstheme="minorHAnsi"/>
          <w:sz w:val="24"/>
          <w:szCs w:val="24"/>
        </w:rPr>
        <w:t>Guardian Staff (1999). The Macpherson report: summary. The Guardian. Available at: https://www.theguardian.com/uk/1999/feb/24/lawrence.ukcrime12 [Accessed 19 Sep. 2022].</w:t>
      </w:r>
    </w:p>
    <w:p w:rsidR="009A1F11" w:rsidRPr="009A1F11" w:rsidRDefault="009A1F11" w:rsidP="00B25764">
      <w:pPr>
        <w:spacing w:after="240" w:line="360" w:lineRule="auto"/>
        <w:rPr>
          <w:rFonts w:eastAsia="Times New Roman" w:cstheme="minorHAnsi"/>
          <w:sz w:val="24"/>
          <w:szCs w:val="24"/>
          <w:lang w:eastAsia="en-GB"/>
        </w:rPr>
      </w:pPr>
      <w:r w:rsidRPr="009564B1">
        <w:rPr>
          <w:rFonts w:eastAsia="Times New Roman" w:cstheme="minorHAnsi"/>
          <w:sz w:val="24"/>
          <w:szCs w:val="24"/>
          <w:lang w:eastAsia="en-GB"/>
        </w:rPr>
        <w:t xml:space="preserve">HM Inspectorate of Probation (2022). </w:t>
      </w:r>
      <w:r w:rsidRPr="009564B1">
        <w:rPr>
          <w:rFonts w:eastAsia="Times New Roman" w:cstheme="minorHAnsi"/>
          <w:i/>
          <w:iCs/>
          <w:sz w:val="24"/>
          <w:szCs w:val="24"/>
          <w:lang w:eastAsia="en-GB"/>
        </w:rPr>
        <w:t>Neath Port Talbot Youth Justice Service rated ‘Good’ and making ‘significant progress’</w:t>
      </w:r>
      <w:r w:rsidRPr="009564B1">
        <w:rPr>
          <w:rFonts w:eastAsia="Times New Roman" w:cstheme="minorHAnsi"/>
          <w:sz w:val="24"/>
          <w:szCs w:val="24"/>
          <w:lang w:eastAsia="en-GB"/>
        </w:rPr>
        <w:t>. [online] www.justiceinspectorates.gov.uk. Available at: https://www.justiceinspectorates.gov.uk/hmiprobation/media/press-releases/2022/05/npt-yjs/ [Accessed 7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HMIC (2015). </w:t>
      </w:r>
      <w:r w:rsidRPr="009A1F11">
        <w:rPr>
          <w:rFonts w:eastAsia="Times New Roman" w:cstheme="minorHAnsi"/>
          <w:i/>
          <w:iCs/>
          <w:sz w:val="24"/>
          <w:szCs w:val="24"/>
          <w:lang w:eastAsia="en-GB"/>
        </w:rPr>
        <w:t>In harm’s way: The role of the police in keeping children safe</w:t>
      </w:r>
      <w:r w:rsidRPr="009A1F11">
        <w:rPr>
          <w:rFonts w:eastAsia="Times New Roman" w:cstheme="minorHAnsi"/>
          <w:sz w:val="24"/>
          <w:szCs w:val="24"/>
          <w:lang w:eastAsia="en-GB"/>
        </w:rPr>
        <w:t xml:space="preserve">. [online] p.9. Available at: </w:t>
      </w:r>
      <w:hyperlink r:id="rId8" w:history="1">
        <w:r w:rsidRPr="009A1F11">
          <w:rPr>
            <w:rStyle w:val="Hyperlink"/>
            <w:rFonts w:eastAsia="Times New Roman" w:cstheme="minorHAnsi"/>
            <w:color w:val="auto"/>
            <w:sz w:val="24"/>
            <w:szCs w:val="24"/>
            <w:u w:val="none"/>
            <w:lang w:eastAsia="en-GB"/>
          </w:rPr>
          <w:t>https://www.justiceinspectorates.gov.uk/hmicfrs/wp-content/uploads/in-harms-way.pdf</w:t>
        </w:r>
      </w:hyperlink>
      <w:r w:rsidRPr="009A1F11">
        <w:rPr>
          <w:rFonts w:eastAsia="Times New Roman" w:cstheme="minorHAnsi"/>
          <w:sz w:val="24"/>
          <w:szCs w:val="24"/>
          <w:lang w:eastAsia="en-GB"/>
        </w:rPr>
        <w:t>.</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Home Office (2013). </w:t>
      </w:r>
      <w:r w:rsidRPr="009A1F11">
        <w:rPr>
          <w:rFonts w:asciiTheme="minorHAnsi" w:hAnsiTheme="minorHAnsi" w:cstheme="minorHAnsi"/>
          <w:i/>
          <w:iCs/>
        </w:rPr>
        <w:t>Police and Criminal Evidence Act 1984 (PACE) codes of practice</w:t>
      </w:r>
      <w:r w:rsidRPr="009A1F11">
        <w:rPr>
          <w:rFonts w:asciiTheme="minorHAnsi" w:hAnsiTheme="minorHAnsi" w:cstheme="minorHAnsi"/>
        </w:rPr>
        <w:t>. [online] GOV.UK. Available at: https://www.gov.uk/guidance/police-and-criminal-evidence-act-1984-pace-codes-of-practice [Accessed 9 Sep.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Home Office (2013). </w:t>
      </w:r>
      <w:r w:rsidRPr="009A1F11">
        <w:rPr>
          <w:rFonts w:eastAsia="Times New Roman" w:cstheme="minorHAnsi"/>
          <w:i/>
          <w:iCs/>
          <w:sz w:val="24"/>
          <w:szCs w:val="24"/>
          <w:lang w:eastAsia="en-GB"/>
        </w:rPr>
        <w:t>Police and Criminal Evidence Act 1984 (PACE) codes of practice</w:t>
      </w:r>
      <w:r w:rsidRPr="009A1F11">
        <w:rPr>
          <w:rFonts w:eastAsia="Times New Roman" w:cstheme="minorHAnsi"/>
          <w:sz w:val="24"/>
          <w:szCs w:val="24"/>
          <w:lang w:eastAsia="en-GB"/>
        </w:rPr>
        <w:t>. [online] GOV.UK. Available at: https://www.gov.uk/guidance/police-and-criminal-evidence-act-1984-pace-codes-of-practice [Accessed 10 Sep.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Home Office (2015). </w:t>
      </w:r>
      <w:r w:rsidRPr="009A1F11">
        <w:rPr>
          <w:rFonts w:eastAsia="Times New Roman" w:cstheme="minorHAnsi"/>
          <w:i/>
          <w:iCs/>
          <w:sz w:val="24"/>
          <w:szCs w:val="24"/>
          <w:lang w:eastAsia="en-GB"/>
        </w:rPr>
        <w:t>CODE A Revised Code of Practice for the exercise by: Police Offcers of Statutory Powers of stop and search Police Offcers and Police Staff of requirements to record public encounters C o d e A</w:t>
      </w:r>
      <w:r w:rsidRPr="009A1F11">
        <w:rPr>
          <w:rFonts w:eastAsia="Times New Roman" w:cstheme="minorHAnsi"/>
          <w:sz w:val="24"/>
          <w:szCs w:val="24"/>
          <w:lang w:eastAsia="en-GB"/>
        </w:rPr>
        <w:t>. [online] Available at: https://assets.publishing.service.gov.uk/government/uploads/system/uploads/attachment_data/file/903810/pace-code-a-2015.pdf [Accessed 10 Sep. 2022].</w:t>
      </w:r>
    </w:p>
    <w:p w:rsidR="009A1F11" w:rsidRPr="009A1F11" w:rsidRDefault="009A1F11" w:rsidP="00B25764">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Home office (2018). </w:t>
      </w:r>
      <w:r w:rsidRPr="009A1F11">
        <w:rPr>
          <w:rFonts w:eastAsia="Times New Roman" w:cstheme="minorHAnsi"/>
          <w:i/>
          <w:iCs/>
          <w:sz w:val="24"/>
          <w:szCs w:val="24"/>
          <w:lang w:eastAsia="en-GB"/>
        </w:rPr>
        <w:t>Early Intervention Youth Fund Prospectus</w:t>
      </w:r>
      <w:r w:rsidRPr="009A1F11">
        <w:rPr>
          <w:rFonts w:eastAsia="Times New Roman" w:cstheme="minorHAnsi"/>
          <w:sz w:val="24"/>
          <w:szCs w:val="24"/>
          <w:lang w:eastAsia="en-GB"/>
        </w:rPr>
        <w:t>. [online] pp.2–6. Available at: https://assets.publishing.service.gov.uk/government/uploads/system/uploads/attachment_data/file/730217/Prospectus_final.pdf [Accessed 6 Nov. 2022].</w:t>
      </w:r>
    </w:p>
    <w:p w:rsidR="009A1F11" w:rsidRPr="009A1F11" w:rsidRDefault="009A1F11" w:rsidP="00B25764">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lastRenderedPageBreak/>
        <w:t xml:space="preserve">Home Office (2018). </w:t>
      </w:r>
      <w:r w:rsidRPr="009A1F11">
        <w:rPr>
          <w:rFonts w:eastAsia="Times New Roman" w:cstheme="minorHAnsi"/>
          <w:i/>
          <w:iCs/>
          <w:sz w:val="24"/>
          <w:szCs w:val="24"/>
          <w:lang w:eastAsia="en-GB"/>
        </w:rPr>
        <w:t>Home Secretary launches and doubles the early intervention youth fund</w:t>
      </w:r>
      <w:r w:rsidRPr="009A1F11">
        <w:rPr>
          <w:rFonts w:eastAsia="Times New Roman" w:cstheme="minorHAnsi"/>
          <w:sz w:val="24"/>
          <w:szCs w:val="24"/>
          <w:lang w:eastAsia="en-GB"/>
        </w:rPr>
        <w:t>. [online] GOV.UK. Available at: https://www.gov.uk/government/news/home-secretary-launches-and-doubles-the-early-intervention-youth-fund [Accessed 6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Hub, S. (2018a). </w:t>
      </w:r>
      <w:r w:rsidRPr="009A1F11">
        <w:rPr>
          <w:rFonts w:eastAsia="Times New Roman" w:cstheme="minorHAnsi"/>
          <w:i/>
          <w:iCs/>
          <w:sz w:val="24"/>
          <w:szCs w:val="24"/>
          <w:lang w:eastAsia="en-GB"/>
        </w:rPr>
        <w:t>Child Abduction Warning Notices (CAWN’s)</w:t>
      </w:r>
      <w:r w:rsidRPr="009A1F11">
        <w:rPr>
          <w:rFonts w:eastAsia="Times New Roman" w:cstheme="minorHAnsi"/>
          <w:sz w:val="24"/>
          <w:szCs w:val="24"/>
          <w:lang w:eastAsia="en-GB"/>
        </w:rPr>
        <w:t>. [online] Safeguarding Hub. Available at: https://safeguardinghub.co.uk/child-abduction-warning-notices-cawns/ [Accessed 1 Oct.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Hub, S. (2018b). </w:t>
      </w:r>
      <w:r w:rsidRPr="009A1F11">
        <w:rPr>
          <w:rFonts w:eastAsia="Times New Roman" w:cstheme="minorHAnsi"/>
          <w:i/>
          <w:iCs/>
          <w:sz w:val="24"/>
          <w:szCs w:val="24"/>
          <w:lang w:eastAsia="en-GB"/>
        </w:rPr>
        <w:t>County Lines – Get a step ahead by improving your knowledge</w:t>
      </w:r>
      <w:r w:rsidRPr="009A1F11">
        <w:rPr>
          <w:rFonts w:eastAsia="Times New Roman" w:cstheme="minorHAnsi"/>
          <w:sz w:val="24"/>
          <w:szCs w:val="24"/>
          <w:lang w:eastAsia="en-GB"/>
        </w:rPr>
        <w:t>. [online] Safeguarding Hub. Available at: https://safeguardinghub.co.uk/county-lines-get-a-step-ahead-by-improving-your-knowledge/#:~:text=It%20should%20be%20best%20practice%20for%20police%20missing [Accessed 1 Oct.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Hughes, D. (2019). </w:t>
      </w:r>
      <w:r w:rsidRPr="009A1F11">
        <w:rPr>
          <w:rFonts w:asciiTheme="minorHAnsi" w:hAnsiTheme="minorHAnsi" w:cstheme="minorHAnsi"/>
          <w:i/>
          <w:iCs/>
        </w:rPr>
        <w:t>The murder of Maxwell Confait is featured on Catching Britain’s Killers tonight</w:t>
      </w:r>
      <w:r w:rsidRPr="009A1F11">
        <w:rPr>
          <w:rFonts w:asciiTheme="minorHAnsi" w:hAnsiTheme="minorHAnsi" w:cstheme="minorHAnsi"/>
        </w:rPr>
        <w:t>. [online] inews.co.uk. Available at: https://inews.co.uk/culture/television/maxwell-confait-murder-catching-britains-killers-the-crimes-that-changed-us-bbc-two-354315 [Accessed 9 Sep.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John, C. (2009). </w:t>
      </w:r>
      <w:r w:rsidRPr="009A1F11">
        <w:rPr>
          <w:rFonts w:asciiTheme="minorHAnsi" w:hAnsiTheme="minorHAnsi" w:cstheme="minorHAnsi"/>
          <w:i/>
          <w:iCs/>
        </w:rPr>
        <w:t>BBC NEWS | UK | The legacy of the Brixton riots</w:t>
      </w:r>
      <w:r w:rsidRPr="009A1F11">
        <w:rPr>
          <w:rFonts w:asciiTheme="minorHAnsi" w:hAnsiTheme="minorHAnsi" w:cstheme="minorHAnsi"/>
        </w:rPr>
        <w:t>. [online] Bbc.co.uk. Available at: http://news.bbc.co.uk/1/hi/uk/4854556.stm [Accessed 9 Sep.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Laver, N. (2016). </w:t>
      </w:r>
      <w:r w:rsidRPr="009A1F11">
        <w:rPr>
          <w:rFonts w:eastAsia="Times New Roman" w:cstheme="minorHAnsi"/>
          <w:i/>
          <w:iCs/>
          <w:sz w:val="24"/>
          <w:szCs w:val="24"/>
          <w:lang w:eastAsia="en-GB"/>
        </w:rPr>
        <w:t>What is the sex offenders register and when will someone be put on it? - InBrief.co.uk</w:t>
      </w:r>
      <w:r w:rsidRPr="009A1F11">
        <w:rPr>
          <w:rFonts w:eastAsia="Times New Roman" w:cstheme="minorHAnsi"/>
          <w:sz w:val="24"/>
          <w:szCs w:val="24"/>
          <w:lang w:eastAsia="en-GB"/>
        </w:rPr>
        <w:t>. [online] InBrief.co.uk. Available at: https://www.inbrief.co.uk/offences/the-sex-offenders-register/ [Accessed 12 Oct.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Lee, E. (2022). </w:t>
      </w:r>
      <w:r w:rsidRPr="009A1F11">
        <w:rPr>
          <w:rFonts w:eastAsia="Times New Roman" w:cstheme="minorHAnsi"/>
          <w:i/>
          <w:iCs/>
          <w:sz w:val="24"/>
          <w:szCs w:val="24"/>
          <w:lang w:eastAsia="en-GB"/>
        </w:rPr>
        <w:t>What is Cuckooing?</w:t>
      </w:r>
      <w:r w:rsidRPr="009A1F11">
        <w:rPr>
          <w:rFonts w:eastAsia="Times New Roman" w:cstheme="minorHAnsi"/>
          <w:sz w:val="24"/>
          <w:szCs w:val="24"/>
          <w:lang w:eastAsia="en-GB"/>
        </w:rPr>
        <w:t xml:space="preserve"> [online] CPD Online College. Available at: https://cpdonline.co.uk/knowledge-base/safeguarding/cuckooing/ [Accessed 29 Sep.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Legislation.gov (2012). </w:t>
      </w:r>
      <w:r w:rsidRPr="009A1F11">
        <w:rPr>
          <w:rFonts w:eastAsia="Times New Roman" w:cstheme="minorHAnsi"/>
          <w:i/>
          <w:iCs/>
          <w:sz w:val="24"/>
          <w:szCs w:val="24"/>
          <w:lang w:eastAsia="en-GB"/>
        </w:rPr>
        <w:t>Sexual Offences Act 2003 Section 66</w:t>
      </w:r>
      <w:r w:rsidRPr="009A1F11">
        <w:rPr>
          <w:rFonts w:eastAsia="Times New Roman" w:cstheme="minorHAnsi"/>
          <w:sz w:val="24"/>
          <w:szCs w:val="24"/>
          <w:lang w:eastAsia="en-GB"/>
        </w:rPr>
        <w:t xml:space="preserve">. [online] Legislation.gov.uk. Available at: </w:t>
      </w:r>
      <w:hyperlink r:id="rId9" w:history="1">
        <w:r w:rsidRPr="009A1F11">
          <w:rPr>
            <w:rStyle w:val="Hyperlink"/>
            <w:rFonts w:eastAsia="Times New Roman" w:cstheme="minorHAnsi"/>
            <w:color w:val="auto"/>
            <w:sz w:val="24"/>
            <w:szCs w:val="24"/>
            <w:u w:val="none"/>
            <w:lang w:eastAsia="en-GB"/>
          </w:rPr>
          <w:t>https://www.legislation.gov.uk/ukpga/2003/42/section/66</w:t>
        </w:r>
      </w:hyperlink>
      <w:r w:rsidRPr="009A1F11">
        <w:rPr>
          <w:rFonts w:eastAsia="Times New Roman" w:cstheme="minorHAnsi"/>
          <w:sz w:val="24"/>
          <w:szCs w:val="24"/>
          <w:lang w:eastAsia="en-GB"/>
        </w:rPr>
        <w:t>.</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Legislation.gov (2019). </w:t>
      </w:r>
      <w:r w:rsidRPr="009A1F11">
        <w:rPr>
          <w:rFonts w:eastAsia="Times New Roman" w:cstheme="minorHAnsi"/>
          <w:i/>
          <w:iCs/>
          <w:sz w:val="24"/>
          <w:szCs w:val="24"/>
          <w:lang w:eastAsia="en-GB"/>
        </w:rPr>
        <w:t>Child Abduction Act 1984</w:t>
      </w:r>
      <w:r w:rsidRPr="009A1F11">
        <w:rPr>
          <w:rFonts w:eastAsia="Times New Roman" w:cstheme="minorHAnsi"/>
          <w:sz w:val="24"/>
          <w:szCs w:val="24"/>
          <w:lang w:eastAsia="en-GB"/>
        </w:rPr>
        <w:t>. [online] Legislation.gov.uk. Available at: https://www.legislation.gov.uk/ukpga/1984/37/section/2 [Accessed 1 Oct.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lastRenderedPageBreak/>
        <w:t xml:space="preserve">legislation.gov.uk (2012). </w:t>
      </w:r>
      <w:r w:rsidRPr="009A1F11">
        <w:rPr>
          <w:rFonts w:eastAsia="Times New Roman" w:cstheme="minorHAnsi"/>
          <w:i/>
          <w:iCs/>
          <w:sz w:val="24"/>
          <w:szCs w:val="24"/>
          <w:lang w:eastAsia="en-GB"/>
        </w:rPr>
        <w:t>Sexual Offences Act 2003 Section 1</w:t>
      </w:r>
      <w:r w:rsidRPr="009A1F11">
        <w:rPr>
          <w:rFonts w:eastAsia="Times New Roman" w:cstheme="minorHAnsi"/>
          <w:sz w:val="24"/>
          <w:szCs w:val="24"/>
          <w:lang w:eastAsia="en-GB"/>
        </w:rPr>
        <w:t xml:space="preserve">. [online] Legislation.gov.uk. Available at: </w:t>
      </w:r>
      <w:hyperlink r:id="rId10" w:history="1">
        <w:r w:rsidRPr="009A1F11">
          <w:rPr>
            <w:rStyle w:val="Hyperlink"/>
            <w:rFonts w:eastAsia="Times New Roman" w:cstheme="minorHAnsi"/>
            <w:color w:val="auto"/>
            <w:sz w:val="24"/>
            <w:szCs w:val="24"/>
            <w:u w:val="none"/>
            <w:lang w:eastAsia="en-GB"/>
          </w:rPr>
          <w:t>https://www.legislation.gov.uk/ukpga/2003/42/section/1</w:t>
        </w:r>
      </w:hyperlink>
      <w:r w:rsidRPr="009A1F11">
        <w:rPr>
          <w:rFonts w:eastAsia="Times New Roman" w:cstheme="minorHAnsi"/>
          <w:sz w:val="24"/>
          <w:szCs w:val="24"/>
          <w:lang w:eastAsia="en-GB"/>
        </w:rPr>
        <w:t>.</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Legislation.gov.uk (2019). </w:t>
      </w:r>
      <w:r w:rsidRPr="009A1F11">
        <w:rPr>
          <w:rFonts w:eastAsia="Times New Roman" w:cstheme="minorHAnsi"/>
          <w:i/>
          <w:iCs/>
          <w:sz w:val="24"/>
          <w:szCs w:val="24"/>
          <w:lang w:eastAsia="en-GB"/>
        </w:rPr>
        <w:t>Police and Criminal Evidence Act 1984</w:t>
      </w:r>
      <w:r w:rsidRPr="009A1F11">
        <w:rPr>
          <w:rFonts w:eastAsia="Times New Roman" w:cstheme="minorHAnsi"/>
          <w:sz w:val="24"/>
          <w:szCs w:val="24"/>
          <w:lang w:eastAsia="en-GB"/>
        </w:rPr>
        <w:t>. [online] Legislation.gov.uk. Available at: https://www.legislation.gov.uk/ukpga/1984/60/section/1 [Accessed 10 Sep. 2022].</w:t>
      </w:r>
    </w:p>
    <w:p w:rsidR="009A1F11" w:rsidRPr="0099047C" w:rsidRDefault="009A1F11" w:rsidP="00B25764">
      <w:pPr>
        <w:spacing w:after="240" w:line="360" w:lineRule="auto"/>
        <w:rPr>
          <w:rFonts w:eastAsia="Times New Roman" w:cstheme="minorHAnsi"/>
          <w:sz w:val="24"/>
          <w:szCs w:val="24"/>
          <w:lang w:eastAsia="en-GB"/>
        </w:rPr>
      </w:pPr>
      <w:r w:rsidRPr="0099047C">
        <w:rPr>
          <w:rFonts w:eastAsia="Times New Roman" w:cstheme="minorHAnsi"/>
          <w:sz w:val="24"/>
          <w:szCs w:val="24"/>
          <w:lang w:eastAsia="en-GB"/>
        </w:rPr>
        <w:t xml:space="preserve">Leic.PCC (n.d.). </w:t>
      </w:r>
      <w:r w:rsidRPr="0099047C">
        <w:rPr>
          <w:rFonts w:eastAsia="Times New Roman" w:cstheme="minorHAnsi"/>
          <w:i/>
          <w:iCs/>
          <w:sz w:val="24"/>
          <w:szCs w:val="24"/>
          <w:lang w:eastAsia="en-GB"/>
        </w:rPr>
        <w:t>Out of Court Disposals</w:t>
      </w:r>
      <w:r w:rsidRPr="0099047C">
        <w:rPr>
          <w:rFonts w:eastAsia="Times New Roman" w:cstheme="minorHAnsi"/>
          <w:sz w:val="24"/>
          <w:szCs w:val="24"/>
          <w:lang w:eastAsia="en-GB"/>
        </w:rPr>
        <w:t>. [online] www.leics.pcc.police.uk. Available at: https://www.leics.pcc.police.uk/Transparency/Meetings/Out-of-Court-Disposals/Out-of-Court-Disposals.aspx [Accessed 7 Nov.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Local Government Association (n.d.). </w:t>
      </w:r>
      <w:r w:rsidRPr="009A1F11">
        <w:rPr>
          <w:rFonts w:asciiTheme="minorHAnsi" w:hAnsiTheme="minorHAnsi" w:cstheme="minorHAnsi"/>
          <w:i/>
          <w:iCs/>
        </w:rPr>
        <w:t>Tackling serious and organised crime a local response Report</w:t>
      </w:r>
      <w:r w:rsidRPr="009A1F11">
        <w:rPr>
          <w:rFonts w:asciiTheme="minorHAnsi" w:hAnsiTheme="minorHAnsi" w:cstheme="minorHAnsi"/>
        </w:rPr>
        <w:t>. [online] Available at: https://www.local.gov.uk/sites/default/files/documents/tackling-serious-and-orga-44a.pdf [Accessed 23 Sep.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Lockwood, M. (2021). </w:t>
      </w:r>
      <w:r w:rsidRPr="009A1F11">
        <w:rPr>
          <w:rFonts w:asciiTheme="minorHAnsi" w:hAnsiTheme="minorHAnsi" w:cstheme="minorHAnsi"/>
          <w:i/>
          <w:iCs/>
        </w:rPr>
        <w:t>Remembering Stephen Lawrence | Independent Office for Police Conduct</w:t>
      </w:r>
      <w:r w:rsidRPr="009A1F11">
        <w:rPr>
          <w:rFonts w:asciiTheme="minorHAnsi" w:hAnsiTheme="minorHAnsi" w:cstheme="minorHAnsi"/>
        </w:rPr>
        <w:t>. [online] www.policeconduct.gov.uk. Available at: https://www.policeconduct.gov.uk/remembering-stephen-lawrence [Accessed 9 Sep. 2022].</w:t>
      </w:r>
    </w:p>
    <w:p w:rsidR="009A1F11" w:rsidRPr="00094C7C" w:rsidRDefault="009A1F11" w:rsidP="00B25764">
      <w:pPr>
        <w:spacing w:after="240" w:line="360" w:lineRule="auto"/>
        <w:rPr>
          <w:rFonts w:eastAsia="Times New Roman" w:cstheme="minorHAnsi"/>
          <w:sz w:val="24"/>
          <w:szCs w:val="24"/>
          <w:lang w:eastAsia="en-GB"/>
        </w:rPr>
      </w:pPr>
      <w:r w:rsidRPr="00094C7C">
        <w:rPr>
          <w:rFonts w:eastAsia="Times New Roman" w:cstheme="minorHAnsi"/>
          <w:sz w:val="24"/>
          <w:szCs w:val="24"/>
          <w:lang w:eastAsia="en-GB"/>
        </w:rPr>
        <w:t xml:space="preserve">Ministry of Justice (2013). </w:t>
      </w:r>
      <w:r w:rsidRPr="00094C7C">
        <w:rPr>
          <w:rFonts w:eastAsia="Times New Roman" w:cstheme="minorHAnsi"/>
          <w:i/>
          <w:iCs/>
          <w:sz w:val="24"/>
          <w:szCs w:val="24"/>
          <w:lang w:eastAsia="en-GB"/>
        </w:rPr>
        <w:t>Code of Practice for Youth Conditional Cautions</w:t>
      </w:r>
      <w:r w:rsidRPr="00094C7C">
        <w:rPr>
          <w:rFonts w:eastAsia="Times New Roman" w:cstheme="minorHAnsi"/>
          <w:sz w:val="24"/>
          <w:szCs w:val="24"/>
          <w:lang w:eastAsia="en-GB"/>
        </w:rPr>
        <w:t>. [online] pp.3–12. Available at: https://assets.publishing.service.gov.uk/government/uploads/system/uploads/attachment_data/file/243443/9780108512179.pdf [Accessed 7 Nov.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NACRO (n.d.). </w:t>
      </w:r>
      <w:r w:rsidRPr="009A1F11">
        <w:rPr>
          <w:rFonts w:asciiTheme="minorHAnsi" w:hAnsiTheme="minorHAnsi" w:cstheme="minorHAnsi"/>
          <w:i/>
          <w:iCs/>
        </w:rPr>
        <w:t>Advice for people under MAPPA | What is MAPPA?</w:t>
      </w:r>
      <w:r w:rsidRPr="009A1F11">
        <w:rPr>
          <w:rFonts w:asciiTheme="minorHAnsi" w:hAnsiTheme="minorHAnsi" w:cstheme="minorHAnsi"/>
        </w:rPr>
        <w:t xml:space="preserve"> [online] Nacro. Available at: https://www.nacro.org.uk/criminal-record-support-service/support-for-individuals/advice-prisoners-people-licence-sex-offenders-mappa/advice-people-mappa/#:~:text=MAPPA%20allows%20agencies%20to%20assess%20and%20manage%20offenders [Accessed 11 Oct.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NSPCC (2019). </w:t>
      </w:r>
      <w:r w:rsidRPr="009A1F11">
        <w:rPr>
          <w:rFonts w:eastAsia="Times New Roman" w:cstheme="minorHAnsi"/>
          <w:i/>
          <w:iCs/>
          <w:sz w:val="24"/>
          <w:szCs w:val="24"/>
          <w:lang w:eastAsia="en-GB"/>
        </w:rPr>
        <w:t>Criminal exploitation and gangs</w:t>
      </w:r>
      <w:r w:rsidRPr="009A1F11">
        <w:rPr>
          <w:rFonts w:eastAsia="Times New Roman" w:cstheme="minorHAnsi"/>
          <w:sz w:val="24"/>
          <w:szCs w:val="24"/>
          <w:lang w:eastAsia="en-GB"/>
        </w:rPr>
        <w:t>. [online] NSPCC. Available at: https://www.nspcc.org.uk/what-is-child-abuse/types-of-abuse/gangs-criminal-exploitation/ [Accessed 29 Sep. 2022].</w:t>
      </w:r>
    </w:p>
    <w:p w:rsidR="009A1F11" w:rsidRPr="009A1F11" w:rsidRDefault="009A1F11" w:rsidP="00B25764">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lastRenderedPageBreak/>
        <w:t xml:space="preserve">PCC of Cambridgeshire police (2021). </w:t>
      </w:r>
      <w:r w:rsidRPr="009A1F11">
        <w:rPr>
          <w:rFonts w:eastAsia="Times New Roman" w:cstheme="minorHAnsi"/>
          <w:i/>
          <w:iCs/>
          <w:sz w:val="24"/>
          <w:szCs w:val="24"/>
          <w:lang w:eastAsia="en-GB"/>
        </w:rPr>
        <w:t>The Police &amp; Crime Commissioner for Cambridgeshire | Police Commissioner supports programme to prevent crime through early intervention in Cambridgeshire and Peterborough</w:t>
      </w:r>
      <w:r w:rsidRPr="009A1F11">
        <w:rPr>
          <w:rFonts w:eastAsia="Times New Roman" w:cstheme="minorHAnsi"/>
          <w:sz w:val="24"/>
          <w:szCs w:val="24"/>
          <w:lang w:eastAsia="en-GB"/>
        </w:rPr>
        <w:t>. [online] www.cambridgeshire-pcc.gov.uk. Available at: https://www.cambridgeshire-pcc.gov.uk/police-commissioner-supports-programme-to-prevent-crime-through-early-intervention-in-cambridgeshire-and-peterborough/ [Accessed 7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Pellman, J. (2021). </w:t>
      </w:r>
      <w:r w:rsidRPr="009A1F11">
        <w:rPr>
          <w:rFonts w:eastAsia="Times New Roman" w:cstheme="minorHAnsi"/>
          <w:i/>
          <w:iCs/>
          <w:sz w:val="24"/>
          <w:szCs w:val="24"/>
          <w:lang w:eastAsia="en-GB"/>
        </w:rPr>
        <w:t>What Is Grievous Bodily Harm (GBH)? Everything You Need To Know.</w:t>
      </w:r>
      <w:r w:rsidRPr="009A1F11">
        <w:rPr>
          <w:rFonts w:eastAsia="Times New Roman" w:cstheme="minorHAnsi"/>
          <w:sz w:val="24"/>
          <w:szCs w:val="24"/>
          <w:lang w:eastAsia="en-GB"/>
        </w:rPr>
        <w:t xml:space="preserve"> [online] Britton &amp; Time Solicitors. Available at: https://brittontime.com/2021/08/06/what-is-grievous-bodily-harm-gbh-everything-you-need-to-know/ [Accessed 3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Preventing Exploitation Toolkit. (n.d.). </w:t>
      </w:r>
      <w:r w:rsidRPr="009A1F11">
        <w:rPr>
          <w:rFonts w:eastAsia="Times New Roman" w:cstheme="minorHAnsi"/>
          <w:i/>
          <w:iCs/>
          <w:sz w:val="24"/>
          <w:szCs w:val="24"/>
          <w:lang w:eastAsia="en-GB"/>
        </w:rPr>
        <w:t>What is exploitation?</w:t>
      </w:r>
      <w:r w:rsidRPr="009A1F11">
        <w:rPr>
          <w:rFonts w:eastAsia="Times New Roman" w:cstheme="minorHAnsi"/>
          <w:sz w:val="24"/>
          <w:szCs w:val="24"/>
          <w:lang w:eastAsia="en-GB"/>
        </w:rPr>
        <w:t xml:space="preserve"> [online] Available at: https://www.preventingexploitationtoolkit.org.uk/home/what-is-exploitation/.</w:t>
      </w:r>
    </w:p>
    <w:p w:rsidR="009A1F11" w:rsidRPr="009A1F11" w:rsidRDefault="009A1F11" w:rsidP="009A1F11">
      <w:pPr>
        <w:rPr>
          <w:rFonts w:cstheme="minorHAnsi"/>
          <w:sz w:val="24"/>
          <w:szCs w:val="24"/>
        </w:rPr>
      </w:pPr>
      <w:r w:rsidRPr="009A1F11">
        <w:rPr>
          <w:rFonts w:cstheme="minorHAnsi"/>
          <w:sz w:val="24"/>
          <w:szCs w:val="24"/>
        </w:rPr>
        <w:t>Quinn, B. (2019). Macpherson report: what was it and what impact did it have? [online] the Guardian. Available at: https://www.theguardian.com/uk-news/2019/feb/22/macpherson-report-what-was-it-and-what-impact-did-it-have [Accessed 19 Sep.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Richards, L. (2009). </w:t>
      </w:r>
      <w:r w:rsidRPr="009A1F11">
        <w:rPr>
          <w:rFonts w:eastAsia="Times New Roman" w:cstheme="minorHAnsi"/>
          <w:i/>
          <w:iCs/>
          <w:sz w:val="24"/>
          <w:szCs w:val="24"/>
          <w:lang w:eastAsia="en-GB"/>
        </w:rPr>
        <w:t>Domestic Abuse, Stalking and Harassment and Honour Based Violence (DASH, 2009) Risk Identification and Assessment and Management Model</w:t>
      </w:r>
      <w:r w:rsidRPr="009A1F11">
        <w:rPr>
          <w:rFonts w:eastAsia="Times New Roman" w:cstheme="minorHAnsi"/>
          <w:sz w:val="24"/>
          <w:szCs w:val="24"/>
          <w:lang w:eastAsia="en-GB"/>
        </w:rPr>
        <w:t>. [online] Available at: https://www.dashriskchecklist.co.uk/wp-content/uploads/2021/12/DASH-2009.pdf [Accessed 4 Nov. 2022].</w:t>
      </w:r>
    </w:p>
    <w:p w:rsidR="009A1F11" w:rsidRPr="009A1F11" w:rsidRDefault="009A1F11" w:rsidP="009A1F11">
      <w:pPr>
        <w:rPr>
          <w:rFonts w:cstheme="minorHAnsi"/>
          <w:sz w:val="24"/>
          <w:szCs w:val="24"/>
        </w:rPr>
      </w:pPr>
      <w:r w:rsidRPr="009A1F11">
        <w:rPr>
          <w:rFonts w:cstheme="minorHAnsi"/>
          <w:sz w:val="24"/>
          <w:szCs w:val="24"/>
        </w:rPr>
        <w:t>South Wales Police (n.d.). Our recruitment commitment. [online] South Wales Police. Available at: https://www.south-wales.police.uk/police-forces/south-wales-police/areas/careers/careers/equality-diversity-and-inclusion-recruitment/our-recruitment-commitment/#:~:text=South%20Wales%20Police%20is%20an%20equal%20opportunities%20employer,any%20form%20of%20harassment%2C%20intimidation%2C%20bullying%20or%20victimisation. [Accessed 19 Sep. 2022].</w:t>
      </w:r>
    </w:p>
    <w:p w:rsidR="009A1F11" w:rsidRPr="009A1F11" w:rsidRDefault="009A1F11" w:rsidP="009A1F11">
      <w:pPr>
        <w:rPr>
          <w:rFonts w:cstheme="minorHAnsi"/>
          <w:sz w:val="24"/>
          <w:szCs w:val="24"/>
          <w:shd w:val="clear" w:color="auto" w:fill="FFFFFF"/>
        </w:rPr>
      </w:pPr>
      <w:r w:rsidRPr="009A1F11">
        <w:rPr>
          <w:rFonts w:cstheme="minorHAnsi"/>
          <w:sz w:val="24"/>
          <w:szCs w:val="24"/>
          <w:shd w:val="clear" w:color="auto" w:fill="FFFFFF"/>
        </w:rPr>
        <w:t>South Wales Police. 2022. </w:t>
      </w:r>
      <w:r w:rsidRPr="009A1F11">
        <w:rPr>
          <w:rFonts w:cstheme="minorHAnsi"/>
          <w:i/>
          <w:iCs/>
          <w:sz w:val="24"/>
          <w:szCs w:val="24"/>
          <w:shd w:val="clear" w:color="auto" w:fill="FFFFFF"/>
        </w:rPr>
        <w:t>Our vision, values and ethics</w:t>
      </w:r>
      <w:r w:rsidRPr="009A1F11">
        <w:rPr>
          <w:rFonts w:cstheme="minorHAnsi"/>
          <w:sz w:val="24"/>
          <w:szCs w:val="24"/>
          <w:shd w:val="clear" w:color="auto" w:fill="FFFFFF"/>
        </w:rPr>
        <w:t>. Available at: &lt;https://www.south-wales.police.uk/police-forces/south-wales-police/areas/about-us/about-us/our-vision-values-and-ethics/&gt; [Accessed 9 September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The Children's Society (n.d.). </w:t>
      </w:r>
      <w:r w:rsidRPr="009A1F11">
        <w:rPr>
          <w:rFonts w:eastAsia="Times New Roman" w:cstheme="minorHAnsi"/>
          <w:i/>
          <w:iCs/>
          <w:sz w:val="24"/>
          <w:szCs w:val="24"/>
          <w:lang w:eastAsia="en-GB"/>
        </w:rPr>
        <w:t>What Is County Lines? | The Children’s Society</w:t>
      </w:r>
      <w:r w:rsidRPr="009A1F11">
        <w:rPr>
          <w:rFonts w:eastAsia="Times New Roman" w:cstheme="minorHAnsi"/>
          <w:sz w:val="24"/>
          <w:szCs w:val="24"/>
          <w:lang w:eastAsia="en-GB"/>
        </w:rPr>
        <w:t>. [online] www.childrenssociety.org.uk. Available at: https://www.childrenssociety.org.uk/what-we-do/our-work/child-criminal-exploitation-and-county-lines/what-is-county-lines [Accessed 27 Sep. 2022].</w:t>
      </w:r>
    </w:p>
    <w:p w:rsidR="009A1F11" w:rsidRPr="009A1F11" w:rsidRDefault="009A1F11" w:rsidP="00B25764">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lastRenderedPageBreak/>
        <w:t xml:space="preserve">The Shewsy (n.d.). </w:t>
      </w:r>
      <w:r w:rsidRPr="009A1F11">
        <w:rPr>
          <w:rFonts w:asciiTheme="minorHAnsi" w:hAnsiTheme="minorHAnsi" w:cstheme="minorHAnsi"/>
          <w:i/>
          <w:iCs/>
        </w:rPr>
        <w:t>Early Intervention Youth Fund ( EIYF) – Shrewsbury House</w:t>
      </w:r>
      <w:r w:rsidRPr="009A1F11">
        <w:rPr>
          <w:rFonts w:asciiTheme="minorHAnsi" w:hAnsiTheme="minorHAnsi" w:cstheme="minorHAnsi"/>
        </w:rPr>
        <w:t>. [online] The Shewsy Shrewsbury house. Available at: https://www.shrewsburyhouse.org.uk/2019/07/10/early-intervention-youth-fund-eiyf/#:~:text=The%20initial%20Early%20Intervention%20Youth%20Fund%20course%2C%20entitled [Accessed 6 Nov. 2022].</w:t>
      </w:r>
    </w:p>
    <w:p w:rsidR="009A1F11" w:rsidRPr="009A1F11" w:rsidRDefault="009A1F11" w:rsidP="00B25764">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Trevelyan, L. (n.d.). </w:t>
      </w:r>
      <w:r w:rsidRPr="009A1F11">
        <w:rPr>
          <w:rFonts w:asciiTheme="minorHAnsi" w:hAnsiTheme="minorHAnsi" w:cstheme="minorHAnsi"/>
          <w:i/>
          <w:iCs/>
        </w:rPr>
        <w:t>Young Offenders: Youth Offences and the pre-court Proceedure</w:t>
      </w:r>
      <w:r w:rsidRPr="009A1F11">
        <w:rPr>
          <w:rFonts w:asciiTheme="minorHAnsi" w:hAnsiTheme="minorHAnsi" w:cstheme="minorHAnsi"/>
        </w:rPr>
        <w:t>. InBrief.co.uk. Available at: https://www.inbrief.co.uk/court-proceedings/young-offenders/.</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Turner, E., Medina, J. and Brown, G. (2019). </w:t>
      </w:r>
      <w:r w:rsidRPr="009A1F11">
        <w:rPr>
          <w:rFonts w:eastAsia="Times New Roman" w:cstheme="minorHAnsi"/>
          <w:i/>
          <w:iCs/>
          <w:sz w:val="24"/>
          <w:szCs w:val="24"/>
          <w:lang w:eastAsia="en-GB"/>
        </w:rPr>
        <w:t>Validate User</w:t>
      </w:r>
      <w:r w:rsidRPr="009A1F11">
        <w:rPr>
          <w:rFonts w:eastAsia="Times New Roman" w:cstheme="minorHAnsi"/>
          <w:sz w:val="24"/>
          <w:szCs w:val="24"/>
          <w:lang w:eastAsia="en-GB"/>
        </w:rPr>
        <w:t>. [online] academic.oup.com. Available at: https://academic.oup.com/bjc/article/59/5/1013/5518314?login=false [Accessed 4 Nov. 2022].</w:t>
      </w:r>
    </w:p>
    <w:p w:rsidR="009A1F11" w:rsidRPr="00462E56" w:rsidRDefault="009A1F11" w:rsidP="00B25764">
      <w:pPr>
        <w:spacing w:after="240" w:line="360" w:lineRule="auto"/>
        <w:rPr>
          <w:rFonts w:eastAsia="Times New Roman" w:cstheme="minorHAnsi"/>
          <w:sz w:val="24"/>
          <w:szCs w:val="24"/>
          <w:lang w:eastAsia="en-GB"/>
        </w:rPr>
      </w:pPr>
      <w:r w:rsidRPr="00462E56">
        <w:rPr>
          <w:rFonts w:eastAsia="Times New Roman" w:cstheme="minorHAnsi"/>
          <w:sz w:val="24"/>
          <w:szCs w:val="24"/>
          <w:lang w:eastAsia="en-GB"/>
        </w:rPr>
        <w:t xml:space="preserve">Tyrell, K., Bond, E., Manning, M. and Dogaru, C. (2017). </w:t>
      </w:r>
      <w:r w:rsidRPr="00462E56">
        <w:rPr>
          <w:rFonts w:eastAsia="Times New Roman" w:cstheme="minorHAnsi"/>
          <w:i/>
          <w:iCs/>
          <w:sz w:val="24"/>
          <w:szCs w:val="24"/>
          <w:lang w:eastAsia="en-GB"/>
        </w:rPr>
        <w:t>Diversion, Prevention and Youth Justice: a model of integrated decision making</w:t>
      </w:r>
      <w:r w:rsidRPr="00462E56">
        <w:rPr>
          <w:rFonts w:eastAsia="Times New Roman" w:cstheme="minorHAnsi"/>
          <w:sz w:val="24"/>
          <w:szCs w:val="24"/>
          <w:lang w:eastAsia="en-GB"/>
        </w:rPr>
        <w:t>. [online] pp.4–5. Available at: https://oars.uos.ac.uk/1276/1/Diversion%20Evalution%20Report%202017.pdf [Accessed 7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Victim support (2021). </w:t>
      </w:r>
      <w:r w:rsidRPr="009A1F11">
        <w:rPr>
          <w:rFonts w:eastAsia="Times New Roman" w:cstheme="minorHAnsi"/>
          <w:i/>
          <w:iCs/>
          <w:sz w:val="24"/>
          <w:szCs w:val="24"/>
          <w:lang w:eastAsia="en-GB"/>
        </w:rPr>
        <w:t>2020-21 Annual Report and Accounts</w:t>
      </w:r>
      <w:r w:rsidRPr="009A1F11">
        <w:rPr>
          <w:rFonts w:eastAsia="Times New Roman" w:cstheme="minorHAnsi"/>
          <w:sz w:val="24"/>
          <w:szCs w:val="24"/>
          <w:lang w:eastAsia="en-GB"/>
        </w:rPr>
        <w:t>. [online] Available at: https://www.victimsupport.org.uk/wp-content/uploads/2021/11/Annual_Report_and_Accounts_2020-21.pdf [Accessed 5 Nov. 2022].</w:t>
      </w:r>
    </w:p>
    <w:p w:rsidR="009A1F11" w:rsidRPr="009A1F11" w:rsidRDefault="009A1F11" w:rsidP="009A1F11">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Warwickshire police (n.d.). </w:t>
      </w:r>
      <w:r w:rsidRPr="009A1F11">
        <w:rPr>
          <w:rFonts w:eastAsia="Times New Roman" w:cstheme="minorHAnsi"/>
          <w:i/>
          <w:iCs/>
          <w:sz w:val="24"/>
          <w:szCs w:val="24"/>
          <w:lang w:eastAsia="en-GB"/>
        </w:rPr>
        <w:t>Types of exploitation</w:t>
      </w:r>
      <w:r w:rsidRPr="009A1F11">
        <w:rPr>
          <w:rFonts w:eastAsia="Times New Roman" w:cstheme="minorHAnsi"/>
          <w:sz w:val="24"/>
          <w:szCs w:val="24"/>
          <w:lang w:eastAsia="en-GB"/>
        </w:rPr>
        <w:t>. [online] Warwickshire Police. Available at: https://www.warwickshire.police.uk/police-forces/warwickshire-police/areas/warwickshire-police/campaigns/campaigns/county-lines/types-of-exploitation/ [Accessed 27 Sep.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Weaver, M. (2021). </w:t>
      </w:r>
      <w:r w:rsidRPr="009A1F11">
        <w:rPr>
          <w:rFonts w:asciiTheme="minorHAnsi" w:hAnsiTheme="minorHAnsi" w:cstheme="minorHAnsi"/>
          <w:i/>
          <w:iCs/>
        </w:rPr>
        <w:t>Inquest into London Bridge attack deaths finds police and MI5 failings</w:t>
      </w:r>
      <w:r w:rsidRPr="009A1F11">
        <w:rPr>
          <w:rFonts w:asciiTheme="minorHAnsi" w:hAnsiTheme="minorHAnsi" w:cstheme="minorHAnsi"/>
        </w:rPr>
        <w:t>. [online] the Guardian. Available at: https://www.theguardian.com/uk-news/2021/may/28/inquest-into-london-bridge-attack-deaths-finds-police-and-mi5-failings [Accessed 11 Oct. 2022].</w:t>
      </w:r>
    </w:p>
    <w:p w:rsidR="009A1F11" w:rsidRPr="009A1F11" w:rsidRDefault="009A1F11" w:rsidP="009A1F11">
      <w:pPr>
        <w:pStyle w:val="NormalWeb"/>
        <w:spacing w:before="0" w:beforeAutospacing="0" w:after="240" w:afterAutospacing="0" w:line="360" w:lineRule="auto"/>
        <w:rPr>
          <w:rFonts w:asciiTheme="minorHAnsi" w:hAnsiTheme="minorHAnsi" w:cstheme="minorHAnsi"/>
        </w:rPr>
      </w:pPr>
      <w:r w:rsidRPr="009A1F11">
        <w:rPr>
          <w:rFonts w:asciiTheme="minorHAnsi" w:hAnsiTheme="minorHAnsi" w:cstheme="minorHAnsi"/>
        </w:rPr>
        <w:t xml:space="preserve">Wikipedia. (2022). </w:t>
      </w:r>
      <w:r w:rsidRPr="009A1F11">
        <w:rPr>
          <w:rFonts w:asciiTheme="minorHAnsi" w:hAnsiTheme="minorHAnsi" w:cstheme="minorHAnsi"/>
          <w:i/>
          <w:iCs/>
        </w:rPr>
        <w:t>Murder of Maxwell Confait</w:t>
      </w:r>
      <w:r w:rsidRPr="009A1F11">
        <w:rPr>
          <w:rFonts w:asciiTheme="minorHAnsi" w:hAnsiTheme="minorHAnsi" w:cstheme="minorHAnsi"/>
        </w:rPr>
        <w:t>. [online] Available at: https://en.wikipedia.org/wiki/Murder_of_Maxwell_Confait#Fisher_enquiry_and_report [Accessed 9 Sep. 2022].</w:t>
      </w:r>
    </w:p>
    <w:p w:rsidR="009A1F11" w:rsidRPr="009A1F11" w:rsidRDefault="009A1F11" w:rsidP="00B25764">
      <w:pPr>
        <w:spacing w:after="240" w:line="360" w:lineRule="auto"/>
        <w:rPr>
          <w:rFonts w:eastAsia="Times New Roman" w:cstheme="minorHAnsi"/>
          <w:sz w:val="24"/>
          <w:szCs w:val="24"/>
          <w:lang w:eastAsia="en-GB"/>
        </w:rPr>
      </w:pPr>
      <w:r w:rsidRPr="00DB78A5">
        <w:rPr>
          <w:rFonts w:eastAsia="Times New Roman" w:cstheme="minorHAnsi"/>
          <w:sz w:val="24"/>
          <w:szCs w:val="24"/>
          <w:lang w:eastAsia="en-GB"/>
        </w:rPr>
        <w:lastRenderedPageBreak/>
        <w:t xml:space="preserve">Youth Justice Legal Centre (n.d.). </w:t>
      </w:r>
      <w:r w:rsidRPr="00DB78A5">
        <w:rPr>
          <w:rFonts w:eastAsia="Times New Roman" w:cstheme="minorHAnsi"/>
          <w:i/>
          <w:iCs/>
          <w:sz w:val="24"/>
          <w:szCs w:val="24"/>
          <w:lang w:eastAsia="en-GB"/>
        </w:rPr>
        <w:t>Youth Caution | Youth Justice Legal Centre</w:t>
      </w:r>
      <w:r w:rsidRPr="00DB78A5">
        <w:rPr>
          <w:rFonts w:eastAsia="Times New Roman" w:cstheme="minorHAnsi"/>
          <w:sz w:val="24"/>
          <w:szCs w:val="24"/>
          <w:lang w:eastAsia="en-GB"/>
        </w:rPr>
        <w:t>. [online] yjlc.uk. Available at: https://yjlc.uk/resources/legal-terms-z/youth-caution#:~:text=A%20youth%20caution%20is%20a%20formal%20out%20of [Accessed 7 Nov. 2022].</w:t>
      </w:r>
    </w:p>
    <w:p w:rsidR="009A1F11" w:rsidRPr="009A1F11" w:rsidRDefault="009A1F11" w:rsidP="00B25764">
      <w:pPr>
        <w:spacing w:after="240" w:line="360" w:lineRule="auto"/>
        <w:rPr>
          <w:rFonts w:eastAsia="Times New Roman" w:cstheme="minorHAnsi"/>
          <w:sz w:val="24"/>
          <w:szCs w:val="24"/>
          <w:lang w:eastAsia="en-GB"/>
        </w:rPr>
      </w:pPr>
      <w:r w:rsidRPr="009A1F11">
        <w:rPr>
          <w:rFonts w:eastAsia="Times New Roman" w:cstheme="minorHAnsi"/>
          <w:sz w:val="24"/>
          <w:szCs w:val="24"/>
          <w:lang w:eastAsia="en-GB"/>
        </w:rPr>
        <w:t xml:space="preserve">Youth.gov (2000). </w:t>
      </w:r>
      <w:r w:rsidRPr="009A1F11">
        <w:rPr>
          <w:rFonts w:eastAsia="Times New Roman" w:cstheme="minorHAnsi"/>
          <w:i/>
          <w:iCs/>
          <w:sz w:val="24"/>
          <w:szCs w:val="24"/>
          <w:lang w:eastAsia="en-GB"/>
        </w:rPr>
        <w:t>Prevention &amp; Early Intervention | Youth.gov</w:t>
      </w:r>
      <w:r w:rsidRPr="009A1F11">
        <w:rPr>
          <w:rFonts w:eastAsia="Times New Roman" w:cstheme="minorHAnsi"/>
          <w:sz w:val="24"/>
          <w:szCs w:val="24"/>
          <w:lang w:eastAsia="en-GB"/>
        </w:rPr>
        <w:t>. [online] Youth.gov. Available at: https://youth.gov/youth-topics/juvenile-justice/prevention-and-early-intervention [Accessed 6 Nov. 2022].</w:t>
      </w:r>
    </w:p>
    <w:p w:rsidR="009A1F11" w:rsidRPr="000F64CC" w:rsidRDefault="009A1F11" w:rsidP="009A1F11">
      <w:pPr>
        <w:ind w:firstLine="720"/>
        <w:rPr>
          <w:rFonts w:ascii="Arial" w:hAnsi="Arial" w:cs="Arial"/>
          <w:color w:val="222222"/>
          <w:sz w:val="20"/>
          <w:szCs w:val="20"/>
          <w:shd w:val="clear" w:color="auto" w:fill="FFFFFF"/>
        </w:rPr>
      </w:pPr>
    </w:p>
    <w:p w:rsidR="00B25764" w:rsidRPr="00B25764" w:rsidRDefault="00B25764">
      <w:pPr>
        <w:rPr>
          <w:b/>
        </w:rPr>
      </w:pPr>
    </w:p>
    <w:sectPr w:rsidR="00B25764" w:rsidRPr="00B25764" w:rsidSect="009A1F1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F11" w:rsidRDefault="009A1F11" w:rsidP="009A1F11">
      <w:pPr>
        <w:spacing w:after="0" w:line="240" w:lineRule="auto"/>
      </w:pPr>
      <w:r>
        <w:separator/>
      </w:r>
    </w:p>
  </w:endnote>
  <w:endnote w:type="continuationSeparator" w:id="0">
    <w:p w:rsidR="009A1F11" w:rsidRDefault="009A1F11" w:rsidP="009A1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19F" w:rsidRDefault="0046619F" w:rsidP="0046619F">
    <w:pPr>
      <w:pStyle w:val="Footer"/>
      <w:rPr>
        <w:color w:val="000000"/>
        <w:sz w:val="17"/>
      </w:rPr>
    </w:pPr>
    <w:bookmarkStart w:id="3" w:name="TITUS1FooterEvenPages"/>
    <w:r w:rsidRPr="0046619F">
      <w:rPr>
        <w:color w:val="000000"/>
        <w:sz w:val="17"/>
      </w:rPr>
      <w:t> </w:t>
    </w:r>
  </w:p>
  <w:bookmarkEnd w:id="3"/>
  <w:p w:rsidR="0046619F" w:rsidRDefault="0046619F" w:rsidP="0046619F">
    <w:pPr>
      <w:pStyle w:val="Footer"/>
    </w:pPr>
  </w:p>
  <w:p w:rsidR="009A1F11" w:rsidRDefault="009A1F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F11" w:rsidRDefault="0046619F" w:rsidP="0046619F">
    <w:pPr>
      <w:pStyle w:val="Footer"/>
      <w:rPr>
        <w:color w:val="000000"/>
        <w:sz w:val="17"/>
      </w:rPr>
    </w:pPr>
    <w:bookmarkStart w:id="4" w:name="TITUS1FooterPrimary"/>
    <w:r>
      <w:rPr>
        <w:color w:val="000000"/>
        <w:sz w:val="17"/>
      </w:rPr>
      <w:t> </w:t>
    </w:r>
  </w:p>
  <w:bookmarkEnd w:id="4"/>
  <w:p w:rsidR="009A1F11" w:rsidRDefault="009A1F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F11" w:rsidRDefault="0046619F" w:rsidP="0046619F">
    <w:pPr>
      <w:pStyle w:val="Footer"/>
      <w:rPr>
        <w:color w:val="000000"/>
        <w:sz w:val="17"/>
      </w:rPr>
    </w:pPr>
    <w:bookmarkStart w:id="6" w:name="TITUS1FooterFirstPage"/>
    <w:r>
      <w:rPr>
        <w:color w:val="000000"/>
        <w:sz w:val="17"/>
      </w:rPr>
      <w:t> </w:t>
    </w:r>
  </w:p>
  <w:bookmarkEnd w:id="6"/>
  <w:p w:rsidR="009A1F11" w:rsidRDefault="009A1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F11" w:rsidRDefault="009A1F11" w:rsidP="009A1F11">
      <w:pPr>
        <w:spacing w:after="0" w:line="240" w:lineRule="auto"/>
      </w:pPr>
      <w:r>
        <w:separator/>
      </w:r>
    </w:p>
  </w:footnote>
  <w:footnote w:type="continuationSeparator" w:id="0">
    <w:p w:rsidR="009A1F11" w:rsidRDefault="009A1F11" w:rsidP="009A1F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19F" w:rsidRDefault="0046619F" w:rsidP="0046619F">
    <w:pPr>
      <w:pStyle w:val="Header"/>
      <w:rPr>
        <w:color w:val="000000"/>
        <w:sz w:val="17"/>
      </w:rPr>
    </w:pPr>
    <w:bookmarkStart w:id="1" w:name="TITUS1HeaderEvenPages"/>
    <w:r w:rsidRPr="0046619F">
      <w:rPr>
        <w:color w:val="000000"/>
        <w:sz w:val="17"/>
      </w:rPr>
      <w:t> </w:t>
    </w:r>
  </w:p>
  <w:bookmarkEnd w:id="1"/>
  <w:p w:rsidR="0046619F" w:rsidRDefault="0046619F" w:rsidP="0046619F">
    <w:pPr>
      <w:pStyle w:val="Header"/>
    </w:pPr>
  </w:p>
  <w:p w:rsidR="009A1F11" w:rsidRDefault="009A1F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F11" w:rsidRDefault="0046619F" w:rsidP="0046619F">
    <w:pPr>
      <w:pStyle w:val="Header"/>
      <w:rPr>
        <w:color w:val="000000"/>
        <w:sz w:val="17"/>
      </w:rPr>
    </w:pPr>
    <w:bookmarkStart w:id="2" w:name="TITUS1HeaderPrimary"/>
    <w:r>
      <w:rPr>
        <w:color w:val="000000"/>
        <w:sz w:val="17"/>
      </w:rPr>
      <w:t> </w:t>
    </w:r>
  </w:p>
  <w:bookmarkEnd w:id="2"/>
  <w:p w:rsidR="009A1F11" w:rsidRDefault="009A1F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F11" w:rsidRDefault="0046619F" w:rsidP="0046619F">
    <w:pPr>
      <w:pStyle w:val="Header"/>
      <w:rPr>
        <w:color w:val="000000"/>
        <w:sz w:val="17"/>
      </w:rPr>
    </w:pPr>
    <w:bookmarkStart w:id="5" w:name="TITUS1HeaderFirstPage"/>
    <w:r>
      <w:rPr>
        <w:color w:val="000000"/>
        <w:sz w:val="17"/>
      </w:rPr>
      <w:t> </w:t>
    </w:r>
  </w:p>
  <w:bookmarkEnd w:id="5"/>
  <w:p w:rsidR="009A1F11" w:rsidRDefault="009A1F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764"/>
    <w:rsid w:val="0046619F"/>
    <w:rsid w:val="009A1F11"/>
    <w:rsid w:val="00B25764"/>
    <w:rsid w:val="00C77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1EA1A"/>
  <w15:chartTrackingRefBased/>
  <w15:docId w15:val="{2AABBF27-4702-46CD-AC7E-16C1C51D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7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A1F11"/>
    <w:rPr>
      <w:color w:val="0563C1" w:themeColor="hyperlink"/>
      <w:u w:val="single"/>
    </w:rPr>
  </w:style>
  <w:style w:type="paragraph" w:styleId="Header">
    <w:name w:val="header"/>
    <w:basedOn w:val="Normal"/>
    <w:link w:val="HeaderChar"/>
    <w:uiPriority w:val="99"/>
    <w:unhideWhenUsed/>
    <w:rsid w:val="009A1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F11"/>
  </w:style>
  <w:style w:type="paragraph" w:styleId="Footer">
    <w:name w:val="footer"/>
    <w:basedOn w:val="Normal"/>
    <w:link w:val="FooterChar"/>
    <w:uiPriority w:val="99"/>
    <w:unhideWhenUsed/>
    <w:rsid w:val="009A1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F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wp-content/uploads/in-harms-way.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bc.co.uk/bbcthree/article/751ddfd4-2b7a-4f3f-9a07-2f2ec29c985a"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file:///\\swp.police.int\data\home\swp6971\Downloads\Reoffending-analysis-of-mappa-eligible-offenders.pdf"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s://www.legislation.gov.uk/ukpga/2003/42/section/1" TargetMode="External"/><Relationship Id="rId4" Type="http://schemas.openxmlformats.org/officeDocument/2006/relationships/footnotes" Target="footnotes.xml"/><Relationship Id="rId9" Type="http://schemas.openxmlformats.org/officeDocument/2006/relationships/hyperlink" Target="https://www.legislation.gov.uk/ukpga/2003/42/section/66"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25</Pages>
  <Words>6349</Words>
  <Characters>36193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Packer,Siobhan swp6971</dc:creator>
  <cp:keywords/>
  <dc:description/>
  <cp:lastModifiedBy>Packer,Siobhan swp6971</cp:lastModifiedBy>
  <cp:revision>1</cp:revision>
  <dcterms:created xsi:type="dcterms:W3CDTF">2022-11-07T20:01:00Z</dcterms:created>
  <dcterms:modified xsi:type="dcterms:W3CDTF">2022-11-07T20:18:00Z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ef3b4fff-454f-4aaf-9a4d-fde4962540b1</vt:lpwstr>
  </property>
  <property fmtid="{D5CDD505-2E9C-101B-9397-08002B2CF9AE}" pid="3" name="Classification">
    <vt:lpwstr>OFFICIAL</vt:lpwstr>
  </property>
  <property fmtid="{D5CDD505-2E9C-101B-9397-08002B2CF9AE}" pid="4" name="Visibility">
    <vt:lpwstr>NOT VISIBLE</vt:lpwstr>
  </property>
</Properties>
</file>