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F0ADF" w14:textId="5942E2BA" w:rsidR="00BF48D9" w:rsidRDefault="00A96780" w:rsidP="003B0C97">
      <w:pPr>
        <w:spacing w:line="360" w:lineRule="auto"/>
        <w:rPr>
          <w:rFonts w:ascii="Arial" w:hAnsi="Arial" w:cs="Arial"/>
        </w:rPr>
      </w:pPr>
      <w:r>
        <w:rPr>
          <w:rFonts w:ascii="Arial" w:hAnsi="Arial" w:cs="Arial"/>
        </w:rPr>
        <w:t>Name</w:t>
      </w:r>
      <w:r w:rsidR="00591D2C">
        <w:rPr>
          <w:rFonts w:ascii="Arial" w:hAnsi="Arial" w:cs="Arial"/>
        </w:rPr>
        <w:t>: Tania Miranda</w:t>
      </w:r>
    </w:p>
    <w:p w14:paraId="7525A431" w14:textId="7DEEE83E" w:rsidR="00591D2C" w:rsidRDefault="00591D2C" w:rsidP="003B0C97">
      <w:pPr>
        <w:spacing w:line="360" w:lineRule="auto"/>
        <w:rPr>
          <w:rFonts w:ascii="Arial" w:hAnsi="Arial" w:cs="Arial"/>
        </w:rPr>
      </w:pPr>
      <w:r>
        <w:rPr>
          <w:rFonts w:ascii="Arial" w:hAnsi="Arial" w:cs="Arial"/>
        </w:rPr>
        <w:t>Student ID</w:t>
      </w:r>
      <w:r w:rsidR="007B560C">
        <w:rPr>
          <w:rFonts w:ascii="Arial" w:hAnsi="Arial" w:cs="Arial"/>
        </w:rPr>
        <w:t>: 2435112</w:t>
      </w:r>
    </w:p>
    <w:p w14:paraId="6D2CB7A9" w14:textId="7B32F688" w:rsidR="006311DA" w:rsidRDefault="006311DA" w:rsidP="003B0C97">
      <w:pPr>
        <w:spacing w:line="360" w:lineRule="auto"/>
        <w:rPr>
          <w:rFonts w:ascii="Arial" w:hAnsi="Arial" w:cs="Arial"/>
        </w:rPr>
      </w:pPr>
      <w:r>
        <w:rPr>
          <w:rFonts w:ascii="Arial" w:hAnsi="Arial" w:cs="Arial"/>
        </w:rPr>
        <w:t>Modul</w:t>
      </w:r>
      <w:r w:rsidR="007D24AE">
        <w:rPr>
          <w:rFonts w:ascii="Arial" w:hAnsi="Arial" w:cs="Arial"/>
        </w:rPr>
        <w:t>e Code:</w:t>
      </w:r>
      <w:r w:rsidR="00DE42AB">
        <w:rPr>
          <w:rFonts w:ascii="Arial" w:hAnsi="Arial" w:cs="Arial"/>
        </w:rPr>
        <w:t xml:space="preserve"> LCHS</w:t>
      </w:r>
      <w:r w:rsidR="00410E4B">
        <w:rPr>
          <w:rFonts w:ascii="Arial" w:hAnsi="Arial" w:cs="Arial"/>
        </w:rPr>
        <w:t>4007</w:t>
      </w:r>
    </w:p>
    <w:p w14:paraId="567BA65E" w14:textId="4DFE2329" w:rsidR="007D24AE" w:rsidRDefault="007D24AE" w:rsidP="003B0C97">
      <w:pPr>
        <w:spacing w:line="360" w:lineRule="auto"/>
        <w:rPr>
          <w:rFonts w:ascii="Arial" w:hAnsi="Arial" w:cs="Arial"/>
        </w:rPr>
      </w:pPr>
      <w:r>
        <w:rPr>
          <w:rFonts w:ascii="Arial" w:hAnsi="Arial" w:cs="Arial"/>
        </w:rPr>
        <w:t>Module</w:t>
      </w:r>
      <w:r w:rsidR="00E27ACD">
        <w:rPr>
          <w:rFonts w:ascii="Arial" w:hAnsi="Arial" w:cs="Arial"/>
        </w:rPr>
        <w:t>:</w:t>
      </w:r>
      <w:r w:rsidR="00464067">
        <w:rPr>
          <w:rFonts w:ascii="Arial" w:hAnsi="Arial" w:cs="Arial"/>
        </w:rPr>
        <w:t xml:space="preserve"> Digital Skills and Re</w:t>
      </w:r>
      <w:r w:rsidR="00DE42AB">
        <w:rPr>
          <w:rFonts w:ascii="Arial" w:hAnsi="Arial" w:cs="Arial"/>
        </w:rPr>
        <w:t>search Methods</w:t>
      </w:r>
    </w:p>
    <w:p w14:paraId="0996E1BB" w14:textId="35284BF8" w:rsidR="00E27ACD" w:rsidRDefault="00E27ACD" w:rsidP="003B0C97">
      <w:pPr>
        <w:spacing w:line="360" w:lineRule="auto"/>
        <w:rPr>
          <w:rFonts w:ascii="Arial" w:hAnsi="Arial" w:cs="Arial"/>
        </w:rPr>
      </w:pPr>
      <w:r>
        <w:rPr>
          <w:rFonts w:ascii="Arial" w:hAnsi="Arial" w:cs="Arial"/>
        </w:rPr>
        <w:t>Lecturer:</w:t>
      </w:r>
      <w:r w:rsidR="00DB1533">
        <w:rPr>
          <w:rFonts w:ascii="Arial" w:hAnsi="Arial" w:cs="Arial"/>
        </w:rPr>
        <w:t xml:space="preserve"> Justin </w:t>
      </w:r>
      <w:proofErr w:type="spellStart"/>
      <w:r w:rsidR="00DB1533">
        <w:rPr>
          <w:rFonts w:ascii="Arial" w:hAnsi="Arial" w:cs="Arial"/>
        </w:rPr>
        <w:t>Okoli</w:t>
      </w:r>
      <w:proofErr w:type="spellEnd"/>
    </w:p>
    <w:p w14:paraId="658DC471" w14:textId="464AC59F" w:rsidR="00E27ACD" w:rsidRDefault="00181EAA" w:rsidP="003B0C97">
      <w:pPr>
        <w:spacing w:line="360" w:lineRule="auto"/>
        <w:rPr>
          <w:rFonts w:ascii="Arial" w:hAnsi="Arial" w:cs="Arial"/>
        </w:rPr>
      </w:pPr>
      <w:r>
        <w:rPr>
          <w:rFonts w:ascii="Arial" w:hAnsi="Arial" w:cs="Arial"/>
        </w:rPr>
        <w:t>Submitted on:</w:t>
      </w:r>
      <w:r w:rsidR="00AF6BCC">
        <w:rPr>
          <w:rFonts w:ascii="Arial" w:hAnsi="Arial" w:cs="Arial"/>
        </w:rPr>
        <w:t xml:space="preserve"> 1</w:t>
      </w:r>
      <w:r w:rsidR="00600378">
        <w:rPr>
          <w:rFonts w:ascii="Arial" w:hAnsi="Arial" w:cs="Arial"/>
        </w:rPr>
        <w:t>7</w:t>
      </w:r>
      <w:r w:rsidR="00AF6BCC">
        <w:rPr>
          <w:rFonts w:ascii="Arial" w:hAnsi="Arial" w:cs="Arial"/>
        </w:rPr>
        <w:t>/11/2025</w:t>
      </w:r>
    </w:p>
    <w:p w14:paraId="5B5344A2" w14:textId="22ADCC88" w:rsidR="00C32CFE" w:rsidRPr="00600378" w:rsidRDefault="00D81770" w:rsidP="003B0C97">
      <w:pPr>
        <w:spacing w:line="360" w:lineRule="auto"/>
        <w:rPr>
          <w:rFonts w:ascii="Arial" w:hAnsi="Arial" w:cs="Arial"/>
          <w:b/>
          <w:bCs/>
        </w:rPr>
      </w:pPr>
      <w:r w:rsidRPr="00600378">
        <w:rPr>
          <w:rFonts w:ascii="Arial" w:hAnsi="Arial" w:cs="Arial"/>
          <w:b/>
          <w:bCs/>
        </w:rPr>
        <w:t>Research Report</w:t>
      </w:r>
    </w:p>
    <w:p w14:paraId="33B2B461" w14:textId="77777777" w:rsidR="00E06793" w:rsidRDefault="00E06793" w:rsidP="003B0C97">
      <w:pPr>
        <w:spacing w:line="360" w:lineRule="auto"/>
        <w:rPr>
          <w:rFonts w:ascii="Arial" w:hAnsi="Arial" w:cs="Arial"/>
        </w:rPr>
      </w:pPr>
    </w:p>
    <w:p w14:paraId="4AFD504B" w14:textId="642DC4AC" w:rsidR="00E257B0" w:rsidRPr="00600378" w:rsidRDefault="00182F22" w:rsidP="00FC6362">
      <w:pPr>
        <w:spacing w:line="360" w:lineRule="auto"/>
        <w:jc w:val="center"/>
        <w:rPr>
          <w:rFonts w:ascii="Arial" w:hAnsi="Arial" w:cs="Arial"/>
          <w:b/>
          <w:bCs/>
        </w:rPr>
      </w:pPr>
      <w:r w:rsidRPr="00600378">
        <w:rPr>
          <w:rFonts w:ascii="Arial" w:hAnsi="Arial" w:cs="Arial"/>
          <w:b/>
          <w:bCs/>
        </w:rPr>
        <w:t>Digital Exclusion Among Older Adults in UK Health and Social Care</w:t>
      </w:r>
    </w:p>
    <w:p w14:paraId="642326EB" w14:textId="14959EE4" w:rsidR="00173C64" w:rsidRPr="00600378" w:rsidRDefault="00173C64" w:rsidP="003B0C97">
      <w:pPr>
        <w:spacing w:line="360" w:lineRule="auto"/>
        <w:rPr>
          <w:rFonts w:ascii="Arial" w:hAnsi="Arial" w:cs="Arial"/>
          <w:b/>
          <w:bCs/>
        </w:rPr>
      </w:pPr>
      <w:r w:rsidRPr="00600378">
        <w:rPr>
          <w:rFonts w:ascii="Arial" w:hAnsi="Arial" w:cs="Arial"/>
          <w:b/>
          <w:bCs/>
        </w:rPr>
        <w:t>Introduction</w:t>
      </w:r>
    </w:p>
    <w:p w14:paraId="1D201119" w14:textId="005DB71E" w:rsidR="00843E33" w:rsidRPr="00F82010" w:rsidRDefault="00843E33" w:rsidP="003B0C97">
      <w:pPr>
        <w:spacing w:line="360" w:lineRule="auto"/>
        <w:rPr>
          <w:rFonts w:ascii="Arial" w:hAnsi="Arial" w:cs="Arial"/>
        </w:rPr>
      </w:pPr>
      <w:r w:rsidRPr="00F82010">
        <w:rPr>
          <w:rFonts w:ascii="Arial" w:hAnsi="Arial" w:cs="Arial"/>
        </w:rPr>
        <w:t>The UK’s health and social care system has undergone rapid digital transformation in recent years, with online platforms now central to how services are accessed and delivered. While these developments have improved efficiency for many, they also created serious accessibility gaps—particularly for older adults who may lack digital skills, resources, or confidence. This report explores how digital exclusion affects elderly individuals’ access to healthcare, highlighting the structural and emotional barriers they face. It outlines why this issue deserves urgent attention, proposes an appropriate research approach, and justifies the use of secondary data to investigate lived experiences of exclusion.</w:t>
      </w:r>
    </w:p>
    <w:p w14:paraId="13E8FC52" w14:textId="77777777" w:rsidR="00173C64" w:rsidRPr="00600378" w:rsidRDefault="00173C64" w:rsidP="003B0C97">
      <w:pPr>
        <w:spacing w:line="360" w:lineRule="auto"/>
        <w:rPr>
          <w:rFonts w:ascii="Arial" w:hAnsi="Arial" w:cs="Arial"/>
          <w:b/>
          <w:bCs/>
        </w:rPr>
      </w:pPr>
      <w:r w:rsidRPr="00600378">
        <w:rPr>
          <w:rFonts w:ascii="Arial" w:hAnsi="Arial" w:cs="Arial"/>
          <w:b/>
          <w:bCs/>
        </w:rPr>
        <w:t>Understanding the Issue</w:t>
      </w:r>
    </w:p>
    <w:p w14:paraId="4CD4D47D" w14:textId="77777777" w:rsidR="00103BAB" w:rsidRPr="00F82010" w:rsidRDefault="00103BAB" w:rsidP="003B0C97">
      <w:pPr>
        <w:spacing w:line="360" w:lineRule="auto"/>
        <w:rPr>
          <w:rFonts w:ascii="Arial" w:hAnsi="Arial" w:cs="Arial"/>
        </w:rPr>
      </w:pPr>
      <w:r w:rsidRPr="00F82010">
        <w:rPr>
          <w:rFonts w:ascii="Arial" w:hAnsi="Arial" w:cs="Arial"/>
        </w:rPr>
        <w:t>Digital exclusion refers to the inability—or limited ability—to access and use digital technologies effectively. In health and social care, this becomes especially problematic when key services shift online, such as GP booking systems, electronic prescriptions, and virtual consultations. While these tools aim to streamline access, they often overlook the specific needs of older adults. Many individuals aged 65 and over remain disconnected—not by choice, but due to poor internet access, unfamiliarity with devices, or anxieties about privacy and security.</w:t>
      </w:r>
    </w:p>
    <w:p w14:paraId="1BE89EDF" w14:textId="77777777" w:rsidR="00103BAB" w:rsidRPr="00F82010" w:rsidRDefault="00103BAB" w:rsidP="003B0C97">
      <w:pPr>
        <w:spacing w:line="360" w:lineRule="auto"/>
        <w:rPr>
          <w:rFonts w:ascii="Arial" w:hAnsi="Arial" w:cs="Arial"/>
        </w:rPr>
      </w:pPr>
      <w:r w:rsidRPr="00F82010">
        <w:rPr>
          <w:rFonts w:ascii="Arial" w:hAnsi="Arial" w:cs="Arial"/>
        </w:rPr>
        <w:t>Consider this: if a patient can no longer phone their GP and struggles to navigate an online portal, their care may be delayed or avoided altogether. This isn’t just an inconvenience—it’s a risk to health equity. The effects go beyond missed appointments; digital exclusion can exacerbate social isolation, erode autonomy, and increase reliance on family members or carers for basic health navigation.</w:t>
      </w:r>
    </w:p>
    <w:p w14:paraId="53B244D8" w14:textId="77777777" w:rsidR="00173C64" w:rsidRPr="00600378" w:rsidRDefault="00173C64" w:rsidP="003B0C97">
      <w:pPr>
        <w:spacing w:line="360" w:lineRule="auto"/>
        <w:rPr>
          <w:rFonts w:ascii="Arial" w:hAnsi="Arial" w:cs="Arial"/>
          <w:b/>
          <w:bCs/>
        </w:rPr>
      </w:pPr>
      <w:r w:rsidRPr="00600378">
        <w:rPr>
          <w:rFonts w:ascii="Arial" w:hAnsi="Arial" w:cs="Arial"/>
          <w:b/>
          <w:bCs/>
        </w:rPr>
        <w:lastRenderedPageBreak/>
        <w:t>Who Is Affected and How</w:t>
      </w:r>
    </w:p>
    <w:p w14:paraId="0D72D09E" w14:textId="77777777" w:rsidR="00802ED9" w:rsidRPr="00F82010" w:rsidRDefault="00802ED9" w:rsidP="003B0C97">
      <w:pPr>
        <w:spacing w:line="360" w:lineRule="auto"/>
        <w:rPr>
          <w:rFonts w:ascii="Arial" w:hAnsi="Arial" w:cs="Arial"/>
        </w:rPr>
      </w:pPr>
      <w:r w:rsidRPr="00F82010">
        <w:rPr>
          <w:rFonts w:ascii="Arial" w:hAnsi="Arial" w:cs="Arial"/>
        </w:rPr>
        <w:t>The digital divide disproportionately affects older adults, particularly those living alone, in rural communities, or on lower incomes. Those with sensory impairments, mobility challenges, or cognitive decline often find digital interfaces difficult to use, even if they have the hardware. The pandemic accelerated digital healthcare adoption, but it also left many behind—replacing familiar face-to-face services with systems that felt alien and intimidating.</w:t>
      </w:r>
    </w:p>
    <w:p w14:paraId="08B9FC44" w14:textId="4B21AAE6" w:rsidR="00802ED9" w:rsidRPr="00F82010" w:rsidRDefault="00802ED9" w:rsidP="003B0C97">
      <w:pPr>
        <w:spacing w:line="360" w:lineRule="auto"/>
        <w:rPr>
          <w:rFonts w:ascii="Arial" w:hAnsi="Arial" w:cs="Arial"/>
        </w:rPr>
      </w:pPr>
      <w:r w:rsidRPr="00F82010">
        <w:rPr>
          <w:rFonts w:ascii="Arial" w:hAnsi="Arial" w:cs="Arial"/>
        </w:rPr>
        <w:t>Family carers and frontline professionals often become default tech-support, further stressing already stretched relationships. In underserved areas, patchy broadband or lack of access to devices compounds exclusion, making digital participation more of a privilege than a standard expectation. As health services continue to digitise, the risk is not just unequal access, but systemic marginalisation of older adults in care model no longer designed with them in mind.</w:t>
      </w:r>
    </w:p>
    <w:p w14:paraId="620F7F63" w14:textId="77777777" w:rsidR="00802ED9" w:rsidRPr="00600378" w:rsidRDefault="00802ED9" w:rsidP="003B0C97">
      <w:pPr>
        <w:spacing w:line="360" w:lineRule="auto"/>
        <w:rPr>
          <w:rFonts w:ascii="Arial" w:hAnsi="Arial" w:cs="Arial"/>
          <w:b/>
          <w:bCs/>
        </w:rPr>
      </w:pPr>
      <w:r w:rsidRPr="00600378">
        <w:rPr>
          <w:rFonts w:ascii="Arial" w:hAnsi="Arial" w:cs="Arial"/>
          <w:b/>
          <w:bCs/>
        </w:rPr>
        <w:t>Justification for Research</w:t>
      </w:r>
    </w:p>
    <w:p w14:paraId="0796EC22" w14:textId="77777777" w:rsidR="00802ED9" w:rsidRPr="00F82010" w:rsidRDefault="00802ED9" w:rsidP="003B0C97">
      <w:pPr>
        <w:spacing w:line="360" w:lineRule="auto"/>
        <w:rPr>
          <w:rFonts w:ascii="Arial" w:hAnsi="Arial" w:cs="Arial"/>
        </w:rPr>
      </w:pPr>
      <w:r w:rsidRPr="00F82010">
        <w:rPr>
          <w:rFonts w:ascii="Arial" w:hAnsi="Arial" w:cs="Arial"/>
        </w:rPr>
        <w:t>Understanding digital exclusion in elderly populations isn’t just a technical concern—it’s a social justice issue. The UK’s ageing demographic means that digital inequalities are likely to widen if left unaddressed. While digital health tools are often framed as universal solutions, they risk reinforcing structural divides when designed without inclusive principles. Researching this topic helps unpack how exclusion happens—not just in terms of access, but also in confidence, culture, and digital literacy.</w:t>
      </w:r>
    </w:p>
    <w:p w14:paraId="72D859C1" w14:textId="5D381060" w:rsidR="004236E3" w:rsidRPr="00F82010" w:rsidRDefault="00802ED9" w:rsidP="003B0C97">
      <w:pPr>
        <w:spacing w:line="360" w:lineRule="auto"/>
        <w:rPr>
          <w:rFonts w:ascii="Arial" w:hAnsi="Arial" w:cs="Arial"/>
        </w:rPr>
      </w:pPr>
      <w:r w:rsidRPr="00F82010">
        <w:rPr>
          <w:rFonts w:ascii="Arial" w:hAnsi="Arial" w:cs="Arial"/>
        </w:rPr>
        <w:t>From an analytical perspective, this issue touches multiple domains: health access, social support, public policy, and digital infrastructure. Exploring it could inform inclusive policy shifts, support digital literacy training, and justify maintaining parallel non-digital access routes in care systems. Without such insights, the move towards digital-first healthcare risks leaving behind the very populations who depend on it most.</w:t>
      </w:r>
    </w:p>
    <w:p w14:paraId="6629112E" w14:textId="07556A36" w:rsidR="00173C64" w:rsidRPr="00600378" w:rsidRDefault="00173C64" w:rsidP="003B0C97">
      <w:pPr>
        <w:spacing w:line="360" w:lineRule="auto"/>
        <w:rPr>
          <w:rFonts w:ascii="Arial" w:hAnsi="Arial" w:cs="Arial"/>
          <w:b/>
          <w:bCs/>
        </w:rPr>
      </w:pPr>
      <w:r w:rsidRPr="00600378">
        <w:rPr>
          <w:rFonts w:ascii="Arial" w:hAnsi="Arial" w:cs="Arial"/>
          <w:b/>
          <w:bCs/>
        </w:rPr>
        <w:t>Key Information Sources</w:t>
      </w:r>
    </w:p>
    <w:p w14:paraId="04F38C13" w14:textId="77777777" w:rsidR="004F385C" w:rsidRPr="00F82010" w:rsidRDefault="004F385C" w:rsidP="003B0C97">
      <w:pPr>
        <w:spacing w:line="360" w:lineRule="auto"/>
        <w:rPr>
          <w:rFonts w:ascii="Arial" w:hAnsi="Arial" w:cs="Arial"/>
        </w:rPr>
      </w:pPr>
      <w:r w:rsidRPr="00F82010">
        <w:rPr>
          <w:rFonts w:ascii="Arial" w:hAnsi="Arial" w:cs="Arial"/>
        </w:rPr>
        <w:t>This report draws on recent academic literature that explores the intersection of ageing, technology, and access to healthcare. Three key sources have been selected for their relevance, methodological strength, and alignment with the UK health and social care context.</w:t>
      </w:r>
    </w:p>
    <w:p w14:paraId="0E515D84" w14:textId="77777777" w:rsidR="004F385C" w:rsidRPr="00F82010" w:rsidRDefault="004F385C" w:rsidP="003B0C97">
      <w:pPr>
        <w:spacing w:line="360" w:lineRule="auto"/>
        <w:rPr>
          <w:rFonts w:ascii="Arial" w:hAnsi="Arial" w:cs="Arial"/>
        </w:rPr>
      </w:pPr>
      <w:r w:rsidRPr="00F82010">
        <w:rPr>
          <w:rFonts w:ascii="Arial" w:hAnsi="Arial" w:cs="Arial"/>
        </w:rPr>
        <w:t xml:space="preserve">The first is Seifert, </w:t>
      </w:r>
      <w:proofErr w:type="spellStart"/>
      <w:r w:rsidRPr="00F82010">
        <w:rPr>
          <w:rFonts w:ascii="Arial" w:hAnsi="Arial" w:cs="Arial"/>
        </w:rPr>
        <w:t>Cotten</w:t>
      </w:r>
      <w:proofErr w:type="spellEnd"/>
      <w:r w:rsidRPr="00F82010">
        <w:rPr>
          <w:rFonts w:ascii="Arial" w:hAnsi="Arial" w:cs="Arial"/>
        </w:rPr>
        <w:t xml:space="preserve">, and Xie’s (2021) article, </w:t>
      </w:r>
      <w:r w:rsidRPr="00F82010">
        <w:rPr>
          <w:rFonts w:ascii="Arial" w:hAnsi="Arial" w:cs="Arial"/>
          <w:i/>
          <w:iCs/>
        </w:rPr>
        <w:t>"A double burden of exclusion? Digital and social exclusion of older adults in times of COVID-19,"</w:t>
      </w:r>
      <w:r w:rsidRPr="00F82010">
        <w:rPr>
          <w:rFonts w:ascii="Arial" w:hAnsi="Arial" w:cs="Arial"/>
        </w:rPr>
        <w:t xml:space="preserve"> published in </w:t>
      </w:r>
      <w:r w:rsidRPr="00F82010">
        <w:rPr>
          <w:rFonts w:ascii="Arial" w:hAnsi="Arial" w:cs="Arial"/>
          <w:i/>
          <w:iCs/>
        </w:rPr>
        <w:t>The Journals of Gerontology</w:t>
      </w:r>
      <w:r w:rsidRPr="00F82010">
        <w:rPr>
          <w:rFonts w:ascii="Arial" w:hAnsi="Arial" w:cs="Arial"/>
        </w:rPr>
        <w:t xml:space="preserve">. This paper examines how digital exclusion during the pandemic exacerbated social isolation and health inequities among older adults. The study uses cross-national data </w:t>
      </w:r>
      <w:r w:rsidRPr="00F82010">
        <w:rPr>
          <w:rFonts w:ascii="Arial" w:hAnsi="Arial" w:cs="Arial"/>
        </w:rPr>
        <w:lastRenderedPageBreak/>
        <w:t>and highlights how the shift toward digital services amplified existing vulnerabilities. It is especially relevant as it frames digital exclusion not just as a technological issue, but also a deeply social one—supporting the idea that exclusion can manifest in both health and emotional wellbeing. Its inclusion strengthens the contextual grounding of the research by linking current events with systemic issues.</w:t>
      </w:r>
    </w:p>
    <w:p w14:paraId="627D55A9" w14:textId="77777777" w:rsidR="004F385C" w:rsidRPr="00F82010" w:rsidRDefault="004F385C" w:rsidP="003B0C97">
      <w:pPr>
        <w:spacing w:line="360" w:lineRule="auto"/>
        <w:rPr>
          <w:rFonts w:ascii="Arial" w:hAnsi="Arial" w:cs="Arial"/>
        </w:rPr>
      </w:pPr>
      <w:r w:rsidRPr="00F82010">
        <w:rPr>
          <w:rFonts w:ascii="Arial" w:hAnsi="Arial" w:cs="Arial"/>
        </w:rPr>
        <w:t xml:space="preserve">The second source, </w:t>
      </w:r>
      <w:r w:rsidRPr="00F82010">
        <w:rPr>
          <w:rFonts w:ascii="Arial" w:hAnsi="Arial" w:cs="Arial"/>
          <w:i/>
          <w:iCs/>
        </w:rPr>
        <w:t>"Elderly forgotten? Digital exclusion in the information age and the rising grey digital divide,"</w:t>
      </w:r>
      <w:r w:rsidRPr="00F82010">
        <w:rPr>
          <w:rFonts w:ascii="Arial" w:hAnsi="Arial" w:cs="Arial"/>
        </w:rPr>
        <w:t xml:space="preserve"> by Mubarak and Suomi (2022), offers a broader theoretical perspective. Published in </w:t>
      </w:r>
      <w:r w:rsidRPr="00F82010">
        <w:rPr>
          <w:rFonts w:ascii="Arial" w:hAnsi="Arial" w:cs="Arial"/>
          <w:i/>
          <w:iCs/>
        </w:rPr>
        <w:t>INQUIRY: The Journal of Health Care Organization, Provision, and Financing</w:t>
      </w:r>
      <w:r w:rsidRPr="00F82010">
        <w:rPr>
          <w:rFonts w:ascii="Arial" w:hAnsi="Arial" w:cs="Arial"/>
        </w:rPr>
        <w:t>, it explores structural and infrastructural contributors to digital exclusion, including affordability, interface complexity, and a lack of user-centred design. This source is valuable for its critical analysis of ageism embedded in digital infrastructure and its emphasis on the need for policy-level responses. It was chosen to provide depth to the investigation by highlighting societal and institutional roles in perpetuating exclusion.</w:t>
      </w:r>
    </w:p>
    <w:p w14:paraId="7D4C23E2" w14:textId="77777777" w:rsidR="004F385C" w:rsidRPr="00F82010" w:rsidRDefault="004F385C" w:rsidP="003B0C97">
      <w:pPr>
        <w:spacing w:line="360" w:lineRule="auto"/>
        <w:rPr>
          <w:rFonts w:ascii="Arial" w:hAnsi="Arial" w:cs="Arial"/>
        </w:rPr>
      </w:pPr>
      <w:r w:rsidRPr="00F82010">
        <w:rPr>
          <w:rFonts w:ascii="Arial" w:hAnsi="Arial" w:cs="Arial"/>
        </w:rPr>
        <w:t xml:space="preserve">Finally, Mee et al. (2025) </w:t>
      </w:r>
      <w:proofErr w:type="gramStart"/>
      <w:r w:rsidRPr="00F82010">
        <w:rPr>
          <w:rFonts w:ascii="Arial" w:hAnsi="Arial" w:cs="Arial"/>
        </w:rPr>
        <w:t>contribute</w:t>
      </w:r>
      <w:proofErr w:type="gramEnd"/>
      <w:r w:rsidRPr="00F82010">
        <w:rPr>
          <w:rFonts w:ascii="Arial" w:hAnsi="Arial" w:cs="Arial"/>
        </w:rPr>
        <w:t xml:space="preserve"> a UK-focused, data-driven tool in their article, </w:t>
      </w:r>
      <w:r w:rsidRPr="00F82010">
        <w:rPr>
          <w:rFonts w:ascii="Arial" w:hAnsi="Arial" w:cs="Arial"/>
          <w:i/>
          <w:iCs/>
        </w:rPr>
        <w:t>"Digital exclusion as a barrier to accessing healthcare,"</w:t>
      </w:r>
      <w:r w:rsidRPr="00F82010">
        <w:rPr>
          <w:rFonts w:ascii="Arial" w:hAnsi="Arial" w:cs="Arial"/>
        </w:rPr>
        <w:t xml:space="preserve"> published in </w:t>
      </w:r>
      <w:r w:rsidRPr="00F82010">
        <w:rPr>
          <w:rFonts w:ascii="Arial" w:hAnsi="Arial" w:cs="Arial"/>
          <w:i/>
          <w:iCs/>
        </w:rPr>
        <w:t>Universal Access in the Information Society</w:t>
      </w:r>
      <w:r w:rsidRPr="00F82010">
        <w:rPr>
          <w:rFonts w:ascii="Arial" w:hAnsi="Arial" w:cs="Arial"/>
        </w:rPr>
        <w:t>. The authors developed a composite indicator to quantify local differences in digital exclusion and created an online tool for stakeholders to assess regional risk. This source directly supports the report’s emphasis on healthcare access and provides empirical evidence to support the argument that digital exclusion is unevenly distributed across the UK. Its applied nature makes it particularly relevant for exploring real-world implications.</w:t>
      </w:r>
    </w:p>
    <w:p w14:paraId="5BAFAABC" w14:textId="6749DA1D" w:rsidR="00173C64" w:rsidRPr="00F82010" w:rsidRDefault="004F385C" w:rsidP="003B0C97">
      <w:pPr>
        <w:spacing w:line="360" w:lineRule="auto"/>
        <w:rPr>
          <w:rFonts w:ascii="Arial" w:hAnsi="Arial" w:cs="Arial"/>
        </w:rPr>
      </w:pPr>
      <w:r w:rsidRPr="00F82010">
        <w:rPr>
          <w:rFonts w:ascii="Arial" w:hAnsi="Arial" w:cs="Arial"/>
        </w:rPr>
        <w:t>Together, these sources offer theoretical grounding, contextual relevance, and applied insights—creating a well-rounded foundation for investigating digital exclusion in elderly populations.</w:t>
      </w:r>
    </w:p>
    <w:p w14:paraId="7D35DE29" w14:textId="10E80608" w:rsidR="00173C64" w:rsidRPr="00600378" w:rsidRDefault="00173C64" w:rsidP="003B0C97">
      <w:pPr>
        <w:spacing w:line="360" w:lineRule="auto"/>
        <w:rPr>
          <w:rFonts w:ascii="Arial" w:hAnsi="Arial" w:cs="Arial"/>
          <w:b/>
          <w:bCs/>
        </w:rPr>
      </w:pPr>
      <w:r w:rsidRPr="00600378">
        <w:rPr>
          <w:rFonts w:ascii="Arial" w:hAnsi="Arial" w:cs="Arial"/>
          <w:b/>
          <w:bCs/>
        </w:rPr>
        <w:t>Research Methodologies</w:t>
      </w:r>
    </w:p>
    <w:p w14:paraId="118FCF10" w14:textId="77777777" w:rsidR="008624A2" w:rsidRPr="00F82010" w:rsidRDefault="008624A2" w:rsidP="003B0C97">
      <w:pPr>
        <w:spacing w:line="360" w:lineRule="auto"/>
        <w:rPr>
          <w:rFonts w:ascii="Arial" w:hAnsi="Arial" w:cs="Arial"/>
        </w:rPr>
      </w:pPr>
      <w:r w:rsidRPr="00F82010">
        <w:rPr>
          <w:rFonts w:ascii="Arial" w:hAnsi="Arial" w:cs="Arial"/>
        </w:rPr>
        <w:t>Research in health and social care typically follows either a quantitative or qualitative approach. Quantitative research is data-driven, relying on structured tools such as surveys and statistical models to measure trends, test hypotheses, and analyse outcomes. Its strength lies in breadth and generalisability. In contrast, qualitative research prioritises depth—exploring individual experiences, emotions, and perceptions through methods like interviews, observations, or thematic analysis.</w:t>
      </w:r>
    </w:p>
    <w:p w14:paraId="55074099" w14:textId="667A7A0A" w:rsidR="008624A2" w:rsidRPr="00F82010" w:rsidRDefault="008624A2" w:rsidP="003B0C97">
      <w:pPr>
        <w:spacing w:line="360" w:lineRule="auto"/>
        <w:rPr>
          <w:rFonts w:ascii="Arial" w:hAnsi="Arial" w:cs="Arial"/>
        </w:rPr>
      </w:pPr>
      <w:r w:rsidRPr="00F82010">
        <w:rPr>
          <w:rFonts w:ascii="Arial" w:hAnsi="Arial" w:cs="Arial"/>
        </w:rPr>
        <w:t>This report adopts a qualitative methodology, as digital exclusion is a complex and emotionally charged issue, especially for older adults. Many face</w:t>
      </w:r>
      <w:r w:rsidR="00084EB8">
        <w:rPr>
          <w:rFonts w:ascii="Arial" w:hAnsi="Arial" w:cs="Arial"/>
        </w:rPr>
        <w:t xml:space="preserve">s </w:t>
      </w:r>
      <w:r w:rsidRPr="00F82010">
        <w:rPr>
          <w:rFonts w:ascii="Arial" w:hAnsi="Arial" w:cs="Arial"/>
        </w:rPr>
        <w:t xml:space="preserve">internal barriers—such as anxiety, fear, or </w:t>
      </w:r>
      <w:r w:rsidR="00212DDD">
        <w:rPr>
          <w:rFonts w:ascii="Arial" w:hAnsi="Arial" w:cs="Arial"/>
        </w:rPr>
        <w:t>understand</w:t>
      </w:r>
      <w:r w:rsidRPr="00F82010">
        <w:rPr>
          <w:rFonts w:ascii="Arial" w:hAnsi="Arial" w:cs="Arial"/>
        </w:rPr>
        <w:t xml:space="preserve"> of digital platforms—which are difficult to quantify but crucial for </w:t>
      </w:r>
      <w:r w:rsidRPr="00F82010">
        <w:rPr>
          <w:rFonts w:ascii="Arial" w:hAnsi="Arial" w:cs="Arial"/>
        </w:rPr>
        <w:lastRenderedPageBreak/>
        <w:t xml:space="preserve">understanding patterns of disengagement. A qualitative approach enables researchers to explore these nuances through the </w:t>
      </w:r>
      <w:r w:rsidR="008370FC">
        <w:rPr>
          <w:rFonts w:ascii="Arial" w:hAnsi="Arial" w:cs="Arial"/>
        </w:rPr>
        <w:t>people</w:t>
      </w:r>
      <w:r w:rsidRPr="00F82010">
        <w:rPr>
          <w:rFonts w:ascii="Arial" w:hAnsi="Arial" w:cs="Arial"/>
        </w:rPr>
        <w:t xml:space="preserve"> of those directly affected.</w:t>
      </w:r>
    </w:p>
    <w:p w14:paraId="124618BC" w14:textId="77777777" w:rsidR="008624A2" w:rsidRPr="00F82010" w:rsidRDefault="008624A2" w:rsidP="003B0C97">
      <w:pPr>
        <w:spacing w:line="360" w:lineRule="auto"/>
        <w:rPr>
          <w:rFonts w:ascii="Arial" w:hAnsi="Arial" w:cs="Arial"/>
        </w:rPr>
      </w:pPr>
      <w:r w:rsidRPr="00F82010">
        <w:rPr>
          <w:rFonts w:ascii="Arial" w:hAnsi="Arial" w:cs="Arial"/>
        </w:rPr>
        <w:t>The decision is supported by Greer et al. (2019), who conducted in-depth interviews with mental health service users to understand digital exclusion from a lived-experience perspective. Their findings demonstrated how user anxieties, privacy concerns, and lack of confidence shaped technology avoidance—insights that would be lost in purely numerical data. Similarly, Mubarak and Suomi (2022) stress the structural and emotional barriers embedded in digital service design, advocating for a people-centred research lens.</w:t>
      </w:r>
    </w:p>
    <w:p w14:paraId="262F8E09" w14:textId="4A614870" w:rsidR="008624A2" w:rsidRPr="00F82010" w:rsidRDefault="008624A2" w:rsidP="003B0C97">
      <w:pPr>
        <w:spacing w:line="360" w:lineRule="auto"/>
        <w:rPr>
          <w:rFonts w:ascii="Arial" w:hAnsi="Arial" w:cs="Arial"/>
        </w:rPr>
      </w:pPr>
      <w:r w:rsidRPr="00F82010">
        <w:rPr>
          <w:rFonts w:ascii="Arial" w:hAnsi="Arial" w:cs="Arial"/>
        </w:rPr>
        <w:t xml:space="preserve">Conversely, Lu et al. (2022) </w:t>
      </w:r>
      <w:r w:rsidR="008370FC" w:rsidRPr="00F82010">
        <w:rPr>
          <w:rFonts w:ascii="Arial" w:hAnsi="Arial" w:cs="Arial"/>
        </w:rPr>
        <w:t>provides</w:t>
      </w:r>
      <w:r w:rsidRPr="00F82010">
        <w:rPr>
          <w:rFonts w:ascii="Arial" w:hAnsi="Arial" w:cs="Arial"/>
        </w:rPr>
        <w:t xml:space="preserve"> a robust quantitative analysis linking digital exclusion to increased dependence in older adults across multiple cohorts. While such data reveal important correlations, they lack the narrative texture needed to design inclusive interventions—further justifying the use of qualitative inquiry for this research.</w:t>
      </w:r>
    </w:p>
    <w:p w14:paraId="775A1EE7" w14:textId="303C23BE" w:rsidR="00173C64" w:rsidRPr="008370FC" w:rsidRDefault="00173C64" w:rsidP="003B0C97">
      <w:pPr>
        <w:spacing w:line="360" w:lineRule="auto"/>
        <w:rPr>
          <w:rFonts w:ascii="Arial" w:hAnsi="Arial" w:cs="Arial"/>
          <w:b/>
          <w:bCs/>
        </w:rPr>
      </w:pPr>
      <w:r w:rsidRPr="008370FC">
        <w:rPr>
          <w:rFonts w:ascii="Arial" w:hAnsi="Arial" w:cs="Arial"/>
          <w:b/>
          <w:bCs/>
        </w:rPr>
        <w:t>Data Collection</w:t>
      </w:r>
    </w:p>
    <w:p w14:paraId="48CD1A02" w14:textId="77777777" w:rsidR="00377EF5" w:rsidRPr="00F82010" w:rsidRDefault="00377EF5" w:rsidP="003B0C97">
      <w:pPr>
        <w:spacing w:line="360" w:lineRule="auto"/>
        <w:rPr>
          <w:rFonts w:ascii="Arial" w:hAnsi="Arial" w:cs="Arial"/>
        </w:rPr>
      </w:pPr>
      <w:r w:rsidRPr="00F82010">
        <w:rPr>
          <w:rFonts w:ascii="Arial" w:hAnsi="Arial" w:cs="Arial"/>
        </w:rPr>
        <w:t>In research, data can be obtained through primary or secondary means. Primary data refers to original information gathered firsthand by the researcher, often through interviews, focus groups, or surveys. It allows for tailored insight but can be resource-intensive and ethically complex, especially when working with vulnerable populations such as older adults. Secondary data, by contrast, involves the use of pre-existing information—often drawn from academic studies, institutional reports, government databases, or statistical archives. It offers a time-efficient, ethically safer alternative while still allowing for robust analysis when chosen critically.</w:t>
      </w:r>
    </w:p>
    <w:p w14:paraId="7F6B9B1C" w14:textId="77777777" w:rsidR="00377EF5" w:rsidRPr="00F82010" w:rsidRDefault="00377EF5" w:rsidP="003B0C97">
      <w:pPr>
        <w:spacing w:line="360" w:lineRule="auto"/>
        <w:rPr>
          <w:rFonts w:ascii="Arial" w:hAnsi="Arial" w:cs="Arial"/>
        </w:rPr>
      </w:pPr>
      <w:r w:rsidRPr="00F82010">
        <w:rPr>
          <w:rFonts w:ascii="Arial" w:hAnsi="Arial" w:cs="Arial"/>
        </w:rPr>
        <w:t>This project relies on secondary data, a decision rooted in both practical and methodological rationale. Accessing primary participants from digitally excluded groups presents challenges in recruitment, informed consent, and ethical approval—particularly given that exclusion itself limits digital communication. Instead, secondary sources like Ge et al. (2025) offer a rich overview of the current landscape through a scoping review of international literature on digital exclusion. Their synthesis reveals thematic patterns in older adults’ digital experiences, including emotional, cognitive, and environmental barriers—demonstrating how valuable qualitative insights can emerge from existing literature.</w:t>
      </w:r>
    </w:p>
    <w:p w14:paraId="5E2A7FF3" w14:textId="77777777" w:rsidR="00377EF5" w:rsidRPr="00F82010" w:rsidRDefault="00377EF5" w:rsidP="003B0C97">
      <w:pPr>
        <w:spacing w:line="360" w:lineRule="auto"/>
        <w:rPr>
          <w:rFonts w:ascii="Arial" w:hAnsi="Arial" w:cs="Arial"/>
        </w:rPr>
      </w:pPr>
      <w:r w:rsidRPr="00F82010">
        <w:rPr>
          <w:rFonts w:ascii="Arial" w:hAnsi="Arial" w:cs="Arial"/>
        </w:rPr>
        <w:t xml:space="preserve">Additionally, Mee et al. (2025) and Lu et al. (2022) provide large-scale data that contextualises exclusion geographically and functionally. These secondary sources not only enhance the credibility of this research but also align with the qualitative methodology, as many include narrative excerpts and thematic discussions. Ultimately, secondary data </w:t>
      </w:r>
      <w:r w:rsidRPr="00F82010">
        <w:rPr>
          <w:rFonts w:ascii="Arial" w:hAnsi="Arial" w:cs="Arial"/>
        </w:rPr>
        <w:lastRenderedPageBreak/>
        <w:t>enables a focused, ethically sound, and academically rigorous exploration of how digital exclusion shapes older adults’ access to healthcare.</w:t>
      </w:r>
    </w:p>
    <w:p w14:paraId="43649584" w14:textId="77777777" w:rsidR="00173C64" w:rsidRPr="008370FC" w:rsidRDefault="00173C64" w:rsidP="003B0C97">
      <w:pPr>
        <w:spacing w:line="360" w:lineRule="auto"/>
        <w:rPr>
          <w:rFonts w:ascii="Arial" w:hAnsi="Arial" w:cs="Arial"/>
          <w:b/>
          <w:bCs/>
        </w:rPr>
      </w:pPr>
      <w:r w:rsidRPr="008370FC">
        <w:rPr>
          <w:rFonts w:ascii="Arial" w:hAnsi="Arial" w:cs="Arial"/>
          <w:b/>
          <w:bCs/>
        </w:rPr>
        <w:t>Conclusion</w:t>
      </w:r>
    </w:p>
    <w:p w14:paraId="17FBE3D8" w14:textId="77777777" w:rsidR="00076448" w:rsidRPr="00F82010" w:rsidRDefault="00076448" w:rsidP="003B0C97">
      <w:pPr>
        <w:spacing w:line="360" w:lineRule="auto"/>
        <w:rPr>
          <w:rFonts w:ascii="Arial" w:hAnsi="Arial" w:cs="Arial"/>
        </w:rPr>
      </w:pPr>
      <w:r w:rsidRPr="00F82010">
        <w:rPr>
          <w:rFonts w:ascii="Arial" w:hAnsi="Arial" w:cs="Arial"/>
        </w:rPr>
        <w:t>This report has explored the issue of digital exclusion among older adults in the UK and its impact on access to health services. It identified key barriers—ranging from lack of digital literacy and access to emotional resistance and structural neglect—that continue to marginalise older individuals in an increasingly digital health system. The literature highlights how exclusion is not only technological but deeply social, often compounding feelings of isolation and health vulnerability.</w:t>
      </w:r>
    </w:p>
    <w:p w14:paraId="3560A365" w14:textId="77777777" w:rsidR="00076448" w:rsidRPr="00F82010" w:rsidRDefault="00076448" w:rsidP="003B0C97">
      <w:pPr>
        <w:spacing w:line="360" w:lineRule="auto"/>
        <w:rPr>
          <w:rFonts w:ascii="Arial" w:hAnsi="Arial" w:cs="Arial"/>
        </w:rPr>
      </w:pPr>
      <w:r w:rsidRPr="00F82010">
        <w:rPr>
          <w:rFonts w:ascii="Arial" w:hAnsi="Arial" w:cs="Arial"/>
        </w:rPr>
        <w:t>A qualitative methodology was selected to better understand these nuanced experiences, with secondary data providing ethically accessible and thematically rich insight. Key sources, including scoping reviews and national datasets, confirm that digital exclusion is unevenly distributed and often invisible in policy design.</w:t>
      </w:r>
    </w:p>
    <w:p w14:paraId="38D0168A" w14:textId="0E505619" w:rsidR="002A398D" w:rsidRPr="00047352" w:rsidRDefault="00076448" w:rsidP="003B0C97">
      <w:pPr>
        <w:spacing w:line="360" w:lineRule="auto"/>
        <w:rPr>
          <w:rFonts w:ascii="Arial" w:hAnsi="Arial" w:cs="Arial"/>
        </w:rPr>
      </w:pPr>
      <w:r w:rsidRPr="00F82010">
        <w:rPr>
          <w:rFonts w:ascii="Arial" w:hAnsi="Arial" w:cs="Arial"/>
        </w:rPr>
        <w:t>Understanding the lived experiences of older adults is essential to creating inclusive digital health solutions. Future research and policy must prioritise accessibility and emotional usability to ensure that no one is left behind in the shift towards digital care</w:t>
      </w:r>
      <w:r w:rsidR="00157531" w:rsidRPr="00F82010">
        <w:rPr>
          <w:rFonts w:ascii="Arial" w:hAnsi="Arial" w:cs="Arial"/>
        </w:rPr>
        <w:t>. Equitable healthcare access must remain a central priority</w:t>
      </w:r>
      <w:r w:rsidR="00D90C49" w:rsidRPr="00F82010">
        <w:rPr>
          <w:rFonts w:ascii="Arial" w:hAnsi="Arial" w:cs="Arial"/>
        </w:rPr>
        <w:t xml:space="preserve"> </w:t>
      </w:r>
      <w:r w:rsidR="00157531" w:rsidRPr="00F82010">
        <w:rPr>
          <w:rFonts w:ascii="Arial" w:hAnsi="Arial" w:cs="Arial"/>
        </w:rPr>
        <w:t>informing more inclusive policies and support systems for the future.</w:t>
      </w:r>
    </w:p>
    <w:p w14:paraId="26469C4B" w14:textId="77777777" w:rsidR="007E2A70" w:rsidRPr="00F82010" w:rsidRDefault="007E2A70" w:rsidP="007E2A70">
      <w:pPr>
        <w:rPr>
          <w:rFonts w:ascii="Arial" w:hAnsi="Arial" w:cs="Arial"/>
          <w:b/>
          <w:bCs/>
        </w:rPr>
      </w:pPr>
      <w:r w:rsidRPr="00F82010">
        <w:rPr>
          <w:rFonts w:ascii="Arial" w:hAnsi="Arial" w:cs="Arial"/>
          <w:b/>
          <w:bCs/>
        </w:rPr>
        <w:t xml:space="preserve">REFERENCE </w:t>
      </w:r>
    </w:p>
    <w:p w14:paraId="7DE6AB08" w14:textId="77777777" w:rsidR="007E2A70" w:rsidRPr="00F82010" w:rsidRDefault="007E2A70" w:rsidP="007E2A70">
      <w:pPr>
        <w:rPr>
          <w:rFonts w:ascii="Arial" w:hAnsi="Arial" w:cs="Arial"/>
        </w:rPr>
      </w:pPr>
      <w:r w:rsidRPr="00F82010">
        <w:rPr>
          <w:rFonts w:ascii="Arial" w:hAnsi="Arial" w:cs="Arial"/>
        </w:rPr>
        <w:t>Ge, H., Li, J., Hu, H., Feng, T. and Wu, X., 2025. Digital exclusion in older adults: A scoping review. </w:t>
      </w:r>
      <w:r w:rsidRPr="00F82010">
        <w:rPr>
          <w:rFonts w:ascii="Arial" w:hAnsi="Arial" w:cs="Arial"/>
          <w:i/>
          <w:iCs/>
        </w:rPr>
        <w:t>International Journal of Nursing Studies</w:t>
      </w:r>
      <w:r w:rsidRPr="00F82010">
        <w:rPr>
          <w:rFonts w:ascii="Arial" w:hAnsi="Arial" w:cs="Arial"/>
        </w:rPr>
        <w:t>, p.105082.</w:t>
      </w:r>
    </w:p>
    <w:p w14:paraId="153C4C91" w14:textId="7704E541" w:rsidR="007E2A70" w:rsidRPr="00F82010" w:rsidRDefault="007E2A70" w:rsidP="007E2A70">
      <w:pPr>
        <w:rPr>
          <w:rFonts w:ascii="Arial" w:hAnsi="Arial" w:cs="Arial"/>
        </w:rPr>
      </w:pPr>
      <w:r w:rsidRPr="00F82010">
        <w:rPr>
          <w:rFonts w:ascii="Arial" w:hAnsi="Arial" w:cs="Arial"/>
        </w:rPr>
        <w:t xml:space="preserve">Greer, B., </w:t>
      </w:r>
      <w:proofErr w:type="spellStart"/>
      <w:r w:rsidRPr="00F82010">
        <w:rPr>
          <w:rFonts w:ascii="Arial" w:hAnsi="Arial" w:cs="Arial"/>
        </w:rPr>
        <w:t>Robotham</w:t>
      </w:r>
      <w:proofErr w:type="spellEnd"/>
      <w:r w:rsidRPr="00F82010">
        <w:rPr>
          <w:rFonts w:ascii="Arial" w:hAnsi="Arial" w:cs="Arial"/>
        </w:rPr>
        <w:t xml:space="preserve">, D., </w:t>
      </w:r>
      <w:proofErr w:type="spellStart"/>
      <w:r w:rsidRPr="00F82010">
        <w:rPr>
          <w:rFonts w:ascii="Arial" w:hAnsi="Arial" w:cs="Arial"/>
        </w:rPr>
        <w:t>Simblett</w:t>
      </w:r>
      <w:proofErr w:type="spellEnd"/>
      <w:r w:rsidR="003A6A65">
        <w:rPr>
          <w:rFonts w:ascii="Arial" w:hAnsi="Arial" w:cs="Arial"/>
        </w:rPr>
        <w:t>,</w:t>
      </w:r>
      <w:r w:rsidRPr="00F82010">
        <w:rPr>
          <w:rFonts w:ascii="Arial" w:hAnsi="Arial" w:cs="Arial"/>
        </w:rPr>
        <w:t xml:space="preserve"> S., Curtis, H., Griffiths, H. and Wykes, T., 2019. Digital exclusion among mental health service users: qualitative investigation. </w:t>
      </w:r>
      <w:r w:rsidRPr="00F82010">
        <w:rPr>
          <w:rFonts w:ascii="Arial" w:hAnsi="Arial" w:cs="Arial"/>
          <w:i/>
          <w:iCs/>
        </w:rPr>
        <w:t>Journal of medical Internet research</w:t>
      </w:r>
      <w:r w:rsidRPr="00F82010">
        <w:rPr>
          <w:rFonts w:ascii="Arial" w:hAnsi="Arial" w:cs="Arial"/>
        </w:rPr>
        <w:t>, </w:t>
      </w:r>
      <w:r w:rsidRPr="00F82010">
        <w:rPr>
          <w:rFonts w:ascii="Arial" w:hAnsi="Arial" w:cs="Arial"/>
          <w:i/>
          <w:iCs/>
        </w:rPr>
        <w:t>21</w:t>
      </w:r>
      <w:r w:rsidRPr="00F82010">
        <w:rPr>
          <w:rFonts w:ascii="Arial" w:hAnsi="Arial" w:cs="Arial"/>
        </w:rPr>
        <w:t>(1), p.e11696.</w:t>
      </w:r>
    </w:p>
    <w:p w14:paraId="4552177D" w14:textId="0839B893" w:rsidR="007E2A70" w:rsidRPr="00F82010" w:rsidRDefault="007E2A70" w:rsidP="007E2A70">
      <w:pPr>
        <w:rPr>
          <w:rFonts w:ascii="Arial" w:hAnsi="Arial" w:cs="Arial"/>
        </w:rPr>
      </w:pPr>
      <w:r w:rsidRPr="00F82010">
        <w:rPr>
          <w:rFonts w:ascii="Arial" w:hAnsi="Arial" w:cs="Arial"/>
        </w:rPr>
        <w:t>Lu, X., Yao, Y. and Jin, Y., 2022. Digital exclusion and functional dependence in older people: findings from five longitudinal cohort studies. </w:t>
      </w:r>
      <w:r w:rsidRPr="00F82010">
        <w:rPr>
          <w:rFonts w:ascii="Arial" w:hAnsi="Arial" w:cs="Arial"/>
          <w:i/>
          <w:iCs/>
        </w:rPr>
        <w:t>E</w:t>
      </w:r>
      <w:r w:rsidR="003A6A65">
        <w:rPr>
          <w:rFonts w:ascii="Arial" w:hAnsi="Arial" w:cs="Arial"/>
          <w:i/>
          <w:iCs/>
        </w:rPr>
        <w:t xml:space="preserve"> </w:t>
      </w:r>
      <w:r w:rsidRPr="00F82010">
        <w:rPr>
          <w:rFonts w:ascii="Arial" w:hAnsi="Arial" w:cs="Arial"/>
          <w:i/>
          <w:iCs/>
        </w:rPr>
        <w:t>Clinical</w:t>
      </w:r>
      <w:r w:rsidR="003A6A65">
        <w:rPr>
          <w:rFonts w:ascii="Arial" w:hAnsi="Arial" w:cs="Arial"/>
          <w:i/>
          <w:iCs/>
        </w:rPr>
        <w:t xml:space="preserve"> </w:t>
      </w:r>
      <w:r w:rsidRPr="00F82010">
        <w:rPr>
          <w:rFonts w:ascii="Arial" w:hAnsi="Arial" w:cs="Arial"/>
          <w:i/>
          <w:iCs/>
        </w:rPr>
        <w:t>Medicine</w:t>
      </w:r>
      <w:r w:rsidRPr="00F82010">
        <w:rPr>
          <w:rFonts w:ascii="Arial" w:hAnsi="Arial" w:cs="Arial"/>
        </w:rPr>
        <w:t>, </w:t>
      </w:r>
      <w:r w:rsidRPr="00F82010">
        <w:rPr>
          <w:rFonts w:ascii="Arial" w:hAnsi="Arial" w:cs="Arial"/>
          <w:i/>
          <w:iCs/>
        </w:rPr>
        <w:t>54</w:t>
      </w:r>
      <w:r w:rsidRPr="00F82010">
        <w:rPr>
          <w:rFonts w:ascii="Arial" w:hAnsi="Arial" w:cs="Arial"/>
        </w:rPr>
        <w:t>.</w:t>
      </w:r>
    </w:p>
    <w:p w14:paraId="795BF4D1" w14:textId="77777777" w:rsidR="007E2A70" w:rsidRPr="00F82010" w:rsidRDefault="007E2A70" w:rsidP="007E2A70">
      <w:pPr>
        <w:rPr>
          <w:rFonts w:ascii="Arial" w:hAnsi="Arial" w:cs="Arial"/>
        </w:rPr>
      </w:pPr>
      <w:r w:rsidRPr="00F82010">
        <w:rPr>
          <w:rFonts w:ascii="Arial" w:hAnsi="Arial" w:cs="Arial"/>
        </w:rPr>
        <w:t>Mee, P., Gussy, M., Huntley, P., Kenny, A., Jarratt, T., Kenward, N., Ward, D. and Vaughan, A., 2025. Digital exclusion as a barrier to accessing healthcare: a summary composite indicator and online tool to explore and quantify local differences in levels of exclusion. </w:t>
      </w:r>
      <w:r w:rsidRPr="00F82010">
        <w:rPr>
          <w:rFonts w:ascii="Arial" w:hAnsi="Arial" w:cs="Arial"/>
          <w:i/>
          <w:iCs/>
        </w:rPr>
        <w:t>Universal Access in the Information Society</w:t>
      </w:r>
      <w:r w:rsidRPr="00F82010">
        <w:rPr>
          <w:rFonts w:ascii="Arial" w:hAnsi="Arial" w:cs="Arial"/>
        </w:rPr>
        <w:t>, </w:t>
      </w:r>
      <w:r w:rsidRPr="00F82010">
        <w:rPr>
          <w:rFonts w:ascii="Arial" w:hAnsi="Arial" w:cs="Arial"/>
          <w:i/>
          <w:iCs/>
        </w:rPr>
        <w:t>24</w:t>
      </w:r>
      <w:r w:rsidRPr="00F82010">
        <w:rPr>
          <w:rFonts w:ascii="Arial" w:hAnsi="Arial" w:cs="Arial"/>
        </w:rPr>
        <w:t>(2), pp.1425-1437.</w:t>
      </w:r>
    </w:p>
    <w:p w14:paraId="57CBF108" w14:textId="77777777" w:rsidR="007E2A70" w:rsidRPr="00F82010" w:rsidRDefault="007E2A70" w:rsidP="007E2A70">
      <w:pPr>
        <w:rPr>
          <w:rFonts w:ascii="Arial" w:hAnsi="Arial" w:cs="Arial"/>
        </w:rPr>
      </w:pPr>
      <w:r w:rsidRPr="00F82010">
        <w:rPr>
          <w:rFonts w:ascii="Arial" w:hAnsi="Arial" w:cs="Arial"/>
        </w:rPr>
        <w:t>Mubarak, F. and Suomi, R., 2022. Elderly forgotten? Digital exclusion in the information age and the rising grey digital divide. </w:t>
      </w:r>
      <w:r w:rsidRPr="00F82010">
        <w:rPr>
          <w:rFonts w:ascii="Arial" w:hAnsi="Arial" w:cs="Arial"/>
          <w:i/>
          <w:iCs/>
        </w:rPr>
        <w:t>INQUIRY: The Journal of Health Care Organization, Provision, and Financing</w:t>
      </w:r>
      <w:r w:rsidRPr="00F82010">
        <w:rPr>
          <w:rFonts w:ascii="Arial" w:hAnsi="Arial" w:cs="Arial"/>
        </w:rPr>
        <w:t>, </w:t>
      </w:r>
      <w:r w:rsidRPr="00F82010">
        <w:rPr>
          <w:rFonts w:ascii="Arial" w:hAnsi="Arial" w:cs="Arial"/>
          <w:i/>
          <w:iCs/>
        </w:rPr>
        <w:t>59</w:t>
      </w:r>
      <w:r w:rsidRPr="00F82010">
        <w:rPr>
          <w:rFonts w:ascii="Arial" w:hAnsi="Arial" w:cs="Arial"/>
        </w:rPr>
        <w:t>, p.00469580221096272.</w:t>
      </w:r>
    </w:p>
    <w:p w14:paraId="45EAAA87" w14:textId="77777777" w:rsidR="007E2A70" w:rsidRPr="00F82010" w:rsidRDefault="007E2A70" w:rsidP="007E2A70">
      <w:pPr>
        <w:rPr>
          <w:rFonts w:ascii="Arial" w:hAnsi="Arial" w:cs="Arial"/>
        </w:rPr>
      </w:pPr>
      <w:r w:rsidRPr="00F82010">
        <w:rPr>
          <w:rFonts w:ascii="Arial" w:hAnsi="Arial" w:cs="Arial"/>
        </w:rPr>
        <w:t xml:space="preserve">Seifert, A., </w:t>
      </w:r>
      <w:proofErr w:type="spellStart"/>
      <w:r w:rsidRPr="00F82010">
        <w:rPr>
          <w:rFonts w:ascii="Arial" w:hAnsi="Arial" w:cs="Arial"/>
        </w:rPr>
        <w:t>Cotten</w:t>
      </w:r>
      <w:proofErr w:type="spellEnd"/>
      <w:r w:rsidRPr="00F82010">
        <w:rPr>
          <w:rFonts w:ascii="Arial" w:hAnsi="Arial" w:cs="Arial"/>
        </w:rPr>
        <w:t>, S.R. and Xie, B., 2021. A double burden of exclusion? Digital and social exclusion of older adults in times of COVID-19. </w:t>
      </w:r>
      <w:r w:rsidRPr="00F82010">
        <w:rPr>
          <w:rFonts w:ascii="Arial" w:hAnsi="Arial" w:cs="Arial"/>
          <w:i/>
          <w:iCs/>
        </w:rPr>
        <w:t>The Journals of Gerontology: Series B</w:t>
      </w:r>
      <w:r w:rsidRPr="00F82010">
        <w:rPr>
          <w:rFonts w:ascii="Arial" w:hAnsi="Arial" w:cs="Arial"/>
        </w:rPr>
        <w:t>, </w:t>
      </w:r>
      <w:r w:rsidRPr="00F82010">
        <w:rPr>
          <w:rFonts w:ascii="Arial" w:hAnsi="Arial" w:cs="Arial"/>
          <w:i/>
          <w:iCs/>
        </w:rPr>
        <w:t>76</w:t>
      </w:r>
      <w:r w:rsidRPr="00F82010">
        <w:rPr>
          <w:rFonts w:ascii="Arial" w:hAnsi="Arial" w:cs="Arial"/>
        </w:rPr>
        <w:t xml:space="preserve">(3), </w:t>
      </w:r>
      <w:proofErr w:type="gramStart"/>
      <w:r w:rsidRPr="00F82010">
        <w:rPr>
          <w:rFonts w:ascii="Arial" w:hAnsi="Arial" w:cs="Arial"/>
        </w:rPr>
        <w:t>pp.e</w:t>
      </w:r>
      <w:proofErr w:type="gramEnd"/>
      <w:r w:rsidRPr="00F82010">
        <w:rPr>
          <w:rFonts w:ascii="Arial" w:hAnsi="Arial" w:cs="Arial"/>
        </w:rPr>
        <w:t>99-e103.</w:t>
      </w:r>
    </w:p>
    <w:p w14:paraId="569CE917" w14:textId="77777777" w:rsidR="007E2A70" w:rsidRPr="00F82010" w:rsidRDefault="007E2A70" w:rsidP="007E2A70">
      <w:pPr>
        <w:rPr>
          <w:rFonts w:ascii="Arial" w:hAnsi="Arial" w:cs="Arial"/>
        </w:rPr>
      </w:pPr>
    </w:p>
    <w:p w14:paraId="5CA6EE59" w14:textId="77777777" w:rsidR="007E2A70" w:rsidRPr="00F82010" w:rsidRDefault="007E2A70" w:rsidP="007E2A70">
      <w:pPr>
        <w:rPr>
          <w:rFonts w:ascii="Arial" w:hAnsi="Arial" w:cs="Arial"/>
        </w:rPr>
      </w:pPr>
    </w:p>
    <w:p w14:paraId="1490E413" w14:textId="77777777" w:rsidR="002A398D" w:rsidRPr="00F82010" w:rsidRDefault="002A398D" w:rsidP="003B0C97">
      <w:pPr>
        <w:spacing w:line="360" w:lineRule="auto"/>
        <w:rPr>
          <w:rFonts w:ascii="Arial" w:hAnsi="Arial" w:cs="Arial"/>
          <w:b/>
          <w:bCs/>
        </w:rPr>
      </w:pPr>
    </w:p>
    <w:p w14:paraId="78F956E6" w14:textId="77777777" w:rsidR="002A398D" w:rsidRPr="00F82010" w:rsidRDefault="002A398D" w:rsidP="003B0C97">
      <w:pPr>
        <w:spacing w:line="360" w:lineRule="auto"/>
        <w:rPr>
          <w:rFonts w:ascii="Arial" w:hAnsi="Arial" w:cs="Arial"/>
          <w:b/>
          <w:bCs/>
        </w:rPr>
      </w:pPr>
    </w:p>
    <w:p w14:paraId="3F5D9BC8" w14:textId="77777777" w:rsidR="002A398D" w:rsidRPr="00F82010" w:rsidRDefault="002A398D" w:rsidP="003B0C97">
      <w:pPr>
        <w:spacing w:line="360" w:lineRule="auto"/>
        <w:rPr>
          <w:rFonts w:ascii="Arial" w:hAnsi="Arial" w:cs="Arial"/>
          <w:b/>
          <w:bCs/>
        </w:rPr>
      </w:pPr>
    </w:p>
    <w:p w14:paraId="548E84E7" w14:textId="77777777" w:rsidR="002A398D" w:rsidRPr="00F82010" w:rsidRDefault="002A398D" w:rsidP="003B0C97">
      <w:pPr>
        <w:spacing w:line="360" w:lineRule="auto"/>
        <w:rPr>
          <w:rFonts w:ascii="Arial" w:hAnsi="Arial" w:cs="Arial"/>
          <w:b/>
          <w:bCs/>
        </w:rPr>
      </w:pPr>
    </w:p>
    <w:p w14:paraId="7F5D7AEE" w14:textId="77777777" w:rsidR="002A398D" w:rsidRPr="00F82010" w:rsidRDefault="002A398D" w:rsidP="003B0C97">
      <w:pPr>
        <w:spacing w:line="360" w:lineRule="auto"/>
        <w:rPr>
          <w:rFonts w:ascii="Arial" w:hAnsi="Arial" w:cs="Arial"/>
          <w:b/>
          <w:bCs/>
        </w:rPr>
      </w:pPr>
    </w:p>
    <w:p w14:paraId="0BD85CEB" w14:textId="77777777" w:rsidR="00802ED9" w:rsidRPr="00F82010" w:rsidRDefault="00802ED9" w:rsidP="003B0C97">
      <w:pPr>
        <w:spacing w:line="360" w:lineRule="auto"/>
        <w:rPr>
          <w:rFonts w:ascii="Arial" w:hAnsi="Arial" w:cs="Arial"/>
        </w:rPr>
      </w:pPr>
    </w:p>
    <w:p w14:paraId="06714B03" w14:textId="77777777" w:rsidR="00802ED9" w:rsidRPr="00F82010" w:rsidRDefault="00802ED9" w:rsidP="003B0C97">
      <w:pPr>
        <w:spacing w:line="360" w:lineRule="auto"/>
        <w:rPr>
          <w:rFonts w:ascii="Arial" w:hAnsi="Arial" w:cs="Arial"/>
        </w:rPr>
      </w:pPr>
    </w:p>
    <w:p w14:paraId="435768F0" w14:textId="77777777" w:rsidR="00802ED9" w:rsidRPr="00F82010" w:rsidRDefault="00802ED9" w:rsidP="003B0C97">
      <w:pPr>
        <w:spacing w:line="360" w:lineRule="auto"/>
        <w:rPr>
          <w:rFonts w:ascii="Arial" w:hAnsi="Arial" w:cs="Arial"/>
        </w:rPr>
      </w:pPr>
    </w:p>
    <w:p w14:paraId="0B619788" w14:textId="77777777" w:rsidR="00802ED9" w:rsidRPr="00F82010" w:rsidRDefault="00802ED9" w:rsidP="003B0C97">
      <w:pPr>
        <w:spacing w:line="360" w:lineRule="auto"/>
        <w:rPr>
          <w:rFonts w:ascii="Arial" w:hAnsi="Arial" w:cs="Arial"/>
        </w:rPr>
      </w:pPr>
    </w:p>
    <w:p w14:paraId="39FEF5CD" w14:textId="77777777" w:rsidR="00802ED9" w:rsidRPr="00F82010" w:rsidRDefault="00802ED9" w:rsidP="003B0C97">
      <w:pPr>
        <w:spacing w:line="360" w:lineRule="auto"/>
        <w:rPr>
          <w:rFonts w:ascii="Arial" w:hAnsi="Arial" w:cs="Arial"/>
        </w:rPr>
      </w:pPr>
    </w:p>
    <w:p w14:paraId="05289890" w14:textId="77777777" w:rsidR="00802ED9" w:rsidRPr="00F82010" w:rsidRDefault="00802ED9" w:rsidP="003B0C97">
      <w:pPr>
        <w:spacing w:line="360" w:lineRule="auto"/>
        <w:rPr>
          <w:rFonts w:ascii="Arial" w:hAnsi="Arial" w:cs="Arial"/>
        </w:rPr>
      </w:pPr>
    </w:p>
    <w:p w14:paraId="3A3FF39F" w14:textId="77777777" w:rsidR="00E627F5" w:rsidRPr="00F82010" w:rsidRDefault="00E627F5" w:rsidP="003B0C97">
      <w:pPr>
        <w:spacing w:line="360" w:lineRule="auto"/>
        <w:rPr>
          <w:rFonts w:ascii="Arial" w:hAnsi="Arial" w:cs="Arial"/>
        </w:rPr>
      </w:pPr>
    </w:p>
    <w:sectPr w:rsidR="00E627F5" w:rsidRPr="00F8201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DAD94" w14:textId="77777777" w:rsidR="00922721" w:rsidRDefault="00922721" w:rsidP="007845DC">
      <w:pPr>
        <w:spacing w:after="0" w:line="240" w:lineRule="auto"/>
      </w:pPr>
      <w:r>
        <w:separator/>
      </w:r>
    </w:p>
  </w:endnote>
  <w:endnote w:type="continuationSeparator" w:id="0">
    <w:p w14:paraId="2CF780BB" w14:textId="77777777" w:rsidR="00922721" w:rsidRDefault="00922721" w:rsidP="00784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722733"/>
      <w:docPartObj>
        <w:docPartGallery w:val="Page Numbers (Bottom of Page)"/>
        <w:docPartUnique/>
      </w:docPartObj>
    </w:sdtPr>
    <w:sdtEndPr>
      <w:rPr>
        <w:noProof/>
      </w:rPr>
    </w:sdtEndPr>
    <w:sdtContent>
      <w:p w14:paraId="0AC16516" w14:textId="30944AE7" w:rsidR="007845DC" w:rsidRDefault="007845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D3DA16" w14:textId="77777777" w:rsidR="007845DC" w:rsidRDefault="00784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D1D32" w14:textId="77777777" w:rsidR="00922721" w:rsidRDefault="00922721" w:rsidP="007845DC">
      <w:pPr>
        <w:spacing w:after="0" w:line="240" w:lineRule="auto"/>
      </w:pPr>
      <w:r>
        <w:separator/>
      </w:r>
    </w:p>
  </w:footnote>
  <w:footnote w:type="continuationSeparator" w:id="0">
    <w:p w14:paraId="052A1EDA" w14:textId="77777777" w:rsidR="00922721" w:rsidRDefault="00922721" w:rsidP="007845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E065F"/>
    <w:multiLevelType w:val="multilevel"/>
    <w:tmpl w:val="36CC7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A621A7"/>
    <w:multiLevelType w:val="multilevel"/>
    <w:tmpl w:val="6B02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441279">
    <w:abstractNumId w:val="0"/>
  </w:num>
  <w:num w:numId="2" w16cid:durableId="678311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C64"/>
    <w:rsid w:val="00025724"/>
    <w:rsid w:val="00047352"/>
    <w:rsid w:val="00076448"/>
    <w:rsid w:val="00084EB8"/>
    <w:rsid w:val="00092085"/>
    <w:rsid w:val="00097E91"/>
    <w:rsid w:val="000B70FF"/>
    <w:rsid w:val="00103BAB"/>
    <w:rsid w:val="00157531"/>
    <w:rsid w:val="00173C64"/>
    <w:rsid w:val="00181EAA"/>
    <w:rsid w:val="00182F22"/>
    <w:rsid w:val="001E1CB7"/>
    <w:rsid w:val="00212DDD"/>
    <w:rsid w:val="002133DB"/>
    <w:rsid w:val="00252D5A"/>
    <w:rsid w:val="002A398D"/>
    <w:rsid w:val="002C229F"/>
    <w:rsid w:val="002E132D"/>
    <w:rsid w:val="00352A94"/>
    <w:rsid w:val="00377EF5"/>
    <w:rsid w:val="003A6A65"/>
    <w:rsid w:val="003B0C97"/>
    <w:rsid w:val="003C2D20"/>
    <w:rsid w:val="003E0F65"/>
    <w:rsid w:val="00410E4B"/>
    <w:rsid w:val="004236E3"/>
    <w:rsid w:val="00431D35"/>
    <w:rsid w:val="00433872"/>
    <w:rsid w:val="004638EE"/>
    <w:rsid w:val="00464067"/>
    <w:rsid w:val="004A0A63"/>
    <w:rsid w:val="004F385C"/>
    <w:rsid w:val="005068C5"/>
    <w:rsid w:val="00591D2C"/>
    <w:rsid w:val="005D2C6D"/>
    <w:rsid w:val="005F04AC"/>
    <w:rsid w:val="00600378"/>
    <w:rsid w:val="00614076"/>
    <w:rsid w:val="006311DA"/>
    <w:rsid w:val="0065200A"/>
    <w:rsid w:val="006A7C8D"/>
    <w:rsid w:val="006E17A0"/>
    <w:rsid w:val="007845DC"/>
    <w:rsid w:val="007B560C"/>
    <w:rsid w:val="007C4DED"/>
    <w:rsid w:val="007D24AE"/>
    <w:rsid w:val="007E2A70"/>
    <w:rsid w:val="00802ED9"/>
    <w:rsid w:val="00817798"/>
    <w:rsid w:val="008370FC"/>
    <w:rsid w:val="00843E33"/>
    <w:rsid w:val="008624A2"/>
    <w:rsid w:val="008D47BE"/>
    <w:rsid w:val="008E72CD"/>
    <w:rsid w:val="00922721"/>
    <w:rsid w:val="00A96780"/>
    <w:rsid w:val="00AF0B61"/>
    <w:rsid w:val="00AF6BCC"/>
    <w:rsid w:val="00B315C7"/>
    <w:rsid w:val="00BF48D9"/>
    <w:rsid w:val="00C32CFE"/>
    <w:rsid w:val="00C873DF"/>
    <w:rsid w:val="00CD5B7B"/>
    <w:rsid w:val="00D81770"/>
    <w:rsid w:val="00D90C49"/>
    <w:rsid w:val="00D91DBD"/>
    <w:rsid w:val="00DB1533"/>
    <w:rsid w:val="00DD32F5"/>
    <w:rsid w:val="00DE3044"/>
    <w:rsid w:val="00DE42AB"/>
    <w:rsid w:val="00E06793"/>
    <w:rsid w:val="00E20B60"/>
    <w:rsid w:val="00E257B0"/>
    <w:rsid w:val="00E27ACD"/>
    <w:rsid w:val="00E34A0B"/>
    <w:rsid w:val="00E627F5"/>
    <w:rsid w:val="00EF7FB9"/>
    <w:rsid w:val="00F365AF"/>
    <w:rsid w:val="00F82010"/>
    <w:rsid w:val="00FC6362"/>
    <w:rsid w:val="00FE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4BA9"/>
  <w15:chartTrackingRefBased/>
  <w15:docId w15:val="{3F86404E-696D-4DCA-A775-ABCA0E20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C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C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C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C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C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C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C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C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C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C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C64"/>
    <w:rPr>
      <w:rFonts w:eastAsiaTheme="majorEastAsia" w:cstheme="majorBidi"/>
      <w:color w:val="272727" w:themeColor="text1" w:themeTint="D8"/>
    </w:rPr>
  </w:style>
  <w:style w:type="paragraph" w:styleId="Title">
    <w:name w:val="Title"/>
    <w:basedOn w:val="Normal"/>
    <w:next w:val="Normal"/>
    <w:link w:val="TitleChar"/>
    <w:uiPriority w:val="10"/>
    <w:qFormat/>
    <w:rsid w:val="00173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C64"/>
    <w:pPr>
      <w:spacing w:before="160"/>
      <w:jc w:val="center"/>
    </w:pPr>
    <w:rPr>
      <w:i/>
      <w:iCs/>
      <w:color w:val="404040" w:themeColor="text1" w:themeTint="BF"/>
    </w:rPr>
  </w:style>
  <w:style w:type="character" w:customStyle="1" w:styleId="QuoteChar">
    <w:name w:val="Quote Char"/>
    <w:basedOn w:val="DefaultParagraphFont"/>
    <w:link w:val="Quote"/>
    <w:uiPriority w:val="29"/>
    <w:rsid w:val="00173C64"/>
    <w:rPr>
      <w:i/>
      <w:iCs/>
      <w:color w:val="404040" w:themeColor="text1" w:themeTint="BF"/>
    </w:rPr>
  </w:style>
  <w:style w:type="paragraph" w:styleId="ListParagraph">
    <w:name w:val="List Paragraph"/>
    <w:basedOn w:val="Normal"/>
    <w:uiPriority w:val="34"/>
    <w:qFormat/>
    <w:rsid w:val="00173C64"/>
    <w:pPr>
      <w:ind w:left="720"/>
      <w:contextualSpacing/>
    </w:pPr>
  </w:style>
  <w:style w:type="character" w:styleId="IntenseEmphasis">
    <w:name w:val="Intense Emphasis"/>
    <w:basedOn w:val="DefaultParagraphFont"/>
    <w:uiPriority w:val="21"/>
    <w:qFormat/>
    <w:rsid w:val="00173C64"/>
    <w:rPr>
      <w:i/>
      <w:iCs/>
      <w:color w:val="0F4761" w:themeColor="accent1" w:themeShade="BF"/>
    </w:rPr>
  </w:style>
  <w:style w:type="paragraph" w:styleId="IntenseQuote">
    <w:name w:val="Intense Quote"/>
    <w:basedOn w:val="Normal"/>
    <w:next w:val="Normal"/>
    <w:link w:val="IntenseQuoteChar"/>
    <w:uiPriority w:val="30"/>
    <w:qFormat/>
    <w:rsid w:val="00173C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C64"/>
    <w:rPr>
      <w:i/>
      <w:iCs/>
      <w:color w:val="0F4761" w:themeColor="accent1" w:themeShade="BF"/>
    </w:rPr>
  </w:style>
  <w:style w:type="character" w:styleId="IntenseReference">
    <w:name w:val="Intense Reference"/>
    <w:basedOn w:val="DefaultParagraphFont"/>
    <w:uiPriority w:val="32"/>
    <w:qFormat/>
    <w:rsid w:val="00173C64"/>
    <w:rPr>
      <w:b/>
      <w:bCs/>
      <w:smallCaps/>
      <w:color w:val="0F4761" w:themeColor="accent1" w:themeShade="BF"/>
      <w:spacing w:val="5"/>
    </w:rPr>
  </w:style>
  <w:style w:type="paragraph" w:styleId="Header">
    <w:name w:val="header"/>
    <w:basedOn w:val="Normal"/>
    <w:link w:val="HeaderChar"/>
    <w:uiPriority w:val="99"/>
    <w:unhideWhenUsed/>
    <w:rsid w:val="00784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5DC"/>
  </w:style>
  <w:style w:type="paragraph" w:styleId="Footer">
    <w:name w:val="footer"/>
    <w:basedOn w:val="Normal"/>
    <w:link w:val="FooterChar"/>
    <w:uiPriority w:val="99"/>
    <w:unhideWhenUsed/>
    <w:rsid w:val="00784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1904</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ADEOLA ADEKANMI</dc:creator>
  <cp:keywords/>
  <dc:description/>
  <cp:lastModifiedBy>tania miranda</cp:lastModifiedBy>
  <cp:revision>8</cp:revision>
  <dcterms:created xsi:type="dcterms:W3CDTF">2025-11-12T13:50:00Z</dcterms:created>
  <dcterms:modified xsi:type="dcterms:W3CDTF">2025-11-17T14:04:00Z</dcterms:modified>
</cp:coreProperties>
</file>