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3EB" w:rsidRDefault="0043792C" w:rsidP="00C51AA9">
      <w:pPr>
        <w:jc w:val="both"/>
      </w:pPr>
      <w:r>
        <w:t xml:space="preserve">This object is the </w:t>
      </w:r>
      <w:r>
        <w:rPr>
          <w:i/>
        </w:rPr>
        <w:t>transi</w:t>
      </w:r>
      <w:r>
        <w:t xml:space="preserve"> (cada</w:t>
      </w:r>
      <w:r w:rsidR="00A96B05">
        <w:t>ver) tomb</w:t>
      </w:r>
      <w:r w:rsidR="009D0E4C">
        <w:t xml:space="preserve">, or </w:t>
      </w:r>
      <w:r w:rsidR="009D0E4C">
        <w:rPr>
          <w:i/>
        </w:rPr>
        <w:t>giset</w:t>
      </w:r>
      <w:r w:rsidR="009D0E4C">
        <w:t>,</w:t>
      </w:r>
      <w:r w:rsidR="00A96B05">
        <w:t xml:space="preserve"> of John FitzAlan, </w:t>
      </w:r>
      <w:r w:rsidR="00C258FA">
        <w:t>14</w:t>
      </w:r>
      <w:r w:rsidR="00C258FA" w:rsidRPr="00A96B05">
        <w:rPr>
          <w:vertAlign w:val="superscript"/>
        </w:rPr>
        <w:t>th</w:t>
      </w:r>
      <w:r w:rsidR="00C258FA">
        <w:t xml:space="preserve"> Earl</w:t>
      </w:r>
      <w:r w:rsidR="00A96B05">
        <w:t xml:space="preserve"> of Arundel (1408 -1435) which is currently on display in the collegiate church of Arundel Castle – where it sits in the easternmost bay between the choir and the </w:t>
      </w:r>
      <w:r w:rsidR="00C258FA">
        <w:t>Lady Chapel</w:t>
      </w:r>
      <w:r w:rsidR="00A96B05">
        <w:t>.</w:t>
      </w:r>
      <w:r w:rsidR="00C258FA">
        <w:rPr>
          <w:rStyle w:val="FootnoteReference"/>
        </w:rPr>
        <w:footnoteReference w:id="1"/>
      </w:r>
      <w:r w:rsidR="00A96B05">
        <w:t xml:space="preserve"> </w:t>
      </w:r>
      <w:r w:rsidR="00363827">
        <w:t xml:space="preserve"> Dated to the mid-1430s (c.1435)</w:t>
      </w:r>
      <w:r w:rsidR="00C638E1">
        <w:t>, this</w:t>
      </w:r>
      <w:r w:rsidR="00363827">
        <w:t xml:space="preserve"> tomb is an excellent example of the </w:t>
      </w:r>
      <w:r w:rsidR="00363827">
        <w:rPr>
          <w:i/>
        </w:rPr>
        <w:t>transi</w:t>
      </w:r>
      <w:r w:rsidR="00363827">
        <w:t xml:space="preserve"> style that had recently become popular in England following its spread from Europe by continental sculptors in the 1420s (the first documented </w:t>
      </w:r>
      <w:r w:rsidR="00C638E1">
        <w:t>English example</w:t>
      </w:r>
      <w:r w:rsidR="00363827">
        <w:t xml:space="preserve"> being traceable to</w:t>
      </w:r>
      <w:r w:rsidR="00C638E1">
        <w:t xml:space="preserve"> Archbishop Henry Chichele at Canterbury Cathedral in</w:t>
      </w:r>
      <w:r w:rsidR="00363827">
        <w:t xml:space="preserve"> 1420).</w:t>
      </w:r>
      <w:r w:rsidR="00C638E1">
        <w:rPr>
          <w:rStyle w:val="FootnoteReference"/>
        </w:rPr>
        <w:footnoteReference w:id="2"/>
      </w:r>
      <w:r w:rsidR="00363827">
        <w:t xml:space="preserve"> </w:t>
      </w:r>
      <w:r w:rsidR="004272DB">
        <w:t>It is important to note that this was a relatively new art form in England at this point, and therefore subject to a number of anomalies as English sculptors came to terms with both the intricacies and the demand for this new style.</w:t>
      </w:r>
      <w:r w:rsidR="00A16C92">
        <w:t xml:space="preserve"> Conversely, this period was</w:t>
      </w:r>
      <w:r w:rsidR="007D677C">
        <w:t xml:space="preserve"> also one of experimentation as </w:t>
      </w:r>
      <w:r w:rsidR="006559FF">
        <w:t xml:space="preserve">a </w:t>
      </w:r>
      <w:r w:rsidR="007D677C">
        <w:t xml:space="preserve">range of examples that are odd or unique in terms of </w:t>
      </w:r>
      <w:r w:rsidR="006559FF">
        <w:t>appearance or</w:t>
      </w:r>
      <w:r w:rsidR="007D677C">
        <w:t xml:space="preserve"> </w:t>
      </w:r>
      <w:r w:rsidR="005D56A3">
        <w:t>construction</w:t>
      </w:r>
      <w:r w:rsidR="006559FF">
        <w:t xml:space="preserve"> exist</w:t>
      </w:r>
      <w:r w:rsidR="007D677C">
        <w:t xml:space="preserve"> during this timescale. </w:t>
      </w:r>
    </w:p>
    <w:p w:rsidR="00715517" w:rsidRDefault="00066C27" w:rsidP="00C51AA9">
      <w:pPr>
        <w:jc w:val="both"/>
      </w:pPr>
      <w:r>
        <w:t xml:space="preserve">Before one can analyse the tomb in detail, it is important that we establish some background information first; this to ensure that we are discussing the object in </w:t>
      </w:r>
      <w:r w:rsidR="002B1AAB">
        <w:t xml:space="preserve">light of its </w:t>
      </w:r>
      <w:r>
        <w:t xml:space="preserve">context. </w:t>
      </w:r>
      <w:r w:rsidR="002B1AAB">
        <w:t xml:space="preserve"> </w:t>
      </w:r>
      <w:r w:rsidR="00D8264F">
        <w:t>John FitzAlan, the 14</w:t>
      </w:r>
      <w:r w:rsidR="00D8264F" w:rsidRPr="00D8264F">
        <w:rPr>
          <w:vertAlign w:val="superscript"/>
        </w:rPr>
        <w:t>th</w:t>
      </w:r>
      <w:r w:rsidR="00C67A94">
        <w:t xml:space="preserve"> Earl of Arundel, is primarily discussed by modern scholarship in relation to his significant role in the English army during the early 1430s, where he was placed in command of regional garrisons</w:t>
      </w:r>
      <w:r w:rsidR="00A01699">
        <w:t xml:space="preserve"> in France</w:t>
      </w:r>
      <w:r w:rsidR="00C67A94">
        <w:t xml:space="preserve"> by then-king Henry VI, a position he held until his untimely death in 1</w:t>
      </w:r>
      <w:r w:rsidR="004D48F5">
        <w:t>435 at the age of twent</w:t>
      </w:r>
      <w:r w:rsidR="00A01699">
        <w:t>y-seven.</w:t>
      </w:r>
      <w:r w:rsidR="000B7F79">
        <w:rPr>
          <w:rStyle w:val="FootnoteReference"/>
        </w:rPr>
        <w:footnoteReference w:id="3"/>
      </w:r>
      <w:r w:rsidR="00A01699">
        <w:t xml:space="preserve">  Mauled by a culverin [musket] shot to his foot at the disastrous night raid on the fortress of Gerberoy, John was captured by his French adversaries and taken into custody at Beauvais.</w:t>
      </w:r>
      <w:r w:rsidR="0064788D">
        <w:rPr>
          <w:rStyle w:val="FootnoteReference"/>
        </w:rPr>
        <w:footnoteReference w:id="4"/>
      </w:r>
      <w:r w:rsidR="00A01699">
        <w:t xml:space="preserve"> Here he</w:t>
      </w:r>
      <w:r w:rsidR="00C21012">
        <w:t xml:space="preserve"> </w:t>
      </w:r>
      <w:r w:rsidR="00A01699">
        <w:t xml:space="preserve">refused </w:t>
      </w:r>
      <w:r w:rsidR="00C21012">
        <w:t xml:space="preserve">initial </w:t>
      </w:r>
      <w:r w:rsidR="00A01699">
        <w:t xml:space="preserve">treatment </w:t>
      </w:r>
      <w:r w:rsidR="00C21012">
        <w:t>by physicians out of sha</w:t>
      </w:r>
      <w:r w:rsidR="00125F33">
        <w:t>me for his defeat (according to chronicler Jean</w:t>
      </w:r>
      <w:r w:rsidR="00D56D0F">
        <w:t xml:space="preserve"> de</w:t>
      </w:r>
      <w:r w:rsidR="00125F33">
        <w:t xml:space="preserve"> W</w:t>
      </w:r>
      <w:r w:rsidR="00D56D0F">
        <w:t>averin</w:t>
      </w:r>
      <w:r w:rsidR="00125F33">
        <w:t xml:space="preserve">), and therefore had allowed his leg to become gangrenous – </w:t>
      </w:r>
      <w:r w:rsidR="0064788D">
        <w:t>a decision that led to the amputation of his now-</w:t>
      </w:r>
      <w:r w:rsidR="006801D4">
        <w:t>gangrenous</w:t>
      </w:r>
      <w:r w:rsidR="0064788D">
        <w:t xml:space="preserve"> leg, to which he eventually succumbed.</w:t>
      </w:r>
      <w:r w:rsidR="003A3062">
        <w:rPr>
          <w:rStyle w:val="FootnoteReference"/>
        </w:rPr>
        <w:footnoteReference w:id="5"/>
      </w:r>
      <w:r w:rsidR="00112D83">
        <w:t xml:space="preserve"> This begins a particularly interesting part of the story, as it opens up the question as to who commissioned the tomb to be </w:t>
      </w:r>
      <w:r w:rsidR="00FC573B">
        <w:t>constructed in the first place – as John’s body was not returned to Arundel until</w:t>
      </w:r>
      <w:r w:rsidR="005D2698">
        <w:t xml:space="preserve"> the winter of</w:t>
      </w:r>
      <w:r w:rsidR="00FC573B">
        <w:t xml:space="preserve"> 1450/1451</w:t>
      </w:r>
      <w:r w:rsidR="00C267F7">
        <w:t xml:space="preserve"> by his squire</w:t>
      </w:r>
      <w:r w:rsidR="009F171C">
        <w:t>,</w:t>
      </w:r>
      <w:r w:rsidR="00C267F7">
        <w:t xml:space="preserve"> Fulk Eyton</w:t>
      </w:r>
      <w:r w:rsidR="00F80D78">
        <w:t xml:space="preserve"> (</w:t>
      </w:r>
      <w:r w:rsidR="00BE1B6C">
        <w:t>having paid a ransom of £933)</w:t>
      </w:r>
      <w:r w:rsidR="00FC573B">
        <w:t>.</w:t>
      </w:r>
      <w:r w:rsidR="00356751">
        <w:rPr>
          <w:rStyle w:val="FootnoteReference"/>
        </w:rPr>
        <w:footnoteReference w:id="6"/>
      </w:r>
      <w:r w:rsidR="00D56D0F">
        <w:t xml:space="preserve"> Although the body itself was buried at Eglise des Courdeliers soon after death, a tomb was still erected at Arundel (as per the instructions outlined in both John and Fulk’s wills) </w:t>
      </w:r>
      <w:r w:rsidR="007B3259">
        <w:t>by his brother William</w:t>
      </w:r>
      <w:r w:rsidR="00BE1B6C">
        <w:t xml:space="preserve">, the </w:t>
      </w:r>
      <w:r w:rsidR="002072F9">
        <w:t>soon to be</w:t>
      </w:r>
      <w:r w:rsidR="00BE1B6C">
        <w:t xml:space="preserve"> 16</w:t>
      </w:r>
      <w:r w:rsidR="00BE1B6C" w:rsidRPr="00BE1B6C">
        <w:rPr>
          <w:vertAlign w:val="superscript"/>
        </w:rPr>
        <w:t>th</w:t>
      </w:r>
      <w:r w:rsidR="00FC7EC2">
        <w:t xml:space="preserve"> Earl of Arundel in 1435.</w:t>
      </w:r>
      <w:r w:rsidR="00F80D78">
        <w:rPr>
          <w:rStyle w:val="FootnoteReference"/>
        </w:rPr>
        <w:footnoteReference w:id="7"/>
      </w:r>
      <w:r w:rsidR="00FC7EC2">
        <w:t xml:space="preserve"> </w:t>
      </w:r>
      <w:r w:rsidR="007A522C">
        <w:t xml:space="preserve"> As such this meant that the “</w:t>
      </w:r>
      <w:r w:rsidR="00B116D3">
        <w:t>bodies</w:t>
      </w:r>
      <w:r w:rsidR="007A522C">
        <w:t>”</w:t>
      </w:r>
      <w:r w:rsidR="00606B52">
        <w:t xml:space="preserve"> as depicted in the effigies</w:t>
      </w:r>
      <w:r w:rsidR="007A522C">
        <w:t xml:space="preserve"> is not entirel</w:t>
      </w:r>
      <w:r w:rsidR="00A1689D">
        <w:t>y reflective of the body itself – but rather is an idealisation.</w:t>
      </w:r>
      <w:r w:rsidR="00B822BA">
        <w:rPr>
          <w:rStyle w:val="FootnoteReference"/>
        </w:rPr>
        <w:footnoteReference w:id="8"/>
      </w:r>
      <w:r w:rsidR="00715517">
        <w:t xml:space="preserve"> This is observable in the way the body atop the tomb is presented.</w:t>
      </w:r>
    </w:p>
    <w:p w:rsidR="00B05437" w:rsidRPr="00AA36EC" w:rsidRDefault="00B05437" w:rsidP="00C51AA9">
      <w:pPr>
        <w:jc w:val="both"/>
      </w:pPr>
      <w:r>
        <w:t>John’s body lies solemnly, hands clasped, on his tomb as if he were in prayer, only just less than a metre above a representation of his decaying corpse – kitted out in full martial attire.</w:t>
      </w:r>
      <w:r w:rsidR="000D628E">
        <w:t xml:space="preserve"> </w:t>
      </w:r>
      <w:r w:rsidR="00332898">
        <w:t xml:space="preserve">After examination </w:t>
      </w:r>
      <w:r w:rsidR="00CB3A74">
        <w:t>of both the original sketches and close up photographs of the tomb, a number of elements appear to be rather strange, as they are atypical in fashion to mo</w:t>
      </w:r>
      <w:r w:rsidR="00162F3A">
        <w:t xml:space="preserve">st other contemporary examples – with two in particular being of great interest. </w:t>
      </w:r>
      <w:r w:rsidR="00945264">
        <w:t xml:space="preserve"> Firstly, John’s helmet (most likely an </w:t>
      </w:r>
      <w:r w:rsidR="00945264" w:rsidRPr="00945264">
        <w:rPr>
          <w:i/>
        </w:rPr>
        <w:t xml:space="preserve">armet </w:t>
      </w:r>
      <w:r w:rsidR="00945264">
        <w:t xml:space="preserve">given how it appears that the cheek-plates and upper neck protection have hinges/locks that “open </w:t>
      </w:r>
      <w:r w:rsidR="00945264">
        <w:lastRenderedPageBreak/>
        <w:t>up” at the chin)</w:t>
      </w:r>
      <w:r w:rsidR="00AA36EC">
        <w:t xml:space="preserve"> features pilot holes for a </w:t>
      </w:r>
      <w:r w:rsidR="00AA36EC">
        <w:rPr>
          <w:i/>
        </w:rPr>
        <w:t>coronet</w:t>
      </w:r>
      <w:r w:rsidR="00AA36EC">
        <w:t xml:space="preserve"> [crown/diadem] to be fitted above the brow, a feature often reserved for the effigies of kings, </w:t>
      </w:r>
      <w:r w:rsidR="00831693">
        <w:t xml:space="preserve">something that would generally not be reserved for someone with the status of an </w:t>
      </w:r>
      <w:r w:rsidR="00AA36EC">
        <w:t>earl.</w:t>
      </w:r>
      <w:r w:rsidR="00AA36EC">
        <w:rPr>
          <w:rStyle w:val="FootnoteReference"/>
        </w:rPr>
        <w:footnoteReference w:id="9"/>
      </w:r>
      <w:r w:rsidR="00AE4C84">
        <w:t xml:space="preserve">  This may merely be an instance of creative licence on John’s (or the sculptor’s) part, or in fact an act of calculated propaganda – seeing as John had to work tirelessly for the both his title as earl, and the possession of Arundel Castle, during the period of 1430 – 1433.</w:t>
      </w:r>
      <w:r w:rsidR="00CF1188">
        <w:rPr>
          <w:rStyle w:val="FootnoteReference"/>
        </w:rPr>
        <w:footnoteReference w:id="10"/>
      </w:r>
      <w:r w:rsidR="00CF1188">
        <w:t xml:space="preserve"> Secondary to this is the asymmetrical gauntlets, in the sense that the gauntlet in John’s </w:t>
      </w:r>
      <w:r w:rsidR="0094764D">
        <w:t>left</w:t>
      </w:r>
      <w:r w:rsidR="00CF1188">
        <w:t xml:space="preserve"> hand</w:t>
      </w:r>
      <w:r w:rsidR="0094764D">
        <w:t xml:space="preserve"> is longer than that on his right</w:t>
      </w:r>
      <w:r w:rsidR="00CF1188">
        <w:t>; it extends</w:t>
      </w:r>
      <w:r w:rsidR="0094764D">
        <w:t xml:space="preserve"> down to the end of his forearm, and has </w:t>
      </w:r>
      <w:r w:rsidR="00384E45">
        <w:t xml:space="preserve">a </w:t>
      </w:r>
      <w:r w:rsidR="0094764D">
        <w:t>thick plate.</w:t>
      </w:r>
      <w:r w:rsidR="00795652">
        <w:t xml:space="preserve"> One can only speculate as to the explicit purpose of this plate, though the most reasonable explanation would</w:t>
      </w:r>
      <w:r w:rsidR="000420AE">
        <w:t xml:space="preserve"> be</w:t>
      </w:r>
      <w:r w:rsidR="00795652">
        <w:t xml:space="preserve"> to protect the forearm from stray blows when in use with a weapon – meaning that John’s sword-arm would be his left, and</w:t>
      </w:r>
      <w:r w:rsidR="00153F21">
        <w:t xml:space="preserve"> therefore</w:t>
      </w:r>
      <w:r w:rsidR="00795652">
        <w:t xml:space="preserve"> in turn, that he is in fact left handed.</w:t>
      </w:r>
      <w:r w:rsidR="00795652">
        <w:rPr>
          <w:rStyle w:val="FootnoteReference"/>
        </w:rPr>
        <w:footnoteReference w:id="11"/>
      </w:r>
      <w:r w:rsidR="00795652">
        <w:t xml:space="preserve"> </w:t>
      </w:r>
    </w:p>
    <w:p w:rsidR="00E25A41" w:rsidRDefault="00DA1010" w:rsidP="00C51AA9">
      <w:pPr>
        <w:jc w:val="both"/>
      </w:pPr>
      <w:r>
        <w:t>Although originally in colour</w:t>
      </w:r>
      <w:r w:rsidR="001903BE">
        <w:t xml:space="preserve">, </w:t>
      </w:r>
      <w:r>
        <w:t xml:space="preserve">the vast majority of the original pigment on the effigy </w:t>
      </w:r>
      <w:r w:rsidR="001903BE">
        <w:t xml:space="preserve">has been subject to prolonged exposure to sunlight, and has since faded away – leaving </w:t>
      </w:r>
      <w:r w:rsidR="00B05437">
        <w:t xml:space="preserve">the bone-white marble behind – with only a few remains of paint visible to the eye. </w:t>
      </w:r>
      <w:r w:rsidR="00153F21">
        <w:t xml:space="preserve"> As a result, the finer details, such as the Lancastrian collar aro</w:t>
      </w:r>
      <w:r w:rsidR="00CF7677">
        <w:t>und the base of his neck (which in and of itself point to the widening political divides that were becoming far more prominent during this period) become near-invisible and difficult to analyse without the assistance of sketches or diagrams.</w:t>
      </w:r>
      <w:r w:rsidR="008F1366">
        <w:rPr>
          <w:rStyle w:val="FootnoteReference"/>
        </w:rPr>
        <w:footnoteReference w:id="12"/>
      </w:r>
      <w:r w:rsidR="00CF7677">
        <w:t xml:space="preserve"> Stothard’s collection of sketches, published in 1867, provide an excellent glimpse into what the effigy may have looked like after it was finished, complete with colour – to which John’s surcoat is shown to be based on the heraldry of Arundel.</w:t>
      </w:r>
      <w:r w:rsidR="00F91A97">
        <w:rPr>
          <w:rStyle w:val="FootnoteReference"/>
        </w:rPr>
        <w:footnoteReference w:id="13"/>
      </w:r>
      <w:r w:rsidR="00CF7677">
        <w:t xml:space="preserve"> </w:t>
      </w:r>
    </w:p>
    <w:p w:rsidR="00C74D1D" w:rsidRDefault="00C74D1D" w:rsidP="00C51AA9">
      <w:pPr>
        <w:jc w:val="both"/>
      </w:pPr>
      <w:r>
        <w:t>As stated previously, John’s hands are clasped in prayer. This pose, as with others of a similar nature, began to increase in popularity post-1400 in connection to the shifting attitudes of the wealthy and the nobility – these people had become far less concerned with acts of status or wealth, and had instead begun to focus on portraying notions such as piety and loyalty on monuments</w:t>
      </w:r>
      <w:r w:rsidR="004C7040">
        <w:t xml:space="preserve"> (poses such kneeling or hands being clasped in prayer became popular)</w:t>
      </w:r>
      <w:r>
        <w:t>.</w:t>
      </w:r>
      <w:r w:rsidR="004C7040">
        <w:rPr>
          <w:rStyle w:val="FootnoteReference"/>
        </w:rPr>
        <w:footnoteReference w:id="14"/>
      </w:r>
      <w:r>
        <w:t xml:space="preserve"> Seeing as John was a relatively young man at this point in time, it would make sense that he would choose to follow this trend, or adopt a new focus on faith, and in doing so make a conscious choice to depict </w:t>
      </w:r>
      <w:proofErr w:type="gramStart"/>
      <w:r>
        <w:t>himself</w:t>
      </w:r>
      <w:proofErr w:type="gramEnd"/>
      <w:r>
        <w:t xml:space="preserve"> in this fashion. </w:t>
      </w:r>
    </w:p>
    <w:p w:rsidR="00137B4C" w:rsidRDefault="00137B4C" w:rsidP="00C638E1">
      <w:pPr>
        <w:jc w:val="both"/>
      </w:pPr>
    </w:p>
    <w:p w:rsidR="00137B4C" w:rsidRDefault="00137B4C">
      <w:r>
        <w:br w:type="page"/>
      </w:r>
    </w:p>
    <w:p w:rsidR="00801AFA" w:rsidRDefault="00137B4C" w:rsidP="00C638E1">
      <w:pPr>
        <w:jc w:val="both"/>
        <w:rPr>
          <w:u w:val="single"/>
        </w:rPr>
      </w:pPr>
      <w:r w:rsidRPr="00137B4C">
        <w:rPr>
          <w:u w:val="single"/>
        </w:rPr>
        <w:lastRenderedPageBreak/>
        <w:t>Bibliography</w:t>
      </w:r>
    </w:p>
    <w:p w:rsidR="00137B4C" w:rsidRDefault="00137B4C" w:rsidP="00137B4C">
      <w:pPr>
        <w:jc w:val="both"/>
      </w:pPr>
      <w:r w:rsidRPr="00137B4C">
        <w:t>Anonymous 2010.</w:t>
      </w:r>
      <w:r w:rsidRPr="00137B4C">
        <w:rPr>
          <w:i/>
          <w:iCs/>
        </w:rPr>
        <w:t> Effigies &amp;amp; Brasses: John Fitz-Alan (1435)</w:t>
      </w:r>
      <w:r w:rsidRPr="00137B4C">
        <w:t> </w:t>
      </w:r>
    </w:p>
    <w:p w:rsidR="00137B4C" w:rsidRPr="00137B4C" w:rsidRDefault="00137B4C" w:rsidP="00137B4C">
      <w:pPr>
        <w:jc w:val="both"/>
      </w:pPr>
      <w:r w:rsidRPr="00137B4C">
        <w:t>http://effigiesandbrasses.com/1612/1723/ (accessed 7 November 2017)</w:t>
      </w:r>
    </w:p>
    <w:p w:rsidR="00137B4C" w:rsidRPr="00137B4C" w:rsidRDefault="00137B4C" w:rsidP="00137B4C">
      <w:pPr>
        <w:jc w:val="both"/>
      </w:pPr>
      <w:r w:rsidRPr="00137B4C">
        <w:t>Aberth, J. 2010.</w:t>
      </w:r>
      <w:r w:rsidRPr="00137B4C">
        <w:rPr>
          <w:i/>
          <w:iCs/>
        </w:rPr>
        <w:t> From the Brink of the Apocalypse: Confronting Famine, War, Plague, and Death in the Later Middle Ages ;</w:t>
      </w:r>
      <w:r w:rsidRPr="00137B4C">
        <w:t>( London: Routledge)</w:t>
      </w:r>
    </w:p>
    <w:p w:rsidR="00137B4C" w:rsidRPr="00137B4C" w:rsidRDefault="00137B4C" w:rsidP="00137B4C">
      <w:pPr>
        <w:jc w:val="both"/>
      </w:pPr>
      <w:proofErr w:type="gramStart"/>
      <w:r w:rsidRPr="00137B4C">
        <w:t>Barker, J. 2016.</w:t>
      </w:r>
      <w:proofErr w:type="gramEnd"/>
      <w:r w:rsidRPr="00137B4C">
        <w:rPr>
          <w:i/>
          <w:iCs/>
        </w:rPr>
        <w:t> </w:t>
      </w:r>
      <w:proofErr w:type="gramStart"/>
      <w:r w:rsidRPr="00137B4C">
        <w:rPr>
          <w:i/>
          <w:iCs/>
        </w:rPr>
        <w:t>'Stone and Bone: the Corpse, the Effigy, and the Viewer'</w:t>
      </w:r>
      <w:r w:rsidRPr="00137B4C">
        <w:t>, in Adams, A., and Barker.</w:t>
      </w:r>
      <w:proofErr w:type="gramEnd"/>
      <w:r w:rsidRPr="00137B4C">
        <w:t xml:space="preserve"> Jessica (eds.)</w:t>
      </w:r>
      <w:r w:rsidRPr="00137B4C">
        <w:rPr>
          <w:i/>
          <w:iCs/>
        </w:rPr>
        <w:t xml:space="preserve"> Revisiting the Monument: Fifty Years </w:t>
      </w:r>
      <w:proofErr w:type="gramStart"/>
      <w:r w:rsidRPr="00137B4C">
        <w:rPr>
          <w:i/>
          <w:iCs/>
        </w:rPr>
        <w:t>Since</w:t>
      </w:r>
      <w:proofErr w:type="gramEnd"/>
      <w:r w:rsidRPr="00137B4C">
        <w:rPr>
          <w:i/>
          <w:iCs/>
        </w:rPr>
        <w:t xml:space="preserve"> Panofsky's Tomb Sculpture</w:t>
      </w:r>
      <w:r w:rsidRPr="00137B4C">
        <w:t> (Courtauld Institute of Art, London, United Kingdom: Courtauld Books), pp. 113-137</w:t>
      </w:r>
    </w:p>
    <w:p w:rsidR="00137B4C" w:rsidRPr="00137B4C" w:rsidRDefault="00137B4C" w:rsidP="00137B4C">
      <w:pPr>
        <w:jc w:val="both"/>
      </w:pPr>
      <w:r w:rsidRPr="00137B4C">
        <w:t>Daniell, C. 1997.</w:t>
      </w:r>
      <w:r w:rsidRPr="00137B4C">
        <w:rPr>
          <w:i/>
          <w:iCs/>
        </w:rPr>
        <w:t> Death and Burial in Medieval England 1066-1550</w:t>
      </w:r>
      <w:r w:rsidRPr="00137B4C">
        <w:t>(London: Routledge Ltd)</w:t>
      </w:r>
    </w:p>
    <w:p w:rsidR="00137B4C" w:rsidRPr="00137B4C" w:rsidRDefault="00137B4C" w:rsidP="00137B4C">
      <w:pPr>
        <w:jc w:val="both"/>
      </w:pPr>
      <w:r w:rsidRPr="00137B4C">
        <w:t>Sherlock, P. 2008.</w:t>
      </w:r>
      <w:r w:rsidRPr="00137B4C">
        <w:rPr>
          <w:i/>
          <w:iCs/>
        </w:rPr>
        <w:t> Monuments and memory in early modern England</w:t>
      </w:r>
      <w:r w:rsidRPr="00137B4C">
        <w:t> (Aldershot [u.a.]: Ashgate)</w:t>
      </w:r>
    </w:p>
    <w:p w:rsidR="00137B4C" w:rsidRPr="00137B4C" w:rsidRDefault="00137B4C" w:rsidP="00137B4C">
      <w:pPr>
        <w:jc w:val="both"/>
      </w:pPr>
      <w:proofErr w:type="gramStart"/>
      <w:r w:rsidRPr="00137B4C">
        <w:t>Stothard, C.A.,</w:t>
      </w:r>
      <w:bookmarkStart w:id="0" w:name="_GoBack"/>
      <w:bookmarkEnd w:id="0"/>
      <w:r w:rsidRPr="00137B4C">
        <w:t xml:space="preserve"> J. Hewitt, and A.J. Kempe.</w:t>
      </w:r>
      <w:proofErr w:type="gramEnd"/>
      <w:r w:rsidRPr="00137B4C">
        <w:t xml:space="preserve"> 1876.</w:t>
      </w:r>
      <w:r w:rsidRPr="00137B4C">
        <w:rPr>
          <w:i/>
          <w:iCs/>
        </w:rPr>
        <w:t> The</w:t>
      </w:r>
      <w:r w:rsidRPr="00137B4C">
        <w:rPr>
          <w:rFonts w:ascii="Calibri" w:hAnsi="Calibri" w:cs="Calibri"/>
          <w:i/>
          <w:iCs/>
        </w:rPr>
        <w:t></w:t>
      </w:r>
      <w:r w:rsidRPr="00137B4C">
        <w:rPr>
          <w:i/>
          <w:iCs/>
        </w:rPr>
        <w:t xml:space="preserve"> monumental effigies of Great Britain</w:t>
      </w:r>
      <w:r w:rsidRPr="00137B4C">
        <w:t> (London: Chatto and Windus)</w:t>
      </w:r>
    </w:p>
    <w:p w:rsidR="00137B4C" w:rsidRPr="00137B4C" w:rsidRDefault="00137B4C" w:rsidP="00C638E1">
      <w:pPr>
        <w:jc w:val="both"/>
      </w:pPr>
    </w:p>
    <w:sectPr w:rsidR="00137B4C" w:rsidRPr="00137B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8FA" w:rsidRDefault="00C258FA" w:rsidP="00C258FA">
      <w:pPr>
        <w:spacing w:after="0" w:line="240" w:lineRule="auto"/>
      </w:pPr>
      <w:r>
        <w:separator/>
      </w:r>
    </w:p>
  </w:endnote>
  <w:endnote w:type="continuationSeparator" w:id="0">
    <w:p w:rsidR="00C258FA" w:rsidRDefault="00C258FA" w:rsidP="00C25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8FA" w:rsidRDefault="00C258FA" w:rsidP="00C258FA">
      <w:pPr>
        <w:spacing w:after="0" w:line="240" w:lineRule="auto"/>
      </w:pPr>
      <w:r>
        <w:separator/>
      </w:r>
    </w:p>
  </w:footnote>
  <w:footnote w:type="continuationSeparator" w:id="0">
    <w:p w:rsidR="00C258FA" w:rsidRDefault="00C258FA" w:rsidP="00C258FA">
      <w:pPr>
        <w:spacing w:after="0" w:line="240" w:lineRule="auto"/>
      </w:pPr>
      <w:r>
        <w:continuationSeparator/>
      </w:r>
    </w:p>
  </w:footnote>
  <w:footnote w:id="1">
    <w:p w:rsidR="00C258FA" w:rsidRDefault="00C258FA">
      <w:pPr>
        <w:pStyle w:val="FootnoteText"/>
      </w:pPr>
      <w:r>
        <w:rPr>
          <w:rStyle w:val="FootnoteReference"/>
        </w:rPr>
        <w:footnoteRef/>
      </w:r>
      <w:r>
        <w:t xml:space="preserve"> </w:t>
      </w:r>
      <w:proofErr w:type="gramStart"/>
      <w:r w:rsidRPr="00C258FA">
        <w:t>Barker, J. 2016.</w:t>
      </w:r>
      <w:proofErr w:type="gramEnd"/>
      <w:r w:rsidRPr="00C258FA">
        <w:rPr>
          <w:i/>
          <w:iCs/>
        </w:rPr>
        <w:t> </w:t>
      </w:r>
      <w:proofErr w:type="gramStart"/>
      <w:r w:rsidRPr="00C258FA">
        <w:rPr>
          <w:i/>
          <w:iCs/>
        </w:rPr>
        <w:t>'Stone and Bone: the Corpse, the Effigy, and the Viewer'</w:t>
      </w:r>
      <w:r w:rsidRPr="00C258FA">
        <w:t>, in Adams, A., and Barker.</w:t>
      </w:r>
      <w:proofErr w:type="gramEnd"/>
      <w:r w:rsidRPr="00C258FA">
        <w:t xml:space="preserve"> Jessica (eds.)</w:t>
      </w:r>
      <w:r w:rsidRPr="00C258FA">
        <w:rPr>
          <w:i/>
          <w:iCs/>
        </w:rPr>
        <w:t> Revisiting the Monument: Fifty Years Since Panofsky's Tomb Sculpture</w:t>
      </w:r>
      <w:r w:rsidRPr="00C258FA">
        <w:t> (Courtauld Institute of Art, London, United Kin</w:t>
      </w:r>
      <w:r>
        <w:t>gdom: Courtauld Books), pp</w:t>
      </w:r>
      <w:r w:rsidR="00A955B5">
        <w:t>120</w:t>
      </w:r>
    </w:p>
  </w:footnote>
  <w:footnote w:id="2">
    <w:p w:rsidR="00C638E1" w:rsidRDefault="00C638E1">
      <w:pPr>
        <w:pStyle w:val="FootnoteText"/>
      </w:pPr>
      <w:r>
        <w:rPr>
          <w:rStyle w:val="FootnoteReference"/>
        </w:rPr>
        <w:footnoteRef/>
      </w:r>
      <w:r>
        <w:t xml:space="preserve"> </w:t>
      </w:r>
      <w:r w:rsidR="00735E24" w:rsidRPr="00735E24">
        <w:t>Sherlock, P. 2008.</w:t>
      </w:r>
      <w:r w:rsidR="00735E24" w:rsidRPr="00735E24">
        <w:rPr>
          <w:i/>
          <w:iCs/>
        </w:rPr>
        <w:t> Monuments and memory in early modern England</w:t>
      </w:r>
      <w:r w:rsidR="00801AFA">
        <w:t> </w:t>
      </w:r>
      <w:r w:rsidR="00735E24" w:rsidRPr="00735E24">
        <w:t>Aldershot [u.a.]: Ashgate</w:t>
      </w:r>
      <w:r w:rsidR="004D4F94">
        <w:t>, pp68</w:t>
      </w:r>
    </w:p>
  </w:footnote>
  <w:footnote w:id="3">
    <w:p w:rsidR="000B7F79" w:rsidRDefault="000B7F79">
      <w:pPr>
        <w:pStyle w:val="FootnoteText"/>
      </w:pPr>
      <w:r>
        <w:rPr>
          <w:rStyle w:val="FootnoteReference"/>
        </w:rPr>
        <w:footnoteRef/>
      </w:r>
      <w:r>
        <w:t xml:space="preserve"> Baker, J., 2016, pp</w:t>
      </w:r>
    </w:p>
  </w:footnote>
  <w:footnote w:id="4">
    <w:p w:rsidR="0064788D" w:rsidRPr="00555BEF" w:rsidRDefault="0064788D">
      <w:pPr>
        <w:pStyle w:val="FootnoteText"/>
      </w:pPr>
      <w:r>
        <w:rPr>
          <w:rStyle w:val="FootnoteReference"/>
        </w:rPr>
        <w:footnoteRef/>
      </w:r>
      <w:r>
        <w:t xml:space="preserve"> </w:t>
      </w:r>
      <w:r w:rsidR="00555BEF">
        <w:t>Aberth, John, 2000</w:t>
      </w:r>
      <w:r w:rsidR="00555BEF" w:rsidRPr="00555BEF">
        <w:t>.</w:t>
      </w:r>
      <w:r w:rsidR="00555BEF" w:rsidRPr="00555BEF">
        <w:rPr>
          <w:i/>
        </w:rPr>
        <w:t xml:space="preserve"> From the Brink of the Apocalypse: Confronting Famine, War, Plague, and Death in the Later Middle Ages</w:t>
      </w:r>
      <w:r w:rsidR="00555BEF">
        <w:t xml:space="preserve"> </w:t>
      </w:r>
      <w:r w:rsidR="00F7520B">
        <w:t>(London: Routledge)</w:t>
      </w:r>
      <w:r w:rsidR="00232C98">
        <w:t>, pp237</w:t>
      </w:r>
      <w:r w:rsidR="003A3062">
        <w:t>, Barker, J., 2016, pp120</w:t>
      </w:r>
    </w:p>
  </w:footnote>
  <w:footnote w:id="5">
    <w:p w:rsidR="003A3062" w:rsidRDefault="003A3062">
      <w:pPr>
        <w:pStyle w:val="FootnoteText"/>
      </w:pPr>
      <w:r>
        <w:rPr>
          <w:rStyle w:val="FootnoteReference"/>
        </w:rPr>
        <w:footnoteRef/>
      </w:r>
      <w:r>
        <w:t xml:space="preserve"> </w:t>
      </w:r>
      <w:r w:rsidR="00B509F0">
        <w:t>Aberth, J., 2000, pp237, Barker, J., 2016, pp120</w:t>
      </w:r>
    </w:p>
  </w:footnote>
  <w:footnote w:id="6">
    <w:p w:rsidR="00356751" w:rsidRDefault="00356751">
      <w:pPr>
        <w:pStyle w:val="FootnoteText"/>
      </w:pPr>
      <w:r>
        <w:rPr>
          <w:rStyle w:val="FootnoteReference"/>
        </w:rPr>
        <w:footnoteRef/>
      </w:r>
      <w:r>
        <w:t xml:space="preserve"> Barker, J., 2016, pp125</w:t>
      </w:r>
    </w:p>
  </w:footnote>
  <w:footnote w:id="7">
    <w:p w:rsidR="00F80D78" w:rsidRDefault="00F80D78">
      <w:pPr>
        <w:pStyle w:val="FootnoteText"/>
      </w:pPr>
      <w:r>
        <w:rPr>
          <w:rStyle w:val="FootnoteReference"/>
        </w:rPr>
        <w:footnoteRef/>
      </w:r>
      <w:r>
        <w:t xml:space="preserve"> </w:t>
      </w:r>
      <w:r w:rsidR="00E166B0">
        <w:t>Barker, J., 2016, pp125</w:t>
      </w:r>
    </w:p>
  </w:footnote>
  <w:footnote w:id="8">
    <w:p w:rsidR="00B822BA" w:rsidRDefault="00B822BA">
      <w:pPr>
        <w:pStyle w:val="FootnoteText"/>
      </w:pPr>
      <w:r>
        <w:rPr>
          <w:rStyle w:val="FootnoteReference"/>
        </w:rPr>
        <w:footnoteRef/>
      </w:r>
      <w:r>
        <w:t xml:space="preserve"> Barker, J., 2016, pp126</w:t>
      </w:r>
    </w:p>
  </w:footnote>
  <w:footnote w:id="9">
    <w:p w:rsidR="00AA36EC" w:rsidRDefault="00AA36EC">
      <w:pPr>
        <w:pStyle w:val="FootnoteText"/>
      </w:pPr>
      <w:r>
        <w:rPr>
          <w:rStyle w:val="FootnoteReference"/>
        </w:rPr>
        <w:footnoteRef/>
      </w:r>
      <w:r>
        <w:t xml:space="preserve"> </w:t>
      </w:r>
      <w:proofErr w:type="gramStart"/>
      <w:r>
        <w:t>Barker, J</w:t>
      </w:r>
      <w:r w:rsidR="008F1366">
        <w:t>.</w:t>
      </w:r>
      <w:r>
        <w:t xml:space="preserve">, </w:t>
      </w:r>
      <w:r w:rsidR="002035D9">
        <w:t xml:space="preserve">2016, </w:t>
      </w:r>
      <w:r>
        <w:t>pp128</w:t>
      </w:r>
      <w:r w:rsidR="00C90F27">
        <w:t xml:space="preserve">, </w:t>
      </w:r>
      <w:r w:rsidR="00C90F27" w:rsidRPr="00C90F27">
        <w:t>Stothard, C.A., J. Hewitt, and A.J. Kempe.</w:t>
      </w:r>
      <w:proofErr w:type="gramEnd"/>
      <w:r w:rsidR="00C90F27" w:rsidRPr="00C90F27">
        <w:t xml:space="preserve"> 1876.</w:t>
      </w:r>
      <w:r w:rsidR="00C90F27" w:rsidRPr="00C90F27">
        <w:rPr>
          <w:i/>
          <w:iCs/>
        </w:rPr>
        <w:t> The</w:t>
      </w:r>
      <w:r w:rsidR="00C90F27">
        <w:rPr>
          <w:i/>
          <w:iCs/>
        </w:rPr>
        <w:t xml:space="preserve"> Monumental E</w:t>
      </w:r>
      <w:r w:rsidR="00C90F27" w:rsidRPr="00C90F27">
        <w:rPr>
          <w:i/>
          <w:iCs/>
        </w:rPr>
        <w:t>ffigies of Great Britain</w:t>
      </w:r>
      <w:r w:rsidR="00C90F27" w:rsidRPr="00C90F27">
        <w:t> (London: Chatto and Windus)</w:t>
      </w:r>
      <w:r w:rsidR="00C90F27">
        <w:t>, pp94</w:t>
      </w:r>
      <w:r w:rsidR="004862C4">
        <w:t xml:space="preserve">, </w:t>
      </w:r>
      <w:r w:rsidR="004862C4" w:rsidRPr="004862C4">
        <w:t>Anonymous, </w:t>
      </w:r>
      <w:r w:rsidR="004862C4" w:rsidRPr="004862C4">
        <w:rPr>
          <w:i/>
          <w:iCs/>
        </w:rPr>
        <w:t>Effigies and Brasses: John Fitz-Alan</w:t>
      </w:r>
      <w:r w:rsidR="004862C4">
        <w:t xml:space="preserve"> (2017) </w:t>
      </w:r>
      <w:r w:rsidR="004862C4" w:rsidRPr="004862C4">
        <w:t>http://ef</w:t>
      </w:r>
      <w:r w:rsidR="004862C4">
        <w:t>figiesandbrasses.com/1612/1723/ (accessed 7 November 2017)</w:t>
      </w:r>
    </w:p>
  </w:footnote>
  <w:footnote w:id="10">
    <w:p w:rsidR="00CF1188" w:rsidRDefault="00CF1188">
      <w:pPr>
        <w:pStyle w:val="FootnoteText"/>
      </w:pPr>
      <w:r>
        <w:rPr>
          <w:rStyle w:val="FootnoteReference"/>
        </w:rPr>
        <w:footnoteRef/>
      </w:r>
      <w:r>
        <w:t xml:space="preserve"> </w:t>
      </w:r>
      <w:r w:rsidR="00384E45">
        <w:t>Barker, J</w:t>
      </w:r>
      <w:r w:rsidR="008F1366">
        <w:t>.</w:t>
      </w:r>
      <w:r w:rsidR="00384E45">
        <w:t xml:space="preserve">, </w:t>
      </w:r>
      <w:r w:rsidR="002035D9">
        <w:t xml:space="preserve">2016, </w:t>
      </w:r>
      <w:r w:rsidR="00384E45">
        <w:t>pp129</w:t>
      </w:r>
    </w:p>
  </w:footnote>
  <w:footnote w:id="11">
    <w:p w:rsidR="00795652" w:rsidRDefault="00795652">
      <w:pPr>
        <w:pStyle w:val="FootnoteText"/>
      </w:pPr>
      <w:r>
        <w:rPr>
          <w:rStyle w:val="FootnoteReference"/>
        </w:rPr>
        <w:footnoteRef/>
      </w:r>
      <w:r>
        <w:t xml:space="preserve"> Stothard, C.A., Hewitt, J., Kempe, A.J., 1876, pp94</w:t>
      </w:r>
    </w:p>
  </w:footnote>
  <w:footnote w:id="12">
    <w:p w:rsidR="008F1366" w:rsidRDefault="008F1366">
      <w:pPr>
        <w:pStyle w:val="FootnoteText"/>
      </w:pPr>
      <w:r>
        <w:rPr>
          <w:rStyle w:val="FootnoteReference"/>
        </w:rPr>
        <w:footnoteRef/>
      </w:r>
      <w:r>
        <w:t xml:space="preserve"> Barker, J., 2016, pp130</w:t>
      </w:r>
    </w:p>
  </w:footnote>
  <w:footnote w:id="13">
    <w:p w:rsidR="00F91A97" w:rsidRDefault="00F91A97">
      <w:pPr>
        <w:pStyle w:val="FootnoteText"/>
      </w:pPr>
      <w:r>
        <w:rPr>
          <w:rStyle w:val="FootnoteReference"/>
        </w:rPr>
        <w:footnoteRef/>
      </w:r>
      <w:r>
        <w:t xml:space="preserve"> </w:t>
      </w:r>
      <w:r w:rsidRPr="00F91A97">
        <w:t>Stothard, C.A., Hewitt, J., Kempe, A.J., 1876, pp94</w:t>
      </w:r>
    </w:p>
  </w:footnote>
  <w:footnote w:id="14">
    <w:p w:rsidR="004C7040" w:rsidRDefault="004C7040">
      <w:pPr>
        <w:pStyle w:val="FootnoteText"/>
      </w:pPr>
      <w:r>
        <w:rPr>
          <w:rStyle w:val="FootnoteReference"/>
        </w:rPr>
        <w:footnoteRef/>
      </w:r>
      <w:r>
        <w:t xml:space="preserve"> </w:t>
      </w:r>
      <w:r w:rsidR="00BE0E32" w:rsidRPr="00BE0E32">
        <w:t>Daniell, C. 1997.</w:t>
      </w:r>
      <w:r w:rsidR="00BE0E32" w:rsidRPr="00BE0E32">
        <w:rPr>
          <w:i/>
          <w:iCs/>
        </w:rPr>
        <w:t> Death and Burial in Medieval England 1066-1550</w:t>
      </w:r>
      <w:r w:rsidR="00BE0E32" w:rsidRPr="00BE0E32">
        <w:t> (London: Routledge Ltd)</w:t>
      </w:r>
      <w:r w:rsidR="00BE0E32">
        <w:t>, pp65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F53"/>
    <w:rsid w:val="000420AE"/>
    <w:rsid w:val="00066C27"/>
    <w:rsid w:val="000870FA"/>
    <w:rsid w:val="000B7F79"/>
    <w:rsid w:val="000D628E"/>
    <w:rsid w:val="000E1F2C"/>
    <w:rsid w:val="000F5A33"/>
    <w:rsid w:val="0010345A"/>
    <w:rsid w:val="00112D83"/>
    <w:rsid w:val="00125F33"/>
    <w:rsid w:val="00137B4C"/>
    <w:rsid w:val="00153F21"/>
    <w:rsid w:val="00162F3A"/>
    <w:rsid w:val="001903BE"/>
    <w:rsid w:val="001B7A5A"/>
    <w:rsid w:val="002035D9"/>
    <w:rsid w:val="002072F9"/>
    <w:rsid w:val="00232C98"/>
    <w:rsid w:val="00241522"/>
    <w:rsid w:val="002B1AAB"/>
    <w:rsid w:val="00332898"/>
    <w:rsid w:val="00356751"/>
    <w:rsid w:val="00363827"/>
    <w:rsid w:val="00384E45"/>
    <w:rsid w:val="003A3062"/>
    <w:rsid w:val="004272DB"/>
    <w:rsid w:val="0043792C"/>
    <w:rsid w:val="004862C4"/>
    <w:rsid w:val="004C7040"/>
    <w:rsid w:val="004D48F5"/>
    <w:rsid w:val="004D4F94"/>
    <w:rsid w:val="00531A0C"/>
    <w:rsid w:val="00555BEF"/>
    <w:rsid w:val="005630DE"/>
    <w:rsid w:val="005A0FE0"/>
    <w:rsid w:val="005D2698"/>
    <w:rsid w:val="005D56A3"/>
    <w:rsid w:val="00606B52"/>
    <w:rsid w:val="0064788D"/>
    <w:rsid w:val="006559FF"/>
    <w:rsid w:val="006630B4"/>
    <w:rsid w:val="006801D4"/>
    <w:rsid w:val="00715517"/>
    <w:rsid w:val="00735E24"/>
    <w:rsid w:val="00795652"/>
    <w:rsid w:val="007A522C"/>
    <w:rsid w:val="007B3259"/>
    <w:rsid w:val="007B4DD3"/>
    <w:rsid w:val="007D677C"/>
    <w:rsid w:val="007E0985"/>
    <w:rsid w:val="00801AFA"/>
    <w:rsid w:val="00831693"/>
    <w:rsid w:val="008F1366"/>
    <w:rsid w:val="00945264"/>
    <w:rsid w:val="0094764D"/>
    <w:rsid w:val="00950004"/>
    <w:rsid w:val="009D0E4C"/>
    <w:rsid w:val="009F171C"/>
    <w:rsid w:val="00A01699"/>
    <w:rsid w:val="00A1689D"/>
    <w:rsid w:val="00A16C92"/>
    <w:rsid w:val="00A262D1"/>
    <w:rsid w:val="00A955B5"/>
    <w:rsid w:val="00A96B05"/>
    <w:rsid w:val="00A97265"/>
    <w:rsid w:val="00AA36EC"/>
    <w:rsid w:val="00AB725B"/>
    <w:rsid w:val="00AE4C84"/>
    <w:rsid w:val="00B05437"/>
    <w:rsid w:val="00B116D3"/>
    <w:rsid w:val="00B46FFC"/>
    <w:rsid w:val="00B509F0"/>
    <w:rsid w:val="00B822BA"/>
    <w:rsid w:val="00BE0E32"/>
    <w:rsid w:val="00BE1B6C"/>
    <w:rsid w:val="00C21012"/>
    <w:rsid w:val="00C258FA"/>
    <w:rsid w:val="00C267F7"/>
    <w:rsid w:val="00C51AA9"/>
    <w:rsid w:val="00C638E1"/>
    <w:rsid w:val="00C67A94"/>
    <w:rsid w:val="00C74D1D"/>
    <w:rsid w:val="00C90F27"/>
    <w:rsid w:val="00CA289D"/>
    <w:rsid w:val="00CB3A74"/>
    <w:rsid w:val="00CF1188"/>
    <w:rsid w:val="00CF7677"/>
    <w:rsid w:val="00D56D0F"/>
    <w:rsid w:val="00D8264F"/>
    <w:rsid w:val="00D96B07"/>
    <w:rsid w:val="00DA1010"/>
    <w:rsid w:val="00DC21E9"/>
    <w:rsid w:val="00E15F53"/>
    <w:rsid w:val="00E166B0"/>
    <w:rsid w:val="00E25A41"/>
    <w:rsid w:val="00F230B7"/>
    <w:rsid w:val="00F313EB"/>
    <w:rsid w:val="00F565A5"/>
    <w:rsid w:val="00F7520B"/>
    <w:rsid w:val="00F80D78"/>
    <w:rsid w:val="00F91A97"/>
    <w:rsid w:val="00FC573B"/>
    <w:rsid w:val="00FC7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258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58FA"/>
    <w:rPr>
      <w:sz w:val="20"/>
      <w:szCs w:val="20"/>
    </w:rPr>
  </w:style>
  <w:style w:type="character" w:styleId="FootnoteReference">
    <w:name w:val="footnote reference"/>
    <w:basedOn w:val="DefaultParagraphFont"/>
    <w:uiPriority w:val="99"/>
    <w:semiHidden/>
    <w:unhideWhenUsed/>
    <w:rsid w:val="00C258FA"/>
    <w:rPr>
      <w:vertAlign w:val="superscript"/>
    </w:rPr>
  </w:style>
  <w:style w:type="paragraph" w:styleId="Header">
    <w:name w:val="header"/>
    <w:basedOn w:val="Normal"/>
    <w:link w:val="HeaderChar"/>
    <w:uiPriority w:val="99"/>
    <w:unhideWhenUsed/>
    <w:rsid w:val="00555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BEF"/>
  </w:style>
  <w:style w:type="paragraph" w:styleId="Footer">
    <w:name w:val="footer"/>
    <w:basedOn w:val="Normal"/>
    <w:link w:val="FooterChar"/>
    <w:uiPriority w:val="99"/>
    <w:unhideWhenUsed/>
    <w:rsid w:val="00555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B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258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58FA"/>
    <w:rPr>
      <w:sz w:val="20"/>
      <w:szCs w:val="20"/>
    </w:rPr>
  </w:style>
  <w:style w:type="character" w:styleId="FootnoteReference">
    <w:name w:val="footnote reference"/>
    <w:basedOn w:val="DefaultParagraphFont"/>
    <w:uiPriority w:val="99"/>
    <w:semiHidden/>
    <w:unhideWhenUsed/>
    <w:rsid w:val="00C258FA"/>
    <w:rPr>
      <w:vertAlign w:val="superscript"/>
    </w:rPr>
  </w:style>
  <w:style w:type="paragraph" w:styleId="Header">
    <w:name w:val="header"/>
    <w:basedOn w:val="Normal"/>
    <w:link w:val="HeaderChar"/>
    <w:uiPriority w:val="99"/>
    <w:unhideWhenUsed/>
    <w:rsid w:val="00555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BEF"/>
  </w:style>
  <w:style w:type="paragraph" w:styleId="Footer">
    <w:name w:val="footer"/>
    <w:basedOn w:val="Normal"/>
    <w:link w:val="FooterChar"/>
    <w:uiPriority w:val="99"/>
    <w:unhideWhenUsed/>
    <w:rsid w:val="00555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00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20561-0CD3-4EAA-AC1C-ECB2CD7CE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995</Words>
  <Characters>5673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2017-11-10T18:35:00Z</dcterms:created>
  <dcterms:modified xsi:type="dcterms:W3CDTF">2017-11-10T18:35:00Z</dcterms:modified>
</cp:coreProperties>
</file>