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03637CD" w:rsidP="1C4AB386" w:rsidRDefault="703637CD" w14:paraId="7CAE82D6" w14:textId="29E8959C">
      <w:pPr>
        <w:pStyle w:val="Normal"/>
        <w:rPr>
          <w:b w:val="1"/>
          <w:bCs w:val="1"/>
        </w:rPr>
      </w:pPr>
      <w:r w:rsidRPr="1C4AB386" w:rsidR="33408863">
        <w:rPr>
          <w:b w:val="1"/>
          <w:bCs w:val="1"/>
        </w:rPr>
        <w:t>Property Law</w:t>
      </w:r>
      <w:r w:rsidRPr="1C4AB386" w:rsidR="4A9D6119">
        <w:rPr>
          <w:b w:val="1"/>
          <w:bCs w:val="1"/>
        </w:rPr>
        <w:t xml:space="preserve"> David Jones</w:t>
      </w:r>
      <w:r w:rsidRPr="1C4AB386" w:rsidR="2225647C">
        <w:rPr>
          <w:b w:val="1"/>
          <w:bCs w:val="1"/>
        </w:rPr>
        <w:t xml:space="preserve"> 1902712</w:t>
      </w:r>
    </w:p>
    <w:p w:rsidR="4E1AB8A3" w:rsidRDefault="4E1AB8A3" w14:paraId="5A2170BC" w14:textId="18EE75B4">
      <w:r w:rsidR="4E1AB8A3">
        <w:rPr/>
        <w:t xml:space="preserve">The following assignment </w:t>
      </w:r>
      <w:r w:rsidR="3BC86E68">
        <w:rPr/>
        <w:t xml:space="preserve">will look at the </w:t>
      </w:r>
      <w:r w:rsidR="48959B30">
        <w:rPr/>
        <w:t>characteristics</w:t>
      </w:r>
      <w:r w:rsidR="3BC86E68">
        <w:rPr/>
        <w:t xml:space="preserve"> of an easement, and </w:t>
      </w:r>
      <w:r w:rsidR="7E9AB624">
        <w:rPr/>
        <w:t xml:space="preserve">how these may restrict </w:t>
      </w:r>
      <w:r w:rsidR="3BC86E68">
        <w:rPr/>
        <w:t xml:space="preserve">the types of rights that landowners may </w:t>
      </w:r>
      <w:r w:rsidR="4A6C456B">
        <w:rPr/>
        <w:t>grant,</w:t>
      </w:r>
      <w:r w:rsidR="3BC86E68">
        <w:rPr/>
        <w:t xml:space="preserve"> or reserve</w:t>
      </w:r>
      <w:r w:rsidR="21E6A3D3">
        <w:rPr/>
        <w:t>.</w:t>
      </w:r>
    </w:p>
    <w:p w:rsidR="61AB3A1D" w:rsidP="1C4AB386" w:rsidRDefault="61AB3A1D" w14:paraId="5831B2DD" w14:textId="5F0BDFDE">
      <w:pPr>
        <w:pStyle w:val="Normal"/>
      </w:pPr>
      <w:r w:rsidR="25A104FE">
        <w:rPr/>
        <w:t xml:space="preserve">An easement is a right enjoyed over a servient </w:t>
      </w:r>
      <w:r w:rsidR="25A104FE">
        <w:rPr/>
        <w:t>tenement</w:t>
      </w:r>
      <w:r w:rsidR="25A104FE">
        <w:rPr/>
        <w:t xml:space="preserve"> for the benefit of a dominant </w:t>
      </w:r>
      <w:r w:rsidR="25A104FE">
        <w:rPr/>
        <w:t>tenement</w:t>
      </w:r>
      <w:r w:rsidR="25A104FE">
        <w:rPr/>
        <w:t xml:space="preserve">. </w:t>
      </w:r>
      <w:r w:rsidR="302B8AE6">
        <w:rPr/>
        <w:t xml:space="preserve">An easement is a </w:t>
      </w:r>
      <w:r w:rsidR="5B2FDAC2">
        <w:rPr/>
        <w:t>proprietary</w:t>
      </w:r>
      <w:r w:rsidR="302B8AE6">
        <w:rPr/>
        <w:t xml:space="preserve"> right to enjoy limited use of the land of another, which may exist in both positive and negative form.</w:t>
      </w:r>
      <w:r w:rsidR="236F9479">
        <w:rPr/>
        <w:t xml:space="preserve"> </w:t>
      </w:r>
      <w:r w:rsidR="312764CC">
        <w:rPr/>
        <w:t>(</w:t>
      </w:r>
      <w:proofErr w:type="spellStart"/>
      <w:r w:rsidRPr="1C4AB386" w:rsidR="312764CC">
        <w:rPr>
          <w:i w:val="1"/>
          <w:iCs w:val="1"/>
        </w:rPr>
        <w:t>Sturley</w:t>
      </w:r>
      <w:proofErr w:type="spellEnd"/>
      <w:r w:rsidRPr="1C4AB386" w:rsidR="312764CC">
        <w:rPr>
          <w:i w:val="1"/>
          <w:iCs w:val="1"/>
        </w:rPr>
        <w:t>, M 1980)</w:t>
      </w:r>
      <w:r w:rsidRPr="1C4AB386" w:rsidR="631503E8">
        <w:rPr>
          <w:i w:val="1"/>
          <w:iCs w:val="1"/>
        </w:rPr>
        <w:t>.</w:t>
      </w:r>
      <w:r w:rsidRPr="1C4AB386" w:rsidR="312764CC">
        <w:rPr>
          <w:i w:val="1"/>
          <w:iCs w:val="1"/>
        </w:rPr>
        <w:t xml:space="preserve"> </w:t>
      </w:r>
      <w:r w:rsidR="236F9479">
        <w:rPr/>
        <w:t xml:space="preserve">The </w:t>
      </w:r>
      <w:r w:rsidR="63372FCB">
        <w:rPr/>
        <w:t>characteristics</w:t>
      </w:r>
      <w:r w:rsidR="236F9479">
        <w:rPr/>
        <w:t xml:space="preserve"> of an easement </w:t>
      </w:r>
      <w:r w:rsidR="489AEC65">
        <w:rPr/>
        <w:t>include</w:t>
      </w:r>
      <w:r w:rsidR="236F9479">
        <w:rPr/>
        <w:t xml:space="preserve"> </w:t>
      </w:r>
      <w:r w:rsidR="163707B8">
        <w:rPr/>
        <w:t xml:space="preserve">that </w:t>
      </w:r>
      <w:r w:rsidR="236F9479">
        <w:rPr/>
        <w:t xml:space="preserve">there must be a dominant and servient </w:t>
      </w:r>
      <w:r w:rsidR="236F9479">
        <w:rPr/>
        <w:t xml:space="preserve">tenement, each of the tenements must </w:t>
      </w:r>
      <w:r w:rsidR="3622420E">
        <w:rPr/>
        <w:t xml:space="preserve">be in a separate </w:t>
      </w:r>
      <w:r w:rsidR="44EDEB96">
        <w:rPr/>
        <w:t>occupation</w:t>
      </w:r>
      <w:r w:rsidR="3622420E">
        <w:rPr/>
        <w:t>, the easement must accommodate the dominant tenement, and the easement m</w:t>
      </w:r>
      <w:r w:rsidR="3622420E">
        <w:rPr/>
        <w:t xml:space="preserve">ust be capable of being the subject of a grant. </w:t>
      </w:r>
      <w:r w:rsidR="1079D765">
        <w:rPr/>
        <w:t xml:space="preserve">These requirements were established </w:t>
      </w:r>
      <w:r w:rsidR="5D51238C">
        <w:rPr/>
        <w:t xml:space="preserve">by </w:t>
      </w:r>
      <w:r w:rsidR="1079D765">
        <w:rPr/>
        <w:t>Evershed MR in</w:t>
      </w:r>
      <w:r w:rsidR="2329686F">
        <w:rPr/>
        <w:t xml:space="preserve"> </w:t>
      </w:r>
      <w:r w:rsidRPr="1C4AB386" w:rsidR="2329686F">
        <w:rPr>
          <w:i w:val="1"/>
          <w:iCs w:val="1"/>
        </w:rPr>
        <w:t xml:space="preserve">Re Ellenborough Park [1956]. </w:t>
      </w:r>
      <w:r w:rsidRPr="1C4AB386" w:rsidR="2329686F">
        <w:rPr>
          <w:i w:val="0"/>
          <w:iCs w:val="0"/>
        </w:rPr>
        <w:t>The four</w:t>
      </w:r>
      <w:r w:rsidRPr="1C4AB386" w:rsidR="2E712F2F">
        <w:rPr>
          <w:i w:val="0"/>
          <w:iCs w:val="0"/>
        </w:rPr>
        <w:t xml:space="preserve"> </w:t>
      </w:r>
      <w:r w:rsidRPr="1C4AB386" w:rsidR="2D3B1279">
        <w:rPr>
          <w:i w:val="0"/>
          <w:iCs w:val="0"/>
        </w:rPr>
        <w:t>requirements</w:t>
      </w:r>
      <w:r w:rsidRPr="1C4AB386" w:rsidR="2E712F2F">
        <w:rPr>
          <w:i w:val="0"/>
          <w:iCs w:val="0"/>
        </w:rPr>
        <w:t xml:space="preserve"> were redeclared by Lord Briggs </w:t>
      </w:r>
      <w:r w:rsidRPr="1C4AB386" w:rsidR="04D716CF">
        <w:rPr>
          <w:i w:val="0"/>
          <w:iCs w:val="0"/>
        </w:rPr>
        <w:t>in</w:t>
      </w:r>
      <w:r w:rsidRPr="1C4AB386" w:rsidR="04D716CF">
        <w:rPr>
          <w:i w:val="1"/>
          <w:iCs w:val="1"/>
        </w:rPr>
        <w:t xml:space="preserve"> Regency Villas Title Ltd v Diamond Resorts (Europe) [2018].</w:t>
      </w:r>
    </w:p>
    <w:p w:rsidR="76A96BA5" w:rsidP="1C4AB386" w:rsidRDefault="76A96BA5" w14:paraId="31A8567B" w14:textId="7A889D09">
      <w:pPr>
        <w:pStyle w:val="Normal"/>
        <w:rPr>
          <w:b w:val="1"/>
          <w:bCs w:val="1"/>
          <w:highlight w:val="cyan"/>
        </w:rPr>
      </w:pPr>
      <w:r w:rsidR="28092518">
        <w:rPr/>
        <w:t xml:space="preserve">The case of </w:t>
      </w:r>
      <w:r w:rsidRPr="1C4AB386" w:rsidR="28092518">
        <w:rPr>
          <w:i w:val="1"/>
          <w:iCs w:val="1"/>
        </w:rPr>
        <w:t xml:space="preserve">Re Ellenborough Park [1956] Ch 13 </w:t>
      </w:r>
      <w:r w:rsidR="28092518">
        <w:rPr/>
        <w:t xml:space="preserve">set out four characteristics of an easement. To summarise this case, Ellenborough Park development was sold with the full right to enjoy parking. After the park was requisitioned, entitlement to compensation was disputed. </w:t>
      </w:r>
      <w:r w:rsidR="3ED599A0">
        <w:rPr/>
        <w:t xml:space="preserve">The issue identified here was if the right to use a park </w:t>
      </w:r>
      <w:r w:rsidR="3F59CBC2">
        <w:rPr/>
        <w:t xml:space="preserve">created as part of a purchase, amounted to an easement. It therefore caused development </w:t>
      </w:r>
      <w:r w:rsidR="633387CE">
        <w:rPr/>
        <w:t xml:space="preserve">of what must be active for an easement to </w:t>
      </w:r>
      <w:r w:rsidR="633387CE">
        <w:rPr/>
        <w:t>exist</w:t>
      </w:r>
      <w:r w:rsidR="633387CE">
        <w:rPr/>
        <w:t xml:space="preserve">. </w:t>
      </w:r>
      <w:r w:rsidR="28092518">
        <w:rPr/>
        <w:t>The house owners established a right to use the park, which satisfied the characteristics of an easement. Therefore, they were granted compensation.</w:t>
      </w:r>
      <w:r w:rsidR="4196AD69">
        <w:rPr/>
        <w:t xml:space="preserve"> </w:t>
      </w:r>
    </w:p>
    <w:p w:rsidR="76A96BA5" w:rsidP="1C4AB386" w:rsidRDefault="76A96BA5" w14:paraId="05F1937D" w14:textId="58A9433A">
      <w:pPr>
        <w:pStyle w:val="Normal"/>
      </w:pPr>
      <w:r w:rsidR="39C6F4BC">
        <w:rPr/>
        <w:t xml:space="preserve">Easements comprise of a wide range of rights. The rights of way are the most common type of easement. This specific right can be viewed as too ‘broad’, which may or may not restrict the landowners to reserve or grant rights. </w:t>
      </w:r>
      <w:r w:rsidR="4196AD69">
        <w:rPr/>
        <w:t xml:space="preserve">The law recognises easements </w:t>
      </w:r>
      <w:r w:rsidR="4196AD69">
        <w:rPr/>
        <w:t>regarding</w:t>
      </w:r>
      <w:r w:rsidR="4196AD69">
        <w:rPr/>
        <w:t xml:space="preserve"> rights of water, onto or through neighbouring land. For example, the right to receive water through a water pipe system.</w:t>
      </w:r>
      <w:r w:rsidR="65B12246">
        <w:rPr/>
        <w:t xml:space="preserve"> </w:t>
      </w:r>
      <w:r w:rsidRPr="1C4AB386" w:rsidR="65B12246">
        <w:rPr>
          <w:i w:val="1"/>
          <w:iCs w:val="1"/>
        </w:rPr>
        <w:t>(McFarlane et al, 2018)</w:t>
      </w:r>
      <w:r w:rsidR="4196AD69">
        <w:rPr/>
        <w:t xml:space="preserve"> The case of</w:t>
      </w:r>
      <w:r w:rsidRPr="1C4AB386" w:rsidR="4196AD69">
        <w:rPr>
          <w:i w:val="1"/>
          <w:iCs w:val="1"/>
        </w:rPr>
        <w:t xml:space="preserve"> Atwood v Bovis Homes Ltd [2001] Ch 379</w:t>
      </w:r>
      <w:r w:rsidR="4196AD69">
        <w:rPr/>
        <w:t xml:space="preserve"> </w:t>
      </w:r>
      <w:r w:rsidR="3AB64388">
        <w:rPr/>
        <w:t>discussed the</w:t>
      </w:r>
      <w:r w:rsidR="4196AD69">
        <w:rPr/>
        <w:t xml:space="preserve"> right to water drainage exercised onto the claimant's land. Justice Neuberger</w:t>
      </w:r>
      <w:r w:rsidR="58296930">
        <w:rPr/>
        <w:t xml:space="preserve"> here</w:t>
      </w:r>
      <w:r w:rsidR="4196AD69">
        <w:rPr/>
        <w:t xml:space="preserve"> stated that the new use of this land did not significantly increase the burden on the servient tenement. </w:t>
      </w:r>
    </w:p>
    <w:p w:rsidR="76A96BA5" w:rsidP="1C4AB386" w:rsidRDefault="76A96BA5" w14:paraId="50DBD4DC" w14:textId="526D8FB9">
      <w:pPr>
        <w:pStyle w:val="Normal"/>
      </w:pPr>
      <w:r w:rsidR="4196AD69">
        <w:rPr/>
        <w:t xml:space="preserve">The rights of fencing as an easement, were highlighted in </w:t>
      </w:r>
      <w:r w:rsidRPr="1C4AB386" w:rsidR="4196AD69">
        <w:rPr>
          <w:i w:val="1"/>
          <w:iCs w:val="1"/>
        </w:rPr>
        <w:t xml:space="preserve">Crow v Wood [1971] 1 QB 77 (CA) </w:t>
      </w:r>
      <w:r w:rsidR="4196AD69">
        <w:rPr/>
        <w:t xml:space="preserve">by the Court of Appeal. This type of easement prohibits one party from building fences or constructions that may impair another party's access to light and air. </w:t>
      </w:r>
      <w:r w:rsidR="4196AD69">
        <w:rPr/>
        <w:t>If you want to construct across an easement, you must obtain permission from all impacted parties.</w:t>
      </w:r>
      <w:r w:rsidR="4196AD69">
        <w:rPr/>
        <w:t xml:space="preserve"> If the easement is a statu</w:t>
      </w:r>
      <w:r w:rsidR="4196AD69">
        <w:rPr/>
        <w:t>tory easement, you will require the authority's permission.</w:t>
      </w:r>
      <w:r w:rsidR="5FCEBE04">
        <w:rPr/>
        <w:t xml:space="preserve"> </w:t>
      </w:r>
      <w:r w:rsidRPr="1C4AB386" w:rsidR="5FCEBE04">
        <w:rPr>
          <w:i w:val="1"/>
          <w:iCs w:val="1"/>
        </w:rPr>
        <w:t xml:space="preserve">(Gardner, 2016]. </w:t>
      </w:r>
    </w:p>
    <w:p w:rsidR="76A96BA5" w:rsidP="1C4AB386" w:rsidRDefault="76A96BA5" w14:paraId="0497E5F0" w14:textId="2ADEB4F6">
      <w:pPr>
        <w:rPr>
          <w:i w:val="0"/>
          <w:iCs w:val="0"/>
        </w:rPr>
      </w:pPr>
      <w:r w:rsidR="42E3C0BD">
        <w:rPr/>
        <w:t xml:space="preserve">Other types of easements include the right to store coal in a shed </w:t>
      </w:r>
      <w:r w:rsidR="79AA366E">
        <w:rPr/>
        <w:t xml:space="preserve">such as in </w:t>
      </w:r>
      <w:r w:rsidRPr="1C4AB386" w:rsidR="42E3C0BD">
        <w:rPr>
          <w:i w:val="1"/>
          <w:iCs w:val="1"/>
        </w:rPr>
        <w:t>Wright v Macadam [1949] KB 744.</w:t>
      </w:r>
      <w:r w:rsidRPr="1C4AB386" w:rsidR="4B20CE14">
        <w:rPr>
          <w:i w:val="1"/>
          <w:iCs w:val="1"/>
        </w:rPr>
        <w:t xml:space="preserve"> </w:t>
      </w:r>
      <w:r w:rsidRPr="1C4AB386" w:rsidR="171D5C17">
        <w:rPr>
          <w:i w:val="0"/>
          <w:iCs w:val="0"/>
        </w:rPr>
        <w:t xml:space="preserve">The </w:t>
      </w:r>
      <w:r w:rsidRPr="1C4AB386" w:rsidR="171D5C17">
        <w:rPr>
          <w:i w:val="0"/>
          <w:iCs w:val="0"/>
        </w:rPr>
        <w:t>claimant</w:t>
      </w:r>
      <w:r w:rsidRPr="1C4AB386" w:rsidR="171D5C17">
        <w:rPr>
          <w:i w:val="0"/>
          <w:iCs w:val="0"/>
        </w:rPr>
        <w:t xml:space="preserve"> Mrs Wright was granted permission to store coal in a shed. Since the new </w:t>
      </w:r>
      <w:r w:rsidRPr="1C4AB386" w:rsidR="171D5C17">
        <w:rPr>
          <w:i w:val="0"/>
          <w:iCs w:val="0"/>
        </w:rPr>
        <w:t>tenancy</w:t>
      </w:r>
      <w:r w:rsidRPr="1C4AB386" w:rsidR="171D5C17">
        <w:rPr>
          <w:i w:val="0"/>
          <w:iCs w:val="0"/>
        </w:rPr>
        <w:t xml:space="preserve"> did not </w:t>
      </w:r>
      <w:r w:rsidRPr="1C4AB386" w:rsidR="5C305E21">
        <w:rPr>
          <w:i w:val="0"/>
          <w:iCs w:val="0"/>
        </w:rPr>
        <w:t>stipulate</w:t>
      </w:r>
      <w:r w:rsidRPr="1C4AB386" w:rsidR="5C305E21">
        <w:rPr>
          <w:i w:val="0"/>
          <w:iCs w:val="0"/>
        </w:rPr>
        <w:t xml:space="preserve"> the inclusion of coal storage, the issue raised was if </w:t>
      </w:r>
      <w:r w:rsidRPr="1C4AB386" w:rsidR="1AD54353">
        <w:rPr>
          <w:i w:val="0"/>
          <w:iCs w:val="0"/>
        </w:rPr>
        <w:t xml:space="preserve">s62 of the </w:t>
      </w:r>
      <w:r w:rsidRPr="1C4AB386" w:rsidR="5C305E21">
        <w:rPr>
          <w:i w:val="0"/>
          <w:iCs w:val="0"/>
        </w:rPr>
        <w:t xml:space="preserve">Law of Property Act 1925 </w:t>
      </w:r>
      <w:r w:rsidRPr="1C4AB386" w:rsidR="5F5C8CC6">
        <w:rPr>
          <w:i w:val="0"/>
          <w:iCs w:val="0"/>
        </w:rPr>
        <w:t>resulted in this permission amounting to an easement. The right was held on the grounds that the defend</w:t>
      </w:r>
      <w:r w:rsidRPr="1C4AB386" w:rsidR="42DC61EA">
        <w:rPr>
          <w:i w:val="0"/>
          <w:iCs w:val="0"/>
        </w:rPr>
        <w:t xml:space="preserve">ant still had access to the shed, therefore exclusive possession was not apparent. </w:t>
      </w:r>
      <w:r w:rsidRPr="1C4AB386" w:rsidR="35B032B8">
        <w:rPr>
          <w:i w:val="0"/>
          <w:iCs w:val="0"/>
        </w:rPr>
        <w:t xml:space="preserve">In this case, the way of which an easement is granted was shown through full disclosure and examining of the facts. </w:t>
      </w:r>
    </w:p>
    <w:p w:rsidR="76A96BA5" w:rsidP="1C4AB386" w:rsidRDefault="76A96BA5" w14:paraId="46CA1D89" w14:textId="4162C6AB">
      <w:pPr>
        <w:rPr>
          <w:i w:val="0"/>
          <w:iCs w:val="0"/>
          <w:color w:val="auto"/>
        </w:rPr>
      </w:pPr>
      <w:r w:rsidRPr="1C4AB386" w:rsidR="318C1F65">
        <w:rPr>
          <w:i w:val="0"/>
          <w:iCs w:val="0"/>
          <w:color w:val="auto"/>
        </w:rPr>
        <w:t>Additionally, the</w:t>
      </w:r>
      <w:r w:rsidRPr="1C4AB386" w:rsidR="42E3C0BD">
        <w:rPr>
          <w:color w:val="auto"/>
        </w:rPr>
        <w:t xml:space="preserve"> right to use a lavatory in </w:t>
      </w:r>
      <w:r w:rsidRPr="1C4AB386" w:rsidR="42E3C0BD">
        <w:rPr>
          <w:i w:val="1"/>
          <w:iCs w:val="1"/>
          <w:color w:val="auto"/>
        </w:rPr>
        <w:t xml:space="preserve">Miller v </w:t>
      </w:r>
      <w:proofErr w:type="spellStart"/>
      <w:r w:rsidRPr="1C4AB386" w:rsidR="42E3C0BD">
        <w:rPr>
          <w:i w:val="1"/>
          <w:iCs w:val="1"/>
          <w:color w:val="auto"/>
        </w:rPr>
        <w:t>Emcer</w:t>
      </w:r>
      <w:proofErr w:type="spellEnd"/>
      <w:r w:rsidRPr="1C4AB386" w:rsidR="42E3C0BD">
        <w:rPr>
          <w:i w:val="1"/>
          <w:iCs w:val="1"/>
          <w:color w:val="auto"/>
        </w:rPr>
        <w:t xml:space="preserve"> Products [1956] Ch 304.</w:t>
      </w:r>
      <w:r w:rsidRPr="1C4AB386" w:rsidR="040FA99B">
        <w:rPr>
          <w:i w:val="1"/>
          <w:iCs w:val="1"/>
          <w:color w:val="auto"/>
        </w:rPr>
        <w:t xml:space="preserve"> </w:t>
      </w:r>
      <w:r w:rsidRPr="1C4AB386" w:rsidR="040FA99B">
        <w:rPr>
          <w:i w:val="0"/>
          <w:iCs w:val="0"/>
          <w:color w:val="auto"/>
        </w:rPr>
        <w:t xml:space="preserve">This case concerned the use of a toilet by a tenant on a different floor, but in the same building </w:t>
      </w:r>
      <w:r w:rsidRPr="1C4AB386" w:rsidR="5E0B3B40">
        <w:rPr>
          <w:i w:val="0"/>
          <w:iCs w:val="0"/>
          <w:color w:val="auto"/>
        </w:rPr>
        <w:t xml:space="preserve">which </w:t>
      </w:r>
      <w:r w:rsidRPr="1C4AB386" w:rsidR="040FA99B">
        <w:rPr>
          <w:i w:val="0"/>
          <w:iCs w:val="0"/>
          <w:color w:val="auto"/>
        </w:rPr>
        <w:t>he lived in.</w:t>
      </w:r>
      <w:r w:rsidRPr="1C4AB386" w:rsidR="7EB8C8A7">
        <w:rPr>
          <w:i w:val="0"/>
          <w:iCs w:val="0"/>
          <w:color w:val="auto"/>
        </w:rPr>
        <w:t xml:space="preserve"> The other </w:t>
      </w:r>
      <w:r w:rsidRPr="1C4AB386" w:rsidR="5B1CF174">
        <w:rPr>
          <w:i w:val="0"/>
          <w:iCs w:val="0"/>
          <w:color w:val="auto"/>
        </w:rPr>
        <w:t>occupants</w:t>
      </w:r>
      <w:r w:rsidRPr="1C4AB386" w:rsidR="7EB8C8A7">
        <w:rPr>
          <w:i w:val="0"/>
          <w:iCs w:val="0"/>
          <w:color w:val="auto"/>
        </w:rPr>
        <w:t xml:space="preserve"> in the building rejected the use of this right, and so the question of whether this right was capable of being an easement were raised. </w:t>
      </w:r>
      <w:r w:rsidRPr="1C4AB386" w:rsidR="3D5DADD9">
        <w:rPr>
          <w:i w:val="0"/>
          <w:iCs w:val="0"/>
          <w:color w:val="auto"/>
        </w:rPr>
        <w:t xml:space="preserve">This right was </w:t>
      </w:r>
      <w:r w:rsidRPr="1C4AB386" w:rsidR="7C02930A">
        <w:rPr>
          <w:i w:val="0"/>
          <w:iCs w:val="0"/>
          <w:color w:val="auto"/>
        </w:rPr>
        <w:t>deemed to "</w:t>
      </w:r>
      <w:r w:rsidRPr="1C4AB386" w:rsidR="7C02930A">
        <w:rPr>
          <w:i w:val="1"/>
          <w:iCs w:val="1"/>
          <w:color w:val="auto"/>
        </w:rPr>
        <w:t>enhance</w:t>
      </w:r>
      <w:r w:rsidRPr="1C4AB386" w:rsidR="160675CA">
        <w:rPr>
          <w:i w:val="1"/>
          <w:iCs w:val="1"/>
          <w:color w:val="auto"/>
        </w:rPr>
        <w:t xml:space="preserve"> its beneficial use and enjoyment.”</w:t>
      </w:r>
      <w:r w:rsidRPr="1C4AB386" w:rsidR="4F0C0AFD">
        <w:rPr>
          <w:i w:val="1"/>
          <w:iCs w:val="1"/>
          <w:color w:val="auto"/>
        </w:rPr>
        <w:t xml:space="preserve"> (Romer, LJ)</w:t>
      </w:r>
      <w:r w:rsidRPr="1C4AB386" w:rsidR="2C2549BD">
        <w:rPr>
          <w:i w:val="1"/>
          <w:iCs w:val="1"/>
          <w:color w:val="auto"/>
        </w:rPr>
        <w:t xml:space="preserve"> </w:t>
      </w:r>
      <w:r w:rsidRPr="1C4AB386" w:rsidR="4F0C0AFD">
        <w:rPr>
          <w:i w:val="0"/>
          <w:iCs w:val="0"/>
          <w:color w:val="auto"/>
        </w:rPr>
        <w:t xml:space="preserve">Therefore, since the dominant and servient tenement had been established, the right was held as an easement. </w:t>
      </w:r>
    </w:p>
    <w:p w:rsidR="76A96BA5" w:rsidP="384F35E2" w:rsidRDefault="76A96BA5" w14:paraId="1EFCACFE" w14:textId="00519043">
      <w:r w:rsidRPr="1C4AB386" w:rsidR="6D0A1CBD">
        <w:rPr>
          <w:i w:val="0"/>
          <w:iCs w:val="0"/>
        </w:rPr>
        <w:t>Easement</w:t>
      </w:r>
      <w:r w:rsidRPr="1C4AB386" w:rsidR="28E0CF6D">
        <w:rPr>
          <w:i w:val="0"/>
          <w:iCs w:val="0"/>
        </w:rPr>
        <w:t>s</w:t>
      </w:r>
      <w:r w:rsidRPr="1C4AB386" w:rsidR="6D0A1CBD">
        <w:rPr>
          <w:i w:val="0"/>
          <w:iCs w:val="0"/>
        </w:rPr>
        <w:t xml:space="preserve"> may be created by express, </w:t>
      </w:r>
      <w:r w:rsidRPr="1C4AB386" w:rsidR="489AEC65">
        <w:rPr>
          <w:i w:val="0"/>
          <w:iCs w:val="0"/>
        </w:rPr>
        <w:t>implied,</w:t>
      </w:r>
      <w:r w:rsidRPr="1C4AB386" w:rsidR="6D0A1CBD">
        <w:rPr>
          <w:i w:val="0"/>
          <w:iCs w:val="0"/>
        </w:rPr>
        <w:t xml:space="preserve"> or </w:t>
      </w:r>
      <w:r w:rsidRPr="1C4AB386" w:rsidR="253C67FE">
        <w:rPr>
          <w:i w:val="0"/>
          <w:iCs w:val="0"/>
        </w:rPr>
        <w:t>pre</w:t>
      </w:r>
      <w:r w:rsidR="253C67FE">
        <w:rPr/>
        <w:t>sumed</w:t>
      </w:r>
      <w:r w:rsidR="6D0A1CBD">
        <w:rPr/>
        <w:t xml:space="preserve"> grant</w:t>
      </w:r>
      <w:r w:rsidR="6D0A1CBD">
        <w:rPr/>
        <w:t xml:space="preserve">. </w:t>
      </w:r>
      <w:r w:rsidRPr="1C4AB386" w:rsidR="10306615">
        <w:rPr>
          <w:i w:val="1"/>
          <w:iCs w:val="1"/>
        </w:rPr>
        <w:t>(George, M &amp; Layard, A 2019)</w:t>
      </w:r>
      <w:r w:rsidR="10306615">
        <w:rPr/>
        <w:t xml:space="preserve"> </w:t>
      </w:r>
      <w:r w:rsidR="6D0A1CBD">
        <w:rPr/>
        <w:t xml:space="preserve">An implied grant of an </w:t>
      </w:r>
      <w:r w:rsidR="0F40FDCD">
        <w:rPr/>
        <w:t>easement</w:t>
      </w:r>
      <w:r w:rsidR="6D0A1CBD">
        <w:rPr/>
        <w:t xml:space="preserve"> may </w:t>
      </w:r>
      <w:r w:rsidR="354E8CD6">
        <w:rPr/>
        <w:t>arise</w:t>
      </w:r>
      <w:r w:rsidR="6D0A1CBD">
        <w:rPr/>
        <w:t xml:space="preserve"> by necessity, by comm</w:t>
      </w:r>
      <w:r w:rsidR="5D8ECC64">
        <w:rPr/>
        <w:t>o</w:t>
      </w:r>
      <w:r w:rsidR="6D0A1CBD">
        <w:rPr/>
        <w:t xml:space="preserve">n intention, under the rule of </w:t>
      </w:r>
      <w:r w:rsidRPr="1C4AB386" w:rsidR="6D0A1CBD">
        <w:rPr>
          <w:i w:val="1"/>
          <w:iCs w:val="1"/>
        </w:rPr>
        <w:t>W</w:t>
      </w:r>
      <w:r w:rsidRPr="1C4AB386" w:rsidR="537D184F">
        <w:rPr>
          <w:i w:val="1"/>
          <w:iCs w:val="1"/>
        </w:rPr>
        <w:t>heeldon v Burrows [1879]</w:t>
      </w:r>
      <w:r w:rsidR="537D184F">
        <w:rPr/>
        <w:t xml:space="preserve">, or by the operation of s62 of the Law of </w:t>
      </w:r>
      <w:r w:rsidR="4E6ABD2A">
        <w:rPr/>
        <w:t>Property</w:t>
      </w:r>
      <w:r w:rsidR="537D184F">
        <w:rPr/>
        <w:t xml:space="preserve"> Act 1925. </w:t>
      </w:r>
      <w:r w:rsidR="67F237B9">
        <w:rPr/>
        <w:t xml:space="preserve">A grant of an easement may be presumed by prescription </w:t>
      </w:r>
      <w:r w:rsidR="489AEC65">
        <w:rPr/>
        <w:t>because of</w:t>
      </w:r>
      <w:r w:rsidR="67F237B9">
        <w:rPr/>
        <w:t xml:space="preserve"> long user as of right either at com</w:t>
      </w:r>
      <w:r w:rsidR="3E309B0E">
        <w:rPr/>
        <w:t>mon law or under the Prescription Act 1832.</w:t>
      </w:r>
      <w:r w:rsidR="7AC3A2FB">
        <w:rPr/>
        <w:t xml:space="preserve"> An easement may be extinguished by common ownership of the dominant and servient land, by release, by abandonment or excessive use. </w:t>
      </w:r>
      <w:r w:rsidRPr="1C4AB386" w:rsidR="17AE53FB">
        <w:rPr>
          <w:i w:val="1"/>
          <w:iCs w:val="1"/>
        </w:rPr>
        <w:t>(Richards, P 2014)</w:t>
      </w:r>
    </w:p>
    <w:p w:rsidR="0F86E6A5" w:rsidP="384F35E2" w:rsidRDefault="0F86E6A5" w14:paraId="426B58E5" w14:textId="00AE751F">
      <w:r w:rsidR="364416A1">
        <w:rPr/>
        <w:t xml:space="preserve">Easements are especially common in England and Wales. </w:t>
      </w:r>
      <w:r w:rsidR="33902206">
        <w:rPr/>
        <w:t xml:space="preserve">According to </w:t>
      </w:r>
      <w:r w:rsidR="693EE064">
        <w:rPr/>
        <w:t xml:space="preserve">Land Registry statistics, 65% of registered freehold titles are subject to an easement. </w:t>
      </w:r>
      <w:r w:rsidRPr="1C4AB386" w:rsidR="693EE064">
        <w:rPr>
          <w:i w:val="1"/>
          <w:iCs w:val="1"/>
        </w:rPr>
        <w:t>(</w:t>
      </w:r>
      <w:r w:rsidRPr="1C4AB386" w:rsidR="0DE7D8D6">
        <w:rPr>
          <w:i w:val="1"/>
          <w:iCs w:val="1"/>
        </w:rPr>
        <w:t>Appendix A, 2008).</w:t>
      </w:r>
      <w:r w:rsidR="0DE7D8D6">
        <w:rPr/>
        <w:t xml:space="preserve"> It shows the significant</w:t>
      </w:r>
      <w:r w:rsidR="2B51CBA4">
        <w:rPr/>
        <w:t xml:space="preserve"> impact they have which leads on to </w:t>
      </w:r>
      <w:r w:rsidR="38ACAEFA">
        <w:rPr/>
        <w:t>whether</w:t>
      </w:r>
      <w:r w:rsidR="2B51CBA4">
        <w:rPr/>
        <w:t xml:space="preserve"> an easement is positive or negative. </w:t>
      </w:r>
      <w:r w:rsidR="7C8A942C">
        <w:rPr/>
        <w:t xml:space="preserve"> </w:t>
      </w:r>
      <w:r w:rsidR="2EE14BF8">
        <w:rPr/>
        <w:t xml:space="preserve">Most easements give the owner of the dominant tenement the </w:t>
      </w:r>
      <w:r w:rsidR="16155CBC">
        <w:rPr/>
        <w:t xml:space="preserve">right to do something on someone </w:t>
      </w:r>
      <w:r w:rsidR="3701E529">
        <w:rPr/>
        <w:t>else's</w:t>
      </w:r>
      <w:r w:rsidR="16155CBC">
        <w:rPr/>
        <w:t xml:space="preserve"> land. The rights of air, </w:t>
      </w:r>
      <w:r w:rsidR="5B6E57A9">
        <w:rPr/>
        <w:t xml:space="preserve">light and water give the dominant </w:t>
      </w:r>
      <w:r w:rsidR="43C33971">
        <w:rPr/>
        <w:t>tenements</w:t>
      </w:r>
      <w:r w:rsidR="5B6E57A9">
        <w:rPr/>
        <w:t xml:space="preserve"> holder the right to take or receive something from the servient land. These are re</w:t>
      </w:r>
      <w:r w:rsidR="5DCEB172">
        <w:rPr/>
        <w:t xml:space="preserve">cognised as negative easements. </w:t>
      </w:r>
      <w:r w:rsidR="743EEED4">
        <w:rPr/>
        <w:t xml:space="preserve">In </w:t>
      </w:r>
      <w:r w:rsidRPr="1C4AB386" w:rsidR="743EEED4">
        <w:rPr>
          <w:i w:val="1"/>
          <w:iCs w:val="1"/>
        </w:rPr>
        <w:t xml:space="preserve">Phipps v Pears [1964] </w:t>
      </w:r>
      <w:r w:rsidR="218C908D">
        <w:rPr/>
        <w:t>both parties owned houses adjacent to each other</w:t>
      </w:r>
      <w:r w:rsidR="2E125D28">
        <w:rPr/>
        <w:t xml:space="preserve">. Damages occurred as a result of Pears demolishing his home. Phipps believed he had </w:t>
      </w:r>
      <w:r w:rsidR="33646AED">
        <w:rPr/>
        <w:t>prescriptive</w:t>
      </w:r>
      <w:r w:rsidR="4D9A9126">
        <w:rPr/>
        <w:t xml:space="preserve"> rights to have his home protected from the weather through the adjacent house. He claimed a negative easement which sought to prevent </w:t>
      </w:r>
      <w:r w:rsidR="472683CB">
        <w:rPr/>
        <w:t xml:space="preserve">the </w:t>
      </w:r>
      <w:r w:rsidR="231B236A">
        <w:rPr/>
        <w:t>demolishment</w:t>
      </w:r>
      <w:r w:rsidR="472683CB">
        <w:rPr/>
        <w:t xml:space="preserve"> of the </w:t>
      </w:r>
      <w:r w:rsidR="60CF8451">
        <w:rPr/>
        <w:t>neighbour's</w:t>
      </w:r>
      <w:r w:rsidR="472683CB">
        <w:rPr/>
        <w:t xml:space="preserve"> house.</w:t>
      </w:r>
      <w:r w:rsidR="5CC757DF">
        <w:rPr/>
        <w:t xml:space="preserve"> The main issue with this case was whether Phipps had the right to prevent the </w:t>
      </w:r>
      <w:r w:rsidR="42C4D80E">
        <w:rPr/>
        <w:t>destruction</w:t>
      </w:r>
      <w:r w:rsidR="5CC757DF">
        <w:rPr/>
        <w:t xml:space="preserve"> simply </w:t>
      </w:r>
      <w:r w:rsidR="48B55F39">
        <w:rPr/>
        <w:t>because</w:t>
      </w:r>
      <w:r w:rsidR="5CC757DF">
        <w:rPr/>
        <w:t xml:space="preserve"> it protected his property from the ‘weather’. </w:t>
      </w:r>
      <w:r w:rsidR="687C40B5">
        <w:rPr/>
        <w:t xml:space="preserve">The decision </w:t>
      </w:r>
      <w:r w:rsidR="6FDC7344">
        <w:rPr/>
        <w:t xml:space="preserve">was that a </w:t>
      </w:r>
      <w:r w:rsidR="687C40B5">
        <w:rPr/>
        <w:t>mere loss of some benefit derived to one’s property by an action of his neighbour on his own property as not sufficient ground to claim a negative easement.</w:t>
      </w:r>
      <w:r w:rsidR="472683CB">
        <w:rPr/>
        <w:t xml:space="preserve"> </w:t>
      </w:r>
    </w:p>
    <w:p w:rsidR="3A487980" w:rsidP="384F35E2" w:rsidRDefault="3A487980" w14:paraId="55F221CD" w14:textId="25CA6E7A">
      <w:r w:rsidR="73514E43">
        <w:rPr/>
        <w:t xml:space="preserve">In </w:t>
      </w:r>
      <w:r w:rsidRPr="1C4AB386" w:rsidR="475BFA1C">
        <w:rPr>
          <w:i w:val="1"/>
          <w:iCs w:val="1"/>
        </w:rPr>
        <w:t>Dyce v. Lady James Hay | [1852] UKHL 1</w:t>
      </w:r>
      <w:r w:rsidR="475BFA1C">
        <w:rPr/>
        <w:t xml:space="preserve">, </w:t>
      </w:r>
      <w:r w:rsidR="7B9550F6">
        <w:rPr/>
        <w:t xml:space="preserve">Lord Leonards </w:t>
      </w:r>
      <w:r w:rsidR="7B9550F6">
        <w:rPr/>
        <w:t>stated</w:t>
      </w:r>
      <w:r w:rsidR="7B9550F6">
        <w:rPr/>
        <w:t xml:space="preserve"> the </w:t>
      </w:r>
      <w:r w:rsidRPr="1C4AB386" w:rsidR="7B9550F6">
        <w:rPr>
          <w:i w:val="1"/>
          <w:iCs w:val="1"/>
        </w:rPr>
        <w:t>‘list of easements is not closed’</w:t>
      </w:r>
      <w:r w:rsidR="7B9550F6">
        <w:rPr/>
        <w:t xml:space="preserve">. </w:t>
      </w:r>
      <w:r w:rsidR="30D902B0">
        <w:rPr/>
        <w:t xml:space="preserve"> </w:t>
      </w:r>
      <w:r w:rsidR="30D902B0">
        <w:rPr/>
        <w:t>Leonards LC said that the right claimed was one that ‘cannot be maintained’ and ‘ought not to be maintained</w:t>
      </w:r>
      <w:r w:rsidR="30D902B0">
        <w:rPr/>
        <w:t>’.</w:t>
      </w:r>
      <w:r w:rsidR="30D902B0">
        <w:rPr/>
        <w:t xml:space="preserve"> Here the extent of an easement may </w:t>
      </w:r>
      <w:r w:rsidR="30D902B0">
        <w:rPr/>
        <w:t>ben</w:t>
      </w:r>
      <w:r w:rsidR="3F79A689">
        <w:rPr/>
        <w:t>efit</w:t>
      </w:r>
      <w:r w:rsidR="3F79A689">
        <w:rPr/>
        <w:t xml:space="preserve"> the landowner as only reasonable </w:t>
      </w:r>
      <w:r w:rsidR="0B6D8C81">
        <w:rPr/>
        <w:t>rights</w:t>
      </w:r>
      <w:r w:rsidR="3F79A689">
        <w:rPr/>
        <w:t xml:space="preserve"> may be </w:t>
      </w:r>
      <w:r w:rsidR="43BC6641">
        <w:rPr/>
        <w:t>maintained</w:t>
      </w:r>
      <w:r w:rsidR="6FDB0A5E">
        <w:rPr/>
        <w:t xml:space="preserve"> as an easeme</w:t>
      </w:r>
      <w:r w:rsidR="6FDB0A5E">
        <w:rPr/>
        <w:t xml:space="preserve">nt. </w:t>
      </w:r>
      <w:r w:rsidR="10119268">
        <w:rPr/>
        <w:t xml:space="preserve">The right to have something done is not an easement, it </w:t>
      </w:r>
      <w:r w:rsidR="10119268">
        <w:rPr/>
        <w:t>shouldn't</w:t>
      </w:r>
      <w:r w:rsidR="10119268">
        <w:rPr/>
        <w:t xml:space="preserve"> require anything more than a passive approach on the part of the servient owner. The servient owner should not </w:t>
      </w:r>
      <w:r w:rsidR="10119268">
        <w:rPr/>
        <w:t>be required</w:t>
      </w:r>
      <w:r w:rsidR="10119268">
        <w:rPr/>
        <w:t xml:space="preserve"> to do anything</w:t>
      </w:r>
      <w:r w:rsidR="69F4607D">
        <w:rPr/>
        <w:t xml:space="preserve">. </w:t>
      </w:r>
      <w:r w:rsidR="09C9CFB1">
        <w:rPr/>
        <w:t>(</w:t>
      </w:r>
      <w:r w:rsidRPr="1C4AB386" w:rsidR="09C9CFB1">
        <w:rPr>
          <w:i w:val="1"/>
          <w:iCs w:val="1"/>
        </w:rPr>
        <w:t>George, M &amp; Layard, A 2019)</w:t>
      </w:r>
      <w:r w:rsidR="09C9CFB1">
        <w:rPr/>
        <w:t xml:space="preserve"> </w:t>
      </w:r>
      <w:r w:rsidR="69F4607D">
        <w:rPr/>
        <w:t>In</w:t>
      </w:r>
      <w:r w:rsidR="10119268">
        <w:rPr/>
        <w:t xml:space="preserve"> </w:t>
      </w:r>
      <w:r w:rsidRPr="1C4AB386" w:rsidR="10119268">
        <w:rPr>
          <w:i w:val="1"/>
          <w:iCs w:val="1"/>
        </w:rPr>
        <w:t>Jones v Pritchard</w:t>
      </w:r>
      <w:r w:rsidRPr="1C4AB386" w:rsidR="7F6E6068">
        <w:rPr>
          <w:i w:val="1"/>
          <w:iCs w:val="1"/>
        </w:rPr>
        <w:t xml:space="preserve"> </w:t>
      </w:r>
      <w:r w:rsidRPr="1C4AB386" w:rsidR="6B041619">
        <w:rPr>
          <w:i w:val="1"/>
          <w:iCs w:val="1"/>
        </w:rPr>
        <w:t>[</w:t>
      </w:r>
      <w:r w:rsidRPr="1C4AB386" w:rsidR="4230C6CA">
        <w:rPr>
          <w:i w:val="1"/>
          <w:iCs w:val="1"/>
        </w:rPr>
        <w:t>1908</w:t>
      </w:r>
      <w:r w:rsidRPr="1C4AB386" w:rsidR="5315BA78">
        <w:rPr>
          <w:i w:val="1"/>
          <w:iCs w:val="1"/>
        </w:rPr>
        <w:t>]</w:t>
      </w:r>
      <w:r w:rsidRPr="1C4AB386" w:rsidR="4230C6CA">
        <w:rPr>
          <w:i w:val="1"/>
          <w:iCs w:val="1"/>
        </w:rPr>
        <w:t xml:space="preserve"> </w:t>
      </w:r>
      <w:r w:rsidR="4230C6CA">
        <w:rPr/>
        <w:t>an</w:t>
      </w:r>
      <w:r w:rsidR="10119268">
        <w:rPr/>
        <w:t xml:space="preserve"> easement to cross a bridge imposes </w:t>
      </w:r>
      <w:r w:rsidR="10119268">
        <w:rPr/>
        <w:t>no responsibility on the servient owner to maintain it. The servient owner canno</w:t>
      </w:r>
      <w:r w:rsidR="10119268">
        <w:rPr/>
        <w:t xml:space="preserve">t interfere with the easement, but if someone else damages the easement's object, the servient owner is powerless to intervene. </w:t>
      </w:r>
    </w:p>
    <w:p w:rsidRPr="005C3D42" w:rsidR="005C3D42" w:rsidP="384F35E2" w:rsidRDefault="005C3D42" w14:paraId="7F552612" w14:textId="3626E152">
      <w:r w:rsidR="54E53480">
        <w:rPr/>
        <w:t xml:space="preserve">The list for easements, as </w:t>
      </w:r>
      <w:r w:rsidR="54E53480">
        <w:rPr/>
        <w:t>stated</w:t>
      </w:r>
      <w:r w:rsidR="54E53480">
        <w:rPr/>
        <w:t xml:space="preserve"> by Lord </w:t>
      </w:r>
      <w:r w:rsidR="54E53480">
        <w:rPr/>
        <w:t>Broughman</w:t>
      </w:r>
      <w:r w:rsidR="54E53480">
        <w:rPr/>
        <w:t xml:space="preserve"> LC in </w:t>
      </w:r>
      <w:proofErr w:type="spellStart"/>
      <w:r w:rsidRPr="1C4AB386" w:rsidR="54E53480">
        <w:rPr>
          <w:i w:val="1"/>
          <w:iCs w:val="1"/>
        </w:rPr>
        <w:t>Keppell</w:t>
      </w:r>
      <w:proofErr w:type="spellEnd"/>
      <w:r w:rsidRPr="1C4AB386" w:rsidR="54E53480">
        <w:rPr>
          <w:i w:val="1"/>
          <w:iCs w:val="1"/>
        </w:rPr>
        <w:t xml:space="preserve"> v Bailey [1834] 39 ER 1042</w:t>
      </w:r>
      <w:r w:rsidRPr="1C4AB386" w:rsidR="54E53480">
        <w:rPr>
          <w:i w:val="1"/>
          <w:iCs w:val="1"/>
        </w:rPr>
        <w:t xml:space="preserve"> </w:t>
      </w:r>
      <w:r w:rsidR="54E53480">
        <w:rPr/>
        <w:t xml:space="preserve">is not capable of infinite extensions. The extent of which easements are granted are decided by the courts through discretion </w:t>
      </w:r>
      <w:r w:rsidR="3F469199">
        <w:rPr/>
        <w:t>and</w:t>
      </w:r>
      <w:r w:rsidR="75862B31">
        <w:rPr/>
        <w:t xml:space="preserve"> modern consideration</w:t>
      </w:r>
      <w:r w:rsidR="54E53480">
        <w:rPr/>
        <w:t xml:space="preserve">. </w:t>
      </w:r>
      <w:r w:rsidR="75862B31">
        <w:rPr/>
        <w:t xml:space="preserve">In </w:t>
      </w:r>
      <w:r w:rsidRPr="1C4AB386" w:rsidR="75862B31">
        <w:rPr>
          <w:i w:val="1"/>
          <w:iCs w:val="1"/>
        </w:rPr>
        <w:t xml:space="preserve">Regency Villas Title </w:t>
      </w:r>
      <w:r w:rsidRPr="1C4AB386" w:rsidR="3F469199">
        <w:rPr>
          <w:i w:val="1"/>
          <w:iCs w:val="1"/>
        </w:rPr>
        <w:t>Ltd v Diamond Resorts (Europe) [2018],</w:t>
      </w:r>
      <w:r w:rsidR="75862B31">
        <w:rPr/>
        <w:t xml:space="preserve"> </w:t>
      </w:r>
      <w:r w:rsidR="3F469199">
        <w:rPr/>
        <w:t>these were</w:t>
      </w:r>
      <w:r w:rsidR="75862B31">
        <w:rPr/>
        <w:t xml:space="preserve"> </w:t>
      </w:r>
      <w:r w:rsidR="75862B31">
        <w:rPr/>
        <w:t>demonstrated</w:t>
      </w:r>
      <w:r w:rsidR="75862B31">
        <w:rPr/>
        <w:t>.</w:t>
      </w:r>
      <w:r w:rsidR="75862B31">
        <w:rPr/>
        <w:t xml:space="preserve"> </w:t>
      </w:r>
      <w:r w:rsidR="75862B31">
        <w:rPr/>
        <w:t>The use of facilities as a right such as a golf course as an easement was breaking new ground</w:t>
      </w:r>
      <w:r w:rsidR="3F469199">
        <w:rPr/>
        <w:t xml:space="preserve"> in comparison to </w:t>
      </w:r>
      <w:r w:rsidR="3F469199">
        <w:rPr/>
        <w:t>previous</w:t>
      </w:r>
      <w:r w:rsidR="3F469199">
        <w:rPr/>
        <w:t xml:space="preserve"> cases.</w:t>
      </w:r>
      <w:r w:rsidR="3F469199">
        <w:rPr/>
        <w:t xml:space="preserve"> </w:t>
      </w:r>
      <w:r w:rsidRPr="1C4AB386" w:rsidR="32736F86">
        <w:rPr>
          <w:i w:val="1"/>
          <w:iCs w:val="1"/>
        </w:rPr>
        <w:t>(Cardwell, M. 2019)</w:t>
      </w:r>
      <w:r w:rsidR="32736F86">
        <w:rPr/>
        <w:t xml:space="preserve"> </w:t>
      </w:r>
      <w:r w:rsidR="3F469199">
        <w:rPr/>
        <w:t xml:space="preserve">It showed significant developments within Property Law, and that the right to use certain facilities can amount to an easement. </w:t>
      </w:r>
    </w:p>
    <w:p w:rsidRPr="00470ED9" w:rsidR="38718239" w:rsidP="1C4AB386" w:rsidRDefault="38718239" w14:paraId="18C51296" w14:textId="4FCD731E">
      <w:pPr>
        <w:pStyle w:val="Normal"/>
      </w:pPr>
      <w:r w:rsidR="58B175C7">
        <w:rPr/>
        <w:t>‘</w:t>
      </w:r>
      <w:r w:rsidR="24CF8B81">
        <w:rPr/>
        <w:t>There must be a dominant tenement and a servient tenement.</w:t>
      </w:r>
      <w:r w:rsidR="33D4A554">
        <w:rPr/>
        <w:t>’</w:t>
      </w:r>
      <w:r w:rsidR="24CF8B81">
        <w:rPr/>
        <w:t xml:space="preserve"> </w:t>
      </w:r>
      <w:r w:rsidR="403C3F4E">
        <w:rPr/>
        <w:t>There must be two pieces of land, over which the right is exercised</w:t>
      </w:r>
      <w:r w:rsidR="6A608042">
        <w:rPr/>
        <w:t>,</w:t>
      </w:r>
      <w:r w:rsidR="403C3F4E">
        <w:rPr/>
        <w:t xml:space="preserve"> and the dominant tenement, which benefits f</w:t>
      </w:r>
      <w:r w:rsidR="08982C7A">
        <w:rPr/>
        <w:t xml:space="preserve">rom the right. </w:t>
      </w:r>
      <w:r w:rsidRPr="1C4AB386" w:rsidR="62278E57">
        <w:rPr>
          <w:i w:val="1"/>
          <w:iCs w:val="1"/>
        </w:rPr>
        <w:t>(McFarlane et al, 2018)</w:t>
      </w:r>
      <w:r w:rsidRPr="1C4AB386" w:rsidR="0D8FA60A">
        <w:rPr>
          <w:i w:val="1"/>
          <w:iCs w:val="1"/>
        </w:rPr>
        <w:t xml:space="preserve">. </w:t>
      </w:r>
      <w:r w:rsidR="149565D4">
        <w:rPr/>
        <w:t xml:space="preserve">In </w:t>
      </w:r>
      <w:r w:rsidRPr="1C4AB386" w:rsidR="149565D4">
        <w:rPr>
          <w:i w:val="1"/>
          <w:iCs w:val="1"/>
        </w:rPr>
        <w:t>London and Blenheim Estates Ltd [1994] 1 WLR 31 (CA)</w:t>
      </w:r>
      <w:r w:rsidR="149565D4">
        <w:rPr/>
        <w:t>, this characteristic was summed as working against ‘</w:t>
      </w:r>
      <w:r w:rsidRPr="1C4AB386" w:rsidR="149565D4">
        <w:rPr>
          <w:i w:val="1"/>
          <w:iCs w:val="1"/>
        </w:rPr>
        <w:t>encumbering land with burdens of uncertain extent</w:t>
      </w:r>
      <w:r w:rsidR="149565D4">
        <w:rPr/>
        <w:t>’ (Peter Gibson, LJ)</w:t>
      </w:r>
      <w:r w:rsidR="7DFC2164">
        <w:rPr/>
        <w:t xml:space="preserve">. It shows the importance of a dominant tenement to be recognised, as if this is not the case, uncertainty damages a claim of an easement. However, this characteristic </w:t>
      </w:r>
      <w:r w:rsidR="41037E4C">
        <w:rPr/>
        <w:t>has</w:t>
      </w:r>
      <w:r w:rsidR="7DFC2164">
        <w:rPr/>
        <w:t xml:space="preserve"> been crit</w:t>
      </w:r>
      <w:r w:rsidR="41037E4C">
        <w:rPr/>
        <w:t>icised</w:t>
      </w:r>
      <w:r w:rsidR="7DFC2164">
        <w:rPr/>
        <w:t xml:space="preserve"> by</w:t>
      </w:r>
      <w:r w:rsidR="41037E4C">
        <w:rPr/>
        <w:t xml:space="preserve"> some. In ‘</w:t>
      </w:r>
      <w:r w:rsidRPr="1C4AB386" w:rsidR="41037E4C">
        <w:rPr>
          <w:i w:val="1"/>
          <w:iCs w:val="1"/>
        </w:rPr>
        <w:t>Easements in Gross</w:t>
      </w:r>
      <w:r w:rsidR="41037E4C">
        <w:rPr/>
        <w:t xml:space="preserve">’ [1980] 96 LQR 557, it was insisted that the policy for a dominant tenement to be recognised is </w:t>
      </w:r>
      <w:r w:rsidRPr="1C4AB386" w:rsidR="41037E4C">
        <w:rPr>
          <w:i w:val="1"/>
          <w:iCs w:val="1"/>
        </w:rPr>
        <w:t>‘weak’</w:t>
      </w:r>
      <w:r w:rsidR="41037E4C">
        <w:rPr/>
        <w:t xml:space="preserve">. </w:t>
      </w:r>
      <w:r w:rsidRPr="1C4AB386" w:rsidR="18112C2F">
        <w:rPr>
          <w:i w:val="1"/>
          <w:iCs w:val="1"/>
        </w:rPr>
        <w:t>(M, Sturley, 1980</w:t>
      </w:r>
      <w:r w:rsidR="18112C2F">
        <w:rPr/>
        <w:t xml:space="preserve">). </w:t>
      </w:r>
      <w:r w:rsidR="41037E4C">
        <w:rPr/>
        <w:t xml:space="preserve">It suggests that easements in gross would not unduly burden titles. </w:t>
      </w:r>
      <w:r w:rsidR="7A84F2F1">
        <w:rPr/>
        <w:t>The Law Commission considered if easements in gross should be allowed. However, it concluded that the requirements for a dominant tenement should not be relaxed.</w:t>
      </w:r>
    </w:p>
    <w:p w:rsidR="3922C09F" w:rsidP="384F35E2" w:rsidRDefault="3922C09F" w14:paraId="343DB1FA" w14:textId="192FEDB6">
      <w:r w:rsidR="01474850">
        <w:rPr/>
        <w:t xml:space="preserve">‘An easement must accommodate the dominant land’. </w:t>
      </w:r>
      <w:r w:rsidRPr="1C4AB386" w:rsidR="49CB9B49">
        <w:rPr>
          <w:i w:val="1"/>
          <w:iCs w:val="1"/>
        </w:rPr>
        <w:t xml:space="preserve">Moody v </w:t>
      </w:r>
      <w:proofErr w:type="spellStart"/>
      <w:r w:rsidRPr="1C4AB386" w:rsidR="49CB9B49">
        <w:rPr>
          <w:i w:val="1"/>
          <w:iCs w:val="1"/>
        </w:rPr>
        <w:t>Steggles</w:t>
      </w:r>
      <w:proofErr w:type="spellEnd"/>
      <w:r w:rsidRPr="1C4AB386" w:rsidR="49CB9B49">
        <w:rPr>
          <w:i w:val="1"/>
          <w:iCs w:val="1"/>
        </w:rPr>
        <w:t xml:space="preserve"> [1879] 12 Ch D 261</w:t>
      </w:r>
      <w:r w:rsidR="043AF0F3">
        <w:rPr/>
        <w:t xml:space="preserve"> concluded that the right did benefit the dominant land.</w:t>
      </w:r>
      <w:r w:rsidR="52FE701D">
        <w:rPr/>
        <w:t xml:space="preserve"> The dominant owner claimed rights to advertise</w:t>
      </w:r>
      <w:r w:rsidR="293416B5">
        <w:rPr/>
        <w:t xml:space="preserve"> his pub</w:t>
      </w:r>
      <w:r w:rsidR="52FE701D">
        <w:rPr/>
        <w:t xml:space="preserve"> on the </w:t>
      </w:r>
      <w:r w:rsidR="11A3554F">
        <w:rPr/>
        <w:t>defendant's</w:t>
      </w:r>
      <w:r w:rsidR="52FE701D">
        <w:rPr/>
        <w:t xml:space="preserve"> property. </w:t>
      </w:r>
      <w:r w:rsidR="60396269">
        <w:rPr/>
        <w:t xml:space="preserve">To contextualise, the </w:t>
      </w:r>
      <w:r w:rsidR="5956CD67">
        <w:rPr/>
        <w:t>defendant's</w:t>
      </w:r>
      <w:r w:rsidR="60396269">
        <w:rPr/>
        <w:t xml:space="preserve"> property </w:t>
      </w:r>
      <w:r w:rsidR="447E1DAB">
        <w:rPr/>
        <w:t>was in</w:t>
      </w:r>
      <w:r w:rsidR="60396269">
        <w:rPr/>
        <w:t xml:space="preserve"> front </w:t>
      </w:r>
      <w:r w:rsidR="7CC62853">
        <w:rPr/>
        <w:t>of the pub, thus the claimant wanted to erect the sign to provide directions for customers.</w:t>
      </w:r>
      <w:r w:rsidR="0537B19B">
        <w:rPr/>
        <w:t xml:space="preserve"> </w:t>
      </w:r>
      <w:r w:rsidR="07C26389">
        <w:rPr/>
        <w:t xml:space="preserve">The issue here was determining the </w:t>
      </w:r>
      <w:r w:rsidR="635D6C9E">
        <w:rPr/>
        <w:t>way</w:t>
      </w:r>
      <w:r w:rsidR="07C26389">
        <w:rPr/>
        <w:t xml:space="preserve"> </w:t>
      </w:r>
      <w:r w:rsidR="4E82E0D5">
        <w:rPr/>
        <w:t xml:space="preserve">the claimant used his property. The easement did not physically link to the </w:t>
      </w:r>
      <w:r w:rsidR="343BE9D2">
        <w:rPr/>
        <w:t>land, but the right was seen as more significant</w:t>
      </w:r>
      <w:r w:rsidR="42AFDF37">
        <w:rPr/>
        <w:t xml:space="preserve"> than</w:t>
      </w:r>
      <w:r w:rsidR="343BE9D2">
        <w:rPr/>
        <w:t xml:space="preserve"> the physical connections </w:t>
      </w:r>
      <w:r w:rsidR="3D4A7CB9">
        <w:rPr/>
        <w:t xml:space="preserve">connecting both tenements. Therefore, it was concluded that the </w:t>
      </w:r>
      <w:r w:rsidR="142F5C24">
        <w:rPr/>
        <w:t>claimant</w:t>
      </w:r>
      <w:r w:rsidR="3D4A7CB9">
        <w:rPr/>
        <w:t xml:space="preserve"> had in</w:t>
      </w:r>
      <w:r w:rsidR="4BC364C7">
        <w:rPr/>
        <w:t xml:space="preserve"> </w:t>
      </w:r>
      <w:r w:rsidR="3D4A7CB9">
        <w:rPr/>
        <w:t xml:space="preserve">fact an easement which </w:t>
      </w:r>
      <w:r w:rsidR="2B1F1DD1">
        <w:rPr/>
        <w:t xml:space="preserve">benefited the dominant land. </w:t>
      </w:r>
      <w:r w:rsidR="220251D0">
        <w:rPr/>
        <w:t xml:space="preserve">It shows the extent of which easements may be granted because even when the courts </w:t>
      </w:r>
      <w:r w:rsidR="60A73701">
        <w:rPr/>
        <w:t>acknowledge</w:t>
      </w:r>
      <w:r w:rsidR="220251D0">
        <w:rPr/>
        <w:t xml:space="preserve"> no physical connection, </w:t>
      </w:r>
      <w:r w:rsidR="1E3AE002">
        <w:rPr/>
        <w:t xml:space="preserve">a right may still be established. </w:t>
      </w:r>
    </w:p>
    <w:p w:rsidR="00F56A12" w:rsidP="1C4AB386" w:rsidRDefault="0041526A" w14:paraId="543AF5A6" w14:textId="05E1C0AA" w14:noSpellErr="1">
      <w:pPr>
        <w:rPr>
          <w:i w:val="1"/>
          <w:iCs w:val="1"/>
        </w:rPr>
      </w:pPr>
      <w:r w:rsidR="536CEF7E">
        <w:rPr/>
        <w:t xml:space="preserve">The requirements for this characteristic </w:t>
      </w:r>
      <w:r w:rsidR="09C3C6D7">
        <w:rPr/>
        <w:t>were</w:t>
      </w:r>
      <w:r w:rsidR="536CEF7E">
        <w:rPr/>
        <w:t xml:space="preserve"> summarised by the Law Commission as, ‘</w:t>
      </w:r>
      <w:r w:rsidRPr="1C4AB386" w:rsidR="536CEF7E">
        <w:rPr>
          <w:i w:val="1"/>
          <w:iCs w:val="1"/>
        </w:rPr>
        <w:t xml:space="preserve">the right must be </w:t>
      </w:r>
      <w:r w:rsidRPr="1C4AB386" w:rsidR="09C3C6D7">
        <w:rPr>
          <w:i w:val="1"/>
          <w:iCs w:val="1"/>
        </w:rPr>
        <w:t>o</w:t>
      </w:r>
      <w:r w:rsidRPr="1C4AB386" w:rsidR="536CEF7E">
        <w:rPr>
          <w:i w:val="1"/>
          <w:iCs w:val="1"/>
        </w:rPr>
        <w:t>f some practical importance to the benefited land</w:t>
      </w:r>
      <w:r w:rsidR="536CEF7E">
        <w:rPr/>
        <w:t>’, the land can be ‘</w:t>
      </w:r>
      <w:r w:rsidRPr="1C4AB386" w:rsidR="536CEF7E">
        <w:rPr>
          <w:i w:val="1"/>
          <w:iCs w:val="1"/>
        </w:rPr>
        <w:t>accommodated and served</w:t>
      </w:r>
      <w:r w:rsidR="536CEF7E">
        <w:rPr/>
        <w:t>’ and finally the two pieces of land must be ‘</w:t>
      </w:r>
      <w:r w:rsidRPr="1C4AB386" w:rsidR="09C3C6D7">
        <w:rPr>
          <w:i w:val="1"/>
          <w:iCs w:val="1"/>
        </w:rPr>
        <w:t>reasonably</w:t>
      </w:r>
      <w:r w:rsidRPr="1C4AB386" w:rsidR="536CEF7E">
        <w:rPr>
          <w:i w:val="1"/>
          <w:iCs w:val="1"/>
        </w:rPr>
        <w:t xml:space="preserve"> close</w:t>
      </w:r>
      <w:r w:rsidR="536CEF7E">
        <w:rPr/>
        <w:t xml:space="preserve">’. </w:t>
      </w:r>
      <w:r w:rsidRPr="1C4AB386" w:rsidR="536CEF7E">
        <w:rPr>
          <w:i w:val="1"/>
          <w:iCs w:val="1"/>
        </w:rPr>
        <w:t>(Law Com 327, 2.25, 2011)</w:t>
      </w:r>
      <w:r w:rsidRPr="1C4AB386" w:rsidR="09C3C6D7">
        <w:rPr>
          <w:i w:val="1"/>
          <w:iCs w:val="1"/>
        </w:rPr>
        <w:t xml:space="preserve"> </w:t>
      </w:r>
    </w:p>
    <w:p w:rsidRPr="00802927" w:rsidR="00802927" w:rsidP="1C4AB386" w:rsidRDefault="00802927" w14:paraId="40A8FE9E" w14:textId="3E711661">
      <w:pPr>
        <w:rPr>
          <w:i w:val="0"/>
          <w:iCs w:val="0"/>
        </w:rPr>
      </w:pPr>
      <w:r w:rsidR="3803E860">
        <w:rPr/>
        <w:t xml:space="preserve">It is generally recognised that there must be some physical proximity between the two tenements. </w:t>
      </w:r>
      <w:r w:rsidRPr="1C4AB386" w:rsidR="3803E860">
        <w:rPr>
          <w:i w:val="1"/>
          <w:iCs w:val="1"/>
        </w:rPr>
        <w:t>(M, Davys 2019)</w:t>
      </w:r>
      <w:r w:rsidR="3803E860">
        <w:rPr/>
        <w:t xml:space="preserve"> </w:t>
      </w:r>
      <w:r w:rsidRPr="1C4AB386" w:rsidR="3803E860">
        <w:rPr>
          <w:i w:val="1"/>
          <w:iCs w:val="1"/>
        </w:rPr>
        <w:t xml:space="preserve">Bailey v Stephens [1862] 142 ER 1077 </w:t>
      </w:r>
      <w:r w:rsidR="3803E860">
        <w:rPr/>
        <w:t>doubted that a right</w:t>
      </w:r>
      <w:r w:rsidR="67526C78">
        <w:rPr/>
        <w:t xml:space="preserve"> over an estate in Northumberland could be said to benefit an estate in Kent. However, the Law Commission state</w:t>
      </w:r>
      <w:r w:rsidR="0FA29F6E">
        <w:rPr/>
        <w:t>d</w:t>
      </w:r>
      <w:r w:rsidR="67526C78">
        <w:rPr/>
        <w:t xml:space="preserve"> that its </w:t>
      </w:r>
      <w:r w:rsidRPr="1C4AB386" w:rsidR="67526C78">
        <w:rPr>
          <w:i w:val="1"/>
          <w:iCs w:val="1"/>
        </w:rPr>
        <w:t>‘not implausible to say that a house benefits from a right of drainage through a pipe that not only passes through the neighbours land but also through a series of properties, some of them some distance away’</w:t>
      </w:r>
      <w:r w:rsidR="67526C78">
        <w:rPr/>
        <w:t xml:space="preserve"> </w:t>
      </w:r>
      <w:r w:rsidRPr="1C4AB386" w:rsidR="67526C78">
        <w:rPr>
          <w:i w:val="1"/>
          <w:iCs w:val="1"/>
        </w:rPr>
        <w:t>(Law Com, 2.26, 2011)</w:t>
      </w:r>
      <w:r w:rsidRPr="1C4AB386" w:rsidR="77391299">
        <w:rPr>
          <w:i w:val="1"/>
          <w:iCs w:val="1"/>
        </w:rPr>
        <w:t xml:space="preserve"> </w:t>
      </w:r>
      <w:r w:rsidRPr="1C4AB386" w:rsidR="77391299">
        <w:rPr>
          <w:i w:val="0"/>
          <w:iCs w:val="0"/>
        </w:rPr>
        <w:t xml:space="preserve">However, this may draw some uncertainty to this characteristic because there is no set definition of </w:t>
      </w:r>
      <w:r w:rsidRPr="1C4AB386" w:rsidR="76A8CD91">
        <w:rPr>
          <w:i w:val="0"/>
          <w:iCs w:val="0"/>
        </w:rPr>
        <w:t xml:space="preserve">proximity. </w:t>
      </w:r>
    </w:p>
    <w:p w:rsidR="00302AB6" w:rsidP="384F35E2" w:rsidRDefault="240DCEDC" w14:paraId="2AA8E72F" w14:textId="14B85776" w14:noSpellErr="1">
      <w:r w:rsidR="55FB402A">
        <w:rPr/>
        <w:t>‘The dominant and servient tenements must be in separate ownership and occupation</w:t>
      </w:r>
      <w:r w:rsidR="2EDB0F5F">
        <w:rPr/>
        <w:t xml:space="preserve">’. </w:t>
      </w:r>
      <w:r w:rsidR="2EDB0F5F">
        <w:rPr/>
        <w:t>It is not possible to have an easement over your own land</w:t>
      </w:r>
      <w:r w:rsidR="2EDB0F5F">
        <w:rPr/>
        <w:t>.</w:t>
      </w:r>
      <w:r w:rsidR="230C8DBB">
        <w:rPr/>
        <w:t xml:space="preserve"> </w:t>
      </w:r>
      <w:r w:rsidR="7F51FBFD">
        <w:rPr/>
        <w:t>Th</w:t>
      </w:r>
      <w:r w:rsidR="7F51FBFD">
        <w:rPr/>
        <w:t xml:space="preserve">e easement is ended if both tenements come into the hand of one person. For example, to cross one field into the next, if used by the owner of both tenements it is not an easement but a quasi-easement. </w:t>
      </w:r>
      <w:r w:rsidRPr="1C4AB386" w:rsidR="7F51FBFD">
        <w:rPr>
          <w:i w:val="1"/>
          <w:iCs w:val="1"/>
        </w:rPr>
        <w:t>(M, Davys, 201</w:t>
      </w:r>
      <w:r w:rsidRPr="1C4AB386" w:rsidR="7F51FBFD">
        <w:rPr>
          <w:i w:val="1"/>
          <w:iCs w:val="1"/>
        </w:rPr>
        <w:t>9</w:t>
      </w:r>
      <w:r w:rsidRPr="1C4AB386" w:rsidR="7F51FBFD">
        <w:rPr>
          <w:i w:val="1"/>
          <w:iCs w:val="1"/>
        </w:rPr>
        <w:t>)</w:t>
      </w:r>
    </w:p>
    <w:p w:rsidRPr="00F16D19" w:rsidR="7B06D3F1" w:rsidP="1C4AB386" w:rsidRDefault="7B06D3F1" w14:paraId="76AC8B42" w14:textId="435EA19F">
      <w:pPr>
        <w:rPr>
          <w:i w:val="1"/>
          <w:iCs w:val="1"/>
          <w:highlight w:val="cyan"/>
        </w:rPr>
      </w:pPr>
      <w:r w:rsidR="0188A5EF">
        <w:rPr/>
        <w:t>As the right is, by definition, over another party’s land you cannot have an easement</w:t>
      </w:r>
      <w:r w:rsidR="4F25B0D9">
        <w:rPr/>
        <w:t xml:space="preserve"> established over your land</w:t>
      </w:r>
      <w:r w:rsidR="0188A5EF">
        <w:rPr/>
        <w:t>.</w:t>
      </w:r>
      <w:r w:rsidR="51D4F233">
        <w:rPr/>
        <w:t xml:space="preserve"> </w:t>
      </w:r>
      <w:r w:rsidR="0188A5EF">
        <w:rPr/>
        <w:t xml:space="preserve">This means that the same individual cannot own and occupy both tenements. The easement will be extinguished such as in </w:t>
      </w:r>
      <w:r w:rsidRPr="1C4AB386" w:rsidR="0188A5EF">
        <w:rPr>
          <w:i w:val="1"/>
          <w:iCs w:val="1"/>
        </w:rPr>
        <w:t>Roe v Siddons (1888) 22 Q.B.D. 224.</w:t>
      </w:r>
      <w:r w:rsidRPr="1C4AB386" w:rsidR="6D4750B2">
        <w:rPr>
          <w:i w:val="1"/>
          <w:iCs w:val="1"/>
        </w:rPr>
        <w:t xml:space="preserve"> </w:t>
      </w:r>
      <w:proofErr w:type="spellStart"/>
      <w:proofErr w:type="spellEnd"/>
    </w:p>
    <w:p w:rsidRPr="00F16D19" w:rsidR="7B06D3F1" w:rsidP="1C4AB386" w:rsidRDefault="7B06D3F1" w14:paraId="480ABB8A" w14:textId="3046D03D">
      <w:pPr>
        <w:pStyle w:val="Normal"/>
      </w:pPr>
      <w:r w:rsidR="572A293C">
        <w:rPr/>
        <w:t xml:space="preserve">A right over land cannot amount to an </w:t>
      </w:r>
      <w:r w:rsidR="7F51FBFD">
        <w:rPr/>
        <w:t>easement unless</w:t>
      </w:r>
      <w:r w:rsidR="572A293C">
        <w:rPr/>
        <w:t xml:space="preserve"> it </w:t>
      </w:r>
      <w:r w:rsidR="15198E49">
        <w:rPr/>
        <w:t>can form</w:t>
      </w:r>
      <w:r w:rsidR="572A293C">
        <w:rPr/>
        <w:t xml:space="preserve"> the matter of a grant. </w:t>
      </w:r>
      <w:r w:rsidR="4D21A541">
        <w:rPr/>
        <w:t>Since an easement is a registerable property right, it must be capable of being granted by deed.</w:t>
      </w:r>
      <w:r w:rsidR="5EBC5A40">
        <w:rPr/>
        <w:t xml:space="preserve"> </w:t>
      </w:r>
      <w:r w:rsidR="406E4EB4">
        <w:rPr/>
        <w:t>(</w:t>
      </w:r>
      <w:r w:rsidRPr="1C4AB386" w:rsidR="406E4EB4">
        <w:rPr>
          <w:i w:val="1"/>
          <w:iCs w:val="1"/>
        </w:rPr>
        <w:t>Davys, M 2019).</w:t>
      </w:r>
      <w:r w:rsidR="406E4EB4">
        <w:rPr/>
        <w:t xml:space="preserve"> </w:t>
      </w:r>
      <w:r w:rsidR="6C29D858">
        <w:rPr/>
        <w:t xml:space="preserve">An easement must be capable of being the subject of a </w:t>
      </w:r>
      <w:r w:rsidR="7B220F8A">
        <w:rPr/>
        <w:t>grant,</w:t>
      </w:r>
      <w:r w:rsidR="6C29D858">
        <w:rPr/>
        <w:t xml:space="preserve"> </w:t>
      </w:r>
      <w:r w:rsidRPr="1C4AB386" w:rsidR="6C29D858">
        <w:rPr>
          <w:i w:val="1"/>
          <w:iCs w:val="1"/>
        </w:rPr>
        <w:t>‘at first sight, perhaps, not entirely clear</w:t>
      </w:r>
      <w:r w:rsidRPr="1C4AB386" w:rsidR="6C29D858">
        <w:rPr>
          <w:i w:val="1"/>
          <w:iCs w:val="1"/>
        </w:rPr>
        <w:t>’.</w:t>
      </w:r>
      <w:r w:rsidRPr="1C4AB386" w:rsidR="6C29D858">
        <w:rPr>
          <w:i w:val="1"/>
          <w:iCs w:val="1"/>
        </w:rPr>
        <w:t xml:space="preserve"> (</w:t>
      </w:r>
      <w:r w:rsidRPr="1C4AB386" w:rsidR="6C29D858">
        <w:rPr>
          <w:i w:val="1"/>
          <w:iCs w:val="1"/>
        </w:rPr>
        <w:t>Evershed</w:t>
      </w:r>
      <w:r w:rsidRPr="1C4AB386" w:rsidR="6C29D858">
        <w:rPr>
          <w:i w:val="1"/>
          <w:iCs w:val="1"/>
        </w:rPr>
        <w:t xml:space="preserve"> MR</w:t>
      </w:r>
      <w:r w:rsidRPr="1C4AB386" w:rsidR="7529E67A">
        <w:rPr>
          <w:i w:val="1"/>
          <w:iCs w:val="1"/>
        </w:rPr>
        <w:t xml:space="preserve">, 1956). </w:t>
      </w:r>
      <w:r w:rsidR="64112252">
        <w:rPr/>
        <w:t>For example, t</w:t>
      </w:r>
      <w:r w:rsidR="1CD184E1">
        <w:rPr/>
        <w:t xml:space="preserve">he easement must not be so broad that it deprives the servient owner of ownership of his land. In </w:t>
      </w:r>
      <w:r w:rsidRPr="1C4AB386" w:rsidR="1CD184E1">
        <w:rPr>
          <w:i w:val="1"/>
          <w:iCs w:val="1"/>
        </w:rPr>
        <w:t>Grigsby v Melville [1972] 1 WLR 1355</w:t>
      </w:r>
      <w:r w:rsidR="1CD184E1">
        <w:rPr/>
        <w:t xml:space="preserve">, for example, a </w:t>
      </w:r>
      <w:r w:rsidR="1CD184E1">
        <w:rPr/>
        <w:t>purported right</w:t>
      </w:r>
      <w:r w:rsidR="1CD184E1">
        <w:rPr/>
        <w:t xml:space="preserve"> to keep goods in a cellar was denied since the right amounted to exclusive use of the restricted cellar area.</w:t>
      </w:r>
      <w:r w:rsidR="43934834">
        <w:rPr/>
        <w:t xml:space="preserve"> </w:t>
      </w:r>
      <w:r w:rsidRPr="1C4AB386" w:rsidR="43934834">
        <w:rPr>
          <w:i w:val="1"/>
          <w:iCs w:val="1"/>
        </w:rPr>
        <w:t xml:space="preserve">London and Blenheim Estates Ltd v Ladbroke Retail Parks Ltd [1993] 4 All ER </w:t>
      </w:r>
      <w:r w:rsidRPr="1C4AB386" w:rsidR="2B72B492">
        <w:rPr>
          <w:i w:val="1"/>
          <w:iCs w:val="1"/>
        </w:rPr>
        <w:t xml:space="preserve">157, </w:t>
      </w:r>
      <w:r w:rsidRPr="1C4AB386" w:rsidR="2B72B492">
        <w:rPr>
          <w:i w:val="0"/>
          <w:iCs w:val="0"/>
        </w:rPr>
        <w:t>specified that a future expansion of easement rights over other land</w:t>
      </w:r>
      <w:r w:rsidRPr="1C4AB386" w:rsidR="4B619E6F">
        <w:rPr>
          <w:i w:val="0"/>
          <w:iCs w:val="0"/>
        </w:rPr>
        <w:t xml:space="preserve"> </w:t>
      </w:r>
      <w:r w:rsidRPr="1C4AB386" w:rsidR="4B619E6F">
        <w:rPr>
          <w:i w:val="0"/>
          <w:iCs w:val="0"/>
        </w:rPr>
        <w:t>would</w:t>
      </w:r>
      <w:r w:rsidRPr="1C4AB386" w:rsidR="4B619E6F">
        <w:rPr>
          <w:i w:val="0"/>
          <w:iCs w:val="0"/>
        </w:rPr>
        <w:t xml:space="preserve"> need a specific parcel of dominating land as well.</w:t>
      </w:r>
      <w:r w:rsidRPr="1C4AB386" w:rsidR="122341CC">
        <w:rPr>
          <w:i w:val="0"/>
          <w:iCs w:val="0"/>
        </w:rPr>
        <w:t xml:space="preserve"> </w:t>
      </w:r>
      <w:r w:rsidRPr="1C4AB386" w:rsidR="43934FD0">
        <w:rPr>
          <w:i w:val="0"/>
          <w:iCs w:val="0"/>
        </w:rPr>
        <w:t>Simply agreeing that wherever any dominating land is expanded the easement on the servient land will also be extended (to some extent) is inadequate.</w:t>
      </w:r>
      <w:r w:rsidRPr="1C4AB386" w:rsidR="2D816296">
        <w:rPr>
          <w:i w:val="1"/>
          <w:iCs w:val="1"/>
        </w:rPr>
        <w:t xml:space="preserve"> [1993] 1 All ER 307</w:t>
      </w:r>
    </w:p>
    <w:p w:rsidR="384F35E2" w:rsidP="1C4AB386" w:rsidRDefault="384F35E2" w14:paraId="0B943891" w14:textId="5137F10B">
      <w:pPr>
        <w:rPr>
          <w:i w:val="0"/>
          <w:iCs w:val="0"/>
        </w:rPr>
      </w:pPr>
      <w:r w:rsidR="4E7C21DA">
        <w:rPr/>
        <w:t xml:space="preserve">Lord Briggs in </w:t>
      </w:r>
      <w:r w:rsidRPr="1C4AB386" w:rsidR="4E7C21DA">
        <w:rPr>
          <w:i w:val="1"/>
          <w:iCs w:val="1"/>
        </w:rPr>
        <w:t xml:space="preserve">Regency Villas [2018] </w:t>
      </w:r>
      <w:r w:rsidRPr="1C4AB386" w:rsidR="4E7C21DA">
        <w:rPr>
          <w:i w:val="0"/>
          <w:iCs w:val="0"/>
        </w:rPr>
        <w:t xml:space="preserve">stated the requirement for a grant as a </w:t>
      </w:r>
      <w:r w:rsidRPr="1C4AB386" w:rsidR="4E7C21DA">
        <w:rPr>
          <w:i w:val="1"/>
          <w:iCs w:val="1"/>
        </w:rPr>
        <w:t>‘series of miscellaneous re</w:t>
      </w:r>
      <w:r w:rsidRPr="1C4AB386" w:rsidR="51241E5D">
        <w:rPr>
          <w:i w:val="1"/>
          <w:iCs w:val="1"/>
        </w:rPr>
        <w:t>quirements which have been held to be essential characteristics of an easement’.</w:t>
      </w:r>
      <w:r w:rsidRPr="1C4AB386" w:rsidR="455F55D9">
        <w:rPr>
          <w:i w:val="1"/>
          <w:iCs w:val="1"/>
        </w:rPr>
        <w:t xml:space="preserve"> </w:t>
      </w:r>
      <w:r w:rsidRPr="1C4AB386" w:rsidR="455F55D9">
        <w:rPr>
          <w:i w:val="0"/>
          <w:iCs w:val="0"/>
        </w:rPr>
        <w:t xml:space="preserve">The nature and extent of the right must be capable of sufficiently accurate definition. </w:t>
      </w:r>
      <w:r w:rsidRPr="1C4AB386" w:rsidR="5EE89E1F">
        <w:rPr>
          <w:i w:val="0"/>
          <w:iCs w:val="0"/>
        </w:rPr>
        <w:t>To support this, Alfred’s case [1610] 77 ER 816 [KB] determined that the right to a good view cannot amount to an easement, as its to imprecise</w:t>
      </w:r>
      <w:r w:rsidRPr="1C4AB386" w:rsidR="5EE89E1F">
        <w:rPr>
          <w:i w:val="0"/>
          <w:iCs w:val="0"/>
        </w:rPr>
        <w:t xml:space="preserve"> to describe this. </w:t>
      </w:r>
      <w:r w:rsidRPr="1C4AB386" w:rsidR="0928F090">
        <w:rPr>
          <w:i w:val="0"/>
          <w:iCs w:val="0"/>
        </w:rPr>
        <w:t xml:space="preserve">However, in a modern context, </w:t>
      </w:r>
      <w:r w:rsidRPr="1C4AB386" w:rsidR="1AD74DB4">
        <w:rPr>
          <w:i w:val="0"/>
          <w:iCs w:val="0"/>
        </w:rPr>
        <w:t>flexibility</w:t>
      </w:r>
      <w:r w:rsidRPr="1C4AB386" w:rsidR="0928F090">
        <w:rPr>
          <w:i w:val="0"/>
          <w:iCs w:val="0"/>
        </w:rPr>
        <w:t xml:space="preserve"> has been seen in relation to the extent and </w:t>
      </w:r>
      <w:r w:rsidRPr="1C4AB386" w:rsidR="2A5AB019">
        <w:rPr>
          <w:i w:val="0"/>
          <w:iCs w:val="0"/>
        </w:rPr>
        <w:t>characteristics</w:t>
      </w:r>
      <w:r w:rsidRPr="1C4AB386" w:rsidR="0928F090">
        <w:rPr>
          <w:i w:val="0"/>
          <w:iCs w:val="0"/>
        </w:rPr>
        <w:t xml:space="preserve"> of easements. For example, the case of </w:t>
      </w:r>
      <w:r w:rsidRPr="1C4AB386" w:rsidR="0928F090">
        <w:rPr>
          <w:i w:val="1"/>
          <w:iCs w:val="1"/>
        </w:rPr>
        <w:t>Lawrence v Fen Tiger Ltd [2014]</w:t>
      </w:r>
      <w:r w:rsidRPr="1C4AB386" w:rsidR="6298FEE6">
        <w:rPr>
          <w:i w:val="1"/>
          <w:iCs w:val="1"/>
        </w:rPr>
        <w:t xml:space="preserve"> </w:t>
      </w:r>
      <w:r w:rsidRPr="1C4AB386" w:rsidR="6298FEE6">
        <w:rPr>
          <w:i w:val="0"/>
          <w:iCs w:val="0"/>
        </w:rPr>
        <w:t xml:space="preserve">proved this through consideration and </w:t>
      </w:r>
      <w:r w:rsidRPr="1C4AB386" w:rsidR="74098959">
        <w:rPr>
          <w:i w:val="0"/>
          <w:iCs w:val="0"/>
        </w:rPr>
        <w:t>recognition</w:t>
      </w:r>
      <w:r w:rsidRPr="1C4AB386" w:rsidR="6298FEE6">
        <w:rPr>
          <w:i w:val="0"/>
          <w:iCs w:val="0"/>
        </w:rPr>
        <w:t xml:space="preserve"> of an easement </w:t>
      </w:r>
      <w:r w:rsidRPr="1C4AB386" w:rsidR="0F2A5F7B">
        <w:rPr>
          <w:i w:val="0"/>
          <w:iCs w:val="0"/>
        </w:rPr>
        <w:t>permitting</w:t>
      </w:r>
      <w:r w:rsidRPr="1C4AB386" w:rsidR="6298FEE6">
        <w:rPr>
          <w:i w:val="0"/>
          <w:iCs w:val="0"/>
        </w:rPr>
        <w:t xml:space="preserve"> noise </w:t>
      </w:r>
      <w:r w:rsidRPr="1C4AB386" w:rsidR="33F41D57">
        <w:rPr>
          <w:i w:val="0"/>
          <w:iCs w:val="0"/>
        </w:rPr>
        <w:t>made against the dominant tenement.</w:t>
      </w:r>
      <w:r w:rsidRPr="1C4AB386" w:rsidR="5F71E1C5">
        <w:rPr>
          <w:i w:val="0"/>
          <w:iCs w:val="0"/>
        </w:rPr>
        <w:t xml:space="preserve"> Returning to the R</w:t>
      </w:r>
      <w:r w:rsidRPr="1C4AB386" w:rsidR="5F71E1C5">
        <w:rPr>
          <w:i w:val="1"/>
          <w:iCs w:val="1"/>
        </w:rPr>
        <w:t>egency Villas [2018]</w:t>
      </w:r>
      <w:r w:rsidRPr="1C4AB386" w:rsidR="5F71E1C5">
        <w:rPr>
          <w:i w:val="0"/>
          <w:iCs w:val="0"/>
        </w:rPr>
        <w:t xml:space="preserve"> case, there was little concern </w:t>
      </w:r>
      <w:r w:rsidRPr="1C4AB386" w:rsidR="1385A638">
        <w:rPr>
          <w:i w:val="0"/>
          <w:iCs w:val="0"/>
        </w:rPr>
        <w:t>granting</w:t>
      </w:r>
      <w:r w:rsidRPr="1C4AB386" w:rsidR="5F71E1C5">
        <w:rPr>
          <w:i w:val="0"/>
          <w:iCs w:val="0"/>
        </w:rPr>
        <w:t xml:space="preserve"> </w:t>
      </w:r>
      <w:r w:rsidRPr="1C4AB386" w:rsidR="4B0D4F04">
        <w:rPr>
          <w:i w:val="0"/>
          <w:iCs w:val="0"/>
        </w:rPr>
        <w:t xml:space="preserve">the right to use </w:t>
      </w:r>
      <w:r w:rsidRPr="1C4AB386" w:rsidR="629E106A">
        <w:rPr>
          <w:i w:val="0"/>
          <w:iCs w:val="0"/>
        </w:rPr>
        <w:t>facilities</w:t>
      </w:r>
      <w:r w:rsidRPr="1C4AB386" w:rsidR="4B0D4F04">
        <w:rPr>
          <w:i w:val="0"/>
          <w:iCs w:val="0"/>
        </w:rPr>
        <w:t xml:space="preserve"> such as a golf course, swimming pool, garden</w:t>
      </w:r>
      <w:r w:rsidRPr="1C4AB386" w:rsidR="63C1FA66">
        <w:rPr>
          <w:i w:val="0"/>
          <w:iCs w:val="0"/>
        </w:rPr>
        <w:t xml:space="preserve">s etc. </w:t>
      </w:r>
    </w:p>
    <w:p w:rsidR="11A2109A" w:rsidP="1C4AB386" w:rsidRDefault="11A2109A" w14:paraId="1A393F5B" w14:textId="6BD033BE">
      <w:pPr>
        <w:rPr>
          <w:i w:val="0"/>
          <w:iCs w:val="0"/>
        </w:rPr>
      </w:pPr>
      <w:r w:rsidRPr="1C4AB386" w:rsidR="11A2109A">
        <w:rPr>
          <w:i w:val="1"/>
          <w:iCs w:val="1"/>
        </w:rPr>
        <w:t xml:space="preserve">Donovan v Rana [2014] EWCA </w:t>
      </w:r>
      <w:proofErr w:type="spellStart"/>
      <w:r w:rsidRPr="1C4AB386" w:rsidR="11A2109A">
        <w:rPr>
          <w:i w:val="1"/>
          <w:iCs w:val="1"/>
        </w:rPr>
        <w:t>Civ</w:t>
      </w:r>
      <w:proofErr w:type="spellEnd"/>
      <w:r w:rsidRPr="1C4AB386" w:rsidR="11A2109A">
        <w:rPr>
          <w:i w:val="1"/>
          <w:iCs w:val="1"/>
        </w:rPr>
        <w:t xml:space="preserve"> 99 </w:t>
      </w:r>
      <w:r w:rsidRPr="1C4AB386" w:rsidR="11A2109A">
        <w:rPr>
          <w:i w:val="0"/>
          <w:iCs w:val="0"/>
        </w:rPr>
        <w:t>case demonstrated express and implied grants of easements. The claimant sold a building pl</w:t>
      </w:r>
      <w:r w:rsidRPr="1C4AB386" w:rsidR="70F48332">
        <w:rPr>
          <w:i w:val="0"/>
          <w:iCs w:val="0"/>
        </w:rPr>
        <w:t>ot with the express right attached, to pass over a plot of land</w:t>
      </w:r>
      <w:r w:rsidRPr="1C4AB386" w:rsidR="2F996864">
        <w:rPr>
          <w:i w:val="0"/>
          <w:iCs w:val="0"/>
        </w:rPr>
        <w:t xml:space="preserve">. The court decided it was </w:t>
      </w:r>
      <w:r w:rsidRPr="1C4AB386" w:rsidR="7A87483B">
        <w:rPr>
          <w:i w:val="0"/>
          <w:iCs w:val="0"/>
        </w:rPr>
        <w:t>necessary</w:t>
      </w:r>
      <w:r w:rsidRPr="1C4AB386" w:rsidR="2F996864">
        <w:rPr>
          <w:i w:val="0"/>
          <w:iCs w:val="0"/>
        </w:rPr>
        <w:t xml:space="preserve"> for an easement to be granted.</w:t>
      </w:r>
      <w:r w:rsidRPr="1C4AB386" w:rsidR="5F326BC2">
        <w:rPr>
          <w:i w:val="0"/>
          <w:iCs w:val="0"/>
        </w:rPr>
        <w:t xml:space="preserve"> </w:t>
      </w:r>
      <w:r w:rsidRPr="1C4AB386" w:rsidR="167D7454">
        <w:rPr>
          <w:i w:val="0"/>
          <w:iCs w:val="0"/>
        </w:rPr>
        <w:t xml:space="preserve">It was determined that </w:t>
      </w:r>
      <w:r w:rsidRPr="1C4AB386" w:rsidR="167D7454">
        <w:rPr>
          <w:i w:val="0"/>
          <w:iCs w:val="0"/>
        </w:rPr>
        <w:t>access</w:t>
      </w:r>
      <w:r w:rsidRPr="1C4AB386" w:rsidR="167D7454">
        <w:rPr>
          <w:i w:val="0"/>
          <w:iCs w:val="0"/>
        </w:rPr>
        <w:t xml:space="preserve"> to essential services was necessary. </w:t>
      </w:r>
    </w:p>
    <w:p w:rsidR="00DA69CF" w:rsidP="1C4AB386" w:rsidRDefault="00DA69CF" w14:paraId="66F35FE4" w14:textId="532ED1B5">
      <w:pPr>
        <w:rPr>
          <w:i w:val="1"/>
          <w:iCs w:val="1"/>
        </w:rPr>
      </w:pPr>
      <w:r w:rsidR="4CE8D7D3">
        <w:rPr/>
        <w:t xml:space="preserve">An easement can be </w:t>
      </w:r>
      <w:r w:rsidR="3D65756E">
        <w:rPr/>
        <w:t>implied</w:t>
      </w:r>
      <w:r w:rsidR="4CE8D7D3">
        <w:rPr/>
        <w:t xml:space="preserve"> by </w:t>
      </w:r>
      <w:r w:rsidR="6620691C">
        <w:rPr/>
        <w:t>necessity</w:t>
      </w:r>
      <w:r w:rsidR="4CE8D7D3">
        <w:rPr/>
        <w:t xml:space="preserve">. </w:t>
      </w:r>
      <w:r w:rsidRPr="1C4AB386" w:rsidR="4CE8D7D3">
        <w:rPr>
          <w:i w:val="1"/>
          <w:iCs w:val="1"/>
        </w:rPr>
        <w:t>(N, Hopkins</w:t>
      </w:r>
      <w:r w:rsidRPr="1C4AB386" w:rsidR="3AED8451">
        <w:rPr>
          <w:i w:val="1"/>
          <w:iCs w:val="1"/>
        </w:rPr>
        <w:t xml:space="preserve"> 2018)</w:t>
      </w:r>
      <w:r w:rsidRPr="1C4AB386" w:rsidR="6AE02F9D">
        <w:rPr>
          <w:i w:val="1"/>
          <w:iCs w:val="1"/>
        </w:rPr>
        <w:t xml:space="preserve">. </w:t>
      </w:r>
      <w:r w:rsidRPr="1C4AB386" w:rsidR="6AE02F9D">
        <w:rPr>
          <w:i w:val="0"/>
          <w:iCs w:val="0"/>
        </w:rPr>
        <w:t xml:space="preserve">The case of </w:t>
      </w:r>
      <w:proofErr w:type="spellStart"/>
      <w:r w:rsidRPr="1C4AB386" w:rsidR="6AE02F9D">
        <w:rPr>
          <w:i w:val="1"/>
          <w:iCs w:val="1"/>
        </w:rPr>
        <w:t>Manjang</w:t>
      </w:r>
      <w:proofErr w:type="spellEnd"/>
      <w:r w:rsidRPr="1C4AB386" w:rsidR="6AE02F9D">
        <w:rPr>
          <w:i w:val="1"/>
          <w:iCs w:val="1"/>
        </w:rPr>
        <w:t xml:space="preserve"> v Drammeh [1991]</w:t>
      </w:r>
      <w:r w:rsidRPr="1C4AB386" w:rsidR="6AE02F9D">
        <w:rPr>
          <w:i w:val="0"/>
          <w:iCs w:val="0"/>
        </w:rPr>
        <w:t xml:space="preserve"> set certain requirements for this. </w:t>
      </w:r>
      <w:r w:rsidRPr="1C4AB386" w:rsidR="7627F65D">
        <w:rPr>
          <w:i w:val="0"/>
          <w:iCs w:val="0"/>
        </w:rPr>
        <w:t xml:space="preserve">Firstly, there must be a common owner in two plots of land. Secondly, </w:t>
      </w:r>
      <w:r w:rsidRPr="1C4AB386" w:rsidR="59A7CB81">
        <w:rPr>
          <w:i w:val="0"/>
          <w:iCs w:val="0"/>
        </w:rPr>
        <w:t xml:space="preserve">the public highway can only be obtained over one of the plots. Lastly, there </w:t>
      </w:r>
      <w:r w:rsidRPr="1C4AB386" w:rsidR="6E127F33">
        <w:rPr>
          <w:i w:val="0"/>
          <w:iCs w:val="0"/>
        </w:rPr>
        <w:t>must</w:t>
      </w:r>
      <w:r w:rsidRPr="1C4AB386" w:rsidR="59A7CB81">
        <w:rPr>
          <w:i w:val="0"/>
          <w:iCs w:val="0"/>
        </w:rPr>
        <w:t xml:space="preserve"> be a disposition of one of the plots without any specific reservation</w:t>
      </w:r>
      <w:r w:rsidRPr="1C4AB386" w:rsidR="7FBABB66">
        <w:rPr>
          <w:i w:val="0"/>
          <w:iCs w:val="0"/>
        </w:rPr>
        <w:t xml:space="preserve"> over the right of access. This case showed that easements by </w:t>
      </w:r>
      <w:r w:rsidRPr="1C4AB386" w:rsidR="79100BF3">
        <w:rPr>
          <w:i w:val="0"/>
          <w:iCs w:val="0"/>
        </w:rPr>
        <w:t>necessity</w:t>
      </w:r>
      <w:r w:rsidRPr="1C4AB386" w:rsidR="7FBABB66">
        <w:rPr>
          <w:i w:val="0"/>
          <w:iCs w:val="0"/>
        </w:rPr>
        <w:t xml:space="preserve"> occur when land becomes ‘landlocked’. </w:t>
      </w:r>
      <w:r w:rsidRPr="1C4AB386" w:rsidR="062151CB">
        <w:rPr>
          <w:i w:val="0"/>
          <w:iCs w:val="0"/>
        </w:rPr>
        <w:t xml:space="preserve">It is important to note that such an easement will only be implied if the land cannot otherwise be used, therefore the </w:t>
      </w:r>
      <w:r w:rsidRPr="1C4AB386" w:rsidR="507710A5">
        <w:rPr>
          <w:i w:val="0"/>
          <w:iCs w:val="0"/>
        </w:rPr>
        <w:t>strength</w:t>
      </w:r>
      <w:r w:rsidRPr="1C4AB386" w:rsidR="062151CB">
        <w:rPr>
          <w:i w:val="0"/>
          <w:iCs w:val="0"/>
        </w:rPr>
        <w:t xml:space="preserve"> of</w:t>
      </w:r>
      <w:r w:rsidRPr="1C4AB386" w:rsidR="2AB01F5B">
        <w:rPr>
          <w:i w:val="0"/>
          <w:iCs w:val="0"/>
        </w:rPr>
        <w:t xml:space="preserve"> the necessity is </w:t>
      </w:r>
      <w:r w:rsidRPr="1C4AB386" w:rsidR="1044A171">
        <w:rPr>
          <w:i w:val="0"/>
          <w:iCs w:val="0"/>
        </w:rPr>
        <w:t>challenged</w:t>
      </w:r>
      <w:r w:rsidRPr="1C4AB386" w:rsidR="2AB01F5B">
        <w:rPr>
          <w:i w:val="0"/>
          <w:iCs w:val="0"/>
        </w:rPr>
        <w:t xml:space="preserve">. </w:t>
      </w:r>
      <w:r w:rsidRPr="1C4AB386" w:rsidR="17CFAEEF">
        <w:rPr>
          <w:i w:val="0"/>
          <w:iCs w:val="0"/>
        </w:rPr>
        <w:t>The basis of easements of necessity lies in intention not public policy</w:t>
      </w:r>
      <w:r w:rsidRPr="1C4AB386" w:rsidR="14954730">
        <w:rPr>
          <w:i w:val="0"/>
          <w:iCs w:val="0"/>
        </w:rPr>
        <w:t xml:space="preserve"> - </w:t>
      </w:r>
      <w:r w:rsidRPr="1C4AB386" w:rsidR="17CFAEEF">
        <w:rPr>
          <w:i w:val="1"/>
          <w:iCs w:val="1"/>
        </w:rPr>
        <w:t>(</w:t>
      </w:r>
      <w:proofErr w:type="spellStart"/>
      <w:r w:rsidRPr="1C4AB386" w:rsidR="17CFAEEF">
        <w:rPr>
          <w:i w:val="1"/>
          <w:iCs w:val="1"/>
        </w:rPr>
        <w:t>Adealon</w:t>
      </w:r>
      <w:proofErr w:type="spellEnd"/>
      <w:r w:rsidRPr="1C4AB386" w:rsidR="17CFAEEF">
        <w:rPr>
          <w:i w:val="1"/>
          <w:iCs w:val="1"/>
        </w:rPr>
        <w:t xml:space="preserve"> International Corp v Merton LBC [2007] </w:t>
      </w:r>
      <w:r w:rsidRPr="1C4AB386" w:rsidR="5C56F862">
        <w:rPr>
          <w:i w:val="1"/>
          <w:iCs w:val="1"/>
        </w:rPr>
        <w:t>EWCA).</w:t>
      </w:r>
    </w:p>
    <w:p w:rsidR="1F16DA30" w:rsidP="1C4AB386" w:rsidRDefault="1F16DA30" w14:paraId="0770EEF7" w14:textId="7655E082">
      <w:pPr>
        <w:pStyle w:val="Normal"/>
        <w:rPr>
          <w:i w:val="1"/>
          <w:iCs w:val="1"/>
        </w:rPr>
      </w:pPr>
    </w:p>
    <w:p w:rsidR="1F16DA30" w:rsidP="384F35E2" w:rsidRDefault="1F16DA30" w14:paraId="0DB3CAA2" w14:textId="6CCA64A4"/>
    <w:p w:rsidR="1F16DA30" w:rsidP="384F35E2" w:rsidRDefault="1F16DA30" w14:paraId="73B544E4" w14:textId="2A716F26"/>
    <w:p w:rsidR="1F16DA30" w:rsidP="1C4AB386" w:rsidRDefault="1F16DA30" w14:paraId="5D022B8E" w14:textId="703787E5">
      <w:pPr>
        <w:pStyle w:val="Normal"/>
      </w:pPr>
    </w:p>
    <w:p w:rsidR="1F16DA30" w:rsidP="1C4AB386" w:rsidRDefault="1F16DA30" w14:paraId="5DFF856E" w14:textId="2659346A">
      <w:pPr>
        <w:pStyle w:val="Normal"/>
      </w:pPr>
    </w:p>
    <w:p w:rsidR="1F16DA30" w:rsidP="1C4AB386" w:rsidRDefault="1F16DA30" w14:paraId="122204B8" w14:textId="21F188B7">
      <w:pPr>
        <w:pStyle w:val="Normal"/>
      </w:pPr>
      <w:r w:rsidR="121809A2">
        <w:rPr/>
        <w:t xml:space="preserve">Case List </w:t>
      </w:r>
    </w:p>
    <w:p w:rsidR="546B9897" w:rsidP="384F35E2" w:rsidRDefault="546B9897" w14:paraId="34619ECC" w14:textId="2BE09A27">
      <w:r>
        <w:t xml:space="preserve">Cases accessed from </w:t>
      </w:r>
      <w:hyperlink r:id="rId5">
        <w:r w:rsidRPr="384F35E2">
          <w:rPr>
            <w:rStyle w:val="Hyperlink"/>
          </w:rPr>
          <w:t>https://www.bailii.org/</w:t>
        </w:r>
      </w:hyperlink>
      <w:r>
        <w:t xml:space="preserve"> - British and Irish Legal Information Institute</w:t>
      </w:r>
    </w:p>
    <w:p w:rsidR="5180BDEF" w:rsidP="384F35E2" w:rsidRDefault="5180BDEF" w14:paraId="17DD7500" w14:textId="3C448611">
      <w:r w:rsidR="31C756B5">
        <w:rPr/>
        <w:t>Re Ellenborough Park [1956] Ch 13</w:t>
      </w:r>
    </w:p>
    <w:p w:rsidR="7370B321" w:rsidRDefault="7370B321" w14:paraId="6BF49D19" w14:textId="48C9B19C">
      <w:r w:rsidR="7370B321">
        <w:rPr/>
        <w:t>Wheeldon v Burrows [1879],</w:t>
      </w:r>
    </w:p>
    <w:p w:rsidR="7AF3D475" w:rsidP="384F35E2" w:rsidRDefault="7AF3D475" w14:paraId="3C648FD5" w14:textId="3F4343B6">
      <w:r>
        <w:t xml:space="preserve">Moody v </w:t>
      </w:r>
      <w:proofErr w:type="spellStart"/>
      <w:r>
        <w:t>Steggles</w:t>
      </w:r>
      <w:proofErr w:type="spellEnd"/>
      <w:r>
        <w:t xml:space="preserve"> [1879] 12 Ch D 261</w:t>
      </w:r>
    </w:p>
    <w:p w:rsidR="59D358D3" w:rsidP="384F35E2" w:rsidRDefault="59D358D3" w14:paraId="5BF8E54A" w14:textId="2EE6F3D5">
      <w:r>
        <w:t>Roe v Siddons (1888) 22 Q.B.D. 224</w:t>
      </w:r>
    </w:p>
    <w:p w:rsidR="7A9A12E5" w:rsidP="384F35E2" w:rsidRDefault="7A9A12E5" w14:paraId="476F5563" w14:textId="3B3E86AA">
      <w:r>
        <w:t xml:space="preserve">Donovan v Rana [2014] EWCA </w:t>
      </w:r>
      <w:proofErr w:type="spellStart"/>
      <w:r>
        <w:t>Civ</w:t>
      </w:r>
      <w:proofErr w:type="spellEnd"/>
      <w:r>
        <w:t xml:space="preserve"> 99</w:t>
      </w:r>
    </w:p>
    <w:p w:rsidR="00352E51" w:rsidP="384F35E2" w:rsidRDefault="00352E51" w14:paraId="68C10065" w14:textId="1A81FD95">
      <w:proofErr w:type="spellStart"/>
      <w:r w:rsidRPr="00352E51">
        <w:t>Keppell</w:t>
      </w:r>
      <w:proofErr w:type="spellEnd"/>
      <w:r w:rsidRPr="00352E51">
        <w:t xml:space="preserve"> v Bailey [1834] 39 ER 1042</w:t>
      </w:r>
    </w:p>
    <w:p w:rsidR="2899BAB7" w:rsidP="384F35E2" w:rsidRDefault="2899BAB7" w14:paraId="5EC2B1CD" w14:textId="355D9F16">
      <w:r>
        <w:t xml:space="preserve">Atwood v </w:t>
      </w:r>
      <w:proofErr w:type="spellStart"/>
      <w:r>
        <w:t>Bovis</w:t>
      </w:r>
      <w:proofErr w:type="spellEnd"/>
      <w:r>
        <w:t xml:space="preserve"> Homes Ltd [2001] Ch 379</w:t>
      </w:r>
    </w:p>
    <w:p w:rsidR="431A51E5" w:rsidP="384F35E2" w:rsidRDefault="431A51E5" w14:paraId="40B2F0B6" w14:textId="6EDB3800">
      <w:r>
        <w:t>Crow v Wood [1971] 1 QB 77 (CA)</w:t>
      </w:r>
    </w:p>
    <w:p w:rsidR="30652FF4" w:rsidP="384F35E2" w:rsidRDefault="30652FF4" w14:paraId="5D7431A7" w14:textId="692CA7C5">
      <w:r w:rsidRPr="384F35E2">
        <w:t>Grigsby v Melville [1972] 1 WLR 1355</w:t>
      </w:r>
    </w:p>
    <w:p w:rsidR="16D72C41" w:rsidP="384F35E2" w:rsidRDefault="16D72C41" w14:paraId="2D75F3DD" w14:textId="7A74013E">
      <w:r>
        <w:t>Phipps v Pears [1964]</w:t>
      </w:r>
    </w:p>
    <w:p w:rsidR="07B677C8" w:rsidP="384F35E2" w:rsidRDefault="07B677C8" w14:paraId="39A57480" w14:textId="4ECCA2D1">
      <w:r w:rsidRPr="384F35E2">
        <w:t>Dyce v. Lady James Hay | [1852] UKHL 1</w:t>
      </w:r>
    </w:p>
    <w:p w:rsidR="5FC1451D" w:rsidP="384F35E2" w:rsidRDefault="5FC1451D" w14:paraId="7BC2297D" w14:textId="783B9A53">
      <w:r w:rsidRPr="384F35E2">
        <w:t>Wright v Macadam [1949] KB 744</w:t>
      </w:r>
    </w:p>
    <w:p w:rsidR="6625AEA8" w:rsidP="384F35E2" w:rsidRDefault="6625AEA8" w14:paraId="0B474F96" w14:textId="7EA6E80B">
      <w:r w:rsidR="4120C039">
        <w:rPr/>
        <w:t xml:space="preserve">Miller v </w:t>
      </w:r>
      <w:proofErr w:type="spellStart"/>
      <w:r w:rsidR="4120C039">
        <w:rPr/>
        <w:t>Emcer</w:t>
      </w:r>
      <w:proofErr w:type="spellEnd"/>
      <w:r w:rsidR="4120C039">
        <w:rPr/>
        <w:t xml:space="preserve"> Products [1956] Ch 304</w:t>
      </w:r>
    </w:p>
    <w:p w:rsidR="00F16D19" w:rsidP="00F16D19" w:rsidRDefault="00F16D19" w14:paraId="7E8F4F7A" w14:textId="77777777">
      <w:r w:rsidRPr="00F16D19">
        <w:t>London and Blenheim Estates Ltd v Ladbroke Retail Parks Ltd [1993] 4 All ER 157</w:t>
      </w:r>
    </w:p>
    <w:p w:rsidR="00F16D19" w:rsidP="384F35E2" w:rsidRDefault="00F16D19" w14:paraId="11582BA7" w14:textId="5BA4FF40">
      <w:r w:rsidR="03AC532C">
        <w:rPr/>
        <w:t>Atwood v Bovis Homes Ltd [2001] Ch 379</w:t>
      </w:r>
    </w:p>
    <w:p w:rsidR="00352E51" w:rsidP="1C4AB386" w:rsidRDefault="00352E51" w14:paraId="4CFB77C3" w14:textId="2ABBA68D">
      <w:pPr>
        <w:pStyle w:val="Normal"/>
        <w:rPr>
          <w:i w:val="0"/>
          <w:iCs w:val="0"/>
        </w:rPr>
      </w:pPr>
      <w:r w:rsidRPr="1C4AB386" w:rsidR="3FF5BF74">
        <w:rPr>
          <w:i w:val="0"/>
          <w:iCs w:val="0"/>
        </w:rPr>
        <w:t>Lawrence v Fen Tiger Ltd [2014]</w:t>
      </w:r>
    </w:p>
    <w:p w:rsidR="4A32A236" w:rsidP="1C4AB386" w:rsidRDefault="4A32A236" w14:paraId="3E22AA5C" w14:textId="1467F613">
      <w:pPr>
        <w:pStyle w:val="Normal"/>
        <w:rPr>
          <w:i w:val="1"/>
          <w:iCs w:val="1"/>
        </w:rPr>
      </w:pPr>
      <w:proofErr w:type="spellStart"/>
      <w:r w:rsidRPr="1C4AB386" w:rsidR="4A32A236">
        <w:rPr>
          <w:i w:val="0"/>
          <w:iCs w:val="0"/>
        </w:rPr>
        <w:t>Manjang</w:t>
      </w:r>
      <w:proofErr w:type="spellEnd"/>
      <w:r w:rsidRPr="1C4AB386" w:rsidR="4A32A236">
        <w:rPr>
          <w:i w:val="0"/>
          <w:iCs w:val="0"/>
        </w:rPr>
        <w:t xml:space="preserve"> v Drammeh [1991]</w:t>
      </w:r>
    </w:p>
    <w:p w:rsidR="00352E51" w:rsidP="384F35E2" w:rsidRDefault="00352E51" w14:paraId="188C67B7" w14:textId="77777777"/>
    <w:p w:rsidR="2AEB4825" w:rsidP="384F35E2" w:rsidRDefault="2AEB4825" w14:paraId="28970154" w14:textId="662E47FB">
      <w:r>
        <w:t>References</w:t>
      </w:r>
    </w:p>
    <w:p w:rsidR="2AEB4825" w:rsidP="384F35E2" w:rsidRDefault="2AEB4825" w14:paraId="1167FB47" w14:textId="0F59DA6A">
      <w:r w:rsidR="1BBF28B6">
        <w:rPr/>
        <w:t>Richards, P. (2014) Land law. 1st ed. Harlow, England: Pearson Education Limited.</w:t>
      </w:r>
      <w:r w:rsidR="67E7383E">
        <w:rPr/>
        <w:t xml:space="preserve"> </w:t>
      </w:r>
    </w:p>
    <w:p w:rsidR="384F35E2" w:rsidP="384F35E2" w:rsidRDefault="00162080" w14:paraId="527A8AD9" w14:textId="75DC5367">
      <w:r w:rsidRPr="00162080">
        <w:lastRenderedPageBreak/>
        <w:t xml:space="preserve">Cardwell, M. (2019) “RECREATIONAL EASEMENTS: A RIGHT TO HAVE FUN?,” The Cambridge Law Journal. Cambridge University Press, 78(3), pp. 506–510. </w:t>
      </w:r>
      <w:proofErr w:type="spellStart"/>
      <w:r w:rsidRPr="00162080">
        <w:t>doi</w:t>
      </w:r>
      <w:proofErr w:type="spellEnd"/>
      <w:r w:rsidRPr="00162080">
        <w:t>: 10.1017/S0008197319000850</w:t>
      </w:r>
      <w:r w:rsidR="00003E05">
        <w:t xml:space="preserve"> </w:t>
      </w:r>
    </w:p>
    <w:p w:rsidR="0B18E198" w:rsidP="384F35E2" w:rsidRDefault="0B18E198" w14:paraId="2AF87276" w14:textId="7FCF3CC5">
      <w:r>
        <w:t>Davys, M. (2019) Land Law, Eleventh Edition</w:t>
      </w:r>
      <w:r w:rsidR="117F77FC">
        <w:t>. Macmillan Law Masters. Pages 147-</w:t>
      </w:r>
      <w:r w:rsidR="29103962">
        <w:t xml:space="preserve">175. </w:t>
      </w:r>
    </w:p>
    <w:p w:rsidR="58BF8E24" w:rsidP="384F35E2" w:rsidRDefault="58BF8E24" w14:paraId="6D9F8ACB" w14:textId="470ACE1E">
      <w:r w:rsidR="20E4980F">
        <w:rPr/>
        <w:t>Lawcom.gov.uk. 2008. Appendix A [online] Available at: &lt;http://www.lawcom.gov.uk/app/uploads/2015/03/cp186_Easements_Covenants_and_Profits_a_Prendre_Consultation.pdf&gt; [Accessed 30 October 2021].</w:t>
      </w:r>
    </w:p>
    <w:p w:rsidR="00A5D352" w:rsidP="1C4AB386" w:rsidRDefault="00A5D352" w14:paraId="758EBD99" w14:textId="6C8EDF55">
      <w:pPr>
        <w:pStyle w:val="Normal"/>
      </w:pPr>
      <w:r w:rsidR="00A5D352">
        <w:rPr/>
        <w:t>George, M &amp;</w:t>
      </w:r>
      <w:r w:rsidR="630B9C0C">
        <w:rPr/>
        <w:t xml:space="preserve"> </w:t>
      </w:r>
      <w:r w:rsidR="72196479">
        <w:rPr/>
        <w:t>Layard</w:t>
      </w:r>
      <w:r w:rsidR="72390E4A">
        <w:rPr/>
        <w:t>, A</w:t>
      </w:r>
      <w:r w:rsidR="72196479">
        <w:rPr/>
        <w:t xml:space="preserve"> (</w:t>
      </w:r>
      <w:r w:rsidR="630B9C0C">
        <w:rPr/>
        <w:t xml:space="preserve">2019), Thompson's Modern Land Law, </w:t>
      </w:r>
      <w:r w:rsidR="656BE182">
        <w:rPr/>
        <w:t>Seventh Edition ISBN: 9780198828020</w:t>
      </w:r>
      <w:r w:rsidR="2A775D18">
        <w:rPr/>
        <w:t xml:space="preserve"> [online] Available at: &lt; https://oxforduniversitypress.app.box.com/v/he-9780198828020 </w:t>
      </w:r>
      <w:r w:rsidR="2A775D18">
        <w:rPr/>
        <w:t>&gt; [Accessed 1 November 2021].</w:t>
      </w:r>
    </w:p>
    <w:p w:rsidR="384F35E2" w:rsidP="384F35E2" w:rsidRDefault="384F35E2" w14:paraId="4898055C" w14:textId="338C27FB">
      <w:r w:rsidR="4D861FEB">
        <w:rPr/>
        <w:t xml:space="preserve">Oxbridgenotes.co.uk. 2020. Miller v </w:t>
      </w:r>
      <w:proofErr w:type="spellStart"/>
      <w:r w:rsidR="4D861FEB">
        <w:rPr/>
        <w:t>Emcer</w:t>
      </w:r>
      <w:proofErr w:type="spellEnd"/>
      <w:r w:rsidR="4D861FEB">
        <w:rPr/>
        <w:t xml:space="preserve"> Products [1956] Ch 304. [online] Available at: &lt;https://www.oxbridgenotes.co.</w:t>
      </w:r>
      <w:proofErr w:type="spellStart"/>
      <w:r w:rsidR="4D861FEB">
        <w:rPr/>
        <w:t>uk</w:t>
      </w:r>
      <w:proofErr w:type="spellEnd"/>
      <w:r w:rsidR="4D861FEB">
        <w:rPr/>
        <w:t>/</w:t>
      </w:r>
      <w:proofErr w:type="spellStart"/>
      <w:r w:rsidR="4D861FEB">
        <w:rPr/>
        <w:t>law_cases</w:t>
      </w:r>
      <w:proofErr w:type="spellEnd"/>
      <w:r w:rsidR="4D861FEB">
        <w:rPr/>
        <w:t>/miller-v-</w:t>
      </w:r>
      <w:proofErr w:type="spellStart"/>
      <w:r w:rsidR="4D861FEB">
        <w:rPr/>
        <w:t>emcer</w:t>
      </w:r>
      <w:proofErr w:type="spellEnd"/>
      <w:r w:rsidR="4D861FEB">
        <w:rPr/>
        <w:t>-products&gt; [Accessed 3 November 2021].</w:t>
      </w:r>
    </w:p>
    <w:p w:rsidR="614D6A94" w:rsidP="1C4AB386" w:rsidRDefault="614D6A94" w14:paraId="38B301FE" w14:textId="6E24A2EC">
      <w:pPr>
        <w:pStyle w:val="Normal"/>
      </w:pPr>
      <w:r w:rsidR="614D6A94">
        <w:rPr/>
        <w:t>Simple Studying. 2020. Moody v Steggles [1879] 12 Ch D 261 - Simple Studying. [online] Available at: &lt;https://simplestudying.com/moody-v-steggles-1879-12-ch-d-261/&gt; [Accessed 3 November 2021].</w:t>
      </w:r>
    </w:p>
    <w:p w:rsidR="00003E05" w:rsidP="00003E05" w:rsidRDefault="00003E05" w14:paraId="3C54B9A7" w14:textId="6975E8D6">
      <w:r w:rsidRPr="00003E05">
        <w:t xml:space="preserve">Anstey, J. (1983), "Easements on site", Structural Survey, Vol. 1 No. 3, pp. 250-253. </w:t>
      </w:r>
      <w:hyperlink w:history="1" r:id="rId6">
        <w:r w:rsidRPr="00CE3C86">
          <w:rPr>
            <w:rStyle w:val="Hyperlink"/>
          </w:rPr>
          <w:t>https://doi.org/10.1108/eb006161</w:t>
        </w:r>
      </w:hyperlink>
    </w:p>
    <w:p w:rsidRPr="00003E05" w:rsidR="00003E05" w:rsidP="00003E05" w:rsidRDefault="00003E05" w14:paraId="05E73450" w14:textId="7E559BA3">
      <w:r w:rsidR="518EE4F0">
        <w:rPr/>
        <w:t xml:space="preserve">Gardner [2016] ‘The grant of an easement under the Law of Property Act 1925 section 62’ 132 </w:t>
      </w:r>
      <w:r w:rsidR="30E15789">
        <w:rPr/>
        <w:t>LQR pp. 192-196</w:t>
      </w:r>
    </w:p>
    <w:p w:rsidR="7FB179D4" w:rsidP="1C4AB386" w:rsidRDefault="7FB179D4" w14:paraId="02B2661D" w14:textId="06EA82CC">
      <w:pPr>
        <w:pStyle w:val="Normal"/>
      </w:pPr>
      <w:r w:rsidR="7FB179D4">
        <w:rPr/>
        <w:t xml:space="preserve">Webstroke.co.uk. 2018. Wright v Macadam [1949] – </w:t>
      </w:r>
      <w:proofErr w:type="spellStart"/>
      <w:r w:rsidR="7FB179D4">
        <w:rPr/>
        <w:t>Webstroke</w:t>
      </w:r>
      <w:proofErr w:type="spellEnd"/>
      <w:r w:rsidR="7FB179D4">
        <w:rPr/>
        <w:t xml:space="preserve"> Law. [online] Available at: &lt;https://webstroke.co.uk/law/wright-v-macadam-1949&gt; [Accessed 1 November 2021].</w:t>
      </w:r>
    </w:p>
    <w:p w:rsidR="1D964057" w:rsidP="1C4AB386" w:rsidRDefault="1D964057" w14:paraId="66D83A58" w14:textId="70A5A8CC">
      <w:pPr>
        <w:pStyle w:val="Normal"/>
      </w:pPr>
      <w:r w:rsidR="1D964057">
        <w:rPr/>
        <w:t>Lawcom.gov.uk. 2011. [online] Available at: &lt;http://www.lawcom.gov.uk/app/uploads/2015/03/lc327_easements_report.pdf&gt; [Accessed 4 November 2021].</w:t>
      </w:r>
    </w:p>
    <w:p w:rsidR="4AF91C1D" w:rsidP="1C4AB386" w:rsidRDefault="4AF91C1D" w14:paraId="34DE6AC7" w14:textId="1346AE56">
      <w:pPr>
        <w:pStyle w:val="Normal"/>
      </w:pPr>
      <w:proofErr w:type="spellStart"/>
      <w:r w:rsidR="4AF91C1D">
        <w:rPr/>
        <w:t>Sturley</w:t>
      </w:r>
      <w:proofErr w:type="spellEnd"/>
      <w:r w:rsidR="4AF91C1D">
        <w:rPr/>
        <w:t>, M., [1980]. Easements in gross. (1980 edition) | Open Library. [online] Open Library. Available at: &lt;https://openlibrary.org/books/OL14799436M/Easements_in_gross.#work-details&gt; [Accessed 4 November 2021].</w:t>
      </w:r>
    </w:p>
    <w:p w:rsidR="3023BB77" w:rsidP="1C4AB386" w:rsidRDefault="3023BB77" w14:paraId="15C46799" w14:textId="09DE9750">
      <w:pPr>
        <w:pStyle w:val="Normal"/>
      </w:pPr>
      <w:r w:rsidR="3023BB77">
        <w:rPr/>
        <w:t>McFarlane, B &amp; Hopkins, N (2018). Land Law, Text, Cases and Materials. Oxf</w:t>
      </w:r>
      <w:r w:rsidR="45996E80">
        <w:rPr/>
        <w:t xml:space="preserve">ord. Fourth Edition. Pages </w:t>
      </w:r>
      <w:r w:rsidR="4E1B1341">
        <w:rPr/>
        <w:t>885-935</w:t>
      </w:r>
    </w:p>
    <w:sectPr w:rsidRPr="00003E05" w:rsidR="00003E0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DCFCB2"/>
    <w:rsid w:val="00003E05"/>
    <w:rsid w:val="0004128C"/>
    <w:rsid w:val="000716AA"/>
    <w:rsid w:val="000D1FBE"/>
    <w:rsid w:val="00162080"/>
    <w:rsid w:val="00302AB6"/>
    <w:rsid w:val="00325D46"/>
    <w:rsid w:val="00352E51"/>
    <w:rsid w:val="0041526A"/>
    <w:rsid w:val="00470ED9"/>
    <w:rsid w:val="004A54A4"/>
    <w:rsid w:val="00509552"/>
    <w:rsid w:val="0055AC41"/>
    <w:rsid w:val="005C3D42"/>
    <w:rsid w:val="00617568"/>
    <w:rsid w:val="0062732C"/>
    <w:rsid w:val="007CDA26"/>
    <w:rsid w:val="00802927"/>
    <w:rsid w:val="008C70C6"/>
    <w:rsid w:val="009F6173"/>
    <w:rsid w:val="00A03654"/>
    <w:rsid w:val="00A5D352"/>
    <w:rsid w:val="00C18594"/>
    <w:rsid w:val="00C22653"/>
    <w:rsid w:val="00CC3298"/>
    <w:rsid w:val="00DA69CF"/>
    <w:rsid w:val="00F16D19"/>
    <w:rsid w:val="00F56A12"/>
    <w:rsid w:val="00FB15AA"/>
    <w:rsid w:val="0123A03E"/>
    <w:rsid w:val="012C5560"/>
    <w:rsid w:val="01474850"/>
    <w:rsid w:val="0188A5EF"/>
    <w:rsid w:val="01A7D260"/>
    <w:rsid w:val="01BFF012"/>
    <w:rsid w:val="01DA37A6"/>
    <w:rsid w:val="01DF4E29"/>
    <w:rsid w:val="023B31D4"/>
    <w:rsid w:val="023C06B5"/>
    <w:rsid w:val="0240789E"/>
    <w:rsid w:val="02B0B5D9"/>
    <w:rsid w:val="02DFF85D"/>
    <w:rsid w:val="03AC532C"/>
    <w:rsid w:val="03C41188"/>
    <w:rsid w:val="040FA99B"/>
    <w:rsid w:val="043AF0F3"/>
    <w:rsid w:val="0463F622"/>
    <w:rsid w:val="04D716CF"/>
    <w:rsid w:val="04DD50E2"/>
    <w:rsid w:val="0516EEEB"/>
    <w:rsid w:val="051C3C29"/>
    <w:rsid w:val="0528CF1D"/>
    <w:rsid w:val="0537B19B"/>
    <w:rsid w:val="0553BDDF"/>
    <w:rsid w:val="05616C08"/>
    <w:rsid w:val="05B3A638"/>
    <w:rsid w:val="05E35122"/>
    <w:rsid w:val="062151CB"/>
    <w:rsid w:val="068D24AF"/>
    <w:rsid w:val="07224DCD"/>
    <w:rsid w:val="07497A9D"/>
    <w:rsid w:val="074F7699"/>
    <w:rsid w:val="077F2183"/>
    <w:rsid w:val="07B677C8"/>
    <w:rsid w:val="07C26389"/>
    <w:rsid w:val="0809F37C"/>
    <w:rsid w:val="084E8FAD"/>
    <w:rsid w:val="08982C7A"/>
    <w:rsid w:val="08D4564B"/>
    <w:rsid w:val="08F59BC3"/>
    <w:rsid w:val="0928F090"/>
    <w:rsid w:val="09C3C6D7"/>
    <w:rsid w:val="09C9CFB1"/>
    <w:rsid w:val="09D3F539"/>
    <w:rsid w:val="09EA600E"/>
    <w:rsid w:val="0A185D32"/>
    <w:rsid w:val="0A332606"/>
    <w:rsid w:val="0A34DD2B"/>
    <w:rsid w:val="0B18E198"/>
    <w:rsid w:val="0B6D8C81"/>
    <w:rsid w:val="0B792CEE"/>
    <w:rsid w:val="0BB42D93"/>
    <w:rsid w:val="0BF2FD64"/>
    <w:rsid w:val="0C1CE086"/>
    <w:rsid w:val="0C358A73"/>
    <w:rsid w:val="0CB7CD2B"/>
    <w:rsid w:val="0D0B95FB"/>
    <w:rsid w:val="0D1B06EC"/>
    <w:rsid w:val="0D223A46"/>
    <w:rsid w:val="0D4FFDF4"/>
    <w:rsid w:val="0D8FA60A"/>
    <w:rsid w:val="0DC43404"/>
    <w:rsid w:val="0DE7D8D6"/>
    <w:rsid w:val="0E42F327"/>
    <w:rsid w:val="0E4DCF19"/>
    <w:rsid w:val="0E765FB8"/>
    <w:rsid w:val="0EBE0AA7"/>
    <w:rsid w:val="0ECB3952"/>
    <w:rsid w:val="0ECF72CA"/>
    <w:rsid w:val="0F22B0A0"/>
    <w:rsid w:val="0F2A5F7B"/>
    <w:rsid w:val="0F40FDCD"/>
    <w:rsid w:val="0F48DB3B"/>
    <w:rsid w:val="0F86E6A5"/>
    <w:rsid w:val="0F8B6DBF"/>
    <w:rsid w:val="0FA29F6E"/>
    <w:rsid w:val="0FFB85C9"/>
    <w:rsid w:val="10058DE5"/>
    <w:rsid w:val="10119268"/>
    <w:rsid w:val="10306615"/>
    <w:rsid w:val="1044A171"/>
    <w:rsid w:val="105C21B1"/>
    <w:rsid w:val="106B432B"/>
    <w:rsid w:val="1079D765"/>
    <w:rsid w:val="10879EB6"/>
    <w:rsid w:val="10D11612"/>
    <w:rsid w:val="10E71B6F"/>
    <w:rsid w:val="10F13A7F"/>
    <w:rsid w:val="117F77FC"/>
    <w:rsid w:val="11A2109A"/>
    <w:rsid w:val="11A3554F"/>
    <w:rsid w:val="11B27AE2"/>
    <w:rsid w:val="11F5AB69"/>
    <w:rsid w:val="12131D45"/>
    <w:rsid w:val="121809A2"/>
    <w:rsid w:val="122341CC"/>
    <w:rsid w:val="12621034"/>
    <w:rsid w:val="12751067"/>
    <w:rsid w:val="12852D0A"/>
    <w:rsid w:val="12C31839"/>
    <w:rsid w:val="12DC2A7C"/>
    <w:rsid w:val="131E0046"/>
    <w:rsid w:val="1359710A"/>
    <w:rsid w:val="1385A638"/>
    <w:rsid w:val="138E66AA"/>
    <w:rsid w:val="13917BCA"/>
    <w:rsid w:val="13B3AF85"/>
    <w:rsid w:val="13F51385"/>
    <w:rsid w:val="13F5E866"/>
    <w:rsid w:val="13F621C3"/>
    <w:rsid w:val="142F5C24"/>
    <w:rsid w:val="145EE89A"/>
    <w:rsid w:val="1485D0B0"/>
    <w:rsid w:val="14954730"/>
    <w:rsid w:val="149565D4"/>
    <w:rsid w:val="14BFD6AB"/>
    <w:rsid w:val="15198E49"/>
    <w:rsid w:val="157F7D58"/>
    <w:rsid w:val="15DC6CB9"/>
    <w:rsid w:val="160675CA"/>
    <w:rsid w:val="16155CBC"/>
    <w:rsid w:val="163707B8"/>
    <w:rsid w:val="16500B92"/>
    <w:rsid w:val="167D7454"/>
    <w:rsid w:val="16D5F5A1"/>
    <w:rsid w:val="16D72C41"/>
    <w:rsid w:val="16F39820"/>
    <w:rsid w:val="171D5C17"/>
    <w:rsid w:val="176CB414"/>
    <w:rsid w:val="17AE53FB"/>
    <w:rsid w:val="17AF9B9F"/>
    <w:rsid w:val="17B05277"/>
    <w:rsid w:val="17B9A834"/>
    <w:rsid w:val="17CFAEEF"/>
    <w:rsid w:val="17FF93EB"/>
    <w:rsid w:val="18112C2F"/>
    <w:rsid w:val="187BF0D2"/>
    <w:rsid w:val="1895DBE6"/>
    <w:rsid w:val="18C756C4"/>
    <w:rsid w:val="18D95BE4"/>
    <w:rsid w:val="191FE436"/>
    <w:rsid w:val="19420B95"/>
    <w:rsid w:val="1958AFE0"/>
    <w:rsid w:val="1981039F"/>
    <w:rsid w:val="19976F94"/>
    <w:rsid w:val="19FCBD9E"/>
    <w:rsid w:val="1A2A521C"/>
    <w:rsid w:val="1A31AC47"/>
    <w:rsid w:val="1A752C45"/>
    <w:rsid w:val="1AD54353"/>
    <w:rsid w:val="1AD74DB4"/>
    <w:rsid w:val="1ADEC904"/>
    <w:rsid w:val="1B044427"/>
    <w:rsid w:val="1B1CD400"/>
    <w:rsid w:val="1B333FF5"/>
    <w:rsid w:val="1B4034CB"/>
    <w:rsid w:val="1BBEC16A"/>
    <w:rsid w:val="1BBF28B6"/>
    <w:rsid w:val="1BC6227D"/>
    <w:rsid w:val="1BCD7CA8"/>
    <w:rsid w:val="1C10FCA6"/>
    <w:rsid w:val="1C2C02C9"/>
    <w:rsid w:val="1C2F8C7C"/>
    <w:rsid w:val="1C4AB386"/>
    <w:rsid w:val="1C8D1957"/>
    <w:rsid w:val="1CA01488"/>
    <w:rsid w:val="1CD184E1"/>
    <w:rsid w:val="1CE47F45"/>
    <w:rsid w:val="1D5A91CB"/>
    <w:rsid w:val="1D964057"/>
    <w:rsid w:val="1DCED353"/>
    <w:rsid w:val="1DD68D30"/>
    <w:rsid w:val="1DEF6C24"/>
    <w:rsid w:val="1E3AE002"/>
    <w:rsid w:val="1E6AE0B7"/>
    <w:rsid w:val="1EF6622C"/>
    <w:rsid w:val="1F16DA30"/>
    <w:rsid w:val="1F1C89F7"/>
    <w:rsid w:val="1F380F39"/>
    <w:rsid w:val="1F40C1F0"/>
    <w:rsid w:val="1F9AB4E2"/>
    <w:rsid w:val="1FB90F55"/>
    <w:rsid w:val="1FE903EE"/>
    <w:rsid w:val="1FF90CAE"/>
    <w:rsid w:val="2022365A"/>
    <w:rsid w:val="20E4980F"/>
    <w:rsid w:val="20FA6DFD"/>
    <w:rsid w:val="21089C23"/>
    <w:rsid w:val="2147F224"/>
    <w:rsid w:val="215309D0"/>
    <w:rsid w:val="218C908D"/>
    <w:rsid w:val="21B31FB2"/>
    <w:rsid w:val="21CF5D1C"/>
    <w:rsid w:val="21E6A3D3"/>
    <w:rsid w:val="220251D0"/>
    <w:rsid w:val="2216C229"/>
    <w:rsid w:val="2225647C"/>
    <w:rsid w:val="226FAFFB"/>
    <w:rsid w:val="227862B2"/>
    <w:rsid w:val="22803E2A"/>
    <w:rsid w:val="22BF9365"/>
    <w:rsid w:val="22C2DD47"/>
    <w:rsid w:val="22FA3BCC"/>
    <w:rsid w:val="230C8DBB"/>
    <w:rsid w:val="231B236A"/>
    <w:rsid w:val="2329686F"/>
    <w:rsid w:val="2369B4AB"/>
    <w:rsid w:val="236F9479"/>
    <w:rsid w:val="23C3B792"/>
    <w:rsid w:val="23F64D69"/>
    <w:rsid w:val="240DCEDC"/>
    <w:rsid w:val="249FF60E"/>
    <w:rsid w:val="24CF8B81"/>
    <w:rsid w:val="24F5F682"/>
    <w:rsid w:val="253C67FE"/>
    <w:rsid w:val="25A104FE"/>
    <w:rsid w:val="2606A35B"/>
    <w:rsid w:val="261DAC5F"/>
    <w:rsid w:val="264D9BB6"/>
    <w:rsid w:val="2651123C"/>
    <w:rsid w:val="2668C16B"/>
    <w:rsid w:val="26792FB7"/>
    <w:rsid w:val="26F895FF"/>
    <w:rsid w:val="273AB9C1"/>
    <w:rsid w:val="27964E6A"/>
    <w:rsid w:val="27CE763D"/>
    <w:rsid w:val="27D47169"/>
    <w:rsid w:val="28092518"/>
    <w:rsid w:val="280B80A1"/>
    <w:rsid w:val="283115F6"/>
    <w:rsid w:val="2844AEA4"/>
    <w:rsid w:val="2899BAB7"/>
    <w:rsid w:val="28A888F9"/>
    <w:rsid w:val="28BBE13D"/>
    <w:rsid w:val="28C7A479"/>
    <w:rsid w:val="28E0CF6D"/>
    <w:rsid w:val="29103962"/>
    <w:rsid w:val="29321ECB"/>
    <w:rsid w:val="29324A82"/>
    <w:rsid w:val="293416B5"/>
    <w:rsid w:val="29A3292A"/>
    <w:rsid w:val="29CEB7CD"/>
    <w:rsid w:val="2A4C6690"/>
    <w:rsid w:val="2A5AB019"/>
    <w:rsid w:val="2A775D18"/>
    <w:rsid w:val="2A8EB0AA"/>
    <w:rsid w:val="2AB01F5B"/>
    <w:rsid w:val="2AD5AC0D"/>
    <w:rsid w:val="2AEB4825"/>
    <w:rsid w:val="2B1F1DD1"/>
    <w:rsid w:val="2B432163"/>
    <w:rsid w:val="2B51CBA4"/>
    <w:rsid w:val="2B5E0F2D"/>
    <w:rsid w:val="2B68B6B8"/>
    <w:rsid w:val="2B72B492"/>
    <w:rsid w:val="2BBB8BCE"/>
    <w:rsid w:val="2BC90617"/>
    <w:rsid w:val="2C0A2B8F"/>
    <w:rsid w:val="2C2549BD"/>
    <w:rsid w:val="2C4526E3"/>
    <w:rsid w:val="2C46E9C2"/>
    <w:rsid w:val="2CDEF1C4"/>
    <w:rsid w:val="2CDF7D3C"/>
    <w:rsid w:val="2D3B1279"/>
    <w:rsid w:val="2D66ABEB"/>
    <w:rsid w:val="2D816296"/>
    <w:rsid w:val="2D955BD7"/>
    <w:rsid w:val="2DBFCEB6"/>
    <w:rsid w:val="2E125D28"/>
    <w:rsid w:val="2E291C70"/>
    <w:rsid w:val="2E4B502B"/>
    <w:rsid w:val="2E52B13E"/>
    <w:rsid w:val="2E712F2F"/>
    <w:rsid w:val="2E7AC225"/>
    <w:rsid w:val="2E95AFEF"/>
    <w:rsid w:val="2EDB0F5F"/>
    <w:rsid w:val="2EE14BF8"/>
    <w:rsid w:val="2EE422E2"/>
    <w:rsid w:val="2EF68940"/>
    <w:rsid w:val="2F76CFC6"/>
    <w:rsid w:val="2F996864"/>
    <w:rsid w:val="3023BB77"/>
    <w:rsid w:val="302B8AE6"/>
    <w:rsid w:val="302C8B33"/>
    <w:rsid w:val="30652FF4"/>
    <w:rsid w:val="30BF582F"/>
    <w:rsid w:val="30D902B0"/>
    <w:rsid w:val="30E15789"/>
    <w:rsid w:val="30F76F78"/>
    <w:rsid w:val="311A2800"/>
    <w:rsid w:val="312764CC"/>
    <w:rsid w:val="318C1F65"/>
    <w:rsid w:val="31B262E7"/>
    <w:rsid w:val="31B2EE5F"/>
    <w:rsid w:val="31C756B5"/>
    <w:rsid w:val="320E440A"/>
    <w:rsid w:val="323EC8E8"/>
    <w:rsid w:val="32577875"/>
    <w:rsid w:val="32736F86"/>
    <w:rsid w:val="327D8198"/>
    <w:rsid w:val="32BD681D"/>
    <w:rsid w:val="33322343"/>
    <w:rsid w:val="33408863"/>
    <w:rsid w:val="334E3348"/>
    <w:rsid w:val="33646AED"/>
    <w:rsid w:val="33692112"/>
    <w:rsid w:val="33695800"/>
    <w:rsid w:val="3369F5F3"/>
    <w:rsid w:val="3383ACBC"/>
    <w:rsid w:val="33902206"/>
    <w:rsid w:val="33D4A554"/>
    <w:rsid w:val="33E3184B"/>
    <w:rsid w:val="33F41D57"/>
    <w:rsid w:val="343BE9D2"/>
    <w:rsid w:val="34CE840B"/>
    <w:rsid w:val="35057430"/>
    <w:rsid w:val="354E8CD6"/>
    <w:rsid w:val="355BCB20"/>
    <w:rsid w:val="3592C952"/>
    <w:rsid w:val="35B032B8"/>
    <w:rsid w:val="3622420E"/>
    <w:rsid w:val="364416A1"/>
    <w:rsid w:val="36865F82"/>
    <w:rsid w:val="368676D6"/>
    <w:rsid w:val="36A89D4C"/>
    <w:rsid w:val="36EF7472"/>
    <w:rsid w:val="3701E529"/>
    <w:rsid w:val="37587615"/>
    <w:rsid w:val="376FC1DF"/>
    <w:rsid w:val="37D0B8E2"/>
    <w:rsid w:val="3803E860"/>
    <w:rsid w:val="384F35E2"/>
    <w:rsid w:val="38718239"/>
    <w:rsid w:val="38A9BA5F"/>
    <w:rsid w:val="38AA5FD6"/>
    <w:rsid w:val="38ACAEFA"/>
    <w:rsid w:val="38D85CFA"/>
    <w:rsid w:val="3922C09F"/>
    <w:rsid w:val="3923FE81"/>
    <w:rsid w:val="39C6F4BC"/>
    <w:rsid w:val="3A3FA70E"/>
    <w:rsid w:val="3A487980"/>
    <w:rsid w:val="3AB64388"/>
    <w:rsid w:val="3ADADB42"/>
    <w:rsid w:val="3AED8451"/>
    <w:rsid w:val="3B0342B5"/>
    <w:rsid w:val="3B163569"/>
    <w:rsid w:val="3B24284F"/>
    <w:rsid w:val="3B388E71"/>
    <w:rsid w:val="3B3A5A68"/>
    <w:rsid w:val="3B732040"/>
    <w:rsid w:val="3BB4E73B"/>
    <w:rsid w:val="3BC86E68"/>
    <w:rsid w:val="3BDF92CA"/>
    <w:rsid w:val="3D4A7CB9"/>
    <w:rsid w:val="3D5A7DED"/>
    <w:rsid w:val="3D5DADD9"/>
    <w:rsid w:val="3D65756E"/>
    <w:rsid w:val="3D671DEA"/>
    <w:rsid w:val="3D84DFD5"/>
    <w:rsid w:val="3D920CAC"/>
    <w:rsid w:val="3DA218A2"/>
    <w:rsid w:val="3E309B0E"/>
    <w:rsid w:val="3E3AE377"/>
    <w:rsid w:val="3EB4F616"/>
    <w:rsid w:val="3ED599A0"/>
    <w:rsid w:val="3EF64E4E"/>
    <w:rsid w:val="3F3B82A6"/>
    <w:rsid w:val="3F469199"/>
    <w:rsid w:val="3F4A5F9D"/>
    <w:rsid w:val="3F59CBC2"/>
    <w:rsid w:val="3F79A689"/>
    <w:rsid w:val="3FC6B4E6"/>
    <w:rsid w:val="3FD6B3D8"/>
    <w:rsid w:val="3FF5BF74"/>
    <w:rsid w:val="40170EDC"/>
    <w:rsid w:val="402B01C0"/>
    <w:rsid w:val="403C3F4E"/>
    <w:rsid w:val="406E4EB4"/>
    <w:rsid w:val="40D9B964"/>
    <w:rsid w:val="40E62FFE"/>
    <w:rsid w:val="41037E4C"/>
    <w:rsid w:val="4120C039"/>
    <w:rsid w:val="419036A5"/>
    <w:rsid w:val="4196AD69"/>
    <w:rsid w:val="4230C6CA"/>
    <w:rsid w:val="4231B134"/>
    <w:rsid w:val="42654D95"/>
    <w:rsid w:val="427589C5"/>
    <w:rsid w:val="42AFDF37"/>
    <w:rsid w:val="42C4D80E"/>
    <w:rsid w:val="42DC61EA"/>
    <w:rsid w:val="42E3C0BD"/>
    <w:rsid w:val="431A51E5"/>
    <w:rsid w:val="432C0706"/>
    <w:rsid w:val="436DF7F7"/>
    <w:rsid w:val="438703AE"/>
    <w:rsid w:val="43934834"/>
    <w:rsid w:val="43934FD0"/>
    <w:rsid w:val="43BC6641"/>
    <w:rsid w:val="43C33971"/>
    <w:rsid w:val="43C8B0E4"/>
    <w:rsid w:val="43CDB44E"/>
    <w:rsid w:val="44011DF6"/>
    <w:rsid w:val="4448F9C4"/>
    <w:rsid w:val="446A875F"/>
    <w:rsid w:val="447E1DAB"/>
    <w:rsid w:val="4484AB6A"/>
    <w:rsid w:val="44AA24FB"/>
    <w:rsid w:val="44EDEB96"/>
    <w:rsid w:val="44F55BBB"/>
    <w:rsid w:val="4535048A"/>
    <w:rsid w:val="455F55D9"/>
    <w:rsid w:val="45996E80"/>
    <w:rsid w:val="45DCFCB2"/>
    <w:rsid w:val="467BD473"/>
    <w:rsid w:val="472683CB"/>
    <w:rsid w:val="4738BEB8"/>
    <w:rsid w:val="475BFA1C"/>
    <w:rsid w:val="478E9F27"/>
    <w:rsid w:val="47996DBA"/>
    <w:rsid w:val="4847AB0C"/>
    <w:rsid w:val="485079DD"/>
    <w:rsid w:val="48959B30"/>
    <w:rsid w:val="489AEC65"/>
    <w:rsid w:val="48B55F39"/>
    <w:rsid w:val="48E55170"/>
    <w:rsid w:val="48EBFBA6"/>
    <w:rsid w:val="491E1766"/>
    <w:rsid w:val="493B3A3C"/>
    <w:rsid w:val="49650E4A"/>
    <w:rsid w:val="496E43EE"/>
    <w:rsid w:val="49B2E398"/>
    <w:rsid w:val="49CB9B49"/>
    <w:rsid w:val="4A32A236"/>
    <w:rsid w:val="4A67EC1D"/>
    <w:rsid w:val="4A6C456B"/>
    <w:rsid w:val="4A9D6119"/>
    <w:rsid w:val="4AC02532"/>
    <w:rsid w:val="4AF91C1D"/>
    <w:rsid w:val="4B0D4F04"/>
    <w:rsid w:val="4B20CE14"/>
    <w:rsid w:val="4B4F4596"/>
    <w:rsid w:val="4B619E6F"/>
    <w:rsid w:val="4B89B7CD"/>
    <w:rsid w:val="4BB01FF3"/>
    <w:rsid w:val="4BC364C7"/>
    <w:rsid w:val="4BCA04FC"/>
    <w:rsid w:val="4BFCF15F"/>
    <w:rsid w:val="4C03BC7E"/>
    <w:rsid w:val="4C06F3C9"/>
    <w:rsid w:val="4C2937A1"/>
    <w:rsid w:val="4CD614FA"/>
    <w:rsid w:val="4CE8D7D3"/>
    <w:rsid w:val="4CE8E980"/>
    <w:rsid w:val="4D21A541"/>
    <w:rsid w:val="4D27BDCA"/>
    <w:rsid w:val="4D43586E"/>
    <w:rsid w:val="4D79B174"/>
    <w:rsid w:val="4D861FEB"/>
    <w:rsid w:val="4D9A9126"/>
    <w:rsid w:val="4DA2C42A"/>
    <w:rsid w:val="4DC4B143"/>
    <w:rsid w:val="4DCCA08C"/>
    <w:rsid w:val="4DD501DB"/>
    <w:rsid w:val="4DF403D0"/>
    <w:rsid w:val="4E00F8A6"/>
    <w:rsid w:val="4E08AF3E"/>
    <w:rsid w:val="4E1AB8A3"/>
    <w:rsid w:val="4E1B1341"/>
    <w:rsid w:val="4E52E0D7"/>
    <w:rsid w:val="4E588715"/>
    <w:rsid w:val="4E6ABD2A"/>
    <w:rsid w:val="4E7C21DA"/>
    <w:rsid w:val="4E82E0D5"/>
    <w:rsid w:val="4EF37572"/>
    <w:rsid w:val="4F07ED20"/>
    <w:rsid w:val="4F0C0AFD"/>
    <w:rsid w:val="4F1115BC"/>
    <w:rsid w:val="4F25B0D9"/>
    <w:rsid w:val="4F3E948B"/>
    <w:rsid w:val="4F88B192"/>
    <w:rsid w:val="507710A5"/>
    <w:rsid w:val="50827219"/>
    <w:rsid w:val="5112BD5B"/>
    <w:rsid w:val="51241E5D"/>
    <w:rsid w:val="5180BDEF"/>
    <w:rsid w:val="518EE4F0"/>
    <w:rsid w:val="51D4F233"/>
    <w:rsid w:val="5276354D"/>
    <w:rsid w:val="52842833"/>
    <w:rsid w:val="52A011AF"/>
    <w:rsid w:val="52AA24D0"/>
    <w:rsid w:val="52C6C485"/>
    <w:rsid w:val="52FE701D"/>
    <w:rsid w:val="5315BA78"/>
    <w:rsid w:val="532B9229"/>
    <w:rsid w:val="536CEF7E"/>
    <w:rsid w:val="537D184F"/>
    <w:rsid w:val="53D8992D"/>
    <w:rsid w:val="545EC865"/>
    <w:rsid w:val="546B9897"/>
    <w:rsid w:val="5477F0C2"/>
    <w:rsid w:val="54E53480"/>
    <w:rsid w:val="550CC299"/>
    <w:rsid w:val="55EEFE3B"/>
    <w:rsid w:val="55FB402A"/>
    <w:rsid w:val="56229541"/>
    <w:rsid w:val="563F02D5"/>
    <w:rsid w:val="56C53FDA"/>
    <w:rsid w:val="56C870FB"/>
    <w:rsid w:val="56F5219D"/>
    <w:rsid w:val="572A293C"/>
    <w:rsid w:val="5742FE05"/>
    <w:rsid w:val="57579956"/>
    <w:rsid w:val="57728F30"/>
    <w:rsid w:val="57A7A3FE"/>
    <w:rsid w:val="57AF9184"/>
    <w:rsid w:val="57DF1E89"/>
    <w:rsid w:val="58296930"/>
    <w:rsid w:val="58B175C7"/>
    <w:rsid w:val="58BF8E24"/>
    <w:rsid w:val="58CAB9D1"/>
    <w:rsid w:val="590E5F91"/>
    <w:rsid w:val="5943745F"/>
    <w:rsid w:val="5956CD67"/>
    <w:rsid w:val="595A179E"/>
    <w:rsid w:val="59A7CB81"/>
    <w:rsid w:val="59D358D3"/>
    <w:rsid w:val="5A1E0EF5"/>
    <w:rsid w:val="5A8F3A18"/>
    <w:rsid w:val="5AD238C9"/>
    <w:rsid w:val="5B1273F8"/>
    <w:rsid w:val="5B1CF174"/>
    <w:rsid w:val="5B2FDAC2"/>
    <w:rsid w:val="5B6E57A9"/>
    <w:rsid w:val="5C1A6203"/>
    <w:rsid w:val="5C305E21"/>
    <w:rsid w:val="5C56F862"/>
    <w:rsid w:val="5CC757DF"/>
    <w:rsid w:val="5D0A9918"/>
    <w:rsid w:val="5D0F7C27"/>
    <w:rsid w:val="5D26ED3D"/>
    <w:rsid w:val="5D362F7B"/>
    <w:rsid w:val="5D48F1CF"/>
    <w:rsid w:val="5D51238C"/>
    <w:rsid w:val="5D8ECC64"/>
    <w:rsid w:val="5DAB7576"/>
    <w:rsid w:val="5DC11D7B"/>
    <w:rsid w:val="5DCEB172"/>
    <w:rsid w:val="5DD47344"/>
    <w:rsid w:val="5DFCAA6E"/>
    <w:rsid w:val="5E0B3B40"/>
    <w:rsid w:val="5E8BCF4B"/>
    <w:rsid w:val="5E94781D"/>
    <w:rsid w:val="5EA8FACC"/>
    <w:rsid w:val="5EBC5A40"/>
    <w:rsid w:val="5EE89E1F"/>
    <w:rsid w:val="5F326BC2"/>
    <w:rsid w:val="5F540AB2"/>
    <w:rsid w:val="5F5AE8FF"/>
    <w:rsid w:val="5F5C8CC6"/>
    <w:rsid w:val="5F71E1C5"/>
    <w:rsid w:val="5F794E7A"/>
    <w:rsid w:val="5FC1451D"/>
    <w:rsid w:val="5FCCA530"/>
    <w:rsid w:val="5FCEBE04"/>
    <w:rsid w:val="60396269"/>
    <w:rsid w:val="606D0449"/>
    <w:rsid w:val="60A73701"/>
    <w:rsid w:val="60CF8451"/>
    <w:rsid w:val="610C1406"/>
    <w:rsid w:val="612AB3ED"/>
    <w:rsid w:val="614D6A94"/>
    <w:rsid w:val="61AB3A1D"/>
    <w:rsid w:val="61BDC45E"/>
    <w:rsid w:val="62278E57"/>
    <w:rsid w:val="6298FEE6"/>
    <w:rsid w:val="629E106A"/>
    <w:rsid w:val="62F2442B"/>
    <w:rsid w:val="630B9C0C"/>
    <w:rsid w:val="631503E8"/>
    <w:rsid w:val="6323DFCC"/>
    <w:rsid w:val="633387CE"/>
    <w:rsid w:val="63372FCB"/>
    <w:rsid w:val="635D6C9E"/>
    <w:rsid w:val="63AC054D"/>
    <w:rsid w:val="63B83353"/>
    <w:rsid w:val="63C1FA66"/>
    <w:rsid w:val="63D727C4"/>
    <w:rsid w:val="64112252"/>
    <w:rsid w:val="64527006"/>
    <w:rsid w:val="6497AD94"/>
    <w:rsid w:val="64FCAD96"/>
    <w:rsid w:val="65120CB5"/>
    <w:rsid w:val="651952A8"/>
    <w:rsid w:val="6536568A"/>
    <w:rsid w:val="656BE182"/>
    <w:rsid w:val="656C71E5"/>
    <w:rsid w:val="65A1B4F5"/>
    <w:rsid w:val="65B12246"/>
    <w:rsid w:val="65B8F4AB"/>
    <w:rsid w:val="6620691C"/>
    <w:rsid w:val="6625AEA8"/>
    <w:rsid w:val="66358024"/>
    <w:rsid w:val="663B8888"/>
    <w:rsid w:val="6647C099"/>
    <w:rsid w:val="665D1425"/>
    <w:rsid w:val="668DC327"/>
    <w:rsid w:val="6698B64D"/>
    <w:rsid w:val="66CC0CC3"/>
    <w:rsid w:val="67467424"/>
    <w:rsid w:val="67526C78"/>
    <w:rsid w:val="675C6614"/>
    <w:rsid w:val="67E7383E"/>
    <w:rsid w:val="67F237B9"/>
    <w:rsid w:val="67F8E486"/>
    <w:rsid w:val="68644132"/>
    <w:rsid w:val="687C40B5"/>
    <w:rsid w:val="689438EB"/>
    <w:rsid w:val="693EE064"/>
    <w:rsid w:val="6994B4E7"/>
    <w:rsid w:val="69DF50AC"/>
    <w:rsid w:val="69F4607D"/>
    <w:rsid w:val="6A001193"/>
    <w:rsid w:val="6A04BA07"/>
    <w:rsid w:val="6A608042"/>
    <w:rsid w:val="6A7F4E44"/>
    <w:rsid w:val="6A8C65CE"/>
    <w:rsid w:val="6A99CDEF"/>
    <w:rsid w:val="6A9AF5B6"/>
    <w:rsid w:val="6AE02F9D"/>
    <w:rsid w:val="6AE42DB3"/>
    <w:rsid w:val="6B041619"/>
    <w:rsid w:val="6B1C0591"/>
    <w:rsid w:val="6B571891"/>
    <w:rsid w:val="6B7F2F2A"/>
    <w:rsid w:val="6C29D858"/>
    <w:rsid w:val="6C719A24"/>
    <w:rsid w:val="6C8AAD26"/>
    <w:rsid w:val="6CAFE815"/>
    <w:rsid w:val="6CCC55A9"/>
    <w:rsid w:val="6CCC6BD4"/>
    <w:rsid w:val="6CFC5997"/>
    <w:rsid w:val="6D0A1CBD"/>
    <w:rsid w:val="6D0CD2D8"/>
    <w:rsid w:val="6D2189CD"/>
    <w:rsid w:val="6D4750B2"/>
    <w:rsid w:val="6D83A261"/>
    <w:rsid w:val="6D890813"/>
    <w:rsid w:val="6E127F33"/>
    <w:rsid w:val="6E1CA356"/>
    <w:rsid w:val="6E68260A"/>
    <w:rsid w:val="6EB19769"/>
    <w:rsid w:val="6EDA80B6"/>
    <w:rsid w:val="6EEB80AD"/>
    <w:rsid w:val="6EF6690B"/>
    <w:rsid w:val="6F580CA5"/>
    <w:rsid w:val="6F5FD6F1"/>
    <w:rsid w:val="6FAEEC1F"/>
    <w:rsid w:val="6FB79ED6"/>
    <w:rsid w:val="6FBF0D31"/>
    <w:rsid w:val="6FC24DE8"/>
    <w:rsid w:val="6FDB0A5E"/>
    <w:rsid w:val="6FDC7344"/>
    <w:rsid w:val="703637CD"/>
    <w:rsid w:val="705533F2"/>
    <w:rsid w:val="7092396C"/>
    <w:rsid w:val="70991340"/>
    <w:rsid w:val="70F48332"/>
    <w:rsid w:val="70FBA752"/>
    <w:rsid w:val="7117CAB1"/>
    <w:rsid w:val="715E1E49"/>
    <w:rsid w:val="71AF1C3B"/>
    <w:rsid w:val="71D79FA2"/>
    <w:rsid w:val="720B2378"/>
    <w:rsid w:val="72196479"/>
    <w:rsid w:val="7223216F"/>
    <w:rsid w:val="72390E4A"/>
    <w:rsid w:val="723E3666"/>
    <w:rsid w:val="72A4DFD4"/>
    <w:rsid w:val="72E68CE1"/>
    <w:rsid w:val="72F71B10"/>
    <w:rsid w:val="7338E1AA"/>
    <w:rsid w:val="73514E43"/>
    <w:rsid w:val="7370B321"/>
    <w:rsid w:val="73718861"/>
    <w:rsid w:val="73B56515"/>
    <w:rsid w:val="73C3B4B8"/>
    <w:rsid w:val="73C9DA2E"/>
    <w:rsid w:val="73D0B402"/>
    <w:rsid w:val="74098959"/>
    <w:rsid w:val="74334814"/>
    <w:rsid w:val="743EEED4"/>
    <w:rsid w:val="7466D800"/>
    <w:rsid w:val="7476805F"/>
    <w:rsid w:val="74BE555C"/>
    <w:rsid w:val="74E7A0C0"/>
    <w:rsid w:val="75018778"/>
    <w:rsid w:val="7529E67A"/>
    <w:rsid w:val="7565AA8F"/>
    <w:rsid w:val="756C8463"/>
    <w:rsid w:val="75862B31"/>
    <w:rsid w:val="75CF1875"/>
    <w:rsid w:val="760544A0"/>
    <w:rsid w:val="7627F65D"/>
    <w:rsid w:val="76299ED9"/>
    <w:rsid w:val="765A25BD"/>
    <w:rsid w:val="76615906"/>
    <w:rsid w:val="7675D03C"/>
    <w:rsid w:val="76A8CD91"/>
    <w:rsid w:val="76A96BA5"/>
    <w:rsid w:val="772103BA"/>
    <w:rsid w:val="77391299"/>
    <w:rsid w:val="7751901B"/>
    <w:rsid w:val="77520683"/>
    <w:rsid w:val="777B7C9E"/>
    <w:rsid w:val="77CE636A"/>
    <w:rsid w:val="77EABA2C"/>
    <w:rsid w:val="78825D87"/>
    <w:rsid w:val="78FC4055"/>
    <w:rsid w:val="79100BF3"/>
    <w:rsid w:val="79236FF1"/>
    <w:rsid w:val="79AA366E"/>
    <w:rsid w:val="79FA4BE1"/>
    <w:rsid w:val="7A49484B"/>
    <w:rsid w:val="7A84F2F1"/>
    <w:rsid w:val="7A87483B"/>
    <w:rsid w:val="7A9A12E5"/>
    <w:rsid w:val="7ABF4052"/>
    <w:rsid w:val="7AC3A2FB"/>
    <w:rsid w:val="7AF3D475"/>
    <w:rsid w:val="7B06D3F1"/>
    <w:rsid w:val="7B220F8A"/>
    <w:rsid w:val="7B413BFB"/>
    <w:rsid w:val="7B9550F6"/>
    <w:rsid w:val="7BB9FE49"/>
    <w:rsid w:val="7BCBF04F"/>
    <w:rsid w:val="7C02930A"/>
    <w:rsid w:val="7C8A942C"/>
    <w:rsid w:val="7CBD0F68"/>
    <w:rsid w:val="7CC62853"/>
    <w:rsid w:val="7D156AFC"/>
    <w:rsid w:val="7D595F97"/>
    <w:rsid w:val="7D689591"/>
    <w:rsid w:val="7D724F9E"/>
    <w:rsid w:val="7DF6E114"/>
    <w:rsid w:val="7DFC2164"/>
    <w:rsid w:val="7E246D22"/>
    <w:rsid w:val="7E8D7B3B"/>
    <w:rsid w:val="7E9AB624"/>
    <w:rsid w:val="7EB8C8A7"/>
    <w:rsid w:val="7EFBA727"/>
    <w:rsid w:val="7F0C8CD5"/>
    <w:rsid w:val="7F51FBFD"/>
    <w:rsid w:val="7F6E6068"/>
    <w:rsid w:val="7F702FC7"/>
    <w:rsid w:val="7FB179D4"/>
    <w:rsid w:val="7FBABB66"/>
    <w:rsid w:val="7FC1A3DB"/>
    <w:rsid w:val="7FC6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CFCB2"/>
  <w15:chartTrackingRefBased/>
  <w15:docId w15:val="{A6501F5C-07A8-4EA9-85F8-9629361DB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003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46062">
      <w:bodyDiv w:val="1"/>
      <w:marLeft w:val="0"/>
      <w:marRight w:val="0"/>
      <w:marTop w:val="0"/>
      <w:marBottom w:val="0"/>
      <w:divBdr>
        <w:top w:val="none" w:sz="0" w:space="0" w:color="auto"/>
        <w:left w:val="none" w:sz="0" w:space="0" w:color="auto"/>
        <w:bottom w:val="none" w:sz="0" w:space="0" w:color="auto"/>
        <w:right w:val="none" w:sz="0" w:space="0" w:color="auto"/>
      </w:divBdr>
      <w:divsChild>
        <w:div w:id="953050440">
          <w:marLeft w:val="0"/>
          <w:marRight w:val="0"/>
          <w:marTop w:val="0"/>
          <w:marBottom w:val="0"/>
          <w:divBdr>
            <w:top w:val="none" w:sz="0" w:space="0" w:color="auto"/>
            <w:left w:val="none" w:sz="0" w:space="0" w:color="auto"/>
            <w:bottom w:val="none" w:sz="0" w:space="0" w:color="auto"/>
            <w:right w:val="none" w:sz="0" w:space="0" w:color="auto"/>
          </w:divBdr>
          <w:divsChild>
            <w:div w:id="16658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7127">
      <w:bodyDiv w:val="1"/>
      <w:marLeft w:val="0"/>
      <w:marRight w:val="0"/>
      <w:marTop w:val="0"/>
      <w:marBottom w:val="0"/>
      <w:divBdr>
        <w:top w:val="none" w:sz="0" w:space="0" w:color="auto"/>
        <w:left w:val="none" w:sz="0" w:space="0" w:color="auto"/>
        <w:bottom w:val="none" w:sz="0" w:space="0" w:color="auto"/>
        <w:right w:val="none" w:sz="0" w:space="0" w:color="auto"/>
      </w:divBdr>
      <w:divsChild>
        <w:div w:id="569540552">
          <w:marLeft w:val="0"/>
          <w:marRight w:val="0"/>
          <w:marTop w:val="0"/>
          <w:marBottom w:val="0"/>
          <w:divBdr>
            <w:top w:val="none" w:sz="0" w:space="0" w:color="auto"/>
            <w:left w:val="none" w:sz="0" w:space="0" w:color="auto"/>
            <w:bottom w:val="none" w:sz="0" w:space="0" w:color="auto"/>
            <w:right w:val="none" w:sz="0" w:space="0" w:color="auto"/>
          </w:divBdr>
          <w:divsChild>
            <w:div w:id="7309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doi.org/10.1108/eb006161" TargetMode="External" Id="rId6" /><Relationship Type="http://schemas.openxmlformats.org/officeDocument/2006/relationships/hyperlink" Target="https://www.bailii.org/" TargetMode="External" Id="rI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4</revision>
  <dcterms:created xsi:type="dcterms:W3CDTF">2021-10-25T03:24:00.0000000Z</dcterms:created>
  <dcterms:modified xsi:type="dcterms:W3CDTF">2021-11-05T22:45:25.3321544Z</dcterms:modified>
</coreProperties>
</file>