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6675742"/>
        <w:docPartObj>
          <w:docPartGallery w:val="Cover Pages"/>
          <w:docPartUnique/>
        </w:docPartObj>
      </w:sdtPr>
      <w:sdtEndPr>
        <w:rPr>
          <w:rFonts w:ascii="Arial" w:hAnsi="Arial" w:cs="Arial"/>
          <w:b/>
          <w:bCs/>
          <w:sz w:val="32"/>
          <w:szCs w:val="32"/>
        </w:rPr>
      </w:sdtEndPr>
      <w:sdtContent>
        <w:p w14:paraId="480B70A3" w14:textId="485D3CE6" w:rsidR="008E11A6" w:rsidRDefault="008E11A6">
          <w:r>
            <w:rPr>
              <w:noProof/>
            </w:rPr>
            <mc:AlternateContent>
              <mc:Choice Requires="wps">
                <w:drawing>
                  <wp:anchor distT="0" distB="0" distL="114300" distR="114300" simplePos="0" relativeHeight="251659264" behindDoc="0" locked="0" layoutInCell="1" allowOverlap="1" wp14:anchorId="2A747EEA" wp14:editId="71AD5ED6">
                    <wp:simplePos x="0" y="0"/>
                    <wp:positionH relativeFrom="margin">
                      <wp:posOffset>5258435</wp:posOffset>
                    </wp:positionH>
                    <wp:positionV relativeFrom="page">
                      <wp:posOffset>-1905</wp:posOffset>
                    </wp:positionV>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E6F60BB" w14:textId="71C16955" w:rsidR="008E11A6" w:rsidRDefault="008E11A6" w:rsidP="008E11A6">
                                    <w:pPr>
                                      <w:pStyle w:val="NoSpacing"/>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A747EEA" id="Rectangle 132" o:spid="_x0000_s1026" style="position:absolute;margin-left:414.05pt;margin-top:-.15pt;width:46.8pt;height:77.75pt;z-index:251659264;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E6F60BB" w14:textId="71C16955" w:rsidR="008E11A6" w:rsidRDefault="008E11A6" w:rsidP="008E11A6">
                              <w:pPr>
                                <w:pStyle w:val="NoSpacing"/>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noProof/>
            </w:rPr>
            <w:drawing>
              <wp:inline distT="0" distB="0" distL="0" distR="0" wp14:anchorId="314D079E" wp14:editId="732A0D84">
                <wp:extent cx="5694045" cy="1593410"/>
                <wp:effectExtent l="0" t="0" r="1905" b="6985"/>
                <wp:docPr id="101214537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1054" name="Picture 1"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8362" cy="1597416"/>
                        </a:xfrm>
                        <a:prstGeom prst="rect">
                          <a:avLst/>
                        </a:prstGeom>
                        <a:noFill/>
                        <a:ln>
                          <a:noFill/>
                        </a:ln>
                      </pic:spPr>
                    </pic:pic>
                  </a:graphicData>
                </a:graphic>
              </wp:inline>
            </w:drawing>
          </w:r>
        </w:p>
        <w:p w14:paraId="15B12B42" w14:textId="375B9F23" w:rsidR="00523DB1" w:rsidRPr="008E11A6" w:rsidRDefault="008E11A6" w:rsidP="00CC0062">
          <w:pPr>
            <w:spacing w:line="360" w:lineRule="auto"/>
            <w:rPr>
              <w:rFonts w:ascii="Arial" w:hAnsi="Arial" w:cs="Arial"/>
              <w:b/>
              <w:bCs/>
              <w:sz w:val="32"/>
              <w:szCs w:val="32"/>
            </w:rPr>
          </w:pPr>
          <w:r>
            <w:rPr>
              <w:noProof/>
            </w:rPr>
            <mc:AlternateContent>
              <mc:Choice Requires="wps">
                <w:drawing>
                  <wp:anchor distT="0" distB="0" distL="182880" distR="182880" simplePos="0" relativeHeight="251660288" behindDoc="0" locked="0" layoutInCell="1" allowOverlap="1" wp14:anchorId="1494D154" wp14:editId="2C7D2F03">
                    <wp:simplePos x="0" y="0"/>
                    <wp:positionH relativeFrom="margin">
                      <wp:posOffset>-403447</wp:posOffset>
                    </wp:positionH>
                    <wp:positionV relativeFrom="page">
                      <wp:posOffset>4443405</wp:posOffset>
                    </wp:positionV>
                    <wp:extent cx="6655627" cy="6720840"/>
                    <wp:effectExtent l="0" t="0" r="1206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6655627"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827D4" w14:textId="0474012D" w:rsidR="008E11A6" w:rsidRPr="008E11A6" w:rsidRDefault="00000000" w:rsidP="008E11A6">
                                <w:pPr>
                                  <w:pStyle w:val="NoSpacing"/>
                                  <w:spacing w:before="40" w:after="560" w:line="360" w:lineRule="auto"/>
                                  <w:rPr>
                                    <w:color w:val="4472C4" w:themeColor="accent1"/>
                                    <w:sz w:val="96"/>
                                    <w:szCs w:val="96"/>
                                  </w:rPr>
                                </w:pPr>
                                <w:sdt>
                                  <w:sdtPr>
                                    <w:rPr>
                                      <w:rFonts w:ascii="Arial" w:eastAsiaTheme="minorHAnsi" w:hAnsi="Arial" w:cs="Arial"/>
                                      <w:b/>
                                      <w:bCs/>
                                      <w:kern w:val="2"/>
                                      <w:sz w:val="36"/>
                                      <w:szCs w:val="36"/>
                                      <w:lang w:val="en-IN"/>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E11A6" w:rsidRPr="008E11A6">
                                      <w:rPr>
                                        <w:rFonts w:ascii="Arial" w:eastAsiaTheme="minorHAnsi" w:hAnsi="Arial" w:cs="Arial"/>
                                        <w:b/>
                                        <w:bCs/>
                                        <w:kern w:val="2"/>
                                        <w:sz w:val="36"/>
                                        <w:szCs w:val="36"/>
                                        <w:lang w:val="en-IN"/>
                                        <w14:ligatures w14:val="standardContextual"/>
                                      </w:rPr>
                                      <w:t xml:space="preserve">Name: Chauhan Janvi Ishwarbhai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Student ID: 2431585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Programme: MSc Public Health and Social Care in Practice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Module: Practice-Based Research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Module code: LCHS7008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Lecturer: Dr Diola Bijlhout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Assignment Title: Component 2 Written Research Proposal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494D154" id="_x0000_t202" coordsize="21600,21600" o:spt="202" path="m,l,21600r21600,l21600,xe">
                    <v:stroke joinstyle="miter"/>
                    <v:path gradientshapeok="t" o:connecttype="rect"/>
                  </v:shapetype>
                  <v:shape id="Text Box 131" o:spid="_x0000_s1027" type="#_x0000_t202" style="position:absolute;margin-left:-31.75pt;margin-top:349.85pt;width:524.0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" filled="f" stroked="f" strokeweight=".5pt">
                    <v:textbox style="mso-fit-shape-to-text:t" inset="0,0,0,0">
                      <w:txbxContent>
                        <w:p w14:paraId="41C827D4" w14:textId="0474012D" w:rsidR="008E11A6" w:rsidRPr="008E11A6" w:rsidRDefault="00000000" w:rsidP="008E11A6">
                          <w:pPr>
                            <w:pStyle w:val="NoSpacing"/>
                            <w:spacing w:before="40" w:after="560" w:line="360" w:lineRule="auto"/>
                            <w:rPr>
                              <w:color w:val="4472C4" w:themeColor="accent1"/>
                              <w:sz w:val="96"/>
                              <w:szCs w:val="96"/>
                            </w:rPr>
                          </w:pPr>
                          <w:sdt>
                            <w:sdtPr>
                              <w:rPr>
                                <w:rFonts w:ascii="Arial" w:eastAsiaTheme="minorHAnsi" w:hAnsi="Arial" w:cs="Arial"/>
                                <w:b/>
                                <w:bCs/>
                                <w:kern w:val="2"/>
                                <w:sz w:val="36"/>
                                <w:szCs w:val="36"/>
                                <w:lang w:val="en-IN"/>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E11A6" w:rsidRPr="008E11A6">
                                <w:rPr>
                                  <w:rFonts w:ascii="Arial" w:eastAsiaTheme="minorHAnsi" w:hAnsi="Arial" w:cs="Arial"/>
                                  <w:b/>
                                  <w:bCs/>
                                  <w:kern w:val="2"/>
                                  <w:sz w:val="36"/>
                                  <w:szCs w:val="36"/>
                                  <w:lang w:val="en-IN"/>
                                  <w14:ligatures w14:val="standardContextual"/>
                                </w:rPr>
                                <w:t xml:space="preserve">Name: Chauhan Janvi Ishwarbhai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Student ID: 2431585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Programme: MSc Public Health and Social Care in Practice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Module: Practice-Based Research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Module code: LCHS7008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Lecturer: Dr Diola Bijlhout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Assignment Title: Component 2 Written Research Proposal</w:t>
                              </w:r>
                            </w:sdtContent>
                          </w:sdt>
                        </w:p>
                      </w:txbxContent>
                    </v:textbox>
                    <w10:wrap type="square" anchorx="margin" anchory="page"/>
                  </v:shape>
                </w:pict>
              </mc:Fallback>
            </mc:AlternateContent>
          </w:r>
          <w:r>
            <w:rPr>
              <w:rFonts w:ascii="Arial" w:hAnsi="Arial" w:cs="Arial"/>
              <w:b/>
              <w:bCs/>
              <w:sz w:val="32"/>
              <w:szCs w:val="32"/>
            </w:rPr>
            <w:br w:type="page"/>
          </w:r>
        </w:p>
      </w:sdtContent>
    </w:sdt>
    <w:p w14:paraId="12CBE914" w14:textId="79284A9F" w:rsidR="00F2009F" w:rsidRPr="00CC0062" w:rsidRDefault="006767A4" w:rsidP="00CC0062">
      <w:pPr>
        <w:pStyle w:val="Heading1"/>
        <w:spacing w:line="360" w:lineRule="auto"/>
        <w:rPr>
          <w:rFonts w:ascii="Arial" w:hAnsi="Arial" w:cs="Arial"/>
          <w:color w:val="000000" w:themeColor="text1"/>
          <w:sz w:val="36"/>
          <w:szCs w:val="36"/>
        </w:rPr>
      </w:pPr>
      <w:r w:rsidRPr="00CC0062">
        <w:rPr>
          <w:rFonts w:ascii="Arial" w:hAnsi="Arial" w:cs="Arial"/>
          <w:color w:val="000000" w:themeColor="text1"/>
          <w:sz w:val="36"/>
          <w:szCs w:val="36"/>
        </w:rPr>
        <w:lastRenderedPageBreak/>
        <w:t>“Engagement of Older Adults with Digital Health Interventions for Dementia Prevention, Early Detection, and Ongoing Support in the UK.”</w:t>
      </w:r>
    </w:p>
    <w:p w14:paraId="783E66B9" w14:textId="44FD771C" w:rsidR="00B37234" w:rsidRPr="00CC0062" w:rsidRDefault="00B37234" w:rsidP="00CC0062">
      <w:pPr>
        <w:pStyle w:val="Heading1"/>
        <w:numPr>
          <w:ilvl w:val="0"/>
          <w:numId w:val="51"/>
        </w:numPr>
        <w:spacing w:line="360" w:lineRule="auto"/>
        <w:rPr>
          <w:rFonts w:ascii="Arial" w:hAnsi="Arial" w:cs="Arial"/>
        </w:rPr>
      </w:pPr>
      <w:r w:rsidRPr="00CC0062">
        <w:rPr>
          <w:rFonts w:ascii="Arial" w:hAnsi="Arial" w:cs="Arial"/>
        </w:rPr>
        <w:t>Prevalence of the Problem</w:t>
      </w:r>
    </w:p>
    <w:p w14:paraId="1F52DFD3" w14:textId="1225623A" w:rsidR="0032398F" w:rsidRPr="00CC0062" w:rsidRDefault="0032398F" w:rsidP="00CC0062">
      <w:pPr>
        <w:pStyle w:val="NormalWeb"/>
        <w:spacing w:line="360" w:lineRule="auto"/>
        <w:rPr>
          <w:rFonts w:ascii="Arial" w:hAnsi="Arial" w:cs="Arial"/>
        </w:rPr>
      </w:pPr>
      <w:r w:rsidRPr="00CC0062">
        <w:rPr>
          <w:rFonts w:ascii="Arial" w:hAnsi="Arial" w:cs="Arial"/>
        </w:rPr>
        <w:t xml:space="preserve">Dementia represents </w:t>
      </w:r>
      <w:r w:rsidR="00D87883">
        <w:rPr>
          <w:rFonts w:ascii="Arial" w:hAnsi="Arial" w:cs="Arial"/>
        </w:rPr>
        <w:t>a</w:t>
      </w:r>
      <w:r w:rsidR="00D87883" w:rsidRPr="00D87883">
        <w:rPr>
          <w:rFonts w:ascii="Arial" w:hAnsi="Arial" w:cs="Arial"/>
        </w:rPr>
        <w:t xml:space="preserve"> major and growing public health concern in the United Kingdom.</w:t>
      </w:r>
      <w:r w:rsidR="00D87883">
        <w:rPr>
          <w:rFonts w:ascii="Arial" w:hAnsi="Arial" w:cs="Arial"/>
        </w:rPr>
        <w:t xml:space="preserve"> </w:t>
      </w:r>
      <w:r w:rsidRPr="00CC0062">
        <w:rPr>
          <w:rFonts w:ascii="Arial" w:hAnsi="Arial" w:cs="Arial"/>
        </w:rPr>
        <w:t xml:space="preserve">Current estimates indicate that approximately 944,000 people </w:t>
      </w:r>
      <w:r w:rsidR="00D87883" w:rsidRPr="00D87883">
        <w:rPr>
          <w:rFonts w:ascii="Arial" w:hAnsi="Arial" w:cs="Arial"/>
        </w:rPr>
        <w:t xml:space="preserve">with dementia, a prevalence anticipated to reach 1.6 million by 2040 </w:t>
      </w:r>
      <w:proofErr w:type="gramStart"/>
      <w:r w:rsidR="00D87883" w:rsidRPr="00D87883">
        <w:rPr>
          <w:rFonts w:ascii="Arial" w:hAnsi="Arial" w:cs="Arial"/>
        </w:rPr>
        <w:t>as a result of</w:t>
      </w:r>
      <w:proofErr w:type="gramEnd"/>
      <w:r w:rsidR="00D87883" w:rsidRPr="00D87883">
        <w:rPr>
          <w:rFonts w:ascii="Arial" w:hAnsi="Arial" w:cs="Arial"/>
        </w:rPr>
        <w:t xml:space="preserve"> population ageing.</w:t>
      </w:r>
      <w:r w:rsidRPr="00CC0062">
        <w:rPr>
          <w:rFonts w:ascii="Arial" w:hAnsi="Arial" w:cs="Arial"/>
        </w:rPr>
        <w:t xml:space="preserve"> (Alzheimer’s Society, 2023). Adults aged 65 years and older account for </w:t>
      </w:r>
      <w:r w:rsidR="00CC0062" w:rsidRPr="00CC0062">
        <w:rPr>
          <w:rFonts w:ascii="Arial" w:hAnsi="Arial" w:cs="Arial"/>
        </w:rPr>
        <w:t>most</w:t>
      </w:r>
      <w:r w:rsidRPr="00CC0062">
        <w:rPr>
          <w:rFonts w:ascii="Arial" w:hAnsi="Arial" w:cs="Arial"/>
        </w:rPr>
        <w:t xml:space="preserve"> diagnoses, with prevalence doubling every five years after the age of 65 (NHS, 2022). Dementia continues to be </w:t>
      </w:r>
      <w:r w:rsidR="00D87883" w:rsidRPr="00D87883">
        <w:rPr>
          <w:rFonts w:ascii="Arial" w:hAnsi="Arial" w:cs="Arial"/>
        </w:rPr>
        <w:t>the most common cause of death in England and Wales, representing 11.4% of total registered deaths</w:t>
      </w:r>
      <w:r w:rsidR="00D87883">
        <w:rPr>
          <w:rFonts w:ascii="Arial" w:hAnsi="Arial" w:cs="Arial"/>
        </w:rPr>
        <w:t xml:space="preserve"> </w:t>
      </w:r>
      <w:r w:rsidRPr="00CC0062">
        <w:rPr>
          <w:rFonts w:ascii="Arial" w:hAnsi="Arial" w:cs="Arial"/>
        </w:rPr>
        <w:t>in 2023 (UKHSA, 2023).</w:t>
      </w:r>
    </w:p>
    <w:p w14:paraId="4961568D" w14:textId="6315053D" w:rsidR="0032398F" w:rsidRPr="00CC0062" w:rsidRDefault="0032398F" w:rsidP="00CC0062">
      <w:pPr>
        <w:pStyle w:val="NormalWeb"/>
        <w:spacing w:line="360" w:lineRule="auto"/>
        <w:rPr>
          <w:rFonts w:ascii="Arial" w:hAnsi="Arial" w:cs="Arial"/>
        </w:rPr>
      </w:pPr>
      <w:r w:rsidRPr="00CC0062">
        <w:rPr>
          <w:rFonts w:ascii="Arial" w:hAnsi="Arial" w:cs="Arial"/>
        </w:rPr>
        <w:t xml:space="preserve">Economically, dementia places substantial </w:t>
      </w:r>
      <w:r w:rsidR="00D87883" w:rsidRPr="00D87883">
        <w:rPr>
          <w:rFonts w:ascii="Arial" w:hAnsi="Arial" w:cs="Arial"/>
        </w:rPr>
        <w:t>pressure on the UK health and social care services</w:t>
      </w:r>
      <w:r w:rsidR="00D87883">
        <w:rPr>
          <w:rFonts w:ascii="Arial" w:hAnsi="Arial" w:cs="Arial"/>
        </w:rPr>
        <w:t xml:space="preserve">. </w:t>
      </w:r>
      <w:r w:rsidRPr="00CC0062">
        <w:rPr>
          <w:rFonts w:ascii="Arial" w:hAnsi="Arial" w:cs="Arial"/>
        </w:rPr>
        <w:t xml:space="preserve">The annual </w:t>
      </w:r>
      <w:r w:rsidR="00D87883" w:rsidRPr="00D87883">
        <w:rPr>
          <w:rFonts w:ascii="Arial" w:hAnsi="Arial" w:cs="Arial"/>
        </w:rPr>
        <w:t>the economic impact of dementia on the UK is estimated to</w:t>
      </w:r>
      <w:r w:rsidR="00D87883" w:rsidRPr="00D87883">
        <w:rPr>
          <w:rFonts w:ascii="Arial" w:hAnsi="Arial" w:cs="Arial"/>
        </w:rPr>
        <w:t xml:space="preserve"> </w:t>
      </w:r>
      <w:r w:rsidRPr="00CC0062">
        <w:rPr>
          <w:rFonts w:ascii="Arial" w:hAnsi="Arial" w:cs="Arial"/>
        </w:rPr>
        <w:t>exceed £34.7 billion, incorporating direct healthcare costs, social care expenditure, and the economic value of unpaid informal caregiving (UKHSA, 2023). As demographic ageing accelerates, these costs are expected to increase significantly, highlighting the urgent need for effective, sustainable, and scalable approaches to early detection and long-term management (Alzheimer’s Society, 2023).</w:t>
      </w:r>
    </w:p>
    <w:p w14:paraId="36424234" w14:textId="77777777" w:rsidR="0032398F" w:rsidRPr="00CC0062" w:rsidRDefault="0032398F" w:rsidP="00CC0062">
      <w:pPr>
        <w:pStyle w:val="NormalWeb"/>
        <w:spacing w:line="360" w:lineRule="auto"/>
        <w:rPr>
          <w:rFonts w:ascii="Arial" w:hAnsi="Arial" w:cs="Arial"/>
        </w:rPr>
      </w:pPr>
      <w:r w:rsidRPr="00CC0062">
        <w:rPr>
          <w:rFonts w:ascii="Arial" w:hAnsi="Arial" w:cs="Arial"/>
        </w:rPr>
        <w:t xml:space="preserve">National policy initiatives, including the NHS Long Term Plan, the Dementia Well Pathway, and the Healthy Ageing Framework, prioritise prevention, early diagnosis, risk reduction, and the use of digital technologies to transform care delivery for older adults (NHS England, 2019; Department of Health and Social Care, 2021). Within this context, digital health interventions (DHIs) are increasingly advocated as tools to support cognitive monitoring, deliver cognitive stimulation, improve communication between patients and healthcare professionals, and provide support for informal carers (NICE, 2022). Examples of DHIs include smartphone applications, wearable </w:t>
      </w:r>
      <w:r w:rsidRPr="00CC0062">
        <w:rPr>
          <w:rFonts w:ascii="Arial" w:hAnsi="Arial" w:cs="Arial"/>
        </w:rPr>
        <w:lastRenderedPageBreak/>
        <w:t>activity trackers, online memory assessment platforms, artificial intelligence–based risk screening tools, and telehealth services (NICE, 2022).</w:t>
      </w:r>
    </w:p>
    <w:p w14:paraId="26F29CB5" w14:textId="1ABCB5F6" w:rsidR="0032398F" w:rsidRPr="00CC0062" w:rsidRDefault="0032398F" w:rsidP="00CC0062">
      <w:pPr>
        <w:pStyle w:val="NormalWeb"/>
        <w:spacing w:line="360" w:lineRule="auto"/>
        <w:rPr>
          <w:rFonts w:ascii="Arial" w:hAnsi="Arial" w:cs="Arial"/>
        </w:rPr>
      </w:pPr>
      <w:r w:rsidRPr="00CC0062">
        <w:rPr>
          <w:rFonts w:ascii="Arial" w:hAnsi="Arial" w:cs="Arial"/>
        </w:rPr>
        <w:t xml:space="preserve">Despite their growing availability, engagement with DHIs among older adults remains inconsistent. Research identifies multiple barriers, including limited digital literacy, restricted internet access, reduced confidence in technology use, concerns surrounding privacy and data security, and digital interfaces that are not designed to meet age-related needs (Seifert et al., 2020; Marston et al., 2021). Cognitive impairment associated with ageing and early dementia may further compromise the ability to learn and sustain the use of digital tools (Marston et al., 2021). </w:t>
      </w:r>
      <w:r w:rsidR="00D87883" w:rsidRPr="00D87883">
        <w:rPr>
          <w:rFonts w:ascii="Arial" w:hAnsi="Arial" w:cs="Arial"/>
        </w:rPr>
        <w:t>Furthermore</w:t>
      </w:r>
      <w:r w:rsidRPr="00CC0062">
        <w:rPr>
          <w:rFonts w:ascii="Arial" w:hAnsi="Arial" w:cs="Arial"/>
        </w:rPr>
        <w:t>, social determinants such as income, educational attainment, ethnicity, and housing conditions significantly influence digital access and readiness, thereby shaping engagement with DHIs (Ofcom, 2023). These intersecting factors risk exacerbating existing health inequalities in dementia prevention and care.</w:t>
      </w:r>
    </w:p>
    <w:p w14:paraId="4472A119" w14:textId="25CF2C96" w:rsidR="0032398F" w:rsidRPr="00CC0062" w:rsidRDefault="0032398F" w:rsidP="00CC0062">
      <w:pPr>
        <w:pStyle w:val="NormalWeb"/>
        <w:spacing w:line="360" w:lineRule="auto"/>
        <w:rPr>
          <w:rFonts w:ascii="Arial" w:hAnsi="Arial" w:cs="Arial"/>
        </w:rPr>
      </w:pPr>
      <w:r w:rsidRPr="00CC0062">
        <w:rPr>
          <w:rFonts w:ascii="Arial" w:hAnsi="Arial" w:cs="Arial"/>
        </w:rPr>
        <w:t xml:space="preserve">Given that user engagement is fundamental to </w:t>
      </w:r>
      <w:r w:rsidR="00396A6E" w:rsidRPr="00396A6E">
        <w:rPr>
          <w:rFonts w:ascii="Arial" w:hAnsi="Arial" w:cs="Arial"/>
        </w:rPr>
        <w:t>the impact of digital health interventions</w:t>
      </w:r>
      <w:r w:rsidRPr="00CC0062">
        <w:rPr>
          <w:rFonts w:ascii="Arial" w:hAnsi="Arial" w:cs="Arial"/>
        </w:rPr>
        <w:t xml:space="preserve">, understanding </w:t>
      </w:r>
      <w:r w:rsidR="00396A6E" w:rsidRPr="00396A6E">
        <w:rPr>
          <w:rFonts w:ascii="Arial" w:hAnsi="Arial" w:cs="Arial"/>
        </w:rPr>
        <w:t>how individuals in later life</w:t>
      </w:r>
      <w:r w:rsidR="00396A6E" w:rsidRPr="00396A6E">
        <w:rPr>
          <w:rFonts w:ascii="Arial" w:hAnsi="Arial" w:cs="Arial"/>
        </w:rPr>
        <w:t xml:space="preserve"> </w:t>
      </w:r>
      <w:r w:rsidRPr="00CC0062">
        <w:rPr>
          <w:rFonts w:ascii="Arial" w:hAnsi="Arial" w:cs="Arial"/>
        </w:rPr>
        <w:t xml:space="preserve">interact with dementia-related </w:t>
      </w:r>
      <w:r w:rsidR="00396A6E" w:rsidRPr="00396A6E">
        <w:rPr>
          <w:rFonts w:ascii="Arial" w:hAnsi="Arial" w:cs="Arial"/>
        </w:rPr>
        <w:t>digital platforms and</w:t>
      </w:r>
      <w:r w:rsidRPr="00CC0062">
        <w:rPr>
          <w:rFonts w:ascii="Arial" w:hAnsi="Arial" w:cs="Arial"/>
        </w:rPr>
        <w:t xml:space="preserve"> the factors influencing this engagement is essential. A systematic review that synthesises evidence from multiple studies </w:t>
      </w:r>
      <w:r w:rsidR="00396A6E" w:rsidRPr="00396A6E">
        <w:rPr>
          <w:rFonts w:ascii="Arial" w:hAnsi="Arial" w:cs="Arial"/>
        </w:rPr>
        <w:t>can offer a thorough</w:t>
      </w:r>
      <w:r w:rsidR="00396A6E" w:rsidRPr="00396A6E">
        <w:rPr>
          <w:rFonts w:ascii="Arial" w:hAnsi="Arial" w:cs="Arial"/>
        </w:rPr>
        <w:t xml:space="preserve"> </w:t>
      </w:r>
      <w:r w:rsidRPr="00CC0062">
        <w:rPr>
          <w:rFonts w:ascii="Arial" w:hAnsi="Arial" w:cs="Arial"/>
        </w:rPr>
        <w:t>understanding of these determinants and inform the development of inclusive, accessible, and person-centred digital dementia interventions (NICE, 2022).</w:t>
      </w:r>
    </w:p>
    <w:p w14:paraId="55B7FDA0" w14:textId="77777777" w:rsidR="00F2009F" w:rsidRPr="00CC0062" w:rsidRDefault="00F2009F" w:rsidP="00CC0062">
      <w:pPr>
        <w:pStyle w:val="Heading1"/>
        <w:spacing w:line="360" w:lineRule="auto"/>
        <w:rPr>
          <w:rFonts w:ascii="Arial" w:hAnsi="Arial" w:cs="Arial"/>
        </w:rPr>
      </w:pPr>
      <w:r w:rsidRPr="00CC0062">
        <w:rPr>
          <w:rFonts w:ascii="Arial" w:hAnsi="Arial" w:cs="Arial"/>
        </w:rPr>
        <w:t>2. Introduction and Literature-Based Background</w:t>
      </w:r>
    </w:p>
    <w:p w14:paraId="07A6E33B" w14:textId="070F5682"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Digital health interventions (DHIs) have become increasingly prominent in public health strategies aimed at dementia prevention, early detection, and long-term support (NICE, 2022). Advances in digital technology now enable older adults to access cognitive assessment tools, engage in home-based cognitive stimulation activities, and communicate remotely with healthcare professionals (NHS Digital, 2021). Evidence suggests that digital cognitive training programmes can support improvements in memory, attention, and executive functioning among older adults (Lampit et al., 2019). Wearable technologies, such as smartwatches, can assist in identifying sleep disturbances, reduced mobility, or changes in daily routines, which </w:t>
      </w:r>
      <w:r w:rsidRPr="00CC0062">
        <w:rPr>
          <w:rFonts w:ascii="Arial" w:hAnsi="Arial" w:cs="Arial"/>
          <w:sz w:val="24"/>
          <w:szCs w:val="24"/>
        </w:rPr>
        <w:lastRenderedPageBreak/>
        <w:t xml:space="preserve">may serve as early indicators of cognitive decline (Kourtis et al., 2019). Telemonitoring and virtual consultations expanded significantly </w:t>
      </w:r>
      <w:r w:rsidR="00396A6E" w:rsidRPr="00396A6E">
        <w:rPr>
          <w:rFonts w:ascii="Arial" w:hAnsi="Arial" w:cs="Arial"/>
          <w:sz w:val="24"/>
          <w:szCs w:val="24"/>
        </w:rPr>
        <w:t>during and after the COVID-19 pandemic, leading to increased</w:t>
      </w:r>
      <w:r w:rsidR="00396A6E" w:rsidRPr="00396A6E">
        <w:rPr>
          <w:rFonts w:ascii="Arial" w:hAnsi="Arial" w:cs="Arial"/>
          <w:sz w:val="24"/>
          <w:szCs w:val="24"/>
        </w:rPr>
        <w:t xml:space="preserve"> </w:t>
      </w:r>
      <w:r w:rsidRPr="00CC0062">
        <w:rPr>
          <w:rFonts w:ascii="Arial" w:hAnsi="Arial" w:cs="Arial"/>
          <w:sz w:val="24"/>
          <w:szCs w:val="24"/>
        </w:rPr>
        <w:t>awareness, accessibility, and acceptance of digital health platforms among older adults (NHS Digital, 2021).</w:t>
      </w:r>
    </w:p>
    <w:p w14:paraId="2867F8B2" w14:textId="267D1A90"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Despite these technological advances, engagement with DHIs among older adults remains highly variable. Research indicates that many older individuals either disengage at an early stage or do not adopt digital health tools at all (Seifert et al., 2020). The literature identifies multiple barriers to engagement, including low digital literacy and limited familiarity with technology (Seifert et al., 2020), accessibility </w:t>
      </w:r>
      <w:r w:rsidR="00396A6E" w:rsidRPr="00396A6E">
        <w:rPr>
          <w:rFonts w:ascii="Arial" w:hAnsi="Arial" w:cs="Arial"/>
          <w:sz w:val="24"/>
          <w:szCs w:val="24"/>
        </w:rPr>
        <w:t>usability barriers such as reduced font size and complex interface navigation</w:t>
      </w:r>
      <w:r w:rsidRPr="00CC0062">
        <w:rPr>
          <w:rFonts w:ascii="Arial" w:hAnsi="Arial" w:cs="Arial"/>
          <w:sz w:val="24"/>
          <w:szCs w:val="24"/>
        </w:rPr>
        <w:t xml:space="preserve"> systems, and age-related sensory limitations (Marston and van Hoof, 2019), and socio-economic inequalities that restrict access to digital devices and reliable internet connectivity (Ofcom, 2023). Additional barriers include concerns related to privacy, data security, and potential misuse of personal health information (Richardson et al., 2021), increased cognitive load and difficulties associated with learning new digital systems (Anderson et al., 2020), reduced trust in digital solutions when compared with </w:t>
      </w:r>
      <w:r w:rsidR="00396A6E" w:rsidRPr="00396A6E">
        <w:rPr>
          <w:rFonts w:ascii="Arial" w:hAnsi="Arial" w:cs="Arial"/>
          <w:sz w:val="24"/>
          <w:szCs w:val="24"/>
        </w:rPr>
        <w:t>conventional in-person</w:t>
      </w:r>
      <w:r w:rsidR="00396A6E" w:rsidRPr="00396A6E">
        <w:rPr>
          <w:rFonts w:ascii="Arial" w:hAnsi="Arial" w:cs="Arial"/>
          <w:sz w:val="24"/>
          <w:szCs w:val="24"/>
        </w:rPr>
        <w:t xml:space="preserve"> </w:t>
      </w:r>
      <w:r w:rsidRPr="00CC0062">
        <w:rPr>
          <w:rFonts w:ascii="Arial" w:hAnsi="Arial" w:cs="Arial"/>
          <w:sz w:val="24"/>
          <w:szCs w:val="24"/>
        </w:rPr>
        <w:t>healthcare services (Kontos et al., 2020), and insufficient tailoring of digital interventions to older adults’ individual needs, preferences, and cultural contexts (Vaportzis et al., 2017).</w:t>
      </w:r>
    </w:p>
    <w:p w14:paraId="37BC8939"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Conversely, several facilitators have been identified that positively influence older adults’ engagement with digital health interventions. These include perceived usefulness, particularly when digital technologies demonstrably enhance health outcomes, independence, or communication with healthcare providers (Chen and Chan, 2014), and ease of use, supported by simple interface design and clear instructions (Holden and Karsh, 2010). Social support from family members, informal carers, and healthcare professionals has also been shown to encourage sustained engagement with digital tools (Tsai et al., 2020). Furthermore, positive attitudes towards ageing and proactive health management, alongside the integration of digital interventions within established care pathways, can enhance trust, continuity, and long-term acceptance of DHIs (NHS England, 2022).</w:t>
      </w:r>
    </w:p>
    <w:p w14:paraId="2A966D11" w14:textId="74BB7756" w:rsidR="00F2009F"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Although individual studies provide valuable insights into the barriers and facilitators influencing engagement, the existing evidence base remains fragmented across </w:t>
      </w:r>
      <w:r w:rsidRPr="00CC0062">
        <w:rPr>
          <w:rFonts w:ascii="Arial" w:hAnsi="Arial" w:cs="Arial"/>
          <w:sz w:val="24"/>
          <w:szCs w:val="24"/>
        </w:rPr>
        <w:lastRenderedPageBreak/>
        <w:t>disciplines including gerontology, digital health, dementia research, and social care (Marston et al., 2021). Notably, there is a lack of a comprehensive systematic review synthesising this evidence specifically in relation to older adults’ engagement with digital health interventions for dementia prevention, early detection, and long-term support within the UK context. Addressing this gap through systematic synthesis is essential to inform evidence-based practice, policy development, and the design of inclusive, effective, and equitable digital dementia interventions (NICE, 2022).</w:t>
      </w:r>
    </w:p>
    <w:p w14:paraId="67E2E071" w14:textId="77777777" w:rsidR="00F2009F" w:rsidRPr="00CC0062" w:rsidRDefault="00F2009F" w:rsidP="00CC0062">
      <w:pPr>
        <w:pStyle w:val="Heading1"/>
        <w:spacing w:line="360" w:lineRule="auto"/>
        <w:rPr>
          <w:rFonts w:ascii="Arial" w:hAnsi="Arial" w:cs="Arial"/>
        </w:rPr>
      </w:pPr>
      <w:r w:rsidRPr="00CC0062">
        <w:rPr>
          <w:rFonts w:ascii="Arial" w:hAnsi="Arial" w:cs="Arial"/>
        </w:rPr>
        <w:t>3. Rationale</w:t>
      </w:r>
    </w:p>
    <w:p w14:paraId="2E03DEAF" w14:textId="16ECAC6D"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This study aims to address the lack of consolidated evidence regarding how older adults engage with digital health interventions for dementia prevention, early detection, and long-term support. As the United Kingdom continues to advance its digital health transformation agenda, it is essential to ensure that older adults particularly those at higher risk of dementia are not excluded from accessing and benefiting from digital innovations (NHS England, 2019; NICE, 2022). Conducting a systematic review will enable a rigorous, transparent, and comprehensive synthesis of existing evidence across diverse study designs, thereby strengthening the reliability and applicability of the findings (Moher et al., 2009).</w:t>
      </w:r>
    </w:p>
    <w:p w14:paraId="6582BDFB"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By integrating evidence from qualitative, quantitative, and mixed-methods studies, the review will facilitate the identification of key themes, shared experiences, and common patterns influencing engagement with digital interventions. A thematic synthesis approach is particularly appropriate for engagement-focused research, as it allows the integration of experiential insights, contextual factors, and behavioural determinants that shape technology use among older adults (Thomas and Harden, 2008). The findings of this review will contribute to efforts to promote digital inclusivity, inform the development of person-centred dementia care strategies, and identify priority areas for the design and implementation of accessible and equitable digital health interventions (NICE, 2022).</w:t>
      </w:r>
    </w:p>
    <w:p w14:paraId="7769DE69" w14:textId="77777777" w:rsidR="00F2009F" w:rsidRPr="00CC0062" w:rsidRDefault="00F2009F" w:rsidP="00CC0062">
      <w:pPr>
        <w:pStyle w:val="Heading1"/>
        <w:spacing w:line="360" w:lineRule="auto"/>
        <w:rPr>
          <w:rFonts w:ascii="Arial" w:hAnsi="Arial" w:cs="Arial"/>
        </w:rPr>
      </w:pPr>
      <w:r w:rsidRPr="00CC0062">
        <w:rPr>
          <w:rFonts w:ascii="Arial" w:hAnsi="Arial" w:cs="Arial"/>
        </w:rPr>
        <w:lastRenderedPageBreak/>
        <w:t>4. Research Question, Aim and Objectives</w:t>
      </w:r>
    </w:p>
    <w:p w14:paraId="2526CC75" w14:textId="7B4CC50D" w:rsidR="00644324" w:rsidRPr="00CC0062" w:rsidRDefault="00644324" w:rsidP="00CC0062">
      <w:pPr>
        <w:spacing w:line="360" w:lineRule="auto"/>
        <w:rPr>
          <w:rFonts w:ascii="Arial" w:hAnsi="Arial" w:cs="Arial"/>
          <w:b/>
          <w:bCs/>
          <w:sz w:val="24"/>
          <w:szCs w:val="24"/>
        </w:rPr>
      </w:pPr>
      <w:r w:rsidRPr="00CC0062">
        <w:rPr>
          <w:rFonts w:ascii="Arial" w:hAnsi="Arial" w:cs="Arial"/>
          <w:b/>
          <w:bCs/>
          <w:sz w:val="24"/>
          <w:szCs w:val="24"/>
        </w:rPr>
        <w:t xml:space="preserve">Research Question: </w:t>
      </w:r>
      <w:r w:rsidRPr="00CC0062">
        <w:rPr>
          <w:rFonts w:ascii="Arial" w:hAnsi="Arial" w:cs="Arial"/>
          <w:sz w:val="24"/>
          <w:szCs w:val="24"/>
        </w:rPr>
        <w:t>In what ways do older adults engage with digital health interventions for dementia prevention, early detection, and ongoing support, and what factors facilitate or hinder their engagement?</w:t>
      </w:r>
    </w:p>
    <w:p w14:paraId="5C7E714E" w14:textId="62337BE9" w:rsidR="00644324" w:rsidRPr="00CC0062" w:rsidRDefault="00644324" w:rsidP="00CC0062">
      <w:pPr>
        <w:spacing w:line="360" w:lineRule="auto"/>
        <w:rPr>
          <w:rFonts w:ascii="Arial" w:hAnsi="Arial" w:cs="Arial"/>
          <w:sz w:val="24"/>
          <w:szCs w:val="24"/>
        </w:rPr>
      </w:pPr>
      <w:r w:rsidRPr="00CC0062">
        <w:rPr>
          <w:rFonts w:ascii="Arial" w:hAnsi="Arial" w:cs="Arial"/>
          <w:b/>
          <w:bCs/>
          <w:sz w:val="24"/>
          <w:szCs w:val="24"/>
        </w:rPr>
        <w:t xml:space="preserve">Aim: </w:t>
      </w:r>
      <w:r w:rsidRPr="00CC0062">
        <w:rPr>
          <w:rFonts w:ascii="Arial" w:hAnsi="Arial" w:cs="Arial"/>
          <w:sz w:val="24"/>
          <w:szCs w:val="24"/>
        </w:rPr>
        <w:t>To explore how older adults engage with digital health interventions designed for dementia prevention, early detection, and ongoing support, and to examine the key factors that facilitate or hinder their engagement.</w:t>
      </w:r>
    </w:p>
    <w:p w14:paraId="7221F941" w14:textId="48C52747" w:rsidR="008A57BD" w:rsidRPr="00CC0062" w:rsidRDefault="008A57BD" w:rsidP="00CC0062">
      <w:pPr>
        <w:spacing w:line="360" w:lineRule="auto"/>
        <w:rPr>
          <w:rFonts w:ascii="Arial" w:hAnsi="Arial" w:cs="Arial"/>
          <w:b/>
          <w:bCs/>
          <w:sz w:val="24"/>
          <w:szCs w:val="24"/>
        </w:rPr>
      </w:pPr>
      <w:r w:rsidRPr="00CC0062">
        <w:rPr>
          <w:rFonts w:ascii="Arial" w:hAnsi="Arial" w:cs="Arial"/>
          <w:b/>
          <w:bCs/>
          <w:sz w:val="24"/>
          <w:szCs w:val="24"/>
        </w:rPr>
        <w:t>Objective:</w:t>
      </w:r>
    </w:p>
    <w:p w14:paraId="79CD9E24"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1: To identify and describe existing digital interventions for detection, prevention and support of dementia in older adults in the UK</w:t>
      </w:r>
    </w:p>
    <w:p w14:paraId="6038BEFE"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2: To examine how older adults engage with these interventions, including patterns and depth of use.</w:t>
      </w:r>
    </w:p>
    <w:p w14:paraId="7C03F01C"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3: To analyse how individual, socio-demographic, and contextual factors shape engagement with digital dementia interventions.</w:t>
      </w:r>
    </w:p>
    <w:p w14:paraId="1A6FD649" w14:textId="4151F6C4" w:rsidR="00F2009F" w:rsidRPr="00CC0062" w:rsidRDefault="00644324" w:rsidP="00CC0062">
      <w:pPr>
        <w:spacing w:line="360" w:lineRule="auto"/>
        <w:rPr>
          <w:rFonts w:ascii="Arial" w:hAnsi="Arial" w:cs="Arial"/>
          <w:sz w:val="24"/>
          <w:szCs w:val="24"/>
        </w:rPr>
      </w:pPr>
      <w:r w:rsidRPr="00CC0062">
        <w:rPr>
          <w:rFonts w:ascii="Arial" w:hAnsi="Arial" w:cs="Arial"/>
          <w:sz w:val="24"/>
          <w:szCs w:val="24"/>
        </w:rPr>
        <w:t>Objective 4: To explore implications and provide recommendations for enhancing accessibility and acceptability.</w:t>
      </w:r>
    </w:p>
    <w:p w14:paraId="4F7C6EA8" w14:textId="77777777" w:rsidR="00F2009F" w:rsidRPr="00CC0062" w:rsidRDefault="00F2009F" w:rsidP="00CC0062">
      <w:pPr>
        <w:pStyle w:val="Heading1"/>
        <w:spacing w:line="360" w:lineRule="auto"/>
        <w:rPr>
          <w:rFonts w:ascii="Arial" w:hAnsi="Arial" w:cs="Arial"/>
        </w:rPr>
      </w:pPr>
      <w:r w:rsidRPr="00CC0062">
        <w:rPr>
          <w:rFonts w:ascii="Arial" w:hAnsi="Arial" w:cs="Arial"/>
        </w:rPr>
        <w:t>5. Research Methodology</w:t>
      </w:r>
    </w:p>
    <w:p w14:paraId="73AE0F73" w14:textId="00BEFE61" w:rsidR="00F2009F" w:rsidRPr="00CC0062" w:rsidRDefault="00396A6E" w:rsidP="00CC0062">
      <w:pPr>
        <w:spacing w:line="360" w:lineRule="auto"/>
        <w:rPr>
          <w:rFonts w:ascii="Arial" w:hAnsi="Arial" w:cs="Arial"/>
          <w:sz w:val="24"/>
          <w:szCs w:val="24"/>
        </w:rPr>
      </w:pPr>
      <w:r w:rsidRPr="00396A6E">
        <w:rPr>
          <w:rFonts w:ascii="Arial" w:hAnsi="Arial" w:cs="Arial"/>
          <w:sz w:val="24"/>
          <w:szCs w:val="24"/>
        </w:rPr>
        <w:t>The study will employ a systematic review methodology in line with</w:t>
      </w:r>
      <w:r w:rsidR="00F2009F" w:rsidRPr="00CC0062">
        <w:rPr>
          <w:rFonts w:ascii="Arial" w:hAnsi="Arial" w:cs="Arial"/>
          <w:sz w:val="24"/>
          <w:szCs w:val="24"/>
        </w:rPr>
        <w:t xml:space="preserve"> the PRISMA 2020 guidelines. It will use a thematic synthesis approach (Thomas &amp; Harden, 2008) to analyse findings across studies.</w:t>
      </w:r>
    </w:p>
    <w:p w14:paraId="3D736CC1" w14:textId="34D9A086" w:rsidR="005A3118" w:rsidRPr="00CC0062" w:rsidRDefault="005A3118" w:rsidP="00CC0062">
      <w:pPr>
        <w:spacing w:line="360" w:lineRule="auto"/>
        <w:rPr>
          <w:rFonts w:ascii="Arial" w:hAnsi="Arial" w:cs="Arial"/>
          <w:b/>
          <w:bCs/>
          <w:sz w:val="24"/>
          <w:szCs w:val="24"/>
        </w:rPr>
      </w:pPr>
      <w:r w:rsidRPr="00CC0062">
        <w:rPr>
          <w:rFonts w:ascii="Arial" w:hAnsi="Arial" w:cs="Arial"/>
          <w:b/>
          <w:bCs/>
          <w:sz w:val="24"/>
          <w:szCs w:val="24"/>
        </w:rPr>
        <w:t>Philosophical Position</w:t>
      </w:r>
    </w:p>
    <w:p w14:paraId="6A32EC94"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This research adopts an interpretivist epistemological position, which recognises that engagement with digital technologies is shaped by subjective experiences, social contexts, and individual meanings rather than solely objective measures (Bryman, 2016). Interpretivism is particularly appropriate for research exploring human interactions with digital health interventions, as it acknowledges the existence of multiple realities and emphasises understanding phenomena from the perspectives of those experiencing them (Creswell and Poth, 2018). This approach supports the </w:t>
      </w:r>
      <w:r w:rsidRPr="00CC0062">
        <w:rPr>
          <w:rFonts w:ascii="Arial" w:hAnsi="Arial" w:cs="Arial"/>
          <w:sz w:val="24"/>
          <w:szCs w:val="24"/>
        </w:rPr>
        <w:lastRenderedPageBreak/>
        <w:t>integration of qualitative insights and facilitates a deeper exploration of how older adults perceive, interpret, and engage with digital tools for dementia-related purposes.</w:t>
      </w:r>
    </w:p>
    <w:p w14:paraId="3BAE19FC" w14:textId="2BB92A9E"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As this study is a systematic review, only secondary data will be collected and analysed. The interpretivist stance allows for the synthesis of experiential and contextual findings reported in existing qualitative, quantitative, and mixed-methods studies, enabling a nuanced understanding of engagement patterns and influencing factors across diverse populations and settings (Thomas and Harden, 2008).</w:t>
      </w:r>
    </w:p>
    <w:p w14:paraId="51A78E6B" w14:textId="77777777" w:rsidR="00F2009F" w:rsidRPr="00CC0062" w:rsidRDefault="00F2009F" w:rsidP="00CC0062">
      <w:pPr>
        <w:pStyle w:val="Heading1"/>
        <w:spacing w:line="360" w:lineRule="auto"/>
        <w:rPr>
          <w:rFonts w:ascii="Arial" w:hAnsi="Arial" w:cs="Arial"/>
        </w:rPr>
      </w:pPr>
      <w:r w:rsidRPr="00CC0062">
        <w:rPr>
          <w:rFonts w:ascii="Arial" w:hAnsi="Arial" w:cs="Arial"/>
        </w:rPr>
        <w:t>6. Research Design</w:t>
      </w:r>
    </w:p>
    <w:p w14:paraId="75F9592D" w14:textId="57547EE8"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This study will adopt a secondary research design </w:t>
      </w:r>
      <w:r w:rsidR="009770F9" w:rsidRPr="009770F9">
        <w:rPr>
          <w:rFonts w:ascii="Arial" w:hAnsi="Arial" w:cs="Arial"/>
          <w:sz w:val="24"/>
          <w:szCs w:val="24"/>
        </w:rPr>
        <w:t>adopting a systematic review methodology informed by</w:t>
      </w:r>
      <w:r w:rsidR="009770F9" w:rsidRPr="009770F9">
        <w:rPr>
          <w:rFonts w:ascii="Arial" w:hAnsi="Arial" w:cs="Arial"/>
          <w:sz w:val="24"/>
          <w:szCs w:val="24"/>
        </w:rPr>
        <w:t xml:space="preserve"> </w:t>
      </w:r>
      <w:r w:rsidRPr="00CC0062">
        <w:rPr>
          <w:rFonts w:ascii="Arial" w:hAnsi="Arial" w:cs="Arial"/>
          <w:sz w:val="24"/>
          <w:szCs w:val="24"/>
        </w:rPr>
        <w:t>PRISMA (Preferred Reporting Items for Systematic Reviews and Meta-Analyses) framework. A review protocol will be developed to ensure methodological transparency and consistency. The research process will include a comprehensive database search, followed by the screening of studies at title/abstract and full-text levels. This approach is suitable as it enables the structured identification, critical evaluation, and synthesis of existing evidence relevant to the research aims.</w:t>
      </w:r>
    </w:p>
    <w:p w14:paraId="79DEFE44" w14:textId="343DED2A"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A PRISMA flow diagram will be used </w:t>
      </w:r>
      <w:r w:rsidR="009770F9" w:rsidRPr="009770F9">
        <w:rPr>
          <w:rFonts w:ascii="Arial" w:hAnsi="Arial" w:cs="Arial"/>
          <w:sz w:val="24"/>
          <w:szCs w:val="24"/>
        </w:rPr>
        <w:t>to track the progression of studies through each stage of the review process</w:t>
      </w:r>
      <w:r w:rsidRPr="00CC0062">
        <w:rPr>
          <w:rFonts w:ascii="Arial" w:hAnsi="Arial" w:cs="Arial"/>
          <w:sz w:val="24"/>
          <w:szCs w:val="24"/>
        </w:rPr>
        <w:t>, ensuring transparency and reproducibility.</w:t>
      </w:r>
    </w:p>
    <w:p w14:paraId="7ACD7EB2" w14:textId="77777777" w:rsidR="005F5F7C" w:rsidRPr="00CC0062" w:rsidRDefault="005F5F7C" w:rsidP="00CC0062">
      <w:pPr>
        <w:spacing w:line="360" w:lineRule="auto"/>
        <w:rPr>
          <w:rFonts w:ascii="Arial" w:hAnsi="Arial" w:cs="Arial"/>
          <w:b/>
          <w:bCs/>
          <w:sz w:val="24"/>
          <w:szCs w:val="24"/>
        </w:rPr>
      </w:pPr>
      <w:r w:rsidRPr="00CC0062">
        <w:rPr>
          <w:rFonts w:ascii="Arial" w:hAnsi="Arial" w:cs="Arial"/>
          <w:b/>
          <w:bCs/>
          <w:sz w:val="24"/>
          <w:szCs w:val="24"/>
        </w:rPr>
        <w:t>Quality Appraisal Tool</w:t>
      </w:r>
    </w:p>
    <w:p w14:paraId="79364ECE" w14:textId="441BEEF6"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The methodological quality of included studies will be assessed using appropriate quality appraisal tools based on study design. For qualitative studies, the Critical Appraisal Skills Programme (CASP) </w:t>
      </w:r>
      <w:r w:rsidR="009770F9" w:rsidRPr="009770F9">
        <w:rPr>
          <w:rFonts w:ascii="Arial" w:hAnsi="Arial" w:cs="Arial"/>
          <w:sz w:val="24"/>
          <w:szCs w:val="24"/>
        </w:rPr>
        <w:t>tool will be utilised to assess</w:t>
      </w:r>
      <w:r w:rsidRPr="00CC0062">
        <w:rPr>
          <w:rFonts w:ascii="Arial" w:hAnsi="Arial" w:cs="Arial"/>
          <w:sz w:val="24"/>
          <w:szCs w:val="24"/>
        </w:rPr>
        <w:t xml:space="preserve"> credibility, rigour, and relevance. This process will help ensure that only methodologically sound studies contribute to the review findings and will strengthen the overall validity of the evidence synthesis.</w:t>
      </w:r>
    </w:p>
    <w:p w14:paraId="1DDC5486" w14:textId="6A5149B2" w:rsidR="00F2009F" w:rsidRPr="00CC0062" w:rsidRDefault="00F2009F" w:rsidP="00CC0062">
      <w:pPr>
        <w:pStyle w:val="Heading1"/>
        <w:spacing w:line="360" w:lineRule="auto"/>
        <w:rPr>
          <w:rFonts w:ascii="Arial" w:hAnsi="Arial" w:cs="Arial"/>
        </w:rPr>
      </w:pPr>
      <w:r w:rsidRPr="00CC0062">
        <w:rPr>
          <w:rFonts w:ascii="Arial" w:hAnsi="Arial" w:cs="Arial"/>
        </w:rPr>
        <w:t xml:space="preserve">7. Study Selection </w:t>
      </w:r>
      <w:r w:rsidR="0088723F" w:rsidRPr="00CC0062">
        <w:rPr>
          <w:rFonts w:ascii="Arial" w:hAnsi="Arial" w:cs="Arial"/>
        </w:rPr>
        <w:t>(Systematic Research)</w:t>
      </w:r>
    </w:p>
    <w:p w14:paraId="28A36BB4"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No human participants will be recruited. Instead, studies will be sampled based on predefined eligibility criteria.</w:t>
      </w:r>
    </w:p>
    <w:p w14:paraId="206795C2"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lastRenderedPageBreak/>
        <w:t>Inclusion Criteria</w:t>
      </w:r>
    </w:p>
    <w:p w14:paraId="1E7476D0" w14:textId="77777777" w:rsidR="009770F9" w:rsidRDefault="009770F9" w:rsidP="00CC0062">
      <w:pPr>
        <w:numPr>
          <w:ilvl w:val="0"/>
          <w:numId w:val="32"/>
        </w:numPr>
        <w:spacing w:line="360" w:lineRule="auto"/>
        <w:rPr>
          <w:rFonts w:ascii="Arial" w:hAnsi="Arial" w:cs="Arial"/>
          <w:sz w:val="24"/>
          <w:szCs w:val="24"/>
        </w:rPr>
      </w:pPr>
      <w:r w:rsidRPr="009770F9">
        <w:rPr>
          <w:rFonts w:ascii="Arial" w:hAnsi="Arial" w:cs="Arial"/>
          <w:sz w:val="24"/>
          <w:szCs w:val="24"/>
        </w:rPr>
        <w:t>older adults aged 60+</w:t>
      </w:r>
    </w:p>
    <w:p w14:paraId="4654DDBF" w14:textId="180F4FC8"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Focus on engagement, adoption, acceptability, barriers or facilitators</w:t>
      </w:r>
    </w:p>
    <w:p w14:paraId="40CBC1B4"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DHIs related to dementia prevention, early detection, cognitive assessment, or long-term support</w:t>
      </w:r>
    </w:p>
    <w:p w14:paraId="63D2DDA5"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Studies conducted in the UK, or in OECD high-income countries comparable to the UK</w:t>
      </w:r>
    </w:p>
    <w:p w14:paraId="2B8DF92E" w14:textId="343C987F"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 xml:space="preserve">Qualitative, quantitative, or </w:t>
      </w:r>
      <w:r w:rsidR="00CC0062" w:rsidRPr="00CC0062">
        <w:rPr>
          <w:rFonts w:ascii="Arial" w:hAnsi="Arial" w:cs="Arial"/>
          <w:sz w:val="24"/>
          <w:szCs w:val="24"/>
        </w:rPr>
        <w:t>mixed methods</w:t>
      </w:r>
      <w:r w:rsidRPr="00CC0062">
        <w:rPr>
          <w:rFonts w:ascii="Arial" w:hAnsi="Arial" w:cs="Arial"/>
          <w:sz w:val="24"/>
          <w:szCs w:val="24"/>
        </w:rPr>
        <w:t xml:space="preserve"> designs</w:t>
      </w:r>
    </w:p>
    <w:p w14:paraId="009D2551"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Peer-reviewed publications from 2010–2025</w:t>
      </w:r>
    </w:p>
    <w:p w14:paraId="27AD5278"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English-language articles</w:t>
      </w:r>
    </w:p>
    <w:p w14:paraId="3F41885B"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Exclusion Criteria</w:t>
      </w:r>
    </w:p>
    <w:p w14:paraId="5018EA54"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Participants younger than 60</w:t>
      </w:r>
    </w:p>
    <w:p w14:paraId="66E283D0"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Interventions not involving digital components</w:t>
      </w:r>
    </w:p>
    <w:p w14:paraId="1AE7A09A"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Studies unrelated to dementia or cognitive decline</w:t>
      </w:r>
    </w:p>
    <w:p w14:paraId="4308E5D9"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Opinion pieces, editorials, protocols, and non-peer-reviewed literature</w:t>
      </w:r>
    </w:p>
    <w:p w14:paraId="447A4CF8" w14:textId="065917AF"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Studies lacking empirical findings</w:t>
      </w:r>
    </w:p>
    <w:p w14:paraId="22E78C74" w14:textId="798D7410" w:rsidR="00F2009F" w:rsidRPr="00CC0062" w:rsidRDefault="00F2009F" w:rsidP="00CC0062">
      <w:pPr>
        <w:pStyle w:val="Heading1"/>
        <w:spacing w:line="360" w:lineRule="auto"/>
        <w:rPr>
          <w:rFonts w:ascii="Arial" w:hAnsi="Arial" w:cs="Arial"/>
        </w:rPr>
      </w:pPr>
      <w:r w:rsidRPr="00CC0062">
        <w:rPr>
          <w:rFonts w:ascii="Arial" w:hAnsi="Arial" w:cs="Arial"/>
        </w:rPr>
        <w:t>8. Materials and Data Collection Methods</w:t>
      </w:r>
      <w:r w:rsidRPr="00CC0062">
        <w:rPr>
          <w:rFonts w:ascii="Arial" w:hAnsi="Arial" w:cs="Arial"/>
          <w:strike/>
        </w:rPr>
        <w:t xml:space="preserve"> </w:t>
      </w:r>
      <w:r w:rsidR="00706F2E" w:rsidRPr="00CC0062">
        <w:rPr>
          <w:rFonts w:ascii="Arial" w:hAnsi="Arial" w:cs="Arial"/>
        </w:rPr>
        <w:t>(systematic)</w:t>
      </w:r>
    </w:p>
    <w:p w14:paraId="2804071F"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Data will be collected from academic databases including:</w:t>
      </w:r>
    </w:p>
    <w:p w14:paraId="3D9206F4"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PubMed</w:t>
      </w:r>
    </w:p>
    <w:p w14:paraId="26219E8D"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CINAHL</w:t>
      </w:r>
    </w:p>
    <w:p w14:paraId="72CC4DE1"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PsycINFO</w:t>
      </w:r>
    </w:p>
    <w:p w14:paraId="22D49598"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Web of Science</w:t>
      </w:r>
    </w:p>
    <w:p w14:paraId="33E52CBF"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Cochrane Library</w:t>
      </w:r>
    </w:p>
    <w:p w14:paraId="79F27213"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sz w:val="24"/>
          <w:szCs w:val="24"/>
        </w:rPr>
        <w:lastRenderedPageBreak/>
        <w:t>Search results will be exported to a reference management system such as EndNote or Zotero for deduplication.</w:t>
      </w:r>
    </w:p>
    <w:p w14:paraId="650F492C"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Search Terms</w:t>
      </w:r>
    </w:p>
    <w:p w14:paraId="16770A02" w14:textId="6EF4C4DC"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Keywords and terms will include:</w:t>
      </w:r>
    </w:p>
    <w:p w14:paraId="6FC7AD37" w14:textId="59265B6C"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w:t>
      </w:r>
      <w:r w:rsidR="00CC0062" w:rsidRPr="00CC0062">
        <w:rPr>
          <w:rFonts w:ascii="Arial" w:hAnsi="Arial" w:cs="Arial"/>
          <w:sz w:val="24"/>
          <w:szCs w:val="24"/>
        </w:rPr>
        <w:t>Older</w:t>
      </w:r>
      <w:r w:rsidRPr="00CC0062">
        <w:rPr>
          <w:rFonts w:ascii="Arial" w:hAnsi="Arial" w:cs="Arial"/>
          <w:sz w:val="24"/>
          <w:szCs w:val="24"/>
        </w:rPr>
        <w:t xml:space="preserve"> adults”, “elderly”, “ageing”</w:t>
      </w:r>
    </w:p>
    <w:p w14:paraId="5A4D038D" w14:textId="7ACB10B9"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w:t>
      </w:r>
      <w:r w:rsidR="00CC0062" w:rsidRPr="00CC0062">
        <w:rPr>
          <w:rFonts w:ascii="Arial" w:hAnsi="Arial" w:cs="Arial"/>
          <w:sz w:val="24"/>
          <w:szCs w:val="24"/>
        </w:rPr>
        <w:t>Digital</w:t>
      </w:r>
      <w:r w:rsidRPr="00CC0062">
        <w:rPr>
          <w:rFonts w:ascii="Arial" w:hAnsi="Arial" w:cs="Arial"/>
          <w:sz w:val="24"/>
          <w:szCs w:val="24"/>
        </w:rPr>
        <w:t xml:space="preserve"> health”, “technology”, “telehealth”, “mHealth”, “eHealth”</w:t>
      </w:r>
    </w:p>
    <w:p w14:paraId="578E19B4" w14:textId="77777777"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“dementia”, “cognitive impairment”, “memory loss”, “cognitive decline”</w:t>
      </w:r>
    </w:p>
    <w:p w14:paraId="017CF44C" w14:textId="77777777"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“engagement”, “acceptability”, “uptake”, “barriers”, “facilitators”</w:t>
      </w:r>
    </w:p>
    <w:p w14:paraId="31B4BC49"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Boolean Search Example</w:t>
      </w:r>
    </w:p>
    <w:p w14:paraId="7DA80A98"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(“older adults” OR elderly OR “older people” OR ageing)  </w:t>
      </w:r>
    </w:p>
    <w:p w14:paraId="32AB58E7"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AND (“digital health” OR eHealth OR mHealth OR telehealth OR wearable* OR app*)  </w:t>
      </w:r>
    </w:p>
    <w:p w14:paraId="727E5288"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AND (dementia OR “cognitive decline” OR “cognitive impairment”)  </w:t>
      </w:r>
    </w:p>
    <w:p w14:paraId="401534D6" w14:textId="25613B2A"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AND (engagement OR acceptability OR uptake OR barrier* OR facilitator*)</w:t>
      </w:r>
    </w:p>
    <w:p w14:paraId="0898CB64" w14:textId="77777777" w:rsidR="00F2009F" w:rsidRPr="00CC0062" w:rsidRDefault="00F2009F" w:rsidP="00CC0062">
      <w:pPr>
        <w:pStyle w:val="Heading1"/>
        <w:spacing w:line="360" w:lineRule="auto"/>
        <w:rPr>
          <w:rFonts w:ascii="Arial" w:hAnsi="Arial" w:cs="Arial"/>
        </w:rPr>
      </w:pPr>
      <w:r w:rsidRPr="00CC0062">
        <w:rPr>
          <w:rFonts w:ascii="Arial" w:hAnsi="Arial" w:cs="Arial"/>
        </w:rPr>
        <w:t>9. Data Extraction</w:t>
      </w:r>
    </w:p>
    <w:p w14:paraId="0E309A67" w14:textId="77777777" w:rsidR="009770F9" w:rsidRPr="009770F9" w:rsidRDefault="009770F9" w:rsidP="009770F9">
      <w:pPr>
        <w:spacing w:line="360" w:lineRule="auto"/>
        <w:rPr>
          <w:rFonts w:ascii="Arial" w:hAnsi="Arial" w:cs="Arial"/>
        </w:rPr>
      </w:pPr>
      <w:r w:rsidRPr="009770F9">
        <w:rPr>
          <w:rFonts w:ascii="Arial" w:hAnsi="Arial" w:cs="Arial"/>
        </w:rPr>
        <w:t>A standardised data extraction template will be used to capture key information from each included study, including:</w:t>
      </w:r>
    </w:p>
    <w:p w14:paraId="79A00D06"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Author details, publication year, and study location</w:t>
      </w:r>
    </w:p>
    <w:p w14:paraId="0C209472"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Research objectives and methodological design</w:t>
      </w:r>
    </w:p>
    <w:p w14:paraId="58EB973B"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Characteristics of the study population</w:t>
      </w:r>
    </w:p>
    <w:p w14:paraId="611586A7"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Nature and type of digital health intervention</w:t>
      </w:r>
    </w:p>
    <w:p w14:paraId="11DB94CE"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Patterns and levels of user engagement</w:t>
      </w:r>
    </w:p>
    <w:p w14:paraId="2FE85809"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Identified barriers and facilitators to engagement</w:t>
      </w:r>
    </w:p>
    <w:p w14:paraId="7F8629C2"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Theoretical models or frameworks applied</w:t>
      </w:r>
    </w:p>
    <w:p w14:paraId="58FCE52C"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Principal findings, themes, and illustrative quotations</w:t>
      </w:r>
    </w:p>
    <w:p w14:paraId="59683302" w14:textId="76BE0F07" w:rsidR="00F2009F" w:rsidRPr="00CC0062" w:rsidRDefault="00F2009F" w:rsidP="00CC0062">
      <w:pPr>
        <w:pStyle w:val="Heading1"/>
        <w:spacing w:line="360" w:lineRule="auto"/>
        <w:rPr>
          <w:rFonts w:ascii="Arial" w:hAnsi="Arial" w:cs="Arial"/>
        </w:rPr>
      </w:pPr>
      <w:r w:rsidRPr="00CC0062">
        <w:rPr>
          <w:rFonts w:ascii="Arial" w:hAnsi="Arial" w:cs="Arial"/>
        </w:rPr>
        <w:lastRenderedPageBreak/>
        <w:t>10. Data Analysis Technique: Thematic Sy</w:t>
      </w:r>
      <w:r w:rsidR="00706F2E" w:rsidRPr="00CC0062">
        <w:rPr>
          <w:rFonts w:ascii="Arial" w:hAnsi="Arial" w:cs="Arial"/>
        </w:rPr>
        <w:t>stematic</w:t>
      </w:r>
    </w:p>
    <w:p w14:paraId="0D79BDD4" w14:textId="4E574652"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Thematic </w:t>
      </w:r>
      <w:r w:rsidR="0088723F" w:rsidRPr="00CC0062">
        <w:rPr>
          <w:rFonts w:ascii="Arial" w:hAnsi="Arial" w:cs="Arial"/>
          <w:sz w:val="24"/>
          <w:szCs w:val="24"/>
        </w:rPr>
        <w:t xml:space="preserve">systematic </w:t>
      </w:r>
      <w:r w:rsidR="00235DBB" w:rsidRPr="00CC0062">
        <w:rPr>
          <w:rFonts w:ascii="Arial" w:hAnsi="Arial" w:cs="Arial"/>
          <w:sz w:val="24"/>
          <w:szCs w:val="24"/>
        </w:rPr>
        <w:t xml:space="preserve">analysis </w:t>
      </w:r>
      <w:r w:rsidRPr="00CC0062">
        <w:rPr>
          <w:rFonts w:ascii="Arial" w:hAnsi="Arial" w:cs="Arial"/>
          <w:sz w:val="24"/>
          <w:szCs w:val="24"/>
        </w:rPr>
        <w:t xml:space="preserve">will follow </w:t>
      </w:r>
      <w:r w:rsidR="00235DBB" w:rsidRPr="00CC0062">
        <w:rPr>
          <w:rFonts w:ascii="Arial" w:hAnsi="Arial" w:cs="Arial"/>
          <w:sz w:val="24"/>
          <w:szCs w:val="24"/>
        </w:rPr>
        <w:t>Braun and Clark (2006) six</w:t>
      </w:r>
      <w:r w:rsidRPr="00CC0062">
        <w:rPr>
          <w:rFonts w:ascii="Arial" w:hAnsi="Arial" w:cs="Arial"/>
          <w:sz w:val="24"/>
          <w:szCs w:val="24"/>
        </w:rPr>
        <w:t>-stage approach.</w:t>
      </w:r>
    </w:p>
    <w:p w14:paraId="005C0D3E" w14:textId="77777777" w:rsidR="008567DB" w:rsidRPr="008567DB" w:rsidRDefault="008567DB" w:rsidP="008567DB">
      <w:pPr>
        <w:spacing w:line="360" w:lineRule="auto"/>
        <w:rPr>
          <w:rFonts w:ascii="Arial" w:hAnsi="Arial" w:cs="Arial"/>
          <w:b/>
          <w:bCs/>
        </w:rPr>
      </w:pPr>
      <w:r w:rsidRPr="008567DB">
        <w:rPr>
          <w:rFonts w:ascii="Arial" w:hAnsi="Arial" w:cs="Arial"/>
          <w:b/>
          <w:bCs/>
        </w:rPr>
        <w:t>1. Familiarisation with the data</w:t>
      </w:r>
    </w:p>
    <w:p w14:paraId="6674AE88" w14:textId="77777777" w:rsidR="008567DB" w:rsidRPr="008567DB" w:rsidRDefault="008567DB" w:rsidP="008567DB">
      <w:pPr>
        <w:spacing w:line="360" w:lineRule="auto"/>
        <w:rPr>
          <w:rFonts w:ascii="Arial" w:hAnsi="Arial" w:cs="Arial"/>
        </w:rPr>
      </w:pPr>
      <w:r w:rsidRPr="008567DB">
        <w:rPr>
          <w:rFonts w:ascii="Arial" w:hAnsi="Arial" w:cs="Arial"/>
        </w:rPr>
        <w:t>This phase involves gaining an in-depth understanding of the data through repeated reading of the selected texts. Early impressions and initial reflections are recorded to develop an overall understanding of the content.</w:t>
      </w:r>
    </w:p>
    <w:p w14:paraId="25587B4A" w14:textId="77777777" w:rsidR="008567DB" w:rsidRPr="008567DB" w:rsidRDefault="008567DB" w:rsidP="008567DB">
      <w:pPr>
        <w:spacing w:line="360" w:lineRule="auto"/>
        <w:rPr>
          <w:rFonts w:ascii="Arial" w:hAnsi="Arial" w:cs="Arial"/>
          <w:b/>
          <w:bCs/>
        </w:rPr>
      </w:pPr>
      <w:r w:rsidRPr="008567DB">
        <w:rPr>
          <w:rFonts w:ascii="Arial" w:hAnsi="Arial" w:cs="Arial"/>
          <w:b/>
          <w:bCs/>
        </w:rPr>
        <w:t>2. Initial coding</w:t>
      </w:r>
    </w:p>
    <w:p w14:paraId="4E7E8C9D" w14:textId="77777777" w:rsidR="008567DB" w:rsidRPr="008567DB" w:rsidRDefault="008567DB" w:rsidP="008567DB">
      <w:pPr>
        <w:spacing w:line="360" w:lineRule="auto"/>
        <w:rPr>
          <w:rFonts w:ascii="Arial" w:hAnsi="Arial" w:cs="Arial"/>
        </w:rPr>
      </w:pPr>
      <w:r w:rsidRPr="008567DB">
        <w:rPr>
          <w:rFonts w:ascii="Arial" w:hAnsi="Arial" w:cs="Arial"/>
        </w:rPr>
        <w:t>Key features relevant to the research question are systematically identified and assigned codes. Coding is applied across the full dataset to capture recurring and meaningful elements.</w:t>
      </w:r>
    </w:p>
    <w:p w14:paraId="67E54EDB" w14:textId="77777777" w:rsidR="008567DB" w:rsidRPr="008567DB" w:rsidRDefault="008567DB" w:rsidP="008567DB">
      <w:pPr>
        <w:spacing w:line="360" w:lineRule="auto"/>
        <w:rPr>
          <w:rFonts w:ascii="Arial" w:hAnsi="Arial" w:cs="Arial"/>
          <w:b/>
          <w:bCs/>
        </w:rPr>
      </w:pPr>
      <w:r w:rsidRPr="008567DB">
        <w:rPr>
          <w:rFonts w:ascii="Arial" w:hAnsi="Arial" w:cs="Arial"/>
          <w:b/>
          <w:bCs/>
        </w:rPr>
        <w:t>3. Theme development</w:t>
      </w:r>
    </w:p>
    <w:p w14:paraId="630F1002" w14:textId="77777777" w:rsidR="008567DB" w:rsidRPr="008567DB" w:rsidRDefault="008567DB" w:rsidP="008567DB">
      <w:pPr>
        <w:spacing w:line="360" w:lineRule="auto"/>
        <w:rPr>
          <w:rFonts w:ascii="Arial" w:hAnsi="Arial" w:cs="Arial"/>
        </w:rPr>
      </w:pPr>
      <w:r w:rsidRPr="008567DB">
        <w:rPr>
          <w:rFonts w:ascii="Arial" w:hAnsi="Arial" w:cs="Arial"/>
        </w:rPr>
        <w:t>Related codes are organised into potential themes that represent broader patterns within the data. Connections and relationships between codes and emerging themes are explored.</w:t>
      </w:r>
    </w:p>
    <w:p w14:paraId="53E5FE82" w14:textId="77777777" w:rsidR="008567DB" w:rsidRPr="008567DB" w:rsidRDefault="008567DB" w:rsidP="008567DB">
      <w:pPr>
        <w:spacing w:line="360" w:lineRule="auto"/>
        <w:rPr>
          <w:rFonts w:ascii="Arial" w:hAnsi="Arial" w:cs="Arial"/>
          <w:b/>
          <w:bCs/>
        </w:rPr>
      </w:pPr>
      <w:r w:rsidRPr="008567DB">
        <w:rPr>
          <w:rFonts w:ascii="Arial" w:hAnsi="Arial" w:cs="Arial"/>
          <w:b/>
          <w:bCs/>
        </w:rPr>
        <w:t>4. Theme refinement</w:t>
      </w:r>
    </w:p>
    <w:p w14:paraId="39619CA4" w14:textId="77777777" w:rsidR="008567DB" w:rsidRPr="008567DB" w:rsidRDefault="008567DB" w:rsidP="008567DB">
      <w:pPr>
        <w:spacing w:line="360" w:lineRule="auto"/>
        <w:rPr>
          <w:rFonts w:ascii="Arial" w:hAnsi="Arial" w:cs="Arial"/>
        </w:rPr>
      </w:pPr>
      <w:r w:rsidRPr="008567DB">
        <w:rPr>
          <w:rFonts w:ascii="Arial" w:hAnsi="Arial" w:cs="Arial"/>
        </w:rPr>
        <w:t>Themes are reviewed and refined to ensure they accurately represent the dataset. This stage involves checking internal consistency within themes and ensuring clear distinction between different themes.</w:t>
      </w:r>
    </w:p>
    <w:p w14:paraId="70C30A21" w14:textId="77777777" w:rsidR="008567DB" w:rsidRPr="008567DB" w:rsidRDefault="008567DB" w:rsidP="008567DB">
      <w:pPr>
        <w:spacing w:line="360" w:lineRule="auto"/>
        <w:rPr>
          <w:rFonts w:ascii="Arial" w:hAnsi="Arial" w:cs="Arial"/>
          <w:b/>
          <w:bCs/>
        </w:rPr>
      </w:pPr>
      <w:r w:rsidRPr="008567DB">
        <w:rPr>
          <w:rFonts w:ascii="Arial" w:hAnsi="Arial" w:cs="Arial"/>
          <w:b/>
          <w:bCs/>
        </w:rPr>
        <w:t>5. Theme definition and labelling</w:t>
      </w:r>
    </w:p>
    <w:p w14:paraId="056889EE" w14:textId="77777777" w:rsidR="008567DB" w:rsidRPr="008567DB" w:rsidRDefault="008567DB" w:rsidP="008567DB">
      <w:pPr>
        <w:spacing w:line="360" w:lineRule="auto"/>
        <w:rPr>
          <w:rFonts w:ascii="Arial" w:hAnsi="Arial" w:cs="Arial"/>
        </w:rPr>
      </w:pPr>
      <w:r w:rsidRPr="008567DB">
        <w:rPr>
          <w:rFonts w:ascii="Arial" w:hAnsi="Arial" w:cs="Arial"/>
        </w:rPr>
        <w:t>Each theme is clearly articulated and refined to define its boundaries and focus. Appropriate labels are assigned to reflect the core meaning of each theme.</w:t>
      </w:r>
    </w:p>
    <w:p w14:paraId="16801F58" w14:textId="77777777" w:rsidR="008567DB" w:rsidRPr="008567DB" w:rsidRDefault="008567DB" w:rsidP="008567DB">
      <w:pPr>
        <w:spacing w:line="360" w:lineRule="auto"/>
        <w:rPr>
          <w:rFonts w:ascii="Arial" w:hAnsi="Arial" w:cs="Arial"/>
          <w:b/>
          <w:bCs/>
        </w:rPr>
      </w:pPr>
      <w:r w:rsidRPr="008567DB">
        <w:rPr>
          <w:rFonts w:ascii="Arial" w:hAnsi="Arial" w:cs="Arial"/>
          <w:b/>
          <w:bCs/>
        </w:rPr>
        <w:t>6. Reporting the findings</w:t>
      </w:r>
    </w:p>
    <w:p w14:paraId="4C3F2911" w14:textId="77777777" w:rsidR="008567DB" w:rsidRPr="008567DB" w:rsidRDefault="008567DB" w:rsidP="008567DB">
      <w:pPr>
        <w:spacing w:line="360" w:lineRule="auto"/>
        <w:rPr>
          <w:rFonts w:ascii="Arial" w:hAnsi="Arial" w:cs="Arial"/>
        </w:rPr>
      </w:pPr>
      <w:r w:rsidRPr="008567DB">
        <w:rPr>
          <w:rFonts w:ascii="Arial" w:hAnsi="Arial" w:cs="Arial"/>
        </w:rPr>
        <w:t>The final stage involves integrating the themes into a structured narrative. Findings are supported with relevant data extracts and linked back to the research objectives to provide meaningful interpretation.</w:t>
      </w:r>
    </w:p>
    <w:p w14:paraId="70B3911C" w14:textId="77777777" w:rsidR="00F2009F" w:rsidRPr="00CC0062" w:rsidRDefault="00F2009F" w:rsidP="00CC0062">
      <w:pPr>
        <w:pStyle w:val="Heading1"/>
        <w:spacing w:line="360" w:lineRule="auto"/>
        <w:rPr>
          <w:rFonts w:ascii="Arial" w:hAnsi="Arial" w:cs="Arial"/>
        </w:rPr>
      </w:pPr>
      <w:r w:rsidRPr="00CC0062">
        <w:rPr>
          <w:rFonts w:ascii="Arial" w:hAnsi="Arial" w:cs="Arial"/>
        </w:rPr>
        <w:t>11. Ethical Considerations</w:t>
      </w:r>
    </w:p>
    <w:p w14:paraId="33D2C659" w14:textId="52643707" w:rsidR="00F2009F" w:rsidRPr="00CC0062" w:rsidRDefault="002E5906" w:rsidP="00CC0062">
      <w:pPr>
        <w:spacing w:line="360" w:lineRule="auto"/>
        <w:rPr>
          <w:rFonts w:ascii="Arial" w:hAnsi="Arial" w:cs="Arial"/>
          <w:sz w:val="24"/>
          <w:szCs w:val="24"/>
        </w:rPr>
      </w:pPr>
      <w:r w:rsidRPr="00CC0062">
        <w:rPr>
          <w:rFonts w:ascii="Arial" w:hAnsi="Arial" w:cs="Arial"/>
          <w:sz w:val="24"/>
          <w:szCs w:val="24"/>
        </w:rPr>
        <w:t>F</w:t>
      </w:r>
      <w:r w:rsidR="00F2009F" w:rsidRPr="00CC0062">
        <w:rPr>
          <w:rFonts w:ascii="Arial" w:hAnsi="Arial" w:cs="Arial"/>
          <w:sz w:val="24"/>
          <w:szCs w:val="24"/>
        </w:rPr>
        <w:t>ormal ethical approval</w:t>
      </w:r>
      <w:r w:rsidRPr="00CC0062">
        <w:rPr>
          <w:rFonts w:ascii="Arial" w:hAnsi="Arial" w:cs="Arial"/>
          <w:sz w:val="24"/>
          <w:szCs w:val="24"/>
        </w:rPr>
        <w:t xml:space="preserve"> is </w:t>
      </w:r>
      <w:r w:rsidR="00244068" w:rsidRPr="00CC0062">
        <w:rPr>
          <w:rFonts w:ascii="Arial" w:hAnsi="Arial" w:cs="Arial"/>
          <w:sz w:val="24"/>
          <w:szCs w:val="24"/>
        </w:rPr>
        <w:t>required,</w:t>
      </w:r>
      <w:r w:rsidRPr="00CC0062">
        <w:rPr>
          <w:rFonts w:ascii="Arial" w:hAnsi="Arial" w:cs="Arial"/>
          <w:sz w:val="24"/>
          <w:szCs w:val="24"/>
        </w:rPr>
        <w:t xml:space="preserve"> and </w:t>
      </w:r>
      <w:r w:rsidR="00F2009F" w:rsidRPr="00CC0062">
        <w:rPr>
          <w:rFonts w:ascii="Arial" w:hAnsi="Arial" w:cs="Arial"/>
          <w:sz w:val="24"/>
          <w:szCs w:val="24"/>
        </w:rPr>
        <w:t>ethical principles will be upheld throughout:</w:t>
      </w:r>
    </w:p>
    <w:p w14:paraId="381022D1"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Only publicly available peer-reviewed data will be used.</w:t>
      </w:r>
    </w:p>
    <w:p w14:paraId="5E1487A3"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lastRenderedPageBreak/>
        <w:t>No personal or identifiable information will be handled.</w:t>
      </w:r>
    </w:p>
    <w:p w14:paraId="54A45EA4"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Accurate interpretation of studies will avoid misrepresentation.</w:t>
      </w:r>
    </w:p>
    <w:p w14:paraId="40CF9F08"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Proper citation practices will be followed to respect intellectual property rights.</w:t>
      </w:r>
    </w:p>
    <w:p w14:paraId="7814CD7F"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Transparency will be ensured via PRISMA reporting.</w:t>
      </w:r>
    </w:p>
    <w:p w14:paraId="49CC441E" w14:textId="2DC42AF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A PG2 ethics form will be completed to confirm that the project involves secondary data only.</w:t>
      </w:r>
    </w:p>
    <w:p w14:paraId="3C5E1C40" w14:textId="77777777" w:rsidR="00F2009F" w:rsidRPr="00CC0062" w:rsidRDefault="00F2009F" w:rsidP="00CC0062">
      <w:pPr>
        <w:pStyle w:val="Heading1"/>
        <w:spacing w:line="360" w:lineRule="auto"/>
        <w:rPr>
          <w:rFonts w:ascii="Arial" w:hAnsi="Arial" w:cs="Arial"/>
        </w:rPr>
      </w:pPr>
      <w:r w:rsidRPr="00CC0062">
        <w:rPr>
          <w:rFonts w:ascii="Arial" w:hAnsi="Arial" w:cs="Arial"/>
        </w:rPr>
        <w:t>12. Implications of Research</w:t>
      </w:r>
    </w:p>
    <w:p w14:paraId="016E8591" w14:textId="77777777" w:rsidR="00F2009F" w:rsidRPr="00CC0062" w:rsidRDefault="00F2009F" w:rsidP="00CC0062">
      <w:pPr>
        <w:pStyle w:val="Heading2"/>
        <w:spacing w:line="360" w:lineRule="auto"/>
        <w:rPr>
          <w:rFonts w:ascii="Arial" w:hAnsi="Arial" w:cs="Arial"/>
        </w:rPr>
      </w:pPr>
      <w:r w:rsidRPr="00CC0062">
        <w:rPr>
          <w:rFonts w:ascii="Arial" w:hAnsi="Arial" w:cs="Arial"/>
        </w:rPr>
        <w:t>Public Health Practice</w:t>
      </w:r>
    </w:p>
    <w:p w14:paraId="56B15F27" w14:textId="77777777" w:rsidR="005A3118" w:rsidRPr="00CC0062" w:rsidRDefault="005A3118" w:rsidP="00CC0062">
      <w:pPr>
        <w:pStyle w:val="ListParagraph"/>
        <w:numPr>
          <w:ilvl w:val="0"/>
          <w:numId w:val="47"/>
        </w:numPr>
        <w:spacing w:line="360" w:lineRule="auto"/>
        <w:rPr>
          <w:rFonts w:ascii="Arial" w:hAnsi="Arial" w:cs="Arial"/>
          <w:b/>
          <w:bCs/>
          <w:sz w:val="24"/>
          <w:szCs w:val="24"/>
        </w:rPr>
      </w:pPr>
      <w:r w:rsidRPr="00CC0062">
        <w:rPr>
          <w:rFonts w:ascii="Arial" w:hAnsi="Arial" w:cs="Arial"/>
          <w:sz w:val="24"/>
          <w:szCs w:val="24"/>
        </w:rPr>
        <w:t>Identifying modifiable barriers will assist practitioners in supporting older adults to engage more effectively with digital health interventions. Findings may inform the development of age-friendly digital literacy programmes delivered within community and primary care settings, thereby enhancing confidence, usability, and sustained engagement with digital tools (Seifert et al., 2020). Such interventions may also reduce digital exclusion and contribute to more equitable access to dementia prevention and support services, particularly among socio-economically disadvantaged older adults (Ofcom, 2023; NICE, 2022).</w:t>
      </w:r>
    </w:p>
    <w:p w14:paraId="4A6AF0E2" w14:textId="0566E023" w:rsidR="00F2009F" w:rsidRPr="00CC0062" w:rsidRDefault="00F2009F" w:rsidP="00CC0062">
      <w:pPr>
        <w:pStyle w:val="Heading2"/>
        <w:spacing w:line="360" w:lineRule="auto"/>
        <w:rPr>
          <w:rFonts w:ascii="Arial" w:hAnsi="Arial" w:cs="Arial"/>
        </w:rPr>
      </w:pPr>
      <w:r w:rsidRPr="00CC0062">
        <w:rPr>
          <w:rFonts w:ascii="Arial" w:hAnsi="Arial" w:cs="Arial"/>
        </w:rPr>
        <w:t>Policy</w:t>
      </w:r>
    </w:p>
    <w:p w14:paraId="14D0DEFD"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Evidence generated from this review will support the NHS’s digital transformation strategy by identifying existing inequalities in access, engagement, and outcomes, as well as highlighting design limitations within current digital health interventions (NHS England, 2019). The findings can inform updates to dementia-related policies and digital inclusion frameworks by emphasising the need for inclusive, user-centred design and targeted support for older adults at risk of digital exclusion (NICE, 2022; Ofcom, 2023).</w:t>
      </w:r>
    </w:p>
    <w:p w14:paraId="6305E60D" w14:textId="1B40823B" w:rsidR="00F2009F" w:rsidRPr="00CC0062" w:rsidRDefault="00F2009F" w:rsidP="00CC0062">
      <w:pPr>
        <w:pStyle w:val="Heading2"/>
        <w:spacing w:line="360" w:lineRule="auto"/>
        <w:rPr>
          <w:rFonts w:ascii="Arial" w:hAnsi="Arial" w:cs="Arial"/>
        </w:rPr>
      </w:pPr>
      <w:r w:rsidRPr="00CC0062">
        <w:rPr>
          <w:rFonts w:ascii="Arial" w:hAnsi="Arial" w:cs="Arial"/>
        </w:rPr>
        <w:t>Technology Developers</w:t>
      </w:r>
    </w:p>
    <w:p w14:paraId="3799F06E"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Insights from this review can guide the development of age-friendly digital health interventions by promoting simplified interfaces, clear navigation, and enhanced accessibility features tailored to older adults’ needs (Marston and van Hoof, </w:t>
      </w:r>
      <w:r w:rsidRPr="00CC0062">
        <w:rPr>
          <w:rFonts w:ascii="Arial" w:hAnsi="Arial" w:cs="Arial"/>
          <w:sz w:val="24"/>
          <w:szCs w:val="24"/>
        </w:rPr>
        <w:lastRenderedPageBreak/>
        <w:t>2019). The identified themes may also inform co-design initiatives that actively involve older adults in the development and testing of digital tools, ensuring that interventions align with users’ preferences, capabilities, and lived experiences (Vaportzis et al., 2017; NICE, 2022).</w:t>
      </w:r>
    </w:p>
    <w:p w14:paraId="134C8719" w14:textId="2E6D7122" w:rsidR="00F2009F" w:rsidRPr="00CC0062" w:rsidRDefault="00F2009F" w:rsidP="00CC0062">
      <w:pPr>
        <w:pStyle w:val="Heading2"/>
        <w:spacing w:line="360" w:lineRule="auto"/>
        <w:rPr>
          <w:rFonts w:ascii="Arial" w:hAnsi="Arial" w:cs="Arial"/>
        </w:rPr>
      </w:pPr>
      <w:r w:rsidRPr="00CC0062">
        <w:rPr>
          <w:rFonts w:ascii="Arial" w:hAnsi="Arial" w:cs="Arial"/>
        </w:rPr>
        <w:t>Social Care Practice</w:t>
      </w:r>
    </w:p>
    <w:p w14:paraId="25435535"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Care providers can be better trained to support older adults in navigating and using digital health platforms, enhancing confidence and sustained engagement with digital interventions (Tsai et al., 2020). The findings may also inform social prescribing initiatives by supporting the integration of digital cognitive tools into community-based services, enabling personalised and preventative approaches to dementia care (NHS England, 2022; NICE, 2022).</w:t>
      </w:r>
    </w:p>
    <w:p w14:paraId="02697246" w14:textId="44876B25" w:rsidR="00F2009F" w:rsidRPr="00CC0062" w:rsidRDefault="00F2009F" w:rsidP="00CC0062">
      <w:pPr>
        <w:pStyle w:val="Heading1"/>
        <w:spacing w:line="360" w:lineRule="auto"/>
        <w:rPr>
          <w:rFonts w:ascii="Arial" w:hAnsi="Arial" w:cs="Arial"/>
        </w:rPr>
      </w:pPr>
      <w:bookmarkStart w:id="0" w:name="_Hlk216707769"/>
      <w:r w:rsidRPr="00CC0062">
        <w:rPr>
          <w:rFonts w:ascii="Arial" w:hAnsi="Arial" w:cs="Arial"/>
        </w:rPr>
        <w:t xml:space="preserve">13. Gantt Chart </w:t>
      </w:r>
    </w:p>
    <w:tbl>
      <w:tblPr>
        <w:tblStyle w:val="TableGrid"/>
        <w:tblpPr w:leftFromText="180" w:rightFromText="180" w:vertAnchor="text" w:horzAnchor="margin" w:tblpX="-572" w:tblpY="553"/>
        <w:tblOverlap w:val="never"/>
        <w:tblW w:w="10490" w:type="dxa"/>
        <w:tblLayout w:type="fixed"/>
        <w:tblLook w:val="04A0" w:firstRow="1" w:lastRow="0" w:firstColumn="1" w:lastColumn="0" w:noHBand="0" w:noVBand="1"/>
      </w:tblPr>
      <w:tblGrid>
        <w:gridCol w:w="2552"/>
        <w:gridCol w:w="425"/>
        <w:gridCol w:w="425"/>
        <w:gridCol w:w="426"/>
        <w:gridCol w:w="562"/>
        <w:gridCol w:w="430"/>
        <w:gridCol w:w="425"/>
        <w:gridCol w:w="425"/>
        <w:gridCol w:w="426"/>
        <w:gridCol w:w="420"/>
        <w:gridCol w:w="572"/>
        <w:gridCol w:w="567"/>
        <w:gridCol w:w="567"/>
        <w:gridCol w:w="567"/>
        <w:gridCol w:w="567"/>
        <w:gridCol w:w="567"/>
        <w:gridCol w:w="567"/>
      </w:tblGrid>
      <w:tr w:rsidR="00F52ABF" w:rsidRPr="00CC0062" w14:paraId="1025482E" w14:textId="77777777" w:rsidTr="00E356BD">
        <w:trPr>
          <w:cantSplit/>
          <w:trHeight w:val="558"/>
        </w:trPr>
        <w:tc>
          <w:tcPr>
            <w:tcW w:w="2552" w:type="dxa"/>
          </w:tcPr>
          <w:p w14:paraId="1C2F23C7"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Key Activities</w:t>
            </w:r>
          </w:p>
        </w:tc>
        <w:tc>
          <w:tcPr>
            <w:tcW w:w="425" w:type="dxa"/>
          </w:tcPr>
          <w:p w14:paraId="577C381F" w14:textId="3F22C86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w:t>
            </w:r>
          </w:p>
        </w:tc>
        <w:tc>
          <w:tcPr>
            <w:tcW w:w="425" w:type="dxa"/>
          </w:tcPr>
          <w:p w14:paraId="5381EB41" w14:textId="5789672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2</w:t>
            </w:r>
          </w:p>
        </w:tc>
        <w:tc>
          <w:tcPr>
            <w:tcW w:w="426" w:type="dxa"/>
          </w:tcPr>
          <w:p w14:paraId="3A2B0F54" w14:textId="3048CFB1"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3 </w:t>
            </w:r>
          </w:p>
        </w:tc>
        <w:tc>
          <w:tcPr>
            <w:tcW w:w="562" w:type="dxa"/>
          </w:tcPr>
          <w:p w14:paraId="20F7E6E1" w14:textId="0602B56A"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4</w:t>
            </w:r>
          </w:p>
        </w:tc>
        <w:tc>
          <w:tcPr>
            <w:tcW w:w="430" w:type="dxa"/>
          </w:tcPr>
          <w:p w14:paraId="616105A7" w14:textId="5A8D1533"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 5</w:t>
            </w:r>
          </w:p>
        </w:tc>
        <w:tc>
          <w:tcPr>
            <w:tcW w:w="425" w:type="dxa"/>
          </w:tcPr>
          <w:p w14:paraId="6222AF2F" w14:textId="1B41D421"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6</w:t>
            </w:r>
          </w:p>
        </w:tc>
        <w:tc>
          <w:tcPr>
            <w:tcW w:w="425" w:type="dxa"/>
          </w:tcPr>
          <w:p w14:paraId="67A77DE8" w14:textId="772DC10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7</w:t>
            </w:r>
          </w:p>
        </w:tc>
        <w:tc>
          <w:tcPr>
            <w:tcW w:w="426" w:type="dxa"/>
          </w:tcPr>
          <w:p w14:paraId="1F961356" w14:textId="5CEAE5D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8 </w:t>
            </w:r>
          </w:p>
        </w:tc>
        <w:tc>
          <w:tcPr>
            <w:tcW w:w="420" w:type="dxa"/>
          </w:tcPr>
          <w:p w14:paraId="5B708CDA" w14:textId="50F13B19"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9</w:t>
            </w:r>
          </w:p>
        </w:tc>
        <w:tc>
          <w:tcPr>
            <w:tcW w:w="572" w:type="dxa"/>
          </w:tcPr>
          <w:p w14:paraId="07D87365" w14:textId="031A3D8F"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10</w:t>
            </w:r>
          </w:p>
        </w:tc>
        <w:tc>
          <w:tcPr>
            <w:tcW w:w="567" w:type="dxa"/>
          </w:tcPr>
          <w:p w14:paraId="15CFA842" w14:textId="6DDD6BFA"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11</w:t>
            </w:r>
          </w:p>
        </w:tc>
        <w:tc>
          <w:tcPr>
            <w:tcW w:w="567" w:type="dxa"/>
          </w:tcPr>
          <w:p w14:paraId="5A76B927" w14:textId="4A79235F"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12</w:t>
            </w:r>
          </w:p>
        </w:tc>
        <w:tc>
          <w:tcPr>
            <w:tcW w:w="567" w:type="dxa"/>
          </w:tcPr>
          <w:p w14:paraId="17A9EA75" w14:textId="43BD2FA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13</w:t>
            </w:r>
          </w:p>
        </w:tc>
        <w:tc>
          <w:tcPr>
            <w:tcW w:w="567" w:type="dxa"/>
          </w:tcPr>
          <w:p w14:paraId="6C944372" w14:textId="7702880B"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14</w:t>
            </w:r>
          </w:p>
        </w:tc>
        <w:tc>
          <w:tcPr>
            <w:tcW w:w="567" w:type="dxa"/>
          </w:tcPr>
          <w:p w14:paraId="0EEC6E6B" w14:textId="2107BF5B"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15</w:t>
            </w:r>
          </w:p>
        </w:tc>
        <w:tc>
          <w:tcPr>
            <w:tcW w:w="567" w:type="dxa"/>
          </w:tcPr>
          <w:p w14:paraId="1F54B80B" w14:textId="17E2354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16</w:t>
            </w:r>
          </w:p>
        </w:tc>
      </w:tr>
      <w:tr w:rsidR="00F52ABF" w:rsidRPr="00CC0062" w14:paraId="3CDCC2CD" w14:textId="77777777" w:rsidTr="00E356BD">
        <w:trPr>
          <w:cantSplit/>
          <w:trHeight w:val="587"/>
        </w:trPr>
        <w:tc>
          <w:tcPr>
            <w:tcW w:w="2552" w:type="dxa"/>
          </w:tcPr>
          <w:p w14:paraId="014EB973"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Received ethical approval</w:t>
            </w:r>
          </w:p>
        </w:tc>
        <w:tc>
          <w:tcPr>
            <w:tcW w:w="425" w:type="dxa"/>
            <w:shd w:val="clear" w:color="auto" w:fill="C00000"/>
          </w:tcPr>
          <w:p w14:paraId="442D0EC0" w14:textId="77777777" w:rsidR="00F52ABF" w:rsidRPr="00CC0062" w:rsidRDefault="00F52ABF" w:rsidP="00CC0062">
            <w:pPr>
              <w:pStyle w:val="ListParagraph"/>
              <w:spacing w:line="360" w:lineRule="auto"/>
              <w:ind w:left="0"/>
              <w:rPr>
                <w:rFonts w:ascii="Arial" w:hAnsi="Arial" w:cs="Arial"/>
                <w:color w:val="C00000"/>
                <w:highlight w:val="yellow"/>
                <w:lang w:val="en-US"/>
              </w:rPr>
            </w:pPr>
          </w:p>
          <w:p w14:paraId="0F9BA868" w14:textId="77777777" w:rsidR="00F52ABF" w:rsidRPr="00CC0062" w:rsidRDefault="00F52ABF" w:rsidP="00CC0062">
            <w:pPr>
              <w:spacing w:line="360" w:lineRule="auto"/>
              <w:rPr>
                <w:rFonts w:ascii="Arial" w:hAnsi="Arial" w:cs="Arial"/>
                <w:color w:val="C00000"/>
                <w:highlight w:val="yellow"/>
                <w:lang w:val="en-US"/>
              </w:rPr>
            </w:pPr>
          </w:p>
        </w:tc>
        <w:tc>
          <w:tcPr>
            <w:tcW w:w="425" w:type="dxa"/>
          </w:tcPr>
          <w:p w14:paraId="619855C0"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C1E9AE4"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2D28E523"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14EB2E0F"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1D52ADB9"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7DF557F"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1DDFA0F6"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272EBD35"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71D6AC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E971E6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677214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34466EC" w14:textId="77777777" w:rsidR="00F52ABF" w:rsidRPr="00CC0062" w:rsidRDefault="00F52ABF" w:rsidP="00CC0062">
            <w:pPr>
              <w:pStyle w:val="ListParagraph"/>
              <w:spacing w:line="360" w:lineRule="auto"/>
              <w:ind w:left="0"/>
              <w:rPr>
                <w:rFonts w:ascii="Arial" w:hAnsi="Arial" w:cs="Arial"/>
                <w:color w:val="5B9BD5" w:themeColor="accent5"/>
                <w:lang w:val="en-US"/>
              </w:rPr>
            </w:pPr>
          </w:p>
        </w:tc>
        <w:tc>
          <w:tcPr>
            <w:tcW w:w="567" w:type="dxa"/>
          </w:tcPr>
          <w:p w14:paraId="222D6C8A"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3A9A6E6"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E74AB4E"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222D8A9B" w14:textId="77777777" w:rsidTr="00E356BD">
        <w:tc>
          <w:tcPr>
            <w:tcW w:w="2552" w:type="dxa"/>
          </w:tcPr>
          <w:p w14:paraId="7C2A08C9"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Data base searches</w:t>
            </w:r>
          </w:p>
        </w:tc>
        <w:tc>
          <w:tcPr>
            <w:tcW w:w="425" w:type="dxa"/>
          </w:tcPr>
          <w:p w14:paraId="73A010CF"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5EB1D6E6" w14:textId="77777777" w:rsidR="00F52ABF" w:rsidRPr="00CC0062" w:rsidRDefault="00F52ABF" w:rsidP="00CC0062">
            <w:pPr>
              <w:pStyle w:val="ListParagraph"/>
              <w:spacing w:line="360" w:lineRule="auto"/>
              <w:ind w:left="0"/>
              <w:rPr>
                <w:rFonts w:ascii="Arial" w:hAnsi="Arial" w:cs="Arial"/>
                <w:lang w:val="en-US"/>
              </w:rPr>
            </w:pPr>
          </w:p>
        </w:tc>
        <w:tc>
          <w:tcPr>
            <w:tcW w:w="426" w:type="dxa"/>
            <w:shd w:val="clear" w:color="auto" w:fill="C00000"/>
          </w:tcPr>
          <w:p w14:paraId="678E1F93"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525E4B6E"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06808C90"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C9D1C60"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2563ADD"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411CD54D"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0A2FBA7A"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64119A15"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251079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99C541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0D53C1D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1401EC2"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3E8E78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906BA80"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572BF426" w14:textId="77777777" w:rsidTr="00E356BD">
        <w:tc>
          <w:tcPr>
            <w:tcW w:w="2552" w:type="dxa"/>
          </w:tcPr>
          <w:p w14:paraId="482B2870"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Screening of the articles</w:t>
            </w:r>
          </w:p>
        </w:tc>
        <w:tc>
          <w:tcPr>
            <w:tcW w:w="425" w:type="dxa"/>
          </w:tcPr>
          <w:p w14:paraId="3ABB1925"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36C06CB8"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0F17A53D" w14:textId="77777777" w:rsidR="00F52ABF" w:rsidRPr="00CC0062" w:rsidRDefault="00F52ABF" w:rsidP="00CC0062">
            <w:pPr>
              <w:pStyle w:val="ListParagraph"/>
              <w:spacing w:line="360" w:lineRule="auto"/>
              <w:ind w:left="0"/>
              <w:rPr>
                <w:rFonts w:ascii="Arial" w:hAnsi="Arial" w:cs="Arial"/>
                <w:lang w:val="en-US"/>
              </w:rPr>
            </w:pPr>
          </w:p>
        </w:tc>
        <w:tc>
          <w:tcPr>
            <w:tcW w:w="562" w:type="dxa"/>
            <w:shd w:val="clear" w:color="auto" w:fill="C00000"/>
          </w:tcPr>
          <w:p w14:paraId="192AD933" w14:textId="77777777" w:rsidR="00F52ABF" w:rsidRPr="00CC0062" w:rsidRDefault="00F52ABF" w:rsidP="00CC0062">
            <w:pPr>
              <w:pStyle w:val="ListParagraph"/>
              <w:spacing w:line="360" w:lineRule="auto"/>
              <w:ind w:left="0"/>
              <w:rPr>
                <w:rFonts w:ascii="Arial" w:hAnsi="Arial" w:cs="Arial"/>
                <w:lang w:val="en-US"/>
              </w:rPr>
            </w:pPr>
          </w:p>
        </w:tc>
        <w:tc>
          <w:tcPr>
            <w:tcW w:w="430" w:type="dxa"/>
            <w:shd w:val="clear" w:color="auto" w:fill="C00000"/>
          </w:tcPr>
          <w:p w14:paraId="1BDB2A4F"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41F2D5B1"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1BFCBB99"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49B59D52"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57612A3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59DF24C"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76537C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119DC41"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8239955"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8BE250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1A02F0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938E813"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204C96C0" w14:textId="77777777" w:rsidTr="00E356BD">
        <w:tc>
          <w:tcPr>
            <w:tcW w:w="2552" w:type="dxa"/>
          </w:tcPr>
          <w:p w14:paraId="4C422813"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Quality Assessment</w:t>
            </w:r>
          </w:p>
        </w:tc>
        <w:tc>
          <w:tcPr>
            <w:tcW w:w="425" w:type="dxa"/>
          </w:tcPr>
          <w:p w14:paraId="21084BAD"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64BFF77"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3C946D58"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25339F23" w14:textId="77777777" w:rsidR="00F52ABF" w:rsidRPr="00CC0062" w:rsidRDefault="00F52ABF" w:rsidP="00CC0062">
            <w:pPr>
              <w:pStyle w:val="ListParagraph"/>
              <w:spacing w:line="360" w:lineRule="auto"/>
              <w:ind w:left="0"/>
              <w:rPr>
                <w:rFonts w:ascii="Arial" w:hAnsi="Arial" w:cs="Arial"/>
                <w:lang w:val="en-US"/>
              </w:rPr>
            </w:pPr>
          </w:p>
        </w:tc>
        <w:tc>
          <w:tcPr>
            <w:tcW w:w="430" w:type="dxa"/>
            <w:shd w:val="clear" w:color="auto" w:fill="C00000"/>
          </w:tcPr>
          <w:p w14:paraId="486CD735"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1288EFC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2A62C7B6"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A94499D"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15D8E43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3CB856E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06EA502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611D48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512987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56F857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25EF7B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0524C78"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00EFBB05" w14:textId="77777777" w:rsidTr="00E356BD">
        <w:tc>
          <w:tcPr>
            <w:tcW w:w="2552" w:type="dxa"/>
          </w:tcPr>
          <w:p w14:paraId="354000AB"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Data extraction</w:t>
            </w:r>
          </w:p>
        </w:tc>
        <w:tc>
          <w:tcPr>
            <w:tcW w:w="425" w:type="dxa"/>
          </w:tcPr>
          <w:p w14:paraId="73666D72"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3B8199A3"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75EFD95A"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0D725B6B"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7729C5F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189BF051"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315F22C7"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9C5ED7B"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29346293"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59B6618A"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4C8D78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802360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7E09E4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F244EC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EEDF07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92FFC52"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130B1CA9" w14:textId="77777777" w:rsidTr="00E356BD">
        <w:tc>
          <w:tcPr>
            <w:tcW w:w="2552" w:type="dxa"/>
          </w:tcPr>
          <w:p w14:paraId="07E67182" w14:textId="4F9AF089" w:rsidR="00F52ABF"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Writing chapters (1)</w:t>
            </w:r>
          </w:p>
        </w:tc>
        <w:tc>
          <w:tcPr>
            <w:tcW w:w="425" w:type="dxa"/>
          </w:tcPr>
          <w:p w14:paraId="2E9D2EAB"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F141C11"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1859461"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1C9A0117"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5B289D81"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402F490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7110C82F"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BDCB9F2"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4DD650F4"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31EC8AE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A99160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DEF1C81"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925546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82407E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2950E96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20165016" w14:textId="77777777" w:rsidR="00F52ABF" w:rsidRPr="00CC0062" w:rsidRDefault="00F52ABF" w:rsidP="00CC0062">
            <w:pPr>
              <w:pStyle w:val="ListParagraph"/>
              <w:spacing w:line="360" w:lineRule="auto"/>
              <w:ind w:left="0"/>
              <w:rPr>
                <w:rFonts w:ascii="Arial" w:hAnsi="Arial" w:cs="Arial"/>
                <w:lang w:val="en-US"/>
              </w:rPr>
            </w:pPr>
          </w:p>
        </w:tc>
      </w:tr>
      <w:tr w:rsidR="00E356BD" w:rsidRPr="00CC0062" w14:paraId="21860080" w14:textId="77777777" w:rsidTr="00E356BD">
        <w:tc>
          <w:tcPr>
            <w:tcW w:w="2552" w:type="dxa"/>
          </w:tcPr>
          <w:p w14:paraId="400C62B7" w14:textId="3B919872"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Chapter 2</w:t>
            </w:r>
          </w:p>
        </w:tc>
        <w:tc>
          <w:tcPr>
            <w:tcW w:w="425" w:type="dxa"/>
          </w:tcPr>
          <w:p w14:paraId="3633D980"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E2BE73A"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75529334"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7BE62AE6"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4808A0E1"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0E10C42A" w14:textId="77777777" w:rsidR="00E356BD" w:rsidRPr="00CC0062" w:rsidRDefault="00E356BD" w:rsidP="00CC0062">
            <w:pPr>
              <w:pStyle w:val="ListParagraph"/>
              <w:spacing w:line="360" w:lineRule="auto"/>
              <w:ind w:left="0"/>
              <w:rPr>
                <w:rFonts w:ascii="Arial" w:hAnsi="Arial" w:cs="Arial"/>
                <w:lang w:val="en-US"/>
              </w:rPr>
            </w:pPr>
          </w:p>
        </w:tc>
        <w:tc>
          <w:tcPr>
            <w:tcW w:w="425" w:type="dxa"/>
            <w:shd w:val="clear" w:color="auto" w:fill="C00000"/>
          </w:tcPr>
          <w:p w14:paraId="34422C5E"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69ACD2F6"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262605C7"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1BB8780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EE1DBD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9BAC60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D4AEF7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ED1F05E"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6FEFFD7"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FA9D610"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0F179A6F" w14:textId="77777777" w:rsidTr="00E356BD">
        <w:tc>
          <w:tcPr>
            <w:tcW w:w="2552" w:type="dxa"/>
          </w:tcPr>
          <w:p w14:paraId="0A3868A2" w14:textId="5762EBA3"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Chapter 3</w:t>
            </w:r>
          </w:p>
        </w:tc>
        <w:tc>
          <w:tcPr>
            <w:tcW w:w="425" w:type="dxa"/>
          </w:tcPr>
          <w:p w14:paraId="3112C6D3"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38625A6E"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3033F645"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547B7368"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1F073B6B"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37F3B27"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30D4BB7" w14:textId="77777777" w:rsidR="00E356BD" w:rsidRPr="00CC0062" w:rsidRDefault="00E356BD" w:rsidP="00CC0062">
            <w:pPr>
              <w:pStyle w:val="ListParagraph"/>
              <w:spacing w:line="360" w:lineRule="auto"/>
              <w:ind w:left="0"/>
              <w:rPr>
                <w:rFonts w:ascii="Arial" w:hAnsi="Arial" w:cs="Arial"/>
                <w:lang w:val="en-US"/>
              </w:rPr>
            </w:pPr>
          </w:p>
        </w:tc>
        <w:tc>
          <w:tcPr>
            <w:tcW w:w="426" w:type="dxa"/>
            <w:shd w:val="clear" w:color="auto" w:fill="C00000"/>
          </w:tcPr>
          <w:p w14:paraId="601E91C2"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0FCA9712"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6A124DF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B4651C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33BB1C1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C31D3C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E9589CE"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9D44C86"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0887C5D"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2A07BFA8" w14:textId="77777777" w:rsidTr="00E356BD">
        <w:tc>
          <w:tcPr>
            <w:tcW w:w="2552" w:type="dxa"/>
          </w:tcPr>
          <w:p w14:paraId="13CC096D" w14:textId="6E2E52EE"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 xml:space="preserve">Chapter 4 </w:t>
            </w:r>
          </w:p>
        </w:tc>
        <w:tc>
          <w:tcPr>
            <w:tcW w:w="425" w:type="dxa"/>
          </w:tcPr>
          <w:p w14:paraId="15925019"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29179D16"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09F20BD8"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25BD0F73"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6106682C"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4DD73F11"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559B5C45"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442FAEE3" w14:textId="77777777" w:rsidR="00E356BD" w:rsidRPr="00CC0062" w:rsidRDefault="00E356BD" w:rsidP="00CC0062">
            <w:pPr>
              <w:pStyle w:val="ListParagraph"/>
              <w:spacing w:line="360" w:lineRule="auto"/>
              <w:ind w:left="0"/>
              <w:rPr>
                <w:rFonts w:ascii="Arial" w:hAnsi="Arial" w:cs="Arial"/>
                <w:lang w:val="en-US"/>
              </w:rPr>
            </w:pPr>
          </w:p>
        </w:tc>
        <w:tc>
          <w:tcPr>
            <w:tcW w:w="420" w:type="dxa"/>
            <w:shd w:val="clear" w:color="auto" w:fill="C00000"/>
          </w:tcPr>
          <w:p w14:paraId="745522E9"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01294CCB"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873BCDF"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B218888"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07FC6B9"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0F78C6F"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43D3676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0319AAE"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5A2EDBAD" w14:textId="77777777" w:rsidTr="00E356BD">
        <w:tc>
          <w:tcPr>
            <w:tcW w:w="2552" w:type="dxa"/>
          </w:tcPr>
          <w:p w14:paraId="41EFB6E5" w14:textId="3442A694"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 xml:space="preserve">Chapter 5 </w:t>
            </w:r>
          </w:p>
        </w:tc>
        <w:tc>
          <w:tcPr>
            <w:tcW w:w="425" w:type="dxa"/>
          </w:tcPr>
          <w:p w14:paraId="2448553F"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05FB1480"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0C4E3856"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2FD3F9CF"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7223475F"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4E760B29"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21970348"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39659D66"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0A542D65" w14:textId="77777777" w:rsidR="00E356BD" w:rsidRPr="00CC0062" w:rsidRDefault="00E356BD" w:rsidP="00CC0062">
            <w:pPr>
              <w:pStyle w:val="ListParagraph"/>
              <w:spacing w:line="360" w:lineRule="auto"/>
              <w:ind w:left="0"/>
              <w:rPr>
                <w:rFonts w:ascii="Arial" w:hAnsi="Arial" w:cs="Arial"/>
                <w:lang w:val="en-US"/>
              </w:rPr>
            </w:pPr>
          </w:p>
        </w:tc>
        <w:tc>
          <w:tcPr>
            <w:tcW w:w="572" w:type="dxa"/>
            <w:shd w:val="clear" w:color="auto" w:fill="C00000"/>
          </w:tcPr>
          <w:p w14:paraId="5A5E3F47"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6CAE5A7C"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7D2432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8661B09"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6027FE36"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9504491"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7635E8C" w14:textId="77777777" w:rsidR="00E356BD" w:rsidRPr="00CC0062" w:rsidRDefault="00E356BD" w:rsidP="00CC0062">
            <w:pPr>
              <w:pStyle w:val="ListParagraph"/>
              <w:spacing w:line="360" w:lineRule="auto"/>
              <w:ind w:left="0"/>
              <w:rPr>
                <w:rFonts w:ascii="Arial" w:hAnsi="Arial" w:cs="Arial"/>
                <w:lang w:val="en-US"/>
              </w:rPr>
            </w:pPr>
          </w:p>
        </w:tc>
      </w:tr>
      <w:tr w:rsidR="00F52ABF" w:rsidRPr="00CC0062" w14:paraId="60F05498" w14:textId="77777777" w:rsidTr="00E356BD">
        <w:tc>
          <w:tcPr>
            <w:tcW w:w="2552" w:type="dxa"/>
          </w:tcPr>
          <w:p w14:paraId="2C572981"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Final submission</w:t>
            </w:r>
          </w:p>
        </w:tc>
        <w:tc>
          <w:tcPr>
            <w:tcW w:w="425" w:type="dxa"/>
          </w:tcPr>
          <w:p w14:paraId="26E016DA"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7DD96CA1"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1929489D"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5FD366B5"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4C180605"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0ABC69B"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68EF0B83"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35998D50"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5ECEFF0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61B1FB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99B82D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DF7857C"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BC8F144" w14:textId="77777777" w:rsidR="00F52ABF" w:rsidRPr="00CC0062" w:rsidRDefault="00F52ABF" w:rsidP="00CC0062">
            <w:pPr>
              <w:pStyle w:val="ListParagraph"/>
              <w:spacing w:line="360" w:lineRule="auto"/>
              <w:ind w:left="0"/>
              <w:rPr>
                <w:rFonts w:ascii="Arial" w:hAnsi="Arial" w:cs="Arial"/>
                <w:lang w:val="en-US"/>
              </w:rPr>
            </w:pPr>
          </w:p>
        </w:tc>
        <w:tc>
          <w:tcPr>
            <w:tcW w:w="567" w:type="dxa"/>
            <w:shd w:val="clear" w:color="auto" w:fill="C00000"/>
          </w:tcPr>
          <w:p w14:paraId="06DC8411" w14:textId="77777777" w:rsidR="00F52ABF" w:rsidRPr="00CC0062" w:rsidRDefault="00F52ABF" w:rsidP="00CC0062">
            <w:pPr>
              <w:pStyle w:val="ListParagraph"/>
              <w:spacing w:line="360" w:lineRule="auto"/>
              <w:ind w:left="0"/>
              <w:rPr>
                <w:rFonts w:ascii="Arial" w:hAnsi="Arial" w:cs="Arial"/>
                <w:lang w:val="en-US"/>
              </w:rPr>
            </w:pPr>
          </w:p>
        </w:tc>
        <w:tc>
          <w:tcPr>
            <w:tcW w:w="567" w:type="dxa"/>
            <w:shd w:val="clear" w:color="auto" w:fill="C00000"/>
          </w:tcPr>
          <w:p w14:paraId="54C322CB"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D1A9C70" w14:textId="77777777" w:rsidR="00F52ABF" w:rsidRPr="00CC0062" w:rsidRDefault="00F52ABF" w:rsidP="00CC0062">
            <w:pPr>
              <w:pStyle w:val="ListParagraph"/>
              <w:spacing w:line="360" w:lineRule="auto"/>
              <w:ind w:left="0"/>
              <w:rPr>
                <w:rFonts w:ascii="Arial" w:hAnsi="Arial" w:cs="Arial"/>
                <w:lang w:val="en-US"/>
              </w:rPr>
            </w:pPr>
          </w:p>
        </w:tc>
      </w:tr>
    </w:tbl>
    <w:p w14:paraId="46FC4522" w14:textId="77777777" w:rsidR="00417B08" w:rsidRPr="00CC0062" w:rsidRDefault="00417B08" w:rsidP="00CC0062">
      <w:pPr>
        <w:spacing w:line="360" w:lineRule="auto"/>
        <w:rPr>
          <w:rFonts w:ascii="Arial" w:hAnsi="Arial" w:cs="Arial"/>
          <w:b/>
          <w:bCs/>
          <w:sz w:val="24"/>
          <w:szCs w:val="24"/>
        </w:rPr>
      </w:pPr>
    </w:p>
    <w:p w14:paraId="445D9F5B" w14:textId="77777777" w:rsidR="00417B08" w:rsidRPr="00CC0062" w:rsidRDefault="00417B08" w:rsidP="00CC0062">
      <w:pPr>
        <w:spacing w:line="360" w:lineRule="auto"/>
        <w:rPr>
          <w:rFonts w:ascii="Arial" w:hAnsi="Arial" w:cs="Arial"/>
          <w:b/>
          <w:bCs/>
          <w:sz w:val="24"/>
          <w:szCs w:val="24"/>
        </w:rPr>
      </w:pPr>
    </w:p>
    <w:p w14:paraId="1236FF32" w14:textId="77777777" w:rsidR="008952C6" w:rsidRPr="00CC0062" w:rsidRDefault="008952C6" w:rsidP="00CC0062">
      <w:pPr>
        <w:spacing w:line="360" w:lineRule="auto"/>
        <w:rPr>
          <w:rFonts w:ascii="Arial" w:hAnsi="Arial" w:cs="Arial"/>
          <w:b/>
          <w:bCs/>
          <w:sz w:val="24"/>
          <w:szCs w:val="24"/>
        </w:rPr>
      </w:pPr>
      <w:r w:rsidRPr="00CC0062">
        <w:rPr>
          <w:rFonts w:ascii="Arial" w:hAnsi="Arial" w:cs="Arial"/>
          <w:b/>
          <w:bCs/>
          <w:sz w:val="24"/>
          <w:szCs w:val="24"/>
        </w:rPr>
        <w:t>References</w:t>
      </w:r>
    </w:p>
    <w:bookmarkEnd w:id="0"/>
    <w:p w14:paraId="62E8DCF4"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lastRenderedPageBreak/>
        <w:t xml:space="preserve">Alzheimer’s Society (2023) </w:t>
      </w:r>
      <w:r w:rsidRPr="00CC0062">
        <w:rPr>
          <w:rFonts w:ascii="Arial" w:hAnsi="Arial" w:cs="Arial"/>
          <w:i/>
          <w:iCs/>
          <w:sz w:val="24"/>
          <w:szCs w:val="24"/>
        </w:rPr>
        <w:t>Dementia UK: Update</w:t>
      </w:r>
      <w:r w:rsidRPr="00CC0062">
        <w:rPr>
          <w:rFonts w:ascii="Arial" w:hAnsi="Arial" w:cs="Arial"/>
          <w:sz w:val="24"/>
          <w:szCs w:val="24"/>
        </w:rPr>
        <w:t>. London: Alzheimer’s Society.</w:t>
      </w:r>
      <w:r w:rsidRPr="00CC0062">
        <w:rPr>
          <w:rFonts w:ascii="Arial" w:hAnsi="Arial" w:cs="Arial"/>
          <w:sz w:val="24"/>
          <w:szCs w:val="24"/>
        </w:rPr>
        <w:br/>
        <w:t xml:space="preserve">Available at: </w:t>
      </w:r>
      <w:hyperlink r:id="rId8" w:history="1">
        <w:r w:rsidRPr="00CC0062">
          <w:rPr>
            <w:rStyle w:val="Hyperlink"/>
            <w:rFonts w:ascii="Arial" w:hAnsi="Arial" w:cs="Arial"/>
            <w:sz w:val="24"/>
            <w:szCs w:val="24"/>
          </w:rPr>
          <w:t>https://www.alzheimers.org.uk/about-dementia/dementia-uk</w:t>
        </w:r>
      </w:hyperlink>
      <w:r w:rsidRPr="00CC0062">
        <w:rPr>
          <w:rFonts w:ascii="Arial" w:hAnsi="Arial" w:cs="Arial"/>
          <w:sz w:val="24"/>
          <w:szCs w:val="24"/>
        </w:rPr>
        <w:br/>
        <w:t>(Accessed: 3 December 2025).</w:t>
      </w:r>
    </w:p>
    <w:p w14:paraId="1A717AE6" w14:textId="369C0E09"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Anderson, K., Burford, O. and Emmerton, L. (2020) ‘Mobile health apps to facilitate self-care: A qualitative study of user experiences’, </w:t>
      </w:r>
      <w:r w:rsidRPr="00CC0062">
        <w:rPr>
          <w:rFonts w:ascii="Arial" w:hAnsi="Arial" w:cs="Arial"/>
          <w:i/>
          <w:iCs/>
          <w:sz w:val="24"/>
          <w:szCs w:val="24"/>
        </w:rPr>
        <w:t>PLoS ONE</w:t>
      </w:r>
      <w:r w:rsidRPr="00CC0062">
        <w:rPr>
          <w:rFonts w:ascii="Arial" w:hAnsi="Arial" w:cs="Arial"/>
          <w:sz w:val="24"/>
          <w:szCs w:val="24"/>
        </w:rPr>
        <w:t xml:space="preserve">, 15(3), e0229654. Available at: </w:t>
      </w:r>
      <w:hyperlink r:id="rId9" w:history="1">
        <w:r w:rsidRPr="00CC0062">
          <w:rPr>
            <w:rStyle w:val="Hyperlink"/>
            <w:rFonts w:ascii="Arial" w:hAnsi="Arial" w:cs="Arial"/>
            <w:sz w:val="24"/>
            <w:szCs w:val="24"/>
          </w:rPr>
          <w:t>https://journals.plos.org/plosone/article?id=10.1371/journal.pone.0229654</w:t>
        </w:r>
      </w:hyperlink>
      <w:r w:rsidRPr="00CC0062">
        <w:rPr>
          <w:rFonts w:ascii="Arial" w:hAnsi="Arial" w:cs="Arial"/>
          <w:sz w:val="24"/>
          <w:szCs w:val="24"/>
        </w:rPr>
        <w:br/>
        <w:t>(Accessed: 5 December 2025).</w:t>
      </w:r>
    </w:p>
    <w:p w14:paraId="0E847F82" w14:textId="0CAF0AB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Braun, V. and Clarke, V. (2006) ‘Using thematic analysis in psychology’, </w:t>
      </w:r>
      <w:r w:rsidRPr="00CC0062">
        <w:rPr>
          <w:rFonts w:ascii="Arial" w:hAnsi="Arial" w:cs="Arial"/>
          <w:i/>
          <w:iCs/>
          <w:sz w:val="24"/>
          <w:szCs w:val="24"/>
        </w:rPr>
        <w:t>Qualitative Research in Psychology</w:t>
      </w:r>
      <w:r w:rsidRPr="00CC0062">
        <w:rPr>
          <w:rFonts w:ascii="Arial" w:hAnsi="Arial" w:cs="Arial"/>
          <w:sz w:val="24"/>
          <w:szCs w:val="24"/>
        </w:rPr>
        <w:t xml:space="preserve">, 3(2), pp. 77–101. Available at: </w:t>
      </w:r>
      <w:hyperlink r:id="rId10" w:history="1">
        <w:r w:rsidRPr="00CC0062">
          <w:rPr>
            <w:rStyle w:val="Hyperlink"/>
            <w:rFonts w:ascii="Arial" w:hAnsi="Arial" w:cs="Arial"/>
            <w:sz w:val="24"/>
            <w:szCs w:val="24"/>
          </w:rPr>
          <w:t>https://www.tandfonline.com/doi/10.1191/1478088706qp063oa</w:t>
        </w:r>
      </w:hyperlink>
      <w:r w:rsidRPr="00CC0062">
        <w:rPr>
          <w:rFonts w:ascii="Arial" w:hAnsi="Arial" w:cs="Arial"/>
          <w:sz w:val="24"/>
          <w:szCs w:val="24"/>
        </w:rPr>
        <w:t xml:space="preserve"> (Accessed: 1 December 2025).</w:t>
      </w:r>
    </w:p>
    <w:p w14:paraId="0C1C4950" w14:textId="6AEFBCC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Bryman, A. (2016) </w:t>
      </w:r>
      <w:r w:rsidRPr="00CC0062">
        <w:rPr>
          <w:rFonts w:ascii="Arial" w:hAnsi="Arial" w:cs="Arial"/>
          <w:i/>
          <w:iCs/>
          <w:sz w:val="24"/>
          <w:szCs w:val="24"/>
        </w:rPr>
        <w:t>Social research methods</w:t>
      </w:r>
      <w:r w:rsidRPr="00CC0062">
        <w:rPr>
          <w:rFonts w:ascii="Arial" w:hAnsi="Arial" w:cs="Arial"/>
          <w:sz w:val="24"/>
          <w:szCs w:val="24"/>
        </w:rPr>
        <w:t xml:space="preserve">. 5th edn. Oxford: Oxford University Press. Available at: </w:t>
      </w:r>
      <w:hyperlink r:id="rId11" w:history="1">
        <w:r w:rsidRPr="00CC0062">
          <w:rPr>
            <w:rStyle w:val="Hyperlink"/>
            <w:rFonts w:ascii="Arial" w:hAnsi="Arial" w:cs="Arial"/>
            <w:sz w:val="24"/>
            <w:szCs w:val="24"/>
          </w:rPr>
          <w:t>https://global.oup.com/academic/product/social-research-methods-9780199689453</w:t>
        </w:r>
      </w:hyperlink>
      <w:r w:rsidRPr="00CC0062">
        <w:rPr>
          <w:rFonts w:ascii="Arial" w:hAnsi="Arial" w:cs="Arial"/>
          <w:sz w:val="24"/>
          <w:szCs w:val="24"/>
        </w:rPr>
        <w:t xml:space="preserve"> (Accessed: 7 December 2025).</w:t>
      </w:r>
    </w:p>
    <w:p w14:paraId="3435468C" w14:textId="5832285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Chen, K. and Chan, A.H.S. (2014) ‘Gerontechnology acceptance by elderly Hong Kong Chinese’, </w:t>
      </w:r>
      <w:r w:rsidRPr="00CC0062">
        <w:rPr>
          <w:rFonts w:ascii="Arial" w:hAnsi="Arial" w:cs="Arial"/>
          <w:i/>
          <w:iCs/>
          <w:sz w:val="24"/>
          <w:szCs w:val="24"/>
        </w:rPr>
        <w:t>Ergonomics</w:t>
      </w:r>
      <w:r w:rsidRPr="00CC0062">
        <w:rPr>
          <w:rFonts w:ascii="Arial" w:hAnsi="Arial" w:cs="Arial"/>
          <w:sz w:val="24"/>
          <w:szCs w:val="24"/>
        </w:rPr>
        <w:t xml:space="preserve">, 57(5), pp. 635–652. Available at: </w:t>
      </w:r>
      <w:hyperlink r:id="rId12" w:history="1">
        <w:r w:rsidRPr="00CC0062">
          <w:rPr>
            <w:rStyle w:val="Hyperlink"/>
            <w:rFonts w:ascii="Arial" w:hAnsi="Arial" w:cs="Arial"/>
            <w:sz w:val="24"/>
            <w:szCs w:val="24"/>
          </w:rPr>
          <w:t>https://www.tandfonline.com/doi/10.1080/00140139.2014.895855</w:t>
        </w:r>
      </w:hyperlink>
      <w:r w:rsidRPr="00CC0062">
        <w:rPr>
          <w:rFonts w:ascii="Arial" w:hAnsi="Arial" w:cs="Arial"/>
          <w:sz w:val="24"/>
          <w:szCs w:val="24"/>
        </w:rPr>
        <w:t xml:space="preserve"> (Accessed: 9 December 2025).</w:t>
      </w:r>
    </w:p>
    <w:p w14:paraId="7AE04372" w14:textId="3C8911A0"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Creswell, J.W. and Poth, C.N. (2018) </w:t>
      </w:r>
      <w:r w:rsidRPr="00CC0062">
        <w:rPr>
          <w:rFonts w:ascii="Arial" w:hAnsi="Arial" w:cs="Arial"/>
          <w:i/>
          <w:iCs/>
          <w:sz w:val="24"/>
          <w:szCs w:val="24"/>
        </w:rPr>
        <w:t>Qualitative inquiry and research design: Choosing among five approaches</w:t>
      </w:r>
      <w:r w:rsidRPr="00CC0062">
        <w:rPr>
          <w:rFonts w:ascii="Arial" w:hAnsi="Arial" w:cs="Arial"/>
          <w:sz w:val="24"/>
          <w:szCs w:val="24"/>
        </w:rPr>
        <w:t xml:space="preserve">. 4th edn. London: SAGE. Available at: </w:t>
      </w:r>
      <w:hyperlink r:id="rId13" w:history="1">
        <w:r w:rsidRPr="00CC0062">
          <w:rPr>
            <w:rStyle w:val="Hyperlink"/>
            <w:rFonts w:ascii="Arial" w:hAnsi="Arial" w:cs="Arial"/>
            <w:sz w:val="24"/>
            <w:szCs w:val="24"/>
          </w:rPr>
          <w:t>https://uk.sagepub.com/en-gb/eur/qualitative-inquiry-and-research-design/book246896</w:t>
        </w:r>
      </w:hyperlink>
      <w:r w:rsidRPr="00CC0062">
        <w:rPr>
          <w:rFonts w:ascii="Arial" w:hAnsi="Arial" w:cs="Arial"/>
          <w:sz w:val="24"/>
          <w:szCs w:val="24"/>
        </w:rPr>
        <w:t xml:space="preserve"> (Accessed: 5 December 2025).</w:t>
      </w:r>
    </w:p>
    <w:p w14:paraId="08885D69" w14:textId="0141A95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Department of Health and Social Care (2021) </w:t>
      </w:r>
      <w:r w:rsidRPr="00CC0062">
        <w:rPr>
          <w:rFonts w:ascii="Arial" w:hAnsi="Arial" w:cs="Arial"/>
          <w:i/>
          <w:iCs/>
          <w:sz w:val="24"/>
          <w:szCs w:val="24"/>
        </w:rPr>
        <w:t>Healthy ageing: Applying All Our Health</w:t>
      </w:r>
      <w:r w:rsidRPr="00CC0062">
        <w:rPr>
          <w:rFonts w:ascii="Arial" w:hAnsi="Arial" w:cs="Arial"/>
          <w:sz w:val="24"/>
          <w:szCs w:val="24"/>
        </w:rPr>
        <w:t xml:space="preserve">. London: DHSC. Available at: </w:t>
      </w:r>
      <w:hyperlink r:id="rId14" w:history="1">
        <w:r w:rsidRPr="00CC0062">
          <w:rPr>
            <w:rStyle w:val="Hyperlink"/>
            <w:rFonts w:ascii="Arial" w:hAnsi="Arial" w:cs="Arial"/>
            <w:sz w:val="24"/>
            <w:szCs w:val="24"/>
          </w:rPr>
          <w:t>https://www.gov.uk/government/publications/healthy-ageing-applying-all-our-health</w:t>
        </w:r>
      </w:hyperlink>
      <w:r w:rsidRPr="00CC0062">
        <w:rPr>
          <w:rFonts w:ascii="Arial" w:hAnsi="Arial" w:cs="Arial"/>
          <w:sz w:val="24"/>
          <w:szCs w:val="24"/>
        </w:rPr>
        <w:t xml:space="preserve"> (Accessed: 3 December 2025).</w:t>
      </w:r>
    </w:p>
    <w:p w14:paraId="72743552" w14:textId="714660B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Holden, R.J. and Karsh, B.-T. (2010) ‘The technology acceptance model: Its past and its future in health care’, </w:t>
      </w:r>
      <w:r w:rsidRPr="00CC0062">
        <w:rPr>
          <w:rFonts w:ascii="Arial" w:hAnsi="Arial" w:cs="Arial"/>
          <w:i/>
          <w:iCs/>
          <w:sz w:val="24"/>
          <w:szCs w:val="24"/>
        </w:rPr>
        <w:t>Journal of Biomedical Informatics</w:t>
      </w:r>
      <w:r w:rsidRPr="00CC0062">
        <w:rPr>
          <w:rFonts w:ascii="Arial" w:hAnsi="Arial" w:cs="Arial"/>
          <w:sz w:val="24"/>
          <w:szCs w:val="24"/>
        </w:rPr>
        <w:t xml:space="preserve">, 43(1), pp. 159–172. Available at: </w:t>
      </w:r>
      <w:hyperlink r:id="rId15" w:history="1">
        <w:r w:rsidRPr="00CC0062">
          <w:rPr>
            <w:rStyle w:val="Hyperlink"/>
            <w:rFonts w:ascii="Arial" w:hAnsi="Arial" w:cs="Arial"/>
            <w:sz w:val="24"/>
            <w:szCs w:val="24"/>
          </w:rPr>
          <w:t>https://www.sciencedirect.com/science/article/pii/S1532046409000921</w:t>
        </w:r>
      </w:hyperlink>
      <w:r w:rsidRPr="00CC0062">
        <w:rPr>
          <w:rFonts w:ascii="Arial" w:hAnsi="Arial" w:cs="Arial"/>
          <w:sz w:val="24"/>
          <w:szCs w:val="24"/>
        </w:rPr>
        <w:t xml:space="preserve"> (Accessed: 10 December 2025).</w:t>
      </w:r>
    </w:p>
    <w:p w14:paraId="6F2E831F" w14:textId="6306C1F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lastRenderedPageBreak/>
        <w:t xml:space="preserve">Kontos, E., Blake, K.D., Chou, W.-Y.S. and Prestin, A. (2020) ‘Predictors of eHealth usage’, </w:t>
      </w:r>
      <w:r w:rsidRPr="00CC0062">
        <w:rPr>
          <w:rFonts w:ascii="Arial" w:hAnsi="Arial" w:cs="Arial"/>
          <w:i/>
          <w:iCs/>
          <w:sz w:val="24"/>
          <w:szCs w:val="24"/>
        </w:rPr>
        <w:t>Journal of Medical Internet Research</w:t>
      </w:r>
      <w:r w:rsidRPr="00CC0062">
        <w:rPr>
          <w:rFonts w:ascii="Arial" w:hAnsi="Arial" w:cs="Arial"/>
          <w:sz w:val="24"/>
          <w:szCs w:val="24"/>
        </w:rPr>
        <w:t>, 22(10), e21632.</w:t>
      </w:r>
      <w:r w:rsidRPr="00CC0062">
        <w:rPr>
          <w:rFonts w:ascii="Arial" w:hAnsi="Arial" w:cs="Arial"/>
          <w:sz w:val="24"/>
          <w:szCs w:val="24"/>
        </w:rPr>
        <w:br/>
        <w:t xml:space="preserve">Available at: </w:t>
      </w:r>
      <w:hyperlink r:id="rId16" w:history="1">
        <w:r w:rsidRPr="00CC0062">
          <w:rPr>
            <w:rStyle w:val="Hyperlink"/>
            <w:rFonts w:ascii="Arial" w:hAnsi="Arial" w:cs="Arial"/>
            <w:sz w:val="24"/>
            <w:szCs w:val="24"/>
          </w:rPr>
          <w:t>https://www.jmir.org/2020/10/e21632</w:t>
        </w:r>
      </w:hyperlink>
      <w:r w:rsidRPr="00CC0062">
        <w:rPr>
          <w:rFonts w:ascii="Arial" w:hAnsi="Arial" w:cs="Arial"/>
          <w:sz w:val="24"/>
          <w:szCs w:val="24"/>
        </w:rPr>
        <w:t xml:space="preserve"> (Accessed: 7 December 2025).</w:t>
      </w:r>
    </w:p>
    <w:p w14:paraId="666931AC" w14:textId="08AB6422"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Kourtis, L.C., Regele, O.B., Wright, J.M. and Jones, G.B. (2019) ‘Digital biomarkers for Alzheimer’s disease’, </w:t>
      </w:r>
      <w:r w:rsidRPr="00CC0062">
        <w:rPr>
          <w:rFonts w:ascii="Arial" w:hAnsi="Arial" w:cs="Arial"/>
          <w:i/>
          <w:iCs/>
          <w:sz w:val="24"/>
          <w:szCs w:val="24"/>
        </w:rPr>
        <w:t>NPJ Digital Medicine</w:t>
      </w:r>
      <w:r w:rsidRPr="00CC0062">
        <w:rPr>
          <w:rFonts w:ascii="Arial" w:hAnsi="Arial" w:cs="Arial"/>
          <w:sz w:val="24"/>
          <w:szCs w:val="24"/>
        </w:rPr>
        <w:t>, 2, 8.</w:t>
      </w:r>
      <w:r w:rsidRPr="00CC0062">
        <w:rPr>
          <w:rFonts w:ascii="Arial" w:hAnsi="Arial" w:cs="Arial"/>
          <w:sz w:val="24"/>
          <w:szCs w:val="24"/>
        </w:rPr>
        <w:br/>
        <w:t xml:space="preserve">Available at: </w:t>
      </w:r>
      <w:hyperlink r:id="rId17" w:history="1">
        <w:r w:rsidRPr="00CC0062">
          <w:rPr>
            <w:rStyle w:val="Hyperlink"/>
            <w:rFonts w:ascii="Arial" w:hAnsi="Arial" w:cs="Arial"/>
            <w:sz w:val="24"/>
            <w:szCs w:val="24"/>
          </w:rPr>
          <w:t>https://www.nature.com/articles/s41746-019-0084-2</w:t>
        </w:r>
      </w:hyperlink>
      <w:r w:rsidRPr="00CC0062">
        <w:rPr>
          <w:rFonts w:ascii="Arial" w:hAnsi="Arial" w:cs="Arial"/>
          <w:sz w:val="24"/>
          <w:szCs w:val="24"/>
        </w:rPr>
        <w:t xml:space="preserve"> (Accessed: 1 December 2025).</w:t>
      </w:r>
    </w:p>
    <w:p w14:paraId="6CA38599"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Lampit, A., Hallock, H. and Valenzuela, M. (2019) ‘Computerized cognitive training in cognitively healthy older adults’, </w:t>
      </w:r>
      <w:r w:rsidRPr="00CC0062">
        <w:rPr>
          <w:rFonts w:ascii="Arial" w:hAnsi="Arial" w:cs="Arial"/>
          <w:i/>
          <w:iCs/>
          <w:sz w:val="24"/>
          <w:szCs w:val="24"/>
        </w:rPr>
        <w:t>PLoS Medicine</w:t>
      </w:r>
      <w:r w:rsidRPr="00CC0062">
        <w:rPr>
          <w:rFonts w:ascii="Arial" w:hAnsi="Arial" w:cs="Arial"/>
          <w:sz w:val="24"/>
          <w:szCs w:val="24"/>
        </w:rPr>
        <w:t>, 11(11), e1001756.</w:t>
      </w:r>
      <w:r w:rsidRPr="00CC0062">
        <w:rPr>
          <w:rFonts w:ascii="Arial" w:hAnsi="Arial" w:cs="Arial"/>
          <w:sz w:val="24"/>
          <w:szCs w:val="24"/>
        </w:rPr>
        <w:br/>
        <w:t xml:space="preserve">Available at: </w:t>
      </w:r>
      <w:hyperlink r:id="rId18" w:history="1">
        <w:r w:rsidRPr="00CC0062">
          <w:rPr>
            <w:rStyle w:val="Hyperlink"/>
            <w:rFonts w:ascii="Arial" w:hAnsi="Arial" w:cs="Arial"/>
            <w:sz w:val="24"/>
            <w:szCs w:val="24"/>
          </w:rPr>
          <w:t>https://journals.plos.org/plosmedicine/article?id=10.1371/journal.pmed.1001756</w:t>
        </w:r>
      </w:hyperlink>
      <w:r w:rsidRPr="00CC0062">
        <w:rPr>
          <w:rFonts w:ascii="Arial" w:hAnsi="Arial" w:cs="Arial"/>
          <w:sz w:val="24"/>
          <w:szCs w:val="24"/>
        </w:rPr>
        <w:br/>
        <w:t>(Accessed: 9 December 2025).</w:t>
      </w:r>
    </w:p>
    <w:p w14:paraId="584930EC" w14:textId="3503F9F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Marston, H.R. and van Hoof, J. (2019) ‘“Who doesn’t think about technology when designing urban environments for older people?”’, </w:t>
      </w:r>
      <w:r w:rsidRPr="00CC0062">
        <w:rPr>
          <w:rFonts w:ascii="Arial" w:hAnsi="Arial" w:cs="Arial"/>
          <w:i/>
          <w:iCs/>
          <w:sz w:val="24"/>
          <w:szCs w:val="24"/>
        </w:rPr>
        <w:t>International Journal of Environmental Research and Public Health</w:t>
      </w:r>
      <w:r w:rsidRPr="00CC0062">
        <w:rPr>
          <w:rFonts w:ascii="Arial" w:hAnsi="Arial" w:cs="Arial"/>
          <w:sz w:val="24"/>
          <w:szCs w:val="24"/>
        </w:rPr>
        <w:t xml:space="preserve">, 16(19), 3525. Available at: </w:t>
      </w:r>
      <w:hyperlink r:id="rId19" w:history="1">
        <w:r w:rsidRPr="00CC0062">
          <w:rPr>
            <w:rStyle w:val="Hyperlink"/>
            <w:rFonts w:ascii="Arial" w:hAnsi="Arial" w:cs="Arial"/>
            <w:sz w:val="24"/>
            <w:szCs w:val="24"/>
          </w:rPr>
          <w:t>https://www.mdpi.com/1660-4601/16/19/3525</w:t>
        </w:r>
      </w:hyperlink>
      <w:r w:rsidRPr="00CC0062">
        <w:rPr>
          <w:rFonts w:ascii="Arial" w:hAnsi="Arial" w:cs="Arial"/>
          <w:sz w:val="24"/>
          <w:szCs w:val="24"/>
        </w:rPr>
        <w:t xml:space="preserve"> (Accessed: 5 December 2025).</w:t>
      </w:r>
    </w:p>
    <w:p w14:paraId="0AE6AEC5" w14:textId="4DF8D29F"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Marston, H.R., Shore, L., White, P.J. and Turner, R. (2021) ‘Digital inclusion in older adults’, </w:t>
      </w:r>
      <w:r w:rsidRPr="00CC0062">
        <w:rPr>
          <w:rFonts w:ascii="Arial" w:hAnsi="Arial" w:cs="Arial"/>
          <w:i/>
          <w:iCs/>
          <w:sz w:val="24"/>
          <w:szCs w:val="24"/>
        </w:rPr>
        <w:t>Journal of Aging &amp; Social Policy</w:t>
      </w:r>
      <w:r w:rsidRPr="00CC0062">
        <w:rPr>
          <w:rFonts w:ascii="Arial" w:hAnsi="Arial" w:cs="Arial"/>
          <w:sz w:val="24"/>
          <w:szCs w:val="24"/>
        </w:rPr>
        <w:t>, 33(4–5), pp. 375–398.</w:t>
      </w:r>
      <w:r w:rsidRPr="00CC0062">
        <w:rPr>
          <w:rFonts w:ascii="Arial" w:hAnsi="Arial" w:cs="Arial"/>
          <w:sz w:val="24"/>
          <w:szCs w:val="24"/>
        </w:rPr>
        <w:br/>
        <w:t xml:space="preserve">Available at: </w:t>
      </w:r>
      <w:hyperlink r:id="rId20" w:history="1">
        <w:r w:rsidRPr="00CC0062">
          <w:rPr>
            <w:rStyle w:val="Hyperlink"/>
            <w:rFonts w:ascii="Arial" w:hAnsi="Arial" w:cs="Arial"/>
            <w:sz w:val="24"/>
            <w:szCs w:val="24"/>
          </w:rPr>
          <w:t>https://www.tandfonline.com/doi/full/10.1080/08959420.2020.1855136</w:t>
        </w:r>
      </w:hyperlink>
      <w:r w:rsidRPr="00CC0062">
        <w:rPr>
          <w:rFonts w:ascii="Arial" w:hAnsi="Arial" w:cs="Arial"/>
          <w:sz w:val="24"/>
          <w:szCs w:val="24"/>
        </w:rPr>
        <w:t xml:space="preserve"> (Accessed: 10 December 2025).</w:t>
      </w:r>
    </w:p>
    <w:p w14:paraId="4ECB77A9"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Moher, D. et al. (2009) ‘Preferred reporting items for systematic reviews and meta-analyses: The PRISMA statement’, </w:t>
      </w:r>
      <w:r w:rsidRPr="00CC0062">
        <w:rPr>
          <w:rFonts w:ascii="Arial" w:hAnsi="Arial" w:cs="Arial"/>
          <w:i/>
          <w:iCs/>
          <w:sz w:val="24"/>
          <w:szCs w:val="24"/>
        </w:rPr>
        <w:t>PLoS Medicine</w:t>
      </w:r>
      <w:r w:rsidRPr="00CC0062">
        <w:rPr>
          <w:rFonts w:ascii="Arial" w:hAnsi="Arial" w:cs="Arial"/>
          <w:sz w:val="24"/>
          <w:szCs w:val="24"/>
        </w:rPr>
        <w:t>, 6(7), e1000097.</w:t>
      </w:r>
      <w:r w:rsidRPr="00CC0062">
        <w:rPr>
          <w:rFonts w:ascii="Arial" w:hAnsi="Arial" w:cs="Arial"/>
          <w:sz w:val="24"/>
          <w:szCs w:val="24"/>
        </w:rPr>
        <w:br/>
        <w:t xml:space="preserve">Available at: </w:t>
      </w:r>
      <w:hyperlink r:id="rId21" w:history="1">
        <w:r w:rsidRPr="00CC0062">
          <w:rPr>
            <w:rStyle w:val="Hyperlink"/>
            <w:rFonts w:ascii="Arial" w:hAnsi="Arial" w:cs="Arial"/>
            <w:sz w:val="24"/>
            <w:szCs w:val="24"/>
          </w:rPr>
          <w:t>https://journals.plos.org/plosmedicine/article?id=10.1371/journal.pmed.1000097</w:t>
        </w:r>
      </w:hyperlink>
      <w:r w:rsidRPr="00CC0062">
        <w:rPr>
          <w:rFonts w:ascii="Arial" w:hAnsi="Arial" w:cs="Arial"/>
          <w:sz w:val="24"/>
          <w:szCs w:val="24"/>
        </w:rPr>
        <w:br/>
        <w:t>(Accessed: 3 December 2025).</w:t>
      </w:r>
    </w:p>
    <w:p w14:paraId="6EBA5BCB" w14:textId="05C1BBA2"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(2022) </w:t>
      </w:r>
      <w:r w:rsidRPr="00CC0062">
        <w:rPr>
          <w:rFonts w:ascii="Arial" w:hAnsi="Arial" w:cs="Arial"/>
          <w:i/>
          <w:iCs/>
          <w:sz w:val="24"/>
          <w:szCs w:val="24"/>
        </w:rPr>
        <w:t>Dementia</w:t>
      </w:r>
      <w:r w:rsidRPr="00CC0062">
        <w:rPr>
          <w:rFonts w:ascii="Arial" w:hAnsi="Arial" w:cs="Arial"/>
          <w:sz w:val="24"/>
          <w:szCs w:val="24"/>
        </w:rPr>
        <w:t xml:space="preserve">. Available at: </w:t>
      </w:r>
      <w:hyperlink r:id="rId22" w:history="1">
        <w:r w:rsidRPr="00CC0062">
          <w:rPr>
            <w:rStyle w:val="Hyperlink"/>
            <w:rFonts w:ascii="Arial" w:hAnsi="Arial" w:cs="Arial"/>
            <w:sz w:val="24"/>
            <w:szCs w:val="24"/>
          </w:rPr>
          <w:t>https://www.nhs.uk/conditions/dementia/</w:t>
        </w:r>
      </w:hyperlink>
      <w:r w:rsidRPr="00CC0062">
        <w:rPr>
          <w:rFonts w:ascii="Arial" w:hAnsi="Arial" w:cs="Arial"/>
          <w:sz w:val="24"/>
          <w:szCs w:val="24"/>
        </w:rPr>
        <w:br/>
        <w:t>(Accessed: 1 December 2025).</w:t>
      </w:r>
    </w:p>
    <w:p w14:paraId="7E606CEF" w14:textId="7801B26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Digital (2021) </w:t>
      </w:r>
      <w:r w:rsidRPr="00CC0062">
        <w:rPr>
          <w:rFonts w:ascii="Arial" w:hAnsi="Arial" w:cs="Arial"/>
          <w:i/>
          <w:iCs/>
          <w:sz w:val="24"/>
          <w:szCs w:val="24"/>
        </w:rPr>
        <w:t>Digital inclusion and older people</w:t>
      </w:r>
      <w:r w:rsidRPr="00CC0062">
        <w:rPr>
          <w:rFonts w:ascii="Arial" w:hAnsi="Arial" w:cs="Arial"/>
          <w:sz w:val="24"/>
          <w:szCs w:val="24"/>
        </w:rPr>
        <w:t xml:space="preserve">. Available at: </w:t>
      </w:r>
      <w:hyperlink r:id="rId23" w:history="1">
        <w:r w:rsidRPr="00CC0062">
          <w:rPr>
            <w:rStyle w:val="Hyperlink"/>
            <w:rFonts w:ascii="Arial" w:hAnsi="Arial" w:cs="Arial"/>
            <w:sz w:val="24"/>
            <w:szCs w:val="24"/>
          </w:rPr>
          <w:t>https://digital.nhs.uk/about-nhs-digital/our-work/digital-inclusion</w:t>
        </w:r>
      </w:hyperlink>
      <w:r w:rsidRPr="00CC0062">
        <w:rPr>
          <w:rFonts w:ascii="Arial" w:hAnsi="Arial" w:cs="Arial"/>
          <w:sz w:val="24"/>
          <w:szCs w:val="24"/>
        </w:rPr>
        <w:br/>
        <w:t>(Accessed: 7 December 2025).</w:t>
      </w:r>
    </w:p>
    <w:p w14:paraId="54400622" w14:textId="2AD340E8"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England (2019) </w:t>
      </w:r>
      <w:r w:rsidRPr="00CC0062">
        <w:rPr>
          <w:rFonts w:ascii="Arial" w:hAnsi="Arial" w:cs="Arial"/>
          <w:i/>
          <w:iCs/>
          <w:sz w:val="24"/>
          <w:szCs w:val="24"/>
        </w:rPr>
        <w:t>The NHS Long Term Plan</w:t>
      </w:r>
      <w:r w:rsidRPr="00CC0062">
        <w:rPr>
          <w:rFonts w:ascii="Arial" w:hAnsi="Arial" w:cs="Arial"/>
          <w:sz w:val="24"/>
          <w:szCs w:val="24"/>
        </w:rPr>
        <w:t xml:space="preserve">. Available at: </w:t>
      </w:r>
      <w:hyperlink r:id="rId24" w:history="1">
        <w:r w:rsidRPr="00CC0062">
          <w:rPr>
            <w:rStyle w:val="Hyperlink"/>
            <w:rFonts w:ascii="Arial" w:hAnsi="Arial" w:cs="Arial"/>
            <w:sz w:val="24"/>
            <w:szCs w:val="24"/>
          </w:rPr>
          <w:t>https://www.longtermplan.nhs.uk</w:t>
        </w:r>
      </w:hyperlink>
      <w:r w:rsidRPr="00CC0062">
        <w:rPr>
          <w:rFonts w:ascii="Arial" w:hAnsi="Arial" w:cs="Arial"/>
          <w:sz w:val="24"/>
          <w:szCs w:val="24"/>
        </w:rPr>
        <w:t xml:space="preserve"> (Accessed: 9 December 2025).</w:t>
      </w:r>
    </w:p>
    <w:p w14:paraId="37382330" w14:textId="6DAD7D2C"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lastRenderedPageBreak/>
        <w:t xml:space="preserve">NHS England (2022) </w:t>
      </w:r>
      <w:r w:rsidRPr="00CC0062">
        <w:rPr>
          <w:rFonts w:ascii="Arial" w:hAnsi="Arial" w:cs="Arial"/>
          <w:i/>
          <w:iCs/>
          <w:sz w:val="24"/>
          <w:szCs w:val="24"/>
        </w:rPr>
        <w:t>Social prescribing</w:t>
      </w:r>
      <w:r w:rsidRPr="00CC0062">
        <w:rPr>
          <w:rFonts w:ascii="Arial" w:hAnsi="Arial" w:cs="Arial"/>
          <w:sz w:val="24"/>
          <w:szCs w:val="24"/>
        </w:rPr>
        <w:t xml:space="preserve">. Available at: </w:t>
      </w:r>
      <w:hyperlink r:id="rId25" w:history="1">
        <w:r w:rsidRPr="00CC0062">
          <w:rPr>
            <w:rStyle w:val="Hyperlink"/>
            <w:rFonts w:ascii="Arial" w:hAnsi="Arial" w:cs="Arial"/>
            <w:sz w:val="24"/>
            <w:szCs w:val="24"/>
          </w:rPr>
          <w:t>https://www.england.nhs.uk/personalisedcare/social-prescribing/</w:t>
        </w:r>
      </w:hyperlink>
      <w:r w:rsidRPr="00CC0062">
        <w:rPr>
          <w:rFonts w:ascii="Arial" w:hAnsi="Arial" w:cs="Arial"/>
          <w:sz w:val="24"/>
          <w:szCs w:val="24"/>
        </w:rPr>
        <w:t xml:space="preserve"> (Accessed: 5 December 2025).</w:t>
      </w:r>
    </w:p>
    <w:p w14:paraId="7FAAC44C" w14:textId="4B06B104"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NICE (2022) </w:t>
      </w:r>
      <w:r w:rsidRPr="00CC0062">
        <w:rPr>
          <w:rFonts w:ascii="Arial" w:hAnsi="Arial" w:cs="Arial"/>
          <w:i/>
          <w:iCs/>
          <w:sz w:val="24"/>
          <w:szCs w:val="24"/>
        </w:rPr>
        <w:t>Evidence standards framework for digital health technologies</w:t>
      </w:r>
      <w:r w:rsidRPr="00CC0062">
        <w:rPr>
          <w:rFonts w:ascii="Arial" w:hAnsi="Arial" w:cs="Arial"/>
          <w:sz w:val="24"/>
          <w:szCs w:val="24"/>
        </w:rPr>
        <w:t xml:space="preserve">. London: NICE. Available at: </w:t>
      </w:r>
      <w:hyperlink r:id="rId26" w:history="1">
        <w:r w:rsidRPr="00CC0062">
          <w:rPr>
            <w:rStyle w:val="Hyperlink"/>
            <w:rFonts w:ascii="Arial" w:hAnsi="Arial" w:cs="Arial"/>
            <w:sz w:val="24"/>
            <w:szCs w:val="24"/>
          </w:rPr>
          <w:t>https://www.nice.org.uk/about/what-we-do/our-programmes/evidence-standards-framework-for-digital-health-technologies</w:t>
        </w:r>
      </w:hyperlink>
      <w:r w:rsidRPr="00CC0062">
        <w:rPr>
          <w:rFonts w:ascii="Arial" w:hAnsi="Arial" w:cs="Arial"/>
          <w:sz w:val="24"/>
          <w:szCs w:val="24"/>
        </w:rPr>
        <w:br/>
        <w:t>(Accessed: 10 December 2025).</w:t>
      </w:r>
    </w:p>
    <w:p w14:paraId="55398BF9" w14:textId="551D78E0"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Ofcom (2023) </w:t>
      </w:r>
      <w:r w:rsidRPr="00CC0062">
        <w:rPr>
          <w:rFonts w:ascii="Arial" w:hAnsi="Arial" w:cs="Arial"/>
          <w:i/>
          <w:iCs/>
          <w:sz w:val="24"/>
          <w:szCs w:val="24"/>
        </w:rPr>
        <w:t>Adults’ media use and attitudes report</w:t>
      </w:r>
      <w:r w:rsidRPr="00CC0062">
        <w:rPr>
          <w:rFonts w:ascii="Arial" w:hAnsi="Arial" w:cs="Arial"/>
          <w:sz w:val="24"/>
          <w:szCs w:val="24"/>
        </w:rPr>
        <w:t>. London: Ofcom.</w:t>
      </w:r>
      <w:r w:rsidRPr="00CC0062">
        <w:rPr>
          <w:rFonts w:ascii="Arial" w:hAnsi="Arial" w:cs="Arial"/>
          <w:sz w:val="24"/>
          <w:szCs w:val="24"/>
        </w:rPr>
        <w:br/>
        <w:t xml:space="preserve">Available at: </w:t>
      </w:r>
      <w:hyperlink r:id="rId27" w:history="1">
        <w:r w:rsidRPr="00CC0062">
          <w:rPr>
            <w:rStyle w:val="Hyperlink"/>
            <w:rFonts w:ascii="Arial" w:hAnsi="Arial" w:cs="Arial"/>
            <w:sz w:val="24"/>
            <w:szCs w:val="24"/>
          </w:rPr>
          <w:t>https://www.ofcom.org.uk/research-and-data/media-literacy-research/adults/adults-media-use-and-attitudes</w:t>
        </w:r>
      </w:hyperlink>
      <w:r w:rsidRPr="00CC0062">
        <w:rPr>
          <w:rFonts w:ascii="Arial" w:hAnsi="Arial" w:cs="Arial"/>
          <w:sz w:val="24"/>
          <w:szCs w:val="24"/>
        </w:rPr>
        <w:t xml:space="preserve"> (Accessed: 3 December 2025).</w:t>
      </w:r>
    </w:p>
    <w:p w14:paraId="1BBBACBF" w14:textId="7E0D757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Richardson, S. et al. (2021) ‘Barriers to adoption of digital health technology in older adults’, </w:t>
      </w:r>
      <w:r w:rsidRPr="00CC0062">
        <w:rPr>
          <w:rFonts w:ascii="Arial" w:hAnsi="Arial" w:cs="Arial"/>
          <w:i/>
          <w:iCs/>
          <w:sz w:val="24"/>
          <w:szCs w:val="24"/>
        </w:rPr>
        <w:t>BMC Geriatrics</w:t>
      </w:r>
      <w:r w:rsidRPr="00CC0062">
        <w:rPr>
          <w:rFonts w:ascii="Arial" w:hAnsi="Arial" w:cs="Arial"/>
          <w:sz w:val="24"/>
          <w:szCs w:val="24"/>
        </w:rPr>
        <w:t xml:space="preserve">, 21, 394. Available at: </w:t>
      </w:r>
      <w:hyperlink r:id="rId28" w:history="1">
        <w:r w:rsidRPr="00CC0062">
          <w:rPr>
            <w:rStyle w:val="Hyperlink"/>
            <w:rFonts w:ascii="Arial" w:hAnsi="Arial" w:cs="Arial"/>
            <w:sz w:val="24"/>
            <w:szCs w:val="24"/>
          </w:rPr>
          <w:t>https://bmcgeriatr.biomedcentral.com/articles/10.1186/s12877-021-02391-7</w:t>
        </w:r>
      </w:hyperlink>
      <w:r w:rsidRPr="00CC0062">
        <w:rPr>
          <w:rFonts w:ascii="Arial" w:hAnsi="Arial" w:cs="Arial"/>
          <w:sz w:val="24"/>
          <w:szCs w:val="24"/>
        </w:rPr>
        <w:br/>
        <w:t>(Accessed: 7 December 2025).</w:t>
      </w:r>
    </w:p>
    <w:p w14:paraId="09DED456" w14:textId="4732851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Seifert, A., Cotten, S.R. and Xie, B. (2020) ‘A double burden of exclusion?’, </w:t>
      </w:r>
      <w:r w:rsidRPr="00CC0062">
        <w:rPr>
          <w:rFonts w:ascii="Arial" w:hAnsi="Arial" w:cs="Arial"/>
          <w:i/>
          <w:iCs/>
          <w:sz w:val="24"/>
          <w:szCs w:val="24"/>
        </w:rPr>
        <w:t>Journal of Aging &amp; Social Policy</w:t>
      </w:r>
      <w:r w:rsidRPr="00CC0062">
        <w:rPr>
          <w:rFonts w:ascii="Arial" w:hAnsi="Arial" w:cs="Arial"/>
          <w:sz w:val="24"/>
          <w:szCs w:val="24"/>
        </w:rPr>
        <w:t xml:space="preserve">, 32(3), pp. 285–302.Available at: </w:t>
      </w:r>
      <w:hyperlink r:id="rId29" w:history="1">
        <w:r w:rsidRPr="00CC0062">
          <w:rPr>
            <w:rStyle w:val="Hyperlink"/>
            <w:rFonts w:ascii="Arial" w:hAnsi="Arial" w:cs="Arial"/>
            <w:sz w:val="24"/>
            <w:szCs w:val="24"/>
          </w:rPr>
          <w:t>https://www.tandfonline.com/doi/full/10.1080/08959420.2018.1533066</w:t>
        </w:r>
      </w:hyperlink>
      <w:r w:rsidRPr="00CC0062">
        <w:rPr>
          <w:rFonts w:ascii="Arial" w:hAnsi="Arial" w:cs="Arial"/>
          <w:sz w:val="24"/>
          <w:szCs w:val="24"/>
        </w:rPr>
        <w:br/>
        <w:t>(Accessed: 9 December 2025).</w:t>
      </w:r>
    </w:p>
    <w:p w14:paraId="44849C84" w14:textId="14ED2ABD"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Thomas, J. and Harden, A. (2008) ‘Methods for the thematic synthesis of qualitative research in systematic reviews’, </w:t>
      </w:r>
      <w:r w:rsidRPr="00CC0062">
        <w:rPr>
          <w:rFonts w:ascii="Arial" w:hAnsi="Arial" w:cs="Arial"/>
          <w:i/>
          <w:iCs/>
          <w:sz w:val="24"/>
          <w:szCs w:val="24"/>
        </w:rPr>
        <w:t>BMC Medical Research Methodology</w:t>
      </w:r>
      <w:r w:rsidRPr="00CC0062">
        <w:rPr>
          <w:rFonts w:ascii="Arial" w:hAnsi="Arial" w:cs="Arial"/>
          <w:sz w:val="24"/>
          <w:szCs w:val="24"/>
        </w:rPr>
        <w:t xml:space="preserve">, 8, 45. Available at: </w:t>
      </w:r>
      <w:hyperlink r:id="rId30" w:history="1">
        <w:r w:rsidRPr="00CC0062">
          <w:rPr>
            <w:rStyle w:val="Hyperlink"/>
            <w:rFonts w:ascii="Arial" w:hAnsi="Arial" w:cs="Arial"/>
            <w:sz w:val="24"/>
            <w:szCs w:val="24"/>
          </w:rPr>
          <w:t>https://bmcmedresmethodol.biomedcentral.com/articles/10.1186/1471-2288-8-45</w:t>
        </w:r>
      </w:hyperlink>
      <w:r w:rsidRPr="00CC0062">
        <w:rPr>
          <w:rFonts w:ascii="Arial" w:hAnsi="Arial" w:cs="Arial"/>
          <w:sz w:val="24"/>
          <w:szCs w:val="24"/>
        </w:rPr>
        <w:br/>
        <w:t>(Accessed: 1 December 2025).</w:t>
      </w:r>
    </w:p>
    <w:p w14:paraId="2E75536A" w14:textId="7042884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Tsai, H.S. et al. (2020) ‘Understanding older adults’ technology adoption’, </w:t>
      </w:r>
      <w:r w:rsidRPr="00CC0062">
        <w:rPr>
          <w:rFonts w:ascii="Arial" w:hAnsi="Arial" w:cs="Arial"/>
          <w:i/>
          <w:iCs/>
          <w:sz w:val="24"/>
          <w:szCs w:val="24"/>
        </w:rPr>
        <w:t>Educational Gerontology</w:t>
      </w:r>
      <w:r w:rsidRPr="00CC0062">
        <w:rPr>
          <w:rFonts w:ascii="Arial" w:hAnsi="Arial" w:cs="Arial"/>
          <w:sz w:val="24"/>
          <w:szCs w:val="24"/>
        </w:rPr>
        <w:t xml:space="preserve">, 46(8), pp. 428–442. Available at: </w:t>
      </w:r>
      <w:hyperlink r:id="rId31" w:history="1">
        <w:r w:rsidRPr="00CC0062">
          <w:rPr>
            <w:rStyle w:val="Hyperlink"/>
            <w:rFonts w:ascii="Arial" w:hAnsi="Arial" w:cs="Arial"/>
            <w:sz w:val="24"/>
            <w:szCs w:val="24"/>
          </w:rPr>
          <w:t>https://www.tandfonline.com/doi/full/10.1080/03601277.2020.1791273</w:t>
        </w:r>
      </w:hyperlink>
      <w:r w:rsidRPr="00CC0062">
        <w:rPr>
          <w:rFonts w:ascii="Arial" w:hAnsi="Arial" w:cs="Arial"/>
          <w:sz w:val="24"/>
          <w:szCs w:val="24"/>
        </w:rPr>
        <w:br/>
        <w:t>(Accessed: 5 December 2025).</w:t>
      </w:r>
    </w:p>
    <w:p w14:paraId="660DCCB7" w14:textId="2A0887CA"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UK Health Security Agency (UKHSA) (2023) </w:t>
      </w:r>
      <w:r w:rsidRPr="00CC0062">
        <w:rPr>
          <w:rFonts w:ascii="Arial" w:hAnsi="Arial" w:cs="Arial"/>
          <w:i/>
          <w:iCs/>
          <w:sz w:val="24"/>
          <w:szCs w:val="24"/>
        </w:rPr>
        <w:t>Deaths registered in England and Wales</w:t>
      </w:r>
      <w:r w:rsidRPr="00CC0062">
        <w:rPr>
          <w:rFonts w:ascii="Arial" w:hAnsi="Arial" w:cs="Arial"/>
          <w:sz w:val="24"/>
          <w:szCs w:val="24"/>
        </w:rPr>
        <w:t xml:space="preserve">. Available at: </w:t>
      </w:r>
      <w:hyperlink r:id="rId32" w:history="1">
        <w:r w:rsidRPr="00CC0062">
          <w:rPr>
            <w:rStyle w:val="Hyperlink"/>
            <w:rFonts w:ascii="Arial" w:hAnsi="Arial" w:cs="Arial"/>
            <w:sz w:val="24"/>
            <w:szCs w:val="24"/>
          </w:rPr>
          <w:t>https://www.gov.uk/government/statistics/deaths-registered-in-england-and-wales</w:t>
        </w:r>
      </w:hyperlink>
      <w:r w:rsidRPr="00CC0062">
        <w:rPr>
          <w:rFonts w:ascii="Arial" w:hAnsi="Arial" w:cs="Arial"/>
          <w:sz w:val="24"/>
          <w:szCs w:val="24"/>
        </w:rPr>
        <w:br/>
        <w:t>(Accessed: 10 December 2025).</w:t>
      </w:r>
    </w:p>
    <w:p w14:paraId="3A738610" w14:textId="059C9401"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Vaportzis, E., Clausen, M.G. and Gow, A.J. (2017) ‘Older </w:t>
      </w:r>
      <w:r w:rsidR="00CC0062" w:rsidRPr="00CC0062">
        <w:rPr>
          <w:rFonts w:ascii="Arial" w:hAnsi="Arial" w:cs="Arial"/>
          <w:sz w:val="24"/>
          <w:szCs w:val="24"/>
        </w:rPr>
        <w:t>adult’s</w:t>
      </w:r>
      <w:r w:rsidRPr="00CC0062">
        <w:rPr>
          <w:rFonts w:ascii="Arial" w:hAnsi="Arial" w:cs="Arial"/>
          <w:sz w:val="24"/>
          <w:szCs w:val="24"/>
        </w:rPr>
        <w:t xml:space="preserve"> perceptions of technology’, </w:t>
      </w:r>
      <w:r w:rsidRPr="00CC0062">
        <w:rPr>
          <w:rFonts w:ascii="Arial" w:hAnsi="Arial" w:cs="Arial"/>
          <w:i/>
          <w:iCs/>
          <w:sz w:val="24"/>
          <w:szCs w:val="24"/>
        </w:rPr>
        <w:t>Computers in Human Behavior</w:t>
      </w:r>
      <w:r w:rsidRPr="00CC0062">
        <w:rPr>
          <w:rFonts w:ascii="Arial" w:hAnsi="Arial" w:cs="Arial"/>
          <w:sz w:val="24"/>
          <w:szCs w:val="24"/>
        </w:rPr>
        <w:t xml:space="preserve">, 75, pp. 192–206. Available at: </w:t>
      </w:r>
      <w:hyperlink r:id="rId33" w:history="1">
        <w:r w:rsidRPr="00CC0062">
          <w:rPr>
            <w:rStyle w:val="Hyperlink"/>
            <w:rFonts w:ascii="Arial" w:hAnsi="Arial" w:cs="Arial"/>
            <w:sz w:val="24"/>
            <w:szCs w:val="24"/>
          </w:rPr>
          <w:t>https://www.sciencedirect.com/science/article/pii/S0747563217303679</w:t>
        </w:r>
      </w:hyperlink>
      <w:r w:rsidRPr="00CC0062">
        <w:rPr>
          <w:rFonts w:ascii="Arial" w:hAnsi="Arial" w:cs="Arial"/>
          <w:sz w:val="24"/>
          <w:szCs w:val="24"/>
        </w:rPr>
        <w:br/>
        <w:t>(Accessed: 7 December 2025).</w:t>
      </w:r>
    </w:p>
    <w:p w14:paraId="548AE888" w14:textId="77777777" w:rsidR="008952C6" w:rsidRPr="00CC0062" w:rsidRDefault="008952C6" w:rsidP="00CC0062">
      <w:pPr>
        <w:spacing w:line="360" w:lineRule="auto"/>
        <w:rPr>
          <w:rFonts w:ascii="Arial" w:hAnsi="Arial" w:cs="Arial"/>
          <w:b/>
          <w:bCs/>
          <w:sz w:val="24"/>
          <w:szCs w:val="24"/>
        </w:rPr>
      </w:pPr>
    </w:p>
    <w:p w14:paraId="6F7D9DE1" w14:textId="3C7504E1" w:rsidR="002770BB" w:rsidRPr="00CC0062" w:rsidRDefault="002770BB">
      <w:pPr>
        <w:rPr>
          <w:rFonts w:ascii="Arial" w:hAnsi="Arial" w:cs="Arial"/>
          <w:sz w:val="20"/>
          <w:szCs w:val="20"/>
        </w:rPr>
      </w:pPr>
    </w:p>
    <w:sectPr w:rsidR="002770BB" w:rsidRPr="00CC0062" w:rsidSect="008E11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BFF48" w14:textId="77777777" w:rsidR="004C4490" w:rsidRDefault="004C4490" w:rsidP="0017073B">
      <w:pPr>
        <w:spacing w:after="0" w:line="240" w:lineRule="auto"/>
      </w:pPr>
      <w:r>
        <w:separator/>
      </w:r>
    </w:p>
  </w:endnote>
  <w:endnote w:type="continuationSeparator" w:id="0">
    <w:p w14:paraId="23258D21" w14:textId="77777777" w:rsidR="004C4490" w:rsidRDefault="004C4490" w:rsidP="00170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C5859" w14:textId="77777777" w:rsidR="004C4490" w:rsidRDefault="004C4490" w:rsidP="0017073B">
      <w:pPr>
        <w:spacing w:after="0" w:line="240" w:lineRule="auto"/>
      </w:pPr>
      <w:r>
        <w:separator/>
      </w:r>
    </w:p>
  </w:footnote>
  <w:footnote w:type="continuationSeparator" w:id="0">
    <w:p w14:paraId="727BF3AB" w14:textId="77777777" w:rsidR="004C4490" w:rsidRDefault="004C4490" w:rsidP="00170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07A"/>
    <w:multiLevelType w:val="multilevel"/>
    <w:tmpl w:val="6026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F59CC"/>
    <w:multiLevelType w:val="hybridMultilevel"/>
    <w:tmpl w:val="3E940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132794F"/>
    <w:multiLevelType w:val="hybridMultilevel"/>
    <w:tmpl w:val="22E863F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06FE60BD"/>
    <w:multiLevelType w:val="hybridMultilevel"/>
    <w:tmpl w:val="05C80B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8542A4D"/>
    <w:multiLevelType w:val="hybridMultilevel"/>
    <w:tmpl w:val="59A206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AA21AAF"/>
    <w:multiLevelType w:val="multilevel"/>
    <w:tmpl w:val="C2FE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02B72"/>
    <w:multiLevelType w:val="hybridMultilevel"/>
    <w:tmpl w:val="EB0CC6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19F2ADC"/>
    <w:multiLevelType w:val="multilevel"/>
    <w:tmpl w:val="DF80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E3308"/>
    <w:multiLevelType w:val="multilevel"/>
    <w:tmpl w:val="0A4A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C30117"/>
    <w:multiLevelType w:val="multilevel"/>
    <w:tmpl w:val="083C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7D45E4"/>
    <w:multiLevelType w:val="multilevel"/>
    <w:tmpl w:val="FB22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827F1"/>
    <w:multiLevelType w:val="multilevel"/>
    <w:tmpl w:val="0178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84EA5"/>
    <w:multiLevelType w:val="multilevel"/>
    <w:tmpl w:val="BEA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E1564"/>
    <w:multiLevelType w:val="multilevel"/>
    <w:tmpl w:val="8638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DA3F03"/>
    <w:multiLevelType w:val="hybridMultilevel"/>
    <w:tmpl w:val="16447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B5463FF"/>
    <w:multiLevelType w:val="multilevel"/>
    <w:tmpl w:val="F0AA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17C29"/>
    <w:multiLevelType w:val="multilevel"/>
    <w:tmpl w:val="12F8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B4D15"/>
    <w:multiLevelType w:val="multilevel"/>
    <w:tmpl w:val="C3D6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16F1D"/>
    <w:multiLevelType w:val="multilevel"/>
    <w:tmpl w:val="F0A4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70168"/>
    <w:multiLevelType w:val="multilevel"/>
    <w:tmpl w:val="3880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366F7B"/>
    <w:multiLevelType w:val="multilevel"/>
    <w:tmpl w:val="2C72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872A06"/>
    <w:multiLevelType w:val="multilevel"/>
    <w:tmpl w:val="DD3A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E3714D"/>
    <w:multiLevelType w:val="hybridMultilevel"/>
    <w:tmpl w:val="BBD2E9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98D2418"/>
    <w:multiLevelType w:val="hybridMultilevel"/>
    <w:tmpl w:val="338E20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DE12B6B"/>
    <w:multiLevelType w:val="multilevel"/>
    <w:tmpl w:val="C13A4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3930D6"/>
    <w:multiLevelType w:val="hybridMultilevel"/>
    <w:tmpl w:val="1040BC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7984D84"/>
    <w:multiLevelType w:val="multilevel"/>
    <w:tmpl w:val="0762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42A1B"/>
    <w:multiLevelType w:val="multilevel"/>
    <w:tmpl w:val="EEE4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C73C4C"/>
    <w:multiLevelType w:val="multilevel"/>
    <w:tmpl w:val="E580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723A84"/>
    <w:multiLevelType w:val="multilevel"/>
    <w:tmpl w:val="44827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631A60"/>
    <w:multiLevelType w:val="multilevel"/>
    <w:tmpl w:val="0D98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141C43"/>
    <w:multiLevelType w:val="multilevel"/>
    <w:tmpl w:val="F02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DD2763"/>
    <w:multiLevelType w:val="multilevel"/>
    <w:tmpl w:val="99EE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285D1F"/>
    <w:multiLevelType w:val="multilevel"/>
    <w:tmpl w:val="6486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8119C"/>
    <w:multiLevelType w:val="hybridMultilevel"/>
    <w:tmpl w:val="887098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89D44B2"/>
    <w:multiLevelType w:val="multilevel"/>
    <w:tmpl w:val="380E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C8351F"/>
    <w:multiLevelType w:val="hybridMultilevel"/>
    <w:tmpl w:val="61707C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6E81A5A"/>
    <w:multiLevelType w:val="hybridMultilevel"/>
    <w:tmpl w:val="29D8C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C054971"/>
    <w:multiLevelType w:val="hybridMultilevel"/>
    <w:tmpl w:val="93C2F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D28680D"/>
    <w:multiLevelType w:val="multilevel"/>
    <w:tmpl w:val="FDC6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575F1D"/>
    <w:multiLevelType w:val="multilevel"/>
    <w:tmpl w:val="60FE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14063"/>
    <w:multiLevelType w:val="multilevel"/>
    <w:tmpl w:val="CA04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61320"/>
    <w:multiLevelType w:val="multilevel"/>
    <w:tmpl w:val="E2D49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B8228A"/>
    <w:multiLevelType w:val="hybridMultilevel"/>
    <w:tmpl w:val="989E5F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00678D7"/>
    <w:multiLevelType w:val="multilevel"/>
    <w:tmpl w:val="2F14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2140F9"/>
    <w:multiLevelType w:val="multilevel"/>
    <w:tmpl w:val="A910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393CD6"/>
    <w:multiLevelType w:val="multilevel"/>
    <w:tmpl w:val="2EBA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1778AC"/>
    <w:multiLevelType w:val="multilevel"/>
    <w:tmpl w:val="86E6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3019D9"/>
    <w:multiLevelType w:val="multilevel"/>
    <w:tmpl w:val="91C81E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77321A1C"/>
    <w:multiLevelType w:val="multilevel"/>
    <w:tmpl w:val="C88E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DF6BFD"/>
    <w:multiLevelType w:val="multilevel"/>
    <w:tmpl w:val="2BA8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070898"/>
    <w:multiLevelType w:val="multilevel"/>
    <w:tmpl w:val="D36A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865AB6"/>
    <w:multiLevelType w:val="multilevel"/>
    <w:tmpl w:val="8E0018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395347698">
    <w:abstractNumId w:val="21"/>
  </w:num>
  <w:num w:numId="2" w16cid:durableId="2087336847">
    <w:abstractNumId w:val="29"/>
  </w:num>
  <w:num w:numId="3" w16cid:durableId="1859076443">
    <w:abstractNumId w:val="6"/>
  </w:num>
  <w:num w:numId="4" w16cid:durableId="297229551">
    <w:abstractNumId w:val="3"/>
  </w:num>
  <w:num w:numId="5" w16cid:durableId="1879661671">
    <w:abstractNumId w:val="22"/>
  </w:num>
  <w:num w:numId="6" w16cid:durableId="1820032724">
    <w:abstractNumId w:val="37"/>
  </w:num>
  <w:num w:numId="7" w16cid:durableId="672420221">
    <w:abstractNumId w:val="43"/>
  </w:num>
  <w:num w:numId="8" w16cid:durableId="1244415117">
    <w:abstractNumId w:val="14"/>
  </w:num>
  <w:num w:numId="9" w16cid:durableId="102384266">
    <w:abstractNumId w:val="38"/>
  </w:num>
  <w:num w:numId="10" w16cid:durableId="1497260674">
    <w:abstractNumId w:val="36"/>
  </w:num>
  <w:num w:numId="11" w16cid:durableId="1293245818">
    <w:abstractNumId w:val="34"/>
  </w:num>
  <w:num w:numId="12" w16cid:durableId="244389212">
    <w:abstractNumId w:val="4"/>
  </w:num>
  <w:num w:numId="13" w16cid:durableId="1462730038">
    <w:abstractNumId w:val="16"/>
  </w:num>
  <w:num w:numId="14" w16cid:durableId="1228103664">
    <w:abstractNumId w:val="35"/>
  </w:num>
  <w:num w:numId="15" w16cid:durableId="1386568241">
    <w:abstractNumId w:val="24"/>
  </w:num>
  <w:num w:numId="16" w16cid:durableId="1839232237">
    <w:abstractNumId w:val="26"/>
  </w:num>
  <w:num w:numId="17" w16cid:durableId="876700280">
    <w:abstractNumId w:val="44"/>
  </w:num>
  <w:num w:numId="18" w16cid:durableId="265963735">
    <w:abstractNumId w:val="41"/>
  </w:num>
  <w:num w:numId="19" w16cid:durableId="1366253358">
    <w:abstractNumId w:val="10"/>
  </w:num>
  <w:num w:numId="20" w16cid:durableId="697586607">
    <w:abstractNumId w:val="7"/>
  </w:num>
  <w:num w:numId="21" w16cid:durableId="376203822">
    <w:abstractNumId w:val="20"/>
  </w:num>
  <w:num w:numId="22" w16cid:durableId="1982535886">
    <w:abstractNumId w:val="18"/>
  </w:num>
  <w:num w:numId="23" w16cid:durableId="255216705">
    <w:abstractNumId w:val="33"/>
  </w:num>
  <w:num w:numId="24" w16cid:durableId="2089812267">
    <w:abstractNumId w:val="12"/>
  </w:num>
  <w:num w:numId="25" w16cid:durableId="763957257">
    <w:abstractNumId w:val="47"/>
  </w:num>
  <w:num w:numId="26" w16cid:durableId="66998844">
    <w:abstractNumId w:val="32"/>
  </w:num>
  <w:num w:numId="27" w16cid:durableId="1790510285">
    <w:abstractNumId w:val="5"/>
  </w:num>
  <w:num w:numId="28" w16cid:durableId="450055338">
    <w:abstractNumId w:val="11"/>
  </w:num>
  <w:num w:numId="29" w16cid:durableId="1216509261">
    <w:abstractNumId w:val="30"/>
  </w:num>
  <w:num w:numId="30" w16cid:durableId="264072438">
    <w:abstractNumId w:val="42"/>
  </w:num>
  <w:num w:numId="31" w16cid:durableId="1965496510">
    <w:abstractNumId w:val="52"/>
  </w:num>
  <w:num w:numId="32" w16cid:durableId="66265277">
    <w:abstractNumId w:val="45"/>
  </w:num>
  <w:num w:numId="33" w16cid:durableId="853884040">
    <w:abstractNumId w:val="15"/>
  </w:num>
  <w:num w:numId="34" w16cid:durableId="814109529">
    <w:abstractNumId w:val="40"/>
  </w:num>
  <w:num w:numId="35" w16cid:durableId="868448309">
    <w:abstractNumId w:val="28"/>
  </w:num>
  <w:num w:numId="36" w16cid:durableId="1193230831">
    <w:abstractNumId w:val="31"/>
  </w:num>
  <w:num w:numId="37" w16cid:durableId="949749602">
    <w:abstractNumId w:val="17"/>
  </w:num>
  <w:num w:numId="38" w16cid:durableId="1369448009">
    <w:abstractNumId w:val="51"/>
  </w:num>
  <w:num w:numId="39" w16cid:durableId="846822164">
    <w:abstractNumId w:val="0"/>
  </w:num>
  <w:num w:numId="40" w16cid:durableId="33509184">
    <w:abstractNumId w:val="49"/>
  </w:num>
  <w:num w:numId="41" w16cid:durableId="1899895756">
    <w:abstractNumId w:val="8"/>
  </w:num>
  <w:num w:numId="42" w16cid:durableId="920942915">
    <w:abstractNumId w:val="9"/>
  </w:num>
  <w:num w:numId="43" w16cid:durableId="916479131">
    <w:abstractNumId w:val="27"/>
  </w:num>
  <w:num w:numId="44" w16cid:durableId="1707490511">
    <w:abstractNumId w:val="48"/>
  </w:num>
  <w:num w:numId="45" w16cid:durableId="1633712726">
    <w:abstractNumId w:val="2"/>
  </w:num>
  <w:num w:numId="46" w16cid:durableId="523134932">
    <w:abstractNumId w:val="39"/>
  </w:num>
  <w:num w:numId="47" w16cid:durableId="191580562">
    <w:abstractNumId w:val="23"/>
  </w:num>
  <w:num w:numId="48" w16cid:durableId="70273928">
    <w:abstractNumId w:val="19"/>
  </w:num>
  <w:num w:numId="49" w16cid:durableId="1235622582">
    <w:abstractNumId w:val="50"/>
  </w:num>
  <w:num w:numId="50" w16cid:durableId="2007856170">
    <w:abstractNumId w:val="46"/>
  </w:num>
  <w:num w:numId="51" w16cid:durableId="2069448441">
    <w:abstractNumId w:val="25"/>
  </w:num>
  <w:num w:numId="52" w16cid:durableId="1591619243">
    <w:abstractNumId w:val="13"/>
  </w:num>
  <w:num w:numId="53" w16cid:durableId="138787076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A4"/>
    <w:rsid w:val="0004645D"/>
    <w:rsid w:val="000A0BB5"/>
    <w:rsid w:val="000E16A8"/>
    <w:rsid w:val="001051EC"/>
    <w:rsid w:val="00110702"/>
    <w:rsid w:val="001214A4"/>
    <w:rsid w:val="00147001"/>
    <w:rsid w:val="001515ED"/>
    <w:rsid w:val="00152CD1"/>
    <w:rsid w:val="0017073B"/>
    <w:rsid w:val="00171F05"/>
    <w:rsid w:val="001A6553"/>
    <w:rsid w:val="001B1B9C"/>
    <w:rsid w:val="001F7E4B"/>
    <w:rsid w:val="0023232F"/>
    <w:rsid w:val="00235DBB"/>
    <w:rsid w:val="002423E0"/>
    <w:rsid w:val="00244068"/>
    <w:rsid w:val="00274857"/>
    <w:rsid w:val="002770BB"/>
    <w:rsid w:val="002941B8"/>
    <w:rsid w:val="002E5906"/>
    <w:rsid w:val="00312AE9"/>
    <w:rsid w:val="00320970"/>
    <w:rsid w:val="0032398F"/>
    <w:rsid w:val="003441BB"/>
    <w:rsid w:val="00396A6E"/>
    <w:rsid w:val="003C75D1"/>
    <w:rsid w:val="003D3F74"/>
    <w:rsid w:val="003E0E45"/>
    <w:rsid w:val="00410248"/>
    <w:rsid w:val="00416D18"/>
    <w:rsid w:val="00417B08"/>
    <w:rsid w:val="00464C40"/>
    <w:rsid w:val="004970FB"/>
    <w:rsid w:val="0049721C"/>
    <w:rsid w:val="004C2345"/>
    <w:rsid w:val="004C4490"/>
    <w:rsid w:val="004F06FF"/>
    <w:rsid w:val="004F6DFF"/>
    <w:rsid w:val="00523DB1"/>
    <w:rsid w:val="00537A43"/>
    <w:rsid w:val="00547B60"/>
    <w:rsid w:val="0055082D"/>
    <w:rsid w:val="00550AAD"/>
    <w:rsid w:val="00564E0E"/>
    <w:rsid w:val="00595D0B"/>
    <w:rsid w:val="005A3118"/>
    <w:rsid w:val="005E2381"/>
    <w:rsid w:val="005E77D0"/>
    <w:rsid w:val="005F5F7C"/>
    <w:rsid w:val="00643CD6"/>
    <w:rsid w:val="00644324"/>
    <w:rsid w:val="006767A4"/>
    <w:rsid w:val="006936F5"/>
    <w:rsid w:val="00706F2E"/>
    <w:rsid w:val="00780737"/>
    <w:rsid w:val="00794E4A"/>
    <w:rsid w:val="007A7DE0"/>
    <w:rsid w:val="007D3D61"/>
    <w:rsid w:val="007D54EA"/>
    <w:rsid w:val="00814FC8"/>
    <w:rsid w:val="008207BE"/>
    <w:rsid w:val="00844AD8"/>
    <w:rsid w:val="008567DB"/>
    <w:rsid w:val="0088723F"/>
    <w:rsid w:val="008952C6"/>
    <w:rsid w:val="008A57BD"/>
    <w:rsid w:val="008E11A6"/>
    <w:rsid w:val="008E226D"/>
    <w:rsid w:val="008F4BA1"/>
    <w:rsid w:val="00930667"/>
    <w:rsid w:val="009666FD"/>
    <w:rsid w:val="009770F9"/>
    <w:rsid w:val="0097740C"/>
    <w:rsid w:val="009E4470"/>
    <w:rsid w:val="00A40E38"/>
    <w:rsid w:val="00A663CC"/>
    <w:rsid w:val="00AC770F"/>
    <w:rsid w:val="00AF516B"/>
    <w:rsid w:val="00B12368"/>
    <w:rsid w:val="00B25DD7"/>
    <w:rsid w:val="00B37234"/>
    <w:rsid w:val="00B70620"/>
    <w:rsid w:val="00C3418E"/>
    <w:rsid w:val="00C3465F"/>
    <w:rsid w:val="00C42B1C"/>
    <w:rsid w:val="00C833FF"/>
    <w:rsid w:val="00C85D9F"/>
    <w:rsid w:val="00CC0062"/>
    <w:rsid w:val="00CE05A4"/>
    <w:rsid w:val="00CF3BFD"/>
    <w:rsid w:val="00CF7DFF"/>
    <w:rsid w:val="00D5266A"/>
    <w:rsid w:val="00D8680F"/>
    <w:rsid w:val="00D87883"/>
    <w:rsid w:val="00DA4878"/>
    <w:rsid w:val="00DB62FD"/>
    <w:rsid w:val="00E356BD"/>
    <w:rsid w:val="00E43EAB"/>
    <w:rsid w:val="00E53789"/>
    <w:rsid w:val="00E74186"/>
    <w:rsid w:val="00E85CD8"/>
    <w:rsid w:val="00EB03A5"/>
    <w:rsid w:val="00EB0D63"/>
    <w:rsid w:val="00ED0064"/>
    <w:rsid w:val="00F01150"/>
    <w:rsid w:val="00F02C95"/>
    <w:rsid w:val="00F06505"/>
    <w:rsid w:val="00F1766C"/>
    <w:rsid w:val="00F2009F"/>
    <w:rsid w:val="00F52ABF"/>
    <w:rsid w:val="00F662DE"/>
    <w:rsid w:val="00F87479"/>
    <w:rsid w:val="00FE2FE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28B00"/>
  <w15:chartTrackingRefBased/>
  <w15:docId w15:val="{9D3A4F8E-1AF5-4311-A24C-8423A4DF7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A6"/>
  </w:style>
  <w:style w:type="paragraph" w:styleId="Heading1">
    <w:name w:val="heading 1"/>
    <w:basedOn w:val="Normal"/>
    <w:next w:val="Normal"/>
    <w:link w:val="Heading1Char"/>
    <w:uiPriority w:val="9"/>
    <w:qFormat/>
    <w:rsid w:val="006767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67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67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67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67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6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7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67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67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67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67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6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7A4"/>
    <w:rPr>
      <w:rFonts w:eastAsiaTheme="majorEastAsia" w:cstheme="majorBidi"/>
      <w:color w:val="272727" w:themeColor="text1" w:themeTint="D8"/>
    </w:rPr>
  </w:style>
  <w:style w:type="paragraph" w:styleId="Title">
    <w:name w:val="Title"/>
    <w:basedOn w:val="Normal"/>
    <w:next w:val="Normal"/>
    <w:link w:val="TitleChar"/>
    <w:uiPriority w:val="10"/>
    <w:qFormat/>
    <w:rsid w:val="00676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7A4"/>
    <w:pPr>
      <w:spacing w:before="160"/>
      <w:jc w:val="center"/>
    </w:pPr>
    <w:rPr>
      <w:i/>
      <w:iCs/>
      <w:color w:val="404040" w:themeColor="text1" w:themeTint="BF"/>
    </w:rPr>
  </w:style>
  <w:style w:type="character" w:customStyle="1" w:styleId="QuoteChar">
    <w:name w:val="Quote Char"/>
    <w:basedOn w:val="DefaultParagraphFont"/>
    <w:link w:val="Quote"/>
    <w:uiPriority w:val="29"/>
    <w:rsid w:val="006767A4"/>
    <w:rPr>
      <w:i/>
      <w:iCs/>
      <w:color w:val="404040" w:themeColor="text1" w:themeTint="BF"/>
    </w:rPr>
  </w:style>
  <w:style w:type="paragraph" w:styleId="ListParagraph">
    <w:name w:val="List Paragraph"/>
    <w:basedOn w:val="Normal"/>
    <w:uiPriority w:val="34"/>
    <w:qFormat/>
    <w:rsid w:val="006767A4"/>
    <w:pPr>
      <w:ind w:left="720"/>
      <w:contextualSpacing/>
    </w:pPr>
  </w:style>
  <w:style w:type="character" w:styleId="IntenseEmphasis">
    <w:name w:val="Intense Emphasis"/>
    <w:basedOn w:val="DefaultParagraphFont"/>
    <w:uiPriority w:val="21"/>
    <w:qFormat/>
    <w:rsid w:val="006767A4"/>
    <w:rPr>
      <w:i/>
      <w:iCs/>
      <w:color w:val="2F5496" w:themeColor="accent1" w:themeShade="BF"/>
    </w:rPr>
  </w:style>
  <w:style w:type="paragraph" w:styleId="IntenseQuote">
    <w:name w:val="Intense Quote"/>
    <w:basedOn w:val="Normal"/>
    <w:next w:val="Normal"/>
    <w:link w:val="IntenseQuoteChar"/>
    <w:uiPriority w:val="30"/>
    <w:qFormat/>
    <w:rsid w:val="006767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67A4"/>
    <w:rPr>
      <w:i/>
      <w:iCs/>
      <w:color w:val="2F5496" w:themeColor="accent1" w:themeShade="BF"/>
    </w:rPr>
  </w:style>
  <w:style w:type="character" w:styleId="IntenseReference">
    <w:name w:val="Intense Reference"/>
    <w:basedOn w:val="DefaultParagraphFont"/>
    <w:uiPriority w:val="32"/>
    <w:qFormat/>
    <w:rsid w:val="006767A4"/>
    <w:rPr>
      <w:b/>
      <w:bCs/>
      <w:smallCaps/>
      <w:color w:val="2F5496" w:themeColor="accent1" w:themeShade="BF"/>
      <w:spacing w:val="5"/>
    </w:rPr>
  </w:style>
  <w:style w:type="character" w:styleId="Strong">
    <w:name w:val="Strong"/>
    <w:basedOn w:val="DefaultParagraphFont"/>
    <w:uiPriority w:val="22"/>
    <w:qFormat/>
    <w:rsid w:val="004F6DFF"/>
    <w:rPr>
      <w:b/>
      <w:bCs/>
    </w:rPr>
  </w:style>
  <w:style w:type="paragraph" w:styleId="NormalWeb">
    <w:name w:val="Normal (Web)"/>
    <w:basedOn w:val="Normal"/>
    <w:uiPriority w:val="99"/>
    <w:semiHidden/>
    <w:unhideWhenUsed/>
    <w:rsid w:val="004F6DFF"/>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styleId="Emphasis">
    <w:name w:val="Emphasis"/>
    <w:basedOn w:val="DefaultParagraphFont"/>
    <w:uiPriority w:val="20"/>
    <w:qFormat/>
    <w:rsid w:val="004F6DFF"/>
    <w:rPr>
      <w:i/>
      <w:iCs/>
    </w:rPr>
  </w:style>
  <w:style w:type="character" w:styleId="Hyperlink">
    <w:name w:val="Hyperlink"/>
    <w:basedOn w:val="DefaultParagraphFont"/>
    <w:uiPriority w:val="99"/>
    <w:unhideWhenUsed/>
    <w:rsid w:val="0023232F"/>
    <w:rPr>
      <w:color w:val="0563C1" w:themeColor="hyperlink"/>
      <w:u w:val="single"/>
    </w:rPr>
  </w:style>
  <w:style w:type="character" w:styleId="UnresolvedMention">
    <w:name w:val="Unresolved Mention"/>
    <w:basedOn w:val="DefaultParagraphFont"/>
    <w:uiPriority w:val="99"/>
    <w:semiHidden/>
    <w:unhideWhenUsed/>
    <w:rsid w:val="0023232F"/>
    <w:rPr>
      <w:color w:val="605E5C"/>
      <w:shd w:val="clear" w:color="auto" w:fill="E1DFDD"/>
    </w:rPr>
  </w:style>
  <w:style w:type="paragraph" w:styleId="Header">
    <w:name w:val="header"/>
    <w:basedOn w:val="Normal"/>
    <w:link w:val="HeaderChar"/>
    <w:uiPriority w:val="99"/>
    <w:unhideWhenUsed/>
    <w:rsid w:val="00170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73B"/>
  </w:style>
  <w:style w:type="paragraph" w:styleId="Footer">
    <w:name w:val="footer"/>
    <w:basedOn w:val="Normal"/>
    <w:link w:val="FooterChar"/>
    <w:uiPriority w:val="99"/>
    <w:unhideWhenUsed/>
    <w:rsid w:val="00170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73B"/>
  </w:style>
  <w:style w:type="table" w:styleId="TableGrid">
    <w:name w:val="Table Grid"/>
    <w:basedOn w:val="TableNormal"/>
    <w:uiPriority w:val="39"/>
    <w:rsid w:val="00F52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3DB1"/>
    <w:rPr>
      <w:color w:val="954F72" w:themeColor="followedHyperlink"/>
      <w:u w:val="single"/>
    </w:rPr>
  </w:style>
  <w:style w:type="paragraph" w:styleId="NoSpacing">
    <w:name w:val="No Spacing"/>
    <w:link w:val="NoSpacingChar"/>
    <w:uiPriority w:val="1"/>
    <w:qFormat/>
    <w:rsid w:val="008E11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11A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sagepub.com/en-gb/eur/qualitative-inquiry-and-research-design/book246896" TargetMode="External"/><Relationship Id="rId18" Type="http://schemas.openxmlformats.org/officeDocument/2006/relationships/hyperlink" Target="https://journals.plos.org/plosmedicine/article?id=10.1371/journal.pmed.1001756" TargetMode="External"/><Relationship Id="rId26" Type="http://schemas.openxmlformats.org/officeDocument/2006/relationships/hyperlink" Target="https://www.nice.org.uk/about/what-we-do/our-programmes/evidence-standards-framework-for-digital-health-technologies" TargetMode="External"/><Relationship Id="rId3" Type="http://schemas.openxmlformats.org/officeDocument/2006/relationships/settings" Target="settings.xml"/><Relationship Id="rId21" Type="http://schemas.openxmlformats.org/officeDocument/2006/relationships/hyperlink" Target="https://journals.plos.org/plosmedicine/article?id=10.1371/journal.pmed.1000097"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tandfonline.com/doi/10.1080/00140139.2014.895855" TargetMode="External"/><Relationship Id="rId17" Type="http://schemas.openxmlformats.org/officeDocument/2006/relationships/hyperlink" Target="https://www.nature.com/articles/s41746-019-0084-2" TargetMode="External"/><Relationship Id="rId25" Type="http://schemas.openxmlformats.org/officeDocument/2006/relationships/hyperlink" Target="https://www.england.nhs.uk/personalisedcare/social-prescribing/" TargetMode="External"/><Relationship Id="rId33" Type="http://schemas.openxmlformats.org/officeDocument/2006/relationships/hyperlink" Target="https://www.sciencedirect.com/science/article/pii/S0747563217303679" TargetMode="External"/><Relationship Id="rId2" Type="http://schemas.openxmlformats.org/officeDocument/2006/relationships/styles" Target="styles.xml"/><Relationship Id="rId16" Type="http://schemas.openxmlformats.org/officeDocument/2006/relationships/hyperlink" Target="https://www.jmir.org/2020/10/e21632" TargetMode="External"/><Relationship Id="rId20" Type="http://schemas.openxmlformats.org/officeDocument/2006/relationships/hyperlink" Target="https://www.tandfonline.com/doi/full/10.1080/08959420.2020.1855136" TargetMode="External"/><Relationship Id="rId29" Type="http://schemas.openxmlformats.org/officeDocument/2006/relationships/hyperlink" Target="https://www.tandfonline.com/doi/full/10.1080/08959420.2018.15330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oup.com/academic/product/social-research-methods-9780199689453" TargetMode="External"/><Relationship Id="rId24" Type="http://schemas.openxmlformats.org/officeDocument/2006/relationships/hyperlink" Target="https://www.longtermplan.nhs.uk/" TargetMode="External"/><Relationship Id="rId32" Type="http://schemas.openxmlformats.org/officeDocument/2006/relationships/hyperlink" Target="https://www.gov.uk/government/statistics/deaths-registered-in-england-and-wales" TargetMode="External"/><Relationship Id="rId5" Type="http://schemas.openxmlformats.org/officeDocument/2006/relationships/footnotes" Target="footnotes.xml"/><Relationship Id="rId15" Type="http://schemas.openxmlformats.org/officeDocument/2006/relationships/hyperlink" Target="https://www.sciencedirect.com/science/article/pii/S1532046409000921" TargetMode="External"/><Relationship Id="rId23" Type="http://schemas.openxmlformats.org/officeDocument/2006/relationships/hyperlink" Target="https://digital.nhs.uk/about-nhs-digital/our-work/digital-inclusion" TargetMode="External"/><Relationship Id="rId28" Type="http://schemas.openxmlformats.org/officeDocument/2006/relationships/hyperlink" Target="https://bmcgeriatr.biomedcentral.com/articles/10.1186/s12877-021-02391-7" TargetMode="External"/><Relationship Id="rId10" Type="http://schemas.openxmlformats.org/officeDocument/2006/relationships/hyperlink" Target="https://www.tandfonline.com/doi/10.1191/1478088706qp063oa" TargetMode="External"/><Relationship Id="rId19" Type="http://schemas.openxmlformats.org/officeDocument/2006/relationships/hyperlink" Target="https://www.mdpi.com/1660-4601/16/19/3525" TargetMode="External"/><Relationship Id="rId31" Type="http://schemas.openxmlformats.org/officeDocument/2006/relationships/hyperlink" Target="https://www.tandfonline.com/doi/full/10.1080/03601277.2020.1791273" TargetMode="External"/><Relationship Id="rId4" Type="http://schemas.openxmlformats.org/officeDocument/2006/relationships/webSettings" Target="webSettings.xml"/><Relationship Id="rId9" Type="http://schemas.openxmlformats.org/officeDocument/2006/relationships/hyperlink" Target="https://journals.plos.org/plosone/article?id=10.1371/journal.pone.0229654" TargetMode="External"/><Relationship Id="rId14" Type="http://schemas.openxmlformats.org/officeDocument/2006/relationships/hyperlink" Target="https://www.gov.uk/government/publications/healthy-ageing-applying-all-our-health" TargetMode="External"/><Relationship Id="rId22" Type="http://schemas.openxmlformats.org/officeDocument/2006/relationships/hyperlink" Target="https://www.nhs.uk/conditions/dementia/" TargetMode="External"/><Relationship Id="rId27" Type="http://schemas.openxmlformats.org/officeDocument/2006/relationships/hyperlink" Target="https://www.ofcom.org.uk/research-and-data/media-literacy-research/adults/adults-media-use-and-attitudes" TargetMode="External"/><Relationship Id="rId30" Type="http://schemas.openxmlformats.org/officeDocument/2006/relationships/hyperlink" Target="https://bmcmedresmethodol.biomedcentral.com/articles/10.1186/1471-2288-8-45" TargetMode="External"/><Relationship Id="rId35" Type="http://schemas.openxmlformats.org/officeDocument/2006/relationships/theme" Target="theme/theme1.xml"/><Relationship Id="rId8" Type="http://schemas.openxmlformats.org/officeDocument/2006/relationships/hyperlink" Target="https://www.alzheimers.org.uk/about-dementia/dementia-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16</Pages>
  <Words>4090</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Name: Chauhan Janvi Ishwarbhai                                   Student ID: 2431585                                                   Programme: MSc Public Health and Social Care in Practice                                                                </vt:lpstr>
    </vt:vector>
  </TitlesOfParts>
  <Company/>
  <LinksUpToDate>false</LinksUpToDate>
  <CharactersWithSpaces>27355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Chauhan Janvi Ishwarbhai                                   Student ID: 2431585                                                   Programme: MSc Public Health and Social Care in Practice                                                                        Module: Practice-Based Research                                   Module code: LCHS7008                                                Lecturer: Dr Diola Bijlhout                                        Assignment Title: Component 2 Written Research Proposal</dc:title>
  <dc:subject/>
  <dc:creator>Janvi chauhan</dc:creator>
  <cp:keywords/>
  <dc:description/>
  <cp:lastModifiedBy>Janvi chauhan</cp:lastModifiedBy>
  <cp:revision>3</cp:revision>
  <dcterms:created xsi:type="dcterms:W3CDTF">2025-12-15T23:03:00Z</dcterms:created>
  <dcterms:modified xsi:type="dcterms:W3CDTF">2025-12-15T23:46:00Z</dcterms:modified>
</cp:coreProperties>
</file>