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593BD7AC" w:rsidR="007526AF" w:rsidRDefault="2C029526" w:rsidP="2C029526">
      <w:pPr>
        <w:spacing w:after="0"/>
      </w:pPr>
      <w:bookmarkStart w:id="0" w:name="_GoBack"/>
      <w:bookmarkEnd w:id="0"/>
      <w:r>
        <w:t>Summary of article - ‘Only Connect’ Global and local networks, contexts and fieldwork</w:t>
      </w:r>
    </w:p>
    <w:p w14:paraId="33B9577A" w14:textId="1C132348" w:rsidR="2C029526" w:rsidRDefault="2C029526" w:rsidP="2C029526">
      <w:pPr>
        <w:spacing w:after="0"/>
      </w:pPr>
      <w:r>
        <w:t xml:space="preserve">By Mark </w:t>
      </w:r>
      <w:proofErr w:type="spellStart"/>
      <w:r>
        <w:t>Pluciennik</w:t>
      </w:r>
      <w:proofErr w:type="spellEnd"/>
      <w:r>
        <w:t xml:space="preserve"> and Quentin Drew</w:t>
      </w:r>
    </w:p>
    <w:p w14:paraId="6DD3234A" w14:textId="092B31FD" w:rsidR="2C029526" w:rsidRDefault="2C029526" w:rsidP="2C029526">
      <w:pPr>
        <w:spacing w:after="0"/>
      </w:pPr>
    </w:p>
    <w:p w14:paraId="1D12EE25" w14:textId="025231CC" w:rsidR="2C029526" w:rsidRDefault="2C029526" w:rsidP="2C029526">
      <w:pPr>
        <w:spacing w:after="0"/>
      </w:pPr>
      <w:r>
        <w:t xml:space="preserve">In this article the authors outline the two seasons of digs that </w:t>
      </w:r>
      <w:proofErr w:type="spellStart"/>
      <w:r>
        <w:t>Pluciennik</w:t>
      </w:r>
      <w:proofErr w:type="spellEnd"/>
      <w:r>
        <w:t xml:space="preserve"> conducted at </w:t>
      </w:r>
      <w:proofErr w:type="spellStart"/>
      <w:r>
        <w:t>Butrint</w:t>
      </w:r>
      <w:proofErr w:type="spellEnd"/>
      <w:r>
        <w:t xml:space="preserve"> in Albania between 1994 and 1996 as part of a project funded by Lords Rothschild and Sainsburys’ Butrint Foundation. </w:t>
      </w:r>
    </w:p>
    <w:p w14:paraId="35F36DDB" w14:textId="46755AB1" w:rsidR="2C029526" w:rsidRDefault="502B7EE3" w:rsidP="2C029526">
      <w:pPr>
        <w:spacing w:after="0"/>
      </w:pPr>
      <w:r>
        <w:t xml:space="preserve">Established in 1993, the trust’s aim was for regeneration of the Byzantine city of Butrint and the surrounding area by excavating and conserving the site to help to promote tourism and boost the local economy as part of a wider regeneration project in collaboration with other agencies and involvement with the Albanian Institute of Archaeology, the Albanian government, UNESCO, archaeologists and local people.  The work unfortunately was brought to a premature end due to the political problems in the country at that time, with the threat of possible violence or detainment which was a constant concern with conditions being so unstable.  The Butrint project was part of a package of regenerative development using archaeology alongside other heritage related fields with an aim to help restore the then collapsed economy by encouraging tourism through a series of developments such as tourist trails with notice boards around the site and surrounding areas, and a plan to restore the museum. </w:t>
      </w:r>
    </w:p>
    <w:p w14:paraId="222C8451" w14:textId="319DF843" w:rsidR="2C029526" w:rsidRDefault="502B7EE3" w:rsidP="2C029526">
      <w:pPr>
        <w:spacing w:after="0"/>
      </w:pPr>
      <w:r>
        <w:t xml:space="preserve">Albania’s history has seen it under the rule of the Byzantines, Ottomans, the Romans, also the Austro-Hungarians, as well as with claims of parts of the country being made by the Italians and the Greeks. It became a nation-state in 1913, and following alliances with China and the Soviet authority it was under the rule of communist </w:t>
      </w:r>
      <w:proofErr w:type="spellStart"/>
      <w:r>
        <w:t>Enver</w:t>
      </w:r>
      <w:proofErr w:type="spellEnd"/>
      <w:r>
        <w:t xml:space="preserve"> Hoxha between 1948 and 1991. </w:t>
      </w:r>
    </w:p>
    <w:p w14:paraId="6086D9D7" w14:textId="235ACD2D" w:rsidR="2C029526" w:rsidRDefault="502B7EE3" w:rsidP="2C029526">
      <w:pPr>
        <w:spacing w:after="0"/>
      </w:pPr>
      <w:r>
        <w:t>Albania is a poor country with an unstable political and religious identity, which has caused recent regimes to devise an Albanian identity which excludes all references to earlier influences, and therefore any archaeology or historical research has focused on dismissing any evidence of a Roman or Greek past for example, and anything that is reported must fit the perceived Albanian identity.</w:t>
      </w:r>
    </w:p>
    <w:p w14:paraId="05F55FCF" w14:textId="49113DD5" w:rsidR="2C029526" w:rsidRDefault="502B7EE3" w:rsidP="2C029526">
      <w:pPr>
        <w:spacing w:after="0"/>
      </w:pPr>
      <w:r>
        <w:t xml:space="preserve">Since the end of communism in many Eastern European countries there has been more opportunity for archaeologists to excavate in places such as Albania, including </w:t>
      </w:r>
      <w:proofErr w:type="spellStart"/>
      <w:r>
        <w:t>Appllonia</w:t>
      </w:r>
      <w:proofErr w:type="spellEnd"/>
      <w:r>
        <w:t xml:space="preserve"> and </w:t>
      </w:r>
      <w:proofErr w:type="spellStart"/>
      <w:r>
        <w:t>Butrint</w:t>
      </w:r>
      <w:proofErr w:type="spellEnd"/>
      <w:r>
        <w:t>, and such investigations have brought a whole new set of issues which archaeologists need to confront.</w:t>
      </w:r>
    </w:p>
    <w:p w14:paraId="458BDE94" w14:textId="22B39630" w:rsidR="2C029526" w:rsidRDefault="502B7EE3" w:rsidP="2C029526">
      <w:pPr>
        <w:spacing w:after="0"/>
      </w:pPr>
      <w:proofErr w:type="spellStart"/>
      <w:r>
        <w:t>Pluciennik’s</w:t>
      </w:r>
      <w:proofErr w:type="spellEnd"/>
      <w:r>
        <w:t xml:space="preserve"> team experienced language difficulties, the Albanian methods of archaeology, officialdom filtering down to stall and delay works, as well as threats and intimidation from not only local ‘gangsters’ but the officials themselves who had the power to detain on a whim.  </w:t>
      </w:r>
    </w:p>
    <w:p w14:paraId="3E457D8D" w14:textId="2BBD2819" w:rsidR="2C029526" w:rsidRDefault="502B7EE3" w:rsidP="2C029526">
      <w:pPr>
        <w:spacing w:after="0"/>
      </w:pPr>
      <w:r>
        <w:t xml:space="preserve">Friends were made within the community as well as with the labourers brought in to dig, and </w:t>
      </w:r>
      <w:proofErr w:type="spellStart"/>
      <w:r>
        <w:t>Puciennik</w:t>
      </w:r>
      <w:proofErr w:type="spellEnd"/>
      <w:r>
        <w:t xml:space="preserve"> and his team became involved in troubles relating to their acquaintance with some individuals. The persons concerned had done nothing wrong but local military suspected underhand actions and collusion as the archaeological team were not wholly welcome by all, especially by the suspicious in power.</w:t>
      </w:r>
    </w:p>
    <w:p w14:paraId="73C2A2EA" w14:textId="2E4F7B5C" w:rsidR="2C029526" w:rsidRDefault="502B7EE3" w:rsidP="2C029526">
      <w:pPr>
        <w:spacing w:after="0"/>
      </w:pPr>
      <w:r>
        <w:t>The country offered the team to experience digging in an area which had been under-developed in comparison to the more popular and easily accessible places they had experienced, and a good working relationship, including social time with the local people was enjoyed, until in the second week of the dig in 1996 pressure from the authorities with threats of confiscation of finds and records prompted the need to leave the country.</w:t>
      </w:r>
    </w:p>
    <w:p w14:paraId="6264A45E" w14:textId="455AC268" w:rsidR="2C029526" w:rsidRDefault="502B7EE3" w:rsidP="2C029526">
      <w:pPr>
        <w:spacing w:after="0"/>
      </w:pPr>
      <w:r>
        <w:t xml:space="preserve"> Although being unable to continue with the excavations, institutional pressure, and that of publishers and sources of funding forced </w:t>
      </w:r>
      <w:proofErr w:type="spellStart"/>
      <w:r>
        <w:t>Pluciennik</w:t>
      </w:r>
      <w:proofErr w:type="spellEnd"/>
      <w:r>
        <w:t xml:space="preserve"> to consider how to use the limited information available. It was decided that the lack of physical evidence could be shown alongside narrative of political and personal experience, something which is usually lacking in most formal post-excavation reports, but the author felt was an integral part of any excavation in its ability to convey a clearer picture of the experience.</w:t>
      </w:r>
    </w:p>
    <w:p w14:paraId="0B9042AC" w14:textId="4A5A6A26" w:rsidR="2C029526" w:rsidRDefault="502B7EE3" w:rsidP="2C029526">
      <w:pPr>
        <w:spacing w:after="0"/>
      </w:pPr>
      <w:r>
        <w:lastRenderedPageBreak/>
        <w:t xml:space="preserve"> Fieldwork is followed by presentation and interpretation of various data and there is usually a vast array of material and evidence available following an excavation, with only issues arising from the conditions or constraints due to the immediate environment being mentioned. Rarely does it include information pertaining to the constraints of outside influences; the logistical or political issues, and relations within the local community are usually omitted and viewed as remote from the excavation experience.</w:t>
      </w:r>
    </w:p>
    <w:p w14:paraId="05D965D5" w14:textId="029465ED" w:rsidR="2C029526" w:rsidRDefault="502B7EE3" w:rsidP="2C029526">
      <w:pPr>
        <w:spacing w:after="0"/>
      </w:pPr>
      <w:proofErr w:type="spellStart"/>
      <w:r>
        <w:t>Pluciennik</w:t>
      </w:r>
      <w:proofErr w:type="spellEnd"/>
      <w:r>
        <w:t xml:space="preserve"> and Drew have used excavation reports and montage to show the wider context involved in fieldwork; the outside agencies, political involvement, also the interactions with the local community which were sometimes difficult but mostly agreeable. These illustrations incorporate photographs of local people, the landscape and buildings of the area, newspaper articles depicting the troubles in Albania, and field notes, drawings and post-excavation reports which are all overlaid with the text of the article. Running alongside this the illustrator and fellow archaeologist Quentin Drew describes the reasons for the montage which provide a narrative which highlights the wider context in which archaeological fieldwork takes place. </w:t>
      </w:r>
    </w:p>
    <w:p w14:paraId="3780514C" w14:textId="38FBF225" w:rsidR="502B7EE3" w:rsidRDefault="502B7EE3" w:rsidP="502B7EE3">
      <w:pPr>
        <w:spacing w:after="0"/>
      </w:pPr>
      <w:r>
        <w:t xml:space="preserve">The inclusion of the personal experiences of the author which describes not only the routine aspects of fieldwork, but also a flavour of the political troubles at the time and the impact it had on not only the local community but also those visiting for work or pleasure. </w:t>
      </w:r>
    </w:p>
    <w:p w14:paraId="49E17073" w14:textId="4378CF85" w:rsidR="502B7EE3" w:rsidRDefault="67679CC0" w:rsidP="502B7EE3">
      <w:pPr>
        <w:spacing w:after="0"/>
      </w:pPr>
      <w:r>
        <w:t xml:space="preserve">Military threats and local gangsters may not be included in conventional post-excavation reports, but the inclusion of such detail in text and illustration in </w:t>
      </w:r>
      <w:proofErr w:type="spellStart"/>
      <w:r>
        <w:t>Pluciennik</w:t>
      </w:r>
      <w:proofErr w:type="spellEnd"/>
      <w:r>
        <w:t xml:space="preserve"> and Drew’s article adds an extra dimension that takes the reader to the time and place, and to experience the dig, and it leaves them with questions that urge further enquiry of both the archaeological finds and of the country of Albania itself. </w:t>
      </w:r>
    </w:p>
    <w:p w14:paraId="4B81714D" w14:textId="2CBFDED9" w:rsidR="67679CC0" w:rsidRDefault="67679CC0" w:rsidP="67679CC0">
      <w:pPr>
        <w:spacing w:after="0"/>
      </w:pPr>
    </w:p>
    <w:p w14:paraId="1710DDF6" w14:textId="31C0D936" w:rsidR="67679CC0" w:rsidRDefault="67679CC0" w:rsidP="67679CC0">
      <w:pPr>
        <w:spacing w:after="0"/>
      </w:pPr>
      <w:r>
        <w:t>References</w:t>
      </w:r>
    </w:p>
    <w:p w14:paraId="7ABF0271" w14:textId="18D98DB4" w:rsidR="67679CC0" w:rsidRDefault="67679CC0" w:rsidP="67679CC0">
      <w:pPr>
        <w:spacing w:after="0"/>
      </w:pPr>
    </w:p>
    <w:p w14:paraId="2C6F451C" w14:textId="23211717" w:rsidR="67679CC0" w:rsidRDefault="67679CC0" w:rsidP="67679CC0">
      <w:pPr>
        <w:spacing w:after="0"/>
      </w:pPr>
      <w:proofErr w:type="spellStart"/>
      <w:r>
        <w:t>Pluciennik</w:t>
      </w:r>
      <w:proofErr w:type="spellEnd"/>
      <w:r>
        <w:t xml:space="preserve">, M. &amp; Drew, Q. 2000. ‘Only </w:t>
      </w:r>
      <w:proofErr w:type="spellStart"/>
      <w:r>
        <w:t>Connect</w:t>
      </w:r>
      <w:proofErr w:type="gramStart"/>
      <w:r>
        <w:t>’:Global</w:t>
      </w:r>
      <w:proofErr w:type="spellEnd"/>
      <w:proofErr w:type="gramEnd"/>
      <w:r>
        <w:t xml:space="preserve"> and local networks, contexts and fieldwork. </w:t>
      </w:r>
      <w:r w:rsidRPr="67679CC0">
        <w:rPr>
          <w:i/>
          <w:iCs/>
        </w:rPr>
        <w:t>Ecumene</w:t>
      </w:r>
      <w:r w:rsidRPr="67679CC0">
        <w:t>, 7 (1): 67-104. Retrieved from http://www.jstor.org/stable/44252278</w:t>
      </w:r>
    </w:p>
    <w:p w14:paraId="70FC3A11" w14:textId="4EA90528" w:rsidR="2C029526" w:rsidRDefault="2C029526" w:rsidP="2C029526">
      <w:pPr>
        <w:spacing w:after="0"/>
      </w:pPr>
      <w:r>
        <w:t xml:space="preserve">  </w:t>
      </w:r>
    </w:p>
    <w:p w14:paraId="33C4711A" w14:textId="0B64816D" w:rsidR="2C029526" w:rsidRDefault="2C029526" w:rsidP="2C029526">
      <w:pPr>
        <w:spacing w:after="0"/>
      </w:pPr>
    </w:p>
    <w:sectPr w:rsidR="2C02952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E2824B"/>
    <w:rsid w:val="0022320E"/>
    <w:rsid w:val="007526AF"/>
    <w:rsid w:val="2C029526"/>
    <w:rsid w:val="502B7EE3"/>
    <w:rsid w:val="67679CC0"/>
    <w:rsid w:val="7AE28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2824B"/>
  <w15:chartTrackingRefBased/>
  <w15:docId w15:val="{E2C0426A-D47E-4976-A657-445F60C6F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919</Words>
  <Characters>5242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Butler (1710287)</dc:creator>
  <cp:keywords/>
  <dc:description/>
  <cp:lastModifiedBy>Amanda Butler</cp:lastModifiedBy>
  <cp:revision>2</cp:revision>
  <dcterms:created xsi:type="dcterms:W3CDTF">2018-09-25T19:41:00Z</dcterms:created>
  <dcterms:modified xsi:type="dcterms:W3CDTF">2018-09-25T19:41:00Z</dcterms:modified>
</cp:coreProperties>
</file>