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E4EA" w14:textId="77777777" w:rsidR="00D00785" w:rsidRDefault="00D00785" w:rsidP="001F57FF">
      <w:pPr>
        <w:rPr>
          <w:b/>
          <w:bCs/>
          <w:sz w:val="28"/>
          <w:szCs w:val="24"/>
        </w:rPr>
      </w:pPr>
    </w:p>
    <w:p w14:paraId="650FFB23" w14:textId="718B17C6" w:rsidR="00D00785" w:rsidRDefault="00D00785" w:rsidP="001F57FF">
      <w:pPr>
        <w:rPr>
          <w:b/>
          <w:bCs/>
          <w:sz w:val="28"/>
          <w:szCs w:val="24"/>
        </w:rPr>
      </w:pPr>
    </w:p>
    <w:p w14:paraId="0CB25228" w14:textId="0BECC5B5" w:rsidR="00D00785" w:rsidRDefault="00D00785" w:rsidP="001F57FF">
      <w:pPr>
        <w:rPr>
          <w:b/>
          <w:bCs/>
          <w:sz w:val="28"/>
          <w:szCs w:val="24"/>
        </w:rPr>
      </w:pPr>
    </w:p>
    <w:p w14:paraId="03856DC4" w14:textId="001C0809" w:rsidR="00D00785" w:rsidRDefault="00D00785" w:rsidP="001F57FF">
      <w:pPr>
        <w:rPr>
          <w:b/>
          <w:bCs/>
          <w:sz w:val="28"/>
          <w:szCs w:val="24"/>
        </w:rPr>
      </w:pPr>
      <w:r w:rsidRPr="00D00785">
        <w:rPr>
          <w:b/>
          <w:bCs/>
          <w:noProof/>
          <w:sz w:val="28"/>
          <w:szCs w:val="24"/>
        </w:rPr>
        <mc:AlternateContent>
          <mc:Choice Requires="wps">
            <w:drawing>
              <wp:anchor distT="45720" distB="45720" distL="114300" distR="114300" simplePos="0" relativeHeight="251659264" behindDoc="0" locked="0" layoutInCell="1" allowOverlap="1" wp14:anchorId="34136891" wp14:editId="4E6CF38C">
                <wp:simplePos x="0" y="0"/>
                <wp:positionH relativeFrom="margin">
                  <wp:align>center</wp:align>
                </wp:positionH>
                <wp:positionV relativeFrom="paragraph">
                  <wp:posOffset>9525</wp:posOffset>
                </wp:positionV>
                <wp:extent cx="5082540" cy="12573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2540" cy="1257300"/>
                        </a:xfrm>
                        <a:prstGeom prst="roundRect">
                          <a:avLst/>
                        </a:prstGeom>
                        <a:solidFill>
                          <a:srgbClr val="FFFFFF"/>
                        </a:solidFill>
                        <a:ln w="9525">
                          <a:solidFill>
                            <a:srgbClr val="000000"/>
                          </a:solidFill>
                          <a:miter lim="800000"/>
                          <a:headEnd/>
                          <a:tailEnd/>
                        </a:ln>
                      </wps:spPr>
                      <wps:txbx>
                        <w:txbxContent>
                          <w:p w14:paraId="2844B156" w14:textId="7B00CA71" w:rsidR="00D00785" w:rsidRDefault="00D00785" w:rsidP="00D00785">
                            <w:pPr>
                              <w:jc w:val="center"/>
                              <w:rPr>
                                <w:b/>
                                <w:bCs/>
                                <w:color w:val="2E74B5" w:themeColor="accent5" w:themeShade="BF"/>
                                <w:sz w:val="32"/>
                                <w:szCs w:val="28"/>
                              </w:rPr>
                            </w:pPr>
                            <w:r w:rsidRPr="00D00785">
                              <w:rPr>
                                <w:b/>
                                <w:bCs/>
                                <w:color w:val="2E74B5" w:themeColor="accent5" w:themeShade="BF"/>
                                <w:sz w:val="32"/>
                                <w:szCs w:val="28"/>
                              </w:rPr>
                              <w:t>Assignment: Marriott International, INC</w:t>
                            </w:r>
                          </w:p>
                          <w:p w14:paraId="68634377" w14:textId="67AD5748" w:rsidR="00D00785" w:rsidRPr="00D00785" w:rsidRDefault="00D00785" w:rsidP="00D00785">
                            <w:pPr>
                              <w:jc w:val="center"/>
                              <w:rPr>
                                <w:b/>
                                <w:bCs/>
                                <w:color w:val="2E74B5" w:themeColor="accent5" w:themeShade="BF"/>
                                <w:sz w:val="32"/>
                                <w:szCs w:val="28"/>
                              </w:rPr>
                            </w:pPr>
                            <w:r>
                              <w:rPr>
                                <w:b/>
                                <w:bCs/>
                                <w:color w:val="2E74B5" w:themeColor="accent5" w:themeShade="BF"/>
                                <w:sz w:val="32"/>
                                <w:szCs w:val="28"/>
                              </w:rPr>
                              <w:t>Financial Ratio Analysis</w:t>
                            </w:r>
                          </w:p>
                          <w:p w14:paraId="5FD9A437" w14:textId="320D1B94" w:rsidR="00D00785" w:rsidRDefault="00D007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4136891" id="Text Box 2" o:spid="_x0000_s1026" style="position:absolute;left:0;text-align:left;margin-left:0;margin-top:.75pt;width:400.2pt;height:99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">
                <v:stroke joinstyle="miter"/>
                <v:textbox>
                  <w:txbxContent>
                    <w:p w14:paraId="2844B156" w14:textId="7B00CA71" w:rsidR="00D00785" w:rsidRDefault="00D00785" w:rsidP="00D00785">
                      <w:pPr>
                        <w:jc w:val="center"/>
                        <w:rPr>
                          <w:b/>
                          <w:bCs/>
                          <w:color w:val="2E74B5" w:themeColor="accent5" w:themeShade="BF"/>
                          <w:sz w:val="32"/>
                          <w:szCs w:val="28"/>
                        </w:rPr>
                      </w:pPr>
                      <w:r w:rsidRPr="00D00785">
                        <w:rPr>
                          <w:b/>
                          <w:bCs/>
                          <w:color w:val="2E74B5" w:themeColor="accent5" w:themeShade="BF"/>
                          <w:sz w:val="32"/>
                          <w:szCs w:val="28"/>
                        </w:rPr>
                        <w:t>Assignment: Marriott International, INC</w:t>
                      </w:r>
                    </w:p>
                    <w:p w14:paraId="68634377" w14:textId="67AD5748" w:rsidR="00D00785" w:rsidRPr="00D00785" w:rsidRDefault="00D00785" w:rsidP="00D00785">
                      <w:pPr>
                        <w:jc w:val="center"/>
                        <w:rPr>
                          <w:b/>
                          <w:bCs/>
                          <w:color w:val="2E74B5" w:themeColor="accent5" w:themeShade="BF"/>
                          <w:sz w:val="32"/>
                          <w:szCs w:val="28"/>
                        </w:rPr>
                      </w:pPr>
                      <w:r>
                        <w:rPr>
                          <w:b/>
                          <w:bCs/>
                          <w:color w:val="2E74B5" w:themeColor="accent5" w:themeShade="BF"/>
                          <w:sz w:val="32"/>
                          <w:szCs w:val="28"/>
                        </w:rPr>
                        <w:t>Financial Ratio Analysis</w:t>
                      </w:r>
                    </w:p>
                    <w:p w14:paraId="5FD9A437" w14:textId="320D1B94" w:rsidR="00D00785" w:rsidRDefault="00D00785"/>
                  </w:txbxContent>
                </v:textbox>
                <w10:wrap type="square" anchorx="margin"/>
              </v:roundrect>
            </w:pict>
          </mc:Fallback>
        </mc:AlternateContent>
      </w:r>
    </w:p>
    <w:p w14:paraId="4F15125E" w14:textId="1CF43CED" w:rsidR="00D00785" w:rsidRDefault="00D00785" w:rsidP="001F57FF">
      <w:pPr>
        <w:rPr>
          <w:b/>
          <w:bCs/>
          <w:sz w:val="28"/>
          <w:szCs w:val="24"/>
        </w:rPr>
      </w:pPr>
    </w:p>
    <w:p w14:paraId="07676F4B" w14:textId="77777777" w:rsidR="00D00785" w:rsidRPr="001F57FF" w:rsidRDefault="00D00785" w:rsidP="001F57FF">
      <w:pPr>
        <w:rPr>
          <w:b/>
          <w:bCs/>
          <w:sz w:val="28"/>
          <w:szCs w:val="24"/>
        </w:rPr>
      </w:pPr>
    </w:p>
    <w:p w14:paraId="3372973B" w14:textId="77777777" w:rsidR="00D00785" w:rsidRDefault="00D00785" w:rsidP="00F11D69">
      <w:pPr>
        <w:rPr>
          <w:b/>
          <w:bCs/>
          <w:sz w:val="28"/>
          <w:szCs w:val="24"/>
        </w:rPr>
      </w:pPr>
    </w:p>
    <w:p w14:paraId="55506C00" w14:textId="7D1584C8" w:rsidR="007D0BA4" w:rsidRDefault="007D0BA4" w:rsidP="00F11D69">
      <w:pPr>
        <w:jc w:val="center"/>
        <w:rPr>
          <w:b/>
          <w:bCs/>
          <w:sz w:val="28"/>
          <w:szCs w:val="24"/>
        </w:rPr>
      </w:pPr>
      <w:r w:rsidRPr="001F57FF">
        <w:rPr>
          <w:b/>
          <w:bCs/>
          <w:sz w:val="28"/>
          <w:szCs w:val="24"/>
        </w:rPr>
        <w:t>Module: Financial Management for The Hotel Industry.</w:t>
      </w:r>
    </w:p>
    <w:p w14:paraId="3D93DCF9" w14:textId="7703FF88" w:rsidR="00F11D69" w:rsidRDefault="00F11D69" w:rsidP="00F11D69">
      <w:pPr>
        <w:jc w:val="center"/>
        <w:rPr>
          <w:b/>
          <w:bCs/>
          <w:sz w:val="28"/>
          <w:szCs w:val="24"/>
        </w:rPr>
      </w:pPr>
      <w:r>
        <w:rPr>
          <w:b/>
          <w:bCs/>
          <w:sz w:val="28"/>
          <w:szCs w:val="24"/>
        </w:rPr>
        <w:t>Words: 2,546 (including formulae)</w:t>
      </w:r>
    </w:p>
    <w:p w14:paraId="6F6F02BC" w14:textId="04594932" w:rsidR="00F11D69" w:rsidRDefault="00F11D69" w:rsidP="00F11D69">
      <w:pPr>
        <w:jc w:val="center"/>
        <w:rPr>
          <w:b/>
          <w:bCs/>
          <w:sz w:val="28"/>
          <w:szCs w:val="24"/>
        </w:rPr>
      </w:pPr>
      <w:r>
        <w:rPr>
          <w:b/>
          <w:bCs/>
          <w:sz w:val="28"/>
          <w:szCs w:val="24"/>
        </w:rPr>
        <w:t>Student Number: 2013213</w:t>
      </w:r>
    </w:p>
    <w:p w14:paraId="4723D290" w14:textId="77777777" w:rsidR="00D00785" w:rsidRDefault="00D00785" w:rsidP="00F11D69">
      <w:pPr>
        <w:jc w:val="center"/>
        <w:rPr>
          <w:b/>
          <w:bCs/>
          <w:sz w:val="28"/>
          <w:szCs w:val="24"/>
        </w:rPr>
      </w:pPr>
      <w:r>
        <w:rPr>
          <w:b/>
          <w:bCs/>
          <w:sz w:val="28"/>
          <w:szCs w:val="24"/>
        </w:rPr>
        <w:t>Module Code: BMIH5007</w:t>
      </w:r>
    </w:p>
    <w:p w14:paraId="71E21D81" w14:textId="73729175" w:rsidR="00822D8D" w:rsidRPr="001F57FF" w:rsidRDefault="00822D8D" w:rsidP="00F11D69">
      <w:pPr>
        <w:jc w:val="center"/>
        <w:rPr>
          <w:b/>
          <w:bCs/>
          <w:sz w:val="28"/>
          <w:szCs w:val="24"/>
        </w:rPr>
        <w:sectPr w:rsidR="00822D8D" w:rsidRPr="001F57FF">
          <w:footerReference w:type="default" r:id="rId8"/>
          <w:pgSz w:w="12240" w:h="15840"/>
          <w:pgMar w:top="1440" w:right="1440" w:bottom="1440" w:left="1440" w:header="720" w:footer="720" w:gutter="0"/>
          <w:cols w:space="720"/>
          <w:docGrid w:linePitch="360"/>
        </w:sectPr>
      </w:pPr>
      <w:r>
        <w:rPr>
          <w:b/>
          <w:bCs/>
          <w:sz w:val="28"/>
          <w:szCs w:val="24"/>
        </w:rPr>
        <w:t xml:space="preserve">Module Lecturer: </w:t>
      </w:r>
      <w:r w:rsidR="00A262E9">
        <w:rPr>
          <w:b/>
          <w:bCs/>
          <w:sz w:val="28"/>
          <w:szCs w:val="24"/>
        </w:rPr>
        <w:t>Dale Clarke</w:t>
      </w:r>
    </w:p>
    <w:p w14:paraId="51A49217" w14:textId="77777777" w:rsidR="00EB7EF9" w:rsidRPr="002B4964" w:rsidRDefault="00EB7EF9" w:rsidP="002B4964">
      <w:pPr>
        <w:pStyle w:val="Heading1"/>
        <w:spacing w:line="276" w:lineRule="auto"/>
        <w:rPr>
          <w:rFonts w:ascii="Times New Roman" w:hAnsi="Times New Roman" w:cs="Times New Roman"/>
          <w:sz w:val="24"/>
          <w:szCs w:val="24"/>
        </w:rPr>
      </w:pPr>
      <w:bookmarkStart w:id="0" w:name="_Toc118535069"/>
      <w:r w:rsidRPr="002B4964">
        <w:rPr>
          <w:rFonts w:ascii="Times New Roman" w:hAnsi="Times New Roman" w:cs="Times New Roman"/>
          <w:sz w:val="24"/>
          <w:szCs w:val="24"/>
        </w:rPr>
        <w:lastRenderedPageBreak/>
        <w:t>Executive Summary</w:t>
      </w:r>
      <w:bookmarkEnd w:id="0"/>
    </w:p>
    <w:p w14:paraId="401E2653" w14:textId="1BEC44AE" w:rsidR="00EB7EF9" w:rsidRPr="002B4964" w:rsidRDefault="00EB7EF9"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Ratio analysis is a statistical method for examining a company's income statement and balance sheet to determine its profitability, liquidity, and efficiency. This study contains a financial analysis of the hotel corporation Marriott International, Inc., which was formed in 1927. The firm has thirty brands and approximately eight thousand properties in 139 countries worldwide. Recently, the company's profits have increased. The ratios for 2021 demonstrate an improvement in profitability. In 2021, both the current ratio and the quick ratio demonstrate that Marriott International's liquidity has improved. Marriott International has achieved improvements concerning the use of assets, management of receivables, and control of payables. The company has </w:t>
      </w:r>
      <w:r w:rsidR="00907652" w:rsidRPr="002B4964">
        <w:rPr>
          <w:rFonts w:ascii="Times New Roman" w:hAnsi="Times New Roman" w:cs="Times New Roman"/>
          <w:szCs w:val="24"/>
        </w:rPr>
        <w:t>reduced</w:t>
      </w:r>
      <w:r w:rsidRPr="002B4964">
        <w:rPr>
          <w:rFonts w:ascii="Times New Roman" w:hAnsi="Times New Roman" w:cs="Times New Roman"/>
          <w:szCs w:val="24"/>
        </w:rPr>
        <w:t xml:space="preserve"> its debt and is fulfilling its current capital requirements via internal and external</w:t>
      </w:r>
      <w:r w:rsidR="00907652" w:rsidRPr="002B4964">
        <w:rPr>
          <w:rFonts w:ascii="Times New Roman" w:hAnsi="Times New Roman" w:cs="Times New Roman"/>
          <w:szCs w:val="24"/>
        </w:rPr>
        <w:t xml:space="preserve"> equity</w:t>
      </w:r>
      <w:r w:rsidRPr="002B4964">
        <w:rPr>
          <w:rFonts w:ascii="Times New Roman" w:hAnsi="Times New Roman" w:cs="Times New Roman"/>
          <w:szCs w:val="24"/>
        </w:rPr>
        <w:t xml:space="preserve"> finance. The interest coverage ratio is also greater, indicating that there are more funds available for interest payments. Ratio analysis is a very valuable technique, despite its disadvantages. Ratio analysis allows for the evaluation of profitability and operational comprehension.</w:t>
      </w:r>
      <w:r w:rsidRPr="002B4964">
        <w:rPr>
          <w:rFonts w:ascii="Times New Roman" w:hAnsi="Times New Roman" w:cs="Times New Roman"/>
          <w:szCs w:val="24"/>
        </w:rPr>
        <w:br w:type="page"/>
      </w:r>
    </w:p>
    <w:sdt>
      <w:sdtPr>
        <w:rPr>
          <w:rFonts w:ascii="Times New Roman" w:eastAsiaTheme="minorHAnsi" w:hAnsi="Times New Roman" w:cs="Times New Roman"/>
          <w:noProof/>
          <w:color w:val="auto"/>
          <w:sz w:val="24"/>
          <w:szCs w:val="24"/>
        </w:rPr>
        <w:id w:val="50815374"/>
        <w:docPartObj>
          <w:docPartGallery w:val="Table of Contents"/>
          <w:docPartUnique/>
        </w:docPartObj>
      </w:sdtPr>
      <w:sdtEndPr>
        <w:rPr>
          <w:b/>
          <w:bCs/>
          <w:noProof w:val="0"/>
        </w:rPr>
      </w:sdtEndPr>
      <w:sdtContent>
        <w:p w14:paraId="3F7D3414" w14:textId="33CBED2A" w:rsidR="00EB7EF9" w:rsidRPr="002B4964" w:rsidRDefault="00EB7EF9" w:rsidP="002B4964">
          <w:pPr>
            <w:pStyle w:val="TOCHeading"/>
            <w:spacing w:line="276" w:lineRule="auto"/>
            <w:jc w:val="both"/>
            <w:rPr>
              <w:rFonts w:ascii="Times New Roman" w:hAnsi="Times New Roman" w:cs="Times New Roman"/>
              <w:b/>
              <w:bCs/>
              <w:sz w:val="24"/>
              <w:szCs w:val="24"/>
            </w:rPr>
          </w:pPr>
          <w:r w:rsidRPr="002B4964">
            <w:rPr>
              <w:rFonts w:ascii="Times New Roman" w:hAnsi="Times New Roman" w:cs="Times New Roman"/>
              <w:b/>
              <w:bCs/>
              <w:sz w:val="24"/>
              <w:szCs w:val="24"/>
            </w:rPr>
            <w:t>Table of Contents</w:t>
          </w:r>
        </w:p>
        <w:p w14:paraId="2E68C12F" w14:textId="670AF2EE" w:rsidR="001F57FF" w:rsidRPr="002B4964" w:rsidRDefault="00EB7EF9" w:rsidP="002B4964">
          <w:pPr>
            <w:pStyle w:val="TOC1"/>
            <w:tabs>
              <w:tab w:val="right" w:leader="dot" w:pos="9350"/>
            </w:tabs>
            <w:spacing w:line="276" w:lineRule="auto"/>
            <w:rPr>
              <w:rFonts w:ascii="Times New Roman" w:eastAsiaTheme="minorEastAsia" w:hAnsi="Times New Roman" w:cs="Times New Roman"/>
              <w:szCs w:val="24"/>
            </w:rPr>
          </w:pPr>
          <w:r w:rsidRPr="002B4964">
            <w:rPr>
              <w:rFonts w:ascii="Times New Roman" w:hAnsi="Times New Roman" w:cs="Times New Roman"/>
              <w:szCs w:val="24"/>
            </w:rPr>
            <w:fldChar w:fldCharType="begin"/>
          </w:r>
          <w:r w:rsidRPr="002B4964">
            <w:rPr>
              <w:rFonts w:ascii="Times New Roman" w:hAnsi="Times New Roman" w:cs="Times New Roman"/>
              <w:szCs w:val="24"/>
            </w:rPr>
            <w:instrText xml:space="preserve"> TOC \o "1-3" \h \z \u </w:instrText>
          </w:r>
          <w:r w:rsidRPr="002B4964">
            <w:rPr>
              <w:rFonts w:ascii="Times New Roman" w:hAnsi="Times New Roman" w:cs="Times New Roman"/>
              <w:szCs w:val="24"/>
            </w:rPr>
            <w:fldChar w:fldCharType="separate"/>
          </w:r>
          <w:hyperlink w:anchor="_Toc118535069" w:history="1">
            <w:r w:rsidR="001F57FF" w:rsidRPr="002B4964">
              <w:rPr>
                <w:rStyle w:val="Hyperlink"/>
                <w:rFonts w:ascii="Times New Roman" w:hAnsi="Times New Roman" w:cs="Times New Roman"/>
                <w:szCs w:val="24"/>
              </w:rPr>
              <w:t>Executive Summary</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_Toc118535069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w:t>
            </w:r>
            <w:r w:rsidR="001F57FF" w:rsidRPr="002B4964">
              <w:rPr>
                <w:rFonts w:ascii="Times New Roman" w:hAnsi="Times New Roman" w:cs="Times New Roman"/>
                <w:webHidden/>
                <w:szCs w:val="24"/>
              </w:rPr>
              <w:fldChar w:fldCharType="end"/>
            </w:r>
          </w:hyperlink>
        </w:p>
        <w:p w14:paraId="03C7EA64" w14:textId="6474D792"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0" w:history="1">
            <w:r w:rsidR="001F57FF" w:rsidRPr="002B4964">
              <w:rPr>
                <w:rStyle w:val="Hyperlink"/>
                <w:rFonts w:ascii="Times New Roman" w:hAnsi="Times New Roman" w:cs="Times New Roman"/>
                <w:szCs w:val="24"/>
              </w:rPr>
              <w:t>1.0 Introduction</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_Toc118535070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3</w:t>
            </w:r>
            <w:r w:rsidR="001F57FF" w:rsidRPr="002B4964">
              <w:rPr>
                <w:rFonts w:ascii="Times New Roman" w:hAnsi="Times New Roman" w:cs="Times New Roman"/>
                <w:webHidden/>
                <w:szCs w:val="24"/>
              </w:rPr>
              <w:fldChar w:fldCharType="end"/>
            </w:r>
          </w:hyperlink>
        </w:p>
        <w:p w14:paraId="2777A84A" w14:textId="0063E6D0"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1" w:history="1">
            <w:r w:rsidR="001F57FF" w:rsidRPr="002B4964">
              <w:rPr>
                <w:rStyle w:val="Hyperlink"/>
                <w:rFonts w:ascii="Times New Roman" w:hAnsi="Times New Roman" w:cs="Times New Roman"/>
                <w:szCs w:val="24"/>
              </w:rPr>
              <w:t>2.0 Financial Analysis</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_Toc118535071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3</w:t>
            </w:r>
            <w:r w:rsidR="001F57FF" w:rsidRPr="002B4964">
              <w:rPr>
                <w:rFonts w:ascii="Times New Roman" w:hAnsi="Times New Roman" w:cs="Times New Roman"/>
                <w:webHidden/>
                <w:szCs w:val="24"/>
              </w:rPr>
              <w:fldChar w:fldCharType="end"/>
            </w:r>
          </w:hyperlink>
        </w:p>
        <w:p w14:paraId="347FEDEF" w14:textId="5E91F854"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2" w:history="1">
            <w:r w:rsidR="001F57FF" w:rsidRPr="002B4964">
              <w:rPr>
                <w:rStyle w:val="Hyperlink"/>
                <w:rFonts w:ascii="Times New Roman" w:hAnsi="Times New Roman" w:cs="Times New Roman"/>
                <w:szCs w:val="24"/>
              </w:rPr>
              <w:t>3.0 Financial Analysis Trend</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_Toc118535072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11</w:t>
            </w:r>
            <w:r w:rsidR="001F57FF" w:rsidRPr="002B4964">
              <w:rPr>
                <w:rFonts w:ascii="Times New Roman" w:hAnsi="Times New Roman" w:cs="Times New Roman"/>
                <w:webHidden/>
                <w:szCs w:val="24"/>
              </w:rPr>
              <w:fldChar w:fldCharType="end"/>
            </w:r>
          </w:hyperlink>
        </w:p>
        <w:p w14:paraId="2AD7B581" w14:textId="1A897AFA"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3" w:history="1">
            <w:r w:rsidR="001F57FF" w:rsidRPr="002B4964">
              <w:rPr>
                <w:rStyle w:val="Hyperlink"/>
                <w:rFonts w:ascii="Times New Roman" w:hAnsi="Times New Roman" w:cs="Times New Roman"/>
                <w:szCs w:val="24"/>
              </w:rPr>
              <w:t>4.0 Importance of Ratio Analysis</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_Toc118535073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13</w:t>
            </w:r>
            <w:r w:rsidR="001F57FF" w:rsidRPr="002B4964">
              <w:rPr>
                <w:rFonts w:ascii="Times New Roman" w:hAnsi="Times New Roman" w:cs="Times New Roman"/>
                <w:webHidden/>
                <w:szCs w:val="24"/>
              </w:rPr>
              <w:fldChar w:fldCharType="end"/>
            </w:r>
          </w:hyperlink>
        </w:p>
        <w:p w14:paraId="305ADAE0" w14:textId="714C01B3"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4" w:history="1">
            <w:r w:rsidR="001F57FF" w:rsidRPr="002B4964">
              <w:rPr>
                <w:rStyle w:val="Hyperlink"/>
                <w:rFonts w:ascii="Times New Roman" w:hAnsi="Times New Roman" w:cs="Times New Roman"/>
                <w:szCs w:val="24"/>
              </w:rPr>
              <w:t>5.0 Limitations of Ratio Analysis</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_Toc118535074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14</w:t>
            </w:r>
            <w:r w:rsidR="001F57FF" w:rsidRPr="002B4964">
              <w:rPr>
                <w:rFonts w:ascii="Times New Roman" w:hAnsi="Times New Roman" w:cs="Times New Roman"/>
                <w:webHidden/>
                <w:szCs w:val="24"/>
              </w:rPr>
              <w:fldChar w:fldCharType="end"/>
            </w:r>
          </w:hyperlink>
        </w:p>
        <w:p w14:paraId="288B8204" w14:textId="747A62AC"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5" w:history="1">
            <w:r w:rsidR="001F57FF" w:rsidRPr="002B4964">
              <w:rPr>
                <w:rStyle w:val="Hyperlink"/>
                <w:rFonts w:ascii="Times New Roman" w:hAnsi="Times New Roman" w:cs="Times New Roman"/>
                <w:szCs w:val="24"/>
              </w:rPr>
              <w:t>6.0 The Necessity of Understanding Ratio Analysis</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_Toc118535075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15</w:t>
            </w:r>
            <w:r w:rsidR="001F57FF" w:rsidRPr="002B4964">
              <w:rPr>
                <w:rFonts w:ascii="Times New Roman" w:hAnsi="Times New Roman" w:cs="Times New Roman"/>
                <w:webHidden/>
                <w:szCs w:val="24"/>
              </w:rPr>
              <w:fldChar w:fldCharType="end"/>
            </w:r>
          </w:hyperlink>
        </w:p>
        <w:p w14:paraId="0B07A79A" w14:textId="1EF7F593"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6" w:history="1">
            <w:r w:rsidR="001F57FF" w:rsidRPr="002B4964">
              <w:rPr>
                <w:rStyle w:val="Hyperlink"/>
                <w:rFonts w:ascii="Times New Roman" w:hAnsi="Times New Roman" w:cs="Times New Roman"/>
                <w:szCs w:val="24"/>
              </w:rPr>
              <w:t>07. Conclusion</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_Toc118535076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15</w:t>
            </w:r>
            <w:r w:rsidR="001F57FF" w:rsidRPr="002B4964">
              <w:rPr>
                <w:rFonts w:ascii="Times New Roman" w:hAnsi="Times New Roman" w:cs="Times New Roman"/>
                <w:webHidden/>
                <w:szCs w:val="24"/>
              </w:rPr>
              <w:fldChar w:fldCharType="end"/>
            </w:r>
          </w:hyperlink>
        </w:p>
        <w:p w14:paraId="3FB571BF" w14:textId="2A35A1CD" w:rsidR="001F57FF" w:rsidRPr="002B4964" w:rsidRDefault="00000000" w:rsidP="002B4964">
          <w:pPr>
            <w:pStyle w:val="TOC1"/>
            <w:tabs>
              <w:tab w:val="right" w:leader="dot" w:pos="9350"/>
            </w:tabs>
            <w:spacing w:line="276" w:lineRule="auto"/>
            <w:rPr>
              <w:rFonts w:ascii="Times New Roman" w:eastAsiaTheme="minorEastAsia" w:hAnsi="Times New Roman" w:cs="Times New Roman"/>
              <w:szCs w:val="24"/>
            </w:rPr>
          </w:pPr>
          <w:hyperlink w:anchor="_Toc118535077" w:history="1">
            <w:r w:rsidR="001F57FF" w:rsidRPr="002B4964">
              <w:rPr>
                <w:rStyle w:val="Hyperlink"/>
                <w:rFonts w:ascii="Times New Roman" w:hAnsi="Times New Roman" w:cs="Times New Roman"/>
                <w:szCs w:val="24"/>
              </w:rPr>
              <w:t>Reference</w:t>
            </w:r>
            <w:r w:rsidR="001F57FF" w:rsidRPr="002B4964">
              <w:rPr>
                <w:rFonts w:ascii="Times New Roman" w:hAnsi="Times New Roman" w:cs="Times New Roman"/>
                <w:webHidden/>
                <w:szCs w:val="24"/>
              </w:rPr>
              <w:tab/>
            </w:r>
            <w:r w:rsidR="001F57FF" w:rsidRPr="002B4964">
              <w:rPr>
                <w:rFonts w:ascii="Times New Roman" w:hAnsi="Times New Roman" w:cs="Times New Roman"/>
                <w:webHidden/>
                <w:szCs w:val="24"/>
              </w:rPr>
              <w:fldChar w:fldCharType="begin"/>
            </w:r>
            <w:r w:rsidR="001F57FF" w:rsidRPr="002B4964">
              <w:rPr>
                <w:rFonts w:ascii="Times New Roman" w:hAnsi="Times New Roman" w:cs="Times New Roman"/>
                <w:webHidden/>
                <w:szCs w:val="24"/>
              </w:rPr>
              <w:instrText xml:space="preserve"> PAGEREF _Toc118535077 \h </w:instrText>
            </w:r>
            <w:r w:rsidR="001F57FF" w:rsidRPr="002B4964">
              <w:rPr>
                <w:rFonts w:ascii="Times New Roman" w:hAnsi="Times New Roman" w:cs="Times New Roman"/>
                <w:webHidden/>
                <w:szCs w:val="24"/>
              </w:rPr>
            </w:r>
            <w:r w:rsidR="001F57FF" w:rsidRPr="002B4964">
              <w:rPr>
                <w:rFonts w:ascii="Times New Roman" w:hAnsi="Times New Roman" w:cs="Times New Roman"/>
                <w:webHidden/>
                <w:szCs w:val="24"/>
              </w:rPr>
              <w:fldChar w:fldCharType="separate"/>
            </w:r>
            <w:r w:rsidR="001F57FF" w:rsidRPr="002B4964">
              <w:rPr>
                <w:rFonts w:ascii="Times New Roman" w:hAnsi="Times New Roman" w:cs="Times New Roman"/>
                <w:webHidden/>
                <w:szCs w:val="24"/>
              </w:rPr>
              <w:t>16</w:t>
            </w:r>
            <w:r w:rsidR="001F57FF" w:rsidRPr="002B4964">
              <w:rPr>
                <w:rFonts w:ascii="Times New Roman" w:hAnsi="Times New Roman" w:cs="Times New Roman"/>
                <w:webHidden/>
                <w:szCs w:val="24"/>
              </w:rPr>
              <w:fldChar w:fldCharType="end"/>
            </w:r>
          </w:hyperlink>
        </w:p>
        <w:p w14:paraId="4143CC77" w14:textId="2ED98C12" w:rsidR="00EB7EF9" w:rsidRPr="002B4964" w:rsidRDefault="00EB7EF9" w:rsidP="002B4964">
          <w:pPr>
            <w:spacing w:line="276" w:lineRule="auto"/>
            <w:rPr>
              <w:rFonts w:ascii="Times New Roman" w:hAnsi="Times New Roman" w:cs="Times New Roman"/>
              <w:szCs w:val="24"/>
            </w:rPr>
          </w:pPr>
          <w:r w:rsidRPr="002B4964">
            <w:rPr>
              <w:rFonts w:ascii="Times New Roman" w:hAnsi="Times New Roman" w:cs="Times New Roman"/>
              <w:b/>
              <w:bCs/>
              <w:szCs w:val="24"/>
            </w:rPr>
            <w:fldChar w:fldCharType="end"/>
          </w:r>
        </w:p>
      </w:sdtContent>
    </w:sdt>
    <w:p w14:paraId="32772DDE" w14:textId="297DD522" w:rsidR="00EB7EF9" w:rsidRPr="002B4964" w:rsidRDefault="00EB7EF9" w:rsidP="002B4964">
      <w:pPr>
        <w:pStyle w:val="Heading1"/>
        <w:spacing w:line="276" w:lineRule="auto"/>
        <w:rPr>
          <w:rFonts w:ascii="Times New Roman" w:hAnsi="Times New Roman" w:cs="Times New Roman"/>
          <w:sz w:val="24"/>
          <w:szCs w:val="24"/>
        </w:rPr>
      </w:pPr>
      <w:r w:rsidRPr="002B4964">
        <w:rPr>
          <w:rFonts w:ascii="Times New Roman" w:hAnsi="Times New Roman" w:cs="Times New Roman"/>
          <w:sz w:val="24"/>
          <w:szCs w:val="24"/>
        </w:rPr>
        <w:br w:type="page"/>
      </w:r>
    </w:p>
    <w:p w14:paraId="7589E3DD" w14:textId="50E9BFFD" w:rsidR="004941DE" w:rsidRPr="002B4964" w:rsidRDefault="00C630C0" w:rsidP="002B4964">
      <w:pPr>
        <w:pStyle w:val="Heading1"/>
        <w:spacing w:line="276" w:lineRule="auto"/>
        <w:rPr>
          <w:rFonts w:ascii="Times New Roman" w:hAnsi="Times New Roman" w:cs="Times New Roman"/>
          <w:sz w:val="24"/>
          <w:szCs w:val="24"/>
        </w:rPr>
      </w:pPr>
      <w:bookmarkStart w:id="1" w:name="_Toc118535070"/>
      <w:r w:rsidRPr="002B4964">
        <w:rPr>
          <w:rFonts w:ascii="Times New Roman" w:hAnsi="Times New Roman" w:cs="Times New Roman"/>
          <w:sz w:val="24"/>
          <w:szCs w:val="24"/>
        </w:rPr>
        <w:lastRenderedPageBreak/>
        <w:t xml:space="preserve">1.0 </w:t>
      </w:r>
      <w:r w:rsidR="0041218D" w:rsidRPr="002B4964">
        <w:rPr>
          <w:rFonts w:ascii="Times New Roman" w:hAnsi="Times New Roman" w:cs="Times New Roman"/>
          <w:sz w:val="24"/>
          <w:szCs w:val="24"/>
        </w:rPr>
        <w:t>Introduction</w:t>
      </w:r>
      <w:bookmarkEnd w:id="1"/>
    </w:p>
    <w:p w14:paraId="3478CF2D" w14:textId="7B877F07" w:rsidR="0041218D" w:rsidRPr="002B4964" w:rsidRDefault="007B6F49" w:rsidP="002B4964">
      <w:pPr>
        <w:spacing w:line="276" w:lineRule="auto"/>
        <w:rPr>
          <w:rFonts w:ascii="Times New Roman" w:hAnsi="Times New Roman" w:cs="Times New Roman"/>
          <w:szCs w:val="24"/>
        </w:rPr>
      </w:pPr>
      <w:r w:rsidRPr="002B4964">
        <w:rPr>
          <w:rFonts w:ascii="Times New Roman" w:hAnsi="Times New Roman" w:cs="Times New Roman"/>
          <w:szCs w:val="24"/>
        </w:rPr>
        <w:t>Ratio analysis is a mathematical approach to analyzing the income statement and balance sheet to analyze and understand a company's profitability, liquidity, and efficiency (</w:t>
      </w:r>
      <w:proofErr w:type="spellStart"/>
      <w:r w:rsidRPr="002B4964">
        <w:rPr>
          <w:rFonts w:ascii="Times New Roman" w:hAnsi="Times New Roman" w:cs="Times New Roman"/>
          <w:szCs w:val="24"/>
        </w:rPr>
        <w:t>Bloomenthal</w:t>
      </w:r>
      <w:proofErr w:type="spellEnd"/>
      <w:r w:rsidRPr="002B4964">
        <w:rPr>
          <w:rFonts w:ascii="Times New Roman" w:hAnsi="Times New Roman" w:cs="Times New Roman"/>
          <w:szCs w:val="24"/>
        </w:rPr>
        <w:t>, 2022).</w:t>
      </w:r>
      <w:r w:rsidR="00BD61F1" w:rsidRPr="002B4964">
        <w:rPr>
          <w:rFonts w:ascii="Times New Roman" w:hAnsi="Times New Roman" w:cs="Times New Roman"/>
          <w:szCs w:val="24"/>
        </w:rPr>
        <w:t xml:space="preserve"> Despite the widespread usage of financial ratios, a thorough grasp of their strengths and weaknesses is essential for using them effectively. As a result, it's crucial to have a thorough comprehension of the meaning and use of financial ratios (Nadar &amp; Wadhwa, 2019). This report includes the financial analysis of Marriott International, Inc</w:t>
      </w:r>
      <w:r w:rsidR="00F8709A" w:rsidRPr="002B4964">
        <w:rPr>
          <w:rFonts w:ascii="Times New Roman" w:hAnsi="Times New Roman" w:cs="Times New Roman"/>
          <w:szCs w:val="24"/>
        </w:rPr>
        <w:t xml:space="preserve"> which is a hotel company founded in 1927. The company has 30 brands and over 8000 properties in 139 countries around the world (Marriott, 2019). </w:t>
      </w:r>
      <w:r w:rsidR="00C630C0" w:rsidRPr="002B4964">
        <w:rPr>
          <w:rFonts w:ascii="Times New Roman" w:hAnsi="Times New Roman" w:cs="Times New Roman"/>
          <w:szCs w:val="24"/>
        </w:rPr>
        <w:t>This report includes an analytical comparison of performance between 2020 and 2021 which will help the management to evaluate financial performance and focus on the operational segments where improvement is required. This report also includes the limitations and importance of ratio analysis about which the management and financial analysts should be cautious.</w:t>
      </w:r>
    </w:p>
    <w:p w14:paraId="47B644D9" w14:textId="7B56F0DE" w:rsidR="00C630C0" w:rsidRPr="002B4964" w:rsidRDefault="00C630C0" w:rsidP="002B4964">
      <w:pPr>
        <w:pStyle w:val="Heading1"/>
        <w:spacing w:line="276" w:lineRule="auto"/>
        <w:rPr>
          <w:rFonts w:ascii="Times New Roman" w:hAnsi="Times New Roman" w:cs="Times New Roman"/>
          <w:sz w:val="24"/>
          <w:szCs w:val="24"/>
        </w:rPr>
      </w:pPr>
      <w:bookmarkStart w:id="2" w:name="_Toc118535071"/>
      <w:r w:rsidRPr="002B4964">
        <w:rPr>
          <w:rFonts w:ascii="Times New Roman" w:hAnsi="Times New Roman" w:cs="Times New Roman"/>
          <w:sz w:val="24"/>
          <w:szCs w:val="24"/>
        </w:rPr>
        <w:t>2.0 Financial Analysis</w:t>
      </w:r>
      <w:bookmarkEnd w:id="2"/>
    </w:p>
    <w:p w14:paraId="15256DAC" w14:textId="77777777" w:rsidR="00480324" w:rsidRPr="002B4964" w:rsidRDefault="00480324" w:rsidP="002B4964">
      <w:pPr>
        <w:spacing w:line="276" w:lineRule="auto"/>
        <w:rPr>
          <w:rFonts w:ascii="Times New Roman" w:hAnsi="Times New Roman" w:cs="Times New Roman"/>
          <w:szCs w:val="24"/>
        </w:rPr>
      </w:pPr>
      <w:r w:rsidRPr="002B4964">
        <w:rPr>
          <w:rFonts w:ascii="Times New Roman" w:hAnsi="Times New Roman" w:cs="Times New Roman"/>
          <w:szCs w:val="24"/>
        </w:rPr>
        <w:t>The financial study of Marriott International contains a horizontal analysis comparing the balance sheet and income statement for the years 2020 and 2021.</w:t>
      </w:r>
    </w:p>
    <w:p w14:paraId="3A54A86A" w14:textId="6CB9209F" w:rsidR="00C630C0" w:rsidRPr="002B4964" w:rsidRDefault="000F5047"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2.1 Horizontal Analysis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2"/>
        <w:gridCol w:w="1435"/>
        <w:gridCol w:w="1346"/>
        <w:gridCol w:w="1615"/>
        <w:gridCol w:w="1192"/>
      </w:tblGrid>
      <w:tr w:rsidR="000E7656" w:rsidRPr="002B4964" w14:paraId="2E79C189" w14:textId="77777777" w:rsidTr="000E7656">
        <w:trPr>
          <w:trHeight w:val="315"/>
        </w:trPr>
        <w:tc>
          <w:tcPr>
            <w:tcW w:w="9350" w:type="dxa"/>
            <w:gridSpan w:val="5"/>
            <w:shd w:val="clear" w:color="auto" w:fill="262626" w:themeFill="text1" w:themeFillTint="D9"/>
            <w:noWrap/>
            <w:vAlign w:val="bottom"/>
            <w:hideMark/>
          </w:tcPr>
          <w:p w14:paraId="69C10F6D" w14:textId="5DEFBAC4" w:rsidR="000E7656" w:rsidRPr="002B4964" w:rsidRDefault="000E7656" w:rsidP="002B4964">
            <w:pPr>
              <w:spacing w:after="0" w:line="276" w:lineRule="auto"/>
              <w:rPr>
                <w:rFonts w:ascii="Times New Roman" w:eastAsia="Times New Roman" w:hAnsi="Times New Roman" w:cs="Times New Roman"/>
                <w:b/>
                <w:bCs/>
                <w:color w:val="FFFFFF"/>
                <w:szCs w:val="24"/>
              </w:rPr>
            </w:pPr>
            <w:r w:rsidRPr="002B4964">
              <w:rPr>
                <w:rFonts w:ascii="Times New Roman" w:eastAsia="Times New Roman" w:hAnsi="Times New Roman" w:cs="Times New Roman"/>
                <w:b/>
                <w:bCs/>
                <w:color w:val="FFFFFF"/>
                <w:szCs w:val="24"/>
              </w:rPr>
              <w:t>Marriott International, INC</w:t>
            </w:r>
          </w:p>
        </w:tc>
      </w:tr>
      <w:tr w:rsidR="000E7656" w:rsidRPr="002B4964" w14:paraId="45F76F70" w14:textId="77777777" w:rsidTr="000E7656">
        <w:trPr>
          <w:trHeight w:val="315"/>
        </w:trPr>
        <w:tc>
          <w:tcPr>
            <w:tcW w:w="9350" w:type="dxa"/>
            <w:gridSpan w:val="5"/>
            <w:shd w:val="clear" w:color="auto" w:fill="BFBFBF" w:themeFill="background1" w:themeFillShade="BF"/>
            <w:noWrap/>
            <w:vAlign w:val="bottom"/>
            <w:hideMark/>
          </w:tcPr>
          <w:p w14:paraId="10025EB1"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Income Statement</w:t>
            </w:r>
          </w:p>
        </w:tc>
      </w:tr>
      <w:tr w:rsidR="000E7656" w:rsidRPr="002B4964" w14:paraId="5120F2F6" w14:textId="77777777" w:rsidTr="000E7656">
        <w:trPr>
          <w:trHeight w:val="315"/>
        </w:trPr>
        <w:tc>
          <w:tcPr>
            <w:tcW w:w="3775" w:type="dxa"/>
            <w:shd w:val="clear" w:color="auto" w:fill="auto"/>
            <w:noWrap/>
            <w:vAlign w:val="bottom"/>
            <w:hideMark/>
          </w:tcPr>
          <w:p w14:paraId="407AEBF0"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 </w:t>
            </w:r>
          </w:p>
        </w:tc>
        <w:tc>
          <w:tcPr>
            <w:tcW w:w="1440" w:type="dxa"/>
            <w:tcBorders>
              <w:bottom w:val="single" w:sz="4" w:space="0" w:color="auto"/>
            </w:tcBorders>
            <w:shd w:val="clear" w:color="auto" w:fill="auto"/>
            <w:noWrap/>
            <w:vAlign w:val="center"/>
            <w:hideMark/>
          </w:tcPr>
          <w:p w14:paraId="46BA1E45" w14:textId="6B3768C9" w:rsidR="000E7656" w:rsidRPr="002B4964" w:rsidRDefault="000E765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2021 ($Million)</w:t>
            </w:r>
          </w:p>
        </w:tc>
        <w:tc>
          <w:tcPr>
            <w:tcW w:w="1350" w:type="dxa"/>
            <w:tcBorders>
              <w:bottom w:val="single" w:sz="4" w:space="0" w:color="auto"/>
            </w:tcBorders>
            <w:shd w:val="clear" w:color="auto" w:fill="auto"/>
            <w:noWrap/>
            <w:vAlign w:val="center"/>
            <w:hideMark/>
          </w:tcPr>
          <w:p w14:paraId="6D280CDD" w14:textId="2C16B7AF" w:rsidR="000E7656" w:rsidRPr="002B4964" w:rsidRDefault="000E765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2020 ($Million)</w:t>
            </w:r>
          </w:p>
        </w:tc>
        <w:tc>
          <w:tcPr>
            <w:tcW w:w="1620" w:type="dxa"/>
            <w:tcBorders>
              <w:bottom w:val="single" w:sz="4" w:space="0" w:color="auto"/>
            </w:tcBorders>
            <w:shd w:val="clear" w:color="auto" w:fill="auto"/>
            <w:noWrap/>
            <w:vAlign w:val="center"/>
            <w:hideMark/>
          </w:tcPr>
          <w:p w14:paraId="34826549" w14:textId="17C566C4" w:rsidR="000E7656" w:rsidRPr="002B4964" w:rsidRDefault="000E765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Change ($Million)</w:t>
            </w:r>
          </w:p>
        </w:tc>
        <w:tc>
          <w:tcPr>
            <w:tcW w:w="1165" w:type="dxa"/>
            <w:tcBorders>
              <w:bottom w:val="single" w:sz="4" w:space="0" w:color="auto"/>
            </w:tcBorders>
            <w:shd w:val="clear" w:color="auto" w:fill="auto"/>
            <w:noWrap/>
            <w:vAlign w:val="center"/>
            <w:hideMark/>
          </w:tcPr>
          <w:p w14:paraId="097463AF" w14:textId="77777777" w:rsidR="000E7656" w:rsidRPr="002B4964" w:rsidRDefault="000E765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Change</w:t>
            </w:r>
          </w:p>
        </w:tc>
      </w:tr>
      <w:tr w:rsidR="000E7656" w:rsidRPr="002B4964" w14:paraId="0971D856" w14:textId="77777777" w:rsidTr="00DB794B">
        <w:trPr>
          <w:trHeight w:val="432"/>
        </w:trPr>
        <w:tc>
          <w:tcPr>
            <w:tcW w:w="3775" w:type="dxa"/>
            <w:shd w:val="clear" w:color="auto" w:fill="auto"/>
            <w:noWrap/>
            <w:vAlign w:val="center"/>
            <w:hideMark/>
          </w:tcPr>
          <w:p w14:paraId="2004611E"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Sales</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630E7584" w14:textId="127B5FC9"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13,857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BF3CF1" w14:textId="22166768"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10,571</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1CA49" w14:textId="33406041"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3,286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A191A" w14:textId="54B7BFE1"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31.09%</w:t>
            </w:r>
          </w:p>
        </w:tc>
      </w:tr>
      <w:tr w:rsidR="000E7656" w:rsidRPr="002B4964" w14:paraId="0405EBEC" w14:textId="77777777" w:rsidTr="00DB794B">
        <w:trPr>
          <w:trHeight w:val="432"/>
        </w:trPr>
        <w:tc>
          <w:tcPr>
            <w:tcW w:w="3775" w:type="dxa"/>
            <w:shd w:val="clear" w:color="auto" w:fill="auto"/>
            <w:noWrap/>
            <w:vAlign w:val="center"/>
            <w:hideMark/>
          </w:tcPr>
          <w:p w14:paraId="6F84FF35" w14:textId="7777777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Cost of Goods Sold</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5C3F7549" w14:textId="5089BBE6"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11,064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3540E" w14:textId="4EFA4C75"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9,379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C4B18" w14:textId="47B95E93"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1,685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199F6D" w14:textId="3AC92AAD"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17.97%</w:t>
            </w:r>
          </w:p>
        </w:tc>
      </w:tr>
      <w:tr w:rsidR="000E7656" w:rsidRPr="002B4964" w14:paraId="3A64890C" w14:textId="77777777" w:rsidTr="00DB794B">
        <w:trPr>
          <w:trHeight w:val="432"/>
        </w:trPr>
        <w:tc>
          <w:tcPr>
            <w:tcW w:w="3775" w:type="dxa"/>
            <w:shd w:val="clear" w:color="auto" w:fill="auto"/>
            <w:noWrap/>
            <w:vAlign w:val="center"/>
            <w:hideMark/>
          </w:tcPr>
          <w:p w14:paraId="72386F9C"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Gross Profit</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7A1E9A52" w14:textId="7353FF8A"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2,793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3364D" w14:textId="787F4591"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1,192</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6DADA" w14:textId="2D6E19C0"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1,601</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69D7C" w14:textId="0B32622D"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134.31%</w:t>
            </w:r>
          </w:p>
        </w:tc>
      </w:tr>
      <w:tr w:rsidR="000E7656" w:rsidRPr="002B4964" w14:paraId="478A10C9" w14:textId="77777777" w:rsidTr="00DB794B">
        <w:trPr>
          <w:trHeight w:val="432"/>
        </w:trPr>
        <w:tc>
          <w:tcPr>
            <w:tcW w:w="3775" w:type="dxa"/>
            <w:shd w:val="clear" w:color="auto" w:fill="auto"/>
            <w:noWrap/>
            <w:vAlign w:val="center"/>
            <w:hideMark/>
          </w:tcPr>
          <w:p w14:paraId="3DEA5386" w14:textId="7777777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Operating Expenses</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6192FE10" w14:textId="459CD65E"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1,043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9A977" w14:textId="2CD8B662"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1,108</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72B85" w14:textId="29FFDDBA"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-65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2D7FBC" w14:textId="57E9FDC3"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-5.87%</w:t>
            </w:r>
          </w:p>
        </w:tc>
      </w:tr>
      <w:tr w:rsidR="000E7656" w:rsidRPr="002B4964" w14:paraId="6B948A76" w14:textId="77777777" w:rsidTr="00DB794B">
        <w:trPr>
          <w:trHeight w:val="432"/>
        </w:trPr>
        <w:tc>
          <w:tcPr>
            <w:tcW w:w="3775" w:type="dxa"/>
            <w:shd w:val="clear" w:color="auto" w:fill="auto"/>
            <w:noWrap/>
            <w:vAlign w:val="center"/>
            <w:hideMark/>
          </w:tcPr>
          <w:p w14:paraId="16B2BF6C" w14:textId="7777777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Operating Income</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626641E3" w14:textId="10D9861A"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1,750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A8F63" w14:textId="44A15118"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84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5B8E59" w14:textId="03FA454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1,666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0CDCF" w14:textId="4C045C8B"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1983.33%</w:t>
            </w:r>
          </w:p>
        </w:tc>
      </w:tr>
      <w:tr w:rsidR="000E7656" w:rsidRPr="002B4964" w14:paraId="0237C08B" w14:textId="77777777" w:rsidTr="00DB794B">
        <w:trPr>
          <w:trHeight w:val="432"/>
        </w:trPr>
        <w:tc>
          <w:tcPr>
            <w:tcW w:w="3775" w:type="dxa"/>
            <w:shd w:val="clear" w:color="auto" w:fill="auto"/>
            <w:noWrap/>
            <w:vAlign w:val="center"/>
            <w:hideMark/>
          </w:tcPr>
          <w:p w14:paraId="3C90D245"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Interest Expense</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1ADF6F38" w14:textId="5E5F1816"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420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A7C22" w14:textId="012BEACC"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445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8CE15" w14:textId="0CDB4FAE"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70281" w14:textId="548C8932"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-5.62%</w:t>
            </w:r>
          </w:p>
        </w:tc>
      </w:tr>
      <w:tr w:rsidR="000E7656" w:rsidRPr="002B4964" w14:paraId="66F0DD48" w14:textId="77777777" w:rsidTr="00DB794B">
        <w:trPr>
          <w:trHeight w:val="432"/>
        </w:trPr>
        <w:tc>
          <w:tcPr>
            <w:tcW w:w="3775" w:type="dxa"/>
            <w:shd w:val="clear" w:color="auto" w:fill="auto"/>
            <w:noWrap/>
            <w:vAlign w:val="center"/>
            <w:hideMark/>
          </w:tcPr>
          <w:p w14:paraId="2FE25862" w14:textId="0757D2DE"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Total Other income/ (expenses) net</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196570D0" w14:textId="2E78375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150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5916F" w14:textId="54EFE39D"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9402A" w14:textId="11FBE42A"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255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F7A3B" w14:textId="076CE8D7"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242.86%</w:t>
            </w:r>
          </w:p>
        </w:tc>
      </w:tr>
      <w:tr w:rsidR="000E7656" w:rsidRPr="002B4964" w14:paraId="3EDDDB87" w14:textId="77777777" w:rsidTr="00DB794B">
        <w:trPr>
          <w:trHeight w:val="432"/>
        </w:trPr>
        <w:tc>
          <w:tcPr>
            <w:tcW w:w="3775" w:type="dxa"/>
            <w:shd w:val="clear" w:color="auto" w:fill="auto"/>
            <w:noWrap/>
            <w:vAlign w:val="center"/>
            <w:hideMark/>
          </w:tcPr>
          <w:p w14:paraId="416607AC" w14:textId="3FAB22D3"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Income</w:t>
            </w:r>
            <w:r w:rsidR="00F2138A" w:rsidRPr="002B4964">
              <w:rPr>
                <w:rFonts w:ascii="Times New Roman" w:eastAsia="Times New Roman" w:hAnsi="Times New Roman" w:cs="Times New Roman"/>
                <w:b/>
                <w:bCs/>
                <w:color w:val="000000"/>
                <w:szCs w:val="24"/>
              </w:rPr>
              <w:t xml:space="preserve"> Before Interest and Taxes</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024121BD" w14:textId="73DEA740"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7F161" w14:textId="7B42D43A"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-21</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3E60B" w14:textId="3801F675"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1,921</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CE945" w14:textId="71CE2C1C"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9147.62%</w:t>
            </w:r>
          </w:p>
        </w:tc>
      </w:tr>
      <w:tr w:rsidR="000E7656" w:rsidRPr="002B4964" w14:paraId="1DE5B77D" w14:textId="77777777" w:rsidTr="00DB794B">
        <w:trPr>
          <w:trHeight w:val="432"/>
        </w:trPr>
        <w:tc>
          <w:tcPr>
            <w:tcW w:w="3775" w:type="dxa"/>
            <w:shd w:val="clear" w:color="auto" w:fill="auto"/>
            <w:noWrap/>
            <w:vAlign w:val="center"/>
            <w:hideMark/>
          </w:tcPr>
          <w:p w14:paraId="603B8D41" w14:textId="00AF4025"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Profit Before</w:t>
            </w:r>
            <w:r w:rsidR="00F2138A" w:rsidRPr="002B4964">
              <w:rPr>
                <w:rFonts w:ascii="Times New Roman" w:eastAsia="Times New Roman" w:hAnsi="Times New Roman" w:cs="Times New Roman"/>
                <w:color w:val="000000"/>
                <w:szCs w:val="24"/>
              </w:rPr>
              <w:t xml:space="preserve"> Taxes</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67A6CDD4" w14:textId="3FC32D8C"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1,180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32858" w14:textId="5F883435"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-466</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9F61C8" w14:textId="3E58BF4B"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1,646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6F6C4" w14:textId="68E0662B"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353.22%</w:t>
            </w:r>
          </w:p>
        </w:tc>
      </w:tr>
      <w:tr w:rsidR="000E7656" w:rsidRPr="002B4964" w14:paraId="0CC7BB34" w14:textId="77777777" w:rsidTr="00DB794B">
        <w:trPr>
          <w:trHeight w:val="432"/>
        </w:trPr>
        <w:tc>
          <w:tcPr>
            <w:tcW w:w="3775" w:type="dxa"/>
            <w:shd w:val="clear" w:color="auto" w:fill="auto"/>
            <w:noWrap/>
            <w:vAlign w:val="center"/>
            <w:hideMark/>
          </w:tcPr>
          <w:p w14:paraId="10BCFAAC" w14:textId="7777777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Net income</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3CE95E2B" w14:textId="3DB731E5"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1,099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E6E9C" w14:textId="6C702DA6"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-267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65275" w14:textId="6DAF8373"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1,366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608AE" w14:textId="1C30476D" w:rsidR="000E7656" w:rsidRPr="002B4964" w:rsidRDefault="000E7656"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511.61%</w:t>
            </w:r>
          </w:p>
        </w:tc>
      </w:tr>
    </w:tbl>
    <w:p w14:paraId="162DDFED" w14:textId="0DE1BCFE" w:rsidR="000F5047" w:rsidRPr="002B4964" w:rsidRDefault="0050450D" w:rsidP="002B4964">
      <w:pPr>
        <w:spacing w:line="276" w:lineRule="auto"/>
        <w:rPr>
          <w:rFonts w:ascii="Times New Roman" w:hAnsi="Times New Roman" w:cs="Times New Roman"/>
          <w:szCs w:val="24"/>
        </w:rPr>
      </w:pPr>
      <w:r w:rsidRPr="002B4964">
        <w:rPr>
          <w:rFonts w:ascii="Times New Roman" w:hAnsi="Times New Roman" w:cs="Times New Roman"/>
          <w:szCs w:val="24"/>
        </w:rPr>
        <w:t>Figure 01: Horizontal Analysis of Income Statement (Source: Author)</w:t>
      </w:r>
    </w:p>
    <w:tbl>
      <w:tblPr>
        <w:tblW w:w="9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1593"/>
        <w:gridCol w:w="1415"/>
        <w:gridCol w:w="1415"/>
        <w:gridCol w:w="1332"/>
      </w:tblGrid>
      <w:tr w:rsidR="000E7656" w:rsidRPr="002B4964" w14:paraId="1EFE4897" w14:textId="77777777" w:rsidTr="0050450D">
        <w:trPr>
          <w:trHeight w:val="310"/>
        </w:trPr>
        <w:tc>
          <w:tcPr>
            <w:tcW w:w="9557" w:type="dxa"/>
            <w:gridSpan w:val="5"/>
            <w:shd w:val="clear" w:color="auto" w:fill="262626" w:themeFill="text1" w:themeFillTint="D9"/>
            <w:noWrap/>
            <w:vAlign w:val="bottom"/>
            <w:hideMark/>
          </w:tcPr>
          <w:p w14:paraId="66F9FA25" w14:textId="741A9206" w:rsidR="000E7656" w:rsidRPr="002B4964" w:rsidRDefault="000E7656" w:rsidP="002B4964">
            <w:pPr>
              <w:spacing w:after="0" w:line="276" w:lineRule="auto"/>
              <w:rPr>
                <w:rFonts w:ascii="Times New Roman" w:eastAsia="Times New Roman" w:hAnsi="Times New Roman" w:cs="Times New Roman"/>
                <w:b/>
                <w:bCs/>
                <w:color w:val="FFFFFF"/>
                <w:szCs w:val="24"/>
              </w:rPr>
            </w:pPr>
            <w:r w:rsidRPr="002B4964">
              <w:rPr>
                <w:rFonts w:ascii="Times New Roman" w:eastAsia="Times New Roman" w:hAnsi="Times New Roman" w:cs="Times New Roman"/>
                <w:b/>
                <w:bCs/>
                <w:color w:val="FFFFFF"/>
                <w:szCs w:val="24"/>
              </w:rPr>
              <w:lastRenderedPageBreak/>
              <w:t>Marriott International, INC</w:t>
            </w:r>
          </w:p>
        </w:tc>
      </w:tr>
      <w:tr w:rsidR="000E7656" w:rsidRPr="002B4964" w14:paraId="027FA927" w14:textId="77777777" w:rsidTr="0050450D">
        <w:trPr>
          <w:trHeight w:val="310"/>
        </w:trPr>
        <w:tc>
          <w:tcPr>
            <w:tcW w:w="9557" w:type="dxa"/>
            <w:gridSpan w:val="5"/>
            <w:shd w:val="clear" w:color="auto" w:fill="BFBFBF" w:themeFill="background1" w:themeFillShade="BF"/>
            <w:noWrap/>
            <w:vAlign w:val="bottom"/>
            <w:hideMark/>
          </w:tcPr>
          <w:p w14:paraId="1C3398F5" w14:textId="2F0EDE8D"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Balance Sheet</w:t>
            </w:r>
          </w:p>
        </w:tc>
      </w:tr>
      <w:tr w:rsidR="000E7656" w:rsidRPr="002B4964" w14:paraId="3C856C4B" w14:textId="77777777" w:rsidTr="0050450D">
        <w:trPr>
          <w:trHeight w:val="310"/>
        </w:trPr>
        <w:tc>
          <w:tcPr>
            <w:tcW w:w="3802" w:type="dxa"/>
            <w:shd w:val="clear" w:color="auto" w:fill="auto"/>
            <w:noWrap/>
            <w:vAlign w:val="bottom"/>
            <w:hideMark/>
          </w:tcPr>
          <w:p w14:paraId="7688EED8" w14:textId="3441EDD2"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 </w:t>
            </w:r>
          </w:p>
        </w:tc>
        <w:tc>
          <w:tcPr>
            <w:tcW w:w="1593" w:type="dxa"/>
            <w:tcBorders>
              <w:bottom w:val="single" w:sz="4" w:space="0" w:color="auto"/>
            </w:tcBorders>
            <w:shd w:val="clear" w:color="auto" w:fill="auto"/>
            <w:noWrap/>
            <w:vAlign w:val="center"/>
            <w:hideMark/>
          </w:tcPr>
          <w:p w14:paraId="7E3FBEB7" w14:textId="5CA24761"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hAnsi="Times New Roman" w:cs="Times New Roman"/>
                <w:b/>
                <w:bCs/>
                <w:szCs w:val="24"/>
              </w:rPr>
              <w:t>2021 ($Million)</w:t>
            </w:r>
          </w:p>
        </w:tc>
        <w:tc>
          <w:tcPr>
            <w:tcW w:w="1415" w:type="dxa"/>
            <w:tcBorders>
              <w:bottom w:val="single" w:sz="4" w:space="0" w:color="auto"/>
            </w:tcBorders>
            <w:shd w:val="clear" w:color="auto" w:fill="auto"/>
            <w:noWrap/>
            <w:vAlign w:val="center"/>
            <w:hideMark/>
          </w:tcPr>
          <w:p w14:paraId="6E847920" w14:textId="0B88D8E7"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hAnsi="Times New Roman" w:cs="Times New Roman"/>
                <w:b/>
                <w:bCs/>
                <w:szCs w:val="24"/>
              </w:rPr>
              <w:t>2020 ($Million)</w:t>
            </w:r>
          </w:p>
        </w:tc>
        <w:tc>
          <w:tcPr>
            <w:tcW w:w="1415" w:type="dxa"/>
            <w:tcBorders>
              <w:bottom w:val="single" w:sz="4" w:space="0" w:color="auto"/>
            </w:tcBorders>
            <w:shd w:val="clear" w:color="auto" w:fill="auto"/>
            <w:noWrap/>
            <w:vAlign w:val="center"/>
            <w:hideMark/>
          </w:tcPr>
          <w:p w14:paraId="6B27AA32" w14:textId="3DC64A2D"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hAnsi="Times New Roman" w:cs="Times New Roman"/>
                <w:b/>
                <w:bCs/>
                <w:szCs w:val="24"/>
              </w:rPr>
              <w:t>Change ($Million)</w:t>
            </w:r>
          </w:p>
        </w:tc>
        <w:tc>
          <w:tcPr>
            <w:tcW w:w="1330" w:type="dxa"/>
            <w:tcBorders>
              <w:bottom w:val="single" w:sz="4" w:space="0" w:color="auto"/>
            </w:tcBorders>
            <w:shd w:val="clear" w:color="auto" w:fill="auto"/>
            <w:noWrap/>
            <w:vAlign w:val="center"/>
            <w:hideMark/>
          </w:tcPr>
          <w:p w14:paraId="6BB93DD1" w14:textId="74CF5836" w:rsidR="000E7656" w:rsidRPr="002B4964" w:rsidRDefault="000E7656" w:rsidP="002B4964">
            <w:pPr>
              <w:spacing w:after="0" w:line="276" w:lineRule="auto"/>
              <w:rPr>
                <w:rFonts w:ascii="Times New Roman" w:eastAsia="Times New Roman" w:hAnsi="Times New Roman" w:cs="Times New Roman"/>
                <w:b/>
                <w:bCs/>
                <w:color w:val="000000"/>
                <w:szCs w:val="24"/>
              </w:rPr>
            </w:pPr>
            <w:r w:rsidRPr="002B4964">
              <w:rPr>
                <w:rFonts w:ascii="Times New Roman" w:hAnsi="Times New Roman" w:cs="Times New Roman"/>
                <w:b/>
                <w:bCs/>
                <w:szCs w:val="24"/>
              </w:rPr>
              <w:t>% Change</w:t>
            </w:r>
          </w:p>
        </w:tc>
      </w:tr>
      <w:tr w:rsidR="00DB794B" w:rsidRPr="002B4964" w14:paraId="5ADF00FA" w14:textId="77777777" w:rsidTr="0050450D">
        <w:trPr>
          <w:trHeight w:val="426"/>
        </w:trPr>
        <w:tc>
          <w:tcPr>
            <w:tcW w:w="3802" w:type="dxa"/>
            <w:shd w:val="clear" w:color="auto" w:fill="auto"/>
            <w:noWrap/>
            <w:vAlign w:val="center"/>
            <w:hideMark/>
          </w:tcPr>
          <w:p w14:paraId="4857777E" w14:textId="77777777" w:rsidR="00DB794B" w:rsidRPr="002B4964" w:rsidRDefault="00DB794B"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Current Asset</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5E8FFD21" w14:textId="14A9C1C6"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3,626</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ECB74" w14:textId="535725CD"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2,825</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013A1" w14:textId="52BA813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801</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DF64E" w14:textId="2B17481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28.35%</w:t>
            </w:r>
          </w:p>
        </w:tc>
      </w:tr>
      <w:tr w:rsidR="00DB794B" w:rsidRPr="002B4964" w14:paraId="35BB0187" w14:textId="77777777" w:rsidTr="0050450D">
        <w:trPr>
          <w:trHeight w:val="426"/>
        </w:trPr>
        <w:tc>
          <w:tcPr>
            <w:tcW w:w="3802" w:type="dxa"/>
            <w:shd w:val="clear" w:color="auto" w:fill="auto"/>
            <w:noWrap/>
            <w:vAlign w:val="center"/>
            <w:hideMark/>
          </w:tcPr>
          <w:p w14:paraId="38354D37"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Cash</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6FDFFB03" w14:textId="6DBCC342"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1,393</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D9F97" w14:textId="5712EBF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877</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06DA6" w14:textId="6C647AED"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516</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B54A5" w14:textId="24E591F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58.84%</w:t>
            </w:r>
          </w:p>
        </w:tc>
      </w:tr>
      <w:tr w:rsidR="00DB794B" w:rsidRPr="002B4964" w14:paraId="5E3FECE7" w14:textId="77777777" w:rsidTr="0050450D">
        <w:trPr>
          <w:trHeight w:val="426"/>
        </w:trPr>
        <w:tc>
          <w:tcPr>
            <w:tcW w:w="3802" w:type="dxa"/>
            <w:shd w:val="clear" w:color="auto" w:fill="auto"/>
            <w:noWrap/>
            <w:vAlign w:val="center"/>
            <w:hideMark/>
          </w:tcPr>
          <w:p w14:paraId="62366BBC" w14:textId="77777777" w:rsidR="00DB794B" w:rsidRPr="002B4964" w:rsidRDefault="00DB794B"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Receivables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5CD00760" w14:textId="7D2C666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1,982</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7E649" w14:textId="43204920"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1,768</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A5463" w14:textId="0E3020D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214</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439F2" w14:textId="09F275F2"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12.10%</w:t>
            </w:r>
          </w:p>
        </w:tc>
      </w:tr>
      <w:tr w:rsidR="00DB794B" w:rsidRPr="002B4964" w14:paraId="50DA6300" w14:textId="77777777" w:rsidTr="0050450D">
        <w:trPr>
          <w:trHeight w:val="426"/>
        </w:trPr>
        <w:tc>
          <w:tcPr>
            <w:tcW w:w="3802" w:type="dxa"/>
            <w:shd w:val="clear" w:color="auto" w:fill="auto"/>
            <w:noWrap/>
            <w:vAlign w:val="center"/>
            <w:hideMark/>
          </w:tcPr>
          <w:p w14:paraId="55703AA6" w14:textId="32D309E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Non-Current Asset</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4D86DF40" w14:textId="2474126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21,927</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2F7823" w14:textId="74A84F7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21,876</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0A10C" w14:textId="66846B6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51</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F0407" w14:textId="0303EE38"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0.23%</w:t>
            </w:r>
          </w:p>
        </w:tc>
      </w:tr>
      <w:tr w:rsidR="00DB794B" w:rsidRPr="002B4964" w14:paraId="629E5364" w14:textId="77777777" w:rsidTr="0050450D">
        <w:trPr>
          <w:trHeight w:val="426"/>
        </w:trPr>
        <w:tc>
          <w:tcPr>
            <w:tcW w:w="3802" w:type="dxa"/>
            <w:shd w:val="clear" w:color="auto" w:fill="auto"/>
            <w:noWrap/>
            <w:vAlign w:val="center"/>
            <w:hideMark/>
          </w:tcPr>
          <w:p w14:paraId="6514C48D"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Total Asset</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68C52EFC" w14:textId="300CD4B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25,553</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86A9C" w14:textId="3D56B38F"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24,701</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EE68C" w14:textId="46BB5D8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852</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F56B5" w14:textId="0A1156F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3.45%</w:t>
            </w:r>
          </w:p>
        </w:tc>
      </w:tr>
      <w:tr w:rsidR="00DB794B" w:rsidRPr="002B4964" w14:paraId="52E7556D" w14:textId="77777777" w:rsidTr="0050450D">
        <w:trPr>
          <w:trHeight w:val="426"/>
        </w:trPr>
        <w:tc>
          <w:tcPr>
            <w:tcW w:w="3802" w:type="dxa"/>
            <w:shd w:val="clear" w:color="auto" w:fill="auto"/>
            <w:noWrap/>
            <w:vAlign w:val="center"/>
            <w:hideMark/>
          </w:tcPr>
          <w:p w14:paraId="6EF2040F" w14:textId="77777777" w:rsidR="00DB794B" w:rsidRPr="002B4964" w:rsidRDefault="00DB794B"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Current Liabilities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5592A065" w14:textId="2AFF2DE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6,407</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020B9" w14:textId="1BF39AC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5,752</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457D5" w14:textId="0BCF08C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655</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A85AF" w14:textId="3808314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11.39%</w:t>
            </w:r>
          </w:p>
        </w:tc>
      </w:tr>
      <w:tr w:rsidR="00DB794B" w:rsidRPr="002B4964" w14:paraId="40DDD7DB" w14:textId="77777777" w:rsidTr="0050450D">
        <w:trPr>
          <w:trHeight w:val="426"/>
        </w:trPr>
        <w:tc>
          <w:tcPr>
            <w:tcW w:w="3802" w:type="dxa"/>
            <w:shd w:val="clear" w:color="auto" w:fill="auto"/>
            <w:noWrap/>
            <w:vAlign w:val="center"/>
            <w:hideMark/>
          </w:tcPr>
          <w:p w14:paraId="0FC5220C"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Payables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18B7EBF8" w14:textId="3B29965C"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726</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4591E" w14:textId="7721B29D"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527</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3BAD6F" w14:textId="1CBF31D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199</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97DDA" w14:textId="7F1513F3"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37.76%</w:t>
            </w:r>
          </w:p>
        </w:tc>
      </w:tr>
      <w:tr w:rsidR="00DB794B" w:rsidRPr="002B4964" w14:paraId="59956967" w14:textId="77777777" w:rsidTr="0050450D">
        <w:trPr>
          <w:trHeight w:val="426"/>
        </w:trPr>
        <w:tc>
          <w:tcPr>
            <w:tcW w:w="3802" w:type="dxa"/>
            <w:shd w:val="clear" w:color="auto" w:fill="auto"/>
            <w:noWrap/>
            <w:vAlign w:val="bottom"/>
            <w:hideMark/>
          </w:tcPr>
          <w:p w14:paraId="19AEC739" w14:textId="77777777" w:rsidR="00DB794B" w:rsidRPr="002B4964" w:rsidRDefault="00DB794B"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Total Assets Less Current Liabilities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611DA74D" w14:textId="6D929E72"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19,146</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82DC2" w14:textId="123C8D72"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18,949</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03DD2" w14:textId="1A48AE83"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197</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09308" w14:textId="53FF853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1.04%</w:t>
            </w:r>
          </w:p>
        </w:tc>
      </w:tr>
      <w:tr w:rsidR="00DB794B" w:rsidRPr="002B4964" w14:paraId="5684D074" w14:textId="77777777" w:rsidTr="0050450D">
        <w:trPr>
          <w:trHeight w:val="426"/>
        </w:trPr>
        <w:tc>
          <w:tcPr>
            <w:tcW w:w="3802" w:type="dxa"/>
            <w:shd w:val="clear" w:color="auto" w:fill="auto"/>
            <w:noWrap/>
            <w:vAlign w:val="bottom"/>
            <w:hideMark/>
          </w:tcPr>
          <w:p w14:paraId="53F989E8"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Net Current Assets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272C5BEE" w14:textId="715B8598"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(2,781)</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CF7A59" w14:textId="5F21064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(2,927)</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58DB7" w14:textId="0BDF3C0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146</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A4FD1" w14:textId="6F3ED89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4.99%</w:t>
            </w:r>
          </w:p>
        </w:tc>
      </w:tr>
      <w:tr w:rsidR="00DB794B" w:rsidRPr="002B4964" w14:paraId="2B24ABE3" w14:textId="77777777" w:rsidTr="0050450D">
        <w:trPr>
          <w:trHeight w:val="426"/>
        </w:trPr>
        <w:tc>
          <w:tcPr>
            <w:tcW w:w="3802" w:type="dxa"/>
            <w:shd w:val="clear" w:color="auto" w:fill="auto"/>
            <w:noWrap/>
            <w:vAlign w:val="bottom"/>
            <w:hideMark/>
          </w:tcPr>
          <w:p w14:paraId="403DCF94" w14:textId="77777777" w:rsidR="00DB794B" w:rsidRPr="002B4964" w:rsidRDefault="00DB794B" w:rsidP="002B4964">
            <w:pPr>
              <w:spacing w:after="0" w:line="276" w:lineRule="auto"/>
              <w:rPr>
                <w:rFonts w:ascii="Times New Roman" w:eastAsia="Times New Roman" w:hAnsi="Times New Roman" w:cs="Times New Roman"/>
                <w:b/>
                <w:bCs/>
                <w:color w:val="000000"/>
                <w:szCs w:val="24"/>
              </w:rPr>
            </w:pPr>
            <w:r w:rsidRPr="002B4964">
              <w:rPr>
                <w:rFonts w:ascii="Times New Roman" w:eastAsia="Times New Roman" w:hAnsi="Times New Roman" w:cs="Times New Roman"/>
                <w:b/>
                <w:bCs/>
                <w:color w:val="000000"/>
                <w:szCs w:val="24"/>
              </w:rPr>
              <w:t>Long-term Debt</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1E5127A6" w14:textId="3DED6BC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9,333</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ADEB4" w14:textId="08CAC853"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9,203</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E593C" w14:textId="0340B233"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130</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23554" w14:textId="72B15F1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1.41%</w:t>
            </w:r>
          </w:p>
        </w:tc>
      </w:tr>
      <w:tr w:rsidR="00DB794B" w:rsidRPr="002B4964" w14:paraId="3024E8C0" w14:textId="77777777" w:rsidTr="0050450D">
        <w:trPr>
          <w:trHeight w:val="426"/>
        </w:trPr>
        <w:tc>
          <w:tcPr>
            <w:tcW w:w="3802" w:type="dxa"/>
            <w:shd w:val="clear" w:color="auto" w:fill="auto"/>
            <w:noWrap/>
            <w:vAlign w:val="center"/>
            <w:hideMark/>
          </w:tcPr>
          <w:p w14:paraId="38E2EB2C" w14:textId="0FDEB4EC"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Non-current Liabilities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7464CA4D" w14:textId="14D67C21"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17,732</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1EB93" w14:textId="48C8161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18,519</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74D22" w14:textId="3F04B62B"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(787)</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6C5F4" w14:textId="283E961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-4.25%</w:t>
            </w:r>
          </w:p>
        </w:tc>
      </w:tr>
      <w:tr w:rsidR="00DB794B" w:rsidRPr="002B4964" w14:paraId="6469C083" w14:textId="77777777" w:rsidTr="0050450D">
        <w:trPr>
          <w:trHeight w:val="426"/>
        </w:trPr>
        <w:tc>
          <w:tcPr>
            <w:tcW w:w="3802" w:type="dxa"/>
            <w:shd w:val="clear" w:color="auto" w:fill="auto"/>
            <w:noWrap/>
            <w:vAlign w:val="center"/>
            <w:hideMark/>
          </w:tcPr>
          <w:p w14:paraId="1301CFB1"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Total Liabilities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478966C8" w14:textId="0AA1C49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24,139</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8EA4F" w14:textId="2B4B4A3E"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24,271</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81C8DF" w14:textId="026BF97B"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(132)</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3C358" w14:textId="43C56FA0"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-0.54%</w:t>
            </w:r>
          </w:p>
        </w:tc>
      </w:tr>
      <w:tr w:rsidR="00DB794B" w:rsidRPr="002B4964" w14:paraId="76B6F3B9" w14:textId="77777777" w:rsidTr="0050450D">
        <w:trPr>
          <w:trHeight w:val="426"/>
        </w:trPr>
        <w:tc>
          <w:tcPr>
            <w:tcW w:w="3802" w:type="dxa"/>
            <w:shd w:val="clear" w:color="auto" w:fill="auto"/>
            <w:noWrap/>
            <w:vAlign w:val="center"/>
            <w:hideMark/>
          </w:tcPr>
          <w:p w14:paraId="480B4E9C"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Common Stock</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74D39B86" w14:textId="766C0FB3"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02503F" w14:textId="5296828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5</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D88BB" w14:textId="4BD3BC0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353EA" w14:textId="44838BA5"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0.00%</w:t>
            </w:r>
          </w:p>
        </w:tc>
      </w:tr>
      <w:tr w:rsidR="00DB794B" w:rsidRPr="002B4964" w14:paraId="6D5B5858" w14:textId="77777777" w:rsidTr="0050450D">
        <w:trPr>
          <w:trHeight w:val="426"/>
        </w:trPr>
        <w:tc>
          <w:tcPr>
            <w:tcW w:w="3802" w:type="dxa"/>
            <w:shd w:val="clear" w:color="auto" w:fill="auto"/>
            <w:noWrap/>
            <w:vAlign w:val="center"/>
            <w:hideMark/>
          </w:tcPr>
          <w:p w14:paraId="63B0F77E"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Retained Earnings</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17137D35" w14:textId="27C53EA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10,305</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72B53" w14:textId="1F1CF1D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9,206</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5FD85" w14:textId="42FF1B2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1,099</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BC683" w14:textId="38912A8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11.94%</w:t>
            </w:r>
          </w:p>
        </w:tc>
      </w:tr>
      <w:tr w:rsidR="00DB794B" w:rsidRPr="002B4964" w14:paraId="7C564AF8" w14:textId="77777777" w:rsidTr="0050450D">
        <w:trPr>
          <w:trHeight w:val="426"/>
        </w:trPr>
        <w:tc>
          <w:tcPr>
            <w:tcW w:w="3802" w:type="dxa"/>
            <w:shd w:val="clear" w:color="auto" w:fill="auto"/>
            <w:noWrap/>
            <w:vAlign w:val="center"/>
            <w:hideMark/>
          </w:tcPr>
          <w:p w14:paraId="6459101E"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Total Stockholders' Equity</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47CC3B52" w14:textId="3D64F4DA"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1,414</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C8C43" w14:textId="04EB0DE0"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430</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6DA727" w14:textId="72C7140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984</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26194" w14:textId="20C72D5B"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228.84%</w:t>
            </w:r>
          </w:p>
        </w:tc>
      </w:tr>
      <w:tr w:rsidR="00DB794B" w:rsidRPr="002B4964" w14:paraId="519623A9" w14:textId="77777777" w:rsidTr="0050450D">
        <w:trPr>
          <w:trHeight w:val="426"/>
        </w:trPr>
        <w:tc>
          <w:tcPr>
            <w:tcW w:w="3802" w:type="dxa"/>
            <w:shd w:val="clear" w:color="auto" w:fill="auto"/>
            <w:noWrap/>
            <w:vAlign w:val="center"/>
            <w:hideMark/>
          </w:tcPr>
          <w:p w14:paraId="158714FE" w14:textId="77777777"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eastAsia="Times New Roman" w:hAnsi="Times New Roman" w:cs="Times New Roman"/>
                <w:color w:val="000000"/>
                <w:szCs w:val="24"/>
              </w:rPr>
              <w:t>Total Liabilities and Stockholder</w:t>
            </w:r>
          </w:p>
        </w:tc>
        <w:tc>
          <w:tcPr>
            <w:tcW w:w="1593" w:type="dxa"/>
            <w:tcBorders>
              <w:top w:val="single" w:sz="4" w:space="0" w:color="auto"/>
              <w:left w:val="nil"/>
              <w:bottom w:val="single" w:sz="4" w:space="0" w:color="auto"/>
              <w:right w:val="single" w:sz="4" w:space="0" w:color="auto"/>
            </w:tcBorders>
            <w:shd w:val="clear" w:color="auto" w:fill="auto"/>
            <w:noWrap/>
            <w:vAlign w:val="center"/>
          </w:tcPr>
          <w:p w14:paraId="7A3D025A" w14:textId="78D0BCE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25,553</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02BBD" w14:textId="53D88AF4"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24,701</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A9AA5" w14:textId="7C6A08B2"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852</w:t>
            </w:r>
          </w:p>
        </w:tc>
        <w:tc>
          <w:tcPr>
            <w:tcW w:w="13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B937E" w14:textId="386E90E9" w:rsidR="00DB794B" w:rsidRPr="002B4964" w:rsidRDefault="00DB794B" w:rsidP="002B4964">
            <w:pPr>
              <w:spacing w:after="0" w:line="276" w:lineRule="auto"/>
              <w:rPr>
                <w:rFonts w:ascii="Times New Roman" w:eastAsia="Times New Roman" w:hAnsi="Times New Roman" w:cs="Times New Roman"/>
                <w:color w:val="000000"/>
                <w:szCs w:val="24"/>
              </w:rPr>
            </w:pPr>
            <w:r w:rsidRPr="002B4964">
              <w:rPr>
                <w:rFonts w:ascii="Times New Roman" w:hAnsi="Times New Roman" w:cs="Times New Roman"/>
                <w:color w:val="000000"/>
                <w:szCs w:val="24"/>
              </w:rPr>
              <w:t>3.45%</w:t>
            </w:r>
          </w:p>
        </w:tc>
      </w:tr>
    </w:tbl>
    <w:p w14:paraId="09F08C4B" w14:textId="2E9A95FD" w:rsidR="0050450D" w:rsidRPr="002B4964" w:rsidRDefault="0050450D" w:rsidP="002B4964">
      <w:pPr>
        <w:spacing w:line="276" w:lineRule="auto"/>
        <w:rPr>
          <w:rFonts w:ascii="Times New Roman" w:hAnsi="Times New Roman" w:cs="Times New Roman"/>
          <w:szCs w:val="24"/>
        </w:rPr>
      </w:pPr>
      <w:bookmarkStart w:id="3" w:name="_Toc94728143"/>
      <w:bookmarkStart w:id="4" w:name="_Toc104625877"/>
      <w:r w:rsidRPr="002B4964">
        <w:rPr>
          <w:rFonts w:ascii="Times New Roman" w:hAnsi="Times New Roman" w:cs="Times New Roman"/>
          <w:szCs w:val="24"/>
        </w:rPr>
        <w:t>Figure 02: Horizontal Analysis of Balance Sheet (Source: Author)</w:t>
      </w:r>
    </w:p>
    <w:p w14:paraId="7B78C593" w14:textId="5EE3C31A" w:rsidR="00EB7EF9" w:rsidRPr="002B4964" w:rsidRDefault="00EB7EF9" w:rsidP="002B4964">
      <w:pPr>
        <w:spacing w:line="276" w:lineRule="auto"/>
        <w:rPr>
          <w:rFonts w:ascii="Times New Roman" w:hAnsi="Times New Roman" w:cs="Times New Roman"/>
          <w:szCs w:val="24"/>
        </w:rPr>
      </w:pPr>
    </w:p>
    <w:p w14:paraId="62C096F5" w14:textId="77777777" w:rsidR="00480324" w:rsidRPr="002B4964" w:rsidRDefault="00480324" w:rsidP="002B4964">
      <w:pPr>
        <w:spacing w:line="276" w:lineRule="auto"/>
        <w:rPr>
          <w:rFonts w:ascii="Times New Roman" w:hAnsi="Times New Roman" w:cs="Times New Roman"/>
          <w:szCs w:val="24"/>
        </w:rPr>
      </w:pPr>
    </w:p>
    <w:p w14:paraId="0F30A216" w14:textId="77777777" w:rsidR="00EB7EF9" w:rsidRPr="002B4964" w:rsidRDefault="00EB7EF9" w:rsidP="002B4964">
      <w:pPr>
        <w:spacing w:line="276" w:lineRule="auto"/>
        <w:rPr>
          <w:rFonts w:ascii="Times New Roman" w:hAnsi="Times New Roman" w:cs="Times New Roman"/>
          <w:szCs w:val="24"/>
        </w:rPr>
      </w:pPr>
    </w:p>
    <w:p w14:paraId="5A01B042" w14:textId="2DE01E20" w:rsidR="00DB794B" w:rsidRPr="002B4964" w:rsidRDefault="00DB794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2.2 Profitability </w:t>
      </w:r>
      <w:bookmarkEnd w:id="3"/>
      <w:bookmarkEnd w:id="4"/>
      <w:r w:rsidRPr="002B4964">
        <w:rPr>
          <w:rFonts w:ascii="Times New Roman" w:hAnsi="Times New Roman" w:cs="Times New Roman"/>
          <w:b/>
          <w:bCs/>
          <w:szCs w:val="24"/>
        </w:rPr>
        <w:t>Analysis</w:t>
      </w:r>
    </w:p>
    <w:p w14:paraId="0DD3AD5F" w14:textId="2304485D" w:rsidR="00DB794B" w:rsidRPr="002B4964" w:rsidRDefault="00DB794B" w:rsidP="002B4964">
      <w:pPr>
        <w:spacing w:line="276" w:lineRule="auto"/>
        <w:rPr>
          <w:rFonts w:ascii="Times New Roman" w:hAnsi="Times New Roman" w:cs="Times New Roman"/>
          <w:bCs/>
          <w:i/>
          <w:iCs/>
          <w:szCs w:val="24"/>
        </w:rPr>
      </w:pPr>
      <w:r w:rsidRPr="002B4964">
        <w:rPr>
          <w:rFonts w:ascii="Times New Roman" w:hAnsi="Times New Roman" w:cs="Times New Roman"/>
          <w:bCs/>
          <w:i/>
          <w:iCs/>
          <w:szCs w:val="24"/>
        </w:rPr>
        <w:t>1. Gross Margin</w:t>
      </w:r>
    </w:p>
    <w:p w14:paraId="76940776" w14:textId="7D9ADE10" w:rsidR="00DB794B" w:rsidRPr="002B4964" w:rsidRDefault="0050450D" w:rsidP="002B4964">
      <w:pPr>
        <w:spacing w:line="276" w:lineRule="auto"/>
        <w:rPr>
          <w:rFonts w:ascii="Times New Roman" w:hAnsi="Times New Roman" w:cs="Times New Roman"/>
          <w:szCs w:val="24"/>
        </w:rPr>
      </w:pPr>
      <w:r w:rsidRPr="002B4964">
        <w:rPr>
          <w:rFonts w:ascii="Times New Roman" w:hAnsi="Times New Roman" w:cs="Times New Roman"/>
          <w:szCs w:val="24"/>
        </w:rPr>
        <w:t>Profitability in terms of sales and revenue after deducting direct expenditures or revenue costs is measured by this ratio (Brigham and Houston, 2012).</w:t>
      </w:r>
    </w:p>
    <w:tbl>
      <w:tblPr>
        <w:tblStyle w:val="TableGrid"/>
        <w:tblW w:w="9355" w:type="dxa"/>
        <w:tblLook w:val="04A0" w:firstRow="1" w:lastRow="0" w:firstColumn="1" w:lastColumn="0" w:noHBand="0" w:noVBand="1"/>
      </w:tblPr>
      <w:tblGrid>
        <w:gridCol w:w="3775"/>
        <w:gridCol w:w="2700"/>
        <w:gridCol w:w="2880"/>
      </w:tblGrid>
      <w:tr w:rsidR="00DB794B" w:rsidRPr="002B4964" w14:paraId="38DDE1CD" w14:textId="77777777" w:rsidTr="00EE10B0">
        <w:tc>
          <w:tcPr>
            <w:tcW w:w="3775" w:type="dxa"/>
            <w:shd w:val="clear" w:color="auto" w:fill="262626" w:themeFill="text1" w:themeFillTint="D9"/>
          </w:tcPr>
          <w:p w14:paraId="4F8501FB" w14:textId="77777777" w:rsidR="00DB794B" w:rsidRPr="002B4964" w:rsidRDefault="00DB794B" w:rsidP="002B4964">
            <w:pPr>
              <w:spacing w:line="276" w:lineRule="auto"/>
              <w:rPr>
                <w:rFonts w:ascii="Times New Roman" w:hAnsi="Times New Roman" w:cs="Times New Roman"/>
                <w:szCs w:val="24"/>
              </w:rPr>
            </w:pPr>
            <w:bookmarkStart w:id="5" w:name="_Hlk107573981"/>
            <w:r w:rsidRPr="002B4964">
              <w:rPr>
                <w:rFonts w:ascii="Times New Roman" w:hAnsi="Times New Roman" w:cs="Times New Roman"/>
                <w:szCs w:val="24"/>
              </w:rPr>
              <w:t>Formula</w:t>
            </w:r>
          </w:p>
        </w:tc>
        <w:tc>
          <w:tcPr>
            <w:tcW w:w="2700" w:type="dxa"/>
            <w:shd w:val="clear" w:color="auto" w:fill="262626" w:themeFill="text1" w:themeFillTint="D9"/>
          </w:tcPr>
          <w:p w14:paraId="3CA9D30D" w14:textId="77777777"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5A125D88" w14:textId="7E48309B"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880" w:type="dxa"/>
            <w:shd w:val="clear" w:color="auto" w:fill="262626" w:themeFill="text1" w:themeFillTint="D9"/>
          </w:tcPr>
          <w:p w14:paraId="0D9B1302" w14:textId="77777777"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1134FD16" w14:textId="19765BC0"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DB794B" w:rsidRPr="002B4964" w14:paraId="131C80D4" w14:textId="77777777" w:rsidTr="00EE10B0">
        <w:tc>
          <w:tcPr>
            <w:tcW w:w="3775" w:type="dxa"/>
            <w:shd w:val="clear" w:color="auto" w:fill="A6A6A6" w:themeFill="background1" w:themeFillShade="A6"/>
          </w:tcPr>
          <w:p w14:paraId="332C40C7" w14:textId="77777777" w:rsidR="00DB794B"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{Gross Profit}</m:t>
                    </m:r>
                  </m:num>
                  <m:den>
                    <m:r>
                      <m:rPr>
                        <m:nor/>
                      </m:rPr>
                      <w:rPr>
                        <w:rFonts w:ascii="Times New Roman" w:hAnsi="Times New Roman" w:cs="Times New Roman"/>
                        <w:szCs w:val="24"/>
                      </w:rPr>
                      <m:t>{Revenue}</m:t>
                    </m:r>
                  </m:den>
                </m:f>
                <m:r>
                  <m:rPr>
                    <m:nor/>
                  </m:rPr>
                  <w:rPr>
                    <w:rFonts w:ascii="Times New Roman" w:hAnsi="Times New Roman" w:cs="Times New Roman"/>
                    <w:szCs w:val="24"/>
                  </w:rPr>
                  <m:t xml:space="preserve"> × 100</m:t>
                </m:r>
              </m:oMath>
            </m:oMathPara>
          </w:p>
        </w:tc>
        <w:tc>
          <w:tcPr>
            <w:tcW w:w="2700" w:type="dxa"/>
          </w:tcPr>
          <w:p w14:paraId="43BDDAD3" w14:textId="74611B94"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3405CF" w:rsidRPr="002B4964">
              <w:rPr>
                <w:rFonts w:ascii="Times New Roman" w:hAnsi="Times New Roman" w:cs="Times New Roman"/>
                <w:szCs w:val="24"/>
              </w:rPr>
              <w:t>1</w:t>
            </w:r>
            <w:r w:rsidR="003719A9" w:rsidRPr="002B4964">
              <w:rPr>
                <w:rFonts w:ascii="Times New Roman" w:hAnsi="Times New Roman" w:cs="Times New Roman"/>
                <w:szCs w:val="24"/>
              </w:rPr>
              <w:t>,</w:t>
            </w:r>
            <w:r w:rsidR="003405CF" w:rsidRPr="002B4964">
              <w:rPr>
                <w:rFonts w:ascii="Times New Roman" w:hAnsi="Times New Roman" w:cs="Times New Roman"/>
                <w:szCs w:val="24"/>
              </w:rPr>
              <w:t>192</w:t>
            </w:r>
            <w:r w:rsidR="00C72167" w:rsidRPr="002B4964">
              <w:rPr>
                <w:rFonts w:ascii="Times New Roman" w:hAnsi="Times New Roman" w:cs="Times New Roman"/>
                <w:szCs w:val="24"/>
              </w:rPr>
              <w:t>÷</w:t>
            </w:r>
            <w:proofErr w:type="gramStart"/>
            <w:r w:rsidR="00C72167" w:rsidRPr="002B4964">
              <w:rPr>
                <w:rFonts w:ascii="Times New Roman" w:hAnsi="Times New Roman" w:cs="Times New Roman"/>
                <w:szCs w:val="24"/>
              </w:rPr>
              <w:t>10</w:t>
            </w:r>
            <w:r w:rsidR="003719A9" w:rsidRPr="002B4964">
              <w:rPr>
                <w:rFonts w:ascii="Times New Roman" w:hAnsi="Times New Roman" w:cs="Times New Roman"/>
                <w:szCs w:val="24"/>
              </w:rPr>
              <w:t>,</w:t>
            </w:r>
            <w:r w:rsidR="00C72167" w:rsidRPr="002B4964">
              <w:rPr>
                <w:rFonts w:ascii="Times New Roman" w:hAnsi="Times New Roman" w:cs="Times New Roman"/>
                <w:szCs w:val="24"/>
              </w:rPr>
              <w:t>571</w:t>
            </w:r>
            <w:r w:rsidRPr="002B4964">
              <w:rPr>
                <w:rFonts w:ascii="Times New Roman" w:hAnsi="Times New Roman" w:cs="Times New Roman"/>
                <w:szCs w:val="24"/>
              </w:rPr>
              <w:t>]×</w:t>
            </w:r>
            <w:proofErr w:type="gramEnd"/>
            <w:r w:rsidRPr="002B4964">
              <w:rPr>
                <w:rFonts w:ascii="Times New Roman" w:hAnsi="Times New Roman" w:cs="Times New Roman"/>
                <w:szCs w:val="24"/>
              </w:rPr>
              <w:t>100</w:t>
            </w:r>
          </w:p>
        </w:tc>
        <w:tc>
          <w:tcPr>
            <w:tcW w:w="2880" w:type="dxa"/>
          </w:tcPr>
          <w:p w14:paraId="6580A3E5" w14:textId="61D25615"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3405CF" w:rsidRPr="002B4964">
              <w:rPr>
                <w:rFonts w:ascii="Times New Roman" w:hAnsi="Times New Roman" w:cs="Times New Roman"/>
                <w:szCs w:val="24"/>
              </w:rPr>
              <w:t>2</w:t>
            </w:r>
            <w:r w:rsidR="003719A9" w:rsidRPr="002B4964">
              <w:rPr>
                <w:rFonts w:ascii="Times New Roman" w:hAnsi="Times New Roman" w:cs="Times New Roman"/>
                <w:szCs w:val="24"/>
              </w:rPr>
              <w:t>,</w:t>
            </w:r>
            <w:r w:rsidR="003405CF" w:rsidRPr="002B4964">
              <w:rPr>
                <w:rFonts w:ascii="Times New Roman" w:hAnsi="Times New Roman" w:cs="Times New Roman"/>
                <w:szCs w:val="24"/>
              </w:rPr>
              <w:t>793</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13</w:t>
            </w:r>
            <w:r w:rsidR="003719A9" w:rsidRPr="002B4964">
              <w:rPr>
                <w:rFonts w:ascii="Times New Roman" w:hAnsi="Times New Roman" w:cs="Times New Roman"/>
                <w:szCs w:val="24"/>
              </w:rPr>
              <w:t>,</w:t>
            </w:r>
            <w:r w:rsidR="00C72167" w:rsidRPr="002B4964">
              <w:rPr>
                <w:rFonts w:ascii="Times New Roman" w:hAnsi="Times New Roman" w:cs="Times New Roman"/>
                <w:szCs w:val="24"/>
              </w:rPr>
              <w:t>857</w:t>
            </w:r>
            <w:r w:rsidRPr="002B4964">
              <w:rPr>
                <w:rFonts w:ascii="Times New Roman" w:hAnsi="Times New Roman" w:cs="Times New Roman"/>
                <w:szCs w:val="24"/>
              </w:rPr>
              <w:t>]×</w:t>
            </w:r>
            <w:proofErr w:type="gramEnd"/>
            <w:r w:rsidRPr="002B4964">
              <w:rPr>
                <w:rFonts w:ascii="Times New Roman" w:hAnsi="Times New Roman" w:cs="Times New Roman"/>
                <w:szCs w:val="24"/>
              </w:rPr>
              <w:t xml:space="preserve">100 </w:t>
            </w:r>
          </w:p>
        </w:tc>
      </w:tr>
      <w:tr w:rsidR="00DB794B" w:rsidRPr="002B4964" w14:paraId="4F2B53E3" w14:textId="77777777" w:rsidTr="00EE10B0">
        <w:tc>
          <w:tcPr>
            <w:tcW w:w="3775" w:type="dxa"/>
            <w:shd w:val="clear" w:color="auto" w:fill="A6A6A6" w:themeFill="background1" w:themeFillShade="A6"/>
          </w:tcPr>
          <w:p w14:paraId="4787096D" w14:textId="77777777" w:rsidR="00DB794B" w:rsidRPr="002B4964" w:rsidRDefault="00DB794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700" w:type="dxa"/>
          </w:tcPr>
          <w:p w14:paraId="22816E38" w14:textId="0B376E5B" w:rsidR="00DB794B"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11.28</w:t>
            </w:r>
            <w:r w:rsidR="00DB794B" w:rsidRPr="002B4964">
              <w:rPr>
                <w:rFonts w:ascii="Times New Roman" w:hAnsi="Times New Roman" w:cs="Times New Roman"/>
                <w:b/>
                <w:bCs/>
                <w:szCs w:val="24"/>
              </w:rPr>
              <w:t>%</w:t>
            </w:r>
          </w:p>
        </w:tc>
        <w:tc>
          <w:tcPr>
            <w:tcW w:w="2880" w:type="dxa"/>
          </w:tcPr>
          <w:p w14:paraId="5A6E2918" w14:textId="7FB3AC94" w:rsidR="00DB794B"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20.16</w:t>
            </w:r>
            <w:r w:rsidR="00DB794B" w:rsidRPr="002B4964">
              <w:rPr>
                <w:rFonts w:ascii="Times New Roman" w:hAnsi="Times New Roman" w:cs="Times New Roman"/>
                <w:b/>
                <w:bCs/>
                <w:szCs w:val="24"/>
              </w:rPr>
              <w:t>%</w:t>
            </w:r>
          </w:p>
        </w:tc>
      </w:tr>
    </w:tbl>
    <w:p w14:paraId="4144F7C8" w14:textId="1887B688" w:rsidR="00220F31" w:rsidRPr="002B4964" w:rsidRDefault="0050450D" w:rsidP="002B4964">
      <w:pPr>
        <w:spacing w:line="276" w:lineRule="auto"/>
        <w:rPr>
          <w:rFonts w:ascii="Times New Roman" w:hAnsi="Times New Roman" w:cs="Times New Roman"/>
          <w:szCs w:val="24"/>
        </w:rPr>
      </w:pPr>
      <w:bookmarkStart w:id="6" w:name="_Hlk118527888"/>
      <w:bookmarkEnd w:id="5"/>
      <w:r w:rsidRPr="002B4964">
        <w:rPr>
          <w:rFonts w:ascii="Times New Roman" w:hAnsi="Times New Roman" w:cs="Times New Roman"/>
          <w:szCs w:val="24"/>
        </w:rPr>
        <w:t>Figure 03: Gross Margin (Source: Author)</w:t>
      </w:r>
    </w:p>
    <w:bookmarkEnd w:id="6"/>
    <w:p w14:paraId="2972343B" w14:textId="1E5D536E" w:rsidR="0050450D" w:rsidRPr="002B4964" w:rsidRDefault="0050450D" w:rsidP="002B4964">
      <w:pPr>
        <w:spacing w:line="276" w:lineRule="auto"/>
        <w:rPr>
          <w:rFonts w:ascii="Times New Roman" w:hAnsi="Times New Roman" w:cs="Times New Roman"/>
          <w:szCs w:val="24"/>
        </w:rPr>
      </w:pPr>
      <w:r w:rsidRPr="002B4964">
        <w:rPr>
          <w:rFonts w:ascii="Times New Roman" w:hAnsi="Times New Roman" w:cs="Times New Roman"/>
          <w:szCs w:val="24"/>
        </w:rPr>
        <w:t>Figure 03 demonstrates that profitability has improved for Marriott International in 2021. The gross margin is 20.16% in 2021 and 11.28% in 2020 indicating that the company has generated more profit after deducting direct revenue expenditures from revenue.</w:t>
      </w:r>
    </w:p>
    <w:p w14:paraId="53D73731" w14:textId="5FAB4CB0" w:rsidR="00DB794B" w:rsidRPr="002B4964" w:rsidRDefault="00DB794B" w:rsidP="002B4964">
      <w:pPr>
        <w:spacing w:line="276" w:lineRule="auto"/>
        <w:rPr>
          <w:rFonts w:ascii="Times New Roman" w:hAnsi="Times New Roman" w:cs="Times New Roman"/>
          <w:bCs/>
          <w:i/>
          <w:iCs/>
          <w:szCs w:val="24"/>
        </w:rPr>
      </w:pPr>
      <w:r w:rsidRPr="002B4964">
        <w:rPr>
          <w:rFonts w:ascii="Times New Roman" w:hAnsi="Times New Roman" w:cs="Times New Roman"/>
          <w:bCs/>
          <w:i/>
          <w:iCs/>
          <w:szCs w:val="24"/>
        </w:rPr>
        <w:t>2. Net Profit Margin</w:t>
      </w:r>
    </w:p>
    <w:p w14:paraId="49A9D540" w14:textId="4F31A13E" w:rsidR="00B42F79" w:rsidRPr="002B4964" w:rsidRDefault="0050450D" w:rsidP="002B4964">
      <w:pPr>
        <w:spacing w:line="276" w:lineRule="auto"/>
        <w:rPr>
          <w:rFonts w:ascii="Times New Roman" w:hAnsi="Times New Roman" w:cs="Times New Roman"/>
          <w:szCs w:val="24"/>
        </w:rPr>
      </w:pPr>
      <w:r w:rsidRPr="002B4964">
        <w:rPr>
          <w:rFonts w:ascii="Times New Roman" w:hAnsi="Times New Roman" w:cs="Times New Roman"/>
          <w:szCs w:val="24"/>
        </w:rPr>
        <w:t>Net profit margin, often known as net margin, is a metric used to assess profitability after deducting all expenses relative to sales (Brigham &amp; Ehrhardt, 2020).</w:t>
      </w:r>
    </w:p>
    <w:tbl>
      <w:tblPr>
        <w:tblStyle w:val="TableGrid"/>
        <w:tblW w:w="9355" w:type="dxa"/>
        <w:tblLook w:val="04A0" w:firstRow="1" w:lastRow="0" w:firstColumn="1" w:lastColumn="0" w:noHBand="0" w:noVBand="1"/>
      </w:tblPr>
      <w:tblGrid>
        <w:gridCol w:w="3775"/>
        <w:gridCol w:w="2700"/>
        <w:gridCol w:w="2880"/>
      </w:tblGrid>
      <w:tr w:rsidR="000E6A98" w:rsidRPr="002B4964" w14:paraId="7D682BC8" w14:textId="77777777" w:rsidTr="00EE10B0">
        <w:tc>
          <w:tcPr>
            <w:tcW w:w="3775" w:type="dxa"/>
            <w:shd w:val="clear" w:color="auto" w:fill="262626" w:themeFill="text1" w:themeFillTint="D9"/>
          </w:tcPr>
          <w:p w14:paraId="6F37B789" w14:textId="77777777" w:rsidR="000E6A98" w:rsidRPr="002B4964" w:rsidRDefault="000E6A98" w:rsidP="002B4964">
            <w:pPr>
              <w:spacing w:line="276" w:lineRule="auto"/>
              <w:rPr>
                <w:rFonts w:ascii="Times New Roman" w:hAnsi="Times New Roman" w:cs="Times New Roman"/>
                <w:szCs w:val="24"/>
              </w:rPr>
            </w:pPr>
            <w:bookmarkStart w:id="7" w:name="_Hlk118496262"/>
            <w:r w:rsidRPr="002B4964">
              <w:rPr>
                <w:rFonts w:ascii="Times New Roman" w:hAnsi="Times New Roman" w:cs="Times New Roman"/>
                <w:szCs w:val="24"/>
              </w:rPr>
              <w:t>Formula</w:t>
            </w:r>
          </w:p>
        </w:tc>
        <w:tc>
          <w:tcPr>
            <w:tcW w:w="2700" w:type="dxa"/>
            <w:shd w:val="clear" w:color="auto" w:fill="262626" w:themeFill="text1" w:themeFillTint="D9"/>
          </w:tcPr>
          <w:p w14:paraId="478904C5" w14:textId="7777777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6E88D919" w14:textId="68C26201"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880" w:type="dxa"/>
            <w:shd w:val="clear" w:color="auto" w:fill="262626" w:themeFill="text1" w:themeFillTint="D9"/>
          </w:tcPr>
          <w:p w14:paraId="12FD84A1" w14:textId="7777777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22D5C15F" w14:textId="1DD34E6F"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0E6A98" w:rsidRPr="002B4964" w14:paraId="4820E2CC" w14:textId="77777777" w:rsidTr="00EE10B0">
        <w:trPr>
          <w:trHeight w:val="737"/>
        </w:trPr>
        <w:tc>
          <w:tcPr>
            <w:tcW w:w="3775" w:type="dxa"/>
            <w:shd w:val="clear" w:color="auto" w:fill="A6A6A6" w:themeFill="background1" w:themeFillShade="A6"/>
          </w:tcPr>
          <w:p w14:paraId="2064826E" w14:textId="7FEE16B1" w:rsidR="000E6A98"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{Net Profit}</m:t>
                    </m:r>
                  </m:num>
                  <m:den>
                    <m:r>
                      <m:rPr>
                        <m:nor/>
                      </m:rPr>
                      <w:rPr>
                        <w:rFonts w:ascii="Times New Roman" w:hAnsi="Times New Roman" w:cs="Times New Roman"/>
                        <w:szCs w:val="24"/>
                      </w:rPr>
                      <m:t>{Revenue}</m:t>
                    </m:r>
                  </m:den>
                </m:f>
                <m:r>
                  <m:rPr>
                    <m:nor/>
                  </m:rPr>
                  <w:rPr>
                    <w:rFonts w:ascii="Times New Roman" w:hAnsi="Times New Roman" w:cs="Times New Roman"/>
                    <w:szCs w:val="24"/>
                  </w:rPr>
                  <m:t xml:space="preserve"> × 100</m:t>
                </m:r>
              </m:oMath>
            </m:oMathPara>
          </w:p>
        </w:tc>
        <w:tc>
          <w:tcPr>
            <w:tcW w:w="2700" w:type="dxa"/>
          </w:tcPr>
          <w:p w14:paraId="4AEC89A8" w14:textId="5D3D585E"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-267</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10</w:t>
            </w:r>
            <w:r w:rsidR="003719A9" w:rsidRPr="002B4964">
              <w:rPr>
                <w:rFonts w:ascii="Times New Roman" w:hAnsi="Times New Roman" w:cs="Times New Roman"/>
                <w:szCs w:val="24"/>
              </w:rPr>
              <w:t>,</w:t>
            </w:r>
            <w:r w:rsidR="00C72167" w:rsidRPr="002B4964">
              <w:rPr>
                <w:rFonts w:ascii="Times New Roman" w:hAnsi="Times New Roman" w:cs="Times New Roman"/>
                <w:szCs w:val="24"/>
              </w:rPr>
              <w:t>571</w:t>
            </w:r>
            <w:r w:rsidRPr="002B4964">
              <w:rPr>
                <w:rFonts w:ascii="Times New Roman" w:hAnsi="Times New Roman" w:cs="Times New Roman"/>
                <w:szCs w:val="24"/>
              </w:rPr>
              <w:t>]×</w:t>
            </w:r>
            <w:proofErr w:type="gramEnd"/>
            <w:r w:rsidRPr="002B4964">
              <w:rPr>
                <w:rFonts w:ascii="Times New Roman" w:hAnsi="Times New Roman" w:cs="Times New Roman"/>
                <w:szCs w:val="24"/>
              </w:rPr>
              <w:t>100</w:t>
            </w:r>
          </w:p>
        </w:tc>
        <w:tc>
          <w:tcPr>
            <w:tcW w:w="2880" w:type="dxa"/>
          </w:tcPr>
          <w:p w14:paraId="6F69C7BF" w14:textId="1A91E6D8"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1</w:t>
            </w:r>
            <w:r w:rsidR="003719A9" w:rsidRPr="002B4964">
              <w:rPr>
                <w:rFonts w:ascii="Times New Roman" w:hAnsi="Times New Roman" w:cs="Times New Roman"/>
                <w:szCs w:val="24"/>
              </w:rPr>
              <w:t>,</w:t>
            </w:r>
            <w:r w:rsidR="00C72167" w:rsidRPr="002B4964">
              <w:rPr>
                <w:rFonts w:ascii="Times New Roman" w:hAnsi="Times New Roman" w:cs="Times New Roman"/>
                <w:szCs w:val="24"/>
              </w:rPr>
              <w:t>099</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13</w:t>
            </w:r>
            <w:r w:rsidR="003719A9" w:rsidRPr="002B4964">
              <w:rPr>
                <w:rFonts w:ascii="Times New Roman" w:hAnsi="Times New Roman" w:cs="Times New Roman"/>
                <w:szCs w:val="24"/>
              </w:rPr>
              <w:t>,</w:t>
            </w:r>
            <w:r w:rsidR="00C72167" w:rsidRPr="002B4964">
              <w:rPr>
                <w:rFonts w:ascii="Times New Roman" w:hAnsi="Times New Roman" w:cs="Times New Roman"/>
                <w:szCs w:val="24"/>
              </w:rPr>
              <w:t>857</w:t>
            </w:r>
            <w:r w:rsidRPr="002B4964">
              <w:rPr>
                <w:rFonts w:ascii="Times New Roman" w:hAnsi="Times New Roman" w:cs="Times New Roman"/>
                <w:szCs w:val="24"/>
              </w:rPr>
              <w:t>]×</w:t>
            </w:r>
            <w:proofErr w:type="gramEnd"/>
            <w:r w:rsidRPr="002B4964">
              <w:rPr>
                <w:rFonts w:ascii="Times New Roman" w:hAnsi="Times New Roman" w:cs="Times New Roman"/>
                <w:szCs w:val="24"/>
              </w:rPr>
              <w:t xml:space="preserve">100 </w:t>
            </w:r>
          </w:p>
        </w:tc>
      </w:tr>
      <w:tr w:rsidR="000E6A98" w:rsidRPr="002B4964" w14:paraId="59EB66E0" w14:textId="77777777" w:rsidTr="00EE10B0">
        <w:tc>
          <w:tcPr>
            <w:tcW w:w="3775" w:type="dxa"/>
            <w:shd w:val="clear" w:color="auto" w:fill="A6A6A6" w:themeFill="background1" w:themeFillShade="A6"/>
          </w:tcPr>
          <w:p w14:paraId="30A9820E" w14:textId="77777777" w:rsidR="000E6A98" w:rsidRPr="002B4964" w:rsidRDefault="000E6A98"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700" w:type="dxa"/>
          </w:tcPr>
          <w:p w14:paraId="71EF13AC" w14:textId="7D5B2E7E" w:rsidR="000E6A98"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-2.53%</w:t>
            </w:r>
          </w:p>
        </w:tc>
        <w:tc>
          <w:tcPr>
            <w:tcW w:w="2880" w:type="dxa"/>
          </w:tcPr>
          <w:p w14:paraId="7BD29D59" w14:textId="578DD289" w:rsidR="000E6A98"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7.93</w:t>
            </w:r>
            <w:r w:rsidR="000E6A98" w:rsidRPr="002B4964">
              <w:rPr>
                <w:rFonts w:ascii="Times New Roman" w:hAnsi="Times New Roman" w:cs="Times New Roman"/>
                <w:b/>
                <w:bCs/>
                <w:szCs w:val="24"/>
              </w:rPr>
              <w:t>%</w:t>
            </w:r>
          </w:p>
        </w:tc>
      </w:tr>
    </w:tbl>
    <w:bookmarkEnd w:id="7"/>
    <w:p w14:paraId="1250CC77" w14:textId="04357E8A" w:rsidR="00B42F79" w:rsidRPr="002B4964" w:rsidRDefault="0050450D" w:rsidP="002B4964">
      <w:pPr>
        <w:spacing w:line="276" w:lineRule="auto"/>
        <w:rPr>
          <w:rFonts w:ascii="Times New Roman" w:hAnsi="Times New Roman" w:cs="Times New Roman"/>
          <w:szCs w:val="24"/>
        </w:rPr>
      </w:pPr>
      <w:r w:rsidRPr="002B4964">
        <w:rPr>
          <w:rFonts w:ascii="Times New Roman" w:hAnsi="Times New Roman" w:cs="Times New Roman"/>
          <w:szCs w:val="24"/>
        </w:rPr>
        <w:t>Figure 04: Net Margin (Source: Author</w:t>
      </w:r>
      <w:r w:rsidR="00342B0F" w:rsidRPr="002B4964">
        <w:rPr>
          <w:rFonts w:ascii="Times New Roman" w:hAnsi="Times New Roman" w:cs="Times New Roman"/>
          <w:szCs w:val="24"/>
        </w:rPr>
        <w:t>)</w:t>
      </w:r>
    </w:p>
    <w:p w14:paraId="1344224B" w14:textId="116C1F08" w:rsidR="00BB35EE"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Figure 04 demonstrates that Marriott International’s profitability has improved in terms of net profit. </w:t>
      </w:r>
      <w:bookmarkStart w:id="8" w:name="_Hlk118528499"/>
      <w:r w:rsidRPr="002B4964">
        <w:rPr>
          <w:rFonts w:ascii="Times New Roman" w:hAnsi="Times New Roman" w:cs="Times New Roman"/>
          <w:szCs w:val="24"/>
        </w:rPr>
        <w:t>The net margin is 7.93% in 2021 and -2.58% in 2020 indicating that the company has generated more profit after deducting all expenditures from revenue.</w:t>
      </w:r>
    </w:p>
    <w:p w14:paraId="7BEF2A34" w14:textId="4CAB30A8" w:rsidR="00480324" w:rsidRPr="002B4964" w:rsidRDefault="00480324" w:rsidP="002B4964">
      <w:pPr>
        <w:spacing w:line="276" w:lineRule="auto"/>
        <w:rPr>
          <w:rFonts w:ascii="Times New Roman" w:hAnsi="Times New Roman" w:cs="Times New Roman"/>
          <w:szCs w:val="24"/>
        </w:rPr>
      </w:pPr>
    </w:p>
    <w:p w14:paraId="5E766CFA" w14:textId="77777777" w:rsidR="00480324" w:rsidRPr="002B4964" w:rsidRDefault="00480324" w:rsidP="002B4964">
      <w:pPr>
        <w:spacing w:line="276" w:lineRule="auto"/>
        <w:rPr>
          <w:rFonts w:ascii="Times New Roman" w:hAnsi="Times New Roman" w:cs="Times New Roman"/>
          <w:szCs w:val="24"/>
        </w:rPr>
      </w:pPr>
    </w:p>
    <w:bookmarkEnd w:id="8"/>
    <w:p w14:paraId="5D796A3D" w14:textId="6A531B8C" w:rsidR="00DB794B" w:rsidRPr="002B4964" w:rsidRDefault="000E6A98" w:rsidP="002B4964">
      <w:pPr>
        <w:spacing w:line="276" w:lineRule="auto"/>
        <w:rPr>
          <w:rFonts w:ascii="Times New Roman" w:hAnsi="Times New Roman" w:cs="Times New Roman"/>
          <w:bCs/>
          <w:i/>
          <w:iCs/>
          <w:szCs w:val="24"/>
        </w:rPr>
      </w:pPr>
      <w:r w:rsidRPr="002B4964">
        <w:rPr>
          <w:rFonts w:ascii="Times New Roman" w:hAnsi="Times New Roman" w:cs="Times New Roman"/>
          <w:bCs/>
          <w:i/>
          <w:iCs/>
          <w:szCs w:val="24"/>
        </w:rPr>
        <w:t xml:space="preserve">3. </w:t>
      </w:r>
      <w:r w:rsidR="00DB794B" w:rsidRPr="002B4964">
        <w:rPr>
          <w:rFonts w:ascii="Times New Roman" w:hAnsi="Times New Roman" w:cs="Times New Roman"/>
          <w:bCs/>
          <w:i/>
          <w:iCs/>
          <w:szCs w:val="24"/>
        </w:rPr>
        <w:t>Return on Capital Employed (ROCE)</w:t>
      </w:r>
    </w:p>
    <w:p w14:paraId="1154A9EC" w14:textId="315BEBB8" w:rsidR="00B42F79"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A financial ratio, return on capital employed (ROCE) measures a firm's profitability in relation to its use of capital (Brigham &amp; Ehrhardt, 2020).</w:t>
      </w:r>
    </w:p>
    <w:tbl>
      <w:tblPr>
        <w:tblStyle w:val="TableGrid"/>
        <w:tblW w:w="10036" w:type="dxa"/>
        <w:tblLook w:val="04A0" w:firstRow="1" w:lastRow="0" w:firstColumn="1" w:lastColumn="0" w:noHBand="0" w:noVBand="1"/>
      </w:tblPr>
      <w:tblGrid>
        <w:gridCol w:w="4784"/>
        <w:gridCol w:w="2626"/>
        <w:gridCol w:w="2626"/>
      </w:tblGrid>
      <w:tr w:rsidR="000E6A98" w:rsidRPr="002B4964" w14:paraId="128C40D0" w14:textId="77777777" w:rsidTr="00EE10B0">
        <w:trPr>
          <w:trHeight w:val="775"/>
        </w:trPr>
        <w:tc>
          <w:tcPr>
            <w:tcW w:w="4784" w:type="dxa"/>
            <w:shd w:val="clear" w:color="auto" w:fill="262626" w:themeFill="text1" w:themeFillTint="D9"/>
          </w:tcPr>
          <w:p w14:paraId="3085EFE1" w14:textId="7777777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626" w:type="dxa"/>
            <w:shd w:val="clear" w:color="auto" w:fill="262626" w:themeFill="text1" w:themeFillTint="D9"/>
          </w:tcPr>
          <w:p w14:paraId="1D506747" w14:textId="7777777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3096CEC8" w14:textId="6FA749D8"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626" w:type="dxa"/>
            <w:shd w:val="clear" w:color="auto" w:fill="262626" w:themeFill="text1" w:themeFillTint="D9"/>
          </w:tcPr>
          <w:p w14:paraId="2487AD25" w14:textId="7777777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040A19CB" w14:textId="58C78FBF"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0E6A98" w:rsidRPr="002B4964" w14:paraId="02FB363A" w14:textId="77777777" w:rsidTr="00EE10B0">
        <w:trPr>
          <w:trHeight w:val="693"/>
        </w:trPr>
        <w:tc>
          <w:tcPr>
            <w:tcW w:w="4784" w:type="dxa"/>
            <w:shd w:val="clear" w:color="auto" w:fill="A6A6A6" w:themeFill="background1" w:themeFillShade="A6"/>
          </w:tcPr>
          <w:p w14:paraId="299F2AA7" w14:textId="407ED2F8" w:rsidR="000E6A98"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{Operating Profit}</m:t>
                    </m:r>
                  </m:num>
                  <m:den>
                    <m:r>
                      <m:rPr>
                        <m:nor/>
                      </m:rPr>
                      <w:rPr>
                        <w:rFonts w:ascii="Times New Roman" w:hAnsi="Times New Roman" w:cs="Times New Roman"/>
                        <w:szCs w:val="24"/>
                      </w:rPr>
                      <m:t>{Total Assets Less Current Liabilities}</m:t>
                    </m:r>
                  </m:den>
                </m:f>
                <m:r>
                  <m:rPr>
                    <m:nor/>
                  </m:rPr>
                  <w:rPr>
                    <w:rFonts w:ascii="Times New Roman" w:hAnsi="Times New Roman" w:cs="Times New Roman"/>
                    <w:szCs w:val="24"/>
                  </w:rPr>
                  <m:t xml:space="preserve"> × 100</m:t>
                </m:r>
              </m:oMath>
            </m:oMathPara>
          </w:p>
        </w:tc>
        <w:tc>
          <w:tcPr>
            <w:tcW w:w="2626" w:type="dxa"/>
          </w:tcPr>
          <w:p w14:paraId="5A342042" w14:textId="095BEE17"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84</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18,949</w:t>
            </w:r>
            <w:r w:rsidRPr="002B4964">
              <w:rPr>
                <w:rFonts w:ascii="Times New Roman" w:hAnsi="Times New Roman" w:cs="Times New Roman"/>
                <w:szCs w:val="24"/>
              </w:rPr>
              <w:t>]×</w:t>
            </w:r>
            <w:proofErr w:type="gramEnd"/>
            <w:r w:rsidRPr="002B4964">
              <w:rPr>
                <w:rFonts w:ascii="Times New Roman" w:hAnsi="Times New Roman" w:cs="Times New Roman"/>
                <w:szCs w:val="24"/>
              </w:rPr>
              <w:t>100</w:t>
            </w:r>
          </w:p>
        </w:tc>
        <w:tc>
          <w:tcPr>
            <w:tcW w:w="2626" w:type="dxa"/>
          </w:tcPr>
          <w:p w14:paraId="1CC66AC8" w14:textId="200FE4AE" w:rsidR="000E6A98" w:rsidRPr="002B4964" w:rsidRDefault="000E6A98"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1,750</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19,146</w:t>
            </w:r>
            <w:r w:rsidRPr="002B4964">
              <w:rPr>
                <w:rFonts w:ascii="Times New Roman" w:hAnsi="Times New Roman" w:cs="Times New Roman"/>
                <w:szCs w:val="24"/>
              </w:rPr>
              <w:t>]×</w:t>
            </w:r>
            <w:proofErr w:type="gramEnd"/>
            <w:r w:rsidRPr="002B4964">
              <w:rPr>
                <w:rFonts w:ascii="Times New Roman" w:hAnsi="Times New Roman" w:cs="Times New Roman"/>
                <w:szCs w:val="24"/>
              </w:rPr>
              <w:t xml:space="preserve">100 </w:t>
            </w:r>
          </w:p>
        </w:tc>
      </w:tr>
      <w:tr w:rsidR="000E6A98" w:rsidRPr="002B4964" w14:paraId="7381FA9A" w14:textId="77777777" w:rsidTr="00EE10B0">
        <w:trPr>
          <w:trHeight w:val="388"/>
        </w:trPr>
        <w:tc>
          <w:tcPr>
            <w:tcW w:w="4784" w:type="dxa"/>
            <w:shd w:val="clear" w:color="auto" w:fill="A6A6A6" w:themeFill="background1" w:themeFillShade="A6"/>
          </w:tcPr>
          <w:p w14:paraId="7A5C120E" w14:textId="77777777" w:rsidR="000E6A98" w:rsidRPr="002B4964" w:rsidRDefault="000E6A98"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626" w:type="dxa"/>
          </w:tcPr>
          <w:p w14:paraId="392D8BC4" w14:textId="7933E697" w:rsidR="000E6A98"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0.44</w:t>
            </w:r>
            <w:r w:rsidR="000E6A98" w:rsidRPr="002B4964">
              <w:rPr>
                <w:rFonts w:ascii="Times New Roman" w:hAnsi="Times New Roman" w:cs="Times New Roman"/>
                <w:b/>
                <w:bCs/>
                <w:szCs w:val="24"/>
              </w:rPr>
              <w:t>%</w:t>
            </w:r>
          </w:p>
        </w:tc>
        <w:tc>
          <w:tcPr>
            <w:tcW w:w="2626" w:type="dxa"/>
          </w:tcPr>
          <w:p w14:paraId="23579F2B" w14:textId="5A3FB2DD" w:rsidR="000E6A98"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9.14</w:t>
            </w:r>
            <w:r w:rsidR="000E6A98" w:rsidRPr="002B4964">
              <w:rPr>
                <w:rFonts w:ascii="Times New Roman" w:hAnsi="Times New Roman" w:cs="Times New Roman"/>
                <w:b/>
                <w:bCs/>
                <w:szCs w:val="24"/>
              </w:rPr>
              <w:t>%</w:t>
            </w:r>
          </w:p>
        </w:tc>
      </w:tr>
    </w:tbl>
    <w:p w14:paraId="361F6C53" w14:textId="4E96DD13" w:rsidR="00BB35EE"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Figure 05: ROCE Margin (Source: Author)</w:t>
      </w:r>
    </w:p>
    <w:p w14:paraId="67E57425" w14:textId="74592776" w:rsidR="00BB35EE"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Figure 05 demonstrates that the profitability of Marriott International has improved in terms of </w:t>
      </w:r>
      <w:r w:rsidR="003F0AF6" w:rsidRPr="002B4964">
        <w:rPr>
          <w:rFonts w:ascii="Times New Roman" w:hAnsi="Times New Roman" w:cs="Times New Roman"/>
          <w:szCs w:val="24"/>
        </w:rPr>
        <w:t>Return</w:t>
      </w:r>
      <w:r w:rsidRPr="002B4964">
        <w:rPr>
          <w:rFonts w:ascii="Times New Roman" w:hAnsi="Times New Roman" w:cs="Times New Roman"/>
          <w:szCs w:val="24"/>
        </w:rPr>
        <w:t xml:space="preserve"> on Capital Employed. The ROCE is 9.14% in 2021 and 0.44% in 2020 indicating that the </w:t>
      </w:r>
      <w:r w:rsidRPr="002B4964">
        <w:rPr>
          <w:rFonts w:ascii="Times New Roman" w:hAnsi="Times New Roman" w:cs="Times New Roman"/>
          <w:szCs w:val="24"/>
        </w:rPr>
        <w:lastRenderedPageBreak/>
        <w:t>company has generated more profit after deducting operational expenditures from revenue compared to the amount of capital invested.</w:t>
      </w:r>
    </w:p>
    <w:p w14:paraId="796D5F86" w14:textId="2E6EB368" w:rsidR="000E6A98" w:rsidRPr="002B4964" w:rsidRDefault="000E6A98" w:rsidP="002B4964">
      <w:pPr>
        <w:spacing w:line="276" w:lineRule="auto"/>
        <w:rPr>
          <w:rFonts w:ascii="Times New Roman" w:hAnsi="Times New Roman" w:cs="Times New Roman"/>
          <w:bCs/>
          <w:i/>
          <w:iCs/>
          <w:szCs w:val="24"/>
        </w:rPr>
      </w:pPr>
      <w:r w:rsidRPr="002B4964">
        <w:rPr>
          <w:rFonts w:ascii="Times New Roman" w:hAnsi="Times New Roman" w:cs="Times New Roman"/>
          <w:bCs/>
          <w:i/>
          <w:iCs/>
          <w:szCs w:val="24"/>
        </w:rPr>
        <w:t>4. Operating Margin</w:t>
      </w:r>
    </w:p>
    <w:p w14:paraId="2580ACB7" w14:textId="4D6869DE" w:rsidR="00D82CAA"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This profitability ratio compares operational income to total revenue, providing investors and management with a measure of profitability that does not include non-operating expenses or taxes (Titman, Martin, Keown, &amp; Martin, 2018).</w:t>
      </w:r>
    </w:p>
    <w:tbl>
      <w:tblPr>
        <w:tblStyle w:val="TableGrid"/>
        <w:tblW w:w="9324" w:type="dxa"/>
        <w:tblLook w:val="04A0" w:firstRow="1" w:lastRow="0" w:firstColumn="1" w:lastColumn="0" w:noHBand="0" w:noVBand="1"/>
      </w:tblPr>
      <w:tblGrid>
        <w:gridCol w:w="3402"/>
        <w:gridCol w:w="2869"/>
        <w:gridCol w:w="3053"/>
      </w:tblGrid>
      <w:tr w:rsidR="00152DDA" w:rsidRPr="002B4964" w14:paraId="30F001C9" w14:textId="77777777" w:rsidTr="00EE10B0">
        <w:trPr>
          <w:trHeight w:val="594"/>
        </w:trPr>
        <w:tc>
          <w:tcPr>
            <w:tcW w:w="3402" w:type="dxa"/>
            <w:shd w:val="clear" w:color="auto" w:fill="262626" w:themeFill="text1" w:themeFillTint="D9"/>
          </w:tcPr>
          <w:p w14:paraId="6DD80473" w14:textId="77777777" w:rsidR="00152DDA" w:rsidRPr="002B4964" w:rsidRDefault="00152DDA" w:rsidP="002B4964">
            <w:pPr>
              <w:spacing w:line="276" w:lineRule="auto"/>
              <w:rPr>
                <w:rFonts w:ascii="Times New Roman" w:hAnsi="Times New Roman" w:cs="Times New Roman"/>
                <w:szCs w:val="24"/>
              </w:rPr>
            </w:pPr>
            <w:bookmarkStart w:id="9" w:name="_Hlk107568969"/>
            <w:r w:rsidRPr="002B4964">
              <w:rPr>
                <w:rFonts w:ascii="Times New Roman" w:hAnsi="Times New Roman" w:cs="Times New Roman"/>
                <w:szCs w:val="24"/>
              </w:rPr>
              <w:t>Formula</w:t>
            </w:r>
          </w:p>
        </w:tc>
        <w:tc>
          <w:tcPr>
            <w:tcW w:w="2869" w:type="dxa"/>
            <w:shd w:val="clear" w:color="auto" w:fill="262626" w:themeFill="text1" w:themeFillTint="D9"/>
          </w:tcPr>
          <w:p w14:paraId="132F9DB3"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24C1A17D" w14:textId="5ED416E9"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3053" w:type="dxa"/>
            <w:shd w:val="clear" w:color="auto" w:fill="262626" w:themeFill="text1" w:themeFillTint="D9"/>
          </w:tcPr>
          <w:p w14:paraId="335CFA7F"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1102BBEC" w14:textId="04CAE6EE"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152DDA" w:rsidRPr="002B4964" w14:paraId="614BF689" w14:textId="77777777" w:rsidTr="00EE10B0">
        <w:trPr>
          <w:trHeight w:val="737"/>
        </w:trPr>
        <w:tc>
          <w:tcPr>
            <w:tcW w:w="3402" w:type="dxa"/>
            <w:shd w:val="clear" w:color="auto" w:fill="A6A6A6" w:themeFill="background1" w:themeFillShade="A6"/>
          </w:tcPr>
          <w:p w14:paraId="02814694" w14:textId="77777777" w:rsidR="00152DDA" w:rsidRPr="002B4964" w:rsidRDefault="00000000" w:rsidP="002B4964">
            <w:pPr>
              <w:spacing w:line="276" w:lineRule="auto"/>
              <w:rPr>
                <w:rFonts w:ascii="Times New Roman" w:hAnsi="Times New Roman" w:cs="Times New Roman"/>
                <w:iCs/>
                <w:szCs w:val="24"/>
              </w:rPr>
            </w:pPr>
            <m:oMathPara>
              <m:oMath>
                <m:f>
                  <m:fPr>
                    <m:ctrlPr>
                      <w:rPr>
                        <w:rFonts w:ascii="Cambria Math" w:hAnsi="Cambria Math" w:cs="Times New Roman"/>
                        <w:iCs/>
                        <w:szCs w:val="24"/>
                      </w:rPr>
                    </m:ctrlPr>
                  </m:fPr>
                  <m:num>
                    <m:r>
                      <m:rPr>
                        <m:nor/>
                      </m:rPr>
                      <w:rPr>
                        <w:rFonts w:ascii="Times New Roman" w:hAnsi="Times New Roman" w:cs="Times New Roman"/>
                        <w:iCs/>
                        <w:szCs w:val="24"/>
                      </w:rPr>
                      <m:t>{Operating Profit}</m:t>
                    </m:r>
                  </m:num>
                  <m:den>
                    <m:r>
                      <m:rPr>
                        <m:nor/>
                      </m:rPr>
                      <w:rPr>
                        <w:rFonts w:ascii="Times New Roman" w:hAnsi="Times New Roman" w:cs="Times New Roman"/>
                        <w:iCs/>
                        <w:szCs w:val="24"/>
                      </w:rPr>
                      <m:t>{Revenue}</m:t>
                    </m:r>
                  </m:den>
                </m:f>
                <m:r>
                  <m:rPr>
                    <m:nor/>
                  </m:rPr>
                  <w:rPr>
                    <w:rFonts w:ascii="Times New Roman" w:hAnsi="Times New Roman" w:cs="Times New Roman"/>
                    <w:iCs/>
                    <w:szCs w:val="24"/>
                  </w:rPr>
                  <m:t xml:space="preserve"> × 100</m:t>
                </m:r>
              </m:oMath>
            </m:oMathPara>
          </w:p>
        </w:tc>
        <w:tc>
          <w:tcPr>
            <w:tcW w:w="2869" w:type="dxa"/>
          </w:tcPr>
          <w:p w14:paraId="347D44FA" w14:textId="5250608E"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84</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10,571</w:t>
            </w:r>
            <w:r w:rsidRPr="002B4964">
              <w:rPr>
                <w:rFonts w:ascii="Times New Roman" w:hAnsi="Times New Roman" w:cs="Times New Roman"/>
                <w:szCs w:val="24"/>
              </w:rPr>
              <w:t>]×</w:t>
            </w:r>
            <w:proofErr w:type="gramEnd"/>
            <w:r w:rsidRPr="002B4964">
              <w:rPr>
                <w:rFonts w:ascii="Times New Roman" w:hAnsi="Times New Roman" w:cs="Times New Roman"/>
                <w:szCs w:val="24"/>
              </w:rPr>
              <w:t>100</w:t>
            </w:r>
          </w:p>
        </w:tc>
        <w:tc>
          <w:tcPr>
            <w:tcW w:w="3053" w:type="dxa"/>
          </w:tcPr>
          <w:p w14:paraId="44CC00EA" w14:textId="325141BE"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1750</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13,857</w:t>
            </w:r>
            <w:r w:rsidRPr="002B4964">
              <w:rPr>
                <w:rFonts w:ascii="Times New Roman" w:hAnsi="Times New Roman" w:cs="Times New Roman"/>
                <w:szCs w:val="24"/>
              </w:rPr>
              <w:t>]×</w:t>
            </w:r>
            <w:proofErr w:type="gramEnd"/>
            <w:r w:rsidRPr="002B4964">
              <w:rPr>
                <w:rFonts w:ascii="Times New Roman" w:hAnsi="Times New Roman" w:cs="Times New Roman"/>
                <w:szCs w:val="24"/>
              </w:rPr>
              <w:t xml:space="preserve">100 </w:t>
            </w:r>
          </w:p>
        </w:tc>
      </w:tr>
      <w:tr w:rsidR="00152DDA" w:rsidRPr="002B4964" w14:paraId="446F966C" w14:textId="77777777" w:rsidTr="00EE10B0">
        <w:trPr>
          <w:trHeight w:val="292"/>
        </w:trPr>
        <w:tc>
          <w:tcPr>
            <w:tcW w:w="3402" w:type="dxa"/>
            <w:shd w:val="clear" w:color="auto" w:fill="A6A6A6" w:themeFill="background1" w:themeFillShade="A6"/>
          </w:tcPr>
          <w:p w14:paraId="3A3DC454" w14:textId="77777777" w:rsidR="00152DDA" w:rsidRPr="002B4964" w:rsidRDefault="00152DD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869" w:type="dxa"/>
          </w:tcPr>
          <w:p w14:paraId="6EA1AD32" w14:textId="746AA721" w:rsidR="00152DDA"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0.79</w:t>
            </w:r>
            <w:r w:rsidR="00152DDA" w:rsidRPr="002B4964">
              <w:rPr>
                <w:rFonts w:ascii="Times New Roman" w:hAnsi="Times New Roman" w:cs="Times New Roman"/>
                <w:b/>
                <w:bCs/>
                <w:szCs w:val="24"/>
              </w:rPr>
              <w:t>%</w:t>
            </w:r>
          </w:p>
        </w:tc>
        <w:tc>
          <w:tcPr>
            <w:tcW w:w="3053" w:type="dxa"/>
          </w:tcPr>
          <w:p w14:paraId="4B7E3978" w14:textId="421E0BB1" w:rsidR="00152DDA"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12.63</w:t>
            </w:r>
            <w:r w:rsidR="00152DDA" w:rsidRPr="002B4964">
              <w:rPr>
                <w:rFonts w:ascii="Times New Roman" w:hAnsi="Times New Roman" w:cs="Times New Roman"/>
                <w:b/>
                <w:bCs/>
                <w:szCs w:val="24"/>
              </w:rPr>
              <w:t>%</w:t>
            </w:r>
          </w:p>
        </w:tc>
      </w:tr>
    </w:tbl>
    <w:p w14:paraId="51CBB6AA" w14:textId="474C9B39" w:rsidR="00BB35EE" w:rsidRPr="002B4964" w:rsidRDefault="00BB35EE" w:rsidP="002B4964">
      <w:pPr>
        <w:spacing w:line="276" w:lineRule="auto"/>
        <w:rPr>
          <w:rFonts w:ascii="Times New Roman" w:hAnsi="Times New Roman" w:cs="Times New Roman"/>
          <w:szCs w:val="24"/>
        </w:rPr>
      </w:pPr>
      <w:bookmarkStart w:id="10" w:name="_Hlk118528847"/>
      <w:bookmarkEnd w:id="9"/>
      <w:r w:rsidRPr="002B4964">
        <w:rPr>
          <w:rFonts w:ascii="Times New Roman" w:hAnsi="Times New Roman" w:cs="Times New Roman"/>
          <w:szCs w:val="24"/>
        </w:rPr>
        <w:t>Figure 06: Operating Margin (Source: Author)</w:t>
      </w:r>
    </w:p>
    <w:bookmarkEnd w:id="10"/>
    <w:p w14:paraId="06EAE30D" w14:textId="29FB1163" w:rsidR="00BB35EE" w:rsidRPr="002B4964" w:rsidRDefault="00BB35EE" w:rsidP="002B4964">
      <w:pPr>
        <w:spacing w:line="276" w:lineRule="auto"/>
        <w:rPr>
          <w:rFonts w:ascii="Times New Roman" w:hAnsi="Times New Roman" w:cs="Times New Roman"/>
          <w:szCs w:val="24"/>
        </w:rPr>
      </w:pPr>
      <w:r w:rsidRPr="002B4964">
        <w:rPr>
          <w:rFonts w:ascii="Times New Roman" w:hAnsi="Times New Roman" w:cs="Times New Roman"/>
          <w:szCs w:val="24"/>
        </w:rPr>
        <w:t>Figure 06 demonstrates that the operating margin is 0.79% in 2020 and 12.63% in 2021 indicating that Marriott International has improved profitability from business operations.</w:t>
      </w:r>
    </w:p>
    <w:p w14:paraId="31501570" w14:textId="77777777" w:rsidR="00480324" w:rsidRPr="002B4964" w:rsidRDefault="00480324" w:rsidP="002B4964">
      <w:pPr>
        <w:spacing w:line="276" w:lineRule="auto"/>
        <w:rPr>
          <w:rFonts w:ascii="Times New Roman" w:hAnsi="Times New Roman" w:cs="Times New Roman"/>
          <w:i/>
          <w:iCs/>
          <w:szCs w:val="24"/>
        </w:rPr>
      </w:pPr>
    </w:p>
    <w:p w14:paraId="59F40A83" w14:textId="77777777" w:rsidR="00480324" w:rsidRPr="002B4964" w:rsidRDefault="00480324" w:rsidP="002B4964">
      <w:pPr>
        <w:spacing w:line="276" w:lineRule="auto"/>
        <w:rPr>
          <w:rFonts w:ascii="Times New Roman" w:hAnsi="Times New Roman" w:cs="Times New Roman"/>
          <w:i/>
          <w:iCs/>
          <w:szCs w:val="24"/>
        </w:rPr>
      </w:pPr>
    </w:p>
    <w:p w14:paraId="6039561A" w14:textId="68532D0C" w:rsidR="00E97FBB" w:rsidRPr="002B4964" w:rsidRDefault="00E97FBB"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5. Return on Equity</w:t>
      </w:r>
    </w:p>
    <w:p w14:paraId="13A1C57F" w14:textId="7FA0BB85" w:rsidR="006A392D" w:rsidRPr="002B4964" w:rsidRDefault="006A392D" w:rsidP="002B4964">
      <w:pPr>
        <w:spacing w:line="276" w:lineRule="auto"/>
        <w:rPr>
          <w:rFonts w:ascii="Times New Roman" w:hAnsi="Times New Roman" w:cs="Times New Roman"/>
          <w:szCs w:val="24"/>
        </w:rPr>
      </w:pPr>
      <w:bookmarkStart w:id="11" w:name="_Hlk118526071"/>
      <w:r w:rsidRPr="002B4964">
        <w:rPr>
          <w:rFonts w:ascii="Times New Roman" w:hAnsi="Times New Roman" w:cs="Times New Roman"/>
          <w:szCs w:val="24"/>
        </w:rPr>
        <w:t xml:space="preserve">The ratio of a company's net income to its shareholders' equity is known as its return on equity (ROE). Return on equity (ROE) measures the success and efficiency with which a company makes money (Berk &amp; </w:t>
      </w:r>
      <w:proofErr w:type="spellStart"/>
      <w:r w:rsidRPr="002B4964">
        <w:rPr>
          <w:rFonts w:ascii="Times New Roman" w:hAnsi="Times New Roman" w:cs="Times New Roman"/>
          <w:szCs w:val="24"/>
        </w:rPr>
        <w:t>Demarzo</w:t>
      </w:r>
      <w:proofErr w:type="spellEnd"/>
      <w:r w:rsidRPr="002B4964">
        <w:rPr>
          <w:rFonts w:ascii="Times New Roman" w:hAnsi="Times New Roman" w:cs="Times New Roman"/>
          <w:szCs w:val="24"/>
        </w:rPr>
        <w:t>, 2020).</w:t>
      </w:r>
    </w:p>
    <w:tbl>
      <w:tblPr>
        <w:tblStyle w:val="TableGrid"/>
        <w:tblW w:w="9355" w:type="dxa"/>
        <w:tblLook w:val="04A0" w:firstRow="1" w:lastRow="0" w:firstColumn="1" w:lastColumn="0" w:noHBand="0" w:noVBand="1"/>
      </w:tblPr>
      <w:tblGrid>
        <w:gridCol w:w="4405"/>
        <w:gridCol w:w="2250"/>
        <w:gridCol w:w="2700"/>
      </w:tblGrid>
      <w:tr w:rsidR="00E97FBB" w:rsidRPr="002B4964" w14:paraId="286347BE" w14:textId="77777777" w:rsidTr="00EE10B0">
        <w:tc>
          <w:tcPr>
            <w:tcW w:w="4405" w:type="dxa"/>
            <w:shd w:val="clear" w:color="auto" w:fill="262626" w:themeFill="text1" w:themeFillTint="D9"/>
          </w:tcPr>
          <w:bookmarkEnd w:id="11"/>
          <w:p w14:paraId="31329A0B"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250" w:type="dxa"/>
            <w:shd w:val="clear" w:color="auto" w:fill="262626" w:themeFill="text1" w:themeFillTint="D9"/>
          </w:tcPr>
          <w:p w14:paraId="7D4C62B2"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76734A89" w14:textId="5381DE4A"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00" w:type="dxa"/>
            <w:shd w:val="clear" w:color="auto" w:fill="262626" w:themeFill="text1" w:themeFillTint="D9"/>
          </w:tcPr>
          <w:p w14:paraId="3FFF5DFC"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42C55BE5" w14:textId="1491864C"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E97FBB" w:rsidRPr="002B4964" w14:paraId="47A9DBC1" w14:textId="77777777" w:rsidTr="00EE10B0">
        <w:tc>
          <w:tcPr>
            <w:tcW w:w="4405" w:type="dxa"/>
            <w:shd w:val="clear" w:color="auto" w:fill="A6A6A6" w:themeFill="background1" w:themeFillShade="A6"/>
          </w:tcPr>
          <w:p w14:paraId="03C41EEA" w14:textId="77777777" w:rsidR="00E97FBB"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{Net Income}</m:t>
                    </m:r>
                  </m:num>
                  <m:den>
                    <m:r>
                      <m:rPr>
                        <m:nor/>
                      </m:rPr>
                      <w:rPr>
                        <w:rFonts w:ascii="Times New Roman" w:hAnsi="Times New Roman" w:cs="Times New Roman"/>
                        <w:szCs w:val="24"/>
                      </w:rPr>
                      <m:t>{Total Equity}</m:t>
                    </m:r>
                  </m:den>
                </m:f>
                <m:r>
                  <m:rPr>
                    <m:nor/>
                  </m:rPr>
                  <w:rPr>
                    <w:rFonts w:ascii="Times New Roman" w:hAnsi="Times New Roman" w:cs="Times New Roman"/>
                    <w:szCs w:val="24"/>
                  </w:rPr>
                  <m:t xml:space="preserve"> × 100</m:t>
                </m:r>
              </m:oMath>
            </m:oMathPara>
          </w:p>
        </w:tc>
        <w:tc>
          <w:tcPr>
            <w:tcW w:w="2250" w:type="dxa"/>
          </w:tcPr>
          <w:p w14:paraId="15E2B726" w14:textId="75F2049F"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-267</w:t>
            </w:r>
            <w:r w:rsidRPr="002B4964">
              <w:rPr>
                <w:rFonts w:ascii="Times New Roman" w:hAnsi="Times New Roman" w:cs="Times New Roman"/>
                <w:szCs w:val="24"/>
              </w:rPr>
              <w:t>÷441.</w:t>
            </w:r>
            <w:proofErr w:type="gramStart"/>
            <w:r w:rsidRPr="002B4964">
              <w:rPr>
                <w:rFonts w:ascii="Times New Roman" w:hAnsi="Times New Roman" w:cs="Times New Roman"/>
                <w:szCs w:val="24"/>
              </w:rPr>
              <w:t>5]×</w:t>
            </w:r>
            <w:proofErr w:type="gramEnd"/>
            <w:r w:rsidRPr="002B4964">
              <w:rPr>
                <w:rFonts w:ascii="Times New Roman" w:hAnsi="Times New Roman" w:cs="Times New Roman"/>
                <w:szCs w:val="24"/>
              </w:rPr>
              <w:t>100</w:t>
            </w:r>
          </w:p>
        </w:tc>
        <w:tc>
          <w:tcPr>
            <w:tcW w:w="2700" w:type="dxa"/>
          </w:tcPr>
          <w:p w14:paraId="3598F2DD" w14:textId="33E30A31"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1</w:t>
            </w:r>
            <w:r w:rsidR="00FB66D6" w:rsidRPr="002B4964">
              <w:rPr>
                <w:rFonts w:ascii="Times New Roman" w:hAnsi="Times New Roman" w:cs="Times New Roman"/>
                <w:szCs w:val="24"/>
              </w:rPr>
              <w:t>,</w:t>
            </w:r>
            <w:r w:rsidR="00C72167" w:rsidRPr="002B4964">
              <w:rPr>
                <w:rFonts w:ascii="Times New Roman" w:hAnsi="Times New Roman" w:cs="Times New Roman"/>
                <w:szCs w:val="24"/>
              </w:rPr>
              <w:t>099</w:t>
            </w:r>
            <w:r w:rsidRPr="002B4964">
              <w:rPr>
                <w:rFonts w:ascii="Times New Roman" w:hAnsi="Times New Roman" w:cs="Times New Roman"/>
                <w:szCs w:val="24"/>
              </w:rPr>
              <w:t>÷660.</w:t>
            </w:r>
            <w:proofErr w:type="gramStart"/>
            <w:r w:rsidRPr="002B4964">
              <w:rPr>
                <w:rFonts w:ascii="Times New Roman" w:hAnsi="Times New Roman" w:cs="Times New Roman"/>
                <w:szCs w:val="24"/>
              </w:rPr>
              <w:t>9]×</w:t>
            </w:r>
            <w:proofErr w:type="gramEnd"/>
            <w:r w:rsidRPr="002B4964">
              <w:rPr>
                <w:rFonts w:ascii="Times New Roman" w:hAnsi="Times New Roman" w:cs="Times New Roman"/>
                <w:szCs w:val="24"/>
              </w:rPr>
              <w:t>100</w:t>
            </w:r>
          </w:p>
        </w:tc>
      </w:tr>
      <w:tr w:rsidR="00E97FBB" w:rsidRPr="002B4964" w14:paraId="1C994876" w14:textId="77777777" w:rsidTr="00EE10B0">
        <w:tc>
          <w:tcPr>
            <w:tcW w:w="4405" w:type="dxa"/>
            <w:shd w:val="clear" w:color="auto" w:fill="A6A6A6" w:themeFill="background1" w:themeFillShade="A6"/>
          </w:tcPr>
          <w:p w14:paraId="5A60624A" w14:textId="280AC03C"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w:t>
            </w:r>
            <w:r w:rsidR="00E97FBB" w:rsidRPr="002B4964">
              <w:rPr>
                <w:rFonts w:ascii="Times New Roman" w:hAnsi="Times New Roman" w:cs="Times New Roman"/>
                <w:b/>
                <w:bCs/>
                <w:szCs w:val="24"/>
              </w:rPr>
              <w:t>atio</w:t>
            </w:r>
          </w:p>
        </w:tc>
        <w:tc>
          <w:tcPr>
            <w:tcW w:w="2250" w:type="dxa"/>
          </w:tcPr>
          <w:p w14:paraId="3EA78F4B" w14:textId="42C2441E" w:rsidR="00E97FBB"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-60.48</w:t>
            </w:r>
            <w:r w:rsidR="00E97FBB" w:rsidRPr="002B4964">
              <w:rPr>
                <w:rFonts w:ascii="Times New Roman" w:hAnsi="Times New Roman" w:cs="Times New Roman"/>
                <w:b/>
                <w:bCs/>
                <w:szCs w:val="24"/>
              </w:rPr>
              <w:t>%</w:t>
            </w:r>
          </w:p>
        </w:tc>
        <w:tc>
          <w:tcPr>
            <w:tcW w:w="2700" w:type="dxa"/>
          </w:tcPr>
          <w:p w14:paraId="3D3104FE" w14:textId="3F40CC1B"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166.29</w:t>
            </w:r>
            <w:r w:rsidR="00E97FBB" w:rsidRPr="002B4964">
              <w:rPr>
                <w:rFonts w:ascii="Times New Roman" w:hAnsi="Times New Roman" w:cs="Times New Roman"/>
                <w:b/>
                <w:bCs/>
                <w:szCs w:val="24"/>
              </w:rPr>
              <w:t>%</w:t>
            </w:r>
          </w:p>
        </w:tc>
      </w:tr>
    </w:tbl>
    <w:p w14:paraId="5CD1C33B" w14:textId="2D3285D2" w:rsidR="006A392D" w:rsidRPr="002B4964" w:rsidRDefault="006A392D" w:rsidP="002B4964">
      <w:pPr>
        <w:spacing w:line="276" w:lineRule="auto"/>
        <w:rPr>
          <w:rFonts w:ascii="Times New Roman" w:hAnsi="Times New Roman" w:cs="Times New Roman"/>
          <w:szCs w:val="24"/>
        </w:rPr>
      </w:pPr>
      <w:bookmarkStart w:id="12" w:name="_Hlk118529078"/>
      <w:r w:rsidRPr="002B4964">
        <w:rPr>
          <w:rFonts w:ascii="Times New Roman" w:hAnsi="Times New Roman" w:cs="Times New Roman"/>
          <w:szCs w:val="24"/>
        </w:rPr>
        <w:t>Figure 07: ROE Margin (Source: Author)</w:t>
      </w:r>
    </w:p>
    <w:bookmarkEnd w:id="12"/>
    <w:p w14:paraId="27DF56E7" w14:textId="5651DE93" w:rsidR="006A392D"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t>Figure 07 demonstrates that the ROE margin has significantly improved. In 2021 the ROE is 166.29% compared to a negative margin in 2020 indicating that the stockholders will have more profits from the company.</w:t>
      </w:r>
      <w:bookmarkStart w:id="13" w:name="_Toc94728145"/>
      <w:bookmarkStart w:id="14" w:name="_Toc104625878"/>
    </w:p>
    <w:p w14:paraId="37659302" w14:textId="1ACF904B" w:rsidR="00DB794B" w:rsidRPr="002B4964" w:rsidRDefault="00152DD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2.3 </w:t>
      </w:r>
      <w:r w:rsidR="00DB794B" w:rsidRPr="002B4964">
        <w:rPr>
          <w:rFonts w:ascii="Times New Roman" w:hAnsi="Times New Roman" w:cs="Times New Roman"/>
          <w:b/>
          <w:bCs/>
          <w:szCs w:val="24"/>
        </w:rPr>
        <w:t xml:space="preserve">Liquidity </w:t>
      </w:r>
      <w:bookmarkEnd w:id="13"/>
      <w:bookmarkEnd w:id="14"/>
      <w:r w:rsidRPr="002B4964">
        <w:rPr>
          <w:rFonts w:ascii="Times New Roman" w:hAnsi="Times New Roman" w:cs="Times New Roman"/>
          <w:b/>
          <w:bCs/>
          <w:szCs w:val="24"/>
        </w:rPr>
        <w:t>Analysis</w:t>
      </w:r>
    </w:p>
    <w:p w14:paraId="4EC58F97" w14:textId="5E70E324" w:rsidR="00DB794B" w:rsidRPr="002B4964" w:rsidRDefault="00152DDA" w:rsidP="002B4964">
      <w:pPr>
        <w:spacing w:line="276" w:lineRule="auto"/>
        <w:rPr>
          <w:rFonts w:ascii="Times New Roman" w:hAnsi="Times New Roman" w:cs="Times New Roman"/>
          <w:bCs/>
          <w:i/>
          <w:iCs/>
          <w:szCs w:val="24"/>
        </w:rPr>
      </w:pPr>
      <w:r w:rsidRPr="002B4964">
        <w:rPr>
          <w:rFonts w:ascii="Times New Roman" w:hAnsi="Times New Roman" w:cs="Times New Roman"/>
          <w:bCs/>
          <w:i/>
          <w:iCs/>
          <w:szCs w:val="24"/>
        </w:rPr>
        <w:t>1. Current Ratio</w:t>
      </w:r>
    </w:p>
    <w:p w14:paraId="2BC6D5FD" w14:textId="7705CBD0" w:rsidR="00D82CAA"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lastRenderedPageBreak/>
        <w:t xml:space="preserve">A company's capacity to meet its commitments which are short-term, particularly those due within a year, may be measured by looking at its current ratio, which is a liquidity ratio (Berk &amp; </w:t>
      </w:r>
      <w:proofErr w:type="spellStart"/>
      <w:r w:rsidRPr="002B4964">
        <w:rPr>
          <w:rFonts w:ascii="Times New Roman" w:hAnsi="Times New Roman" w:cs="Times New Roman"/>
          <w:szCs w:val="24"/>
        </w:rPr>
        <w:t>Demarzo</w:t>
      </w:r>
      <w:proofErr w:type="spellEnd"/>
      <w:r w:rsidRPr="002B4964">
        <w:rPr>
          <w:rFonts w:ascii="Times New Roman" w:hAnsi="Times New Roman" w:cs="Times New Roman"/>
          <w:szCs w:val="24"/>
        </w:rPr>
        <w:t>, 2020).</w:t>
      </w:r>
    </w:p>
    <w:tbl>
      <w:tblPr>
        <w:tblStyle w:val="TableGrid"/>
        <w:tblW w:w="9355" w:type="dxa"/>
        <w:tblLook w:val="04A0" w:firstRow="1" w:lastRow="0" w:firstColumn="1" w:lastColumn="0" w:noHBand="0" w:noVBand="1"/>
      </w:tblPr>
      <w:tblGrid>
        <w:gridCol w:w="4045"/>
        <w:gridCol w:w="2520"/>
        <w:gridCol w:w="2790"/>
      </w:tblGrid>
      <w:tr w:rsidR="00152DDA" w:rsidRPr="002B4964" w14:paraId="6AC8D897" w14:textId="77777777" w:rsidTr="00EE10B0">
        <w:tc>
          <w:tcPr>
            <w:tcW w:w="4045" w:type="dxa"/>
            <w:shd w:val="clear" w:color="auto" w:fill="262626" w:themeFill="text1" w:themeFillTint="D9"/>
            <w:vAlign w:val="center"/>
          </w:tcPr>
          <w:p w14:paraId="7CAB9573" w14:textId="77777777" w:rsidR="00152DDA" w:rsidRPr="002B4964" w:rsidRDefault="00152DDA" w:rsidP="002B4964">
            <w:pPr>
              <w:spacing w:line="276" w:lineRule="auto"/>
              <w:rPr>
                <w:rFonts w:ascii="Times New Roman" w:hAnsi="Times New Roman" w:cs="Times New Roman"/>
                <w:szCs w:val="24"/>
              </w:rPr>
            </w:pPr>
            <w:bookmarkStart w:id="15" w:name="_Hlk107576194"/>
            <w:r w:rsidRPr="002B4964">
              <w:rPr>
                <w:rFonts w:ascii="Times New Roman" w:hAnsi="Times New Roman" w:cs="Times New Roman"/>
                <w:szCs w:val="24"/>
              </w:rPr>
              <w:t>Formula</w:t>
            </w:r>
          </w:p>
        </w:tc>
        <w:tc>
          <w:tcPr>
            <w:tcW w:w="2520" w:type="dxa"/>
            <w:shd w:val="clear" w:color="auto" w:fill="262626" w:themeFill="text1" w:themeFillTint="D9"/>
            <w:vAlign w:val="center"/>
          </w:tcPr>
          <w:p w14:paraId="5D91521D"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2B080DC2" w14:textId="157EF946"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6F04A28A"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1FDC8AE3" w14:textId="4817946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152DDA" w:rsidRPr="002B4964" w14:paraId="754F0ECF" w14:textId="77777777" w:rsidTr="00EE10B0">
        <w:tc>
          <w:tcPr>
            <w:tcW w:w="4045" w:type="dxa"/>
            <w:shd w:val="clear" w:color="auto" w:fill="A6A6A6" w:themeFill="background1" w:themeFillShade="A6"/>
            <w:vAlign w:val="center"/>
          </w:tcPr>
          <w:p w14:paraId="362A068D" w14:textId="77777777" w:rsidR="00152DDA"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{Current Assets}</m:t>
                    </m:r>
                  </m:num>
                  <m:den>
                    <m:r>
                      <m:rPr>
                        <m:nor/>
                      </m:rPr>
                      <w:rPr>
                        <w:rFonts w:ascii="Times New Roman" w:hAnsi="Times New Roman" w:cs="Times New Roman"/>
                        <w:szCs w:val="24"/>
                      </w:rPr>
                      <m:t>{Current Liabilities}</m:t>
                    </m:r>
                  </m:den>
                </m:f>
              </m:oMath>
            </m:oMathPara>
          </w:p>
        </w:tc>
        <w:tc>
          <w:tcPr>
            <w:tcW w:w="2520" w:type="dxa"/>
          </w:tcPr>
          <w:p w14:paraId="054A2612" w14:textId="7F49F2C8"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2825</w:t>
            </w:r>
            <w:r w:rsidRPr="002B4964">
              <w:rPr>
                <w:rFonts w:ascii="Times New Roman" w:hAnsi="Times New Roman" w:cs="Times New Roman"/>
                <w:szCs w:val="24"/>
              </w:rPr>
              <w:t>÷</w:t>
            </w:r>
            <w:r w:rsidR="00C72167" w:rsidRPr="002B4964">
              <w:rPr>
                <w:rFonts w:ascii="Times New Roman" w:hAnsi="Times New Roman" w:cs="Times New Roman"/>
                <w:szCs w:val="24"/>
              </w:rPr>
              <w:t>5752</w:t>
            </w:r>
            <w:r w:rsidRPr="002B4964">
              <w:rPr>
                <w:rFonts w:ascii="Times New Roman" w:hAnsi="Times New Roman" w:cs="Times New Roman"/>
                <w:szCs w:val="24"/>
              </w:rPr>
              <w:t>]</w:t>
            </w:r>
          </w:p>
        </w:tc>
        <w:tc>
          <w:tcPr>
            <w:tcW w:w="2790" w:type="dxa"/>
          </w:tcPr>
          <w:p w14:paraId="08A321A9" w14:textId="76D5E3FC"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3626</w:t>
            </w:r>
            <w:r w:rsidRPr="002B4964">
              <w:rPr>
                <w:rFonts w:ascii="Times New Roman" w:hAnsi="Times New Roman" w:cs="Times New Roman"/>
                <w:szCs w:val="24"/>
              </w:rPr>
              <w:t>÷</w:t>
            </w:r>
            <w:r w:rsidR="00C72167" w:rsidRPr="002B4964">
              <w:rPr>
                <w:rFonts w:ascii="Times New Roman" w:hAnsi="Times New Roman" w:cs="Times New Roman"/>
                <w:szCs w:val="24"/>
              </w:rPr>
              <w:t>6407</w:t>
            </w:r>
            <w:r w:rsidRPr="002B4964">
              <w:rPr>
                <w:rFonts w:ascii="Times New Roman" w:hAnsi="Times New Roman" w:cs="Times New Roman"/>
                <w:szCs w:val="24"/>
              </w:rPr>
              <w:t>]</w:t>
            </w:r>
          </w:p>
        </w:tc>
      </w:tr>
      <w:tr w:rsidR="00152DDA" w:rsidRPr="002B4964" w14:paraId="4B82E480" w14:textId="77777777" w:rsidTr="00EE10B0">
        <w:tc>
          <w:tcPr>
            <w:tcW w:w="4045" w:type="dxa"/>
            <w:shd w:val="clear" w:color="auto" w:fill="A6A6A6" w:themeFill="background1" w:themeFillShade="A6"/>
          </w:tcPr>
          <w:p w14:paraId="74F800CD" w14:textId="77777777" w:rsidR="00152DDA" w:rsidRPr="002B4964" w:rsidRDefault="00152DD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69439E00" w14:textId="0973C102" w:rsidR="00152DDA"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0.49</w:t>
            </w:r>
          </w:p>
        </w:tc>
        <w:tc>
          <w:tcPr>
            <w:tcW w:w="2790" w:type="dxa"/>
          </w:tcPr>
          <w:p w14:paraId="621144A2" w14:textId="595A4D19" w:rsidR="00152DDA"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0.57</w:t>
            </w:r>
          </w:p>
        </w:tc>
      </w:tr>
    </w:tbl>
    <w:bookmarkEnd w:id="15"/>
    <w:p w14:paraId="005BC19A" w14:textId="5EA44F61" w:rsidR="00152DDA"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t>Figure 08: Current Ratio (Source: Author)</w:t>
      </w:r>
    </w:p>
    <w:p w14:paraId="60863745" w14:textId="63C82519" w:rsidR="006A392D"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t>Figure 08 demonstrates that the ability to pay obligations and liabilities has improved for Marriott international. The current ratio is 0.49 in 2020 and 0.57 in 2021 indicating that liquidity has improved slightly.</w:t>
      </w:r>
    </w:p>
    <w:p w14:paraId="434DC212" w14:textId="77777777" w:rsidR="003B2804" w:rsidRPr="002B4964" w:rsidRDefault="003B2804" w:rsidP="002B4964">
      <w:pPr>
        <w:spacing w:line="276" w:lineRule="auto"/>
        <w:rPr>
          <w:rFonts w:ascii="Times New Roman" w:hAnsi="Times New Roman" w:cs="Times New Roman"/>
          <w:i/>
          <w:iCs/>
          <w:szCs w:val="24"/>
        </w:rPr>
      </w:pPr>
    </w:p>
    <w:p w14:paraId="41A7D39B" w14:textId="56C0F397" w:rsidR="00152DDA" w:rsidRPr="002B4964" w:rsidRDefault="00152DDA"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2. Quick Ratio</w:t>
      </w:r>
    </w:p>
    <w:p w14:paraId="26D95D04" w14:textId="1486A827" w:rsidR="006A392D" w:rsidRPr="002B4964" w:rsidRDefault="006A392D" w:rsidP="002B4964">
      <w:pPr>
        <w:spacing w:line="276" w:lineRule="auto"/>
        <w:rPr>
          <w:rFonts w:ascii="Times New Roman" w:hAnsi="Times New Roman" w:cs="Times New Roman"/>
          <w:szCs w:val="24"/>
        </w:rPr>
      </w:pPr>
      <w:bookmarkStart w:id="16" w:name="_Hlk118526563"/>
      <w:r w:rsidRPr="002B4964">
        <w:rPr>
          <w:rFonts w:ascii="Times New Roman" w:hAnsi="Times New Roman" w:cs="Times New Roman"/>
          <w:szCs w:val="24"/>
        </w:rPr>
        <w:t>An indication of a corporation's liquidity, the quick ratio is a modified current ratio that assesses the extent to which a company can satisfy its obligations using its most liquid assets (Titman, Martin, Keown, &amp; Martin, 2018).</w:t>
      </w:r>
    </w:p>
    <w:tbl>
      <w:tblPr>
        <w:tblStyle w:val="TableGrid"/>
        <w:tblW w:w="0" w:type="auto"/>
        <w:tblLook w:val="04A0" w:firstRow="1" w:lastRow="0" w:firstColumn="1" w:lastColumn="0" w:noHBand="0" w:noVBand="1"/>
      </w:tblPr>
      <w:tblGrid>
        <w:gridCol w:w="4037"/>
        <w:gridCol w:w="2528"/>
        <w:gridCol w:w="2780"/>
      </w:tblGrid>
      <w:tr w:rsidR="00152DDA" w:rsidRPr="002B4964" w14:paraId="10848C7D" w14:textId="77777777" w:rsidTr="00EE10B0">
        <w:trPr>
          <w:trHeight w:val="832"/>
        </w:trPr>
        <w:tc>
          <w:tcPr>
            <w:tcW w:w="4037" w:type="dxa"/>
            <w:shd w:val="clear" w:color="auto" w:fill="262626" w:themeFill="text1" w:themeFillTint="D9"/>
          </w:tcPr>
          <w:p w14:paraId="0DE90C69" w14:textId="77777777" w:rsidR="00152DDA" w:rsidRPr="002B4964" w:rsidRDefault="00152DDA" w:rsidP="002B4964">
            <w:pPr>
              <w:spacing w:line="276" w:lineRule="auto"/>
              <w:rPr>
                <w:rFonts w:ascii="Times New Roman" w:hAnsi="Times New Roman" w:cs="Times New Roman"/>
                <w:szCs w:val="24"/>
              </w:rPr>
            </w:pPr>
            <w:bookmarkStart w:id="17" w:name="_Hlk107576872"/>
            <w:bookmarkEnd w:id="16"/>
            <w:r w:rsidRPr="002B4964">
              <w:rPr>
                <w:rFonts w:ascii="Times New Roman" w:hAnsi="Times New Roman" w:cs="Times New Roman"/>
                <w:szCs w:val="24"/>
              </w:rPr>
              <w:t>Formula</w:t>
            </w:r>
          </w:p>
        </w:tc>
        <w:tc>
          <w:tcPr>
            <w:tcW w:w="2528" w:type="dxa"/>
            <w:shd w:val="clear" w:color="auto" w:fill="262626" w:themeFill="text1" w:themeFillTint="D9"/>
          </w:tcPr>
          <w:p w14:paraId="408DC8C6"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1A5C295A" w14:textId="16E6240C"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80" w:type="dxa"/>
            <w:shd w:val="clear" w:color="auto" w:fill="262626" w:themeFill="text1" w:themeFillTint="D9"/>
          </w:tcPr>
          <w:p w14:paraId="5CAB17DE" w14:textId="77777777"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2ABF8601" w14:textId="5699BE84"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152DDA" w:rsidRPr="002B4964" w14:paraId="6FB5CF3F" w14:textId="77777777" w:rsidTr="00EE10B0">
        <w:trPr>
          <w:trHeight w:val="832"/>
        </w:trPr>
        <w:tc>
          <w:tcPr>
            <w:tcW w:w="4037" w:type="dxa"/>
            <w:shd w:val="clear" w:color="auto" w:fill="A6A6A6" w:themeFill="background1" w:themeFillShade="A6"/>
          </w:tcPr>
          <w:p w14:paraId="480E4CC2" w14:textId="77777777" w:rsidR="00152DDA"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{Current Assets-Inventories}</m:t>
                    </m:r>
                  </m:num>
                  <m:den>
                    <m:r>
                      <m:rPr>
                        <m:nor/>
                      </m:rPr>
                      <w:rPr>
                        <w:rFonts w:ascii="Times New Roman" w:hAnsi="Times New Roman" w:cs="Times New Roman"/>
                        <w:szCs w:val="24"/>
                      </w:rPr>
                      <m:t>{Current Liabilities}</m:t>
                    </m:r>
                  </m:den>
                </m:f>
              </m:oMath>
            </m:oMathPara>
          </w:p>
        </w:tc>
        <w:tc>
          <w:tcPr>
            <w:tcW w:w="2528" w:type="dxa"/>
          </w:tcPr>
          <w:p w14:paraId="09944760" w14:textId="0CEDAF72"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(2825</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0</w:t>
            </w:r>
            <w:r w:rsidRPr="002B4964">
              <w:rPr>
                <w:rFonts w:ascii="Times New Roman" w:hAnsi="Times New Roman" w:cs="Times New Roman"/>
                <w:szCs w:val="24"/>
              </w:rPr>
              <w:t>)÷</w:t>
            </w:r>
            <w:proofErr w:type="gramEnd"/>
            <w:r w:rsidR="00C72167" w:rsidRPr="002B4964">
              <w:rPr>
                <w:rFonts w:ascii="Times New Roman" w:hAnsi="Times New Roman" w:cs="Times New Roman"/>
                <w:szCs w:val="24"/>
              </w:rPr>
              <w:t>5752</w:t>
            </w:r>
            <w:r w:rsidRPr="002B4964">
              <w:rPr>
                <w:rFonts w:ascii="Times New Roman" w:hAnsi="Times New Roman" w:cs="Times New Roman"/>
                <w:szCs w:val="24"/>
              </w:rPr>
              <w:t>}</w:t>
            </w:r>
          </w:p>
        </w:tc>
        <w:tc>
          <w:tcPr>
            <w:tcW w:w="2780" w:type="dxa"/>
          </w:tcPr>
          <w:p w14:paraId="1882DF1B" w14:textId="6F7A9ED4" w:rsidR="00152DDA" w:rsidRPr="002B4964" w:rsidRDefault="00152DDA"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C72167" w:rsidRPr="002B4964">
              <w:rPr>
                <w:rFonts w:ascii="Times New Roman" w:hAnsi="Times New Roman" w:cs="Times New Roman"/>
                <w:szCs w:val="24"/>
              </w:rPr>
              <w:t>3626</w:t>
            </w:r>
            <w:r w:rsidRPr="002B4964">
              <w:rPr>
                <w:rFonts w:ascii="Times New Roman" w:hAnsi="Times New Roman" w:cs="Times New Roman"/>
                <w:szCs w:val="24"/>
              </w:rPr>
              <w:t>-</w:t>
            </w:r>
            <w:proofErr w:type="gramStart"/>
            <w:r w:rsidR="00C72167" w:rsidRPr="002B4964">
              <w:rPr>
                <w:rFonts w:ascii="Times New Roman" w:hAnsi="Times New Roman" w:cs="Times New Roman"/>
                <w:szCs w:val="24"/>
              </w:rPr>
              <w:t>0</w:t>
            </w:r>
            <w:r w:rsidRPr="002B4964">
              <w:rPr>
                <w:rFonts w:ascii="Times New Roman" w:hAnsi="Times New Roman" w:cs="Times New Roman"/>
                <w:szCs w:val="24"/>
              </w:rPr>
              <w:t>)÷</w:t>
            </w:r>
            <w:proofErr w:type="gramEnd"/>
            <w:r w:rsidRPr="002B4964">
              <w:rPr>
                <w:rFonts w:ascii="Times New Roman" w:hAnsi="Times New Roman" w:cs="Times New Roman"/>
                <w:szCs w:val="24"/>
              </w:rPr>
              <w:t xml:space="preserve"> </w:t>
            </w:r>
            <w:r w:rsidR="00C72167" w:rsidRPr="002B4964">
              <w:rPr>
                <w:rFonts w:ascii="Times New Roman" w:hAnsi="Times New Roman" w:cs="Times New Roman"/>
                <w:szCs w:val="24"/>
              </w:rPr>
              <w:t>6407</w:t>
            </w:r>
            <w:r w:rsidRPr="002B4964">
              <w:rPr>
                <w:rFonts w:ascii="Times New Roman" w:hAnsi="Times New Roman" w:cs="Times New Roman"/>
                <w:szCs w:val="24"/>
              </w:rPr>
              <w:t>}</w:t>
            </w:r>
          </w:p>
        </w:tc>
      </w:tr>
      <w:tr w:rsidR="00152DDA" w:rsidRPr="002B4964" w14:paraId="237B4006" w14:textId="77777777" w:rsidTr="00EE10B0">
        <w:trPr>
          <w:trHeight w:val="410"/>
        </w:trPr>
        <w:tc>
          <w:tcPr>
            <w:tcW w:w="4037" w:type="dxa"/>
            <w:shd w:val="clear" w:color="auto" w:fill="A6A6A6" w:themeFill="background1" w:themeFillShade="A6"/>
          </w:tcPr>
          <w:p w14:paraId="2CDC85D2" w14:textId="77777777" w:rsidR="00152DDA" w:rsidRPr="002B4964" w:rsidRDefault="00152DD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8" w:type="dxa"/>
          </w:tcPr>
          <w:p w14:paraId="23068C5A" w14:textId="7C2DED5B" w:rsidR="00152DDA"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0.49</w:t>
            </w:r>
          </w:p>
        </w:tc>
        <w:tc>
          <w:tcPr>
            <w:tcW w:w="2780" w:type="dxa"/>
          </w:tcPr>
          <w:p w14:paraId="4D4321FA" w14:textId="18342372" w:rsidR="00152DDA"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0.57</w:t>
            </w:r>
          </w:p>
        </w:tc>
      </w:tr>
    </w:tbl>
    <w:bookmarkEnd w:id="17"/>
    <w:p w14:paraId="1384BFDD" w14:textId="1165C014" w:rsidR="006A392D"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t>Figure 09: Quick Ratio (Source: Author)</w:t>
      </w:r>
    </w:p>
    <w:p w14:paraId="07866D93" w14:textId="6BD0E736" w:rsidR="006A392D" w:rsidRPr="002B4964" w:rsidRDefault="006A392D" w:rsidP="002B4964">
      <w:pPr>
        <w:spacing w:line="276" w:lineRule="auto"/>
        <w:rPr>
          <w:rFonts w:ascii="Times New Roman" w:hAnsi="Times New Roman" w:cs="Times New Roman"/>
          <w:szCs w:val="24"/>
        </w:rPr>
      </w:pPr>
      <w:r w:rsidRPr="002B4964">
        <w:rPr>
          <w:rFonts w:ascii="Times New Roman" w:hAnsi="Times New Roman" w:cs="Times New Roman"/>
          <w:szCs w:val="24"/>
        </w:rPr>
        <w:t>Marriot International does not require to hold any inventory. The quick ratio is 0.49 in 2020 and 0.57 in 2021 indicating that liquidity has improved slightly.</w:t>
      </w:r>
    </w:p>
    <w:p w14:paraId="49FD3A88" w14:textId="157062A3" w:rsidR="00152DDA" w:rsidRPr="002B4964" w:rsidRDefault="00152DD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2.4 Efficiency Analysis</w:t>
      </w:r>
    </w:p>
    <w:p w14:paraId="32E94254" w14:textId="17EC7AAF" w:rsidR="00E97FBB" w:rsidRPr="002B4964" w:rsidRDefault="00E97FBB"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1. Assets Turnover</w:t>
      </w:r>
    </w:p>
    <w:p w14:paraId="662B524E" w14:textId="2B377E7A" w:rsidR="00D82CAA"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As a measure of a company's ability to transform its assets into cash, the asset turnover ratio reveals how productively its assets are being put to work (Hayes, 2022).</w:t>
      </w:r>
    </w:p>
    <w:tbl>
      <w:tblPr>
        <w:tblStyle w:val="TableGrid"/>
        <w:tblW w:w="9355" w:type="dxa"/>
        <w:tblLook w:val="04A0" w:firstRow="1" w:lastRow="0" w:firstColumn="1" w:lastColumn="0" w:noHBand="0" w:noVBand="1"/>
      </w:tblPr>
      <w:tblGrid>
        <w:gridCol w:w="4045"/>
        <w:gridCol w:w="2520"/>
        <w:gridCol w:w="2790"/>
      </w:tblGrid>
      <w:tr w:rsidR="00E97FBB" w:rsidRPr="002B4964" w14:paraId="78A6D14A" w14:textId="77777777" w:rsidTr="00EE10B0">
        <w:tc>
          <w:tcPr>
            <w:tcW w:w="4045" w:type="dxa"/>
            <w:shd w:val="clear" w:color="auto" w:fill="262626" w:themeFill="text1" w:themeFillTint="D9"/>
            <w:vAlign w:val="center"/>
          </w:tcPr>
          <w:p w14:paraId="699C025E" w14:textId="77777777" w:rsidR="00E97FBB" w:rsidRPr="002B4964" w:rsidRDefault="00E97FBB" w:rsidP="002B4964">
            <w:pPr>
              <w:spacing w:line="276" w:lineRule="auto"/>
              <w:rPr>
                <w:rFonts w:ascii="Times New Roman" w:hAnsi="Times New Roman" w:cs="Times New Roman"/>
                <w:szCs w:val="24"/>
              </w:rPr>
            </w:pPr>
            <w:bookmarkStart w:id="18" w:name="_Hlk118496962"/>
            <w:r w:rsidRPr="002B4964">
              <w:rPr>
                <w:rFonts w:ascii="Times New Roman" w:hAnsi="Times New Roman" w:cs="Times New Roman"/>
                <w:szCs w:val="24"/>
              </w:rPr>
              <w:t>Formula</w:t>
            </w:r>
          </w:p>
        </w:tc>
        <w:tc>
          <w:tcPr>
            <w:tcW w:w="2520" w:type="dxa"/>
            <w:shd w:val="clear" w:color="auto" w:fill="262626" w:themeFill="text1" w:themeFillTint="D9"/>
            <w:vAlign w:val="center"/>
          </w:tcPr>
          <w:p w14:paraId="2113AFAF"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0B4796C2" w14:textId="10832170"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546F3D35"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4A8C04F4" w14:textId="3B970584"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E97FBB" w:rsidRPr="002B4964" w14:paraId="26EC30F5" w14:textId="77777777" w:rsidTr="00EE10B0">
        <w:tc>
          <w:tcPr>
            <w:tcW w:w="4045" w:type="dxa"/>
            <w:shd w:val="clear" w:color="auto" w:fill="A6A6A6" w:themeFill="background1" w:themeFillShade="A6"/>
            <w:vAlign w:val="center"/>
          </w:tcPr>
          <w:p w14:paraId="32B7FD1E" w14:textId="2AF2295F" w:rsidR="00E97FBB"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{Revenue}</m:t>
                    </m:r>
                  </m:num>
                  <m:den>
                    <m:r>
                      <m:rPr>
                        <m:nor/>
                      </m:rPr>
                      <w:rPr>
                        <w:rFonts w:ascii="Times New Roman" w:hAnsi="Times New Roman" w:cs="Times New Roman"/>
                        <w:szCs w:val="24"/>
                      </w:rPr>
                      <m:t>{Total Assets}</m:t>
                    </m:r>
                  </m:den>
                </m:f>
              </m:oMath>
            </m:oMathPara>
          </w:p>
        </w:tc>
        <w:tc>
          <w:tcPr>
            <w:tcW w:w="2520" w:type="dxa"/>
          </w:tcPr>
          <w:p w14:paraId="57763DD7" w14:textId="5DE2D9B9"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10</w:t>
            </w:r>
            <w:r w:rsidR="00F95431" w:rsidRPr="002B4964">
              <w:rPr>
                <w:rFonts w:ascii="Times New Roman" w:hAnsi="Times New Roman" w:cs="Times New Roman"/>
                <w:szCs w:val="24"/>
              </w:rPr>
              <w:t>,</w:t>
            </w:r>
            <w:r w:rsidR="008C750D" w:rsidRPr="002B4964">
              <w:rPr>
                <w:rFonts w:ascii="Times New Roman" w:hAnsi="Times New Roman" w:cs="Times New Roman"/>
                <w:szCs w:val="24"/>
              </w:rPr>
              <w:t>571</w:t>
            </w:r>
            <w:r w:rsidRPr="002B4964">
              <w:rPr>
                <w:rFonts w:ascii="Times New Roman" w:hAnsi="Times New Roman" w:cs="Times New Roman"/>
                <w:szCs w:val="24"/>
              </w:rPr>
              <w:t>÷</w:t>
            </w:r>
            <w:r w:rsidR="008C750D" w:rsidRPr="002B4964">
              <w:rPr>
                <w:rFonts w:ascii="Times New Roman" w:hAnsi="Times New Roman" w:cs="Times New Roman"/>
                <w:szCs w:val="24"/>
              </w:rPr>
              <w:t>24</w:t>
            </w:r>
            <w:r w:rsidR="00F95431" w:rsidRPr="002B4964">
              <w:rPr>
                <w:rFonts w:ascii="Times New Roman" w:hAnsi="Times New Roman" w:cs="Times New Roman"/>
                <w:szCs w:val="24"/>
              </w:rPr>
              <w:t>,</w:t>
            </w:r>
            <w:r w:rsidR="008C750D" w:rsidRPr="002B4964">
              <w:rPr>
                <w:rFonts w:ascii="Times New Roman" w:hAnsi="Times New Roman" w:cs="Times New Roman"/>
                <w:szCs w:val="24"/>
              </w:rPr>
              <w:t>701</w:t>
            </w:r>
            <w:r w:rsidRPr="002B4964">
              <w:rPr>
                <w:rFonts w:ascii="Times New Roman" w:hAnsi="Times New Roman" w:cs="Times New Roman"/>
                <w:szCs w:val="24"/>
              </w:rPr>
              <w:t>]</w:t>
            </w:r>
          </w:p>
        </w:tc>
        <w:tc>
          <w:tcPr>
            <w:tcW w:w="2790" w:type="dxa"/>
          </w:tcPr>
          <w:p w14:paraId="6E2F480E" w14:textId="1828B7F0"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13</w:t>
            </w:r>
            <w:r w:rsidR="00F95431" w:rsidRPr="002B4964">
              <w:rPr>
                <w:rFonts w:ascii="Times New Roman" w:hAnsi="Times New Roman" w:cs="Times New Roman"/>
                <w:szCs w:val="24"/>
              </w:rPr>
              <w:t>,</w:t>
            </w:r>
            <w:r w:rsidR="008C750D" w:rsidRPr="002B4964">
              <w:rPr>
                <w:rFonts w:ascii="Times New Roman" w:hAnsi="Times New Roman" w:cs="Times New Roman"/>
                <w:szCs w:val="24"/>
              </w:rPr>
              <w:t>857</w:t>
            </w:r>
            <w:r w:rsidRPr="002B4964">
              <w:rPr>
                <w:rFonts w:ascii="Times New Roman" w:hAnsi="Times New Roman" w:cs="Times New Roman"/>
                <w:szCs w:val="24"/>
              </w:rPr>
              <w:t>÷</w:t>
            </w:r>
            <w:r w:rsidR="008C750D" w:rsidRPr="002B4964">
              <w:rPr>
                <w:rFonts w:ascii="Times New Roman" w:hAnsi="Times New Roman" w:cs="Times New Roman"/>
                <w:szCs w:val="24"/>
              </w:rPr>
              <w:t>25</w:t>
            </w:r>
            <w:r w:rsidR="00F95431" w:rsidRPr="002B4964">
              <w:rPr>
                <w:rFonts w:ascii="Times New Roman" w:hAnsi="Times New Roman" w:cs="Times New Roman"/>
                <w:szCs w:val="24"/>
              </w:rPr>
              <w:t>,</w:t>
            </w:r>
            <w:r w:rsidR="008C750D" w:rsidRPr="002B4964">
              <w:rPr>
                <w:rFonts w:ascii="Times New Roman" w:hAnsi="Times New Roman" w:cs="Times New Roman"/>
                <w:szCs w:val="24"/>
              </w:rPr>
              <w:t>553</w:t>
            </w:r>
            <w:r w:rsidRPr="002B4964">
              <w:rPr>
                <w:rFonts w:ascii="Times New Roman" w:hAnsi="Times New Roman" w:cs="Times New Roman"/>
                <w:szCs w:val="24"/>
              </w:rPr>
              <w:t>]</w:t>
            </w:r>
          </w:p>
        </w:tc>
      </w:tr>
      <w:tr w:rsidR="00E97FBB" w:rsidRPr="002B4964" w14:paraId="120F4BE0" w14:textId="77777777" w:rsidTr="00EE10B0">
        <w:tc>
          <w:tcPr>
            <w:tcW w:w="4045" w:type="dxa"/>
            <w:shd w:val="clear" w:color="auto" w:fill="A6A6A6" w:themeFill="background1" w:themeFillShade="A6"/>
          </w:tcPr>
          <w:p w14:paraId="4E1EE1D2" w14:textId="77777777" w:rsidR="00E97FBB" w:rsidRPr="002B4964" w:rsidRDefault="00E97FB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lastRenderedPageBreak/>
              <w:t>Ratio</w:t>
            </w:r>
          </w:p>
        </w:tc>
        <w:tc>
          <w:tcPr>
            <w:tcW w:w="2520" w:type="dxa"/>
          </w:tcPr>
          <w:p w14:paraId="11CA25AF" w14:textId="54448BC4"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0.43</w:t>
            </w:r>
          </w:p>
        </w:tc>
        <w:tc>
          <w:tcPr>
            <w:tcW w:w="2790" w:type="dxa"/>
          </w:tcPr>
          <w:p w14:paraId="13146FBC" w14:textId="10E95153"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0.54</w:t>
            </w:r>
          </w:p>
        </w:tc>
      </w:tr>
    </w:tbl>
    <w:bookmarkEnd w:id="18"/>
    <w:p w14:paraId="4B23DF30" w14:textId="7378A719" w:rsidR="00F95431"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Figure 10: Asset Turnover (Source: Author)</w:t>
      </w:r>
    </w:p>
    <w:p w14:paraId="4F9F7B4C" w14:textId="2704DBC2" w:rsidR="00480324"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Figure 10 demonstrates that asset utilization has improved for Marriott International. In 2021, the asset turnover was 0.54 and in 2020, the turnover was 0.43 indicating a slight improvement in asset utilization.</w:t>
      </w:r>
    </w:p>
    <w:p w14:paraId="3B101D16" w14:textId="77777777" w:rsidR="003B2804" w:rsidRPr="002B4964" w:rsidRDefault="003B2804" w:rsidP="002B4964">
      <w:pPr>
        <w:spacing w:line="276" w:lineRule="auto"/>
        <w:rPr>
          <w:rFonts w:ascii="Times New Roman" w:hAnsi="Times New Roman" w:cs="Times New Roman"/>
          <w:i/>
          <w:iCs/>
          <w:szCs w:val="24"/>
        </w:rPr>
      </w:pPr>
    </w:p>
    <w:p w14:paraId="3C2243DD" w14:textId="77777777" w:rsidR="003B2804" w:rsidRPr="002B4964" w:rsidRDefault="003B2804" w:rsidP="002B4964">
      <w:pPr>
        <w:spacing w:line="276" w:lineRule="auto"/>
        <w:rPr>
          <w:rFonts w:ascii="Times New Roman" w:hAnsi="Times New Roman" w:cs="Times New Roman"/>
          <w:i/>
          <w:iCs/>
          <w:szCs w:val="24"/>
        </w:rPr>
      </w:pPr>
    </w:p>
    <w:p w14:paraId="100CC3D6" w14:textId="7438A516" w:rsidR="00E97FBB" w:rsidRPr="002B4964" w:rsidRDefault="00E97FBB"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2. Days of Sales in Receivables</w:t>
      </w:r>
    </w:p>
    <w:p w14:paraId="628A5DBD" w14:textId="4054897E" w:rsidR="00220F31"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This ratio measures a company's efficiency in managing its receivables, or the money it owes customers on credit (Brigham and Houston, 2012).</w:t>
      </w:r>
    </w:p>
    <w:tbl>
      <w:tblPr>
        <w:tblStyle w:val="TableGrid"/>
        <w:tblW w:w="9355" w:type="dxa"/>
        <w:tblLook w:val="04A0" w:firstRow="1" w:lastRow="0" w:firstColumn="1" w:lastColumn="0" w:noHBand="0" w:noVBand="1"/>
      </w:tblPr>
      <w:tblGrid>
        <w:gridCol w:w="4045"/>
        <w:gridCol w:w="2520"/>
        <w:gridCol w:w="2790"/>
      </w:tblGrid>
      <w:tr w:rsidR="00E97FBB" w:rsidRPr="002B4964" w14:paraId="2816162B" w14:textId="77777777" w:rsidTr="00EE10B0">
        <w:tc>
          <w:tcPr>
            <w:tcW w:w="4045" w:type="dxa"/>
            <w:shd w:val="clear" w:color="auto" w:fill="262626" w:themeFill="text1" w:themeFillTint="D9"/>
            <w:vAlign w:val="center"/>
          </w:tcPr>
          <w:p w14:paraId="06651EF1" w14:textId="77777777" w:rsidR="00E97FBB" w:rsidRPr="002B4964" w:rsidRDefault="00E97FBB" w:rsidP="002B4964">
            <w:pPr>
              <w:spacing w:line="276" w:lineRule="auto"/>
              <w:rPr>
                <w:rFonts w:ascii="Times New Roman" w:hAnsi="Times New Roman" w:cs="Times New Roman"/>
                <w:szCs w:val="24"/>
              </w:rPr>
            </w:pPr>
            <w:bookmarkStart w:id="19" w:name="_Hlk118497409"/>
            <w:r w:rsidRPr="002B4964">
              <w:rPr>
                <w:rFonts w:ascii="Times New Roman" w:hAnsi="Times New Roman" w:cs="Times New Roman"/>
                <w:szCs w:val="24"/>
              </w:rPr>
              <w:t>Formula</w:t>
            </w:r>
          </w:p>
        </w:tc>
        <w:tc>
          <w:tcPr>
            <w:tcW w:w="2520" w:type="dxa"/>
            <w:shd w:val="clear" w:color="auto" w:fill="262626" w:themeFill="text1" w:themeFillTint="D9"/>
            <w:vAlign w:val="center"/>
          </w:tcPr>
          <w:p w14:paraId="7060AC62"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47C22B94" w14:textId="4F527CE3"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7F0EAFE4"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717EC9F1" w14:textId="205A0FE8"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E97FBB" w:rsidRPr="002B4964" w14:paraId="3CC70F4B" w14:textId="77777777" w:rsidTr="00EE10B0">
        <w:tc>
          <w:tcPr>
            <w:tcW w:w="4045" w:type="dxa"/>
            <w:shd w:val="clear" w:color="auto" w:fill="A6A6A6" w:themeFill="background1" w:themeFillShade="A6"/>
            <w:vAlign w:val="center"/>
          </w:tcPr>
          <w:p w14:paraId="725D2D96" w14:textId="3D04CEE1" w:rsidR="00E97FBB" w:rsidRPr="002B4964" w:rsidRDefault="00E97FBB" w:rsidP="002B4964">
            <w:pPr>
              <w:spacing w:line="276" w:lineRule="auto"/>
              <w:rPr>
                <w:rFonts w:ascii="Times New Roman" w:hAnsi="Times New Roman" w:cs="Times New Roman"/>
                <w:szCs w:val="24"/>
              </w:rPr>
            </w:pPr>
            <m:oMathPara>
              <m:oMath>
                <m:r>
                  <m:rPr>
                    <m:nor/>
                  </m:rPr>
                  <w:rPr>
                    <w:rFonts w:ascii="Times New Roman" w:hAnsi="Times New Roman" w:cs="Times New Roman"/>
                    <w:szCs w:val="24"/>
                  </w:rPr>
                  <m:t>365 ÷</m:t>
                </m:r>
                <m:f>
                  <m:fPr>
                    <m:ctrlPr>
                      <w:rPr>
                        <w:rFonts w:ascii="Cambria Math" w:hAnsi="Cambria Math" w:cs="Times New Roman"/>
                        <w:i/>
                        <w:szCs w:val="24"/>
                      </w:rPr>
                    </m:ctrlPr>
                  </m:fPr>
                  <m:num>
                    <m:r>
                      <m:rPr>
                        <m:nor/>
                      </m:rPr>
                      <w:rPr>
                        <w:rFonts w:ascii="Times New Roman" w:hAnsi="Times New Roman" w:cs="Times New Roman"/>
                        <w:szCs w:val="24"/>
                      </w:rPr>
                      <m:t>{Revenue}</m:t>
                    </m:r>
                  </m:num>
                  <m:den>
                    <m:r>
                      <m:rPr>
                        <m:nor/>
                      </m:rPr>
                      <w:rPr>
                        <w:rFonts w:ascii="Times New Roman" w:hAnsi="Times New Roman" w:cs="Times New Roman"/>
                        <w:szCs w:val="24"/>
                      </w:rPr>
                      <m:t>{Receivables}</m:t>
                    </m:r>
                  </m:den>
                </m:f>
              </m:oMath>
            </m:oMathPara>
          </w:p>
        </w:tc>
        <w:tc>
          <w:tcPr>
            <w:tcW w:w="2520" w:type="dxa"/>
          </w:tcPr>
          <w:p w14:paraId="7BAAB5A5" w14:textId="7C2F8451" w:rsidR="00E97FBB" w:rsidRPr="002B4964" w:rsidRDefault="008C750D"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365 ÷ </w:t>
            </w:r>
            <w:r w:rsidR="00E97FBB" w:rsidRPr="002B4964">
              <w:rPr>
                <w:rFonts w:ascii="Times New Roman" w:hAnsi="Times New Roman" w:cs="Times New Roman"/>
                <w:szCs w:val="24"/>
              </w:rPr>
              <w:t>[</w:t>
            </w:r>
            <w:r w:rsidRPr="002B4964">
              <w:rPr>
                <w:rFonts w:ascii="Times New Roman" w:hAnsi="Times New Roman" w:cs="Times New Roman"/>
                <w:szCs w:val="24"/>
              </w:rPr>
              <w:t>10571</w:t>
            </w:r>
            <w:r w:rsidR="00E97FBB" w:rsidRPr="002B4964">
              <w:rPr>
                <w:rFonts w:ascii="Times New Roman" w:hAnsi="Times New Roman" w:cs="Times New Roman"/>
                <w:szCs w:val="24"/>
              </w:rPr>
              <w:t>÷</w:t>
            </w:r>
            <w:r w:rsidRPr="002B4964">
              <w:rPr>
                <w:rFonts w:ascii="Times New Roman" w:hAnsi="Times New Roman" w:cs="Times New Roman"/>
                <w:szCs w:val="24"/>
              </w:rPr>
              <w:t>1768</w:t>
            </w:r>
            <w:r w:rsidR="00E97FBB" w:rsidRPr="002B4964">
              <w:rPr>
                <w:rFonts w:ascii="Times New Roman" w:hAnsi="Times New Roman" w:cs="Times New Roman"/>
                <w:szCs w:val="24"/>
              </w:rPr>
              <w:t>]</w:t>
            </w:r>
          </w:p>
        </w:tc>
        <w:tc>
          <w:tcPr>
            <w:tcW w:w="2790" w:type="dxa"/>
          </w:tcPr>
          <w:p w14:paraId="5F077958" w14:textId="790AC969" w:rsidR="00E97FBB" w:rsidRPr="002B4964" w:rsidRDefault="008C750D"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365 ÷ </w:t>
            </w:r>
            <w:r w:rsidR="00E97FBB" w:rsidRPr="002B4964">
              <w:rPr>
                <w:rFonts w:ascii="Times New Roman" w:hAnsi="Times New Roman" w:cs="Times New Roman"/>
                <w:szCs w:val="24"/>
              </w:rPr>
              <w:t>[</w:t>
            </w:r>
            <w:r w:rsidRPr="002B4964">
              <w:rPr>
                <w:rFonts w:ascii="Times New Roman" w:hAnsi="Times New Roman" w:cs="Times New Roman"/>
                <w:szCs w:val="24"/>
              </w:rPr>
              <w:t>13857</w:t>
            </w:r>
            <w:r w:rsidR="00E97FBB" w:rsidRPr="002B4964">
              <w:rPr>
                <w:rFonts w:ascii="Times New Roman" w:hAnsi="Times New Roman" w:cs="Times New Roman"/>
                <w:szCs w:val="24"/>
              </w:rPr>
              <w:t>÷</w:t>
            </w:r>
            <w:r w:rsidRPr="002B4964">
              <w:rPr>
                <w:rFonts w:ascii="Times New Roman" w:hAnsi="Times New Roman" w:cs="Times New Roman"/>
                <w:szCs w:val="24"/>
              </w:rPr>
              <w:t>1982</w:t>
            </w:r>
            <w:r w:rsidR="00E97FBB" w:rsidRPr="002B4964">
              <w:rPr>
                <w:rFonts w:ascii="Times New Roman" w:hAnsi="Times New Roman" w:cs="Times New Roman"/>
                <w:szCs w:val="24"/>
              </w:rPr>
              <w:t>]</w:t>
            </w:r>
          </w:p>
        </w:tc>
      </w:tr>
      <w:tr w:rsidR="00E97FBB" w:rsidRPr="002B4964" w14:paraId="2AE8B3E0" w14:textId="77777777" w:rsidTr="00EE10B0">
        <w:tc>
          <w:tcPr>
            <w:tcW w:w="4045" w:type="dxa"/>
            <w:shd w:val="clear" w:color="auto" w:fill="A6A6A6" w:themeFill="background1" w:themeFillShade="A6"/>
          </w:tcPr>
          <w:p w14:paraId="3BA2806C" w14:textId="77777777" w:rsidR="00E97FBB" w:rsidRPr="002B4964" w:rsidRDefault="00E97FB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64257058" w14:textId="43370510"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61.05</w:t>
            </w:r>
          </w:p>
        </w:tc>
        <w:tc>
          <w:tcPr>
            <w:tcW w:w="2790" w:type="dxa"/>
          </w:tcPr>
          <w:p w14:paraId="0B53DA41" w14:textId="1BF44021"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52.21</w:t>
            </w:r>
          </w:p>
        </w:tc>
      </w:tr>
    </w:tbl>
    <w:bookmarkEnd w:id="19"/>
    <w:p w14:paraId="6E1A51B4" w14:textId="7565BE61" w:rsidR="00E97FBB"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Figure 11: Days of Sales in Receivables (Source: Author)</w:t>
      </w:r>
    </w:p>
    <w:p w14:paraId="3622C5B7" w14:textId="389514BE" w:rsidR="00E97FBB"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A slight decrease in receivable days in figure 11 indicates that the receivables management has improved for Marriott </w:t>
      </w:r>
      <w:proofErr w:type="gramStart"/>
      <w:r w:rsidRPr="002B4964">
        <w:rPr>
          <w:rFonts w:ascii="Times New Roman" w:hAnsi="Times New Roman" w:cs="Times New Roman"/>
          <w:szCs w:val="24"/>
        </w:rPr>
        <w:t>International</w:t>
      </w:r>
      <w:proofErr w:type="gramEnd"/>
      <w:r w:rsidRPr="002B4964">
        <w:rPr>
          <w:rFonts w:ascii="Times New Roman" w:hAnsi="Times New Roman" w:cs="Times New Roman"/>
          <w:szCs w:val="24"/>
        </w:rPr>
        <w:t xml:space="preserve"> and the company requires less time in collecting credit sales.</w:t>
      </w:r>
    </w:p>
    <w:p w14:paraId="3F6EC9EC" w14:textId="4F5814CE" w:rsidR="00E97FBB" w:rsidRPr="002B4964" w:rsidRDefault="00E97FBB"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3. Days of Purchase in Payables</w:t>
      </w:r>
    </w:p>
    <w:p w14:paraId="01230F1D" w14:textId="717E230B" w:rsidR="00220F31"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This ratio is the average number of days it takes a business to pay its suppliers and vendors after receiving an invoice for goods or services bought on credit (Brigham &amp; Ehrhardt, 2020).</w:t>
      </w:r>
    </w:p>
    <w:tbl>
      <w:tblPr>
        <w:tblStyle w:val="TableGrid"/>
        <w:tblW w:w="9355" w:type="dxa"/>
        <w:tblLook w:val="04A0" w:firstRow="1" w:lastRow="0" w:firstColumn="1" w:lastColumn="0" w:noHBand="0" w:noVBand="1"/>
      </w:tblPr>
      <w:tblGrid>
        <w:gridCol w:w="4045"/>
        <w:gridCol w:w="2520"/>
        <w:gridCol w:w="2790"/>
      </w:tblGrid>
      <w:tr w:rsidR="00E97FBB" w:rsidRPr="002B4964" w14:paraId="0D8BCDAD" w14:textId="77777777" w:rsidTr="00EE10B0">
        <w:tc>
          <w:tcPr>
            <w:tcW w:w="4045" w:type="dxa"/>
            <w:shd w:val="clear" w:color="auto" w:fill="262626" w:themeFill="text1" w:themeFillTint="D9"/>
            <w:vAlign w:val="center"/>
          </w:tcPr>
          <w:p w14:paraId="17DF7F5E"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520" w:type="dxa"/>
            <w:shd w:val="clear" w:color="auto" w:fill="262626" w:themeFill="text1" w:themeFillTint="D9"/>
            <w:vAlign w:val="center"/>
          </w:tcPr>
          <w:p w14:paraId="742606B3"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71DBE64A" w14:textId="20DCEC79"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1C1EA4A3" w14:textId="77777777"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5E9ECF83" w14:textId="05131BD4" w:rsidR="00E97FBB" w:rsidRPr="002B4964" w:rsidRDefault="00E97FBB"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E97FBB" w:rsidRPr="002B4964" w14:paraId="034AC961" w14:textId="77777777" w:rsidTr="00EE10B0">
        <w:tc>
          <w:tcPr>
            <w:tcW w:w="4045" w:type="dxa"/>
            <w:shd w:val="clear" w:color="auto" w:fill="A6A6A6" w:themeFill="background1" w:themeFillShade="A6"/>
            <w:vAlign w:val="center"/>
          </w:tcPr>
          <w:p w14:paraId="475E2DB4" w14:textId="194D46E4" w:rsidR="00E97FBB" w:rsidRPr="002B4964" w:rsidRDefault="00FB66D6" w:rsidP="002B4964">
            <w:pPr>
              <w:spacing w:line="276" w:lineRule="auto"/>
              <w:rPr>
                <w:rFonts w:ascii="Times New Roman" w:hAnsi="Times New Roman" w:cs="Times New Roman"/>
                <w:szCs w:val="24"/>
              </w:rPr>
            </w:pPr>
            <m:oMathPara>
              <m:oMath>
                <m:r>
                  <m:rPr>
                    <m:nor/>
                  </m:rPr>
                  <w:rPr>
                    <w:rFonts w:ascii="Times New Roman" w:hAnsi="Times New Roman" w:cs="Times New Roman"/>
                    <w:szCs w:val="24"/>
                  </w:rPr>
                  <m:t>365 ÷</m:t>
                </m:r>
                <m:f>
                  <m:fPr>
                    <m:ctrlPr>
                      <w:rPr>
                        <w:rFonts w:ascii="Cambria Math" w:hAnsi="Cambria Math" w:cs="Times New Roman"/>
                        <w:i/>
                        <w:szCs w:val="24"/>
                      </w:rPr>
                    </m:ctrlPr>
                  </m:fPr>
                  <m:num>
                    <m:r>
                      <m:rPr>
                        <m:nor/>
                      </m:rPr>
                      <w:rPr>
                        <w:rFonts w:ascii="Times New Roman" w:hAnsi="Times New Roman" w:cs="Times New Roman"/>
                        <w:szCs w:val="24"/>
                      </w:rPr>
                      <m:t>{Cost of Revenue}</m:t>
                    </m:r>
                  </m:num>
                  <m:den>
                    <m:r>
                      <m:rPr>
                        <m:nor/>
                      </m:rPr>
                      <w:rPr>
                        <w:rFonts w:ascii="Times New Roman" w:hAnsi="Times New Roman" w:cs="Times New Roman"/>
                        <w:szCs w:val="24"/>
                      </w:rPr>
                      <m:t>{Payables}</m:t>
                    </m:r>
                  </m:den>
                </m:f>
              </m:oMath>
            </m:oMathPara>
          </w:p>
        </w:tc>
        <w:tc>
          <w:tcPr>
            <w:tcW w:w="2520" w:type="dxa"/>
          </w:tcPr>
          <w:p w14:paraId="030C33A7" w14:textId="24F29CBB" w:rsidR="00E97FBB" w:rsidRPr="002B4964" w:rsidRDefault="008C750D"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365 ÷ </w:t>
            </w:r>
            <w:r w:rsidR="00E97FBB" w:rsidRPr="002B4964">
              <w:rPr>
                <w:rFonts w:ascii="Times New Roman" w:hAnsi="Times New Roman" w:cs="Times New Roman"/>
                <w:szCs w:val="24"/>
              </w:rPr>
              <w:t>[</w:t>
            </w:r>
            <w:r w:rsidRPr="002B4964">
              <w:rPr>
                <w:rFonts w:ascii="Times New Roman" w:hAnsi="Times New Roman" w:cs="Times New Roman"/>
                <w:szCs w:val="24"/>
              </w:rPr>
              <w:t>9379</w:t>
            </w:r>
            <w:r w:rsidR="00E97FBB" w:rsidRPr="002B4964">
              <w:rPr>
                <w:rFonts w:ascii="Times New Roman" w:hAnsi="Times New Roman" w:cs="Times New Roman"/>
                <w:szCs w:val="24"/>
              </w:rPr>
              <w:t>÷</w:t>
            </w:r>
            <w:r w:rsidRPr="002B4964">
              <w:rPr>
                <w:rFonts w:ascii="Times New Roman" w:hAnsi="Times New Roman" w:cs="Times New Roman"/>
                <w:szCs w:val="24"/>
              </w:rPr>
              <w:t>527</w:t>
            </w:r>
            <w:r w:rsidR="00E97FBB" w:rsidRPr="002B4964">
              <w:rPr>
                <w:rFonts w:ascii="Times New Roman" w:hAnsi="Times New Roman" w:cs="Times New Roman"/>
                <w:szCs w:val="24"/>
              </w:rPr>
              <w:t>]</w:t>
            </w:r>
          </w:p>
        </w:tc>
        <w:tc>
          <w:tcPr>
            <w:tcW w:w="2790" w:type="dxa"/>
          </w:tcPr>
          <w:p w14:paraId="0626384E" w14:textId="53F0628A" w:rsidR="00E97FBB" w:rsidRPr="002B4964" w:rsidRDefault="008C750D"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365 ÷ </w:t>
            </w:r>
            <w:r w:rsidR="00E97FBB" w:rsidRPr="002B4964">
              <w:rPr>
                <w:rFonts w:ascii="Times New Roman" w:hAnsi="Times New Roman" w:cs="Times New Roman"/>
                <w:szCs w:val="24"/>
              </w:rPr>
              <w:t>[</w:t>
            </w:r>
            <w:r w:rsidRPr="002B4964">
              <w:rPr>
                <w:rFonts w:ascii="Times New Roman" w:hAnsi="Times New Roman" w:cs="Times New Roman"/>
                <w:szCs w:val="24"/>
              </w:rPr>
              <w:t>11064</w:t>
            </w:r>
            <w:r w:rsidR="00E97FBB" w:rsidRPr="002B4964">
              <w:rPr>
                <w:rFonts w:ascii="Times New Roman" w:hAnsi="Times New Roman" w:cs="Times New Roman"/>
                <w:szCs w:val="24"/>
              </w:rPr>
              <w:t>÷</w:t>
            </w:r>
            <w:r w:rsidRPr="002B4964">
              <w:rPr>
                <w:rFonts w:ascii="Times New Roman" w:hAnsi="Times New Roman" w:cs="Times New Roman"/>
                <w:szCs w:val="24"/>
              </w:rPr>
              <w:t>726</w:t>
            </w:r>
            <w:r w:rsidR="00E97FBB" w:rsidRPr="002B4964">
              <w:rPr>
                <w:rFonts w:ascii="Times New Roman" w:hAnsi="Times New Roman" w:cs="Times New Roman"/>
                <w:szCs w:val="24"/>
              </w:rPr>
              <w:t>]</w:t>
            </w:r>
          </w:p>
        </w:tc>
      </w:tr>
      <w:tr w:rsidR="00E97FBB" w:rsidRPr="002B4964" w14:paraId="1B2E11CE" w14:textId="77777777" w:rsidTr="00EE10B0">
        <w:tc>
          <w:tcPr>
            <w:tcW w:w="4045" w:type="dxa"/>
            <w:shd w:val="clear" w:color="auto" w:fill="A6A6A6" w:themeFill="background1" w:themeFillShade="A6"/>
          </w:tcPr>
          <w:p w14:paraId="671C4BD1" w14:textId="77777777" w:rsidR="00E97FBB" w:rsidRPr="002B4964" w:rsidRDefault="00E97FB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43958DB6" w14:textId="7D4AFA57"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20.51</w:t>
            </w:r>
          </w:p>
        </w:tc>
        <w:tc>
          <w:tcPr>
            <w:tcW w:w="2790" w:type="dxa"/>
          </w:tcPr>
          <w:p w14:paraId="5B6A6192" w14:textId="7A9855E1" w:rsidR="00E97FBB"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23.95</w:t>
            </w:r>
          </w:p>
        </w:tc>
      </w:tr>
    </w:tbl>
    <w:p w14:paraId="338A7660" w14:textId="48E57B05" w:rsidR="00F95431" w:rsidRPr="002B4964" w:rsidRDefault="00F95431" w:rsidP="002B4964">
      <w:pPr>
        <w:spacing w:line="276" w:lineRule="auto"/>
        <w:rPr>
          <w:rFonts w:ascii="Times New Roman" w:hAnsi="Times New Roman" w:cs="Times New Roman"/>
          <w:szCs w:val="24"/>
        </w:rPr>
      </w:pPr>
      <w:bookmarkStart w:id="20" w:name="_Toc94728146"/>
      <w:bookmarkStart w:id="21" w:name="_Toc104625879"/>
      <w:r w:rsidRPr="002B4964">
        <w:rPr>
          <w:rFonts w:ascii="Times New Roman" w:hAnsi="Times New Roman" w:cs="Times New Roman"/>
          <w:szCs w:val="24"/>
        </w:rPr>
        <w:t>Figure 12: Days of Purchases in Payables (Source: Author)</w:t>
      </w:r>
    </w:p>
    <w:p w14:paraId="569EA59E" w14:textId="79D97906" w:rsidR="00480324" w:rsidRPr="002B4964" w:rsidRDefault="00F95431"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An increase in payables days indicates that Marriott International has improved in payables management </w:t>
      </w:r>
      <w:r w:rsidR="006A0847" w:rsidRPr="002B4964">
        <w:rPr>
          <w:rFonts w:ascii="Times New Roman" w:hAnsi="Times New Roman" w:cs="Times New Roman"/>
          <w:szCs w:val="24"/>
        </w:rPr>
        <w:t>and the company now has more time to repay the supplier credits.</w:t>
      </w:r>
    </w:p>
    <w:p w14:paraId="4CAD5366" w14:textId="77777777" w:rsidR="003B2804" w:rsidRPr="002B4964" w:rsidRDefault="003B2804" w:rsidP="002B4964">
      <w:pPr>
        <w:spacing w:line="276" w:lineRule="auto"/>
        <w:rPr>
          <w:rFonts w:ascii="Times New Roman" w:hAnsi="Times New Roman" w:cs="Times New Roman"/>
          <w:b/>
          <w:bCs/>
          <w:szCs w:val="24"/>
        </w:rPr>
      </w:pPr>
    </w:p>
    <w:p w14:paraId="3C12425C" w14:textId="77777777" w:rsidR="003B2804" w:rsidRPr="002B4964" w:rsidRDefault="003B2804" w:rsidP="002B4964">
      <w:pPr>
        <w:spacing w:line="276" w:lineRule="auto"/>
        <w:rPr>
          <w:rFonts w:ascii="Times New Roman" w:hAnsi="Times New Roman" w:cs="Times New Roman"/>
          <w:b/>
          <w:bCs/>
          <w:szCs w:val="24"/>
        </w:rPr>
      </w:pPr>
    </w:p>
    <w:p w14:paraId="4A146FE0" w14:textId="77777777" w:rsidR="003B2804" w:rsidRPr="002B4964" w:rsidRDefault="003B2804" w:rsidP="002B4964">
      <w:pPr>
        <w:spacing w:line="276" w:lineRule="auto"/>
        <w:rPr>
          <w:rFonts w:ascii="Times New Roman" w:hAnsi="Times New Roman" w:cs="Times New Roman"/>
          <w:b/>
          <w:bCs/>
          <w:szCs w:val="24"/>
        </w:rPr>
      </w:pPr>
    </w:p>
    <w:p w14:paraId="72426B0F" w14:textId="238896F8" w:rsidR="00DB794B" w:rsidRPr="002B4964" w:rsidRDefault="00E97FBB"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2.5 </w:t>
      </w:r>
      <w:bookmarkEnd w:id="20"/>
      <w:bookmarkEnd w:id="21"/>
      <w:r w:rsidRPr="002B4964">
        <w:rPr>
          <w:rFonts w:ascii="Times New Roman" w:hAnsi="Times New Roman" w:cs="Times New Roman"/>
          <w:b/>
          <w:bCs/>
          <w:szCs w:val="24"/>
        </w:rPr>
        <w:t>Solvency Analysis</w:t>
      </w:r>
    </w:p>
    <w:p w14:paraId="6AA5BDCF" w14:textId="5D2BB643" w:rsidR="008E0D79" w:rsidRPr="002B4964" w:rsidRDefault="008E0D79"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lastRenderedPageBreak/>
        <w:t>1. Debt Ratio</w:t>
      </w:r>
    </w:p>
    <w:p w14:paraId="70FC0C4B" w14:textId="0B7ADBE7" w:rsidR="00220F31" w:rsidRPr="002B4964" w:rsidRDefault="006A0847"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Total debt as a fraction or percentage of total assets is the definition of the debt ratio. It's a measure of how much debt is required to fund a company's assets (Berk &amp; </w:t>
      </w:r>
      <w:proofErr w:type="spellStart"/>
      <w:r w:rsidRPr="002B4964">
        <w:rPr>
          <w:rFonts w:ascii="Times New Roman" w:hAnsi="Times New Roman" w:cs="Times New Roman"/>
          <w:szCs w:val="24"/>
        </w:rPr>
        <w:t>Demarzo</w:t>
      </w:r>
      <w:proofErr w:type="spellEnd"/>
      <w:r w:rsidRPr="002B4964">
        <w:rPr>
          <w:rFonts w:ascii="Times New Roman" w:hAnsi="Times New Roman" w:cs="Times New Roman"/>
          <w:szCs w:val="24"/>
        </w:rPr>
        <w:t>, 2020).</w:t>
      </w:r>
    </w:p>
    <w:tbl>
      <w:tblPr>
        <w:tblStyle w:val="TableGrid"/>
        <w:tblW w:w="9355" w:type="dxa"/>
        <w:tblLook w:val="04A0" w:firstRow="1" w:lastRow="0" w:firstColumn="1" w:lastColumn="0" w:noHBand="0" w:noVBand="1"/>
      </w:tblPr>
      <w:tblGrid>
        <w:gridCol w:w="4045"/>
        <w:gridCol w:w="2520"/>
        <w:gridCol w:w="2790"/>
      </w:tblGrid>
      <w:tr w:rsidR="003405CF" w:rsidRPr="002B4964" w14:paraId="7B929EB8" w14:textId="77777777" w:rsidTr="00EE10B0">
        <w:tc>
          <w:tcPr>
            <w:tcW w:w="4045" w:type="dxa"/>
            <w:shd w:val="clear" w:color="auto" w:fill="262626" w:themeFill="text1" w:themeFillTint="D9"/>
            <w:vAlign w:val="center"/>
          </w:tcPr>
          <w:p w14:paraId="21749858"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520" w:type="dxa"/>
            <w:shd w:val="clear" w:color="auto" w:fill="262626" w:themeFill="text1" w:themeFillTint="D9"/>
            <w:vAlign w:val="center"/>
          </w:tcPr>
          <w:p w14:paraId="11053E5D"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113639D3" w14:textId="4E4052E1"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6855046E"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2097D351" w14:textId="7F649105"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3405CF" w:rsidRPr="002B4964" w14:paraId="232584E9" w14:textId="77777777" w:rsidTr="00EE10B0">
        <w:tc>
          <w:tcPr>
            <w:tcW w:w="4045" w:type="dxa"/>
            <w:shd w:val="clear" w:color="auto" w:fill="A6A6A6" w:themeFill="background1" w:themeFillShade="A6"/>
            <w:vAlign w:val="center"/>
          </w:tcPr>
          <w:p w14:paraId="42DFDFF2" w14:textId="36CB5A96" w:rsidR="003405CF"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{Total Debt}</m:t>
                    </m:r>
                  </m:num>
                  <m:den>
                    <m:r>
                      <m:rPr>
                        <m:nor/>
                      </m:rPr>
                      <w:rPr>
                        <w:rFonts w:ascii="Times New Roman" w:hAnsi="Times New Roman" w:cs="Times New Roman"/>
                        <w:szCs w:val="24"/>
                      </w:rPr>
                      <m:t>{Total Assets}</m:t>
                    </m:r>
                  </m:den>
                </m:f>
              </m:oMath>
            </m:oMathPara>
          </w:p>
        </w:tc>
        <w:tc>
          <w:tcPr>
            <w:tcW w:w="2520" w:type="dxa"/>
          </w:tcPr>
          <w:p w14:paraId="219F1E5C" w14:textId="3FC460B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24,271</w:t>
            </w:r>
            <w:r w:rsidRPr="002B4964">
              <w:rPr>
                <w:rFonts w:ascii="Times New Roman" w:hAnsi="Times New Roman" w:cs="Times New Roman"/>
                <w:szCs w:val="24"/>
              </w:rPr>
              <w:t>÷</w:t>
            </w:r>
            <w:r w:rsidR="008C750D" w:rsidRPr="002B4964">
              <w:rPr>
                <w:rFonts w:ascii="Times New Roman" w:hAnsi="Times New Roman" w:cs="Times New Roman"/>
                <w:szCs w:val="24"/>
              </w:rPr>
              <w:t>24,701</w:t>
            </w:r>
            <w:r w:rsidRPr="002B4964">
              <w:rPr>
                <w:rFonts w:ascii="Times New Roman" w:hAnsi="Times New Roman" w:cs="Times New Roman"/>
                <w:szCs w:val="24"/>
              </w:rPr>
              <w:t>]</w:t>
            </w:r>
          </w:p>
        </w:tc>
        <w:tc>
          <w:tcPr>
            <w:tcW w:w="2790" w:type="dxa"/>
          </w:tcPr>
          <w:p w14:paraId="705C61EC" w14:textId="210B13FF"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24,139</w:t>
            </w:r>
            <w:r w:rsidRPr="002B4964">
              <w:rPr>
                <w:rFonts w:ascii="Times New Roman" w:hAnsi="Times New Roman" w:cs="Times New Roman"/>
                <w:szCs w:val="24"/>
              </w:rPr>
              <w:t>÷</w:t>
            </w:r>
            <w:r w:rsidR="008C750D" w:rsidRPr="002B4964">
              <w:rPr>
                <w:rFonts w:ascii="Times New Roman" w:hAnsi="Times New Roman" w:cs="Times New Roman"/>
                <w:szCs w:val="24"/>
              </w:rPr>
              <w:t>25,553</w:t>
            </w:r>
            <w:r w:rsidRPr="002B4964">
              <w:rPr>
                <w:rFonts w:ascii="Times New Roman" w:hAnsi="Times New Roman" w:cs="Times New Roman"/>
                <w:szCs w:val="24"/>
              </w:rPr>
              <w:t>]</w:t>
            </w:r>
          </w:p>
        </w:tc>
      </w:tr>
      <w:tr w:rsidR="003405CF" w:rsidRPr="002B4964" w14:paraId="2FF3565B" w14:textId="77777777" w:rsidTr="00EE10B0">
        <w:tc>
          <w:tcPr>
            <w:tcW w:w="4045" w:type="dxa"/>
            <w:shd w:val="clear" w:color="auto" w:fill="A6A6A6" w:themeFill="background1" w:themeFillShade="A6"/>
          </w:tcPr>
          <w:p w14:paraId="7168A0F4" w14:textId="77777777" w:rsidR="003405CF" w:rsidRPr="002B4964" w:rsidRDefault="003405CF"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55F3A753" w14:textId="6D5CC9C3" w:rsidR="003405CF"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0.98</w:t>
            </w:r>
          </w:p>
        </w:tc>
        <w:tc>
          <w:tcPr>
            <w:tcW w:w="2790" w:type="dxa"/>
          </w:tcPr>
          <w:p w14:paraId="7F671090" w14:textId="225B5F7A" w:rsidR="003405CF"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0.94</w:t>
            </w:r>
          </w:p>
        </w:tc>
      </w:tr>
    </w:tbl>
    <w:p w14:paraId="1F8DFC50" w14:textId="6D542DEC" w:rsidR="006A0847" w:rsidRPr="002B4964" w:rsidRDefault="006A0847" w:rsidP="002B4964">
      <w:pPr>
        <w:spacing w:line="276" w:lineRule="auto"/>
        <w:rPr>
          <w:rFonts w:ascii="Times New Roman" w:hAnsi="Times New Roman" w:cs="Times New Roman"/>
          <w:szCs w:val="24"/>
        </w:rPr>
      </w:pPr>
      <w:r w:rsidRPr="002B4964">
        <w:rPr>
          <w:rFonts w:ascii="Times New Roman" w:hAnsi="Times New Roman" w:cs="Times New Roman"/>
          <w:szCs w:val="24"/>
        </w:rPr>
        <w:t>Figure 13: Debt Ratio (Source: Author)</w:t>
      </w:r>
    </w:p>
    <w:p w14:paraId="74896FB1" w14:textId="0B057276" w:rsidR="008E0D79" w:rsidRPr="002B4964" w:rsidRDefault="006A0847" w:rsidP="002B4964">
      <w:pPr>
        <w:spacing w:line="276" w:lineRule="auto"/>
        <w:rPr>
          <w:rFonts w:ascii="Times New Roman" w:hAnsi="Times New Roman" w:cs="Times New Roman"/>
          <w:szCs w:val="24"/>
        </w:rPr>
      </w:pPr>
      <w:r w:rsidRPr="002B4964">
        <w:rPr>
          <w:rFonts w:ascii="Times New Roman" w:hAnsi="Times New Roman" w:cs="Times New Roman"/>
          <w:szCs w:val="24"/>
        </w:rPr>
        <w:t>A slight decrease in debt ratio in figure 13 indicates that Marriott International has less debt and less leverage compared to the previous year. The company has a lower bankruptcy risk in 2021 and the capital has been funded more from equity sources.</w:t>
      </w:r>
    </w:p>
    <w:p w14:paraId="1F2F508B" w14:textId="02FCBA57" w:rsidR="008E0D79" w:rsidRPr="002B4964" w:rsidRDefault="008E0D79"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2. Debt to Equity Ratio</w:t>
      </w:r>
    </w:p>
    <w:p w14:paraId="348555E7" w14:textId="7EDBF4C3" w:rsidR="00220F31" w:rsidRPr="002B4964" w:rsidRDefault="006A0847" w:rsidP="002B4964">
      <w:pPr>
        <w:spacing w:line="276" w:lineRule="auto"/>
        <w:rPr>
          <w:rFonts w:ascii="Times New Roman" w:hAnsi="Times New Roman" w:cs="Times New Roman"/>
          <w:szCs w:val="24"/>
        </w:rPr>
      </w:pPr>
      <w:r w:rsidRPr="002B4964">
        <w:rPr>
          <w:rFonts w:ascii="Times New Roman" w:hAnsi="Times New Roman" w:cs="Times New Roman"/>
          <w:szCs w:val="24"/>
        </w:rPr>
        <w:t>It indicates the extent to which a business relies on debt funding, as opposed to its own funds, to run its daily operations (Titman, Martin, Keown, &amp; Martin, 2018).</w:t>
      </w:r>
    </w:p>
    <w:tbl>
      <w:tblPr>
        <w:tblStyle w:val="TableGrid"/>
        <w:tblW w:w="9355" w:type="dxa"/>
        <w:tblLook w:val="04A0" w:firstRow="1" w:lastRow="0" w:firstColumn="1" w:lastColumn="0" w:noHBand="0" w:noVBand="1"/>
      </w:tblPr>
      <w:tblGrid>
        <w:gridCol w:w="4045"/>
        <w:gridCol w:w="2520"/>
        <w:gridCol w:w="2790"/>
      </w:tblGrid>
      <w:tr w:rsidR="003405CF" w:rsidRPr="002B4964" w14:paraId="4CFDDCEF" w14:textId="77777777" w:rsidTr="00EE10B0">
        <w:tc>
          <w:tcPr>
            <w:tcW w:w="4045" w:type="dxa"/>
            <w:shd w:val="clear" w:color="auto" w:fill="262626" w:themeFill="text1" w:themeFillTint="D9"/>
            <w:vAlign w:val="center"/>
          </w:tcPr>
          <w:p w14:paraId="30014B77"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520" w:type="dxa"/>
            <w:shd w:val="clear" w:color="auto" w:fill="262626" w:themeFill="text1" w:themeFillTint="D9"/>
            <w:vAlign w:val="center"/>
          </w:tcPr>
          <w:p w14:paraId="3CB8E8E6"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1CCBA323" w14:textId="6E586182"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4B3E388D"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2D0C53F6" w14:textId="082A9CC9"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3405CF" w:rsidRPr="002B4964" w14:paraId="086FBDB3" w14:textId="77777777" w:rsidTr="00EE10B0">
        <w:tc>
          <w:tcPr>
            <w:tcW w:w="4045" w:type="dxa"/>
            <w:shd w:val="clear" w:color="auto" w:fill="A6A6A6" w:themeFill="background1" w:themeFillShade="A6"/>
            <w:vAlign w:val="center"/>
          </w:tcPr>
          <w:p w14:paraId="42118B20" w14:textId="57AF562B" w:rsidR="003405CF"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{Total Debt}</m:t>
                    </m:r>
                  </m:num>
                  <m:den>
                    <m:r>
                      <m:rPr>
                        <m:nor/>
                      </m:rPr>
                      <w:rPr>
                        <w:rFonts w:ascii="Times New Roman" w:hAnsi="Times New Roman" w:cs="Times New Roman"/>
                        <w:szCs w:val="24"/>
                      </w:rPr>
                      <m:t>{Total Equity}</m:t>
                    </m:r>
                  </m:den>
                </m:f>
              </m:oMath>
            </m:oMathPara>
          </w:p>
        </w:tc>
        <w:tc>
          <w:tcPr>
            <w:tcW w:w="2520" w:type="dxa"/>
          </w:tcPr>
          <w:p w14:paraId="36131D59" w14:textId="570378F1"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24,271</w:t>
            </w:r>
            <w:r w:rsidRPr="002B4964">
              <w:rPr>
                <w:rFonts w:ascii="Times New Roman" w:hAnsi="Times New Roman" w:cs="Times New Roman"/>
                <w:szCs w:val="24"/>
              </w:rPr>
              <w:t>÷</w:t>
            </w:r>
            <w:r w:rsidR="008C750D" w:rsidRPr="002B4964">
              <w:rPr>
                <w:rFonts w:ascii="Times New Roman" w:hAnsi="Times New Roman" w:cs="Times New Roman"/>
                <w:szCs w:val="24"/>
              </w:rPr>
              <w:t>430</w:t>
            </w:r>
            <w:r w:rsidRPr="002B4964">
              <w:rPr>
                <w:rFonts w:ascii="Times New Roman" w:hAnsi="Times New Roman" w:cs="Times New Roman"/>
                <w:szCs w:val="24"/>
              </w:rPr>
              <w:t>]</w:t>
            </w:r>
          </w:p>
        </w:tc>
        <w:tc>
          <w:tcPr>
            <w:tcW w:w="2790" w:type="dxa"/>
          </w:tcPr>
          <w:p w14:paraId="1659A731" w14:textId="5EE2E085"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w:t>
            </w:r>
            <w:r w:rsidR="008C750D" w:rsidRPr="002B4964">
              <w:rPr>
                <w:rFonts w:ascii="Times New Roman" w:hAnsi="Times New Roman" w:cs="Times New Roman"/>
                <w:szCs w:val="24"/>
              </w:rPr>
              <w:t>4,139</w:t>
            </w:r>
            <w:r w:rsidRPr="002B4964">
              <w:rPr>
                <w:rFonts w:ascii="Times New Roman" w:hAnsi="Times New Roman" w:cs="Times New Roman"/>
                <w:szCs w:val="24"/>
              </w:rPr>
              <w:t>÷</w:t>
            </w:r>
            <w:r w:rsidR="008C750D" w:rsidRPr="002B4964">
              <w:rPr>
                <w:rFonts w:ascii="Times New Roman" w:hAnsi="Times New Roman" w:cs="Times New Roman"/>
                <w:szCs w:val="24"/>
              </w:rPr>
              <w:t>1414</w:t>
            </w:r>
            <w:r w:rsidRPr="002B4964">
              <w:rPr>
                <w:rFonts w:ascii="Times New Roman" w:hAnsi="Times New Roman" w:cs="Times New Roman"/>
                <w:szCs w:val="24"/>
              </w:rPr>
              <w:t>]</w:t>
            </w:r>
          </w:p>
        </w:tc>
      </w:tr>
      <w:tr w:rsidR="003405CF" w:rsidRPr="002B4964" w14:paraId="1A71F945" w14:textId="77777777" w:rsidTr="00EE10B0">
        <w:tc>
          <w:tcPr>
            <w:tcW w:w="4045" w:type="dxa"/>
            <w:shd w:val="clear" w:color="auto" w:fill="A6A6A6" w:themeFill="background1" w:themeFillShade="A6"/>
          </w:tcPr>
          <w:p w14:paraId="41CD26A9" w14:textId="77777777" w:rsidR="003405CF" w:rsidRPr="002B4964" w:rsidRDefault="003405CF"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765108CB" w14:textId="19457838" w:rsidR="003405CF"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56.44</w:t>
            </w:r>
          </w:p>
        </w:tc>
        <w:tc>
          <w:tcPr>
            <w:tcW w:w="2790" w:type="dxa"/>
          </w:tcPr>
          <w:p w14:paraId="1DCB4710" w14:textId="70454A7C" w:rsidR="003405CF"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17.07</w:t>
            </w:r>
          </w:p>
        </w:tc>
      </w:tr>
    </w:tbl>
    <w:p w14:paraId="447BB145" w14:textId="40D50C57" w:rsidR="006A0847" w:rsidRPr="002B4964" w:rsidRDefault="006A0847" w:rsidP="002B4964">
      <w:pPr>
        <w:spacing w:line="276" w:lineRule="auto"/>
        <w:rPr>
          <w:rFonts w:ascii="Times New Roman" w:hAnsi="Times New Roman" w:cs="Times New Roman"/>
          <w:szCs w:val="24"/>
        </w:rPr>
      </w:pPr>
      <w:r w:rsidRPr="002B4964">
        <w:rPr>
          <w:rFonts w:ascii="Times New Roman" w:hAnsi="Times New Roman" w:cs="Times New Roman"/>
          <w:szCs w:val="24"/>
        </w:rPr>
        <w:t>Figure 14: Debt to Equity Ratio (Source: Author)</w:t>
      </w:r>
    </w:p>
    <w:p w14:paraId="228E9945" w14:textId="214FC853" w:rsidR="00480324"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t>The debt-to-equity ratio has declined in 2021 as demonstrated by figure 14. The decline in the ratio indicates that the company is repaying the loans and funding the required capital from equity sources.</w:t>
      </w:r>
    </w:p>
    <w:p w14:paraId="011E135D" w14:textId="77777777" w:rsidR="00E40C64" w:rsidRPr="002B4964" w:rsidRDefault="00E40C64" w:rsidP="002B4964">
      <w:pPr>
        <w:spacing w:line="276" w:lineRule="auto"/>
        <w:rPr>
          <w:rFonts w:ascii="Times New Roman" w:hAnsi="Times New Roman" w:cs="Times New Roman"/>
          <w:szCs w:val="24"/>
        </w:rPr>
      </w:pPr>
    </w:p>
    <w:p w14:paraId="561FA998" w14:textId="46C2104E" w:rsidR="008E0D79" w:rsidRPr="002B4964" w:rsidRDefault="008E0D79" w:rsidP="002B4964">
      <w:pPr>
        <w:spacing w:line="276" w:lineRule="auto"/>
        <w:rPr>
          <w:rFonts w:ascii="Times New Roman" w:hAnsi="Times New Roman" w:cs="Times New Roman"/>
          <w:i/>
          <w:iCs/>
          <w:szCs w:val="24"/>
        </w:rPr>
      </w:pPr>
      <w:r w:rsidRPr="002B4964">
        <w:rPr>
          <w:rFonts w:ascii="Times New Roman" w:hAnsi="Times New Roman" w:cs="Times New Roman"/>
          <w:i/>
          <w:iCs/>
          <w:szCs w:val="24"/>
        </w:rPr>
        <w:t xml:space="preserve">3. Interest </w:t>
      </w:r>
      <w:r w:rsidR="003405CF" w:rsidRPr="002B4964">
        <w:rPr>
          <w:rFonts w:ascii="Times New Roman" w:hAnsi="Times New Roman" w:cs="Times New Roman"/>
          <w:i/>
          <w:iCs/>
          <w:szCs w:val="24"/>
        </w:rPr>
        <w:t>Coverage Ratio</w:t>
      </w:r>
    </w:p>
    <w:p w14:paraId="1DF861BF" w14:textId="5D71F5A9" w:rsidR="00220F31"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t>The solvency or gearing ratio is an important indicator to both investors and creditors of a company's ability to pay its interest costs out of its operational revenue before taxes (Brigham and Houston, 2012).</w:t>
      </w:r>
    </w:p>
    <w:tbl>
      <w:tblPr>
        <w:tblStyle w:val="TableGrid"/>
        <w:tblW w:w="9355" w:type="dxa"/>
        <w:tblLook w:val="04A0" w:firstRow="1" w:lastRow="0" w:firstColumn="1" w:lastColumn="0" w:noHBand="0" w:noVBand="1"/>
      </w:tblPr>
      <w:tblGrid>
        <w:gridCol w:w="4045"/>
        <w:gridCol w:w="2520"/>
        <w:gridCol w:w="2790"/>
      </w:tblGrid>
      <w:tr w:rsidR="003405CF" w:rsidRPr="002B4964" w14:paraId="2CA5A5D0" w14:textId="77777777" w:rsidTr="00EE10B0">
        <w:tc>
          <w:tcPr>
            <w:tcW w:w="4045" w:type="dxa"/>
            <w:shd w:val="clear" w:color="auto" w:fill="262626" w:themeFill="text1" w:themeFillTint="D9"/>
            <w:vAlign w:val="center"/>
          </w:tcPr>
          <w:p w14:paraId="2C2540F7"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Formula</w:t>
            </w:r>
          </w:p>
        </w:tc>
        <w:tc>
          <w:tcPr>
            <w:tcW w:w="2520" w:type="dxa"/>
            <w:shd w:val="clear" w:color="auto" w:fill="262626" w:themeFill="text1" w:themeFillTint="D9"/>
            <w:vAlign w:val="center"/>
          </w:tcPr>
          <w:p w14:paraId="2C3A0BE3"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[2020Y]</w:t>
            </w:r>
          </w:p>
          <w:p w14:paraId="49E6DA3B" w14:textId="18B9B175"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c>
          <w:tcPr>
            <w:tcW w:w="2790" w:type="dxa"/>
            <w:shd w:val="clear" w:color="auto" w:fill="262626" w:themeFill="text1" w:themeFillTint="D9"/>
            <w:vAlign w:val="center"/>
          </w:tcPr>
          <w:p w14:paraId="384EF050" w14:textId="7777777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[2021Y]</w:t>
            </w:r>
          </w:p>
          <w:p w14:paraId="4765EF99" w14:textId="02C7B297"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EE10B0" w:rsidRPr="002B4964">
              <w:rPr>
                <w:rFonts w:ascii="Times New Roman" w:hAnsi="Times New Roman" w:cs="Times New Roman"/>
                <w:szCs w:val="24"/>
              </w:rPr>
              <w:t>$</w:t>
            </w:r>
            <w:r w:rsidRPr="002B4964">
              <w:rPr>
                <w:rFonts w:ascii="Times New Roman" w:hAnsi="Times New Roman" w:cs="Times New Roman"/>
                <w:szCs w:val="24"/>
              </w:rPr>
              <w:t>m)</w:t>
            </w:r>
          </w:p>
        </w:tc>
      </w:tr>
      <w:tr w:rsidR="003405CF" w:rsidRPr="002B4964" w14:paraId="47A8B4F5" w14:textId="77777777" w:rsidTr="00EE10B0">
        <w:tc>
          <w:tcPr>
            <w:tcW w:w="4045" w:type="dxa"/>
            <w:shd w:val="clear" w:color="auto" w:fill="A6A6A6" w:themeFill="background1" w:themeFillShade="A6"/>
            <w:vAlign w:val="center"/>
          </w:tcPr>
          <w:p w14:paraId="69D6DF3F" w14:textId="3D1982A7" w:rsidR="003405CF"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{Profit Before Interest and Taxes}</m:t>
                    </m:r>
                  </m:num>
                  <m:den>
                    <m:r>
                      <m:rPr>
                        <m:nor/>
                      </m:rPr>
                      <w:rPr>
                        <w:rFonts w:ascii="Times New Roman" w:hAnsi="Times New Roman" w:cs="Times New Roman"/>
                        <w:szCs w:val="24"/>
                      </w:rPr>
                      <m:t>{Interest Expense}</m:t>
                    </m:r>
                  </m:den>
                </m:f>
              </m:oMath>
            </m:oMathPara>
          </w:p>
        </w:tc>
        <w:tc>
          <w:tcPr>
            <w:tcW w:w="2520" w:type="dxa"/>
          </w:tcPr>
          <w:p w14:paraId="733F670C" w14:textId="19F73FC3"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w:t>
            </w:r>
            <w:r w:rsidR="00F2138A" w:rsidRPr="002B4964">
              <w:rPr>
                <w:rFonts w:ascii="Times New Roman" w:hAnsi="Times New Roman" w:cs="Times New Roman"/>
                <w:szCs w:val="24"/>
              </w:rPr>
              <w:t>21</w:t>
            </w:r>
            <w:r w:rsidRPr="002B4964">
              <w:rPr>
                <w:rFonts w:ascii="Times New Roman" w:hAnsi="Times New Roman" w:cs="Times New Roman"/>
                <w:szCs w:val="24"/>
              </w:rPr>
              <w:t>÷</w:t>
            </w:r>
            <w:r w:rsidR="008C750D" w:rsidRPr="002B4964">
              <w:rPr>
                <w:rFonts w:ascii="Times New Roman" w:hAnsi="Times New Roman" w:cs="Times New Roman"/>
                <w:szCs w:val="24"/>
              </w:rPr>
              <w:t>445</w:t>
            </w:r>
            <w:r w:rsidRPr="002B4964">
              <w:rPr>
                <w:rFonts w:ascii="Times New Roman" w:hAnsi="Times New Roman" w:cs="Times New Roman"/>
                <w:szCs w:val="24"/>
              </w:rPr>
              <w:t>]</w:t>
            </w:r>
          </w:p>
        </w:tc>
        <w:tc>
          <w:tcPr>
            <w:tcW w:w="2790" w:type="dxa"/>
          </w:tcPr>
          <w:p w14:paraId="62613E87" w14:textId="43537BED" w:rsidR="003405CF" w:rsidRPr="002B4964" w:rsidRDefault="003405CF" w:rsidP="002B4964">
            <w:pPr>
              <w:spacing w:line="276" w:lineRule="auto"/>
              <w:rPr>
                <w:rFonts w:ascii="Times New Roman" w:hAnsi="Times New Roman" w:cs="Times New Roman"/>
                <w:szCs w:val="24"/>
              </w:rPr>
            </w:pPr>
            <w:r w:rsidRPr="002B4964">
              <w:rPr>
                <w:rFonts w:ascii="Times New Roman" w:hAnsi="Times New Roman" w:cs="Times New Roman"/>
                <w:szCs w:val="24"/>
              </w:rPr>
              <w:t>[</w:t>
            </w:r>
            <w:r w:rsidR="008C750D" w:rsidRPr="002B4964">
              <w:rPr>
                <w:rFonts w:ascii="Times New Roman" w:hAnsi="Times New Roman" w:cs="Times New Roman"/>
                <w:szCs w:val="24"/>
              </w:rPr>
              <w:t>1</w:t>
            </w:r>
            <w:r w:rsidR="00F2138A" w:rsidRPr="002B4964">
              <w:rPr>
                <w:rFonts w:ascii="Times New Roman" w:hAnsi="Times New Roman" w:cs="Times New Roman"/>
                <w:szCs w:val="24"/>
              </w:rPr>
              <w:t>900</w:t>
            </w:r>
            <w:r w:rsidRPr="002B4964">
              <w:rPr>
                <w:rFonts w:ascii="Times New Roman" w:hAnsi="Times New Roman" w:cs="Times New Roman"/>
                <w:szCs w:val="24"/>
              </w:rPr>
              <w:t>÷</w:t>
            </w:r>
            <w:r w:rsidR="008C750D" w:rsidRPr="002B4964">
              <w:rPr>
                <w:rFonts w:ascii="Times New Roman" w:hAnsi="Times New Roman" w:cs="Times New Roman"/>
                <w:szCs w:val="24"/>
              </w:rPr>
              <w:t>420</w:t>
            </w:r>
            <w:r w:rsidRPr="002B4964">
              <w:rPr>
                <w:rFonts w:ascii="Times New Roman" w:hAnsi="Times New Roman" w:cs="Times New Roman"/>
                <w:szCs w:val="24"/>
              </w:rPr>
              <w:t>]</w:t>
            </w:r>
          </w:p>
        </w:tc>
      </w:tr>
      <w:tr w:rsidR="003405CF" w:rsidRPr="002B4964" w14:paraId="7730739D" w14:textId="77777777" w:rsidTr="00EE10B0">
        <w:tc>
          <w:tcPr>
            <w:tcW w:w="4045" w:type="dxa"/>
            <w:shd w:val="clear" w:color="auto" w:fill="A6A6A6" w:themeFill="background1" w:themeFillShade="A6"/>
          </w:tcPr>
          <w:p w14:paraId="2E32F4C5" w14:textId="77777777" w:rsidR="003405CF" w:rsidRPr="002B4964" w:rsidRDefault="003405CF"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Ratio</w:t>
            </w:r>
          </w:p>
        </w:tc>
        <w:tc>
          <w:tcPr>
            <w:tcW w:w="2520" w:type="dxa"/>
          </w:tcPr>
          <w:p w14:paraId="73E4F444" w14:textId="56743DBE" w:rsidR="003405CF" w:rsidRPr="002B4964" w:rsidRDefault="00F2138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-0.47</w:t>
            </w:r>
          </w:p>
        </w:tc>
        <w:tc>
          <w:tcPr>
            <w:tcW w:w="2790" w:type="dxa"/>
          </w:tcPr>
          <w:p w14:paraId="317BD894" w14:textId="6857153B" w:rsidR="003405CF" w:rsidRPr="002B4964" w:rsidRDefault="00F2138A"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4.52</w:t>
            </w:r>
          </w:p>
        </w:tc>
      </w:tr>
    </w:tbl>
    <w:p w14:paraId="6F4156DA" w14:textId="60F33CC7" w:rsidR="00F2138A"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t>Figure 15: Interest Coverage Ratio (Source: Author)</w:t>
      </w:r>
    </w:p>
    <w:p w14:paraId="22F7E63B" w14:textId="539AC262" w:rsidR="003405CF"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lastRenderedPageBreak/>
        <w:t xml:space="preserve">Figure 15 demonstrates that the interest coverage ratio has increased in 2021 </w:t>
      </w:r>
      <w:r w:rsidR="003F0AF6" w:rsidRPr="002B4964">
        <w:rPr>
          <w:rFonts w:ascii="Times New Roman" w:hAnsi="Times New Roman" w:cs="Times New Roman"/>
          <w:szCs w:val="24"/>
        </w:rPr>
        <w:t>indicating</w:t>
      </w:r>
      <w:r w:rsidRPr="002B4964">
        <w:rPr>
          <w:rFonts w:ascii="Times New Roman" w:hAnsi="Times New Roman" w:cs="Times New Roman"/>
          <w:szCs w:val="24"/>
        </w:rPr>
        <w:t xml:space="preserve"> that the company has </w:t>
      </w:r>
      <w:r w:rsidR="003F0AF6" w:rsidRPr="002B4964">
        <w:rPr>
          <w:rFonts w:ascii="Times New Roman" w:hAnsi="Times New Roman" w:cs="Times New Roman"/>
          <w:szCs w:val="24"/>
        </w:rPr>
        <w:t>a better</w:t>
      </w:r>
      <w:r w:rsidRPr="002B4964">
        <w:rPr>
          <w:rFonts w:ascii="Times New Roman" w:hAnsi="Times New Roman" w:cs="Times New Roman"/>
          <w:szCs w:val="24"/>
        </w:rPr>
        <w:t xml:space="preserve"> ability to pay the interest expenses from profit earning.</w:t>
      </w:r>
    </w:p>
    <w:p w14:paraId="1DAF7CE2" w14:textId="438C40E9" w:rsidR="00DB794B" w:rsidRPr="002B4964" w:rsidRDefault="003C3D83" w:rsidP="002B4964">
      <w:pPr>
        <w:pStyle w:val="Heading1"/>
        <w:spacing w:line="276" w:lineRule="auto"/>
        <w:rPr>
          <w:rFonts w:ascii="Times New Roman" w:hAnsi="Times New Roman" w:cs="Times New Roman"/>
          <w:sz w:val="24"/>
          <w:szCs w:val="24"/>
        </w:rPr>
      </w:pPr>
      <w:bookmarkStart w:id="22" w:name="_Toc94728147"/>
      <w:bookmarkStart w:id="23" w:name="_Toc104625880"/>
      <w:bookmarkStart w:id="24" w:name="_Toc118535072"/>
      <w:r w:rsidRPr="002B4964">
        <w:rPr>
          <w:rFonts w:ascii="Times New Roman" w:hAnsi="Times New Roman" w:cs="Times New Roman"/>
          <w:sz w:val="24"/>
          <w:szCs w:val="24"/>
        </w:rPr>
        <w:t xml:space="preserve">3.0 </w:t>
      </w:r>
      <w:r w:rsidR="00DB794B" w:rsidRPr="002B4964">
        <w:rPr>
          <w:rFonts w:ascii="Times New Roman" w:hAnsi="Times New Roman" w:cs="Times New Roman"/>
          <w:sz w:val="24"/>
          <w:szCs w:val="24"/>
        </w:rPr>
        <w:t>Financial Analysis Trend</w:t>
      </w:r>
      <w:bookmarkEnd w:id="22"/>
      <w:bookmarkEnd w:id="23"/>
      <w:bookmarkEnd w:id="24"/>
    </w:p>
    <w:p w14:paraId="27823091" w14:textId="01EEE6E2" w:rsidR="00480324" w:rsidRPr="002B4964" w:rsidRDefault="00480324" w:rsidP="002B4964">
      <w:pPr>
        <w:spacing w:line="276" w:lineRule="auto"/>
        <w:rPr>
          <w:rFonts w:ascii="Times New Roman" w:hAnsi="Times New Roman" w:cs="Times New Roman"/>
          <w:szCs w:val="24"/>
        </w:rPr>
      </w:pPr>
      <w:bookmarkStart w:id="25" w:name="_Toc94728148"/>
      <w:bookmarkStart w:id="26" w:name="_Toc104625881"/>
      <w:r w:rsidRPr="002B4964">
        <w:rPr>
          <w:rFonts w:ascii="Times New Roman" w:hAnsi="Times New Roman" w:cs="Times New Roman"/>
          <w:szCs w:val="24"/>
        </w:rPr>
        <w:t>The trend derived from the prior horizontal ratio study based on efficiency, profitability, liquidity, and gearing considerations is shown below.</w:t>
      </w:r>
    </w:p>
    <w:p w14:paraId="4840CD68" w14:textId="6F8DA1B9" w:rsidR="00DB794B" w:rsidRPr="002B4964" w:rsidRDefault="003C3D83"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3.1 </w:t>
      </w:r>
      <w:r w:rsidR="00DB794B" w:rsidRPr="002B4964">
        <w:rPr>
          <w:rFonts w:ascii="Times New Roman" w:hAnsi="Times New Roman" w:cs="Times New Roman"/>
          <w:b/>
          <w:bCs/>
          <w:szCs w:val="24"/>
        </w:rPr>
        <w:t>Profitability</w:t>
      </w:r>
      <w:bookmarkEnd w:id="25"/>
      <w:bookmarkEnd w:id="26"/>
      <w:r w:rsidRPr="002B4964">
        <w:rPr>
          <w:rFonts w:ascii="Times New Roman" w:hAnsi="Times New Roman" w:cs="Times New Roman"/>
          <w:b/>
          <w:bCs/>
          <w:szCs w:val="24"/>
        </w:rPr>
        <w:t xml:space="preserve"> Analysis</w:t>
      </w:r>
    </w:p>
    <w:p w14:paraId="7914FD4C" w14:textId="77777777" w:rsidR="00DB794B" w:rsidRPr="002B4964" w:rsidRDefault="00DB794B" w:rsidP="002B4964">
      <w:pPr>
        <w:spacing w:line="276" w:lineRule="auto"/>
        <w:rPr>
          <w:rFonts w:ascii="Times New Roman" w:hAnsi="Times New Roman" w:cs="Times New Roman"/>
          <w:szCs w:val="24"/>
        </w:rPr>
      </w:pPr>
      <w:r w:rsidRPr="002B4964">
        <w:rPr>
          <w:rFonts w:ascii="Times New Roman" w:hAnsi="Times New Roman" w:cs="Times New Roman"/>
          <w:szCs w:val="24"/>
        </w:rPr>
        <w:t>Here go the summarized values for 2020 and 2019:</w:t>
      </w:r>
    </w:p>
    <w:tbl>
      <w:tblPr>
        <w:tblStyle w:val="TableGrid"/>
        <w:tblW w:w="10309" w:type="dxa"/>
        <w:tblInd w:w="-272" w:type="dxa"/>
        <w:tblCellMar>
          <w:left w:w="58" w:type="dxa"/>
          <w:right w:w="58" w:type="dxa"/>
        </w:tblCellMar>
        <w:tblLook w:val="04A0" w:firstRow="1" w:lastRow="0" w:firstColumn="1" w:lastColumn="0" w:noHBand="0" w:noVBand="1"/>
      </w:tblPr>
      <w:tblGrid>
        <w:gridCol w:w="1582"/>
        <w:gridCol w:w="4805"/>
        <w:gridCol w:w="1350"/>
        <w:gridCol w:w="1231"/>
        <w:gridCol w:w="1341"/>
      </w:tblGrid>
      <w:tr w:rsidR="003C3D83" w:rsidRPr="002B4964" w14:paraId="2AC20546" w14:textId="77777777" w:rsidTr="002F50CD">
        <w:trPr>
          <w:trHeight w:val="437"/>
        </w:trPr>
        <w:tc>
          <w:tcPr>
            <w:tcW w:w="10309" w:type="dxa"/>
            <w:gridSpan w:val="5"/>
            <w:shd w:val="clear" w:color="auto" w:fill="262626" w:themeFill="text1" w:themeFillTint="D9"/>
            <w:vAlign w:val="center"/>
          </w:tcPr>
          <w:p w14:paraId="5F0A573F" w14:textId="386CD267" w:rsidR="003C3D83" w:rsidRPr="002B4964" w:rsidRDefault="003C3D83" w:rsidP="002B4964">
            <w:pPr>
              <w:spacing w:line="276" w:lineRule="auto"/>
              <w:rPr>
                <w:rFonts w:ascii="Times New Roman" w:hAnsi="Times New Roman" w:cs="Times New Roman"/>
                <w:b/>
                <w:bCs/>
                <w:szCs w:val="24"/>
              </w:rPr>
            </w:pPr>
            <w:bookmarkStart w:id="27" w:name="_Hlk118522232"/>
            <w:r w:rsidRPr="002B4964">
              <w:rPr>
                <w:rFonts w:ascii="Times New Roman" w:hAnsi="Times New Roman" w:cs="Times New Roman"/>
                <w:b/>
                <w:bCs/>
                <w:szCs w:val="24"/>
              </w:rPr>
              <w:t>Profitability Analysis</w:t>
            </w:r>
          </w:p>
        </w:tc>
      </w:tr>
      <w:tr w:rsidR="00EE10B0" w:rsidRPr="002B4964" w14:paraId="57528906" w14:textId="77777777" w:rsidTr="002F50CD">
        <w:trPr>
          <w:trHeight w:val="877"/>
        </w:trPr>
        <w:tc>
          <w:tcPr>
            <w:tcW w:w="1582" w:type="dxa"/>
            <w:shd w:val="clear" w:color="auto" w:fill="A6A6A6" w:themeFill="background1" w:themeFillShade="A6"/>
          </w:tcPr>
          <w:p w14:paraId="0C323ACC" w14:textId="77777777" w:rsidR="00EE10B0" w:rsidRPr="002B4964" w:rsidRDefault="00EE10B0" w:rsidP="002B4964">
            <w:pPr>
              <w:spacing w:line="276" w:lineRule="auto"/>
              <w:rPr>
                <w:rFonts w:ascii="Times New Roman" w:hAnsi="Times New Roman" w:cs="Times New Roman"/>
                <w:b/>
                <w:bCs/>
                <w:szCs w:val="24"/>
              </w:rPr>
            </w:pPr>
          </w:p>
        </w:tc>
        <w:tc>
          <w:tcPr>
            <w:tcW w:w="4805" w:type="dxa"/>
          </w:tcPr>
          <w:p w14:paraId="7E066944" w14:textId="77777777" w:rsidR="00EE10B0" w:rsidRPr="002B4964" w:rsidRDefault="00EE10B0" w:rsidP="002B4964">
            <w:pPr>
              <w:spacing w:line="276" w:lineRule="auto"/>
              <w:rPr>
                <w:rFonts w:ascii="Times New Roman" w:eastAsia="Calibri" w:hAnsi="Times New Roman" w:cs="Times New Roman"/>
                <w:szCs w:val="24"/>
              </w:rPr>
            </w:pPr>
          </w:p>
        </w:tc>
        <w:tc>
          <w:tcPr>
            <w:tcW w:w="1350" w:type="dxa"/>
          </w:tcPr>
          <w:p w14:paraId="570148A4" w14:textId="7A21AA33"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2020</w:t>
            </w:r>
          </w:p>
        </w:tc>
        <w:tc>
          <w:tcPr>
            <w:tcW w:w="1231" w:type="dxa"/>
          </w:tcPr>
          <w:p w14:paraId="674CADFE" w14:textId="1C7A4928"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2021 </w:t>
            </w:r>
          </w:p>
        </w:tc>
        <w:tc>
          <w:tcPr>
            <w:tcW w:w="1341" w:type="dxa"/>
          </w:tcPr>
          <w:p w14:paraId="03BBD121" w14:textId="12445D27"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Change</w:t>
            </w:r>
          </w:p>
        </w:tc>
      </w:tr>
      <w:tr w:rsidR="00EE10B0" w:rsidRPr="002B4964" w14:paraId="530AA2E2" w14:textId="77777777" w:rsidTr="002F50CD">
        <w:trPr>
          <w:trHeight w:val="877"/>
        </w:trPr>
        <w:tc>
          <w:tcPr>
            <w:tcW w:w="1582" w:type="dxa"/>
            <w:shd w:val="clear" w:color="auto" w:fill="A6A6A6" w:themeFill="background1" w:themeFillShade="A6"/>
          </w:tcPr>
          <w:p w14:paraId="70510BCB" w14:textId="1D86CC39"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Gross Margin</w:t>
            </w:r>
          </w:p>
        </w:tc>
        <w:tc>
          <w:tcPr>
            <w:tcW w:w="4805" w:type="dxa"/>
          </w:tcPr>
          <w:p w14:paraId="703E61E1" w14:textId="2C252EED"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{Gross Profit}</m:t>
                    </m:r>
                  </m:num>
                  <m:den>
                    <m:r>
                      <m:rPr>
                        <m:nor/>
                      </m:rPr>
                      <w:rPr>
                        <w:rFonts w:ascii="Times New Roman" w:hAnsi="Times New Roman" w:cs="Times New Roman"/>
                        <w:szCs w:val="24"/>
                      </w:rPr>
                      <m:t>{Revenue}</m:t>
                    </m:r>
                  </m:den>
                </m:f>
                <m:r>
                  <m:rPr>
                    <m:nor/>
                  </m:rPr>
                  <w:rPr>
                    <w:rFonts w:ascii="Times New Roman" w:hAnsi="Times New Roman" w:cs="Times New Roman"/>
                    <w:szCs w:val="24"/>
                  </w:rPr>
                  <m:t xml:space="preserve"> × 100</m:t>
                </m:r>
              </m:oMath>
            </m:oMathPara>
          </w:p>
        </w:tc>
        <w:tc>
          <w:tcPr>
            <w:tcW w:w="1350" w:type="dxa"/>
          </w:tcPr>
          <w:p w14:paraId="243DEDC0" w14:textId="61402FAA"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11.28%</w:t>
            </w:r>
          </w:p>
        </w:tc>
        <w:tc>
          <w:tcPr>
            <w:tcW w:w="1231" w:type="dxa"/>
          </w:tcPr>
          <w:p w14:paraId="76D69FB6" w14:textId="76718457"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20.16%</w:t>
            </w:r>
          </w:p>
        </w:tc>
        <w:tc>
          <w:tcPr>
            <w:tcW w:w="1341" w:type="dxa"/>
          </w:tcPr>
          <w:p w14:paraId="22B9F577" w14:textId="13BD13B5"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8.91%</w:t>
            </w:r>
          </w:p>
        </w:tc>
      </w:tr>
      <w:tr w:rsidR="00EE10B0" w:rsidRPr="002B4964" w14:paraId="2A02CA49" w14:textId="77777777" w:rsidTr="002F50CD">
        <w:trPr>
          <w:trHeight w:val="777"/>
        </w:trPr>
        <w:tc>
          <w:tcPr>
            <w:tcW w:w="1582" w:type="dxa"/>
            <w:shd w:val="clear" w:color="auto" w:fill="A6A6A6" w:themeFill="background1" w:themeFillShade="A6"/>
          </w:tcPr>
          <w:p w14:paraId="5A178AF9" w14:textId="67AAD0B1"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Net Margin</w:t>
            </w:r>
          </w:p>
        </w:tc>
        <w:tc>
          <w:tcPr>
            <w:tcW w:w="4805" w:type="dxa"/>
          </w:tcPr>
          <w:p w14:paraId="543B4840" w14:textId="79DDDB5D"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{Net Profit}</m:t>
                    </m:r>
                  </m:num>
                  <m:den>
                    <m:r>
                      <m:rPr>
                        <m:nor/>
                      </m:rPr>
                      <w:rPr>
                        <w:rFonts w:ascii="Times New Roman" w:hAnsi="Times New Roman" w:cs="Times New Roman"/>
                        <w:szCs w:val="24"/>
                      </w:rPr>
                      <m:t>{Revenue}</m:t>
                    </m:r>
                  </m:den>
                </m:f>
                <m:r>
                  <m:rPr>
                    <m:nor/>
                  </m:rPr>
                  <w:rPr>
                    <w:rFonts w:ascii="Times New Roman" w:hAnsi="Times New Roman" w:cs="Times New Roman"/>
                    <w:szCs w:val="24"/>
                  </w:rPr>
                  <m:t xml:space="preserve"> × 100</m:t>
                </m:r>
              </m:oMath>
            </m:oMathPara>
          </w:p>
        </w:tc>
        <w:tc>
          <w:tcPr>
            <w:tcW w:w="1350" w:type="dxa"/>
          </w:tcPr>
          <w:p w14:paraId="014F9845" w14:textId="67A0E7C0"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-2.53%</w:t>
            </w:r>
          </w:p>
        </w:tc>
        <w:tc>
          <w:tcPr>
            <w:tcW w:w="1231" w:type="dxa"/>
          </w:tcPr>
          <w:p w14:paraId="65913A73" w14:textId="22E7A4E4"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7.93%</w:t>
            </w:r>
          </w:p>
        </w:tc>
        <w:tc>
          <w:tcPr>
            <w:tcW w:w="1341" w:type="dxa"/>
          </w:tcPr>
          <w:p w14:paraId="0F7C2E24" w14:textId="755F1D66"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10.76%</w:t>
            </w:r>
          </w:p>
        </w:tc>
      </w:tr>
      <w:tr w:rsidR="00EE10B0" w:rsidRPr="002B4964" w14:paraId="1E13CB63" w14:textId="77777777" w:rsidTr="002F50CD">
        <w:trPr>
          <w:trHeight w:val="791"/>
        </w:trPr>
        <w:tc>
          <w:tcPr>
            <w:tcW w:w="1582" w:type="dxa"/>
            <w:shd w:val="clear" w:color="auto" w:fill="A6A6A6" w:themeFill="background1" w:themeFillShade="A6"/>
          </w:tcPr>
          <w:p w14:paraId="481716A1" w14:textId="0680FDBF"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ROCE</w:t>
            </w:r>
          </w:p>
        </w:tc>
        <w:tc>
          <w:tcPr>
            <w:tcW w:w="4805" w:type="dxa"/>
          </w:tcPr>
          <w:p w14:paraId="38CBFC99" w14:textId="7F0F2859"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{Operating Profit}</m:t>
                    </m:r>
                  </m:num>
                  <m:den>
                    <m:r>
                      <m:rPr>
                        <m:nor/>
                      </m:rPr>
                      <w:rPr>
                        <w:rFonts w:ascii="Times New Roman" w:hAnsi="Times New Roman" w:cs="Times New Roman"/>
                        <w:szCs w:val="24"/>
                      </w:rPr>
                      <m:t>{Total Assets Less Current Liabilities}</m:t>
                    </m:r>
                  </m:den>
                </m:f>
                <m:r>
                  <m:rPr>
                    <m:nor/>
                  </m:rPr>
                  <w:rPr>
                    <w:rFonts w:ascii="Times New Roman" w:hAnsi="Times New Roman" w:cs="Times New Roman"/>
                    <w:szCs w:val="24"/>
                  </w:rPr>
                  <m:t xml:space="preserve"> × 100</m:t>
                </m:r>
              </m:oMath>
            </m:oMathPara>
          </w:p>
        </w:tc>
        <w:tc>
          <w:tcPr>
            <w:tcW w:w="1350" w:type="dxa"/>
          </w:tcPr>
          <w:p w14:paraId="04A658D2" w14:textId="247E77F9"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0.44%</w:t>
            </w:r>
          </w:p>
        </w:tc>
        <w:tc>
          <w:tcPr>
            <w:tcW w:w="1231" w:type="dxa"/>
          </w:tcPr>
          <w:p w14:paraId="7CAA1E97" w14:textId="22CD52CA"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9.14%</w:t>
            </w:r>
          </w:p>
        </w:tc>
        <w:tc>
          <w:tcPr>
            <w:tcW w:w="1341" w:type="dxa"/>
          </w:tcPr>
          <w:p w14:paraId="256490CD" w14:textId="72A387C8"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8.7%</w:t>
            </w:r>
          </w:p>
        </w:tc>
      </w:tr>
      <w:tr w:rsidR="00EE10B0" w:rsidRPr="002B4964" w14:paraId="7BB3C2FE" w14:textId="77777777" w:rsidTr="002F50CD">
        <w:trPr>
          <w:trHeight w:val="877"/>
        </w:trPr>
        <w:tc>
          <w:tcPr>
            <w:tcW w:w="1582" w:type="dxa"/>
            <w:shd w:val="clear" w:color="auto" w:fill="A6A6A6" w:themeFill="background1" w:themeFillShade="A6"/>
          </w:tcPr>
          <w:p w14:paraId="786E504E" w14:textId="6C619F14"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Operating Margin</w:t>
            </w:r>
          </w:p>
        </w:tc>
        <w:tc>
          <w:tcPr>
            <w:tcW w:w="4805" w:type="dxa"/>
          </w:tcPr>
          <w:p w14:paraId="3B0BBB25" w14:textId="071219FF"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Cs/>
                        <w:szCs w:val="24"/>
                      </w:rPr>
                    </m:ctrlPr>
                  </m:fPr>
                  <m:num>
                    <m:r>
                      <m:rPr>
                        <m:nor/>
                      </m:rPr>
                      <w:rPr>
                        <w:rFonts w:ascii="Times New Roman" w:hAnsi="Times New Roman" w:cs="Times New Roman"/>
                        <w:iCs/>
                        <w:szCs w:val="24"/>
                      </w:rPr>
                      <m:t>{Operating Profit}</m:t>
                    </m:r>
                  </m:num>
                  <m:den>
                    <m:r>
                      <m:rPr>
                        <m:nor/>
                      </m:rPr>
                      <w:rPr>
                        <w:rFonts w:ascii="Times New Roman" w:hAnsi="Times New Roman" w:cs="Times New Roman"/>
                        <w:iCs/>
                        <w:szCs w:val="24"/>
                      </w:rPr>
                      <m:t>{Revenue}</m:t>
                    </m:r>
                  </m:den>
                </m:f>
                <m:r>
                  <m:rPr>
                    <m:nor/>
                  </m:rPr>
                  <w:rPr>
                    <w:rFonts w:ascii="Times New Roman" w:hAnsi="Times New Roman" w:cs="Times New Roman"/>
                    <w:iCs/>
                    <w:szCs w:val="24"/>
                  </w:rPr>
                  <m:t xml:space="preserve"> × 100</m:t>
                </m:r>
              </m:oMath>
            </m:oMathPara>
          </w:p>
        </w:tc>
        <w:tc>
          <w:tcPr>
            <w:tcW w:w="1350" w:type="dxa"/>
          </w:tcPr>
          <w:p w14:paraId="4C174931" w14:textId="1B577E22"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0.79%</w:t>
            </w:r>
          </w:p>
        </w:tc>
        <w:tc>
          <w:tcPr>
            <w:tcW w:w="1231" w:type="dxa"/>
          </w:tcPr>
          <w:p w14:paraId="345FB2F8" w14:textId="068E9487"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12.63%</w:t>
            </w:r>
          </w:p>
        </w:tc>
        <w:tc>
          <w:tcPr>
            <w:tcW w:w="1341" w:type="dxa"/>
          </w:tcPr>
          <w:p w14:paraId="5661A996" w14:textId="4F92898D"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11.84%</w:t>
            </w:r>
          </w:p>
        </w:tc>
      </w:tr>
      <w:tr w:rsidR="00EE10B0" w:rsidRPr="002B4964" w14:paraId="5833DCD7" w14:textId="77777777" w:rsidTr="002F50CD">
        <w:trPr>
          <w:trHeight w:val="777"/>
        </w:trPr>
        <w:tc>
          <w:tcPr>
            <w:tcW w:w="1582" w:type="dxa"/>
            <w:shd w:val="clear" w:color="auto" w:fill="A6A6A6" w:themeFill="background1" w:themeFillShade="A6"/>
          </w:tcPr>
          <w:p w14:paraId="3A4C92DE" w14:textId="63E45D48"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ROE</w:t>
            </w:r>
          </w:p>
        </w:tc>
        <w:tc>
          <w:tcPr>
            <w:tcW w:w="4805" w:type="dxa"/>
          </w:tcPr>
          <w:p w14:paraId="26AB2D96" w14:textId="2714306B"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{Net Income}</m:t>
                    </m:r>
                  </m:num>
                  <m:den>
                    <m:r>
                      <m:rPr>
                        <m:nor/>
                      </m:rPr>
                      <w:rPr>
                        <w:rFonts w:ascii="Times New Roman" w:hAnsi="Times New Roman" w:cs="Times New Roman"/>
                        <w:szCs w:val="24"/>
                      </w:rPr>
                      <m:t>{Total Equity}</m:t>
                    </m:r>
                  </m:den>
                </m:f>
                <m:r>
                  <m:rPr>
                    <m:nor/>
                  </m:rPr>
                  <w:rPr>
                    <w:rFonts w:ascii="Times New Roman" w:hAnsi="Times New Roman" w:cs="Times New Roman"/>
                    <w:szCs w:val="24"/>
                  </w:rPr>
                  <m:t xml:space="preserve"> × 100</m:t>
                </m:r>
              </m:oMath>
            </m:oMathPara>
          </w:p>
        </w:tc>
        <w:tc>
          <w:tcPr>
            <w:tcW w:w="1350" w:type="dxa"/>
          </w:tcPr>
          <w:p w14:paraId="10008C4B" w14:textId="030907F9"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-60.48%</w:t>
            </w:r>
          </w:p>
        </w:tc>
        <w:tc>
          <w:tcPr>
            <w:tcW w:w="1231" w:type="dxa"/>
          </w:tcPr>
          <w:p w14:paraId="0012C096" w14:textId="4997CFEB"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166.29%</w:t>
            </w:r>
          </w:p>
        </w:tc>
        <w:tc>
          <w:tcPr>
            <w:tcW w:w="1341" w:type="dxa"/>
          </w:tcPr>
          <w:p w14:paraId="6A72FBD4" w14:textId="297194E9"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226.77%</w:t>
            </w:r>
          </w:p>
        </w:tc>
      </w:tr>
    </w:tbl>
    <w:bookmarkEnd w:id="27"/>
    <w:p w14:paraId="23708DD2" w14:textId="58B0060B" w:rsidR="003C3D83"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Figure 16: Trend in Profitability Analysis (Source: Author)</w:t>
      </w:r>
    </w:p>
    <w:p w14:paraId="733527DE" w14:textId="19FE6ECB" w:rsidR="00736F3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Figure 16 demonstrates that Marriot International </w:t>
      </w:r>
      <w:r w:rsidR="003F0AF6" w:rsidRPr="002B4964">
        <w:rPr>
          <w:rFonts w:ascii="Times New Roman" w:hAnsi="Times New Roman" w:cs="Times New Roman"/>
          <w:szCs w:val="24"/>
        </w:rPr>
        <w:t>h</w:t>
      </w:r>
      <w:r w:rsidRPr="002B4964">
        <w:rPr>
          <w:rFonts w:ascii="Times New Roman" w:hAnsi="Times New Roman" w:cs="Times New Roman"/>
          <w:szCs w:val="24"/>
        </w:rPr>
        <w:t xml:space="preserve">as an increasing or positive trend in </w:t>
      </w:r>
      <w:r w:rsidR="003F0AF6" w:rsidRPr="002B4964">
        <w:rPr>
          <w:rFonts w:ascii="Times New Roman" w:hAnsi="Times New Roman" w:cs="Times New Roman"/>
          <w:szCs w:val="24"/>
        </w:rPr>
        <w:t>generating</w:t>
      </w:r>
      <w:r w:rsidRPr="002B4964">
        <w:rPr>
          <w:rFonts w:ascii="Times New Roman" w:hAnsi="Times New Roman" w:cs="Times New Roman"/>
          <w:szCs w:val="24"/>
        </w:rPr>
        <w:t xml:space="preserve"> profits. The profitability ratios show a positive change indicating that profitability has</w:t>
      </w:r>
      <w:r w:rsidR="003F0AF6" w:rsidRPr="002B4964">
        <w:rPr>
          <w:rFonts w:ascii="Times New Roman" w:hAnsi="Times New Roman" w:cs="Times New Roman"/>
          <w:szCs w:val="24"/>
        </w:rPr>
        <w:t xml:space="preserve"> improved</w:t>
      </w:r>
      <w:r w:rsidRPr="002B4964">
        <w:rPr>
          <w:rFonts w:ascii="Times New Roman" w:hAnsi="Times New Roman" w:cs="Times New Roman"/>
          <w:szCs w:val="24"/>
        </w:rPr>
        <w:t xml:space="preserve"> overall in 2021. </w:t>
      </w:r>
    </w:p>
    <w:p w14:paraId="6076D6C9" w14:textId="4876FDF5" w:rsidR="00DB794B" w:rsidRPr="002B4964" w:rsidRDefault="002F50CD"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3.2 </w:t>
      </w:r>
      <w:proofErr w:type="gramStart"/>
      <w:r w:rsidRPr="002B4964">
        <w:rPr>
          <w:rFonts w:ascii="Times New Roman" w:hAnsi="Times New Roman" w:cs="Times New Roman"/>
          <w:b/>
          <w:bCs/>
          <w:szCs w:val="24"/>
        </w:rPr>
        <w:t>Liquidity  Analysis</w:t>
      </w:r>
      <w:proofErr w:type="gramEnd"/>
    </w:p>
    <w:tbl>
      <w:tblPr>
        <w:tblStyle w:val="TableGrid"/>
        <w:tblW w:w="10309" w:type="dxa"/>
        <w:tblInd w:w="-272" w:type="dxa"/>
        <w:tblCellMar>
          <w:left w:w="58" w:type="dxa"/>
          <w:right w:w="58" w:type="dxa"/>
        </w:tblCellMar>
        <w:tblLook w:val="04A0" w:firstRow="1" w:lastRow="0" w:firstColumn="1" w:lastColumn="0" w:noHBand="0" w:noVBand="1"/>
      </w:tblPr>
      <w:tblGrid>
        <w:gridCol w:w="1582"/>
        <w:gridCol w:w="4805"/>
        <w:gridCol w:w="1350"/>
        <w:gridCol w:w="1231"/>
        <w:gridCol w:w="1341"/>
      </w:tblGrid>
      <w:tr w:rsidR="002F50CD" w:rsidRPr="002B4964" w14:paraId="18751A84" w14:textId="77777777" w:rsidTr="002E1B82">
        <w:trPr>
          <w:trHeight w:val="437"/>
        </w:trPr>
        <w:tc>
          <w:tcPr>
            <w:tcW w:w="10309" w:type="dxa"/>
            <w:gridSpan w:val="5"/>
            <w:shd w:val="clear" w:color="auto" w:fill="262626" w:themeFill="text1" w:themeFillTint="D9"/>
            <w:vAlign w:val="center"/>
          </w:tcPr>
          <w:p w14:paraId="5EAFC713" w14:textId="378B50BC" w:rsidR="002F50CD" w:rsidRPr="002B4964" w:rsidRDefault="002F50CD"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Liquidity Analysis</w:t>
            </w:r>
          </w:p>
        </w:tc>
      </w:tr>
      <w:tr w:rsidR="00EE10B0" w:rsidRPr="002B4964" w14:paraId="10F879E1" w14:textId="77777777" w:rsidTr="00736F39">
        <w:trPr>
          <w:trHeight w:val="576"/>
        </w:trPr>
        <w:tc>
          <w:tcPr>
            <w:tcW w:w="1582" w:type="dxa"/>
            <w:shd w:val="clear" w:color="auto" w:fill="A6A6A6" w:themeFill="background1" w:themeFillShade="A6"/>
          </w:tcPr>
          <w:p w14:paraId="168CC971" w14:textId="77777777" w:rsidR="00EE10B0" w:rsidRPr="002B4964" w:rsidRDefault="00EE10B0" w:rsidP="002B4964">
            <w:pPr>
              <w:spacing w:line="276" w:lineRule="auto"/>
              <w:rPr>
                <w:rFonts w:ascii="Times New Roman" w:hAnsi="Times New Roman" w:cs="Times New Roman"/>
                <w:b/>
                <w:bCs/>
                <w:szCs w:val="24"/>
              </w:rPr>
            </w:pPr>
          </w:p>
        </w:tc>
        <w:tc>
          <w:tcPr>
            <w:tcW w:w="4805" w:type="dxa"/>
          </w:tcPr>
          <w:p w14:paraId="3218AC9F" w14:textId="77777777" w:rsidR="00EE10B0" w:rsidRPr="002B4964" w:rsidRDefault="00EE10B0" w:rsidP="002B4964">
            <w:pPr>
              <w:spacing w:line="276" w:lineRule="auto"/>
              <w:rPr>
                <w:rFonts w:ascii="Times New Roman" w:eastAsia="Calibri" w:hAnsi="Times New Roman" w:cs="Times New Roman"/>
                <w:szCs w:val="24"/>
              </w:rPr>
            </w:pPr>
          </w:p>
        </w:tc>
        <w:tc>
          <w:tcPr>
            <w:tcW w:w="1350" w:type="dxa"/>
          </w:tcPr>
          <w:p w14:paraId="77A32EEB" w14:textId="34631090" w:rsidR="00736F39"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2020</w:t>
            </w:r>
          </w:p>
        </w:tc>
        <w:tc>
          <w:tcPr>
            <w:tcW w:w="1231" w:type="dxa"/>
          </w:tcPr>
          <w:p w14:paraId="4A4BE16F" w14:textId="5AD3CFD8"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2021</w:t>
            </w:r>
          </w:p>
        </w:tc>
        <w:tc>
          <w:tcPr>
            <w:tcW w:w="1341" w:type="dxa"/>
          </w:tcPr>
          <w:p w14:paraId="5C144719" w14:textId="0AD969D0"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Change</w:t>
            </w:r>
          </w:p>
        </w:tc>
      </w:tr>
      <w:tr w:rsidR="00EE10B0" w:rsidRPr="002B4964" w14:paraId="78406B1C" w14:textId="77777777" w:rsidTr="002E1B82">
        <w:trPr>
          <w:trHeight w:val="877"/>
        </w:trPr>
        <w:tc>
          <w:tcPr>
            <w:tcW w:w="1582" w:type="dxa"/>
            <w:shd w:val="clear" w:color="auto" w:fill="A6A6A6" w:themeFill="background1" w:themeFillShade="A6"/>
          </w:tcPr>
          <w:p w14:paraId="5F870208" w14:textId="3CB2A5ED"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Current Ratio</w:t>
            </w:r>
          </w:p>
        </w:tc>
        <w:tc>
          <w:tcPr>
            <w:tcW w:w="4805" w:type="dxa"/>
          </w:tcPr>
          <w:p w14:paraId="5965E311" w14:textId="261A0039"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{Current Assets}</m:t>
                    </m:r>
                  </m:num>
                  <m:den>
                    <m:r>
                      <m:rPr>
                        <m:nor/>
                      </m:rPr>
                      <w:rPr>
                        <w:rFonts w:ascii="Times New Roman" w:hAnsi="Times New Roman" w:cs="Times New Roman"/>
                        <w:szCs w:val="24"/>
                      </w:rPr>
                      <m:t>{Current Liabilities}</m:t>
                    </m:r>
                  </m:den>
                </m:f>
              </m:oMath>
            </m:oMathPara>
          </w:p>
        </w:tc>
        <w:tc>
          <w:tcPr>
            <w:tcW w:w="1350" w:type="dxa"/>
          </w:tcPr>
          <w:p w14:paraId="34C4EE2D" w14:textId="6AD0DFD0"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0.49</w:t>
            </w:r>
          </w:p>
        </w:tc>
        <w:tc>
          <w:tcPr>
            <w:tcW w:w="1231" w:type="dxa"/>
          </w:tcPr>
          <w:p w14:paraId="01F1F683" w14:textId="0813C916"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0.57</w:t>
            </w:r>
          </w:p>
        </w:tc>
        <w:tc>
          <w:tcPr>
            <w:tcW w:w="1341" w:type="dxa"/>
          </w:tcPr>
          <w:p w14:paraId="3A8AC1FA" w14:textId="24AD1214"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0.08</w:t>
            </w:r>
          </w:p>
        </w:tc>
      </w:tr>
      <w:tr w:rsidR="00EE10B0" w:rsidRPr="002B4964" w14:paraId="68859C24" w14:textId="77777777" w:rsidTr="002E1B82">
        <w:trPr>
          <w:trHeight w:val="777"/>
        </w:trPr>
        <w:tc>
          <w:tcPr>
            <w:tcW w:w="1582" w:type="dxa"/>
            <w:shd w:val="clear" w:color="auto" w:fill="A6A6A6" w:themeFill="background1" w:themeFillShade="A6"/>
          </w:tcPr>
          <w:p w14:paraId="5A5A1977" w14:textId="17F29525" w:rsidR="00EE10B0" w:rsidRPr="002B4964" w:rsidRDefault="00EE10B0"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lastRenderedPageBreak/>
              <w:t>Quick Ratio</w:t>
            </w:r>
          </w:p>
        </w:tc>
        <w:tc>
          <w:tcPr>
            <w:tcW w:w="4805" w:type="dxa"/>
          </w:tcPr>
          <w:p w14:paraId="4D8FD3A7" w14:textId="221844B0" w:rsidR="00EE10B0"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szCs w:val="24"/>
                      </w:rPr>
                    </m:ctrlPr>
                  </m:fPr>
                  <m:num>
                    <m:r>
                      <m:rPr>
                        <m:nor/>
                      </m:rPr>
                      <w:rPr>
                        <w:rFonts w:ascii="Times New Roman" w:hAnsi="Times New Roman" w:cs="Times New Roman"/>
                        <w:szCs w:val="24"/>
                      </w:rPr>
                      <m:t>{Current Assets-Inventories}</m:t>
                    </m:r>
                  </m:num>
                  <m:den>
                    <m:r>
                      <m:rPr>
                        <m:nor/>
                      </m:rPr>
                      <w:rPr>
                        <w:rFonts w:ascii="Times New Roman" w:hAnsi="Times New Roman" w:cs="Times New Roman"/>
                        <w:szCs w:val="24"/>
                      </w:rPr>
                      <m:t>{Current Liabilities}</m:t>
                    </m:r>
                  </m:den>
                </m:f>
              </m:oMath>
            </m:oMathPara>
          </w:p>
        </w:tc>
        <w:tc>
          <w:tcPr>
            <w:tcW w:w="1350" w:type="dxa"/>
          </w:tcPr>
          <w:p w14:paraId="21B79D50" w14:textId="7D9A6DC6"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0.49</w:t>
            </w:r>
          </w:p>
        </w:tc>
        <w:tc>
          <w:tcPr>
            <w:tcW w:w="1231" w:type="dxa"/>
          </w:tcPr>
          <w:p w14:paraId="1C1AD244" w14:textId="20691A83"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0.57</w:t>
            </w:r>
          </w:p>
        </w:tc>
        <w:tc>
          <w:tcPr>
            <w:tcW w:w="1341" w:type="dxa"/>
          </w:tcPr>
          <w:p w14:paraId="4C014A20" w14:textId="6271FD69" w:rsidR="00EE10B0"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0.08</w:t>
            </w:r>
          </w:p>
        </w:tc>
      </w:tr>
    </w:tbl>
    <w:p w14:paraId="22FFC25D" w14:textId="6DA7B8F7" w:rsidR="00736F3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Figure 17: Trend in Liquidity Analysis (Source: Author)</w:t>
      </w:r>
    </w:p>
    <w:p w14:paraId="6B63599D" w14:textId="01B34DC7" w:rsidR="002F50CD"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The liquidity of Marriott International has improved in 2021 in terms of </w:t>
      </w:r>
      <w:r w:rsidR="003F0AF6" w:rsidRPr="002B4964">
        <w:rPr>
          <w:rFonts w:ascii="Times New Roman" w:hAnsi="Times New Roman" w:cs="Times New Roman"/>
          <w:szCs w:val="24"/>
        </w:rPr>
        <w:t xml:space="preserve">the </w:t>
      </w:r>
      <w:r w:rsidRPr="002B4964">
        <w:rPr>
          <w:rFonts w:ascii="Times New Roman" w:hAnsi="Times New Roman" w:cs="Times New Roman"/>
          <w:szCs w:val="24"/>
        </w:rPr>
        <w:t xml:space="preserve">current ratio and quick ratio. Figure 17 demonstrates that the liquidity ratio has a positive change which indicates </w:t>
      </w:r>
      <w:r w:rsidR="003F0AF6" w:rsidRPr="002B4964">
        <w:rPr>
          <w:rFonts w:ascii="Times New Roman" w:hAnsi="Times New Roman" w:cs="Times New Roman"/>
          <w:szCs w:val="24"/>
        </w:rPr>
        <w:t xml:space="preserve">the </w:t>
      </w:r>
      <w:r w:rsidRPr="002B4964">
        <w:rPr>
          <w:rFonts w:ascii="Times New Roman" w:hAnsi="Times New Roman" w:cs="Times New Roman"/>
          <w:szCs w:val="24"/>
        </w:rPr>
        <w:t>improving trend in the liquidity of the company.</w:t>
      </w:r>
    </w:p>
    <w:p w14:paraId="3472905D" w14:textId="43DE8959" w:rsidR="002F50CD" w:rsidRPr="002B4964" w:rsidRDefault="002F50CD"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3.3 Efficiency Analysis</w:t>
      </w:r>
    </w:p>
    <w:tbl>
      <w:tblPr>
        <w:tblStyle w:val="TableGrid"/>
        <w:tblW w:w="10309" w:type="dxa"/>
        <w:tblInd w:w="-272" w:type="dxa"/>
        <w:tblCellMar>
          <w:left w:w="58" w:type="dxa"/>
          <w:right w:w="58" w:type="dxa"/>
        </w:tblCellMar>
        <w:tblLook w:val="04A0" w:firstRow="1" w:lastRow="0" w:firstColumn="1" w:lastColumn="0" w:noHBand="0" w:noVBand="1"/>
      </w:tblPr>
      <w:tblGrid>
        <w:gridCol w:w="2157"/>
        <w:gridCol w:w="4230"/>
        <w:gridCol w:w="1350"/>
        <w:gridCol w:w="1231"/>
        <w:gridCol w:w="1341"/>
      </w:tblGrid>
      <w:tr w:rsidR="002F50CD" w:rsidRPr="002B4964" w14:paraId="0D817C66" w14:textId="77777777" w:rsidTr="002E1B82">
        <w:trPr>
          <w:trHeight w:val="437"/>
        </w:trPr>
        <w:tc>
          <w:tcPr>
            <w:tcW w:w="10309" w:type="dxa"/>
            <w:gridSpan w:val="5"/>
            <w:shd w:val="clear" w:color="auto" w:fill="262626" w:themeFill="text1" w:themeFillTint="D9"/>
            <w:vAlign w:val="center"/>
          </w:tcPr>
          <w:p w14:paraId="00F33694" w14:textId="4BB371F3" w:rsidR="002F50CD"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Efficiency</w:t>
            </w:r>
            <w:r w:rsidR="002F50CD" w:rsidRPr="002B4964">
              <w:rPr>
                <w:rFonts w:ascii="Times New Roman" w:hAnsi="Times New Roman" w:cs="Times New Roman"/>
                <w:b/>
                <w:bCs/>
                <w:szCs w:val="24"/>
              </w:rPr>
              <w:t xml:space="preserve"> Analysis</w:t>
            </w:r>
          </w:p>
        </w:tc>
      </w:tr>
      <w:tr w:rsidR="00FB66D6" w:rsidRPr="002B4964" w14:paraId="69C1F0D4" w14:textId="77777777" w:rsidTr="002F50CD">
        <w:trPr>
          <w:trHeight w:val="877"/>
        </w:trPr>
        <w:tc>
          <w:tcPr>
            <w:tcW w:w="2157" w:type="dxa"/>
            <w:shd w:val="clear" w:color="auto" w:fill="A6A6A6" w:themeFill="background1" w:themeFillShade="A6"/>
          </w:tcPr>
          <w:p w14:paraId="2ACEC10D" w14:textId="77777777" w:rsidR="00FB66D6" w:rsidRPr="002B4964" w:rsidRDefault="00FB66D6" w:rsidP="002B4964">
            <w:pPr>
              <w:spacing w:line="276" w:lineRule="auto"/>
              <w:rPr>
                <w:rFonts w:ascii="Times New Roman" w:hAnsi="Times New Roman" w:cs="Times New Roman"/>
                <w:b/>
                <w:bCs/>
                <w:szCs w:val="24"/>
              </w:rPr>
            </w:pPr>
          </w:p>
        </w:tc>
        <w:tc>
          <w:tcPr>
            <w:tcW w:w="4230" w:type="dxa"/>
          </w:tcPr>
          <w:p w14:paraId="58D0DEB2" w14:textId="77777777" w:rsidR="00FB66D6" w:rsidRPr="002B4964" w:rsidRDefault="00FB66D6" w:rsidP="002B4964">
            <w:pPr>
              <w:spacing w:line="276" w:lineRule="auto"/>
              <w:rPr>
                <w:rFonts w:ascii="Times New Roman" w:eastAsia="Calibri" w:hAnsi="Times New Roman" w:cs="Times New Roman"/>
                <w:szCs w:val="24"/>
              </w:rPr>
            </w:pPr>
          </w:p>
        </w:tc>
        <w:tc>
          <w:tcPr>
            <w:tcW w:w="1350" w:type="dxa"/>
          </w:tcPr>
          <w:p w14:paraId="5FFC3DBC" w14:textId="48E72F08"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2020</w:t>
            </w:r>
          </w:p>
        </w:tc>
        <w:tc>
          <w:tcPr>
            <w:tcW w:w="1231" w:type="dxa"/>
          </w:tcPr>
          <w:p w14:paraId="6AD944CA" w14:textId="680414E1"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2021</w:t>
            </w:r>
          </w:p>
        </w:tc>
        <w:tc>
          <w:tcPr>
            <w:tcW w:w="1341" w:type="dxa"/>
          </w:tcPr>
          <w:p w14:paraId="2C30DE03" w14:textId="7FA1E6CF"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Change</w:t>
            </w:r>
          </w:p>
        </w:tc>
      </w:tr>
      <w:tr w:rsidR="00FB66D6" w:rsidRPr="002B4964" w14:paraId="2E139AAD" w14:textId="77777777" w:rsidTr="002F50CD">
        <w:trPr>
          <w:trHeight w:val="877"/>
        </w:trPr>
        <w:tc>
          <w:tcPr>
            <w:tcW w:w="2157" w:type="dxa"/>
            <w:shd w:val="clear" w:color="auto" w:fill="A6A6A6" w:themeFill="background1" w:themeFillShade="A6"/>
          </w:tcPr>
          <w:p w14:paraId="3B8E041D" w14:textId="46182ECC"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Asset Turnover</w:t>
            </w:r>
          </w:p>
        </w:tc>
        <w:tc>
          <w:tcPr>
            <w:tcW w:w="4230" w:type="dxa"/>
          </w:tcPr>
          <w:p w14:paraId="52408E36" w14:textId="7C0CEED5" w:rsidR="00FB66D6"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{Revenue}</m:t>
                    </m:r>
                  </m:num>
                  <m:den>
                    <m:r>
                      <m:rPr>
                        <m:nor/>
                      </m:rPr>
                      <w:rPr>
                        <w:rFonts w:ascii="Times New Roman" w:hAnsi="Times New Roman" w:cs="Times New Roman"/>
                        <w:szCs w:val="24"/>
                      </w:rPr>
                      <m:t>{Total Assets}</m:t>
                    </m:r>
                  </m:den>
                </m:f>
              </m:oMath>
            </m:oMathPara>
          </w:p>
        </w:tc>
        <w:tc>
          <w:tcPr>
            <w:tcW w:w="1350" w:type="dxa"/>
          </w:tcPr>
          <w:p w14:paraId="119C7C4C" w14:textId="4163C2DC"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0.43</w:t>
            </w:r>
          </w:p>
        </w:tc>
        <w:tc>
          <w:tcPr>
            <w:tcW w:w="1231" w:type="dxa"/>
          </w:tcPr>
          <w:p w14:paraId="3B591872" w14:textId="45122376"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0.54</w:t>
            </w:r>
          </w:p>
        </w:tc>
        <w:tc>
          <w:tcPr>
            <w:tcW w:w="1341" w:type="dxa"/>
          </w:tcPr>
          <w:p w14:paraId="640BA707" w14:textId="2DF9A068" w:rsidR="00FB66D6"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0.11</w:t>
            </w:r>
          </w:p>
        </w:tc>
      </w:tr>
      <w:tr w:rsidR="00FB66D6" w:rsidRPr="002B4964" w14:paraId="4FD2EDF8" w14:textId="77777777" w:rsidTr="002F50CD">
        <w:trPr>
          <w:trHeight w:val="777"/>
        </w:trPr>
        <w:tc>
          <w:tcPr>
            <w:tcW w:w="2157" w:type="dxa"/>
            <w:shd w:val="clear" w:color="auto" w:fill="A6A6A6" w:themeFill="background1" w:themeFillShade="A6"/>
          </w:tcPr>
          <w:p w14:paraId="41219E3D" w14:textId="20B4A919"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 xml:space="preserve">Days of Sales in </w:t>
            </w:r>
            <w:r w:rsidR="003F0AF6" w:rsidRPr="002B4964">
              <w:rPr>
                <w:rFonts w:ascii="Times New Roman" w:hAnsi="Times New Roman" w:cs="Times New Roman"/>
                <w:b/>
                <w:bCs/>
                <w:szCs w:val="24"/>
              </w:rPr>
              <w:t>Receivables</w:t>
            </w:r>
          </w:p>
        </w:tc>
        <w:tc>
          <w:tcPr>
            <w:tcW w:w="4230" w:type="dxa"/>
          </w:tcPr>
          <w:p w14:paraId="41C05743" w14:textId="33A345F3" w:rsidR="00FB66D6" w:rsidRPr="002B4964" w:rsidRDefault="00FB66D6" w:rsidP="002B4964">
            <w:pPr>
              <w:spacing w:line="276" w:lineRule="auto"/>
              <w:rPr>
                <w:rFonts w:ascii="Times New Roman" w:hAnsi="Times New Roman" w:cs="Times New Roman"/>
                <w:szCs w:val="24"/>
              </w:rPr>
            </w:pPr>
            <m:oMathPara>
              <m:oMath>
                <m:r>
                  <m:rPr>
                    <m:nor/>
                  </m:rPr>
                  <w:rPr>
                    <w:rFonts w:ascii="Times New Roman" w:hAnsi="Times New Roman" w:cs="Times New Roman"/>
                    <w:szCs w:val="24"/>
                  </w:rPr>
                  <m:t>365 ÷</m:t>
                </m:r>
                <m:f>
                  <m:fPr>
                    <m:ctrlPr>
                      <w:rPr>
                        <w:rFonts w:ascii="Cambria Math" w:hAnsi="Cambria Math" w:cs="Times New Roman"/>
                        <w:i/>
                        <w:szCs w:val="24"/>
                      </w:rPr>
                    </m:ctrlPr>
                  </m:fPr>
                  <m:num>
                    <m:r>
                      <m:rPr>
                        <m:nor/>
                      </m:rPr>
                      <w:rPr>
                        <w:rFonts w:ascii="Times New Roman" w:hAnsi="Times New Roman" w:cs="Times New Roman"/>
                        <w:szCs w:val="24"/>
                      </w:rPr>
                      <m:t>{Revenue}</m:t>
                    </m:r>
                  </m:num>
                  <m:den>
                    <m:r>
                      <m:rPr>
                        <m:nor/>
                      </m:rPr>
                      <w:rPr>
                        <w:rFonts w:ascii="Times New Roman" w:hAnsi="Times New Roman" w:cs="Times New Roman"/>
                        <w:szCs w:val="24"/>
                      </w:rPr>
                      <m:t>{Receivables}</m:t>
                    </m:r>
                  </m:den>
                </m:f>
              </m:oMath>
            </m:oMathPara>
          </w:p>
        </w:tc>
        <w:tc>
          <w:tcPr>
            <w:tcW w:w="1350" w:type="dxa"/>
          </w:tcPr>
          <w:p w14:paraId="0AE07BA9" w14:textId="06D2BF44"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61.05</w:t>
            </w:r>
          </w:p>
        </w:tc>
        <w:tc>
          <w:tcPr>
            <w:tcW w:w="1231" w:type="dxa"/>
          </w:tcPr>
          <w:p w14:paraId="60F4BF76" w14:textId="2BAB622C"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52.21</w:t>
            </w:r>
          </w:p>
        </w:tc>
        <w:tc>
          <w:tcPr>
            <w:tcW w:w="1341" w:type="dxa"/>
          </w:tcPr>
          <w:p w14:paraId="2861ED22" w14:textId="0D9101F8" w:rsidR="00FB66D6"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-8.79</w:t>
            </w:r>
          </w:p>
        </w:tc>
      </w:tr>
      <w:tr w:rsidR="00FB66D6" w:rsidRPr="002B4964" w14:paraId="1D272CD8" w14:textId="77777777" w:rsidTr="002F50CD">
        <w:trPr>
          <w:trHeight w:val="777"/>
        </w:trPr>
        <w:tc>
          <w:tcPr>
            <w:tcW w:w="2157" w:type="dxa"/>
            <w:shd w:val="clear" w:color="auto" w:fill="A6A6A6" w:themeFill="background1" w:themeFillShade="A6"/>
          </w:tcPr>
          <w:p w14:paraId="35EA25B0" w14:textId="0822B2F5"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Days of Purchase in Payables</w:t>
            </w:r>
          </w:p>
        </w:tc>
        <w:tc>
          <w:tcPr>
            <w:tcW w:w="4230" w:type="dxa"/>
          </w:tcPr>
          <w:p w14:paraId="72B49605" w14:textId="7E8F9579" w:rsidR="00FB66D6" w:rsidRPr="002B4964" w:rsidRDefault="00FB66D6" w:rsidP="002B4964">
            <w:pPr>
              <w:spacing w:line="276" w:lineRule="auto"/>
              <w:rPr>
                <w:rFonts w:ascii="Times New Roman" w:eastAsia="Calibri" w:hAnsi="Times New Roman" w:cs="Times New Roman"/>
                <w:szCs w:val="24"/>
              </w:rPr>
            </w:pPr>
            <m:oMathPara>
              <m:oMath>
                <m:r>
                  <m:rPr>
                    <m:nor/>
                  </m:rPr>
                  <w:rPr>
                    <w:rFonts w:ascii="Times New Roman" w:hAnsi="Times New Roman" w:cs="Times New Roman"/>
                    <w:szCs w:val="24"/>
                  </w:rPr>
                  <m:t>365 ÷</m:t>
                </m:r>
                <m:f>
                  <m:fPr>
                    <m:ctrlPr>
                      <w:rPr>
                        <w:rFonts w:ascii="Cambria Math" w:hAnsi="Cambria Math" w:cs="Times New Roman"/>
                        <w:i/>
                        <w:szCs w:val="24"/>
                      </w:rPr>
                    </m:ctrlPr>
                  </m:fPr>
                  <m:num>
                    <m:r>
                      <m:rPr>
                        <m:nor/>
                      </m:rPr>
                      <w:rPr>
                        <w:rFonts w:ascii="Times New Roman" w:hAnsi="Times New Roman" w:cs="Times New Roman"/>
                        <w:szCs w:val="24"/>
                      </w:rPr>
                      <m:t>{Cost of Revenue}</m:t>
                    </m:r>
                  </m:num>
                  <m:den>
                    <m:r>
                      <m:rPr>
                        <m:nor/>
                      </m:rPr>
                      <w:rPr>
                        <w:rFonts w:ascii="Times New Roman" w:hAnsi="Times New Roman" w:cs="Times New Roman"/>
                        <w:szCs w:val="24"/>
                      </w:rPr>
                      <m:t>{Payables}</m:t>
                    </m:r>
                  </m:den>
                </m:f>
              </m:oMath>
            </m:oMathPara>
          </w:p>
        </w:tc>
        <w:tc>
          <w:tcPr>
            <w:tcW w:w="1350" w:type="dxa"/>
          </w:tcPr>
          <w:p w14:paraId="14EC29CB" w14:textId="5F5DE5F0"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20.51</w:t>
            </w:r>
          </w:p>
        </w:tc>
        <w:tc>
          <w:tcPr>
            <w:tcW w:w="1231" w:type="dxa"/>
          </w:tcPr>
          <w:p w14:paraId="430BFA7B" w14:textId="2E8693CD"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23.95</w:t>
            </w:r>
          </w:p>
        </w:tc>
        <w:tc>
          <w:tcPr>
            <w:tcW w:w="1341" w:type="dxa"/>
          </w:tcPr>
          <w:p w14:paraId="3D952131" w14:textId="6BAA314C" w:rsidR="00FB66D6"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3.44</w:t>
            </w:r>
          </w:p>
        </w:tc>
      </w:tr>
    </w:tbl>
    <w:p w14:paraId="1B5F831F" w14:textId="012E8161" w:rsidR="00736F3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Figure 18: Trend in Efficiency Analysis (Source: Author)</w:t>
      </w:r>
    </w:p>
    <w:p w14:paraId="3E5233C0" w14:textId="4DC7F082" w:rsidR="003719A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Figure 18 demonstrates the trend in terms of efficiency. Marriott International has improved in asset utilization, receivables management</w:t>
      </w:r>
      <w:r w:rsidR="003F0AF6" w:rsidRPr="002B4964">
        <w:rPr>
          <w:rFonts w:ascii="Times New Roman" w:hAnsi="Times New Roman" w:cs="Times New Roman"/>
          <w:szCs w:val="24"/>
        </w:rPr>
        <w:t>,</w:t>
      </w:r>
      <w:r w:rsidRPr="002B4964">
        <w:rPr>
          <w:rFonts w:ascii="Times New Roman" w:hAnsi="Times New Roman" w:cs="Times New Roman"/>
          <w:szCs w:val="24"/>
        </w:rPr>
        <w:t xml:space="preserve"> and payable management. </w:t>
      </w:r>
    </w:p>
    <w:p w14:paraId="5BCBF047" w14:textId="3303D706" w:rsidR="003719A9" w:rsidRPr="002B4964" w:rsidRDefault="003719A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3.4 Solvency Analysis</w:t>
      </w:r>
    </w:p>
    <w:tbl>
      <w:tblPr>
        <w:tblStyle w:val="TableGrid"/>
        <w:tblW w:w="10309" w:type="dxa"/>
        <w:tblInd w:w="-272" w:type="dxa"/>
        <w:tblCellMar>
          <w:left w:w="58" w:type="dxa"/>
          <w:right w:w="58" w:type="dxa"/>
        </w:tblCellMar>
        <w:tblLook w:val="04A0" w:firstRow="1" w:lastRow="0" w:firstColumn="1" w:lastColumn="0" w:noHBand="0" w:noVBand="1"/>
      </w:tblPr>
      <w:tblGrid>
        <w:gridCol w:w="2157"/>
        <w:gridCol w:w="4230"/>
        <w:gridCol w:w="1350"/>
        <w:gridCol w:w="1231"/>
        <w:gridCol w:w="1341"/>
      </w:tblGrid>
      <w:tr w:rsidR="003719A9" w:rsidRPr="002B4964" w14:paraId="2DA9EEFD" w14:textId="77777777" w:rsidTr="002E1B82">
        <w:trPr>
          <w:trHeight w:val="437"/>
        </w:trPr>
        <w:tc>
          <w:tcPr>
            <w:tcW w:w="10309" w:type="dxa"/>
            <w:gridSpan w:val="5"/>
            <w:shd w:val="clear" w:color="auto" w:fill="262626" w:themeFill="text1" w:themeFillTint="D9"/>
            <w:vAlign w:val="center"/>
          </w:tcPr>
          <w:p w14:paraId="4611A313" w14:textId="44F6FDDE" w:rsidR="003719A9" w:rsidRPr="002B4964" w:rsidRDefault="00736F39"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Solvency</w:t>
            </w:r>
            <w:r w:rsidR="003719A9" w:rsidRPr="002B4964">
              <w:rPr>
                <w:rFonts w:ascii="Times New Roman" w:hAnsi="Times New Roman" w:cs="Times New Roman"/>
                <w:b/>
                <w:bCs/>
                <w:szCs w:val="24"/>
              </w:rPr>
              <w:t xml:space="preserve"> Analysis</w:t>
            </w:r>
          </w:p>
        </w:tc>
      </w:tr>
      <w:tr w:rsidR="00FB66D6" w:rsidRPr="002B4964" w14:paraId="3471A869" w14:textId="77777777" w:rsidTr="002E1B82">
        <w:trPr>
          <w:trHeight w:val="877"/>
        </w:trPr>
        <w:tc>
          <w:tcPr>
            <w:tcW w:w="2157" w:type="dxa"/>
            <w:shd w:val="clear" w:color="auto" w:fill="A6A6A6" w:themeFill="background1" w:themeFillShade="A6"/>
          </w:tcPr>
          <w:p w14:paraId="3E3E016B" w14:textId="77777777" w:rsidR="00FB66D6" w:rsidRPr="002B4964" w:rsidRDefault="00FB66D6" w:rsidP="002B4964">
            <w:pPr>
              <w:spacing w:line="276" w:lineRule="auto"/>
              <w:rPr>
                <w:rFonts w:ascii="Times New Roman" w:hAnsi="Times New Roman" w:cs="Times New Roman"/>
                <w:b/>
                <w:bCs/>
                <w:szCs w:val="24"/>
              </w:rPr>
            </w:pPr>
          </w:p>
        </w:tc>
        <w:tc>
          <w:tcPr>
            <w:tcW w:w="4230" w:type="dxa"/>
          </w:tcPr>
          <w:p w14:paraId="6BC934FE" w14:textId="77777777" w:rsidR="00FB66D6" w:rsidRPr="002B4964" w:rsidRDefault="00FB66D6" w:rsidP="002B4964">
            <w:pPr>
              <w:spacing w:line="276" w:lineRule="auto"/>
              <w:rPr>
                <w:rFonts w:ascii="Times New Roman" w:eastAsia="Calibri" w:hAnsi="Times New Roman" w:cs="Times New Roman"/>
                <w:szCs w:val="24"/>
              </w:rPr>
            </w:pPr>
          </w:p>
        </w:tc>
        <w:tc>
          <w:tcPr>
            <w:tcW w:w="1350" w:type="dxa"/>
          </w:tcPr>
          <w:p w14:paraId="2102ED49" w14:textId="6F51C35B"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2020</w:t>
            </w:r>
          </w:p>
        </w:tc>
        <w:tc>
          <w:tcPr>
            <w:tcW w:w="1231" w:type="dxa"/>
          </w:tcPr>
          <w:p w14:paraId="0855CA7C" w14:textId="2EC0601D"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2021</w:t>
            </w:r>
          </w:p>
        </w:tc>
        <w:tc>
          <w:tcPr>
            <w:tcW w:w="1341" w:type="dxa"/>
          </w:tcPr>
          <w:p w14:paraId="5E45BD07" w14:textId="2533FB4C"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Change</w:t>
            </w:r>
          </w:p>
        </w:tc>
      </w:tr>
      <w:tr w:rsidR="00FB66D6" w:rsidRPr="002B4964" w14:paraId="3209D6A2" w14:textId="77777777" w:rsidTr="002E1B82">
        <w:trPr>
          <w:trHeight w:val="877"/>
        </w:trPr>
        <w:tc>
          <w:tcPr>
            <w:tcW w:w="2157" w:type="dxa"/>
            <w:shd w:val="clear" w:color="auto" w:fill="A6A6A6" w:themeFill="background1" w:themeFillShade="A6"/>
          </w:tcPr>
          <w:p w14:paraId="6B4226A4" w14:textId="789494CC"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Debt Ratio</w:t>
            </w:r>
          </w:p>
        </w:tc>
        <w:tc>
          <w:tcPr>
            <w:tcW w:w="4230" w:type="dxa"/>
          </w:tcPr>
          <w:p w14:paraId="63D14D66" w14:textId="75E4E679" w:rsidR="00FB66D6"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[Total Debt]</m:t>
                    </m:r>
                  </m:num>
                  <m:den>
                    <m:r>
                      <m:rPr>
                        <m:nor/>
                      </m:rPr>
                      <w:rPr>
                        <w:rFonts w:ascii="Times New Roman" w:hAnsi="Times New Roman" w:cs="Times New Roman"/>
                        <w:szCs w:val="24"/>
                      </w:rPr>
                      <m:t>[Total Assets]</m:t>
                    </m:r>
                  </m:den>
                </m:f>
              </m:oMath>
            </m:oMathPara>
          </w:p>
        </w:tc>
        <w:tc>
          <w:tcPr>
            <w:tcW w:w="1350" w:type="dxa"/>
          </w:tcPr>
          <w:p w14:paraId="6F932A94" w14:textId="75B8D16B"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0.98</w:t>
            </w:r>
          </w:p>
        </w:tc>
        <w:tc>
          <w:tcPr>
            <w:tcW w:w="1231" w:type="dxa"/>
          </w:tcPr>
          <w:p w14:paraId="7BD55883" w14:textId="68799329"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0.94</w:t>
            </w:r>
          </w:p>
        </w:tc>
        <w:tc>
          <w:tcPr>
            <w:tcW w:w="1341" w:type="dxa"/>
          </w:tcPr>
          <w:p w14:paraId="42B19765" w14:textId="30DDEF96" w:rsidR="00FB66D6"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-0.04</w:t>
            </w:r>
          </w:p>
        </w:tc>
      </w:tr>
      <w:tr w:rsidR="00FB66D6" w:rsidRPr="002B4964" w14:paraId="229692AD" w14:textId="77777777" w:rsidTr="002E1B82">
        <w:trPr>
          <w:trHeight w:val="777"/>
        </w:trPr>
        <w:tc>
          <w:tcPr>
            <w:tcW w:w="2157" w:type="dxa"/>
            <w:shd w:val="clear" w:color="auto" w:fill="A6A6A6" w:themeFill="background1" w:themeFillShade="A6"/>
          </w:tcPr>
          <w:p w14:paraId="3E7BCFA1" w14:textId="3D179413"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Debt To Equity Ratio</w:t>
            </w:r>
          </w:p>
        </w:tc>
        <w:tc>
          <w:tcPr>
            <w:tcW w:w="4230" w:type="dxa"/>
          </w:tcPr>
          <w:p w14:paraId="2ED937F8" w14:textId="28B421BB" w:rsidR="00FB66D6" w:rsidRPr="002B4964" w:rsidRDefault="00000000" w:rsidP="002B4964">
            <w:pPr>
              <w:spacing w:line="276" w:lineRule="auto"/>
              <w:rPr>
                <w:rFonts w:ascii="Times New Roman"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[Total Debt]</m:t>
                    </m:r>
                  </m:num>
                  <m:den>
                    <m:r>
                      <m:rPr>
                        <m:nor/>
                      </m:rPr>
                      <w:rPr>
                        <w:rFonts w:ascii="Times New Roman" w:hAnsi="Times New Roman" w:cs="Times New Roman"/>
                        <w:szCs w:val="24"/>
                      </w:rPr>
                      <m:t>[Total Equity]</m:t>
                    </m:r>
                  </m:den>
                </m:f>
              </m:oMath>
            </m:oMathPara>
          </w:p>
        </w:tc>
        <w:tc>
          <w:tcPr>
            <w:tcW w:w="1350" w:type="dxa"/>
          </w:tcPr>
          <w:p w14:paraId="5E44EED2" w14:textId="06306587"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56.44</w:t>
            </w:r>
          </w:p>
        </w:tc>
        <w:tc>
          <w:tcPr>
            <w:tcW w:w="1231" w:type="dxa"/>
          </w:tcPr>
          <w:p w14:paraId="158AE44E" w14:textId="57E56742" w:rsidR="00FB66D6" w:rsidRPr="002B4964" w:rsidRDefault="00FB66D6" w:rsidP="002B4964">
            <w:pPr>
              <w:spacing w:line="276" w:lineRule="auto"/>
              <w:rPr>
                <w:rFonts w:ascii="Times New Roman" w:hAnsi="Times New Roman" w:cs="Times New Roman"/>
                <w:szCs w:val="24"/>
              </w:rPr>
            </w:pPr>
            <w:r w:rsidRPr="002B4964">
              <w:rPr>
                <w:rFonts w:ascii="Times New Roman" w:hAnsi="Times New Roman" w:cs="Times New Roman"/>
                <w:szCs w:val="24"/>
              </w:rPr>
              <w:t>17.07</w:t>
            </w:r>
          </w:p>
        </w:tc>
        <w:tc>
          <w:tcPr>
            <w:tcW w:w="1341" w:type="dxa"/>
          </w:tcPr>
          <w:p w14:paraId="0C653B09" w14:textId="41CF07AC" w:rsidR="00FB66D6" w:rsidRPr="002B4964" w:rsidRDefault="00EE10B0" w:rsidP="002B4964">
            <w:pPr>
              <w:spacing w:line="276" w:lineRule="auto"/>
              <w:rPr>
                <w:rFonts w:ascii="Times New Roman" w:hAnsi="Times New Roman" w:cs="Times New Roman"/>
                <w:szCs w:val="24"/>
              </w:rPr>
            </w:pPr>
            <w:r w:rsidRPr="002B4964">
              <w:rPr>
                <w:rFonts w:ascii="Times New Roman" w:hAnsi="Times New Roman" w:cs="Times New Roman"/>
                <w:szCs w:val="24"/>
              </w:rPr>
              <w:t>-39.37</w:t>
            </w:r>
          </w:p>
        </w:tc>
      </w:tr>
      <w:tr w:rsidR="00FB66D6" w:rsidRPr="002B4964" w14:paraId="4AA8B0D0" w14:textId="77777777" w:rsidTr="002E1B82">
        <w:trPr>
          <w:trHeight w:val="777"/>
        </w:trPr>
        <w:tc>
          <w:tcPr>
            <w:tcW w:w="2157" w:type="dxa"/>
            <w:shd w:val="clear" w:color="auto" w:fill="A6A6A6" w:themeFill="background1" w:themeFillShade="A6"/>
          </w:tcPr>
          <w:p w14:paraId="0585B87D" w14:textId="5DFABDC8" w:rsidR="00FB66D6" w:rsidRPr="002B4964" w:rsidRDefault="00FB66D6" w:rsidP="002B4964">
            <w:pPr>
              <w:spacing w:line="276" w:lineRule="auto"/>
              <w:rPr>
                <w:rFonts w:ascii="Times New Roman" w:hAnsi="Times New Roman" w:cs="Times New Roman"/>
                <w:b/>
                <w:bCs/>
                <w:szCs w:val="24"/>
              </w:rPr>
            </w:pPr>
            <w:r w:rsidRPr="002B4964">
              <w:rPr>
                <w:rFonts w:ascii="Times New Roman" w:hAnsi="Times New Roman" w:cs="Times New Roman"/>
                <w:b/>
                <w:bCs/>
                <w:szCs w:val="24"/>
              </w:rPr>
              <w:t>Interest Coverage Ratio</w:t>
            </w:r>
          </w:p>
        </w:tc>
        <w:tc>
          <w:tcPr>
            <w:tcW w:w="4230" w:type="dxa"/>
          </w:tcPr>
          <w:p w14:paraId="76034B61" w14:textId="7FCEC9D5" w:rsidR="00FB66D6" w:rsidRPr="002B4964" w:rsidRDefault="00000000" w:rsidP="002B4964">
            <w:pPr>
              <w:spacing w:line="276" w:lineRule="auto"/>
              <w:rPr>
                <w:rFonts w:ascii="Times New Roman" w:eastAsia="Calibri" w:hAnsi="Times New Roman" w:cs="Times New Roman"/>
                <w:szCs w:val="24"/>
              </w:rPr>
            </w:pPr>
            <m:oMathPara>
              <m:oMath>
                <m:f>
                  <m:fPr>
                    <m:ctrlPr>
                      <w:rPr>
                        <w:rFonts w:ascii="Cambria Math" w:hAnsi="Cambria Math" w:cs="Times New Roman"/>
                        <w:i/>
                        <w:szCs w:val="24"/>
                      </w:rPr>
                    </m:ctrlPr>
                  </m:fPr>
                  <m:num>
                    <m:r>
                      <m:rPr>
                        <m:nor/>
                      </m:rPr>
                      <w:rPr>
                        <w:rFonts w:ascii="Times New Roman" w:hAnsi="Times New Roman" w:cs="Times New Roman"/>
                        <w:szCs w:val="24"/>
                      </w:rPr>
                      <m:t>[Profit Before Interest]</m:t>
                    </m:r>
                  </m:num>
                  <m:den>
                    <m:r>
                      <m:rPr>
                        <m:nor/>
                      </m:rPr>
                      <w:rPr>
                        <w:rFonts w:ascii="Times New Roman" w:hAnsi="Times New Roman" w:cs="Times New Roman"/>
                        <w:szCs w:val="24"/>
                      </w:rPr>
                      <m:t>[Interest Expense]</m:t>
                    </m:r>
                  </m:den>
                </m:f>
              </m:oMath>
            </m:oMathPara>
          </w:p>
        </w:tc>
        <w:tc>
          <w:tcPr>
            <w:tcW w:w="1350" w:type="dxa"/>
          </w:tcPr>
          <w:p w14:paraId="776FBC60" w14:textId="5222FA70" w:rsidR="00FB66D6"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t>-0.47</w:t>
            </w:r>
          </w:p>
        </w:tc>
        <w:tc>
          <w:tcPr>
            <w:tcW w:w="1231" w:type="dxa"/>
          </w:tcPr>
          <w:p w14:paraId="149A9DB2" w14:textId="09FFFA7C" w:rsidR="00FB66D6" w:rsidRPr="002B4964" w:rsidRDefault="00F2138A" w:rsidP="002B4964">
            <w:pPr>
              <w:spacing w:line="276" w:lineRule="auto"/>
              <w:rPr>
                <w:rFonts w:ascii="Times New Roman" w:hAnsi="Times New Roman" w:cs="Times New Roman"/>
                <w:szCs w:val="24"/>
              </w:rPr>
            </w:pPr>
            <w:r w:rsidRPr="002B4964">
              <w:rPr>
                <w:rFonts w:ascii="Times New Roman" w:hAnsi="Times New Roman" w:cs="Times New Roman"/>
                <w:szCs w:val="24"/>
              </w:rPr>
              <w:t>4.52</w:t>
            </w:r>
          </w:p>
        </w:tc>
        <w:tc>
          <w:tcPr>
            <w:tcW w:w="1341" w:type="dxa"/>
          </w:tcPr>
          <w:p w14:paraId="0AA08205" w14:textId="0A5112F8" w:rsidR="00FB66D6"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4.99</w:t>
            </w:r>
          </w:p>
        </w:tc>
      </w:tr>
    </w:tbl>
    <w:p w14:paraId="218BEDCC" w14:textId="3C563396" w:rsidR="00736F3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t>Figure 19: Trend in Solvency Analysis (Source: Author)</w:t>
      </w:r>
    </w:p>
    <w:p w14:paraId="355CD985" w14:textId="018A9481" w:rsidR="003719A9" w:rsidRPr="002B4964" w:rsidRDefault="00736F39" w:rsidP="002B4964">
      <w:pPr>
        <w:spacing w:line="276" w:lineRule="auto"/>
        <w:rPr>
          <w:rFonts w:ascii="Times New Roman" w:hAnsi="Times New Roman" w:cs="Times New Roman"/>
          <w:szCs w:val="24"/>
        </w:rPr>
      </w:pPr>
      <w:r w:rsidRPr="002B4964">
        <w:rPr>
          <w:rFonts w:ascii="Times New Roman" w:hAnsi="Times New Roman" w:cs="Times New Roman"/>
          <w:szCs w:val="24"/>
        </w:rPr>
        <w:lastRenderedPageBreak/>
        <w:t xml:space="preserve">Figure 19 demonstrates that Marriott International has improved in solvency by repaying </w:t>
      </w:r>
      <w:r w:rsidR="003F0AF6" w:rsidRPr="002B4964">
        <w:rPr>
          <w:rFonts w:ascii="Times New Roman" w:hAnsi="Times New Roman" w:cs="Times New Roman"/>
          <w:szCs w:val="24"/>
        </w:rPr>
        <w:t>its</w:t>
      </w:r>
      <w:r w:rsidRPr="002B4964">
        <w:rPr>
          <w:rFonts w:ascii="Times New Roman" w:hAnsi="Times New Roman" w:cs="Times New Roman"/>
          <w:szCs w:val="24"/>
        </w:rPr>
        <w:t xml:space="preserve"> debt obligations. The company has repaid debt and has been funding the required capital from equity sources. The interest coverage ratio has also improved </w:t>
      </w:r>
      <w:r w:rsidR="003F0AF6" w:rsidRPr="002B4964">
        <w:rPr>
          <w:rFonts w:ascii="Times New Roman" w:hAnsi="Times New Roman" w:cs="Times New Roman"/>
          <w:szCs w:val="24"/>
        </w:rPr>
        <w:t>indicating a better ability to pay interest from the profit generated.</w:t>
      </w:r>
      <w:r w:rsidRPr="002B4964">
        <w:rPr>
          <w:rFonts w:ascii="Times New Roman" w:hAnsi="Times New Roman" w:cs="Times New Roman"/>
          <w:szCs w:val="24"/>
        </w:rPr>
        <w:t xml:space="preserve"> </w:t>
      </w:r>
    </w:p>
    <w:p w14:paraId="3F66FD31" w14:textId="1EE07885" w:rsidR="003F0AF6" w:rsidRPr="002B4964" w:rsidRDefault="005E01E8" w:rsidP="002B4964">
      <w:pPr>
        <w:pStyle w:val="Heading1"/>
        <w:spacing w:line="276" w:lineRule="auto"/>
        <w:rPr>
          <w:rFonts w:ascii="Times New Roman" w:hAnsi="Times New Roman" w:cs="Times New Roman"/>
          <w:sz w:val="24"/>
          <w:szCs w:val="24"/>
        </w:rPr>
      </w:pPr>
      <w:bookmarkStart w:id="28" w:name="_Toc118535073"/>
      <w:r w:rsidRPr="002B4964">
        <w:rPr>
          <w:rFonts w:ascii="Times New Roman" w:hAnsi="Times New Roman" w:cs="Times New Roman"/>
          <w:sz w:val="24"/>
          <w:szCs w:val="24"/>
        </w:rPr>
        <w:t xml:space="preserve">4.0 </w:t>
      </w:r>
      <w:r w:rsidR="003F0AF6" w:rsidRPr="002B4964">
        <w:rPr>
          <w:rFonts w:ascii="Times New Roman" w:hAnsi="Times New Roman" w:cs="Times New Roman"/>
          <w:sz w:val="24"/>
          <w:szCs w:val="24"/>
        </w:rPr>
        <w:t>Importance of</w:t>
      </w:r>
      <w:r w:rsidRPr="002B4964">
        <w:rPr>
          <w:rFonts w:ascii="Times New Roman" w:hAnsi="Times New Roman" w:cs="Times New Roman"/>
          <w:sz w:val="24"/>
          <w:szCs w:val="24"/>
        </w:rPr>
        <w:t xml:space="preserve"> </w:t>
      </w:r>
      <w:r w:rsidR="003F0AF6" w:rsidRPr="002B4964">
        <w:rPr>
          <w:rFonts w:ascii="Times New Roman" w:hAnsi="Times New Roman" w:cs="Times New Roman"/>
          <w:sz w:val="24"/>
          <w:szCs w:val="24"/>
        </w:rPr>
        <w:t>Ratio Analysis</w:t>
      </w:r>
      <w:bookmarkEnd w:id="28"/>
    </w:p>
    <w:p w14:paraId="32868D3E" w14:textId="10A50A3E" w:rsidR="005E01E8" w:rsidRPr="002B4964" w:rsidRDefault="003F0AF6" w:rsidP="002B4964">
      <w:pPr>
        <w:spacing w:line="276" w:lineRule="auto"/>
        <w:rPr>
          <w:rFonts w:ascii="Times New Roman" w:hAnsi="Times New Roman" w:cs="Times New Roman"/>
          <w:szCs w:val="24"/>
        </w:rPr>
      </w:pPr>
      <w:r w:rsidRPr="002B4964">
        <w:rPr>
          <w:rFonts w:ascii="Times New Roman" w:hAnsi="Times New Roman" w:cs="Times New Roman"/>
          <w:szCs w:val="24"/>
        </w:rPr>
        <w:t>In terms of global competition, the hotel business is among the very highest. The nature of the sector as a cyclical one that is highly dependent on economic, social, cultural, and environmental shifts makes it vulnerable to abrupt shifts in strategy (Al-</w:t>
      </w:r>
      <w:proofErr w:type="spellStart"/>
      <w:r w:rsidRPr="002B4964">
        <w:rPr>
          <w:rFonts w:ascii="Times New Roman" w:hAnsi="Times New Roman" w:cs="Times New Roman"/>
          <w:szCs w:val="24"/>
        </w:rPr>
        <w:t>Wattar</w:t>
      </w:r>
      <w:proofErr w:type="spellEnd"/>
      <w:r w:rsidRPr="002B4964">
        <w:rPr>
          <w:rFonts w:ascii="Times New Roman" w:hAnsi="Times New Roman" w:cs="Times New Roman"/>
          <w:szCs w:val="24"/>
        </w:rPr>
        <w:t xml:space="preserve"> et Al., 2019). So, it's important for the hotel industry's top financial analysts to use ratio analysis to track the hotels' progress over time. </w:t>
      </w:r>
      <w:r w:rsidR="005E01E8" w:rsidRPr="002B4964">
        <w:rPr>
          <w:rFonts w:ascii="Times New Roman" w:hAnsi="Times New Roman" w:cs="Times New Roman"/>
          <w:szCs w:val="24"/>
        </w:rPr>
        <w:t>The following are the most cruci</w:t>
      </w:r>
      <w:r w:rsidR="007569A7" w:rsidRPr="002B4964">
        <w:rPr>
          <w:rFonts w:ascii="Times New Roman" w:hAnsi="Times New Roman" w:cs="Times New Roman"/>
          <w:szCs w:val="24"/>
        </w:rPr>
        <w:t>al importance</w:t>
      </w:r>
      <w:r w:rsidR="005E01E8" w:rsidRPr="002B4964">
        <w:rPr>
          <w:rFonts w:ascii="Times New Roman" w:hAnsi="Times New Roman" w:cs="Times New Roman"/>
          <w:szCs w:val="24"/>
        </w:rPr>
        <w:t xml:space="preserve"> of ratio analysis:</w:t>
      </w:r>
    </w:p>
    <w:p w14:paraId="406AFECD" w14:textId="77777777" w:rsidR="005E01E8" w:rsidRPr="002B4964" w:rsidRDefault="005E01E8" w:rsidP="002B4964">
      <w:pPr>
        <w:pStyle w:val="ListParagraph"/>
        <w:numPr>
          <w:ilvl w:val="0"/>
          <w:numId w:val="1"/>
        </w:numPr>
        <w:spacing w:line="276" w:lineRule="auto"/>
        <w:rPr>
          <w:rFonts w:ascii="Times New Roman" w:hAnsi="Times New Roman" w:cs="Times New Roman"/>
          <w:szCs w:val="24"/>
        </w:rPr>
      </w:pPr>
      <w:r w:rsidRPr="002B4964">
        <w:rPr>
          <w:rFonts w:ascii="Times New Roman" w:hAnsi="Times New Roman" w:cs="Times New Roman"/>
          <w:b/>
          <w:bCs/>
          <w:szCs w:val="24"/>
        </w:rPr>
        <w:t xml:space="preserve">Management Planning: </w:t>
      </w:r>
      <w:r w:rsidRPr="002B4964">
        <w:rPr>
          <w:rFonts w:ascii="Times New Roman" w:hAnsi="Times New Roman" w:cs="Times New Roman"/>
          <w:szCs w:val="24"/>
        </w:rPr>
        <w:t>Ratio analysis is used to create trend charts. Make comparisons with ease with this set of charts. As one concrete illustration, our research shows that Marriott's profitability has increased, and has done so extremely quickly. The results will aid in strategy discovery and implementation by management.</w:t>
      </w:r>
    </w:p>
    <w:p w14:paraId="0BF38AE7" w14:textId="627551CA" w:rsidR="005E01E8" w:rsidRPr="002B4964" w:rsidRDefault="005E01E8" w:rsidP="002B4964">
      <w:pPr>
        <w:pStyle w:val="ListParagraph"/>
        <w:numPr>
          <w:ilvl w:val="0"/>
          <w:numId w:val="1"/>
        </w:numPr>
        <w:spacing w:line="276" w:lineRule="auto"/>
        <w:rPr>
          <w:rFonts w:ascii="Times New Roman" w:hAnsi="Times New Roman" w:cs="Times New Roman"/>
          <w:szCs w:val="24"/>
        </w:rPr>
      </w:pPr>
      <w:r w:rsidRPr="002B4964">
        <w:rPr>
          <w:rFonts w:ascii="Times New Roman" w:hAnsi="Times New Roman" w:cs="Times New Roman"/>
          <w:b/>
          <w:bCs/>
          <w:szCs w:val="24"/>
        </w:rPr>
        <w:t>Understanding the True Picture:</w:t>
      </w:r>
      <w:r w:rsidR="003F0AF6" w:rsidRPr="002B4964">
        <w:rPr>
          <w:rFonts w:ascii="Times New Roman" w:hAnsi="Times New Roman" w:cs="Times New Roman"/>
          <w:szCs w:val="24"/>
        </w:rPr>
        <w:t xml:space="preserve"> </w:t>
      </w:r>
      <w:r w:rsidRPr="002B4964">
        <w:rPr>
          <w:rFonts w:ascii="Times New Roman" w:hAnsi="Times New Roman" w:cs="Times New Roman"/>
          <w:szCs w:val="24"/>
        </w:rPr>
        <w:t xml:space="preserve">Changes in percentage terms across years are shown in horizontal ratio analysis. Consequently, any significant shift may be readily noticed, which </w:t>
      </w:r>
      <w:proofErr w:type="gramStart"/>
      <w:r w:rsidRPr="002B4964">
        <w:rPr>
          <w:rFonts w:ascii="Times New Roman" w:hAnsi="Times New Roman" w:cs="Times New Roman"/>
          <w:szCs w:val="24"/>
        </w:rPr>
        <w:t>opens up</w:t>
      </w:r>
      <w:proofErr w:type="gramEnd"/>
      <w:r w:rsidRPr="002B4964">
        <w:rPr>
          <w:rFonts w:ascii="Times New Roman" w:hAnsi="Times New Roman" w:cs="Times New Roman"/>
          <w:szCs w:val="24"/>
        </w:rPr>
        <w:t xml:space="preserve"> avenues for additional study.</w:t>
      </w:r>
    </w:p>
    <w:p w14:paraId="47B17077" w14:textId="16F224AA" w:rsidR="005E01E8" w:rsidRPr="002B4964" w:rsidRDefault="005E01E8" w:rsidP="002B4964">
      <w:pPr>
        <w:pStyle w:val="ListParagraph"/>
        <w:numPr>
          <w:ilvl w:val="0"/>
          <w:numId w:val="1"/>
        </w:numPr>
        <w:spacing w:line="276" w:lineRule="auto"/>
        <w:rPr>
          <w:rFonts w:ascii="Times New Roman" w:hAnsi="Times New Roman" w:cs="Times New Roman"/>
          <w:szCs w:val="24"/>
        </w:rPr>
      </w:pPr>
      <w:r w:rsidRPr="002B4964">
        <w:rPr>
          <w:rFonts w:ascii="Times New Roman" w:hAnsi="Times New Roman" w:cs="Times New Roman"/>
          <w:b/>
          <w:bCs/>
          <w:szCs w:val="24"/>
        </w:rPr>
        <w:t>Constant Monitoring:</w:t>
      </w:r>
      <w:r w:rsidR="003F0AF6" w:rsidRPr="002B4964">
        <w:rPr>
          <w:rFonts w:ascii="Times New Roman" w:hAnsi="Times New Roman" w:cs="Times New Roman"/>
          <w:szCs w:val="24"/>
        </w:rPr>
        <w:t xml:space="preserve"> </w:t>
      </w:r>
      <w:r w:rsidRPr="002B4964">
        <w:rPr>
          <w:rFonts w:ascii="Times New Roman" w:hAnsi="Times New Roman" w:cs="Times New Roman"/>
          <w:szCs w:val="24"/>
        </w:rPr>
        <w:t xml:space="preserve">Constant annual ratio calculations are performed. It is useful to maintain a record of the hotel's prior performance. It is also instructive to compare the outcome </w:t>
      </w:r>
      <w:r w:rsidR="007569A7" w:rsidRPr="002B4964">
        <w:rPr>
          <w:rFonts w:ascii="Times New Roman" w:hAnsi="Times New Roman" w:cs="Times New Roman"/>
          <w:szCs w:val="24"/>
        </w:rPr>
        <w:t>regularly</w:t>
      </w:r>
      <w:r w:rsidRPr="002B4964">
        <w:rPr>
          <w:rFonts w:ascii="Times New Roman" w:hAnsi="Times New Roman" w:cs="Times New Roman"/>
          <w:szCs w:val="24"/>
        </w:rPr>
        <w:t xml:space="preserve"> to that of other businesses and industry averages.</w:t>
      </w:r>
    </w:p>
    <w:p w14:paraId="210AE62C" w14:textId="77777777" w:rsidR="005E01E8" w:rsidRPr="002B4964" w:rsidRDefault="005E01E8" w:rsidP="002B4964">
      <w:pPr>
        <w:pStyle w:val="ListParagraph"/>
        <w:numPr>
          <w:ilvl w:val="0"/>
          <w:numId w:val="1"/>
        </w:numPr>
        <w:spacing w:line="276" w:lineRule="auto"/>
        <w:rPr>
          <w:rFonts w:ascii="Times New Roman" w:hAnsi="Times New Roman" w:cs="Times New Roman"/>
          <w:szCs w:val="24"/>
        </w:rPr>
      </w:pPr>
      <w:r w:rsidRPr="002B4964">
        <w:rPr>
          <w:rFonts w:ascii="Times New Roman" w:hAnsi="Times New Roman" w:cs="Times New Roman"/>
          <w:b/>
          <w:bCs/>
          <w:szCs w:val="24"/>
        </w:rPr>
        <w:t xml:space="preserve">Internal </w:t>
      </w:r>
      <w:r w:rsidR="003F0AF6" w:rsidRPr="002B4964">
        <w:rPr>
          <w:rFonts w:ascii="Times New Roman" w:hAnsi="Times New Roman" w:cs="Times New Roman"/>
          <w:b/>
          <w:bCs/>
          <w:szCs w:val="24"/>
        </w:rPr>
        <w:t>Budgeting</w:t>
      </w:r>
      <w:r w:rsidRPr="002B4964">
        <w:rPr>
          <w:rFonts w:ascii="Times New Roman" w:hAnsi="Times New Roman" w:cs="Times New Roman"/>
          <w:b/>
          <w:bCs/>
          <w:szCs w:val="24"/>
        </w:rPr>
        <w:t>:</w:t>
      </w:r>
      <w:r w:rsidRPr="002B4964">
        <w:rPr>
          <w:rFonts w:ascii="Times New Roman" w:hAnsi="Times New Roman" w:cs="Times New Roman"/>
          <w:szCs w:val="24"/>
        </w:rPr>
        <w:t xml:space="preserve"> Using ratios, one may assess the adequacy of a business's fiscal management. There may be a need to reduce expenses, for instance, if operating costs are higher than revenue.</w:t>
      </w:r>
    </w:p>
    <w:p w14:paraId="166B55FB" w14:textId="2067C75D" w:rsidR="003F0AF6" w:rsidRPr="002B4964" w:rsidRDefault="005E01E8" w:rsidP="002B4964">
      <w:pPr>
        <w:pStyle w:val="ListParagraph"/>
        <w:numPr>
          <w:ilvl w:val="0"/>
          <w:numId w:val="1"/>
        </w:numPr>
        <w:spacing w:line="276" w:lineRule="auto"/>
        <w:rPr>
          <w:rFonts w:ascii="Times New Roman" w:hAnsi="Times New Roman" w:cs="Times New Roman"/>
          <w:szCs w:val="24"/>
        </w:rPr>
      </w:pPr>
      <w:r w:rsidRPr="002B4964">
        <w:rPr>
          <w:rFonts w:ascii="Times New Roman" w:hAnsi="Times New Roman" w:cs="Times New Roman"/>
          <w:b/>
          <w:bCs/>
          <w:szCs w:val="24"/>
        </w:rPr>
        <w:t>Improved Efficiency:</w:t>
      </w:r>
      <w:r w:rsidR="003F0AF6" w:rsidRPr="002B4964">
        <w:rPr>
          <w:rFonts w:ascii="Times New Roman" w:hAnsi="Times New Roman" w:cs="Times New Roman"/>
          <w:szCs w:val="24"/>
        </w:rPr>
        <w:t xml:space="preserve"> </w:t>
      </w:r>
      <w:r w:rsidR="007569A7" w:rsidRPr="002B4964">
        <w:rPr>
          <w:rFonts w:ascii="Times New Roman" w:hAnsi="Times New Roman" w:cs="Times New Roman"/>
          <w:szCs w:val="24"/>
        </w:rPr>
        <w:t>To</w:t>
      </w:r>
      <w:r w:rsidRPr="002B4964">
        <w:rPr>
          <w:rFonts w:ascii="Times New Roman" w:hAnsi="Times New Roman" w:cs="Times New Roman"/>
          <w:szCs w:val="24"/>
        </w:rPr>
        <w:t xml:space="preserve"> ascertain how well a firm manages its short- and long-term obligations, liquidity and solvency ratios are used. In addition, it constantly compares the asset and liability balances.</w:t>
      </w:r>
    </w:p>
    <w:p w14:paraId="34B7A745" w14:textId="7C005EB2" w:rsidR="005E01E8" w:rsidRPr="002B4964" w:rsidRDefault="005E01E8" w:rsidP="002B4964">
      <w:pPr>
        <w:pStyle w:val="Heading1"/>
        <w:spacing w:line="276" w:lineRule="auto"/>
        <w:rPr>
          <w:rFonts w:ascii="Times New Roman" w:hAnsi="Times New Roman" w:cs="Times New Roman"/>
          <w:sz w:val="24"/>
          <w:szCs w:val="24"/>
        </w:rPr>
      </w:pPr>
      <w:bookmarkStart w:id="29" w:name="_Toc118535074"/>
      <w:r w:rsidRPr="002B4964">
        <w:rPr>
          <w:rFonts w:ascii="Times New Roman" w:hAnsi="Times New Roman" w:cs="Times New Roman"/>
          <w:sz w:val="24"/>
          <w:szCs w:val="24"/>
        </w:rPr>
        <w:t>5.0 Limitations of Ratio Analysis</w:t>
      </w:r>
      <w:bookmarkEnd w:id="29"/>
    </w:p>
    <w:p w14:paraId="5733F407" w14:textId="77777777" w:rsidR="005E01E8" w:rsidRPr="002B4964" w:rsidRDefault="005E01E8" w:rsidP="002B4964">
      <w:pPr>
        <w:spacing w:line="276" w:lineRule="auto"/>
        <w:rPr>
          <w:rFonts w:ascii="Times New Roman" w:hAnsi="Times New Roman" w:cs="Times New Roman"/>
          <w:szCs w:val="24"/>
        </w:rPr>
      </w:pPr>
      <w:r w:rsidRPr="002B4964">
        <w:rPr>
          <w:rFonts w:ascii="Times New Roman" w:hAnsi="Times New Roman" w:cs="Times New Roman"/>
          <w:szCs w:val="24"/>
        </w:rPr>
        <w:t>While ratio analysis does provide certain useful benefits, it is not without restrictions.</w:t>
      </w:r>
    </w:p>
    <w:p w14:paraId="295B5ACD" w14:textId="77777777" w:rsidR="005E01E8" w:rsidRPr="002B4964" w:rsidRDefault="005E01E8" w:rsidP="002B4964">
      <w:pPr>
        <w:pStyle w:val="ListParagraph"/>
        <w:numPr>
          <w:ilvl w:val="0"/>
          <w:numId w:val="2"/>
        </w:numPr>
        <w:spacing w:line="276" w:lineRule="auto"/>
        <w:rPr>
          <w:rFonts w:ascii="Times New Roman" w:hAnsi="Times New Roman" w:cs="Times New Roman"/>
          <w:szCs w:val="24"/>
        </w:rPr>
      </w:pPr>
      <w:r w:rsidRPr="002B4964">
        <w:rPr>
          <w:rFonts w:ascii="Times New Roman" w:hAnsi="Times New Roman" w:cs="Times New Roman"/>
          <w:szCs w:val="24"/>
        </w:rPr>
        <w:t>The use of ratios in analysis relies entirely on prior information. Future substantial change may occur for economic, societal, and other causes (</w:t>
      </w:r>
      <w:proofErr w:type="spellStart"/>
      <w:r w:rsidRPr="002B4964">
        <w:rPr>
          <w:rFonts w:ascii="Times New Roman" w:hAnsi="Times New Roman" w:cs="Times New Roman"/>
          <w:szCs w:val="24"/>
        </w:rPr>
        <w:t>Valaskova</w:t>
      </w:r>
      <w:proofErr w:type="spellEnd"/>
      <w:r w:rsidRPr="002B4964">
        <w:rPr>
          <w:rFonts w:ascii="Times New Roman" w:hAnsi="Times New Roman" w:cs="Times New Roman"/>
          <w:szCs w:val="24"/>
        </w:rPr>
        <w:t xml:space="preserve"> et Al., 2018). That means it can't provide a 100% guarantee of anything.</w:t>
      </w:r>
    </w:p>
    <w:p w14:paraId="3F0EC20C" w14:textId="77777777" w:rsidR="00030C01" w:rsidRPr="002B4964" w:rsidRDefault="00030C01" w:rsidP="002B4964">
      <w:pPr>
        <w:pStyle w:val="ListParagraph"/>
        <w:numPr>
          <w:ilvl w:val="0"/>
          <w:numId w:val="2"/>
        </w:numPr>
        <w:spacing w:line="276" w:lineRule="auto"/>
        <w:rPr>
          <w:rFonts w:ascii="Times New Roman" w:hAnsi="Times New Roman" w:cs="Times New Roman"/>
          <w:szCs w:val="24"/>
        </w:rPr>
      </w:pPr>
      <w:r w:rsidRPr="002B4964">
        <w:rPr>
          <w:rFonts w:ascii="Times New Roman" w:hAnsi="Times New Roman" w:cs="Times New Roman"/>
          <w:szCs w:val="24"/>
        </w:rPr>
        <w:t>Calculating the ratios incorrectly might result in erroneous results.</w:t>
      </w:r>
    </w:p>
    <w:p w14:paraId="5CD0BF89" w14:textId="77777777" w:rsidR="00030C01" w:rsidRPr="002B4964" w:rsidRDefault="00030C01" w:rsidP="002B4964">
      <w:pPr>
        <w:pStyle w:val="ListParagraph"/>
        <w:numPr>
          <w:ilvl w:val="0"/>
          <w:numId w:val="2"/>
        </w:numPr>
        <w:spacing w:line="276" w:lineRule="auto"/>
        <w:rPr>
          <w:rFonts w:ascii="Times New Roman" w:hAnsi="Times New Roman" w:cs="Times New Roman"/>
          <w:szCs w:val="24"/>
        </w:rPr>
      </w:pPr>
      <w:r w:rsidRPr="002B4964">
        <w:rPr>
          <w:rFonts w:ascii="Times New Roman" w:hAnsi="Times New Roman" w:cs="Times New Roman"/>
          <w:szCs w:val="24"/>
        </w:rPr>
        <w:t>Organizations use a wide variety of accounting methods. Because of this, making comparisons between them requires a certain set of analytical skills that may not always be readily accessible, perhaps leading to erroneous conclusions.</w:t>
      </w:r>
    </w:p>
    <w:p w14:paraId="353DD710" w14:textId="1C764716" w:rsidR="005E01E8" w:rsidRPr="002B4964" w:rsidRDefault="00030C01" w:rsidP="002B4964">
      <w:pPr>
        <w:pStyle w:val="ListParagraph"/>
        <w:numPr>
          <w:ilvl w:val="0"/>
          <w:numId w:val="2"/>
        </w:numPr>
        <w:spacing w:line="276" w:lineRule="auto"/>
        <w:rPr>
          <w:rFonts w:ascii="Times New Roman" w:hAnsi="Times New Roman" w:cs="Times New Roman"/>
          <w:szCs w:val="24"/>
        </w:rPr>
      </w:pPr>
      <w:r w:rsidRPr="002B4964">
        <w:rPr>
          <w:rFonts w:ascii="Times New Roman" w:hAnsi="Times New Roman" w:cs="Times New Roman"/>
          <w:szCs w:val="24"/>
        </w:rPr>
        <w:t>Sometimes data may be changed at the source, leading to inaccurate inferences and projections.</w:t>
      </w:r>
    </w:p>
    <w:p w14:paraId="16F9F099" w14:textId="27391FF5" w:rsidR="00030C01" w:rsidRPr="002B4964" w:rsidRDefault="00030C01" w:rsidP="002B4964">
      <w:pPr>
        <w:pStyle w:val="Heading1"/>
        <w:spacing w:line="276" w:lineRule="auto"/>
        <w:rPr>
          <w:rFonts w:ascii="Times New Roman" w:hAnsi="Times New Roman" w:cs="Times New Roman"/>
          <w:sz w:val="24"/>
          <w:szCs w:val="24"/>
        </w:rPr>
      </w:pPr>
      <w:bookmarkStart w:id="30" w:name="_Toc118535075"/>
      <w:r w:rsidRPr="002B4964">
        <w:rPr>
          <w:rFonts w:ascii="Times New Roman" w:hAnsi="Times New Roman" w:cs="Times New Roman"/>
          <w:sz w:val="24"/>
          <w:szCs w:val="24"/>
        </w:rPr>
        <w:lastRenderedPageBreak/>
        <w:t>6.0 The Necessity of Understanding Ratio Analysis</w:t>
      </w:r>
      <w:bookmarkEnd w:id="30"/>
    </w:p>
    <w:p w14:paraId="101AFFA0" w14:textId="23372F78" w:rsidR="00030C01" w:rsidRPr="002B4964" w:rsidRDefault="00030C01"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Financial problems may be avoided in advance via the use of ratio and trend analysis to predict a company's future performance (Kim, 2018). This analysis revealed, for instance, that Marriott relies substantially on equity. As 2021 </w:t>
      </w:r>
      <w:proofErr w:type="gramStart"/>
      <w:r w:rsidRPr="002B4964">
        <w:rPr>
          <w:rFonts w:ascii="Times New Roman" w:hAnsi="Times New Roman" w:cs="Times New Roman"/>
          <w:szCs w:val="24"/>
        </w:rPr>
        <w:t>comes to a close</w:t>
      </w:r>
      <w:proofErr w:type="gramEnd"/>
      <w:r w:rsidRPr="002B4964">
        <w:rPr>
          <w:rFonts w:ascii="Times New Roman" w:hAnsi="Times New Roman" w:cs="Times New Roman"/>
          <w:szCs w:val="24"/>
        </w:rPr>
        <w:t xml:space="preserve">, they have decided to boost their equity financing compared to 2020. Ratio analysis is a useful tool for assessing a company's profitability and gaining insight into its operations. </w:t>
      </w:r>
      <w:proofErr w:type="gramStart"/>
      <w:r w:rsidRPr="002B4964">
        <w:rPr>
          <w:rFonts w:ascii="Times New Roman" w:hAnsi="Times New Roman" w:cs="Times New Roman"/>
          <w:szCs w:val="24"/>
        </w:rPr>
        <w:t>In the near future</w:t>
      </w:r>
      <w:proofErr w:type="gramEnd"/>
      <w:r w:rsidRPr="002B4964">
        <w:rPr>
          <w:rFonts w:ascii="Times New Roman" w:hAnsi="Times New Roman" w:cs="Times New Roman"/>
          <w:szCs w:val="24"/>
        </w:rPr>
        <w:t xml:space="preserve">, an analyst may foresee shifts in industrial activity and </w:t>
      </w:r>
      <w:r w:rsidR="007569A7" w:rsidRPr="002B4964">
        <w:rPr>
          <w:rFonts w:ascii="Times New Roman" w:hAnsi="Times New Roman" w:cs="Times New Roman"/>
          <w:szCs w:val="24"/>
        </w:rPr>
        <w:t>trends</w:t>
      </w:r>
      <w:r w:rsidRPr="002B4964">
        <w:rPr>
          <w:rFonts w:ascii="Times New Roman" w:hAnsi="Times New Roman" w:cs="Times New Roman"/>
          <w:szCs w:val="24"/>
        </w:rPr>
        <w:t xml:space="preserve">. Experts might benchmark their findings against those of their peers and statistical information from their field. They </w:t>
      </w:r>
      <w:proofErr w:type="gramStart"/>
      <w:r w:rsidRPr="002B4964">
        <w:rPr>
          <w:rFonts w:ascii="Times New Roman" w:hAnsi="Times New Roman" w:cs="Times New Roman"/>
          <w:szCs w:val="24"/>
        </w:rPr>
        <w:t>are able to</w:t>
      </w:r>
      <w:proofErr w:type="gramEnd"/>
      <w:r w:rsidRPr="002B4964">
        <w:rPr>
          <w:rFonts w:ascii="Times New Roman" w:hAnsi="Times New Roman" w:cs="Times New Roman"/>
          <w:szCs w:val="24"/>
        </w:rPr>
        <w:t xml:space="preserve"> determine valid justifications for every major shift. Knowing how to use ratio analysis can help them </w:t>
      </w:r>
      <w:proofErr w:type="gramStart"/>
      <w:r w:rsidRPr="002B4964">
        <w:rPr>
          <w:rFonts w:ascii="Times New Roman" w:hAnsi="Times New Roman" w:cs="Times New Roman"/>
          <w:szCs w:val="24"/>
        </w:rPr>
        <w:t>plan for the future</w:t>
      </w:r>
      <w:proofErr w:type="gramEnd"/>
      <w:r w:rsidRPr="002B4964">
        <w:rPr>
          <w:rFonts w:ascii="Times New Roman" w:hAnsi="Times New Roman" w:cs="Times New Roman"/>
          <w:szCs w:val="24"/>
        </w:rPr>
        <w:t xml:space="preserve"> and win over upper management.</w:t>
      </w:r>
    </w:p>
    <w:p w14:paraId="14EC116C" w14:textId="456481B5" w:rsidR="00030C01" w:rsidRPr="002B4964" w:rsidRDefault="00030C01" w:rsidP="002B4964">
      <w:pPr>
        <w:pStyle w:val="Heading1"/>
        <w:spacing w:line="276" w:lineRule="auto"/>
        <w:rPr>
          <w:rFonts w:ascii="Times New Roman" w:hAnsi="Times New Roman" w:cs="Times New Roman"/>
          <w:sz w:val="24"/>
          <w:szCs w:val="24"/>
        </w:rPr>
      </w:pPr>
      <w:bookmarkStart w:id="31" w:name="_Toc118535076"/>
      <w:r w:rsidRPr="002B4964">
        <w:rPr>
          <w:rFonts w:ascii="Times New Roman" w:hAnsi="Times New Roman" w:cs="Times New Roman"/>
          <w:sz w:val="24"/>
          <w:szCs w:val="24"/>
        </w:rPr>
        <w:t>07. Conclusion</w:t>
      </w:r>
      <w:bookmarkEnd w:id="31"/>
    </w:p>
    <w:p w14:paraId="3BD0E9A0" w14:textId="2FECADD1" w:rsidR="00030C01"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The company's earnings have been on the rise recently. An increase in profitability is shown by the ratios in 2021. In 2021, both the current ratio and quick ratio attest to Marriott International's enhanced liquidity. Utilization of assets, management of receivables, and control of payables are all areas where Marriott International has made progress. The firm has eliminated its debt and is meeting its current capital needs via internal resources and external financing. The interest coverage ratio is higher, too, suggesting more money available for interest payments. Though it has its drawbacks, ratio analysis is nevertheless an extremely useful tool. Profitability and operational understanding may be gauged with the use of ratio analysis.</w:t>
      </w:r>
    </w:p>
    <w:p w14:paraId="25D4F69B" w14:textId="76055D51" w:rsidR="007569A7" w:rsidRPr="002B4964" w:rsidRDefault="007569A7" w:rsidP="002B4964">
      <w:pPr>
        <w:spacing w:line="276" w:lineRule="auto"/>
        <w:rPr>
          <w:rFonts w:ascii="Times New Roman" w:hAnsi="Times New Roman" w:cs="Times New Roman"/>
          <w:szCs w:val="24"/>
        </w:rPr>
      </w:pPr>
    </w:p>
    <w:p w14:paraId="0CEBEE5F" w14:textId="1724C4EB" w:rsidR="007569A7" w:rsidRPr="002B4964" w:rsidRDefault="007569A7" w:rsidP="002B4964">
      <w:pPr>
        <w:spacing w:line="276" w:lineRule="auto"/>
        <w:rPr>
          <w:rFonts w:ascii="Times New Roman" w:hAnsi="Times New Roman" w:cs="Times New Roman"/>
          <w:szCs w:val="24"/>
        </w:rPr>
      </w:pPr>
    </w:p>
    <w:p w14:paraId="78A3394B" w14:textId="28D9EEDB" w:rsidR="001F57FF" w:rsidRPr="002B4964" w:rsidRDefault="001F57FF" w:rsidP="002B4964">
      <w:pPr>
        <w:spacing w:line="276" w:lineRule="auto"/>
        <w:rPr>
          <w:rFonts w:ascii="Times New Roman" w:hAnsi="Times New Roman" w:cs="Times New Roman"/>
          <w:szCs w:val="24"/>
        </w:rPr>
      </w:pPr>
    </w:p>
    <w:p w14:paraId="4BACFDBB" w14:textId="468ED549" w:rsidR="001F57FF" w:rsidRPr="002B4964" w:rsidRDefault="001F57FF" w:rsidP="002B4964">
      <w:pPr>
        <w:spacing w:line="276" w:lineRule="auto"/>
        <w:rPr>
          <w:rFonts w:ascii="Times New Roman" w:hAnsi="Times New Roman" w:cs="Times New Roman"/>
          <w:szCs w:val="24"/>
        </w:rPr>
      </w:pPr>
    </w:p>
    <w:p w14:paraId="70993000" w14:textId="77777777" w:rsidR="001F57FF" w:rsidRPr="002B4964" w:rsidRDefault="001F57FF" w:rsidP="002B4964">
      <w:pPr>
        <w:spacing w:line="276" w:lineRule="auto"/>
        <w:rPr>
          <w:rFonts w:ascii="Times New Roman" w:hAnsi="Times New Roman" w:cs="Times New Roman"/>
          <w:szCs w:val="24"/>
        </w:rPr>
      </w:pPr>
    </w:p>
    <w:p w14:paraId="5B57D656" w14:textId="53C68EB6" w:rsidR="007569A7" w:rsidRPr="002B4964" w:rsidRDefault="007569A7" w:rsidP="002B4964">
      <w:pPr>
        <w:spacing w:line="276" w:lineRule="auto"/>
        <w:rPr>
          <w:rFonts w:ascii="Times New Roman" w:hAnsi="Times New Roman" w:cs="Times New Roman"/>
          <w:szCs w:val="24"/>
        </w:rPr>
      </w:pPr>
    </w:p>
    <w:p w14:paraId="035DC46C" w14:textId="6BF89582" w:rsidR="007569A7" w:rsidRPr="002B4964" w:rsidRDefault="007569A7" w:rsidP="002B4964">
      <w:pPr>
        <w:pStyle w:val="Heading1"/>
        <w:spacing w:line="276" w:lineRule="auto"/>
        <w:rPr>
          <w:rFonts w:ascii="Times New Roman" w:hAnsi="Times New Roman" w:cs="Times New Roman"/>
          <w:sz w:val="24"/>
          <w:szCs w:val="24"/>
        </w:rPr>
      </w:pPr>
      <w:bookmarkStart w:id="32" w:name="_Toc118535077"/>
      <w:r w:rsidRPr="002B4964">
        <w:rPr>
          <w:rFonts w:ascii="Times New Roman" w:hAnsi="Times New Roman" w:cs="Times New Roman"/>
          <w:sz w:val="24"/>
          <w:szCs w:val="24"/>
        </w:rPr>
        <w:t>Reference</w:t>
      </w:r>
      <w:bookmarkEnd w:id="32"/>
    </w:p>
    <w:p w14:paraId="03BD56A8" w14:textId="77777777" w:rsidR="007569A7" w:rsidRPr="002B4964" w:rsidRDefault="007569A7" w:rsidP="002B4964">
      <w:pPr>
        <w:spacing w:line="276" w:lineRule="auto"/>
        <w:rPr>
          <w:rFonts w:ascii="Times New Roman" w:hAnsi="Times New Roman" w:cs="Times New Roman"/>
          <w:szCs w:val="24"/>
        </w:rPr>
      </w:pPr>
      <w:proofErr w:type="spellStart"/>
      <w:r w:rsidRPr="002B4964">
        <w:rPr>
          <w:rFonts w:ascii="Times New Roman" w:hAnsi="Times New Roman" w:cs="Times New Roman"/>
          <w:szCs w:val="24"/>
        </w:rPr>
        <w:t>Bloomenthal</w:t>
      </w:r>
      <w:proofErr w:type="spellEnd"/>
      <w:r w:rsidRPr="002B4964">
        <w:rPr>
          <w:rFonts w:ascii="Times New Roman" w:hAnsi="Times New Roman" w:cs="Times New Roman"/>
          <w:szCs w:val="24"/>
        </w:rPr>
        <w:t>, A. (2022, August 17). How Ratio Analysis Works. Retrieved from Investopedia website: https://www.investopedia.com/terms/r/ratioanalysis.asp</w:t>
      </w:r>
    </w:p>
    <w:p w14:paraId="11B2191E"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Nadar, D. S., &amp; Wadhwa, B. (2019). Theoretical Review of the Role of Financial Ratios. SSRN Electronic Journal. https://doi.org/10.2139/ssrn.3472673</w:t>
      </w:r>
    </w:p>
    <w:p w14:paraId="787A3C35"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Marriott. (2019). About Marriott International | Corporate Information. Retrieved from Marriott.com website: https://www.marriott.com/marriott/aboutmarriott.mi</w:t>
      </w:r>
    </w:p>
    <w:p w14:paraId="0464B2D2"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Titman, S., Martin, T., Keown, A. J., &amp; Martin, J. D. (2018). Financial </w:t>
      </w:r>
      <w:proofErr w:type="gramStart"/>
      <w:r w:rsidRPr="002B4964">
        <w:rPr>
          <w:rFonts w:ascii="Times New Roman" w:hAnsi="Times New Roman" w:cs="Times New Roman"/>
          <w:szCs w:val="24"/>
        </w:rPr>
        <w:t>management :</w:t>
      </w:r>
      <w:proofErr w:type="gramEnd"/>
      <w:r w:rsidRPr="002B4964">
        <w:rPr>
          <w:rFonts w:ascii="Times New Roman" w:hAnsi="Times New Roman" w:cs="Times New Roman"/>
          <w:szCs w:val="24"/>
        </w:rPr>
        <w:t xml:space="preserve"> principles and applications. Melbourne, Vic: Pearson Australia.</w:t>
      </w:r>
    </w:p>
    <w:p w14:paraId="262CD59E" w14:textId="32DA9408"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lastRenderedPageBreak/>
        <w:t>Brigham, E. F., &amp; Houston, J. F. (2012). Fundamentals of financial management: study guide. Mason, Ohio: South-Western Cengage Learning.</w:t>
      </w:r>
    </w:p>
    <w:p w14:paraId="210BD223"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Hayes, A. (2021, August 22). Understanding Return on Capital Employed (ROCE). Retrieved from Investopedia website: https://www.investopedia.com/terms/r/roce.asp</w:t>
      </w:r>
    </w:p>
    <w:p w14:paraId="5D8943FB"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Brigham, E. F., &amp; Ehrhardt, M. C. (2020). Financial Management: Theory &amp; Practice. Boston, MA: Cengage.</w:t>
      </w:r>
    </w:p>
    <w:p w14:paraId="7601E805"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 xml:space="preserve">Berk, J., &amp; </w:t>
      </w:r>
      <w:proofErr w:type="spellStart"/>
      <w:r w:rsidRPr="002B4964">
        <w:rPr>
          <w:rFonts w:ascii="Times New Roman" w:hAnsi="Times New Roman" w:cs="Times New Roman"/>
          <w:szCs w:val="24"/>
        </w:rPr>
        <w:t>Demarzo</w:t>
      </w:r>
      <w:proofErr w:type="spellEnd"/>
      <w:r w:rsidRPr="002B4964">
        <w:rPr>
          <w:rFonts w:ascii="Times New Roman" w:hAnsi="Times New Roman" w:cs="Times New Roman"/>
          <w:szCs w:val="24"/>
        </w:rPr>
        <w:t>, P. (2020). Corporate finance (5th ed.). Harlow: Pearson Education Limited.</w:t>
      </w:r>
    </w:p>
    <w:p w14:paraId="422F00FA" w14:textId="7777777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Hayes, A. (2022, February 23). Asset Turnover Ratio. Retrieved from Investopedia website: https://www.investopedia.com/terms/a/assetturnover.asp</w:t>
      </w:r>
    </w:p>
    <w:p w14:paraId="204545B9" w14:textId="69E181F7" w:rsidR="007569A7" w:rsidRPr="002B4964" w:rsidRDefault="007569A7" w:rsidP="002B4964">
      <w:pPr>
        <w:spacing w:line="276" w:lineRule="auto"/>
        <w:rPr>
          <w:rFonts w:ascii="Times New Roman" w:hAnsi="Times New Roman" w:cs="Times New Roman"/>
          <w:szCs w:val="24"/>
        </w:rPr>
      </w:pPr>
      <w:r w:rsidRPr="002B4964">
        <w:rPr>
          <w:rFonts w:ascii="Times New Roman" w:hAnsi="Times New Roman" w:cs="Times New Roman"/>
          <w:szCs w:val="24"/>
        </w:rPr>
        <w:t>Al-</w:t>
      </w:r>
      <w:proofErr w:type="spellStart"/>
      <w:r w:rsidRPr="002B4964">
        <w:rPr>
          <w:rFonts w:ascii="Times New Roman" w:hAnsi="Times New Roman" w:cs="Times New Roman"/>
          <w:szCs w:val="24"/>
        </w:rPr>
        <w:t>Wattar</w:t>
      </w:r>
      <w:proofErr w:type="spellEnd"/>
      <w:r w:rsidRPr="002B4964">
        <w:rPr>
          <w:rFonts w:ascii="Times New Roman" w:hAnsi="Times New Roman" w:cs="Times New Roman"/>
          <w:szCs w:val="24"/>
        </w:rPr>
        <w:t xml:space="preserve">, Y.M.A., </w:t>
      </w:r>
      <w:proofErr w:type="spellStart"/>
      <w:r w:rsidRPr="002B4964">
        <w:rPr>
          <w:rFonts w:ascii="Times New Roman" w:hAnsi="Times New Roman" w:cs="Times New Roman"/>
          <w:szCs w:val="24"/>
        </w:rPr>
        <w:t>Almagtome</w:t>
      </w:r>
      <w:proofErr w:type="spellEnd"/>
      <w:r w:rsidRPr="002B4964">
        <w:rPr>
          <w:rFonts w:ascii="Times New Roman" w:hAnsi="Times New Roman" w:cs="Times New Roman"/>
          <w:szCs w:val="24"/>
        </w:rPr>
        <w:t>, A.H. and Al-</w:t>
      </w:r>
      <w:proofErr w:type="spellStart"/>
      <w:r w:rsidRPr="002B4964">
        <w:rPr>
          <w:rFonts w:ascii="Times New Roman" w:hAnsi="Times New Roman" w:cs="Times New Roman"/>
          <w:szCs w:val="24"/>
        </w:rPr>
        <w:t>Shafeay</w:t>
      </w:r>
      <w:proofErr w:type="spellEnd"/>
      <w:r w:rsidRPr="002B4964">
        <w:rPr>
          <w:rFonts w:ascii="Times New Roman" w:hAnsi="Times New Roman" w:cs="Times New Roman"/>
          <w:szCs w:val="24"/>
        </w:rPr>
        <w:t>, K.M. (2019). The role of integrating hotel sustainability reporting practices into an Accounting Information System to enhance Hotel Financial Performance: Evidence from Iraq. African Journal of Hospitality, Tourism and Leisure, 8(5), 1-16.</w:t>
      </w:r>
    </w:p>
    <w:p w14:paraId="0B43CFDA" w14:textId="017DC93E" w:rsidR="008B2D41" w:rsidRPr="002B4964" w:rsidRDefault="008B2D41" w:rsidP="002B4964">
      <w:pPr>
        <w:spacing w:line="276" w:lineRule="auto"/>
        <w:rPr>
          <w:rFonts w:ascii="Times New Roman" w:hAnsi="Times New Roman" w:cs="Times New Roman"/>
          <w:szCs w:val="24"/>
        </w:rPr>
      </w:pPr>
      <w:r w:rsidRPr="002B4964">
        <w:rPr>
          <w:rFonts w:ascii="Times New Roman" w:hAnsi="Times New Roman" w:cs="Times New Roman"/>
          <w:szCs w:val="24"/>
        </w:rPr>
        <w:t>Kim, S.Y. (2018). Predicting hospitality financial distress with ensemble models: the case of US hotels, restaurants, and amusement and recreation. Service Business, 12(3), 483-503.</w:t>
      </w:r>
    </w:p>
    <w:p w14:paraId="3A8C8CFF" w14:textId="1C9087F3" w:rsidR="007569A7" w:rsidRPr="002B4964" w:rsidRDefault="007569A7" w:rsidP="002B4964">
      <w:pPr>
        <w:spacing w:line="276" w:lineRule="auto"/>
        <w:rPr>
          <w:rFonts w:ascii="Times New Roman" w:hAnsi="Times New Roman" w:cs="Times New Roman"/>
          <w:szCs w:val="24"/>
        </w:rPr>
      </w:pPr>
      <w:proofErr w:type="spellStart"/>
      <w:r w:rsidRPr="002B4964">
        <w:rPr>
          <w:rFonts w:ascii="Times New Roman" w:hAnsi="Times New Roman" w:cs="Times New Roman"/>
          <w:szCs w:val="24"/>
        </w:rPr>
        <w:t>Valaskova</w:t>
      </w:r>
      <w:proofErr w:type="spellEnd"/>
      <w:r w:rsidRPr="002B4964">
        <w:rPr>
          <w:rFonts w:ascii="Times New Roman" w:hAnsi="Times New Roman" w:cs="Times New Roman"/>
          <w:szCs w:val="24"/>
        </w:rPr>
        <w:t xml:space="preserve">, K., </w:t>
      </w:r>
      <w:proofErr w:type="spellStart"/>
      <w:r w:rsidRPr="002B4964">
        <w:rPr>
          <w:rFonts w:ascii="Times New Roman" w:hAnsi="Times New Roman" w:cs="Times New Roman"/>
          <w:szCs w:val="24"/>
        </w:rPr>
        <w:t>Kliestik</w:t>
      </w:r>
      <w:proofErr w:type="spellEnd"/>
      <w:r w:rsidRPr="002B4964">
        <w:rPr>
          <w:rFonts w:ascii="Times New Roman" w:hAnsi="Times New Roman" w:cs="Times New Roman"/>
          <w:szCs w:val="24"/>
        </w:rPr>
        <w:t xml:space="preserve">, T. and </w:t>
      </w:r>
      <w:proofErr w:type="spellStart"/>
      <w:r w:rsidRPr="002B4964">
        <w:rPr>
          <w:rFonts w:ascii="Times New Roman" w:hAnsi="Times New Roman" w:cs="Times New Roman"/>
          <w:szCs w:val="24"/>
        </w:rPr>
        <w:t>Kovacova</w:t>
      </w:r>
      <w:proofErr w:type="spellEnd"/>
      <w:r w:rsidRPr="002B4964">
        <w:rPr>
          <w:rFonts w:ascii="Times New Roman" w:hAnsi="Times New Roman" w:cs="Times New Roman"/>
          <w:szCs w:val="24"/>
        </w:rPr>
        <w:t xml:space="preserve">, M. (2018). Management of financial risks in Slovak enterprises using regression analysis. </w:t>
      </w:r>
      <w:proofErr w:type="spellStart"/>
      <w:r w:rsidRPr="002B4964">
        <w:rPr>
          <w:rFonts w:ascii="Times New Roman" w:hAnsi="Times New Roman" w:cs="Times New Roman"/>
          <w:szCs w:val="24"/>
        </w:rPr>
        <w:t>Oeconomia</w:t>
      </w:r>
      <w:proofErr w:type="spellEnd"/>
      <w:r w:rsidRPr="002B4964">
        <w:rPr>
          <w:rFonts w:ascii="Times New Roman" w:hAnsi="Times New Roman" w:cs="Times New Roman"/>
          <w:szCs w:val="24"/>
        </w:rPr>
        <w:t xml:space="preserve"> </w:t>
      </w:r>
      <w:proofErr w:type="spellStart"/>
      <w:r w:rsidRPr="002B4964">
        <w:rPr>
          <w:rFonts w:ascii="Times New Roman" w:hAnsi="Times New Roman" w:cs="Times New Roman"/>
          <w:szCs w:val="24"/>
        </w:rPr>
        <w:t>Copernicana</w:t>
      </w:r>
      <w:proofErr w:type="spellEnd"/>
      <w:r w:rsidRPr="002B4964">
        <w:rPr>
          <w:rFonts w:ascii="Times New Roman" w:hAnsi="Times New Roman" w:cs="Times New Roman"/>
          <w:szCs w:val="24"/>
        </w:rPr>
        <w:t>, 9(1), 105-121.</w:t>
      </w:r>
    </w:p>
    <w:sectPr w:rsidR="007569A7" w:rsidRPr="002B4964" w:rsidSect="00EB7EF9">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0B34D" w14:textId="77777777" w:rsidR="00C35749" w:rsidRDefault="00C35749" w:rsidP="00EB7EF9">
      <w:pPr>
        <w:spacing w:after="0" w:line="240" w:lineRule="auto"/>
      </w:pPr>
      <w:r>
        <w:separator/>
      </w:r>
    </w:p>
  </w:endnote>
  <w:endnote w:type="continuationSeparator" w:id="0">
    <w:p w14:paraId="3AC5815C" w14:textId="77777777" w:rsidR="00C35749" w:rsidRDefault="00C35749" w:rsidP="00EB7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A30B" w14:textId="46861F64" w:rsidR="00EB7EF9" w:rsidRDefault="00EB7EF9">
    <w:pPr>
      <w:pStyle w:val="Footer"/>
      <w:jc w:val="right"/>
    </w:pPr>
  </w:p>
  <w:p w14:paraId="708DEF7C" w14:textId="77777777" w:rsidR="00EB7EF9" w:rsidRDefault="00EB7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899697"/>
      <w:docPartObj>
        <w:docPartGallery w:val="Page Numbers (Bottom of Page)"/>
        <w:docPartUnique/>
      </w:docPartObj>
    </w:sdtPr>
    <w:sdtContent>
      <w:p w14:paraId="732C623D" w14:textId="77777777" w:rsidR="00EB7EF9" w:rsidRDefault="00EB7EF9">
        <w:pPr>
          <w:pStyle w:val="Footer"/>
          <w:jc w:val="right"/>
        </w:pPr>
        <w:r>
          <w:fldChar w:fldCharType="begin"/>
        </w:r>
        <w:r>
          <w:instrText xml:space="preserve"> PAGE   \* MERGEFORMAT </w:instrText>
        </w:r>
        <w:r>
          <w:fldChar w:fldCharType="separate"/>
        </w:r>
        <w:r>
          <w:t>2</w:t>
        </w:r>
        <w:r>
          <w:fldChar w:fldCharType="end"/>
        </w:r>
      </w:p>
    </w:sdtContent>
  </w:sdt>
  <w:p w14:paraId="08C1C2A3" w14:textId="77777777" w:rsidR="00EB7EF9" w:rsidRDefault="00EB7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86BAD" w14:textId="77777777" w:rsidR="00C35749" w:rsidRDefault="00C35749" w:rsidP="00EB7EF9">
      <w:pPr>
        <w:spacing w:after="0" w:line="240" w:lineRule="auto"/>
      </w:pPr>
      <w:r>
        <w:separator/>
      </w:r>
    </w:p>
  </w:footnote>
  <w:footnote w:type="continuationSeparator" w:id="0">
    <w:p w14:paraId="7CE40FED" w14:textId="77777777" w:rsidR="00C35749" w:rsidRDefault="00C35749" w:rsidP="00EB7E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145DD"/>
    <w:multiLevelType w:val="hybridMultilevel"/>
    <w:tmpl w:val="757A5D8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2FDC34A9"/>
    <w:multiLevelType w:val="hybridMultilevel"/>
    <w:tmpl w:val="001C8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AF389F"/>
    <w:multiLevelType w:val="multilevel"/>
    <w:tmpl w:val="CF881C12"/>
    <w:lvl w:ilvl="0">
      <w:start w:val="6"/>
      <w:numFmt w:val="decimal"/>
      <w:lvlText w:val="%1.0"/>
      <w:lvlJc w:val="left"/>
      <w:pPr>
        <w:ind w:left="1104" w:hanging="720"/>
      </w:pPr>
      <w:rPr>
        <w:rFonts w:hint="default"/>
      </w:rPr>
    </w:lvl>
    <w:lvl w:ilvl="1">
      <w:start w:val="1"/>
      <w:numFmt w:val="decimal"/>
      <w:lvlText w:val="%1.%2"/>
      <w:lvlJc w:val="left"/>
      <w:pPr>
        <w:ind w:left="1824" w:hanging="720"/>
      </w:pPr>
      <w:rPr>
        <w:rFonts w:hint="default"/>
      </w:rPr>
    </w:lvl>
    <w:lvl w:ilvl="2">
      <w:start w:val="1"/>
      <w:numFmt w:val="decimal"/>
      <w:lvlText w:val="%1.%2.%3"/>
      <w:lvlJc w:val="left"/>
      <w:pPr>
        <w:ind w:left="2544" w:hanging="720"/>
      </w:pPr>
      <w:rPr>
        <w:rFonts w:hint="default"/>
      </w:rPr>
    </w:lvl>
    <w:lvl w:ilvl="3">
      <w:start w:val="1"/>
      <w:numFmt w:val="decimal"/>
      <w:lvlText w:val="%1.%2.%3.%4"/>
      <w:lvlJc w:val="left"/>
      <w:pPr>
        <w:ind w:left="3624" w:hanging="1080"/>
      </w:pPr>
      <w:rPr>
        <w:rFonts w:hint="default"/>
      </w:rPr>
    </w:lvl>
    <w:lvl w:ilvl="4">
      <w:start w:val="1"/>
      <w:numFmt w:val="decimal"/>
      <w:lvlText w:val="%1.%2.%3.%4.%5"/>
      <w:lvlJc w:val="left"/>
      <w:pPr>
        <w:ind w:left="4704" w:hanging="1440"/>
      </w:pPr>
      <w:rPr>
        <w:rFonts w:hint="default"/>
      </w:rPr>
    </w:lvl>
    <w:lvl w:ilvl="5">
      <w:start w:val="1"/>
      <w:numFmt w:val="decimal"/>
      <w:lvlText w:val="%1.%2.%3.%4.%5.%6"/>
      <w:lvlJc w:val="left"/>
      <w:pPr>
        <w:ind w:left="5424"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24" w:hanging="1800"/>
      </w:pPr>
      <w:rPr>
        <w:rFonts w:hint="default"/>
      </w:rPr>
    </w:lvl>
    <w:lvl w:ilvl="8">
      <w:start w:val="1"/>
      <w:numFmt w:val="decimal"/>
      <w:lvlText w:val="%1.%2.%3.%4.%5.%6.%7.%8.%9"/>
      <w:lvlJc w:val="left"/>
      <w:pPr>
        <w:ind w:left="8304" w:hanging="2160"/>
      </w:pPr>
      <w:rPr>
        <w:rFonts w:hint="default"/>
      </w:rPr>
    </w:lvl>
  </w:abstractNum>
  <w:abstractNum w:abstractNumId="3" w15:restartNumberingAfterBreak="0">
    <w:nsid w:val="3818241F"/>
    <w:multiLevelType w:val="multilevel"/>
    <w:tmpl w:val="F81E1766"/>
    <w:lvl w:ilvl="0">
      <w:start w:val="6"/>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E4B1663"/>
    <w:multiLevelType w:val="hybridMultilevel"/>
    <w:tmpl w:val="227EA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846694">
    <w:abstractNumId w:val="0"/>
  </w:num>
  <w:num w:numId="2" w16cid:durableId="908342493">
    <w:abstractNumId w:val="4"/>
  </w:num>
  <w:num w:numId="3" w16cid:durableId="4134557">
    <w:abstractNumId w:val="1"/>
  </w:num>
  <w:num w:numId="4" w16cid:durableId="44110318">
    <w:abstractNumId w:val="3"/>
  </w:num>
  <w:num w:numId="5" w16cid:durableId="515198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61C"/>
    <w:rsid w:val="00030C01"/>
    <w:rsid w:val="000D01A6"/>
    <w:rsid w:val="000E6A98"/>
    <w:rsid w:val="000E7656"/>
    <w:rsid w:val="000F5047"/>
    <w:rsid w:val="00152DDA"/>
    <w:rsid w:val="001F57FF"/>
    <w:rsid w:val="00220F31"/>
    <w:rsid w:val="002314C4"/>
    <w:rsid w:val="00246165"/>
    <w:rsid w:val="002B4964"/>
    <w:rsid w:val="002C2455"/>
    <w:rsid w:val="002E0B6D"/>
    <w:rsid w:val="002F50CD"/>
    <w:rsid w:val="003405CF"/>
    <w:rsid w:val="00342B0F"/>
    <w:rsid w:val="003504BD"/>
    <w:rsid w:val="003555EA"/>
    <w:rsid w:val="00355EB8"/>
    <w:rsid w:val="003719A9"/>
    <w:rsid w:val="003B2804"/>
    <w:rsid w:val="003C1AC5"/>
    <w:rsid w:val="003C3D83"/>
    <w:rsid w:val="003F0AF6"/>
    <w:rsid w:val="0041218D"/>
    <w:rsid w:val="00480324"/>
    <w:rsid w:val="004941DE"/>
    <w:rsid w:val="0050450D"/>
    <w:rsid w:val="00586A1B"/>
    <w:rsid w:val="005E01E8"/>
    <w:rsid w:val="006A0847"/>
    <w:rsid w:val="006A392D"/>
    <w:rsid w:val="00736F39"/>
    <w:rsid w:val="007569A7"/>
    <w:rsid w:val="007B6F49"/>
    <w:rsid w:val="007D0BA4"/>
    <w:rsid w:val="00822D8D"/>
    <w:rsid w:val="00832F18"/>
    <w:rsid w:val="008B2D41"/>
    <w:rsid w:val="008C750D"/>
    <w:rsid w:val="008E0D79"/>
    <w:rsid w:val="00907652"/>
    <w:rsid w:val="00937970"/>
    <w:rsid w:val="00A262E9"/>
    <w:rsid w:val="00AC7ADA"/>
    <w:rsid w:val="00B42F79"/>
    <w:rsid w:val="00B876F9"/>
    <w:rsid w:val="00BB35EE"/>
    <w:rsid w:val="00BD61F1"/>
    <w:rsid w:val="00C35749"/>
    <w:rsid w:val="00C630C0"/>
    <w:rsid w:val="00C72167"/>
    <w:rsid w:val="00D00785"/>
    <w:rsid w:val="00D24DB6"/>
    <w:rsid w:val="00D82CAA"/>
    <w:rsid w:val="00DB794B"/>
    <w:rsid w:val="00DD4CED"/>
    <w:rsid w:val="00E40C64"/>
    <w:rsid w:val="00E97FBB"/>
    <w:rsid w:val="00EB7EF9"/>
    <w:rsid w:val="00EE10B0"/>
    <w:rsid w:val="00F11D69"/>
    <w:rsid w:val="00F2138A"/>
    <w:rsid w:val="00F7461C"/>
    <w:rsid w:val="00F8709A"/>
    <w:rsid w:val="00F93E63"/>
    <w:rsid w:val="00F95431"/>
    <w:rsid w:val="00FB6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88C8D"/>
  <w15:chartTrackingRefBased/>
  <w15:docId w15:val="{F6B440D3-1566-4BF4-BEBB-8A257923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18D"/>
    <w:pPr>
      <w:spacing w:line="360" w:lineRule="auto"/>
      <w:jc w:val="both"/>
    </w:pPr>
    <w:rPr>
      <w:rFonts w:ascii="Arial" w:hAnsi="Arial"/>
      <w:sz w:val="24"/>
    </w:rPr>
  </w:style>
  <w:style w:type="paragraph" w:styleId="Heading1">
    <w:name w:val="heading 1"/>
    <w:basedOn w:val="Normal"/>
    <w:next w:val="Normal"/>
    <w:link w:val="Heading1Char"/>
    <w:uiPriority w:val="9"/>
    <w:qFormat/>
    <w:rsid w:val="00B876F9"/>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55EB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586A1B"/>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6F9"/>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355EB8"/>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586A1B"/>
    <w:rPr>
      <w:rFonts w:ascii="Arial" w:eastAsiaTheme="majorEastAsia" w:hAnsi="Arial" w:cstheme="majorBidi"/>
      <w:i/>
      <w:noProof/>
      <w:sz w:val="24"/>
      <w:szCs w:val="24"/>
    </w:rPr>
  </w:style>
  <w:style w:type="table" w:styleId="TableGrid">
    <w:name w:val="Table Grid"/>
    <w:basedOn w:val="TableNormal"/>
    <w:uiPriority w:val="39"/>
    <w:rsid w:val="000E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0AF6"/>
    <w:pPr>
      <w:ind w:left="720"/>
      <w:contextualSpacing/>
    </w:pPr>
  </w:style>
  <w:style w:type="paragraph" w:styleId="TOCHeading">
    <w:name w:val="TOC Heading"/>
    <w:basedOn w:val="Heading1"/>
    <w:next w:val="Normal"/>
    <w:uiPriority w:val="39"/>
    <w:unhideWhenUsed/>
    <w:qFormat/>
    <w:rsid w:val="00EB7EF9"/>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EB7EF9"/>
    <w:pPr>
      <w:spacing w:after="100"/>
    </w:pPr>
  </w:style>
  <w:style w:type="paragraph" w:styleId="TOC2">
    <w:name w:val="toc 2"/>
    <w:basedOn w:val="Normal"/>
    <w:next w:val="Normal"/>
    <w:autoRedefine/>
    <w:uiPriority w:val="39"/>
    <w:unhideWhenUsed/>
    <w:rsid w:val="00EB7EF9"/>
    <w:pPr>
      <w:spacing w:after="100"/>
      <w:ind w:left="240"/>
    </w:pPr>
  </w:style>
  <w:style w:type="character" w:styleId="Hyperlink">
    <w:name w:val="Hyperlink"/>
    <w:basedOn w:val="DefaultParagraphFont"/>
    <w:uiPriority w:val="99"/>
    <w:unhideWhenUsed/>
    <w:rsid w:val="00EB7EF9"/>
    <w:rPr>
      <w:color w:val="0563C1" w:themeColor="hyperlink"/>
      <w:u w:val="single"/>
    </w:rPr>
  </w:style>
  <w:style w:type="paragraph" w:styleId="Header">
    <w:name w:val="header"/>
    <w:basedOn w:val="Normal"/>
    <w:link w:val="HeaderChar"/>
    <w:uiPriority w:val="99"/>
    <w:unhideWhenUsed/>
    <w:rsid w:val="00EB7E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EF9"/>
    <w:rPr>
      <w:rFonts w:ascii="Arial" w:hAnsi="Arial"/>
      <w:noProof/>
      <w:sz w:val="24"/>
    </w:rPr>
  </w:style>
  <w:style w:type="paragraph" w:styleId="Footer">
    <w:name w:val="footer"/>
    <w:basedOn w:val="Normal"/>
    <w:link w:val="FooterChar"/>
    <w:uiPriority w:val="99"/>
    <w:unhideWhenUsed/>
    <w:rsid w:val="00EB7E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EF9"/>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804388">
      <w:bodyDiv w:val="1"/>
      <w:marLeft w:val="0"/>
      <w:marRight w:val="0"/>
      <w:marTop w:val="0"/>
      <w:marBottom w:val="0"/>
      <w:divBdr>
        <w:top w:val="none" w:sz="0" w:space="0" w:color="auto"/>
        <w:left w:val="none" w:sz="0" w:space="0" w:color="auto"/>
        <w:bottom w:val="none" w:sz="0" w:space="0" w:color="auto"/>
        <w:right w:val="none" w:sz="0" w:space="0" w:color="auto"/>
      </w:divBdr>
    </w:div>
    <w:div w:id="179051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67"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6417A3-5AD4-4386-83CB-15D18A8BC26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8E1B7-491C-43D7-B944-D71E05799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15</Pages>
  <Words>3188</Words>
  <Characters>18176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mdrealmiah23@gmail.com</dc:creator>
  <cp:keywords/>
  <dc:description/>
  <cp:lastModifiedBy>Nobel Mridha</cp:lastModifiedBy>
  <cp:revision>36</cp:revision>
  <dcterms:created xsi:type="dcterms:W3CDTF">2022-11-04T15:07:00Z</dcterms:created>
  <dcterms:modified xsi:type="dcterms:W3CDTF">2022-11-30T17:54:00Z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daddf9cb378e3e5ba051210c35197b7562062d12e2e3759c85a038fa50123065</vt:lpwstr>
  </property>
</Properties>
</file>